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C6678" w:rsidR="00546252" w:rsidP="00B37045" w:rsidRDefault="007116C7" w14:paraId="6D124269" w14:textId="6F823A5F">
      <w:pPr>
        <w:pStyle w:val="naisnod"/>
        <w:spacing w:before="0" w:after="0"/>
        <w:rPr>
          <w:sz w:val="28"/>
        </w:rPr>
      </w:pPr>
      <w:r w:rsidRPr="00DC6678">
        <w:rPr>
          <w:sz w:val="28"/>
        </w:rPr>
        <w:t>Izziņa par atzinumos sniegtajiem iebildumiem</w:t>
      </w:r>
      <w:r w:rsidRPr="00DC6678" w:rsidR="0064229D">
        <w:rPr>
          <w:sz w:val="28"/>
        </w:rPr>
        <w:t xml:space="preserve"> </w:t>
      </w:r>
      <w:r w:rsidRPr="00DC6678" w:rsidR="00A36B8E">
        <w:rPr>
          <w:sz w:val="28"/>
        </w:rPr>
        <w:t xml:space="preserve">par </w:t>
      </w:r>
      <w:r w:rsidRPr="00DC6678" w:rsidR="009D39ED">
        <w:rPr>
          <w:sz w:val="28"/>
        </w:rPr>
        <w:t>konceptuālo ziņojumu</w:t>
      </w:r>
      <w:r w:rsidRPr="00DC6678" w:rsidR="003B2375">
        <w:rPr>
          <w:sz w:val="28"/>
        </w:rPr>
        <w:t xml:space="preserve"> </w:t>
      </w:r>
    </w:p>
    <w:p w:rsidRPr="00DC6678" w:rsidR="00A342E1" w:rsidP="00B37045" w:rsidRDefault="00813411" w14:paraId="708AA14A" w14:textId="729EB401">
      <w:pPr>
        <w:pStyle w:val="naisnod"/>
        <w:tabs>
          <w:tab w:val="left" w:pos="9072"/>
        </w:tabs>
        <w:spacing w:before="0" w:after="0"/>
        <w:rPr>
          <w:rFonts w:eastAsia="Calibri"/>
          <w:sz w:val="28"/>
          <w:lang w:eastAsia="en-US"/>
        </w:rPr>
      </w:pPr>
      <w:r w:rsidRPr="00DC6678">
        <w:rPr>
          <w:bCs w:val="0"/>
          <w:sz w:val="28"/>
        </w:rPr>
        <w:t>"</w:t>
      </w:r>
      <w:bookmarkStart w:name="_Hlk516841520" w:id="0"/>
      <w:r w:rsidRPr="00DC6678" w:rsidR="009D39ED">
        <w:rPr>
          <w:rFonts w:eastAsia="Calibri"/>
          <w:sz w:val="28"/>
          <w:lang w:eastAsia="en-US"/>
        </w:rPr>
        <w:t xml:space="preserve">Par </w:t>
      </w:r>
      <w:r w:rsidRPr="00DC6678" w:rsidR="00DE1048">
        <w:rPr>
          <w:rFonts w:eastAsia="Calibri"/>
          <w:sz w:val="28"/>
          <w:lang w:eastAsia="en-US"/>
        </w:rPr>
        <w:t>ekonomisko lietu</w:t>
      </w:r>
      <w:r w:rsidRPr="00DC6678" w:rsidR="009D39ED">
        <w:rPr>
          <w:rFonts w:eastAsia="Calibri"/>
          <w:sz w:val="28"/>
          <w:lang w:eastAsia="en-US"/>
        </w:rPr>
        <w:t xml:space="preserve"> tiesas izveidi</w:t>
      </w:r>
      <w:bookmarkEnd w:id="0"/>
      <w:r w:rsidRPr="00DC6678" w:rsidR="00A342E1">
        <w:rPr>
          <w:bCs w:val="0"/>
          <w:sz w:val="28"/>
        </w:rPr>
        <w:t>"</w:t>
      </w:r>
    </w:p>
    <w:p w:rsidRPr="00DC6678" w:rsidR="00A342E1" w:rsidP="003B2375" w:rsidRDefault="00A342E1" w14:paraId="115A8A7F" w14:textId="77777777">
      <w:pPr>
        <w:pStyle w:val="naisnod"/>
        <w:spacing w:before="0" w:after="0"/>
        <w:ind w:firstLine="720"/>
        <w:rPr>
          <w:bCs w:val="0"/>
        </w:rPr>
      </w:pPr>
    </w:p>
    <w:p w:rsidRPr="00DC6678" w:rsidR="00AC1FAD" w:rsidP="00AC1FAD" w:rsidRDefault="00AC1FAD" w14:paraId="597FF24B" w14:textId="51EEB2D4">
      <w:pPr>
        <w:pStyle w:val="naisnod"/>
        <w:ind w:firstLine="720"/>
      </w:pPr>
      <w:r w:rsidRPr="00DC6678">
        <w:t>I. Jautājumi, par kuriem saskaņošanā vienošanās nav panākta</w:t>
      </w:r>
    </w:p>
    <w:p w:rsidRPr="00DC6678" w:rsidR="00712F46" w:rsidP="00AC1FAD" w:rsidRDefault="00712F46" w14:paraId="4D4F40D7" w14:textId="77777777">
      <w:pPr>
        <w:pStyle w:val="naisnod"/>
        <w:ind w:firstLine="720"/>
      </w:pPr>
    </w:p>
    <w:tbl>
      <w:tblPr>
        <w:tblW w:w="14160"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2977"/>
        <w:gridCol w:w="3118"/>
        <w:gridCol w:w="2977"/>
        <w:gridCol w:w="2459"/>
        <w:gridCol w:w="1920"/>
      </w:tblGrid>
      <w:tr w:rsidRPr="00DC6678" w:rsidR="00AC1FAD" w:rsidTr="00D45038" w14:paraId="07373D11" w14:textId="77777777">
        <w:tc>
          <w:tcPr>
            <w:tcW w:w="709" w:type="dxa"/>
            <w:tcBorders>
              <w:top w:val="single" w:color="000000" w:sz="6" w:space="0"/>
              <w:left w:val="single" w:color="000000" w:sz="6" w:space="0"/>
              <w:bottom w:val="single" w:color="000000" w:sz="6" w:space="0"/>
              <w:right w:val="single" w:color="000000" w:sz="6" w:space="0"/>
            </w:tcBorders>
            <w:vAlign w:val="center"/>
          </w:tcPr>
          <w:p w:rsidRPr="00DC6678" w:rsidR="00AC1FAD" w:rsidP="00D45038" w:rsidRDefault="00AC1FAD" w14:paraId="1C7EFE04" w14:textId="77777777">
            <w:pPr>
              <w:pStyle w:val="naisc"/>
              <w:spacing w:before="0" w:after="0"/>
            </w:pPr>
            <w:r w:rsidRPr="00DC6678">
              <w:t>Nr. p.k.</w:t>
            </w:r>
          </w:p>
        </w:tc>
        <w:tc>
          <w:tcPr>
            <w:tcW w:w="2977" w:type="dxa"/>
            <w:tcBorders>
              <w:top w:val="single" w:color="000000" w:sz="6" w:space="0"/>
              <w:left w:val="single" w:color="000000" w:sz="6" w:space="0"/>
              <w:bottom w:val="single" w:color="000000" w:sz="6" w:space="0"/>
              <w:right w:val="single" w:color="000000" w:sz="6" w:space="0"/>
            </w:tcBorders>
            <w:vAlign w:val="center"/>
          </w:tcPr>
          <w:p w:rsidRPr="00DC6678" w:rsidR="00AC1FAD" w:rsidP="00D45038" w:rsidRDefault="00AC1FAD" w14:paraId="4EE39FF7" w14:textId="77777777">
            <w:pPr>
              <w:pStyle w:val="naisc"/>
              <w:spacing w:before="0" w:after="0"/>
              <w:ind w:firstLine="12"/>
            </w:pPr>
            <w:r w:rsidRPr="00DC6678">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DC6678" w:rsidR="00AC1FAD" w:rsidP="00D45038" w:rsidRDefault="00AC1FAD" w14:paraId="0D7CAFA2" w14:textId="77777777">
            <w:pPr>
              <w:pStyle w:val="naisc"/>
              <w:spacing w:before="0" w:after="0"/>
              <w:ind w:right="3"/>
            </w:pPr>
            <w:r w:rsidRPr="00DC6678">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DC6678" w:rsidR="00AC1FAD" w:rsidP="00D45038" w:rsidRDefault="00AC1FAD" w14:paraId="036A98B8" w14:textId="77777777">
            <w:pPr>
              <w:pStyle w:val="naisc"/>
              <w:spacing w:before="0" w:after="0"/>
              <w:ind w:firstLine="21"/>
            </w:pPr>
            <w:r w:rsidRPr="00DC6678">
              <w:t>Atbildīgās ministrijas pamatojums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DC6678" w:rsidR="00AC1FAD" w:rsidP="00D45038" w:rsidRDefault="00AC1FAD" w14:paraId="2B718D88" w14:textId="77777777">
            <w:pPr>
              <w:pStyle w:val="Parastais"/>
              <w:jc w:val="center"/>
            </w:pPr>
            <w:r w:rsidRPr="00DC6678">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DC6678" w:rsidR="00AC1FAD" w:rsidP="00D45038" w:rsidRDefault="00AC1FAD" w14:paraId="3E4F6735" w14:textId="77777777">
            <w:pPr>
              <w:pStyle w:val="Parastais"/>
              <w:jc w:val="center"/>
            </w:pPr>
            <w:r w:rsidRPr="00DC6678">
              <w:t>Projekta attiecīgā punkta (panta) galīgā redakcija</w:t>
            </w:r>
          </w:p>
        </w:tc>
      </w:tr>
      <w:tr w:rsidRPr="00DC6678" w:rsidR="00AC1FAD" w:rsidTr="00D45038" w14:paraId="311C85F6" w14:textId="77777777">
        <w:tc>
          <w:tcPr>
            <w:tcW w:w="709" w:type="dxa"/>
            <w:tcBorders>
              <w:top w:val="single" w:color="000000" w:sz="6" w:space="0"/>
              <w:left w:val="single" w:color="000000" w:sz="6" w:space="0"/>
              <w:bottom w:val="single" w:color="000000" w:sz="6" w:space="0"/>
              <w:right w:val="single" w:color="000000" w:sz="6" w:space="0"/>
            </w:tcBorders>
          </w:tcPr>
          <w:p w:rsidRPr="00DC6678" w:rsidR="00AC1FAD" w:rsidP="00D45038" w:rsidRDefault="00AC1FAD" w14:paraId="6D2E5C5C" w14:textId="77777777">
            <w:pPr>
              <w:pStyle w:val="naisc"/>
              <w:spacing w:before="0" w:after="0"/>
            </w:pPr>
            <w:r w:rsidRPr="00DC6678">
              <w:t>1</w:t>
            </w:r>
          </w:p>
        </w:tc>
        <w:tc>
          <w:tcPr>
            <w:tcW w:w="2977" w:type="dxa"/>
            <w:tcBorders>
              <w:top w:val="single" w:color="000000" w:sz="6" w:space="0"/>
              <w:left w:val="single" w:color="000000" w:sz="6" w:space="0"/>
              <w:bottom w:val="single" w:color="000000" w:sz="6" w:space="0"/>
              <w:right w:val="single" w:color="000000" w:sz="6" w:space="0"/>
            </w:tcBorders>
          </w:tcPr>
          <w:p w:rsidRPr="00DC6678" w:rsidR="00AC1FAD" w:rsidP="00D45038" w:rsidRDefault="00AC1FAD" w14:paraId="269A358D" w14:textId="77777777">
            <w:pPr>
              <w:pStyle w:val="naisc"/>
              <w:spacing w:before="0" w:after="0"/>
            </w:pPr>
            <w:r w:rsidRPr="00DC6678">
              <w:t>2</w:t>
            </w:r>
          </w:p>
        </w:tc>
        <w:tc>
          <w:tcPr>
            <w:tcW w:w="3118" w:type="dxa"/>
            <w:tcBorders>
              <w:top w:val="single" w:color="000000" w:sz="6" w:space="0"/>
              <w:left w:val="single" w:color="000000" w:sz="6" w:space="0"/>
              <w:bottom w:val="single" w:color="000000" w:sz="6" w:space="0"/>
              <w:right w:val="single" w:color="000000" w:sz="6" w:space="0"/>
            </w:tcBorders>
          </w:tcPr>
          <w:p w:rsidRPr="00DC6678" w:rsidR="00AC1FAD" w:rsidP="00D45038" w:rsidRDefault="00AC1FAD" w14:paraId="05052D14" w14:textId="77777777">
            <w:pPr>
              <w:pStyle w:val="naisc"/>
              <w:spacing w:before="0" w:after="0"/>
            </w:pPr>
            <w:r w:rsidRPr="00DC6678">
              <w:t>3</w:t>
            </w:r>
          </w:p>
        </w:tc>
        <w:tc>
          <w:tcPr>
            <w:tcW w:w="2977" w:type="dxa"/>
            <w:tcBorders>
              <w:top w:val="single" w:color="000000" w:sz="6" w:space="0"/>
              <w:left w:val="single" w:color="000000" w:sz="6" w:space="0"/>
              <w:bottom w:val="single" w:color="000000" w:sz="6" w:space="0"/>
              <w:right w:val="single" w:color="000000" w:sz="6" w:space="0"/>
            </w:tcBorders>
          </w:tcPr>
          <w:p w:rsidRPr="00DC6678" w:rsidR="00AC1FAD" w:rsidP="00D45038" w:rsidRDefault="00AC1FAD" w14:paraId="329F1D5A" w14:textId="77777777">
            <w:pPr>
              <w:pStyle w:val="naisc"/>
              <w:spacing w:before="0" w:after="0"/>
            </w:pPr>
            <w:r w:rsidRPr="00DC6678">
              <w:t>4</w:t>
            </w:r>
          </w:p>
        </w:tc>
        <w:tc>
          <w:tcPr>
            <w:tcW w:w="2459" w:type="dxa"/>
            <w:tcBorders>
              <w:top w:val="single" w:color="auto" w:sz="4" w:space="0"/>
              <w:left w:val="single" w:color="auto" w:sz="4" w:space="0"/>
              <w:bottom w:val="single" w:color="auto" w:sz="4" w:space="0"/>
              <w:right w:val="single" w:color="auto" w:sz="4" w:space="0"/>
            </w:tcBorders>
          </w:tcPr>
          <w:p w:rsidRPr="00DC6678" w:rsidR="00AC1FAD" w:rsidP="00D45038" w:rsidRDefault="00AC1FAD" w14:paraId="1D35CB4E" w14:textId="77777777">
            <w:pPr>
              <w:pStyle w:val="Parastais"/>
              <w:jc w:val="center"/>
            </w:pPr>
            <w:r w:rsidRPr="00DC6678">
              <w:t>5</w:t>
            </w:r>
          </w:p>
        </w:tc>
        <w:tc>
          <w:tcPr>
            <w:tcW w:w="1920" w:type="dxa"/>
            <w:tcBorders>
              <w:top w:val="single" w:color="auto" w:sz="4" w:space="0"/>
              <w:left w:val="single" w:color="auto" w:sz="4" w:space="0"/>
              <w:bottom w:val="single" w:color="auto" w:sz="4" w:space="0"/>
            </w:tcBorders>
          </w:tcPr>
          <w:p w:rsidRPr="00DC6678" w:rsidR="00AC1FAD" w:rsidP="00D45038" w:rsidRDefault="00AC1FAD" w14:paraId="33C53F5C" w14:textId="77777777">
            <w:pPr>
              <w:pStyle w:val="Parastais"/>
              <w:jc w:val="center"/>
            </w:pPr>
            <w:r w:rsidRPr="00DC6678">
              <w:t>6</w:t>
            </w:r>
          </w:p>
        </w:tc>
      </w:tr>
      <w:tr w:rsidRPr="00DC6678" w:rsidR="008E3733" w:rsidTr="00D45038" w14:paraId="5EF72A35" w14:textId="77777777">
        <w:tc>
          <w:tcPr>
            <w:tcW w:w="709" w:type="dxa"/>
            <w:tcBorders>
              <w:top w:val="single" w:color="000000" w:sz="6" w:space="0"/>
              <w:left w:val="single" w:color="000000" w:sz="6" w:space="0"/>
              <w:bottom w:val="single" w:color="000000" w:sz="6" w:space="0"/>
              <w:right w:val="single" w:color="000000" w:sz="6" w:space="0"/>
            </w:tcBorders>
          </w:tcPr>
          <w:p w:rsidRPr="00DC6678" w:rsidR="008E3733" w:rsidP="00D45038" w:rsidRDefault="008E3733" w14:paraId="2E4C0A88" w14:textId="77777777">
            <w:pPr>
              <w:pStyle w:val="naisc"/>
              <w:spacing w:before="0" w:after="0"/>
              <w:rPr>
                <w:sz w:val="20"/>
                <w:szCs w:val="20"/>
              </w:rPr>
            </w:pPr>
          </w:p>
        </w:tc>
        <w:tc>
          <w:tcPr>
            <w:tcW w:w="2977" w:type="dxa"/>
            <w:tcBorders>
              <w:top w:val="single" w:color="000000" w:sz="6" w:space="0"/>
              <w:left w:val="single" w:color="000000" w:sz="6" w:space="0"/>
              <w:bottom w:val="single" w:color="000000" w:sz="6" w:space="0"/>
              <w:right w:val="single" w:color="000000" w:sz="6" w:space="0"/>
            </w:tcBorders>
          </w:tcPr>
          <w:p w:rsidRPr="00DC6678" w:rsidR="008E3733" w:rsidP="007A0D58" w:rsidRDefault="008E3733" w14:paraId="363CC6EB" w14:textId="5ABACE0F">
            <w:pPr>
              <w:pStyle w:val="naisc"/>
              <w:spacing w:before="0" w:after="0"/>
              <w:jc w:val="both"/>
              <w:rPr>
                <w:sz w:val="20"/>
                <w:szCs w:val="20"/>
              </w:rPr>
            </w:pPr>
          </w:p>
        </w:tc>
        <w:tc>
          <w:tcPr>
            <w:tcW w:w="3118" w:type="dxa"/>
            <w:tcBorders>
              <w:top w:val="single" w:color="000000" w:sz="6" w:space="0"/>
              <w:left w:val="single" w:color="000000" w:sz="6" w:space="0"/>
              <w:bottom w:val="single" w:color="000000" w:sz="6" w:space="0"/>
              <w:right w:val="single" w:color="000000" w:sz="6" w:space="0"/>
            </w:tcBorders>
          </w:tcPr>
          <w:p w:rsidRPr="00DC6678" w:rsidR="009D39ED" w:rsidP="00431258" w:rsidRDefault="009D39ED" w14:paraId="54A7F219" w14:textId="58328AB4">
            <w:pPr>
              <w:ind w:firstLine="720"/>
            </w:pPr>
          </w:p>
        </w:tc>
        <w:tc>
          <w:tcPr>
            <w:tcW w:w="2977" w:type="dxa"/>
            <w:tcBorders>
              <w:top w:val="single" w:color="000000" w:sz="6" w:space="0"/>
              <w:left w:val="single" w:color="000000" w:sz="6" w:space="0"/>
              <w:bottom w:val="single" w:color="000000" w:sz="6" w:space="0"/>
              <w:right w:val="single" w:color="000000" w:sz="6" w:space="0"/>
            </w:tcBorders>
          </w:tcPr>
          <w:p w:rsidRPr="00DC6678" w:rsidR="003F26CF" w:rsidP="00517814" w:rsidRDefault="003F26CF" w14:paraId="49FF82EC" w14:textId="77777777">
            <w:pPr>
              <w:pStyle w:val="naisc"/>
              <w:spacing w:before="0" w:after="0"/>
              <w:jc w:val="both"/>
              <w:rPr>
                <w:sz w:val="22"/>
                <w:szCs w:val="20"/>
              </w:rPr>
            </w:pPr>
          </w:p>
        </w:tc>
        <w:tc>
          <w:tcPr>
            <w:tcW w:w="2459" w:type="dxa"/>
            <w:tcBorders>
              <w:top w:val="single" w:color="auto" w:sz="4" w:space="0"/>
              <w:left w:val="single" w:color="auto" w:sz="4" w:space="0"/>
              <w:bottom w:val="single" w:color="auto" w:sz="4" w:space="0"/>
              <w:right w:val="single" w:color="auto" w:sz="4" w:space="0"/>
            </w:tcBorders>
          </w:tcPr>
          <w:p w:rsidRPr="00DC6678" w:rsidR="008E3733" w:rsidP="00ED58F0" w:rsidRDefault="008E3733" w14:paraId="6A4E6967" w14:textId="77777777">
            <w:pPr>
              <w:pStyle w:val="Parastais"/>
              <w:jc w:val="both"/>
              <w:rPr>
                <w:sz w:val="20"/>
                <w:szCs w:val="20"/>
              </w:rPr>
            </w:pPr>
          </w:p>
        </w:tc>
        <w:tc>
          <w:tcPr>
            <w:tcW w:w="1920" w:type="dxa"/>
            <w:tcBorders>
              <w:top w:val="single" w:color="auto" w:sz="4" w:space="0"/>
              <w:left w:val="single" w:color="auto" w:sz="4" w:space="0"/>
              <w:bottom w:val="single" w:color="auto" w:sz="4" w:space="0"/>
            </w:tcBorders>
          </w:tcPr>
          <w:p w:rsidRPr="00DC6678" w:rsidR="008E3733" w:rsidP="007A0D58" w:rsidRDefault="008E3733" w14:paraId="5D2E942B" w14:textId="77777777">
            <w:pPr>
              <w:pStyle w:val="Parastais"/>
              <w:jc w:val="both"/>
              <w:rPr>
                <w:sz w:val="20"/>
                <w:szCs w:val="20"/>
              </w:rPr>
            </w:pPr>
          </w:p>
        </w:tc>
      </w:tr>
    </w:tbl>
    <w:p w:rsidRPr="00DC6678" w:rsidR="00A342E1" w:rsidP="003B2375" w:rsidRDefault="00A342E1" w14:paraId="4B1B255F" w14:textId="77777777">
      <w:pPr>
        <w:pStyle w:val="naisnod"/>
        <w:spacing w:before="0" w:after="0"/>
        <w:ind w:firstLine="720"/>
        <w:rPr>
          <w:bCs w:val="0"/>
        </w:rPr>
      </w:pPr>
    </w:p>
    <w:p w:rsidRPr="00DC6678" w:rsidR="00A36B8E" w:rsidP="00934210" w:rsidRDefault="00A36B8E" w14:paraId="6B75797D" w14:textId="77777777">
      <w:pPr>
        <w:pStyle w:val="naisf"/>
        <w:ind w:firstLine="0"/>
        <w:jc w:val="left"/>
        <w:rPr>
          <w:b/>
        </w:rPr>
      </w:pPr>
      <w:r w:rsidRPr="00DC6678">
        <w:rPr>
          <w:b/>
        </w:rPr>
        <w:t>Informācija par starpministriju (starpinstitūciju) sanāks</w:t>
      </w:r>
      <w:r w:rsidRPr="00DC6678" w:rsidR="00934210">
        <w:rPr>
          <w:b/>
        </w:rPr>
        <w:t>mi vai elektronisko saskaņošanu</w:t>
      </w:r>
    </w:p>
    <w:p w:rsidRPr="00DC6678" w:rsidR="00813411" w:rsidP="00934210" w:rsidRDefault="00813411" w14:paraId="14C2914C" w14:textId="77777777">
      <w:pPr>
        <w:pStyle w:val="naisf"/>
        <w:ind w:firstLine="0"/>
        <w:jc w:val="left"/>
        <w:rPr>
          <w:b/>
        </w:rPr>
      </w:pPr>
    </w:p>
    <w:tbl>
      <w:tblPr>
        <w:tblW w:w="14283" w:type="dxa"/>
        <w:tblLook w:val="00A0" w:firstRow="1" w:lastRow="0" w:firstColumn="1" w:lastColumn="0" w:noHBand="0" w:noVBand="0"/>
      </w:tblPr>
      <w:tblGrid>
        <w:gridCol w:w="6241"/>
        <w:gridCol w:w="421"/>
        <w:gridCol w:w="3652"/>
        <w:gridCol w:w="3969"/>
      </w:tblGrid>
      <w:tr w:rsidRPr="00DC6678" w:rsidR="00813411" w:rsidTr="00487E18" w14:paraId="5107CBCD" w14:textId="77777777">
        <w:tc>
          <w:tcPr>
            <w:tcW w:w="6241" w:type="dxa"/>
          </w:tcPr>
          <w:p w:rsidRPr="00DC6678" w:rsidR="00813411" w:rsidP="00325DA4" w:rsidRDefault="00813411" w14:paraId="074CBED8" w14:textId="77777777">
            <w:pPr>
              <w:pStyle w:val="naisf"/>
              <w:spacing w:before="0" w:after="0"/>
              <w:ind w:firstLine="0"/>
            </w:pPr>
            <w:r w:rsidRPr="00DC6678">
              <w:t>Datums</w:t>
            </w:r>
          </w:p>
        </w:tc>
        <w:tc>
          <w:tcPr>
            <w:tcW w:w="8042" w:type="dxa"/>
            <w:gridSpan w:val="3"/>
            <w:tcBorders>
              <w:bottom w:val="single" w:color="auto" w:sz="4" w:space="0"/>
            </w:tcBorders>
          </w:tcPr>
          <w:p w:rsidRPr="00DC6678" w:rsidR="00813411" w:rsidP="00FC7039" w:rsidRDefault="00813411" w14:paraId="26421AB8" w14:textId="74AEA402">
            <w:pPr>
              <w:pStyle w:val="naisf"/>
              <w:tabs>
                <w:tab w:val="left" w:pos="8505"/>
              </w:tabs>
              <w:spacing w:before="0" w:after="0"/>
              <w:ind w:firstLine="0"/>
            </w:pPr>
            <w:r w:rsidRPr="00DC6678">
              <w:t>201</w:t>
            </w:r>
            <w:r w:rsidRPr="00DC6678" w:rsidR="00487E18">
              <w:t>9</w:t>
            </w:r>
            <w:r w:rsidRPr="00DC6678">
              <w:t xml:space="preserve">. gada </w:t>
            </w:r>
            <w:r w:rsidRPr="00DC6678" w:rsidR="009D39ED">
              <w:t>1</w:t>
            </w:r>
            <w:r w:rsidR="00575335">
              <w:t>1</w:t>
            </w:r>
            <w:r w:rsidRPr="00DC6678" w:rsidR="00A14CE1">
              <w:t>.</w:t>
            </w:r>
            <w:r w:rsidRPr="00DC6678" w:rsidR="00EA148A">
              <w:t> </w:t>
            </w:r>
            <w:r w:rsidRPr="00DC6678" w:rsidR="009D39ED">
              <w:t>jūnijā</w:t>
            </w:r>
            <w:r w:rsidRPr="00DC6678" w:rsidR="00C278A6">
              <w:t xml:space="preserve"> </w:t>
            </w:r>
            <w:r w:rsidRPr="00DC6678" w:rsidR="00647959">
              <w:t xml:space="preserve">(elektroniskā saskaņošana) </w:t>
            </w:r>
          </w:p>
        </w:tc>
      </w:tr>
      <w:tr w:rsidRPr="00DC6678" w:rsidR="00813411" w:rsidTr="00487E18" w14:paraId="106B59ED" w14:textId="77777777">
        <w:tc>
          <w:tcPr>
            <w:tcW w:w="6241" w:type="dxa"/>
          </w:tcPr>
          <w:p w:rsidRPr="00DC6678" w:rsidR="00813411" w:rsidP="00325DA4" w:rsidRDefault="00813411" w14:paraId="332251D6" w14:textId="77777777">
            <w:pPr>
              <w:pStyle w:val="naisf"/>
              <w:spacing w:before="0" w:after="0"/>
              <w:ind w:firstLine="0"/>
            </w:pPr>
          </w:p>
        </w:tc>
        <w:tc>
          <w:tcPr>
            <w:tcW w:w="8042" w:type="dxa"/>
            <w:gridSpan w:val="3"/>
            <w:tcBorders>
              <w:top w:val="single" w:color="auto" w:sz="4" w:space="0"/>
            </w:tcBorders>
          </w:tcPr>
          <w:p w:rsidRPr="00DC6678" w:rsidR="00813411" w:rsidP="00325DA4" w:rsidRDefault="00813411" w14:paraId="46AA5AD4" w14:textId="77777777">
            <w:pPr>
              <w:pStyle w:val="ParastaisWeb"/>
              <w:spacing w:before="0" w:beforeAutospacing="0" w:after="0" w:afterAutospacing="0"/>
              <w:ind w:firstLine="720"/>
            </w:pPr>
          </w:p>
        </w:tc>
      </w:tr>
      <w:tr w:rsidRPr="00DC6678" w:rsidR="00813411" w:rsidTr="00487E18" w14:paraId="7703D069" w14:textId="77777777">
        <w:tc>
          <w:tcPr>
            <w:tcW w:w="6241" w:type="dxa"/>
          </w:tcPr>
          <w:p w:rsidRPr="00DC6678" w:rsidR="00813411" w:rsidP="00325DA4" w:rsidRDefault="00813411" w14:paraId="01658396" w14:textId="77777777">
            <w:pPr>
              <w:pStyle w:val="naiskr"/>
              <w:spacing w:before="0" w:after="0"/>
            </w:pPr>
            <w:r w:rsidRPr="00DC6678">
              <w:t>Saskaņošanas dalībnieki</w:t>
            </w:r>
          </w:p>
        </w:tc>
        <w:tc>
          <w:tcPr>
            <w:tcW w:w="8042" w:type="dxa"/>
            <w:gridSpan w:val="3"/>
            <w:tcBorders>
              <w:bottom w:val="single" w:color="auto" w:sz="4" w:space="0"/>
            </w:tcBorders>
          </w:tcPr>
          <w:p w:rsidRPr="00DC6678" w:rsidR="00813411" w:rsidP="00FC7039" w:rsidRDefault="0072326F" w14:paraId="2E75C498" w14:textId="4412A55C">
            <w:pPr>
              <w:pStyle w:val="naisf"/>
              <w:spacing w:before="0" w:after="0"/>
              <w:ind w:firstLine="0"/>
            </w:pPr>
            <w:r w:rsidRPr="00DC6678">
              <w:t>Finanšu ministrija</w:t>
            </w:r>
            <w:r w:rsidRPr="00DC6678" w:rsidR="00A14CE1">
              <w:t xml:space="preserve">, </w:t>
            </w:r>
            <w:r w:rsidRPr="00DC6678" w:rsidR="009D39ED">
              <w:t>Pārresoru koordinācijas centrs</w:t>
            </w:r>
          </w:p>
        </w:tc>
      </w:tr>
      <w:tr w:rsidRPr="00DC6678" w:rsidR="00813411" w:rsidTr="00487E18" w14:paraId="3CFF6C23" w14:textId="77777777">
        <w:trPr>
          <w:trHeight w:val="285"/>
        </w:trPr>
        <w:tc>
          <w:tcPr>
            <w:tcW w:w="6241" w:type="dxa"/>
          </w:tcPr>
          <w:p w:rsidRPr="00DC6678" w:rsidR="00813411" w:rsidP="00325DA4" w:rsidRDefault="00813411" w14:paraId="685F45A3" w14:textId="77777777">
            <w:pPr>
              <w:pStyle w:val="naiskr"/>
              <w:spacing w:before="0" w:after="0"/>
            </w:pPr>
          </w:p>
        </w:tc>
        <w:tc>
          <w:tcPr>
            <w:tcW w:w="4073" w:type="dxa"/>
            <w:gridSpan w:val="2"/>
            <w:tcBorders>
              <w:top w:val="single" w:color="auto" w:sz="4" w:space="0"/>
            </w:tcBorders>
          </w:tcPr>
          <w:p w:rsidRPr="00DC6678" w:rsidR="00813411" w:rsidP="00325DA4" w:rsidRDefault="00813411" w14:paraId="29FF7F9E" w14:textId="77777777">
            <w:pPr>
              <w:pStyle w:val="naiskr"/>
              <w:spacing w:before="0" w:after="0"/>
              <w:ind w:firstLine="720"/>
            </w:pPr>
          </w:p>
        </w:tc>
        <w:tc>
          <w:tcPr>
            <w:tcW w:w="3969" w:type="dxa"/>
            <w:tcBorders>
              <w:top w:val="single" w:color="auto" w:sz="4" w:space="0"/>
            </w:tcBorders>
          </w:tcPr>
          <w:p w:rsidRPr="00DC6678" w:rsidR="00813411" w:rsidP="00325DA4" w:rsidRDefault="00813411" w14:paraId="49CF9E79" w14:textId="77777777">
            <w:pPr>
              <w:pStyle w:val="naiskr"/>
              <w:spacing w:before="0" w:after="0"/>
              <w:ind w:firstLine="12"/>
            </w:pPr>
          </w:p>
        </w:tc>
      </w:tr>
      <w:tr w:rsidRPr="00DC6678" w:rsidR="00813411" w:rsidTr="00487E18" w14:paraId="7F60532A" w14:textId="77777777">
        <w:trPr>
          <w:trHeight w:val="285"/>
        </w:trPr>
        <w:tc>
          <w:tcPr>
            <w:tcW w:w="6241" w:type="dxa"/>
          </w:tcPr>
          <w:p w:rsidRPr="00DC6678" w:rsidR="00813411" w:rsidP="00325DA4" w:rsidRDefault="00813411" w14:paraId="2DE44EF0" w14:textId="77777777">
            <w:pPr>
              <w:pStyle w:val="naiskr"/>
              <w:spacing w:before="0" w:after="0"/>
            </w:pPr>
            <w:r w:rsidRPr="00DC6678">
              <w:t>Saskaņošanas dalībnieki izskatīja šādu ministriju (citu institūciju) iebildumus</w:t>
            </w:r>
          </w:p>
        </w:tc>
        <w:tc>
          <w:tcPr>
            <w:tcW w:w="4073" w:type="dxa"/>
            <w:gridSpan w:val="2"/>
          </w:tcPr>
          <w:p w:rsidRPr="00DC6678" w:rsidR="00813411" w:rsidP="00FC7039" w:rsidRDefault="009D39ED" w14:paraId="2AB506F5" w14:textId="74FD9BCA">
            <w:pPr>
              <w:pStyle w:val="naiskr"/>
              <w:spacing w:before="0" w:after="0"/>
            </w:pPr>
            <w:r w:rsidRPr="00DC6678">
              <w:t>Finanšu</w:t>
            </w:r>
            <w:r w:rsidRPr="00DC6678" w:rsidR="00A14CE1">
              <w:t xml:space="preserve"> ministrijas</w:t>
            </w:r>
            <w:r w:rsidRPr="00DC6678" w:rsidR="00C92FB8">
              <w:t xml:space="preserve">, </w:t>
            </w:r>
            <w:proofErr w:type="spellStart"/>
            <w:r w:rsidRPr="00DC6678" w:rsidR="00C92FB8">
              <w:t>Pārresoru</w:t>
            </w:r>
            <w:proofErr w:type="spellEnd"/>
            <w:r w:rsidRPr="00DC6678" w:rsidR="00C92FB8">
              <w:t xml:space="preserve"> koordinācijas centra</w:t>
            </w:r>
          </w:p>
        </w:tc>
        <w:tc>
          <w:tcPr>
            <w:tcW w:w="3969" w:type="dxa"/>
          </w:tcPr>
          <w:p w:rsidRPr="00DC6678" w:rsidR="00813411" w:rsidP="00325DA4" w:rsidRDefault="00813411" w14:paraId="7DD8C090" w14:textId="77777777">
            <w:pPr>
              <w:pStyle w:val="naiskr"/>
              <w:spacing w:before="0" w:after="0"/>
              <w:ind w:firstLine="12"/>
            </w:pPr>
          </w:p>
        </w:tc>
      </w:tr>
      <w:tr w:rsidRPr="00DC6678" w:rsidR="00813411" w:rsidTr="00487E18" w14:paraId="20CDA84B" w14:textId="77777777">
        <w:trPr>
          <w:trHeight w:val="465"/>
        </w:trPr>
        <w:tc>
          <w:tcPr>
            <w:tcW w:w="6662" w:type="dxa"/>
            <w:gridSpan w:val="2"/>
          </w:tcPr>
          <w:p w:rsidRPr="00DC6678" w:rsidR="00813411" w:rsidP="008F5378" w:rsidRDefault="00813411" w14:paraId="2D636007" w14:textId="77777777">
            <w:pPr>
              <w:pStyle w:val="naiskr"/>
              <w:spacing w:before="0" w:after="0"/>
            </w:pPr>
          </w:p>
        </w:tc>
        <w:tc>
          <w:tcPr>
            <w:tcW w:w="7621" w:type="dxa"/>
            <w:gridSpan w:val="2"/>
            <w:tcBorders>
              <w:top w:val="single" w:color="000000" w:sz="6" w:space="0"/>
              <w:bottom w:val="single" w:color="000000" w:sz="6" w:space="0"/>
            </w:tcBorders>
          </w:tcPr>
          <w:p w:rsidRPr="00DC6678" w:rsidR="00813411" w:rsidP="008F5378" w:rsidRDefault="00813411" w14:paraId="5867CA6D" w14:textId="77777777">
            <w:pPr>
              <w:pStyle w:val="ParastaisWeb"/>
              <w:spacing w:before="0" w:beforeAutospacing="0" w:after="0" w:afterAutospacing="0"/>
            </w:pPr>
          </w:p>
        </w:tc>
      </w:tr>
      <w:tr w:rsidRPr="00DC6678" w:rsidR="00813411" w:rsidTr="00487E18" w14:paraId="694CB2C0" w14:textId="77777777">
        <w:trPr>
          <w:trHeight w:val="465"/>
        </w:trPr>
        <w:tc>
          <w:tcPr>
            <w:tcW w:w="14283" w:type="dxa"/>
            <w:gridSpan w:val="4"/>
          </w:tcPr>
          <w:p w:rsidRPr="00DC6678" w:rsidR="009F76C6" w:rsidP="008F5378" w:rsidRDefault="009F76C6" w14:paraId="210C20A2" w14:textId="77777777">
            <w:pPr>
              <w:pStyle w:val="Parastais"/>
            </w:pPr>
          </w:p>
        </w:tc>
      </w:tr>
      <w:tr w:rsidRPr="00DC6678" w:rsidR="00813411" w:rsidTr="00487E18" w14:paraId="0BC30CCE" w14:textId="77777777">
        <w:tc>
          <w:tcPr>
            <w:tcW w:w="6662" w:type="dxa"/>
            <w:gridSpan w:val="2"/>
          </w:tcPr>
          <w:p w:rsidRPr="00DC6678" w:rsidR="00813411" w:rsidP="008F5378" w:rsidRDefault="00813411" w14:paraId="2F485B92" w14:textId="77777777">
            <w:pPr>
              <w:pStyle w:val="naiskr"/>
              <w:spacing w:before="0" w:after="0"/>
              <w:ind w:firstLine="720"/>
            </w:pPr>
          </w:p>
        </w:tc>
        <w:tc>
          <w:tcPr>
            <w:tcW w:w="7621" w:type="dxa"/>
            <w:gridSpan w:val="2"/>
            <w:tcBorders>
              <w:top w:val="single" w:color="000000" w:sz="6" w:space="0"/>
              <w:bottom w:val="single" w:color="000000" w:sz="6" w:space="0"/>
            </w:tcBorders>
          </w:tcPr>
          <w:p w:rsidRPr="00DC6678" w:rsidR="00813411" w:rsidP="008F5378" w:rsidRDefault="00813411" w14:paraId="05EDB846" w14:textId="77777777">
            <w:pPr>
              <w:pStyle w:val="naiskr"/>
              <w:spacing w:before="0" w:after="0"/>
              <w:ind w:firstLine="720"/>
            </w:pPr>
          </w:p>
        </w:tc>
      </w:tr>
      <w:tr w:rsidRPr="00DC6678" w:rsidR="00813411" w:rsidTr="00487E18" w14:paraId="52A9F2AD" w14:textId="77777777">
        <w:tc>
          <w:tcPr>
            <w:tcW w:w="6662" w:type="dxa"/>
            <w:gridSpan w:val="2"/>
          </w:tcPr>
          <w:p w:rsidRPr="00DC6678" w:rsidR="00813411" w:rsidP="00325DA4" w:rsidRDefault="00813411" w14:paraId="54CEF73A" w14:textId="77777777">
            <w:pPr>
              <w:pStyle w:val="naiskr"/>
              <w:spacing w:before="0" w:after="0"/>
              <w:ind w:firstLine="720"/>
            </w:pPr>
          </w:p>
        </w:tc>
        <w:tc>
          <w:tcPr>
            <w:tcW w:w="7621" w:type="dxa"/>
            <w:gridSpan w:val="2"/>
            <w:tcBorders>
              <w:bottom w:val="single" w:color="000000" w:sz="6" w:space="0"/>
            </w:tcBorders>
          </w:tcPr>
          <w:p w:rsidRPr="00DC6678" w:rsidR="00813411" w:rsidP="00325DA4" w:rsidRDefault="00813411" w14:paraId="22EF5559" w14:textId="77777777">
            <w:pPr>
              <w:pStyle w:val="naiskr"/>
              <w:spacing w:before="0" w:after="0"/>
              <w:ind w:firstLine="720"/>
            </w:pPr>
          </w:p>
        </w:tc>
      </w:tr>
    </w:tbl>
    <w:p w:rsidRPr="00DC6678" w:rsidR="00A15169" w:rsidP="00FC7039" w:rsidRDefault="00A15169" w14:paraId="5CCFAB4A" w14:textId="3C46B86D">
      <w:pPr>
        <w:pStyle w:val="naisf"/>
        <w:spacing w:before="0" w:after="0"/>
        <w:ind w:firstLine="0"/>
      </w:pPr>
    </w:p>
    <w:p w:rsidRPr="00DC6678" w:rsidR="00FB64D3" w:rsidP="00FC7039" w:rsidRDefault="00FB64D3" w14:paraId="001E0DA9" w14:textId="77777777">
      <w:pPr>
        <w:pStyle w:val="naisf"/>
        <w:spacing w:before="0" w:after="0"/>
        <w:ind w:firstLine="0"/>
      </w:pPr>
    </w:p>
    <w:p w:rsidRPr="00DC6678" w:rsidR="009D15A1" w:rsidP="009D15A1" w:rsidRDefault="009D15A1" w14:paraId="25EB2AEC" w14:textId="5CCB667F">
      <w:pPr>
        <w:pStyle w:val="naisf"/>
        <w:jc w:val="center"/>
        <w:rPr>
          <w:b/>
          <w:szCs w:val="20"/>
        </w:rPr>
      </w:pPr>
      <w:r w:rsidRPr="00DC6678">
        <w:rPr>
          <w:b/>
          <w:szCs w:val="20"/>
        </w:rPr>
        <w:lastRenderedPageBreak/>
        <w:t>II. Jautājumi, par kuriem saskaņošanā vienošanās ir panākta</w:t>
      </w:r>
    </w:p>
    <w:p w:rsidRPr="00DC6678" w:rsidR="00712F46" w:rsidP="009D15A1" w:rsidRDefault="00712F46" w14:paraId="0227F500" w14:textId="77777777">
      <w:pPr>
        <w:pStyle w:val="naisf"/>
        <w:jc w:val="center"/>
        <w:rPr>
          <w:b/>
          <w:szCs w:val="20"/>
        </w:rPr>
      </w:pPr>
    </w:p>
    <w:tbl>
      <w:tblPr>
        <w:tblW w:w="14183" w:type="dxa"/>
        <w:tblInd w:w="10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
        <w:gridCol w:w="709"/>
        <w:gridCol w:w="2402"/>
        <w:gridCol w:w="575"/>
        <w:gridCol w:w="2088"/>
        <w:gridCol w:w="2306"/>
        <w:gridCol w:w="2835"/>
        <w:gridCol w:w="589"/>
        <w:gridCol w:w="2663"/>
        <w:gridCol w:w="8"/>
      </w:tblGrid>
      <w:tr w:rsidRPr="00DC6678" w:rsidR="009D15A1" w:rsidTr="001D2289" w14:paraId="7A175960"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vAlign w:val="center"/>
          </w:tcPr>
          <w:p w:rsidRPr="00DC6678" w:rsidR="009D15A1" w:rsidP="009D15A1" w:rsidRDefault="009D15A1" w14:paraId="49DA6EEF" w14:textId="77777777">
            <w:pPr>
              <w:pStyle w:val="naisf"/>
              <w:ind w:firstLine="0"/>
              <w:rPr>
                <w:szCs w:val="20"/>
              </w:rPr>
            </w:pPr>
            <w:r w:rsidRPr="00DC6678">
              <w:rPr>
                <w:szCs w:val="20"/>
              </w:rPr>
              <w:t>Nr. p.k.</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rsidRPr="00DC6678" w:rsidR="009D15A1" w:rsidP="009D15A1" w:rsidRDefault="009D15A1" w14:paraId="5BDEA070" w14:textId="77777777">
            <w:pPr>
              <w:pStyle w:val="naisf"/>
              <w:jc w:val="center"/>
              <w:rPr>
                <w:szCs w:val="20"/>
              </w:rPr>
            </w:pPr>
            <w:r w:rsidRPr="00DC6678">
              <w:rPr>
                <w:szCs w:val="20"/>
              </w:rPr>
              <w:t>Saskaņošanai nosūtītā projekta redakcija (konkrēta punkta (panta) redakcija)</w:t>
            </w:r>
          </w:p>
        </w:tc>
        <w:tc>
          <w:tcPr>
            <w:tcW w:w="4394" w:type="dxa"/>
            <w:gridSpan w:val="2"/>
            <w:tcBorders>
              <w:top w:val="single" w:color="000000" w:sz="6" w:space="0"/>
              <w:left w:val="single" w:color="000000" w:sz="6" w:space="0"/>
              <w:bottom w:val="single" w:color="000000" w:sz="6" w:space="0"/>
              <w:right w:val="single" w:color="000000" w:sz="6" w:space="0"/>
            </w:tcBorders>
            <w:vAlign w:val="center"/>
          </w:tcPr>
          <w:p w:rsidRPr="00DC6678" w:rsidR="009D15A1" w:rsidP="009D15A1" w:rsidRDefault="009D15A1" w14:paraId="06BDCBD2" w14:textId="77777777">
            <w:pPr>
              <w:pStyle w:val="naisf"/>
              <w:jc w:val="center"/>
              <w:rPr>
                <w:szCs w:val="20"/>
              </w:rPr>
            </w:pPr>
            <w:r w:rsidRPr="00DC6678">
              <w:rPr>
                <w:szCs w:val="20"/>
              </w:rPr>
              <w:t>Atzinumā norādītais ministrijas (citas institūcijas) iebildums, kā arī saskaņošanā papildus izteiktais iebildums par projekta konkrēto punktu (pantu)</w:t>
            </w:r>
          </w:p>
        </w:tc>
        <w:tc>
          <w:tcPr>
            <w:tcW w:w="2835" w:type="dxa"/>
            <w:tcBorders>
              <w:top w:val="single" w:color="000000" w:sz="6" w:space="0"/>
              <w:left w:val="single" w:color="000000" w:sz="6" w:space="0"/>
              <w:bottom w:val="single" w:color="000000" w:sz="6" w:space="0"/>
              <w:right w:val="single" w:color="000000" w:sz="6" w:space="0"/>
            </w:tcBorders>
            <w:vAlign w:val="center"/>
          </w:tcPr>
          <w:p w:rsidRPr="00DC6678" w:rsidR="009D15A1" w:rsidP="009D15A1" w:rsidRDefault="009D15A1" w14:paraId="3A40F6AE" w14:textId="77777777">
            <w:pPr>
              <w:pStyle w:val="naisf"/>
              <w:jc w:val="center"/>
              <w:rPr>
                <w:szCs w:val="20"/>
              </w:rPr>
            </w:pPr>
            <w:r w:rsidRPr="00DC6678">
              <w:rPr>
                <w:szCs w:val="20"/>
              </w:rPr>
              <w:t>Atbildīgās ministrijas norāde par to, ka iebildums ir ņemts vērā, vai informācija par saskaņošanā panākto alternatīvo risinājumu</w:t>
            </w:r>
          </w:p>
        </w:tc>
        <w:tc>
          <w:tcPr>
            <w:tcW w:w="3260" w:type="dxa"/>
            <w:gridSpan w:val="3"/>
            <w:tcBorders>
              <w:top w:val="single" w:color="auto" w:sz="4" w:space="0"/>
              <w:left w:val="single" w:color="auto" w:sz="4" w:space="0"/>
              <w:bottom w:val="single" w:color="auto" w:sz="4" w:space="0"/>
            </w:tcBorders>
            <w:vAlign w:val="center"/>
          </w:tcPr>
          <w:p w:rsidRPr="00DC6678" w:rsidR="009D15A1" w:rsidP="009D15A1" w:rsidRDefault="009D15A1" w14:paraId="69443E4F" w14:textId="77777777">
            <w:pPr>
              <w:pStyle w:val="naisf"/>
              <w:jc w:val="center"/>
              <w:rPr>
                <w:szCs w:val="20"/>
              </w:rPr>
            </w:pPr>
            <w:r w:rsidRPr="00DC6678">
              <w:rPr>
                <w:szCs w:val="20"/>
              </w:rPr>
              <w:t>Projekta attiecīgā punkta (panta) galīgā redakcija</w:t>
            </w:r>
          </w:p>
        </w:tc>
      </w:tr>
      <w:tr w:rsidRPr="00DC6678" w:rsidR="009D15A1" w:rsidTr="001D2289" w14:paraId="5CB7AB1D"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DC6678" w:rsidR="009D15A1" w:rsidP="009D15A1" w:rsidRDefault="009D15A1" w14:paraId="6CCCC1AA" w14:textId="77777777">
            <w:pPr>
              <w:pStyle w:val="naisf"/>
              <w:rPr>
                <w:szCs w:val="20"/>
              </w:rPr>
            </w:pPr>
            <w:r w:rsidRPr="00DC6678">
              <w:rPr>
                <w:szCs w:val="20"/>
              </w:rPr>
              <w:t>1</w:t>
            </w:r>
          </w:p>
        </w:tc>
        <w:tc>
          <w:tcPr>
            <w:tcW w:w="2977" w:type="dxa"/>
            <w:gridSpan w:val="2"/>
            <w:tcBorders>
              <w:top w:val="single" w:color="000000" w:sz="6" w:space="0"/>
              <w:left w:val="single" w:color="000000" w:sz="6" w:space="0"/>
              <w:bottom w:val="single" w:color="000000" w:sz="6" w:space="0"/>
              <w:right w:val="single" w:color="000000" w:sz="6" w:space="0"/>
            </w:tcBorders>
          </w:tcPr>
          <w:p w:rsidRPr="00DC6678" w:rsidR="009D15A1" w:rsidP="009D15A1" w:rsidRDefault="009D15A1" w14:paraId="062E9876" w14:textId="77777777">
            <w:pPr>
              <w:pStyle w:val="naisf"/>
              <w:rPr>
                <w:szCs w:val="20"/>
              </w:rPr>
            </w:pPr>
            <w:r w:rsidRPr="00DC6678">
              <w:rPr>
                <w:szCs w:val="20"/>
              </w:rPr>
              <w:t>2</w:t>
            </w:r>
          </w:p>
        </w:tc>
        <w:tc>
          <w:tcPr>
            <w:tcW w:w="4394" w:type="dxa"/>
            <w:gridSpan w:val="2"/>
            <w:tcBorders>
              <w:top w:val="single" w:color="000000" w:sz="6" w:space="0"/>
              <w:left w:val="single" w:color="000000" w:sz="6" w:space="0"/>
              <w:bottom w:val="single" w:color="000000" w:sz="6" w:space="0"/>
              <w:right w:val="single" w:color="000000" w:sz="6" w:space="0"/>
            </w:tcBorders>
          </w:tcPr>
          <w:p w:rsidRPr="00DC6678" w:rsidR="009D15A1" w:rsidP="009D15A1" w:rsidRDefault="009D15A1" w14:paraId="449BAA87" w14:textId="77777777">
            <w:pPr>
              <w:pStyle w:val="naisf"/>
              <w:rPr>
                <w:szCs w:val="20"/>
              </w:rPr>
            </w:pPr>
            <w:r w:rsidRPr="00DC6678">
              <w:rPr>
                <w:szCs w:val="20"/>
              </w:rPr>
              <w:t>3</w:t>
            </w:r>
          </w:p>
        </w:tc>
        <w:tc>
          <w:tcPr>
            <w:tcW w:w="2835" w:type="dxa"/>
            <w:tcBorders>
              <w:top w:val="single" w:color="000000" w:sz="6" w:space="0"/>
              <w:left w:val="single" w:color="000000" w:sz="6" w:space="0"/>
              <w:bottom w:val="single" w:color="000000" w:sz="6" w:space="0"/>
              <w:right w:val="single" w:color="000000" w:sz="6" w:space="0"/>
            </w:tcBorders>
          </w:tcPr>
          <w:p w:rsidRPr="00DC6678" w:rsidR="009D15A1" w:rsidP="009D15A1" w:rsidRDefault="009D15A1" w14:paraId="22E9D7B5" w14:textId="77777777">
            <w:pPr>
              <w:pStyle w:val="naisf"/>
              <w:rPr>
                <w:szCs w:val="20"/>
              </w:rPr>
            </w:pPr>
            <w:r w:rsidRPr="00DC6678">
              <w:rPr>
                <w:szCs w:val="20"/>
              </w:rPr>
              <w:t>4</w:t>
            </w:r>
          </w:p>
        </w:tc>
        <w:tc>
          <w:tcPr>
            <w:tcW w:w="3260" w:type="dxa"/>
            <w:gridSpan w:val="3"/>
            <w:tcBorders>
              <w:top w:val="single" w:color="auto" w:sz="4" w:space="0"/>
              <w:left w:val="single" w:color="auto" w:sz="4" w:space="0"/>
              <w:bottom w:val="single" w:color="auto" w:sz="4" w:space="0"/>
            </w:tcBorders>
          </w:tcPr>
          <w:p w:rsidRPr="00DC6678" w:rsidR="009D15A1" w:rsidP="009D15A1" w:rsidRDefault="009D15A1" w14:paraId="00050C5B" w14:textId="77777777">
            <w:pPr>
              <w:pStyle w:val="naisf"/>
              <w:rPr>
                <w:szCs w:val="20"/>
              </w:rPr>
            </w:pPr>
            <w:r w:rsidRPr="00DC6678">
              <w:rPr>
                <w:szCs w:val="20"/>
              </w:rPr>
              <w:t>5</w:t>
            </w:r>
          </w:p>
        </w:tc>
      </w:tr>
      <w:tr w:rsidRPr="00DC6678" w:rsidR="009D15A1" w:rsidTr="001D2289" w14:paraId="7B76A230"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DC6678" w:rsidR="009D15A1" w:rsidP="004C1E85" w:rsidRDefault="009D15A1" w14:paraId="0D2C7040" w14:textId="77777777">
            <w:pPr>
              <w:pStyle w:val="naisf"/>
              <w:ind w:firstLine="0"/>
            </w:pPr>
            <w:r w:rsidRPr="00DC6678">
              <w:t>1.</w:t>
            </w:r>
          </w:p>
        </w:tc>
        <w:tc>
          <w:tcPr>
            <w:tcW w:w="2977" w:type="dxa"/>
            <w:gridSpan w:val="2"/>
            <w:tcBorders>
              <w:top w:val="single" w:color="000000" w:sz="6" w:space="0"/>
              <w:left w:val="single" w:color="000000" w:sz="6" w:space="0"/>
              <w:bottom w:val="single" w:color="000000" w:sz="6" w:space="0"/>
              <w:right w:val="single" w:color="000000" w:sz="6" w:space="0"/>
            </w:tcBorders>
          </w:tcPr>
          <w:p w:rsidRPr="00DC6678" w:rsidR="009D15A1" w:rsidP="00837CBA" w:rsidRDefault="00431258" w14:paraId="29B92106" w14:textId="096B3BFB">
            <w:pPr>
              <w:pStyle w:val="naisf"/>
              <w:ind w:firstLine="0"/>
            </w:pPr>
            <w:r w:rsidRPr="00DC6678">
              <w:t>Konceptuālā ziņojuma "Par specializētas tiesas izveidi" (turpmāk – Konceptuālais ziņojums) 4.</w:t>
            </w:r>
            <w:r w:rsidR="00502614">
              <w:t> </w:t>
            </w:r>
            <w:r w:rsidRPr="00DC6678">
              <w:t>sadaļa</w:t>
            </w:r>
          </w:p>
          <w:p w:rsidRPr="00DC6678" w:rsidR="00DE1048" w:rsidP="00DE1048" w:rsidRDefault="00DE1048" w14:paraId="06AEECBA" w14:textId="77777777"/>
          <w:p w:rsidRPr="00DC6678" w:rsidR="00DE1048" w:rsidP="00DE1048" w:rsidRDefault="00DE1048" w14:paraId="76F7A81B" w14:textId="77777777"/>
          <w:p w:rsidRPr="00DC6678" w:rsidR="00DE1048" w:rsidP="00DE1048" w:rsidRDefault="00DE1048" w14:paraId="0D14A4C6" w14:textId="77777777"/>
          <w:p w:rsidRPr="00DC6678" w:rsidR="00DE1048" w:rsidP="00DE1048" w:rsidRDefault="00DE1048" w14:paraId="2408B5C1" w14:textId="77777777"/>
          <w:p w:rsidRPr="00DC6678" w:rsidR="00DE1048" w:rsidP="00DE1048" w:rsidRDefault="00DE1048" w14:paraId="6D0AF33A" w14:textId="77777777"/>
          <w:p w:rsidRPr="00DC6678" w:rsidR="00DE1048" w:rsidP="00DE1048" w:rsidRDefault="00DE1048" w14:paraId="2A32E7B2" w14:textId="77777777"/>
          <w:p w:rsidRPr="00DC6678" w:rsidR="00DE1048" w:rsidP="00DE1048" w:rsidRDefault="00DE1048" w14:paraId="6394EE0C" w14:textId="77777777"/>
          <w:p w:rsidRPr="00DC6678" w:rsidR="00DE1048" w:rsidP="00DE1048" w:rsidRDefault="00DE1048" w14:paraId="51C0E16C" w14:textId="77777777"/>
          <w:p w:rsidRPr="00DC6678" w:rsidR="00DE1048" w:rsidP="00DE1048" w:rsidRDefault="00DE1048" w14:paraId="3B7981D0" w14:textId="77777777"/>
          <w:p w:rsidRPr="00DC6678" w:rsidR="00DE1048" w:rsidP="00DE1048" w:rsidRDefault="00DE1048" w14:paraId="28F9D567" w14:textId="77777777"/>
          <w:p w:rsidRPr="00DC6678" w:rsidR="00DE1048" w:rsidP="00DE1048" w:rsidRDefault="00DE1048" w14:paraId="2C5DE889" w14:textId="77777777"/>
          <w:p w:rsidRPr="00DC6678" w:rsidR="00DE1048" w:rsidP="00DE1048" w:rsidRDefault="00DE1048" w14:paraId="2A57B23F" w14:textId="77777777"/>
          <w:p w:rsidRPr="00DC6678" w:rsidR="00DE1048" w:rsidP="00DE1048" w:rsidRDefault="00DE1048" w14:paraId="08AB417A" w14:textId="77777777"/>
          <w:p w:rsidRPr="00DC6678" w:rsidR="00DE1048" w:rsidP="00DE1048" w:rsidRDefault="00DE1048" w14:paraId="498F3963" w14:textId="77777777"/>
          <w:p w:rsidRPr="00DC6678" w:rsidR="00DE1048" w:rsidP="00DE1048" w:rsidRDefault="00DE1048" w14:paraId="18173974" w14:textId="3F006A5A">
            <w:pPr>
              <w:rPr>
                <w:sz w:val="24"/>
                <w:szCs w:val="24"/>
              </w:rPr>
            </w:pPr>
          </w:p>
          <w:p w:rsidRPr="00DC6678" w:rsidR="00DE1048" w:rsidP="00DE1048" w:rsidRDefault="00DE1048" w14:paraId="0DFCE799" w14:textId="77777777">
            <w:pPr>
              <w:rPr>
                <w:sz w:val="24"/>
                <w:szCs w:val="24"/>
              </w:rPr>
            </w:pPr>
          </w:p>
          <w:p w:rsidRPr="00DC6678" w:rsidR="00DE1048" w:rsidP="00DE1048" w:rsidRDefault="00DE1048" w14:paraId="3CC725C2" w14:textId="77777777">
            <w:pPr>
              <w:rPr>
                <w:sz w:val="24"/>
                <w:szCs w:val="24"/>
              </w:rPr>
            </w:pPr>
          </w:p>
          <w:p w:rsidRPr="00DC6678" w:rsidR="00DE1048" w:rsidP="00DE1048" w:rsidRDefault="00DE1048" w14:paraId="5A7F67C5" w14:textId="77777777">
            <w:pPr>
              <w:rPr>
                <w:sz w:val="24"/>
                <w:szCs w:val="24"/>
              </w:rPr>
            </w:pPr>
          </w:p>
          <w:p w:rsidRPr="00DC6678" w:rsidR="00DE1048" w:rsidP="00DE1048" w:rsidRDefault="00DE1048" w14:paraId="0469BC4E" w14:textId="77777777">
            <w:pPr>
              <w:rPr>
                <w:sz w:val="24"/>
                <w:szCs w:val="24"/>
              </w:rPr>
            </w:pPr>
          </w:p>
          <w:p w:rsidRPr="00DC6678" w:rsidR="00DE1048" w:rsidP="00DE1048" w:rsidRDefault="00DE1048" w14:paraId="05CDFB0D" w14:textId="77777777"/>
          <w:p w:rsidRPr="00DC6678" w:rsidR="00DE1048" w:rsidP="00DE1048" w:rsidRDefault="00DE1048" w14:paraId="7CDAFA1F" w14:textId="16997481"/>
        </w:tc>
        <w:tc>
          <w:tcPr>
            <w:tcW w:w="4394" w:type="dxa"/>
            <w:gridSpan w:val="2"/>
            <w:tcBorders>
              <w:top w:val="single" w:color="000000" w:sz="6" w:space="0"/>
              <w:left w:val="single" w:color="000000" w:sz="6" w:space="0"/>
              <w:bottom w:val="single" w:color="000000" w:sz="6" w:space="0"/>
              <w:right w:val="single" w:color="000000" w:sz="6" w:space="0"/>
            </w:tcBorders>
          </w:tcPr>
          <w:p w:rsidRPr="00DC6678" w:rsidR="00A11963" w:rsidP="00837CBA" w:rsidRDefault="009D39ED" w14:paraId="77BA8446" w14:textId="5709C382">
            <w:pPr>
              <w:pStyle w:val="naisf"/>
              <w:ind w:firstLine="0"/>
              <w:jc w:val="center"/>
              <w:rPr>
                <w:b/>
              </w:rPr>
            </w:pPr>
            <w:r w:rsidRPr="00DC6678">
              <w:rPr>
                <w:b/>
              </w:rPr>
              <w:lastRenderedPageBreak/>
              <w:t>Finanšu ministrija</w:t>
            </w:r>
          </w:p>
          <w:p w:rsidRPr="00DC6678" w:rsidR="00431258" w:rsidP="00F51066" w:rsidRDefault="00431258" w14:paraId="71333EEF" w14:textId="77777777">
            <w:pPr>
              <w:jc w:val="both"/>
              <w:rPr>
                <w:sz w:val="24"/>
                <w:szCs w:val="24"/>
              </w:rPr>
            </w:pPr>
            <w:r w:rsidRPr="00DC6678">
              <w:rPr>
                <w:sz w:val="24"/>
                <w:szCs w:val="24"/>
              </w:rPr>
              <w:t xml:space="preserve">Konceptuālajā ziņojumā norādīts, ka specializētās tiesas izveidē  tiks efektīvi izmantoti jau pieejamie tiesu finanšu resursi, bet informācija sniegta tikai par papildu nepieciešamo finansējumu 2020.gadam 351 097 </w:t>
            </w:r>
            <w:proofErr w:type="spellStart"/>
            <w:r w:rsidRPr="00DC6678">
              <w:rPr>
                <w:i/>
                <w:iCs/>
                <w:sz w:val="24"/>
                <w:szCs w:val="24"/>
              </w:rPr>
              <w:t>euro</w:t>
            </w:r>
            <w:proofErr w:type="spellEnd"/>
            <w:r w:rsidRPr="00DC6678">
              <w:rPr>
                <w:i/>
                <w:iCs/>
                <w:sz w:val="24"/>
                <w:szCs w:val="24"/>
              </w:rPr>
              <w:t xml:space="preserve"> </w:t>
            </w:r>
            <w:r w:rsidRPr="00DC6678">
              <w:rPr>
                <w:sz w:val="24"/>
                <w:szCs w:val="24"/>
              </w:rPr>
              <w:t>un turpmāk ik gadu 607 897</w:t>
            </w:r>
            <w:r w:rsidRPr="00DC6678">
              <w:rPr>
                <w:i/>
                <w:iCs/>
                <w:sz w:val="24"/>
                <w:szCs w:val="24"/>
              </w:rPr>
              <w:t xml:space="preserve"> </w:t>
            </w:r>
            <w:proofErr w:type="spellStart"/>
            <w:r w:rsidRPr="00DC6678">
              <w:rPr>
                <w:i/>
                <w:iCs/>
                <w:sz w:val="24"/>
                <w:szCs w:val="24"/>
              </w:rPr>
              <w:t>euro</w:t>
            </w:r>
            <w:proofErr w:type="spellEnd"/>
            <w:r w:rsidRPr="00DC6678">
              <w:rPr>
                <w:sz w:val="24"/>
                <w:szCs w:val="24"/>
              </w:rPr>
              <w:t xml:space="preserve">, lai nodrošinātu specializētas tiesas izveidi un uzturēšanu un papildu amatu vietu izveidi apgabaltiesā. Lūdzam papildināt konceptuālo ziņojumu ar informāciju par kopējo finansējumu piedāvātā risinājuma īstenošanai, norādot TM budžetā ietaupīto finansējumu (sadalījumā pa pasākumiem), kas tiks novirzīts specializētās tiesas darbības nodrošināšanai.  </w:t>
            </w:r>
          </w:p>
          <w:p w:rsidRPr="00DC6678" w:rsidR="009D15A1" w:rsidP="00837CBA" w:rsidRDefault="009D15A1" w14:paraId="49716BF0" w14:textId="03F75B9E">
            <w:pPr>
              <w:pStyle w:val="naisf"/>
              <w:ind w:firstLine="0"/>
            </w:pPr>
          </w:p>
        </w:tc>
        <w:tc>
          <w:tcPr>
            <w:tcW w:w="2835" w:type="dxa"/>
            <w:tcBorders>
              <w:top w:val="single" w:color="000000" w:sz="6" w:space="0"/>
              <w:left w:val="single" w:color="000000" w:sz="6" w:space="0"/>
              <w:bottom w:val="single" w:color="000000" w:sz="6" w:space="0"/>
              <w:right w:val="single" w:color="000000" w:sz="6" w:space="0"/>
            </w:tcBorders>
          </w:tcPr>
          <w:p w:rsidRPr="00DC6678" w:rsidR="009D15A1" w:rsidP="00837CBA" w:rsidRDefault="00A11963" w14:paraId="75C4CF3F" w14:textId="77777777">
            <w:pPr>
              <w:pStyle w:val="naisf"/>
              <w:ind w:firstLine="0"/>
              <w:jc w:val="center"/>
              <w:rPr>
                <w:b/>
              </w:rPr>
            </w:pPr>
            <w:r w:rsidRPr="00DC6678">
              <w:rPr>
                <w:b/>
              </w:rPr>
              <w:t>Ņemts vērā</w:t>
            </w:r>
          </w:p>
        </w:tc>
        <w:tc>
          <w:tcPr>
            <w:tcW w:w="3260" w:type="dxa"/>
            <w:gridSpan w:val="3"/>
            <w:tcBorders>
              <w:top w:val="single" w:color="auto" w:sz="4" w:space="0"/>
              <w:left w:val="single" w:color="auto" w:sz="4" w:space="0"/>
              <w:bottom w:val="single" w:color="auto" w:sz="4" w:space="0"/>
            </w:tcBorders>
          </w:tcPr>
          <w:p w:rsidRPr="00DC6678" w:rsidR="00BD0AD7" w:rsidP="00BD0AD7" w:rsidRDefault="00431258" w14:paraId="6ABAC3DF" w14:textId="5C7C116C">
            <w:pPr>
              <w:jc w:val="both"/>
              <w:rPr>
                <w:b/>
                <w:sz w:val="24"/>
                <w:szCs w:val="24"/>
                <w:u w:val="single"/>
              </w:rPr>
            </w:pPr>
            <w:r w:rsidRPr="00DC6678">
              <w:rPr>
                <w:sz w:val="24"/>
                <w:szCs w:val="24"/>
              </w:rPr>
              <w:t>Precizēt</w:t>
            </w:r>
            <w:r w:rsidR="00502614">
              <w:rPr>
                <w:sz w:val="24"/>
                <w:szCs w:val="24"/>
              </w:rPr>
              <w:t>a</w:t>
            </w:r>
            <w:r w:rsidRPr="00DC6678">
              <w:rPr>
                <w:sz w:val="24"/>
                <w:szCs w:val="24"/>
              </w:rPr>
              <w:t xml:space="preserve"> konceptuālā ziņojuma 4.</w:t>
            </w:r>
            <w:r w:rsidR="00502614">
              <w:rPr>
                <w:sz w:val="24"/>
                <w:szCs w:val="24"/>
              </w:rPr>
              <w:t> </w:t>
            </w:r>
            <w:r w:rsidRPr="00DC6678">
              <w:rPr>
                <w:sz w:val="24"/>
                <w:szCs w:val="24"/>
              </w:rPr>
              <w:t>sadaļa</w:t>
            </w:r>
            <w:r w:rsidRPr="00DC6678" w:rsidR="00C63DED">
              <w:rPr>
                <w:sz w:val="24"/>
                <w:szCs w:val="24"/>
              </w:rPr>
              <w:t xml:space="preserve"> (2</w:t>
            </w:r>
            <w:r w:rsidR="008F5378">
              <w:rPr>
                <w:sz w:val="24"/>
                <w:szCs w:val="24"/>
              </w:rPr>
              <w:t>3</w:t>
            </w:r>
            <w:r w:rsidRPr="00DC6678" w:rsidR="00C63DED">
              <w:rPr>
                <w:sz w:val="24"/>
                <w:szCs w:val="24"/>
              </w:rPr>
              <w:t>.</w:t>
            </w:r>
            <w:r w:rsidR="00502614">
              <w:rPr>
                <w:sz w:val="24"/>
                <w:szCs w:val="24"/>
              </w:rPr>
              <w:t> </w:t>
            </w:r>
            <w:r w:rsidRPr="00DC6678" w:rsidR="00C63DED">
              <w:rPr>
                <w:sz w:val="24"/>
                <w:szCs w:val="24"/>
              </w:rPr>
              <w:t>lp</w:t>
            </w:r>
            <w:r w:rsidR="00502614">
              <w:rPr>
                <w:sz w:val="24"/>
                <w:szCs w:val="24"/>
              </w:rPr>
              <w:t>.</w:t>
            </w:r>
            <w:r w:rsidRPr="00DC6678" w:rsidR="00C63DED">
              <w:rPr>
                <w:sz w:val="24"/>
                <w:szCs w:val="24"/>
              </w:rPr>
              <w:t>)</w:t>
            </w:r>
            <w:r w:rsidR="00502614">
              <w:rPr>
                <w:sz w:val="24"/>
                <w:szCs w:val="24"/>
              </w:rPr>
              <w:t>,</w:t>
            </w:r>
            <w:r w:rsidRPr="00DC6678">
              <w:rPr>
                <w:sz w:val="24"/>
                <w:szCs w:val="24"/>
              </w:rPr>
              <w:t xml:space="preserve"> norādot, ka </w:t>
            </w:r>
            <w:r w:rsidRPr="00DC6678">
              <w:rPr>
                <w:b/>
                <w:sz w:val="24"/>
                <w:szCs w:val="24"/>
                <w:u w:val="single"/>
              </w:rPr>
              <w:t>"</w:t>
            </w:r>
            <w:r w:rsidRPr="00DC6678" w:rsidR="00BD0AD7">
              <w:rPr>
                <w:b/>
                <w:sz w:val="24"/>
                <w:szCs w:val="24"/>
                <w:u w:val="single"/>
              </w:rPr>
              <w:t>Specializētajā tiesā pirmajā instancē paredzēts izveidot 10 tiesneša amata vietas un 27 tiesas darbinieka amata vietas un kopējais finansējuma apmērs tās izveidei ir 1 214 594</w:t>
            </w:r>
            <w:r w:rsidR="00502614">
              <w:rPr>
                <w:b/>
                <w:sz w:val="24"/>
                <w:szCs w:val="24"/>
                <w:u w:val="single"/>
              </w:rPr>
              <w:t> </w:t>
            </w:r>
            <w:proofErr w:type="spellStart"/>
            <w:r w:rsidR="00502614">
              <w:rPr>
                <w:b/>
                <w:i/>
                <w:sz w:val="24"/>
                <w:szCs w:val="24"/>
                <w:u w:val="single"/>
              </w:rPr>
              <w:t>euro</w:t>
            </w:r>
            <w:proofErr w:type="spellEnd"/>
            <w:r w:rsidRPr="00DC6678" w:rsidR="00BD0AD7">
              <w:rPr>
                <w:b/>
                <w:sz w:val="24"/>
                <w:szCs w:val="24"/>
                <w:u w:val="single"/>
              </w:rPr>
              <w:t>, no tā 918 103</w:t>
            </w:r>
            <w:r w:rsidR="00502614">
              <w:rPr>
                <w:b/>
                <w:sz w:val="24"/>
                <w:szCs w:val="24"/>
                <w:u w:val="single"/>
              </w:rPr>
              <w:t> </w:t>
            </w:r>
            <w:proofErr w:type="spellStart"/>
            <w:r w:rsidR="00502614">
              <w:rPr>
                <w:b/>
                <w:i/>
                <w:sz w:val="24"/>
                <w:szCs w:val="24"/>
                <w:u w:val="single"/>
              </w:rPr>
              <w:t>euro</w:t>
            </w:r>
            <w:proofErr w:type="spellEnd"/>
            <w:r w:rsidRPr="00DC6678" w:rsidR="00BD0AD7">
              <w:rPr>
                <w:b/>
                <w:sz w:val="24"/>
                <w:szCs w:val="24"/>
                <w:u w:val="single"/>
              </w:rPr>
              <w:t xml:space="preserve"> tiks nodrošināti valsts budžetā piešķirtā finansējuma ietvaros, tai skaitā 37 amata vietu izveide no vakantajām tiesnešu un tiesu darbinieku amata vietām (šobrīd vakantas 10 tiesnešu amata vietas un 22 darbinieku amata vietas, piecas darbinieku amata vietas plānots novirzīt specializētās tiesas pirmajai instancei, ņemot vērā līdz </w:t>
            </w:r>
            <w:r w:rsidRPr="00DC6678" w:rsidR="00BD0AD7">
              <w:rPr>
                <w:b/>
                <w:sz w:val="24"/>
                <w:szCs w:val="24"/>
                <w:u w:val="single"/>
              </w:rPr>
              <w:lastRenderedPageBreak/>
              <w:t>gada beigām efektivitātes veicināšanas pasākumu ietvaros samazinātās amata vietas). Atlīdzībai paredzēts novirzīt 918 103</w:t>
            </w:r>
            <w:r w:rsidR="00502614">
              <w:rPr>
                <w:b/>
                <w:sz w:val="24"/>
                <w:szCs w:val="24"/>
                <w:u w:val="single"/>
              </w:rPr>
              <w:t> </w:t>
            </w:r>
            <w:proofErr w:type="spellStart"/>
            <w:r w:rsidR="00502614">
              <w:rPr>
                <w:b/>
                <w:i/>
                <w:sz w:val="24"/>
                <w:szCs w:val="24"/>
                <w:u w:val="single"/>
              </w:rPr>
              <w:t>euro</w:t>
            </w:r>
            <w:proofErr w:type="spellEnd"/>
            <w:r w:rsidRPr="00DC6678" w:rsidR="00BD0AD7">
              <w:rPr>
                <w:b/>
                <w:sz w:val="24"/>
                <w:szCs w:val="24"/>
                <w:u w:val="single"/>
              </w:rPr>
              <w:t xml:space="preserve"> no vakantajām amata vietām, kā arī attīstībai budžeta bāzē kapitālajiem izdevumiem paredzētos 24 363</w:t>
            </w:r>
            <w:r w:rsidR="00502614">
              <w:rPr>
                <w:b/>
                <w:sz w:val="24"/>
                <w:szCs w:val="24"/>
                <w:u w:val="single"/>
              </w:rPr>
              <w:t> </w:t>
            </w:r>
            <w:proofErr w:type="spellStart"/>
            <w:r w:rsidR="00502614">
              <w:rPr>
                <w:b/>
                <w:i/>
                <w:sz w:val="24"/>
                <w:szCs w:val="24"/>
                <w:u w:val="single"/>
              </w:rPr>
              <w:t>euro</w:t>
            </w:r>
            <w:proofErr w:type="spellEnd"/>
            <w:r w:rsidRPr="00DC6678" w:rsidR="00BD0AD7">
              <w:rPr>
                <w:b/>
                <w:sz w:val="24"/>
                <w:szCs w:val="24"/>
                <w:u w:val="single"/>
              </w:rPr>
              <w:t xml:space="preserve"> plānots novirzīt tiesas sēžu zāļu aprīkojuma iegādei.</w:t>
            </w:r>
          </w:p>
          <w:p w:rsidRPr="00DC6678" w:rsidR="00BD0AD7" w:rsidP="00BD0AD7" w:rsidRDefault="00BD0AD7" w14:paraId="19F92898" w14:textId="2B325CDF">
            <w:pPr>
              <w:jc w:val="both"/>
              <w:rPr>
                <w:b/>
                <w:sz w:val="24"/>
                <w:szCs w:val="24"/>
                <w:u w:val="single"/>
              </w:rPr>
            </w:pPr>
            <w:r w:rsidRPr="00DC6678">
              <w:rPr>
                <w:b/>
                <w:sz w:val="24"/>
                <w:szCs w:val="24"/>
                <w:u w:val="single"/>
              </w:rPr>
              <w:tab/>
              <w:t>Apelācijas instancē specializētajai tiesai paredzēts izveidot 8 tiesneša amata vietas (četras no šobrīd vakantajām amata vietām, savukārt, četras amata vietas no šobrīd esošajām tiesneša amata vietām) un 12 tiesas darbinieku amata vietas (paredzam līdz gada beigām efektivitātes veicināšanas pasākumu ietvaros vēl samazināt amata vietas, ko novirzīsim specializētās tiesas apelācijas instancei).</w:t>
            </w:r>
          </w:p>
          <w:p w:rsidRPr="00DC6678" w:rsidR="009D15A1" w:rsidP="00F51066" w:rsidRDefault="00BD0AD7" w14:paraId="160D7B81" w14:textId="4B3939E2">
            <w:pPr>
              <w:jc w:val="both"/>
              <w:rPr>
                <w:b/>
                <w:sz w:val="24"/>
                <w:szCs w:val="24"/>
                <w:u w:val="single"/>
              </w:rPr>
            </w:pPr>
            <w:r w:rsidRPr="00DC6678">
              <w:rPr>
                <w:b/>
                <w:sz w:val="24"/>
                <w:szCs w:val="24"/>
                <w:u w:val="single"/>
              </w:rPr>
              <w:tab/>
              <w:t>Kopējās izmaksas apelācijas instances izveidei specializācijai piekritīgo lietu izskatīšanai ir 883 879</w:t>
            </w:r>
            <w:r w:rsidR="00502614">
              <w:rPr>
                <w:b/>
                <w:sz w:val="24"/>
                <w:szCs w:val="24"/>
                <w:u w:val="single"/>
              </w:rPr>
              <w:t> </w:t>
            </w:r>
            <w:proofErr w:type="spellStart"/>
            <w:r w:rsidR="00502614">
              <w:rPr>
                <w:b/>
                <w:i/>
                <w:sz w:val="24"/>
                <w:szCs w:val="24"/>
                <w:u w:val="single"/>
              </w:rPr>
              <w:t>euro</w:t>
            </w:r>
            <w:proofErr w:type="spellEnd"/>
            <w:r w:rsidRPr="00DC6678">
              <w:rPr>
                <w:b/>
                <w:sz w:val="24"/>
                <w:szCs w:val="24"/>
                <w:u w:val="single"/>
              </w:rPr>
              <w:t>, no tā 694 349</w:t>
            </w:r>
            <w:r w:rsidR="00502614">
              <w:rPr>
                <w:b/>
                <w:sz w:val="24"/>
                <w:szCs w:val="24"/>
                <w:u w:val="single"/>
              </w:rPr>
              <w:t> </w:t>
            </w:r>
            <w:proofErr w:type="spellStart"/>
            <w:r w:rsidR="00502614">
              <w:rPr>
                <w:b/>
                <w:i/>
                <w:sz w:val="24"/>
                <w:szCs w:val="24"/>
                <w:u w:val="single"/>
              </w:rPr>
              <w:t>euro</w:t>
            </w:r>
            <w:proofErr w:type="spellEnd"/>
            <w:r w:rsidRPr="00DC6678">
              <w:rPr>
                <w:b/>
                <w:sz w:val="24"/>
                <w:szCs w:val="24"/>
                <w:u w:val="single"/>
              </w:rPr>
              <w:t xml:space="preserve"> tiks nodrošināti budžetā bāzē </w:t>
            </w:r>
            <w:r w:rsidRPr="00DC6678">
              <w:rPr>
                <w:b/>
                <w:sz w:val="24"/>
                <w:szCs w:val="24"/>
                <w:u w:val="single"/>
              </w:rPr>
              <w:lastRenderedPageBreak/>
              <w:t>piešķirtā finansējuma ietvaros, tai skaitā atlīdzībai 694 349</w:t>
            </w:r>
            <w:r w:rsidR="00502614">
              <w:rPr>
                <w:b/>
                <w:sz w:val="24"/>
                <w:szCs w:val="24"/>
                <w:u w:val="single"/>
              </w:rPr>
              <w:t> </w:t>
            </w:r>
            <w:proofErr w:type="spellStart"/>
            <w:r w:rsidR="00502614">
              <w:rPr>
                <w:b/>
                <w:i/>
                <w:sz w:val="24"/>
                <w:szCs w:val="24"/>
                <w:u w:val="single"/>
              </w:rPr>
              <w:t>euro</w:t>
            </w:r>
            <w:proofErr w:type="spellEnd"/>
            <w:r w:rsidRPr="00DC6678">
              <w:rPr>
                <w:b/>
                <w:sz w:val="24"/>
                <w:szCs w:val="24"/>
                <w:u w:val="single"/>
              </w:rPr>
              <w:t xml:space="preserve"> un kapitālajiem izdevumiem vienas tiesas sēžu zāles aprīkošanai 4873</w:t>
            </w:r>
            <w:r w:rsidR="00502614">
              <w:rPr>
                <w:b/>
                <w:sz w:val="24"/>
                <w:szCs w:val="24"/>
                <w:u w:val="single"/>
              </w:rPr>
              <w:t> </w:t>
            </w:r>
            <w:proofErr w:type="spellStart"/>
            <w:r w:rsidR="00502614">
              <w:rPr>
                <w:b/>
                <w:i/>
                <w:sz w:val="24"/>
                <w:szCs w:val="24"/>
                <w:u w:val="single"/>
              </w:rPr>
              <w:t>euro</w:t>
            </w:r>
            <w:proofErr w:type="spellEnd"/>
            <w:r w:rsidRPr="00DC6678">
              <w:rPr>
                <w:b/>
                <w:sz w:val="24"/>
                <w:szCs w:val="24"/>
                <w:u w:val="single"/>
              </w:rPr>
              <w:t>.</w:t>
            </w:r>
          </w:p>
          <w:p w:rsidRPr="00DC6678" w:rsidR="00F51066" w:rsidP="00F51066" w:rsidRDefault="00F51066" w14:paraId="35A0BB31" w14:textId="044236E7">
            <w:pPr>
              <w:jc w:val="both"/>
              <w:rPr>
                <w:b/>
                <w:sz w:val="24"/>
                <w:szCs w:val="24"/>
                <w:u w:val="single"/>
              </w:rPr>
            </w:pPr>
            <w:r w:rsidRPr="00DC6678">
              <w:rPr>
                <w:b/>
                <w:sz w:val="24"/>
                <w:szCs w:val="24"/>
                <w:u w:val="single"/>
              </w:rPr>
              <w:t>Precizēts Konceptuālā ziņojuma 4.</w:t>
            </w:r>
            <w:r w:rsidR="00502614">
              <w:rPr>
                <w:b/>
                <w:sz w:val="24"/>
                <w:szCs w:val="24"/>
                <w:u w:val="single"/>
              </w:rPr>
              <w:t> </w:t>
            </w:r>
            <w:r w:rsidRPr="00DC6678">
              <w:rPr>
                <w:b/>
                <w:sz w:val="24"/>
                <w:szCs w:val="24"/>
                <w:u w:val="single"/>
              </w:rPr>
              <w:t>sadaļā norādītais kopsavilkums– specializēta</w:t>
            </w:r>
            <w:r w:rsidR="00502614">
              <w:rPr>
                <w:b/>
                <w:sz w:val="24"/>
                <w:szCs w:val="24"/>
                <w:u w:val="single"/>
              </w:rPr>
              <w:t>s</w:t>
            </w:r>
            <w:r w:rsidRPr="00DC6678">
              <w:rPr>
                <w:b/>
                <w:sz w:val="24"/>
                <w:szCs w:val="24"/>
                <w:u w:val="single"/>
              </w:rPr>
              <w:t xml:space="preserve"> tiesas izveidei nepieciešamais valsts budžeta finansējums.</w:t>
            </w:r>
          </w:p>
          <w:p w:rsidRPr="00DC6678" w:rsidR="00F51066" w:rsidP="00F51066" w:rsidRDefault="00F51066" w14:paraId="1A4F9E3F" w14:textId="7B40F16A">
            <w:pPr>
              <w:jc w:val="both"/>
            </w:pPr>
            <w:r w:rsidRPr="00DC6678">
              <w:rPr>
                <w:sz w:val="24"/>
              </w:rPr>
              <w:t>Precizēts Konceptuālā ziņojuma 2. un 3.</w:t>
            </w:r>
            <w:r w:rsidR="00502614">
              <w:rPr>
                <w:sz w:val="24"/>
              </w:rPr>
              <w:t> </w:t>
            </w:r>
            <w:r w:rsidRPr="00DC6678">
              <w:rPr>
                <w:sz w:val="24"/>
              </w:rPr>
              <w:t xml:space="preserve">pielikums. </w:t>
            </w:r>
          </w:p>
        </w:tc>
      </w:tr>
      <w:tr w:rsidRPr="00DC6678" w:rsidR="00BB4E78" w:rsidTr="001D2289" w14:paraId="6CE9CC71"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DC6678" w:rsidR="00BB4E78" w:rsidP="004C1E85" w:rsidRDefault="00BB4E78" w14:paraId="1138FA56" w14:textId="764E4CA7">
            <w:pPr>
              <w:pStyle w:val="naisf"/>
              <w:ind w:firstLine="59"/>
              <w:rPr>
                <w:szCs w:val="20"/>
              </w:rPr>
            </w:pPr>
            <w:r w:rsidRPr="00DC6678">
              <w:rPr>
                <w:szCs w:val="20"/>
              </w:rPr>
              <w:lastRenderedPageBreak/>
              <w:t>2</w:t>
            </w:r>
            <w:r w:rsidRPr="00DC6678" w:rsidR="004C1E85">
              <w:rPr>
                <w:szCs w:val="20"/>
              </w:rPr>
              <w:t>.</w:t>
            </w:r>
          </w:p>
        </w:tc>
        <w:tc>
          <w:tcPr>
            <w:tcW w:w="2977" w:type="dxa"/>
            <w:gridSpan w:val="2"/>
            <w:tcBorders>
              <w:top w:val="single" w:color="000000" w:sz="6" w:space="0"/>
              <w:left w:val="single" w:color="000000" w:sz="6" w:space="0"/>
              <w:bottom w:val="single" w:color="000000" w:sz="6" w:space="0"/>
              <w:right w:val="single" w:color="000000" w:sz="6" w:space="0"/>
            </w:tcBorders>
          </w:tcPr>
          <w:p w:rsidRPr="00DC6678" w:rsidR="00431258" w:rsidP="00431258" w:rsidRDefault="00431258" w14:paraId="5FEE5D51" w14:textId="3848BCE9">
            <w:pPr>
              <w:jc w:val="both"/>
              <w:rPr>
                <w:sz w:val="24"/>
              </w:rPr>
            </w:pPr>
            <w:r w:rsidRPr="00DC6678">
              <w:rPr>
                <w:sz w:val="24"/>
              </w:rPr>
              <w:t>Konceptuālā ziņojuma</w:t>
            </w:r>
            <w:r w:rsidR="0042526C">
              <w:rPr>
                <w:sz w:val="24"/>
              </w:rPr>
              <w:t xml:space="preserve"> </w:t>
            </w:r>
            <w:r w:rsidRPr="00DC6678">
              <w:rPr>
                <w:sz w:val="24"/>
              </w:rPr>
              <w:t>4.</w:t>
            </w:r>
            <w:r w:rsidR="00502614">
              <w:rPr>
                <w:sz w:val="24"/>
              </w:rPr>
              <w:t> </w:t>
            </w:r>
            <w:r w:rsidRPr="00DC6678">
              <w:rPr>
                <w:sz w:val="24"/>
              </w:rPr>
              <w:t xml:space="preserve">sadaļas </w:t>
            </w:r>
            <w:r w:rsidR="00502614">
              <w:rPr>
                <w:sz w:val="24"/>
              </w:rPr>
              <w:t>"</w:t>
            </w:r>
            <w:r w:rsidRPr="00DC6678">
              <w:rPr>
                <w:sz w:val="24"/>
              </w:rPr>
              <w:t>Ietekme uz valsts budžetu</w:t>
            </w:r>
            <w:r w:rsidR="00502614">
              <w:rPr>
                <w:sz w:val="24"/>
              </w:rPr>
              <w:t>"</w:t>
            </w:r>
            <w:r w:rsidRPr="00DC6678">
              <w:rPr>
                <w:sz w:val="24"/>
              </w:rPr>
              <w:t xml:space="preserve"> 2.</w:t>
            </w:r>
            <w:r w:rsidR="00502614">
              <w:rPr>
                <w:sz w:val="24"/>
              </w:rPr>
              <w:t> </w:t>
            </w:r>
            <w:r w:rsidRPr="00DC6678">
              <w:rPr>
                <w:sz w:val="24"/>
              </w:rPr>
              <w:t>rindkopa "Papildus nepieciešams finansējums četrām tiesneša amata vietām un sešām darbinieku amata vietām apelācijas instancē."</w:t>
            </w:r>
          </w:p>
          <w:p w:rsidRPr="00DC6678" w:rsidR="00431258" w:rsidP="00431258" w:rsidRDefault="00431258" w14:paraId="4FD9025E" w14:textId="341C9AA1">
            <w:pPr>
              <w:jc w:val="both"/>
              <w:rPr>
                <w:sz w:val="24"/>
              </w:rPr>
            </w:pPr>
            <w:r w:rsidRPr="00DC6678">
              <w:rPr>
                <w:sz w:val="24"/>
              </w:rPr>
              <w:t>Konceptuālā ziņojuma 3.</w:t>
            </w:r>
            <w:r w:rsidR="00502614">
              <w:rPr>
                <w:sz w:val="24"/>
              </w:rPr>
              <w:t> </w:t>
            </w:r>
            <w:r w:rsidRPr="00DC6678">
              <w:rPr>
                <w:sz w:val="24"/>
              </w:rPr>
              <w:t xml:space="preserve">pielikums daļā par atlīdzību.  </w:t>
            </w:r>
          </w:p>
          <w:p w:rsidRPr="00DC6678" w:rsidR="00BB4E78" w:rsidP="00431258" w:rsidRDefault="00BB4E78" w14:paraId="51E86220" w14:textId="7C64290E">
            <w:pPr>
              <w:pStyle w:val="naisf"/>
              <w:ind w:firstLine="0"/>
              <w:rPr>
                <w:szCs w:val="20"/>
              </w:rPr>
            </w:pPr>
          </w:p>
        </w:tc>
        <w:tc>
          <w:tcPr>
            <w:tcW w:w="4394" w:type="dxa"/>
            <w:gridSpan w:val="2"/>
            <w:tcBorders>
              <w:top w:val="single" w:color="000000" w:sz="6" w:space="0"/>
              <w:left w:val="single" w:color="000000" w:sz="6" w:space="0"/>
              <w:bottom w:val="single" w:color="000000" w:sz="6" w:space="0"/>
              <w:right w:val="single" w:color="000000" w:sz="6" w:space="0"/>
            </w:tcBorders>
          </w:tcPr>
          <w:p w:rsidRPr="00DC6678" w:rsidR="00431258" w:rsidP="00431258" w:rsidRDefault="00431258" w14:paraId="5B5A6FEA" w14:textId="77777777">
            <w:pPr>
              <w:jc w:val="both"/>
              <w:rPr>
                <w:sz w:val="24"/>
              </w:rPr>
            </w:pPr>
            <w:r w:rsidRPr="00DC6678">
              <w:rPr>
                <w:sz w:val="24"/>
              </w:rPr>
              <w:t xml:space="preserve">Atzīmējam, ka konceptuālajā ziņojumā ir norādīts, ka ir nepieciešamas 10 jaunas amata vietas (četras tiesnešu amata vietas un sešas darbinieku amata vietas apelācijas instancē). Vēršam uzmanību, ka nav atbalstāma amatu vietu skaita palielināšana un aicinām TM izvērtēt un nepalielināt kopējo resora amatu vietu skaitu, kā arī samazināt papildu nepieciešamo finansējumu amatu vietu nodrošināšanai atbilstoši  Ministru kabineta  2017.gada  28.augusta sēdes prot. Nr.41 1.§  42.punktā noteiktajam, precizējot konceptuālā ziņojuma 3.pielikumu un MK rīkojuma projekta 4.punktu. </w:t>
            </w:r>
          </w:p>
          <w:p w:rsidRPr="00DC6678" w:rsidR="00BB4E78" w:rsidP="00431258" w:rsidRDefault="00BB4E78" w14:paraId="5B0937E5" w14:textId="438264DC">
            <w:pPr>
              <w:pStyle w:val="naisf"/>
              <w:ind w:firstLine="0"/>
              <w:rPr>
                <w:szCs w:val="20"/>
              </w:rPr>
            </w:pPr>
          </w:p>
        </w:tc>
        <w:tc>
          <w:tcPr>
            <w:tcW w:w="2835" w:type="dxa"/>
            <w:tcBorders>
              <w:top w:val="single" w:color="000000" w:sz="6" w:space="0"/>
              <w:left w:val="single" w:color="000000" w:sz="6" w:space="0"/>
              <w:bottom w:val="single" w:color="000000" w:sz="6" w:space="0"/>
              <w:right w:val="single" w:color="000000" w:sz="6" w:space="0"/>
            </w:tcBorders>
          </w:tcPr>
          <w:p w:rsidRPr="00DC6678" w:rsidR="00BB4E78" w:rsidP="00431258" w:rsidRDefault="00431258" w14:paraId="0BB236F8" w14:textId="21834744">
            <w:pPr>
              <w:pStyle w:val="naisf"/>
              <w:ind w:firstLine="0"/>
              <w:jc w:val="center"/>
              <w:rPr>
                <w:b/>
                <w:szCs w:val="20"/>
              </w:rPr>
            </w:pPr>
            <w:r w:rsidRPr="00DC6678">
              <w:rPr>
                <w:b/>
                <w:szCs w:val="20"/>
              </w:rPr>
              <w:t>Ņemts vērā</w:t>
            </w:r>
          </w:p>
        </w:tc>
        <w:tc>
          <w:tcPr>
            <w:tcW w:w="3260" w:type="dxa"/>
            <w:gridSpan w:val="3"/>
            <w:tcBorders>
              <w:top w:val="single" w:color="auto" w:sz="4" w:space="0"/>
              <w:left w:val="single" w:color="auto" w:sz="4" w:space="0"/>
              <w:bottom w:val="single" w:color="auto" w:sz="4" w:space="0"/>
            </w:tcBorders>
          </w:tcPr>
          <w:p w:rsidRPr="00DC6678" w:rsidR="00431258" w:rsidP="00431258" w:rsidRDefault="00431258" w14:paraId="18FC0B54" w14:textId="2A1EBA9C">
            <w:pPr>
              <w:jc w:val="both"/>
              <w:rPr>
                <w:b/>
                <w:sz w:val="24"/>
                <w:u w:val="single"/>
              </w:rPr>
            </w:pPr>
            <w:r w:rsidRPr="00DC6678">
              <w:rPr>
                <w:sz w:val="24"/>
              </w:rPr>
              <w:t>Konceptuālā ziņojuma 4.</w:t>
            </w:r>
            <w:r w:rsidR="00502614">
              <w:rPr>
                <w:sz w:val="24"/>
              </w:rPr>
              <w:t> </w:t>
            </w:r>
            <w:r w:rsidRPr="00DC6678">
              <w:rPr>
                <w:sz w:val="24"/>
              </w:rPr>
              <w:t>sada</w:t>
            </w:r>
            <w:r w:rsidRPr="00DC6678" w:rsidR="00C63DED">
              <w:rPr>
                <w:sz w:val="24"/>
              </w:rPr>
              <w:t>ļā (2</w:t>
            </w:r>
            <w:r w:rsidR="008F5378">
              <w:rPr>
                <w:sz w:val="24"/>
              </w:rPr>
              <w:t>3</w:t>
            </w:r>
            <w:r w:rsidRPr="00DC6678" w:rsidR="00C63DED">
              <w:rPr>
                <w:sz w:val="24"/>
              </w:rPr>
              <w:t>.</w:t>
            </w:r>
            <w:r w:rsidR="00502614">
              <w:rPr>
                <w:sz w:val="24"/>
              </w:rPr>
              <w:t> </w:t>
            </w:r>
            <w:r w:rsidRPr="00DC6678" w:rsidR="00C63DED">
              <w:rPr>
                <w:sz w:val="24"/>
              </w:rPr>
              <w:t>lp</w:t>
            </w:r>
            <w:r w:rsidR="00502614">
              <w:rPr>
                <w:sz w:val="24"/>
              </w:rPr>
              <w:t>.</w:t>
            </w:r>
            <w:r w:rsidRPr="00DC6678" w:rsidR="00C63DED">
              <w:rPr>
                <w:sz w:val="24"/>
              </w:rPr>
              <w:t>)</w:t>
            </w:r>
            <w:r w:rsidRPr="00DC6678">
              <w:rPr>
                <w:sz w:val="24"/>
              </w:rPr>
              <w:t xml:space="preserve"> svītrots teksts "papildus nepieciešams finansējums četrām tiesneša amata vietām un sešām darbinieku amata vietām apelācijas instancē". </w:t>
            </w:r>
            <w:r w:rsidRPr="00DC6678" w:rsidR="00F51066">
              <w:rPr>
                <w:sz w:val="24"/>
              </w:rPr>
              <w:t xml:space="preserve">Minētajā rindkopā norādīts, ka </w:t>
            </w:r>
            <w:r w:rsidRPr="00DC6678" w:rsidR="00F51066">
              <w:rPr>
                <w:b/>
                <w:sz w:val="24"/>
                <w:u w:val="single"/>
              </w:rPr>
              <w:t>"</w:t>
            </w:r>
            <w:r w:rsidRPr="00DC6678" w:rsidR="00F51066">
              <w:rPr>
                <w:b/>
                <w:sz w:val="24"/>
                <w:szCs w:val="24"/>
                <w:u w:val="single"/>
              </w:rPr>
              <w:t xml:space="preserve">Apelācijas instancē specializētajai tiesai paredzēts izveidot 8 tiesneša amata vietas (četras no šobrīd vakantajām amata vietām, savukārt, četras amata vietas no šobrīd esošajām tiesneša amata vietām) un 12 tiesas darbinieku amata vietas (paredzam līdz gada beigām efektivitātes veicināšanas pasākumu ietvaros vēl </w:t>
            </w:r>
            <w:r w:rsidRPr="00DC6678" w:rsidR="00F51066">
              <w:rPr>
                <w:b/>
                <w:sz w:val="24"/>
                <w:szCs w:val="24"/>
                <w:u w:val="single"/>
              </w:rPr>
              <w:lastRenderedPageBreak/>
              <w:t>samazināt amata vietas, ko novirzīsim specializētās tiesas apelācijas instancei)."</w:t>
            </w:r>
          </w:p>
          <w:p w:rsidRPr="00DC6678" w:rsidR="00BB4E78" w:rsidP="00F51066" w:rsidRDefault="00431258" w14:paraId="4EF3755A" w14:textId="4AA3F14B">
            <w:pPr>
              <w:jc w:val="both"/>
            </w:pPr>
            <w:r w:rsidRPr="00DC6678">
              <w:rPr>
                <w:sz w:val="24"/>
              </w:rPr>
              <w:t>Konceptuālā ziņojuma 3.</w:t>
            </w:r>
            <w:r w:rsidR="00502614">
              <w:rPr>
                <w:sz w:val="24"/>
              </w:rPr>
              <w:t> </w:t>
            </w:r>
            <w:r w:rsidRPr="00DC6678">
              <w:rPr>
                <w:sz w:val="24"/>
              </w:rPr>
              <w:t xml:space="preserve">pielikumā svītrota informācija par atlīdzību.  </w:t>
            </w:r>
          </w:p>
        </w:tc>
      </w:tr>
      <w:tr w:rsidRPr="00DC6678" w:rsidR="00431258" w:rsidTr="001D2289" w14:paraId="20082D5F"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DC6678" w:rsidR="00431258" w:rsidP="004C1E85" w:rsidRDefault="00431258" w14:paraId="60550794" w14:textId="44B4D359">
            <w:pPr>
              <w:pStyle w:val="naisf"/>
              <w:ind w:firstLine="0"/>
              <w:rPr>
                <w:szCs w:val="20"/>
              </w:rPr>
            </w:pPr>
            <w:r w:rsidRPr="00DC6678">
              <w:rPr>
                <w:szCs w:val="20"/>
              </w:rPr>
              <w:lastRenderedPageBreak/>
              <w:t>3</w:t>
            </w:r>
            <w:r w:rsidRPr="00DC6678" w:rsidR="004C1E85">
              <w:rPr>
                <w:szCs w:val="20"/>
              </w:rPr>
              <w:t>.</w:t>
            </w:r>
          </w:p>
        </w:tc>
        <w:tc>
          <w:tcPr>
            <w:tcW w:w="2977" w:type="dxa"/>
            <w:gridSpan w:val="2"/>
            <w:tcBorders>
              <w:top w:val="single" w:color="000000" w:sz="6" w:space="0"/>
              <w:left w:val="single" w:color="000000" w:sz="6" w:space="0"/>
              <w:bottom w:val="single" w:color="000000" w:sz="6" w:space="0"/>
              <w:right w:val="single" w:color="000000" w:sz="6" w:space="0"/>
            </w:tcBorders>
          </w:tcPr>
          <w:p w:rsidRPr="00DC6678" w:rsidR="00431258" w:rsidP="00431258" w:rsidRDefault="00431258" w14:paraId="3910B4C6" w14:textId="3E813D04">
            <w:pPr>
              <w:pStyle w:val="naisf"/>
              <w:ind w:firstLine="0"/>
              <w:rPr>
                <w:szCs w:val="20"/>
              </w:rPr>
            </w:pPr>
            <w:r w:rsidRPr="00DC6678">
              <w:rPr>
                <w:szCs w:val="20"/>
              </w:rPr>
              <w:t>Konceptuālā ziņojuma  4.</w:t>
            </w:r>
            <w:r w:rsidR="00502614">
              <w:rPr>
                <w:szCs w:val="20"/>
              </w:rPr>
              <w:t> </w:t>
            </w:r>
            <w:r w:rsidRPr="00DC6678">
              <w:rPr>
                <w:szCs w:val="20"/>
              </w:rPr>
              <w:t>sadaļa</w:t>
            </w:r>
          </w:p>
        </w:tc>
        <w:tc>
          <w:tcPr>
            <w:tcW w:w="4394" w:type="dxa"/>
            <w:gridSpan w:val="2"/>
            <w:tcBorders>
              <w:top w:val="single" w:color="000000" w:sz="6" w:space="0"/>
              <w:left w:val="single" w:color="000000" w:sz="6" w:space="0"/>
              <w:bottom w:val="single" w:color="000000" w:sz="6" w:space="0"/>
              <w:right w:val="single" w:color="000000" w:sz="6" w:space="0"/>
            </w:tcBorders>
          </w:tcPr>
          <w:p w:rsidRPr="00DC6678" w:rsidR="00431258" w:rsidP="00F51066" w:rsidRDefault="00431258" w14:paraId="16F549EC" w14:textId="2A96F622">
            <w:pPr>
              <w:jc w:val="both"/>
              <w:rPr>
                <w:sz w:val="24"/>
              </w:rPr>
            </w:pPr>
            <w:r w:rsidRPr="00DC6678">
              <w:rPr>
                <w:sz w:val="24"/>
              </w:rPr>
              <w:t xml:space="preserve">Vienlaikus atzīmējam, ka no konceptuālā ziņojuma un tā 2. un 3.pielikuma sniegtās informācijas  nav saprotams, cik tiesnešu un darbinieku ir plānoti specializētas pirmās instances tiesā un specializētas kolēģijas apgabaltiesā, jo 2.pielikumā plānots papildu finansējums 37 darba vietu aprīkojuma nodrošināšanai, bet  3.pielikumā ir vēl papildu 20 darba vietu aprīkojuma nodrošināšanai, kā arī  konceptuālā ziņojuma 4.sadaļā “Ietekme uz valsts budžetu”  nav sniegta precīza informācija par tiesnešu un darbinieku amatu vietām. </w:t>
            </w:r>
          </w:p>
          <w:p w:rsidRPr="00DC6678" w:rsidR="00431258" w:rsidP="00431258" w:rsidRDefault="00431258" w14:paraId="6F8613B6" w14:textId="3FD985F8">
            <w:pPr>
              <w:pStyle w:val="naisf"/>
              <w:spacing w:before="0" w:after="0"/>
              <w:ind w:firstLine="0"/>
              <w:rPr>
                <w:szCs w:val="20"/>
              </w:rPr>
            </w:pPr>
          </w:p>
        </w:tc>
        <w:tc>
          <w:tcPr>
            <w:tcW w:w="2835" w:type="dxa"/>
            <w:tcBorders>
              <w:top w:val="single" w:color="000000" w:sz="6" w:space="0"/>
              <w:left w:val="single" w:color="000000" w:sz="6" w:space="0"/>
              <w:bottom w:val="single" w:color="000000" w:sz="6" w:space="0"/>
              <w:right w:val="single" w:color="000000" w:sz="6" w:space="0"/>
            </w:tcBorders>
          </w:tcPr>
          <w:p w:rsidRPr="00DC6678" w:rsidR="00431258" w:rsidP="00431258" w:rsidRDefault="00431258" w14:paraId="05AF2B3A" w14:textId="77777777">
            <w:pPr>
              <w:pStyle w:val="naisf"/>
              <w:ind w:firstLine="0"/>
              <w:jc w:val="center"/>
              <w:rPr>
                <w:b/>
                <w:szCs w:val="20"/>
              </w:rPr>
            </w:pPr>
            <w:r w:rsidRPr="00DC6678">
              <w:rPr>
                <w:b/>
                <w:szCs w:val="20"/>
              </w:rPr>
              <w:t>Ņemts vērā</w:t>
            </w:r>
          </w:p>
        </w:tc>
        <w:tc>
          <w:tcPr>
            <w:tcW w:w="3260" w:type="dxa"/>
            <w:gridSpan w:val="3"/>
            <w:tcBorders>
              <w:top w:val="single" w:color="auto" w:sz="4" w:space="0"/>
              <w:left w:val="single" w:color="auto" w:sz="4" w:space="0"/>
              <w:bottom w:val="single" w:color="auto" w:sz="4" w:space="0"/>
            </w:tcBorders>
          </w:tcPr>
          <w:p w:rsidRPr="00DC6678" w:rsidR="00F51066" w:rsidP="00F51066" w:rsidRDefault="00431258" w14:paraId="26AF54E3" w14:textId="5BD0F7DE">
            <w:pPr>
              <w:jc w:val="both"/>
              <w:rPr>
                <w:b/>
                <w:sz w:val="24"/>
                <w:u w:val="single"/>
              </w:rPr>
            </w:pPr>
            <w:r w:rsidRPr="00DC6678">
              <w:rPr>
                <w:sz w:val="24"/>
              </w:rPr>
              <w:t>Precizēt</w:t>
            </w:r>
            <w:r w:rsidR="00502614">
              <w:rPr>
                <w:sz w:val="24"/>
              </w:rPr>
              <w:t>a</w:t>
            </w:r>
            <w:r w:rsidRPr="00DC6678">
              <w:rPr>
                <w:sz w:val="24"/>
              </w:rPr>
              <w:t xml:space="preserve"> konceptuālā ziņojuma 4.</w:t>
            </w:r>
            <w:r w:rsidR="00502614">
              <w:rPr>
                <w:sz w:val="24"/>
              </w:rPr>
              <w:t> </w:t>
            </w:r>
            <w:r w:rsidRPr="00DC6678">
              <w:rPr>
                <w:sz w:val="24"/>
              </w:rPr>
              <w:t xml:space="preserve">sadaļa </w:t>
            </w:r>
            <w:r w:rsidRPr="00DC6678" w:rsidR="00C63DED">
              <w:rPr>
                <w:sz w:val="24"/>
              </w:rPr>
              <w:t>(2</w:t>
            </w:r>
            <w:r w:rsidR="008F5378">
              <w:rPr>
                <w:sz w:val="24"/>
              </w:rPr>
              <w:t>3</w:t>
            </w:r>
            <w:r w:rsidRPr="00DC6678" w:rsidR="00C63DED">
              <w:rPr>
                <w:sz w:val="24"/>
              </w:rPr>
              <w:t>.</w:t>
            </w:r>
            <w:r w:rsidR="00502614">
              <w:rPr>
                <w:sz w:val="24"/>
              </w:rPr>
              <w:t> </w:t>
            </w:r>
            <w:r w:rsidRPr="00DC6678" w:rsidR="00C63DED">
              <w:rPr>
                <w:sz w:val="24"/>
              </w:rPr>
              <w:t>lp</w:t>
            </w:r>
            <w:r w:rsidR="00502614">
              <w:rPr>
                <w:sz w:val="24"/>
              </w:rPr>
              <w:t>.</w:t>
            </w:r>
            <w:r w:rsidRPr="00DC6678" w:rsidR="00C63DED">
              <w:rPr>
                <w:sz w:val="24"/>
              </w:rPr>
              <w:t>)</w:t>
            </w:r>
            <w:r w:rsidR="002640DF">
              <w:rPr>
                <w:sz w:val="24"/>
              </w:rPr>
              <w:t>,</w:t>
            </w:r>
            <w:r w:rsidRPr="00DC6678" w:rsidR="00C63DED">
              <w:rPr>
                <w:sz w:val="24"/>
              </w:rPr>
              <w:t xml:space="preserve"> </w:t>
            </w:r>
            <w:r w:rsidRPr="00DC6678">
              <w:rPr>
                <w:sz w:val="24"/>
              </w:rPr>
              <w:t xml:space="preserve">norādot, ka </w:t>
            </w:r>
            <w:r w:rsidRPr="00DC6678">
              <w:rPr>
                <w:b/>
                <w:sz w:val="24"/>
                <w:u w:val="single"/>
              </w:rPr>
              <w:t>"</w:t>
            </w:r>
            <w:r w:rsidRPr="00DC6678" w:rsidR="00F51066">
              <w:rPr>
                <w:b/>
                <w:sz w:val="24"/>
                <w:u w:val="single"/>
              </w:rPr>
              <w:t>Specializētajā tiesā pirmajā instancē paredzēts izveidot 10 tiesneša amata vietas un 27 tiesas darbinieka amata vietas (šobrīd vakantas 10 tiesnešu amata vietas un 22 darbinieku amata vietas, piecas darbinieku amata vietas plānots novirzīt specializētās tiesas pirmajai instancei, ņemot vērā līdz gada beigām efektivitātes veicināšanas pasākumu ietvaros samazinātās amata vietas).</w:t>
            </w:r>
          </w:p>
          <w:p w:rsidRPr="00DC6678" w:rsidR="00F51066" w:rsidP="00F51066" w:rsidRDefault="00F51066" w14:paraId="2F5847EE" w14:textId="07ECF54C">
            <w:pPr>
              <w:jc w:val="both"/>
              <w:rPr>
                <w:b/>
                <w:sz w:val="24"/>
                <w:u w:val="single"/>
              </w:rPr>
            </w:pPr>
            <w:r w:rsidRPr="00DC6678">
              <w:rPr>
                <w:sz w:val="24"/>
              </w:rPr>
              <w:tab/>
            </w:r>
            <w:r w:rsidRPr="00DC6678">
              <w:rPr>
                <w:b/>
                <w:sz w:val="24"/>
                <w:u w:val="single"/>
              </w:rPr>
              <w:t xml:space="preserve">Apelācijas instancē specializētajai tiesai paredzēts izveidot 8 tiesneša amata vietas (četras no šobrīd vakantajām amata vietām, savukārt, četras amata vietas no šobrīd esošajām tiesneša amata vietām) un 12 tiesas darbinieku amata vietas </w:t>
            </w:r>
            <w:r w:rsidRPr="00DC6678">
              <w:rPr>
                <w:b/>
                <w:sz w:val="24"/>
                <w:u w:val="single"/>
              </w:rPr>
              <w:lastRenderedPageBreak/>
              <w:t>(paredzam līdz gada beigām efektivitātes veicināšanas pasākumu ietvaros vēl samazināt amata vietas, ko novirzīsim specializētās tiesas apelācijas instancei).</w:t>
            </w:r>
          </w:p>
          <w:p w:rsidRPr="00DC6678" w:rsidR="00431258" w:rsidP="00F51066" w:rsidRDefault="00F51066" w14:paraId="267CE273" w14:textId="23AE11A7">
            <w:pPr>
              <w:jc w:val="both"/>
            </w:pPr>
            <w:r w:rsidRPr="00DC6678">
              <w:rPr>
                <w:sz w:val="24"/>
              </w:rPr>
              <w:t>Precizēts Konceptuālā ziņojuma 2. un 3.</w:t>
            </w:r>
            <w:r w:rsidR="002640DF">
              <w:rPr>
                <w:sz w:val="24"/>
              </w:rPr>
              <w:t> </w:t>
            </w:r>
            <w:r w:rsidRPr="00DC6678">
              <w:rPr>
                <w:sz w:val="24"/>
              </w:rPr>
              <w:t>pielikums.</w:t>
            </w:r>
          </w:p>
        </w:tc>
      </w:tr>
      <w:tr w:rsidRPr="00DC6678" w:rsidR="00431258" w:rsidTr="001D2289" w14:paraId="2F43DA3F"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DC6678" w:rsidR="00431258" w:rsidP="004C1E85" w:rsidRDefault="00431258" w14:paraId="74C155F2" w14:textId="681CC4E3">
            <w:pPr>
              <w:pStyle w:val="naisf"/>
              <w:ind w:firstLine="0"/>
            </w:pPr>
            <w:r w:rsidRPr="00DC6678">
              <w:lastRenderedPageBreak/>
              <w:t>4</w:t>
            </w:r>
            <w:r w:rsidRPr="00DC6678" w:rsidR="004C1E85">
              <w:t>.</w:t>
            </w:r>
          </w:p>
        </w:tc>
        <w:tc>
          <w:tcPr>
            <w:tcW w:w="2977" w:type="dxa"/>
            <w:gridSpan w:val="2"/>
            <w:tcBorders>
              <w:top w:val="single" w:color="000000" w:sz="6" w:space="0"/>
              <w:left w:val="single" w:color="000000" w:sz="6" w:space="0"/>
              <w:bottom w:val="single" w:color="000000" w:sz="6" w:space="0"/>
              <w:right w:val="single" w:color="000000" w:sz="6" w:space="0"/>
            </w:tcBorders>
          </w:tcPr>
          <w:p w:rsidRPr="00DC6678" w:rsidR="00431258" w:rsidP="00431258" w:rsidRDefault="00431258" w14:paraId="1CCD3A83" w14:textId="288B1D68">
            <w:pPr>
              <w:pStyle w:val="Sarakstarindkopa"/>
              <w:tabs>
                <w:tab w:val="left" w:pos="3255"/>
              </w:tabs>
              <w:ind w:left="0" w:firstLine="709"/>
              <w:jc w:val="both"/>
            </w:pPr>
            <w:r w:rsidRPr="00DC6678">
              <w:t>Ministru kabineta rīkojuma projekta 3.</w:t>
            </w:r>
            <w:r w:rsidR="002640DF">
              <w:t> </w:t>
            </w:r>
            <w:r w:rsidRPr="00DC6678">
              <w:t>punkts "3. Tieslietu ministrijai līdz 2019. gada 15. augustam izstrādāt un tieslietu ministram normatīvajos aktos noteiktā kārtībā iesniegt izskatīšanai Ministru kabinetā atbalstītā risinājuma īstenošanai nepieciešamos normatīvos aktus."</w:t>
            </w:r>
          </w:p>
          <w:p w:rsidRPr="00DC6678" w:rsidR="00431258" w:rsidP="00431258" w:rsidRDefault="00431258" w14:paraId="084A6BDD" w14:textId="77777777">
            <w:pPr>
              <w:pStyle w:val="Sarakstarindkopa"/>
              <w:tabs>
                <w:tab w:val="left" w:pos="3255"/>
              </w:tabs>
              <w:ind w:left="0" w:firstLine="709"/>
              <w:jc w:val="both"/>
            </w:pPr>
          </w:p>
          <w:p w:rsidRPr="00DC6678" w:rsidR="00431258" w:rsidP="00431258" w:rsidRDefault="00431258" w14:paraId="380B2D36" w14:textId="76F00F6B">
            <w:pPr>
              <w:pStyle w:val="naisf"/>
              <w:ind w:firstLine="0"/>
            </w:pPr>
          </w:p>
        </w:tc>
        <w:tc>
          <w:tcPr>
            <w:tcW w:w="4394" w:type="dxa"/>
            <w:gridSpan w:val="2"/>
            <w:tcBorders>
              <w:top w:val="single" w:color="000000" w:sz="6" w:space="0"/>
              <w:left w:val="single" w:color="000000" w:sz="6" w:space="0"/>
              <w:bottom w:val="single" w:color="000000" w:sz="6" w:space="0"/>
              <w:right w:val="single" w:color="000000" w:sz="6" w:space="0"/>
            </w:tcBorders>
          </w:tcPr>
          <w:p w:rsidRPr="00DC6678" w:rsidR="00431258" w:rsidP="00F51066" w:rsidRDefault="00431258" w14:paraId="1FD233AE" w14:textId="310743AA">
            <w:pPr>
              <w:jc w:val="both"/>
            </w:pPr>
            <w:r w:rsidRPr="00DC6678">
              <w:rPr>
                <w:color w:val="000000"/>
                <w:sz w:val="24"/>
                <w:szCs w:val="24"/>
              </w:rPr>
              <w:t xml:space="preserve">4. Atbilstoši </w:t>
            </w:r>
            <w:r w:rsidRPr="00DC6678">
              <w:rPr>
                <w:sz w:val="24"/>
                <w:szCs w:val="24"/>
              </w:rPr>
              <w:t xml:space="preserve">MK rīkojuma projekta 3.punktā noteiktajam TM līdz 2019.gada 15.augustam jāizstrādā un tieslietu ministram normatīvajos aktos noteiktā kārtībā jāiesniedz izskatīšanai Ministru kabinetā atbalstītā risinājuma īstenošanai nepieciešamos normatīvos aktus. Konceptuālā ziņojuma 1.pielikumā sniegta informācija, ka TM iesniegs Saeimas Juridiskajā komisijā priekšlikumus grozījumiem likumā "Par tiesu varu", kas paredz specializētas tiesas izveidi un tās darbības uzsākšanu 2021.gada 1.janvārī, kā arī priekšlikumus grozījumiem Civilprocesa likumā un Kriminālprocesa likumā, nosakot specializētas tiesas kompetenci.  Saskaņā ar  Ministru kabineta 2019.gada 20.marta rīkojumu Nr.116 “Par likumprojekta "Par vidēja termiņa budžeta ietvaru 2020., 2021. un 2022. gadam" un likumprojekta "Par valsts budžetu 2020. gadam" sagatavošanas grafiku” jautājumu  par valsts budžeta prioritārajiem pasākumiem 2020., 2021. un 2022.gadam </w:t>
            </w:r>
            <w:r w:rsidRPr="00DC6678">
              <w:rPr>
                <w:sz w:val="24"/>
                <w:szCs w:val="24"/>
              </w:rPr>
              <w:lastRenderedPageBreak/>
              <w:t xml:space="preserve">plānots izskatīt Ministru kabinetā 2019.gada 23.augustā, līdz ar to atzīmējam, ka TM plānotajā termiņā līdz 2019.gada 15.augustam Finanšu ministrija nevarēs atbalstīt tādu likumprojekta normu virzīšanu, kuras var netikt nodrošinātas nepietiekamā finansējuma dēļ. Līdz ar to aicinām TM precizēt MK rīkojuma projekta 3.punktā noteikto termiņu. </w:t>
            </w:r>
          </w:p>
        </w:tc>
        <w:tc>
          <w:tcPr>
            <w:tcW w:w="2835" w:type="dxa"/>
            <w:tcBorders>
              <w:top w:val="single" w:color="000000" w:sz="6" w:space="0"/>
              <w:left w:val="single" w:color="000000" w:sz="6" w:space="0"/>
              <w:bottom w:val="single" w:color="000000" w:sz="6" w:space="0"/>
              <w:right w:val="single" w:color="000000" w:sz="6" w:space="0"/>
            </w:tcBorders>
          </w:tcPr>
          <w:p w:rsidRPr="00DC6678" w:rsidR="00431258" w:rsidP="00431258" w:rsidRDefault="00431258" w14:paraId="5E15637D" w14:textId="77777777">
            <w:pPr>
              <w:pStyle w:val="naisf"/>
              <w:ind w:firstLine="0"/>
              <w:rPr>
                <w:b/>
              </w:rPr>
            </w:pPr>
            <w:r w:rsidRPr="00DC6678">
              <w:rPr>
                <w:b/>
              </w:rPr>
              <w:lastRenderedPageBreak/>
              <w:t>Ņemts vērā</w:t>
            </w:r>
          </w:p>
        </w:tc>
        <w:tc>
          <w:tcPr>
            <w:tcW w:w="3260" w:type="dxa"/>
            <w:gridSpan w:val="3"/>
            <w:tcBorders>
              <w:top w:val="single" w:color="auto" w:sz="4" w:space="0"/>
              <w:left w:val="single" w:color="auto" w:sz="4" w:space="0"/>
              <w:bottom w:val="single" w:color="auto" w:sz="4" w:space="0"/>
            </w:tcBorders>
          </w:tcPr>
          <w:p w:rsidRPr="00DC6678" w:rsidR="00431258" w:rsidP="00431258" w:rsidRDefault="00431258" w14:paraId="05E97E1F" w14:textId="7BF3EC7B">
            <w:pPr>
              <w:pStyle w:val="Sarakstarindkopa"/>
              <w:tabs>
                <w:tab w:val="left" w:pos="3255"/>
              </w:tabs>
              <w:ind w:left="0" w:firstLine="709"/>
              <w:jc w:val="both"/>
            </w:pPr>
            <w:r w:rsidRPr="00DC6678">
              <w:t>Ministru kabineta rīkojuma projekta 3.</w:t>
            </w:r>
            <w:r w:rsidR="002640DF">
              <w:t> </w:t>
            </w:r>
            <w:r w:rsidRPr="00DC6678">
              <w:t xml:space="preserve">punkts "3. Tieslietu ministrijai līdz 2019. gada </w:t>
            </w:r>
            <w:r w:rsidRPr="00DC6678" w:rsidR="00C07214">
              <w:rPr>
                <w:b/>
                <w:u w:val="single"/>
              </w:rPr>
              <w:t>26</w:t>
            </w:r>
            <w:r w:rsidRPr="00DC6678">
              <w:rPr>
                <w:b/>
                <w:u w:val="single"/>
              </w:rPr>
              <w:t>.</w:t>
            </w:r>
            <w:r w:rsidRPr="00DC6678">
              <w:t> augustam izstrādāt un tieslietu ministram normatīvajos aktos noteiktā kārtībā iesniegt izskatīšanai Ministru kabinetā atbalstītā risinājuma īstenošanai nepieciešamos normatīvos aktus."</w:t>
            </w:r>
          </w:p>
          <w:p w:rsidRPr="00DC6678" w:rsidR="00431258" w:rsidP="00431258" w:rsidRDefault="00431258" w14:paraId="7596A4F9" w14:textId="746CA6D1">
            <w:pPr>
              <w:pStyle w:val="naisf"/>
              <w:ind w:firstLine="0"/>
            </w:pPr>
          </w:p>
        </w:tc>
      </w:tr>
      <w:tr w:rsidRPr="00DC6678" w:rsidR="00431258" w:rsidTr="001D2289" w14:paraId="16C65748"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DC6678" w:rsidR="00431258" w:rsidP="004C1E85" w:rsidRDefault="00431258" w14:paraId="59186B0B" w14:textId="32BA2436">
            <w:pPr>
              <w:pStyle w:val="naisf"/>
              <w:ind w:firstLine="0"/>
            </w:pPr>
            <w:r w:rsidRPr="00DC6678">
              <w:t>5</w:t>
            </w:r>
            <w:r w:rsidRPr="00DC6678" w:rsidR="004C1E85">
              <w:t>.</w:t>
            </w:r>
          </w:p>
        </w:tc>
        <w:tc>
          <w:tcPr>
            <w:tcW w:w="2977" w:type="dxa"/>
            <w:gridSpan w:val="2"/>
            <w:tcBorders>
              <w:top w:val="single" w:color="000000" w:sz="6" w:space="0"/>
              <w:left w:val="single" w:color="000000" w:sz="6" w:space="0"/>
              <w:bottom w:val="single" w:color="000000" w:sz="6" w:space="0"/>
              <w:right w:val="single" w:color="000000" w:sz="6" w:space="0"/>
            </w:tcBorders>
          </w:tcPr>
          <w:p w:rsidRPr="00DC6678" w:rsidR="00431258" w:rsidP="00431258" w:rsidRDefault="00431258" w14:paraId="18CF5BC4" w14:textId="7F0E90AD">
            <w:pPr>
              <w:pStyle w:val="naisf"/>
              <w:ind w:firstLine="0"/>
            </w:pPr>
            <w:r w:rsidRPr="00DC6678">
              <w:t>Konceptuālā ziņojuma  4.</w:t>
            </w:r>
            <w:r w:rsidR="002640DF">
              <w:t> </w:t>
            </w:r>
            <w:r w:rsidRPr="00DC6678">
              <w:t>sadaļas  3.</w:t>
            </w:r>
            <w:r w:rsidR="002640DF">
              <w:t> </w:t>
            </w:r>
            <w:r w:rsidRPr="00DC6678">
              <w:t>rindkopa "</w:t>
            </w:r>
            <w:r w:rsidRPr="00DC6678">
              <w:rPr>
                <w:lang w:eastAsia="en-US"/>
              </w:rPr>
              <w:t xml:space="preserve">Nepieciešamās profesionālās apmācības specializētās tiesas tiesnešiem un darbiniekiem </w:t>
            </w:r>
            <w:r w:rsidRPr="00DC6678">
              <w:rPr>
                <w:u w:val="single"/>
                <w:lang w:eastAsia="en-US"/>
              </w:rPr>
              <w:t>būtu iespējams</w:t>
            </w:r>
            <w:r w:rsidRPr="00DC6678">
              <w:rPr>
                <w:lang w:eastAsia="en-US"/>
              </w:rPr>
              <w:t xml:space="preserve"> nodrošināt Eiropas Sociālā fonda projekta "Justīcija attīstībai" ietvaros.</w:t>
            </w:r>
            <w:r w:rsidR="002640DF">
              <w:rPr>
                <w:lang w:eastAsia="en-US"/>
              </w:rPr>
              <w:t>"</w:t>
            </w:r>
          </w:p>
        </w:tc>
        <w:tc>
          <w:tcPr>
            <w:tcW w:w="4394" w:type="dxa"/>
            <w:gridSpan w:val="2"/>
            <w:tcBorders>
              <w:top w:val="single" w:color="000000" w:sz="6" w:space="0"/>
              <w:left w:val="single" w:color="000000" w:sz="6" w:space="0"/>
              <w:bottom w:val="single" w:color="000000" w:sz="6" w:space="0"/>
              <w:right w:val="single" w:color="000000" w:sz="6" w:space="0"/>
            </w:tcBorders>
          </w:tcPr>
          <w:p w:rsidRPr="00DC6678" w:rsidR="00431258" w:rsidP="00431258" w:rsidRDefault="00431258" w14:paraId="17B19625" w14:textId="77777777">
            <w:pPr>
              <w:ind w:firstLine="720"/>
              <w:jc w:val="both"/>
              <w:rPr>
                <w:sz w:val="24"/>
                <w:szCs w:val="24"/>
              </w:rPr>
            </w:pPr>
            <w:r w:rsidRPr="00DC6678">
              <w:rPr>
                <w:sz w:val="24"/>
                <w:szCs w:val="24"/>
              </w:rPr>
              <w:t>Lūdzam aizstāt konceptuālā ziņojuma 4.sadaļas “Ietekme uz valsts budžetu” trešajā rindkopā vārdus “būtu iespējams” ar vārdiem “tiks vērtēta iespēja”.</w:t>
            </w:r>
          </w:p>
          <w:p w:rsidRPr="00DC6678" w:rsidR="00431258" w:rsidP="004B44D0" w:rsidRDefault="00431258" w14:paraId="66002EB7" w14:textId="21C7E973">
            <w:pPr>
              <w:ind w:firstLine="720"/>
              <w:jc w:val="both"/>
              <w:rPr>
                <w:sz w:val="24"/>
                <w:szCs w:val="24"/>
              </w:rPr>
            </w:pPr>
            <w:r w:rsidRPr="00DC6678">
              <w:rPr>
                <w:sz w:val="24"/>
                <w:szCs w:val="24"/>
              </w:rPr>
              <w:t xml:space="preserve">Vēršam uzmanību, ka atbilstoši MK 2019.gada 23.aprīļa sēdē izskatītajā informatīvajā ziņojumā "Par Kohēzijas politikas Eiropas Savienības fondu investīciju aktualitātēm līdz 2018.gada 31.decembrim un 2019.gada februāra ikmēneša operatīvā informācija" piedāvātajai rīcībai un šīs sēdes protokola Nr.21 23.§ 6.punktā noteiktajam (lūgts ministrijām, t.sk. TM līdz 2019.gada 1.jūlijam iesniegt Finanšu ministrijā priekšlikumus par darbības programmas “Izaugsme un nodarbinātība” prioritāro virzienu attiecīgo fondu snieguma rezerves finansējuma izmantošanu), Finanšu ministrija apkopos atbildīgo iestāžu sniegtos priekšlikumus snieguma rezerves tālākai izmantošanai un līdz 2019.gada </w:t>
            </w:r>
            <w:r w:rsidRPr="00DC6678">
              <w:rPr>
                <w:sz w:val="24"/>
                <w:szCs w:val="24"/>
              </w:rPr>
              <w:lastRenderedPageBreak/>
              <w:t xml:space="preserve">30.septembrim iesniegs MK informatīvo ziņojumu snieguma rezerves finansējuma izlietojuma priekšlikumiem. Pieņemot MK lēmumus par snieguma rezerves izmantošanu, tiks izskatītas visas iespējas un ierobežojumi – primāri nepieciešamība mazināt </w:t>
            </w:r>
            <w:proofErr w:type="spellStart"/>
            <w:r w:rsidRPr="00DC6678">
              <w:rPr>
                <w:sz w:val="24"/>
                <w:szCs w:val="24"/>
              </w:rPr>
              <w:t>virssaistību</w:t>
            </w:r>
            <w:proofErr w:type="spellEnd"/>
            <w:r w:rsidRPr="00DC6678">
              <w:rPr>
                <w:sz w:val="24"/>
                <w:szCs w:val="24"/>
              </w:rPr>
              <w:t xml:space="preserve"> negatīvo ietekmi uz valsts budžetu, pieņemtie MK lēmumi par papildu finansējuma nepieciešamību, līdz šim veiktās investīcijas, </w:t>
            </w:r>
            <w:proofErr w:type="spellStart"/>
            <w:r w:rsidRPr="00DC6678">
              <w:rPr>
                <w:sz w:val="24"/>
                <w:szCs w:val="24"/>
              </w:rPr>
              <w:t>priekšfinansējot</w:t>
            </w:r>
            <w:proofErr w:type="spellEnd"/>
            <w:r w:rsidRPr="00DC6678">
              <w:rPr>
                <w:sz w:val="24"/>
                <w:szCs w:val="24"/>
              </w:rPr>
              <w:t xml:space="preserve"> snieguma rezerves finansējumu, finansējuma atlikumi, </w:t>
            </w:r>
            <w:r w:rsidRPr="00DC6678">
              <w:rPr>
                <w:sz w:val="24"/>
                <w:szCs w:val="24"/>
                <w:u w:val="single"/>
              </w:rPr>
              <w:t>identificētās nozaru papildu finansējuma nepieciešamības</w:t>
            </w:r>
            <w:r w:rsidRPr="00DC6678">
              <w:rPr>
                <w:sz w:val="24"/>
                <w:szCs w:val="24"/>
              </w:rPr>
              <w:t xml:space="preserve">, vienlaikus nodrošinot tematisko koncentrāciju, ievērojot Eiropas Komisijas lēmumu par snieguma ietvara izpildi. </w:t>
            </w:r>
          </w:p>
        </w:tc>
        <w:tc>
          <w:tcPr>
            <w:tcW w:w="2835" w:type="dxa"/>
            <w:tcBorders>
              <w:top w:val="single" w:color="000000" w:sz="6" w:space="0"/>
              <w:left w:val="single" w:color="000000" w:sz="6" w:space="0"/>
              <w:bottom w:val="single" w:color="000000" w:sz="6" w:space="0"/>
              <w:right w:val="single" w:color="000000" w:sz="6" w:space="0"/>
            </w:tcBorders>
          </w:tcPr>
          <w:p w:rsidRPr="00DC6678" w:rsidR="00431258" w:rsidP="00431258" w:rsidRDefault="00431258" w14:paraId="300D0B62" w14:textId="77777777">
            <w:pPr>
              <w:pStyle w:val="naisf"/>
              <w:ind w:firstLine="0"/>
              <w:rPr>
                <w:b/>
              </w:rPr>
            </w:pPr>
            <w:r w:rsidRPr="00DC6678">
              <w:rPr>
                <w:b/>
              </w:rPr>
              <w:lastRenderedPageBreak/>
              <w:t>Ņemts vērā</w:t>
            </w:r>
          </w:p>
        </w:tc>
        <w:tc>
          <w:tcPr>
            <w:tcW w:w="3260" w:type="dxa"/>
            <w:gridSpan w:val="3"/>
            <w:tcBorders>
              <w:top w:val="single" w:color="auto" w:sz="4" w:space="0"/>
              <w:left w:val="single" w:color="auto" w:sz="4" w:space="0"/>
              <w:bottom w:val="single" w:color="auto" w:sz="4" w:space="0"/>
            </w:tcBorders>
          </w:tcPr>
          <w:p w:rsidRPr="00DC6678" w:rsidR="00431258" w:rsidP="00431258" w:rsidRDefault="00431258" w14:paraId="7F7A6D76" w14:textId="4279F66B">
            <w:pPr>
              <w:pStyle w:val="naisf"/>
              <w:spacing w:before="0" w:after="0"/>
              <w:ind w:firstLine="0"/>
            </w:pPr>
            <w:r w:rsidRPr="00DC6678">
              <w:t>Konceptuālā ziņojuma 4.</w:t>
            </w:r>
            <w:r w:rsidR="002640DF">
              <w:t> </w:t>
            </w:r>
            <w:r w:rsidRPr="00DC6678">
              <w:t>sadaļas 3.</w:t>
            </w:r>
            <w:r w:rsidR="002640DF">
              <w:t> </w:t>
            </w:r>
            <w:r w:rsidRPr="00DC6678">
              <w:t>rindkopa</w:t>
            </w:r>
            <w:r w:rsidR="008F5378">
              <w:t xml:space="preserve"> (23. lp)</w:t>
            </w:r>
            <w:r w:rsidRPr="00DC6678">
              <w:t xml:space="preserve"> "</w:t>
            </w:r>
            <w:r w:rsidR="008978E7">
              <w:rPr>
                <w:b/>
                <w:u w:val="single"/>
                <w:lang w:eastAsia="en-US"/>
              </w:rPr>
              <w:t>T</w:t>
            </w:r>
            <w:r w:rsidRPr="00DC6678" w:rsidR="008978E7">
              <w:rPr>
                <w:b/>
                <w:u w:val="single"/>
                <w:lang w:eastAsia="en-US"/>
              </w:rPr>
              <w:t>iks vērtēta iespēja</w:t>
            </w:r>
            <w:r w:rsidRPr="00DC6678" w:rsidR="008978E7">
              <w:rPr>
                <w:b/>
                <w:lang w:eastAsia="en-US"/>
              </w:rPr>
              <w:t xml:space="preserve"> </w:t>
            </w:r>
            <w:r w:rsidR="008978E7">
              <w:rPr>
                <w:lang w:eastAsia="en-US"/>
              </w:rPr>
              <w:t>n</w:t>
            </w:r>
            <w:r w:rsidRPr="00DC6678">
              <w:rPr>
                <w:lang w:eastAsia="en-US"/>
              </w:rPr>
              <w:t>epieciešamās profesionālās apmācības specializētās tiesas tiesnešiem un darbiniekiem nodrošināt Eiropas Sociālā fonda projekta "Justīcija attīstībai" ietvaros.</w:t>
            </w:r>
            <w:r w:rsidR="002640DF">
              <w:rPr>
                <w:lang w:eastAsia="en-US"/>
              </w:rPr>
              <w:t>"</w:t>
            </w:r>
          </w:p>
        </w:tc>
      </w:tr>
      <w:tr w:rsidRPr="00DC6678" w:rsidR="00431258" w:rsidTr="001D2289" w14:paraId="7359972C"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DC6678" w:rsidR="00431258" w:rsidP="00C63DED" w:rsidRDefault="00C63DED" w14:paraId="520F321B" w14:textId="6DB8FDC5">
            <w:pPr>
              <w:pStyle w:val="naisf"/>
              <w:ind w:firstLine="59"/>
              <w:rPr>
                <w:szCs w:val="20"/>
              </w:rPr>
            </w:pPr>
            <w:bookmarkStart w:name="_Hlk11069449" w:id="1"/>
            <w:r w:rsidRPr="00DC6678">
              <w:rPr>
                <w:szCs w:val="20"/>
              </w:rPr>
              <w:t>6.</w:t>
            </w:r>
          </w:p>
        </w:tc>
        <w:tc>
          <w:tcPr>
            <w:tcW w:w="2977" w:type="dxa"/>
            <w:gridSpan w:val="2"/>
            <w:tcBorders>
              <w:top w:val="single" w:color="000000" w:sz="6" w:space="0"/>
              <w:left w:val="single" w:color="000000" w:sz="6" w:space="0"/>
              <w:bottom w:val="single" w:color="000000" w:sz="6" w:space="0"/>
              <w:right w:val="single" w:color="000000" w:sz="6" w:space="0"/>
            </w:tcBorders>
          </w:tcPr>
          <w:p w:rsidRPr="00DC6678" w:rsidR="00431258" w:rsidP="00431258" w:rsidRDefault="00C92FB8" w14:paraId="2C02248E" w14:textId="1A4BF209">
            <w:pPr>
              <w:pStyle w:val="naisf"/>
              <w:ind w:firstLine="0"/>
              <w:rPr>
                <w:szCs w:val="20"/>
              </w:rPr>
            </w:pPr>
            <w:r w:rsidRPr="00DC6678">
              <w:rPr>
                <w:szCs w:val="20"/>
              </w:rPr>
              <w:t>Konceptuāl</w:t>
            </w:r>
            <w:r w:rsidR="0042526C">
              <w:rPr>
                <w:szCs w:val="20"/>
              </w:rPr>
              <w:t>ais</w:t>
            </w:r>
            <w:r w:rsidRPr="00DC6678">
              <w:rPr>
                <w:szCs w:val="20"/>
              </w:rPr>
              <w:t xml:space="preserve"> ziņojum</w:t>
            </w:r>
            <w:r w:rsidR="0042526C">
              <w:rPr>
                <w:szCs w:val="20"/>
              </w:rPr>
              <w:t>s</w:t>
            </w:r>
            <w:r w:rsidRPr="00DC6678">
              <w:rPr>
                <w:szCs w:val="20"/>
              </w:rPr>
              <w:t xml:space="preserve"> kopumā </w:t>
            </w:r>
          </w:p>
        </w:tc>
        <w:tc>
          <w:tcPr>
            <w:tcW w:w="4394" w:type="dxa"/>
            <w:gridSpan w:val="2"/>
            <w:tcBorders>
              <w:top w:val="single" w:color="000000" w:sz="6" w:space="0"/>
              <w:left w:val="single" w:color="000000" w:sz="6" w:space="0"/>
              <w:bottom w:val="single" w:color="000000" w:sz="6" w:space="0"/>
              <w:right w:val="single" w:color="000000" w:sz="6" w:space="0"/>
            </w:tcBorders>
          </w:tcPr>
          <w:p w:rsidRPr="00DC6678" w:rsidR="00431258" w:rsidP="00431258" w:rsidRDefault="00C92FB8" w14:paraId="09687251" w14:textId="18FBF4EA">
            <w:pPr>
              <w:pStyle w:val="naisf"/>
              <w:spacing w:before="0" w:after="0"/>
              <w:ind w:firstLine="0"/>
              <w:rPr>
                <w:b/>
              </w:rPr>
            </w:pPr>
            <w:proofErr w:type="spellStart"/>
            <w:r w:rsidRPr="00DC6678">
              <w:rPr>
                <w:b/>
              </w:rPr>
              <w:t>Pārresoru</w:t>
            </w:r>
            <w:proofErr w:type="spellEnd"/>
            <w:r w:rsidRPr="00DC6678">
              <w:rPr>
                <w:b/>
              </w:rPr>
              <w:t xml:space="preserve"> koordinācijas centrs</w:t>
            </w:r>
          </w:p>
          <w:p w:rsidRPr="00DC6678" w:rsidR="00C92FB8" w:rsidP="00431258" w:rsidRDefault="00C92FB8" w14:paraId="14EF6FC1" w14:textId="77777777">
            <w:pPr>
              <w:pStyle w:val="naisf"/>
              <w:spacing w:before="0" w:after="0"/>
              <w:ind w:firstLine="0"/>
              <w:rPr>
                <w:b/>
              </w:rPr>
            </w:pPr>
          </w:p>
          <w:p w:rsidRPr="00DC6678" w:rsidR="00C92FB8" w:rsidP="00C92FB8" w:rsidRDefault="00C92FB8" w14:paraId="51DEBA0E" w14:textId="77777777">
            <w:pPr>
              <w:jc w:val="both"/>
              <w:rPr>
                <w:sz w:val="24"/>
                <w:szCs w:val="24"/>
              </w:rPr>
            </w:pPr>
            <w:r w:rsidRPr="00DC6678">
              <w:rPr>
                <w:sz w:val="24"/>
                <w:szCs w:val="24"/>
              </w:rPr>
              <w:t xml:space="preserve">Atzinīgi vērtējama ir TM iniciatīva sakārtot tiesas nolēmumu kvalitāti un ātrumu, standartizējot un koncentrējot tiesu resursus </w:t>
            </w:r>
            <w:proofErr w:type="spellStart"/>
            <w:r w:rsidRPr="00DC6678">
              <w:rPr>
                <w:sz w:val="24"/>
                <w:szCs w:val="24"/>
              </w:rPr>
              <w:t>komercstrīdu</w:t>
            </w:r>
            <w:proofErr w:type="spellEnd"/>
            <w:r w:rsidRPr="00DC6678">
              <w:rPr>
                <w:sz w:val="24"/>
                <w:szCs w:val="24"/>
              </w:rPr>
              <w:t xml:space="preserve">, korupcijas, ekonomikas un finanšu noziegumu jomā. Tomēr, uzskatām, ka, lai nodrošinātu Valdības deklarācijā un arīdzan koncepcijā minēto mērķu sasniegšanu, tajā ietvertais risinājums būtu papildināms ar izmeklēšanas un apsūdzības, tostarp procesa kvalitātes uzlabošanas jautājumiem, kas, kā pareizi norādīts koncepcijā, ietekmē gan lietas nolēmuma, gan lietas izskatīšanas termiņus. Tādēļ specializētas tiesas izveidošanas jautājums </w:t>
            </w:r>
            <w:r w:rsidRPr="00DC6678">
              <w:rPr>
                <w:sz w:val="24"/>
                <w:szCs w:val="24"/>
              </w:rPr>
              <w:lastRenderedPageBreak/>
              <w:t>ir nesaraujami saistīts ar procesuālajām izmeklēšanas darbībām, pierādījumu vākšanu un nostiprināšanu, izmeklētāju, prokuroru un tiesu ekspertu un tiesu savstarpēju sadarbību un darba kvalitātes celšanu.</w:t>
            </w:r>
          </w:p>
          <w:p w:rsidRPr="00DC6678" w:rsidR="00C92FB8" w:rsidP="00C92FB8" w:rsidRDefault="00C92FB8" w14:paraId="68947C4E" w14:textId="77777777">
            <w:pPr>
              <w:ind w:firstLine="709"/>
              <w:jc w:val="both"/>
              <w:rPr>
                <w:sz w:val="24"/>
                <w:szCs w:val="24"/>
              </w:rPr>
            </w:pPr>
            <w:r w:rsidRPr="00DC6678">
              <w:rPr>
                <w:sz w:val="24"/>
                <w:szCs w:val="24"/>
              </w:rPr>
              <w:t>Ņemot vērā minēto, aicinām papildināt koncepciju un tai pievienoto rīkojuma projektu ar priekšlikumiem izmeklēšanas un apsūdzības kvalitātes jautājumu risināšanai, ietverot arī IeM un citu institūciju iniciatīvas. Vienlaikus būtu papildināms rīkojuma projekta 2.punkts, paredzot arī Iekšlietu ministrijas, LR Ģenerālprokuratūras, KNAB un FM atbildību koncepcijas īstenošanā, ņemot vērā minēto institūciju atbildību jomas izmeklēšanas darbību veikšanā.</w:t>
            </w:r>
          </w:p>
          <w:p w:rsidRPr="00DC6678" w:rsidR="00C92FB8" w:rsidP="00431258" w:rsidRDefault="00C92FB8" w14:paraId="694120E4" w14:textId="06F63BCF">
            <w:pPr>
              <w:pStyle w:val="naisf"/>
              <w:spacing w:before="0" w:after="0"/>
              <w:ind w:firstLine="0"/>
              <w:rPr>
                <w:szCs w:val="20"/>
              </w:rPr>
            </w:pPr>
          </w:p>
        </w:tc>
        <w:tc>
          <w:tcPr>
            <w:tcW w:w="2835" w:type="dxa"/>
            <w:tcBorders>
              <w:top w:val="single" w:color="000000" w:sz="6" w:space="0"/>
              <w:left w:val="single" w:color="000000" w:sz="6" w:space="0"/>
              <w:bottom w:val="single" w:color="000000" w:sz="6" w:space="0"/>
              <w:right w:val="single" w:color="000000" w:sz="6" w:space="0"/>
            </w:tcBorders>
          </w:tcPr>
          <w:p w:rsidRPr="00DC6678" w:rsidR="00C92FB8" w:rsidP="00431258" w:rsidRDefault="00C92FB8" w14:paraId="54A5D05E" w14:textId="0A917379">
            <w:pPr>
              <w:pStyle w:val="naisf"/>
              <w:ind w:firstLine="0"/>
              <w:jc w:val="center"/>
              <w:rPr>
                <w:szCs w:val="20"/>
              </w:rPr>
            </w:pPr>
            <w:r w:rsidRPr="00DC6678">
              <w:rPr>
                <w:b/>
                <w:szCs w:val="20"/>
              </w:rPr>
              <w:lastRenderedPageBreak/>
              <w:t>Panākta vienošanās elektroniskās saskaņošanas ietvaros</w:t>
            </w:r>
            <w:r w:rsidRPr="00DC6678">
              <w:rPr>
                <w:szCs w:val="20"/>
              </w:rPr>
              <w:t xml:space="preserve"> </w:t>
            </w:r>
          </w:p>
          <w:p w:rsidRPr="00DC6678" w:rsidR="00431258" w:rsidP="00431258" w:rsidRDefault="00431258" w14:paraId="0297CBB5" w14:textId="25B42238">
            <w:pPr>
              <w:pStyle w:val="naisf"/>
              <w:ind w:firstLine="0"/>
              <w:jc w:val="center"/>
              <w:rPr>
                <w:b/>
                <w:szCs w:val="20"/>
              </w:rPr>
            </w:pPr>
          </w:p>
        </w:tc>
        <w:tc>
          <w:tcPr>
            <w:tcW w:w="3260" w:type="dxa"/>
            <w:gridSpan w:val="3"/>
            <w:tcBorders>
              <w:top w:val="single" w:color="auto" w:sz="4" w:space="0"/>
              <w:left w:val="single" w:color="auto" w:sz="4" w:space="0"/>
              <w:bottom w:val="single" w:color="auto" w:sz="4" w:space="0"/>
            </w:tcBorders>
          </w:tcPr>
          <w:p w:rsidRPr="00DC6678" w:rsidR="00C92FB8" w:rsidP="00431258" w:rsidRDefault="00C92FB8" w14:paraId="67164F88" w14:textId="5A82A823">
            <w:pPr>
              <w:pStyle w:val="naisf"/>
              <w:spacing w:before="0" w:after="0"/>
              <w:ind w:firstLine="0"/>
              <w:rPr>
                <w:b/>
                <w:bCs/>
                <w:u w:val="single"/>
              </w:rPr>
            </w:pPr>
            <w:r w:rsidRPr="00DC6678">
              <w:rPr>
                <w:szCs w:val="20"/>
              </w:rPr>
              <w:t>Konceptuālā ziņojuma 3.</w:t>
            </w:r>
            <w:r w:rsidR="002640DF">
              <w:rPr>
                <w:szCs w:val="20"/>
              </w:rPr>
              <w:t> </w:t>
            </w:r>
            <w:r w:rsidRPr="00DC6678">
              <w:rPr>
                <w:szCs w:val="20"/>
              </w:rPr>
              <w:t>sadaļa</w:t>
            </w:r>
            <w:r w:rsidRPr="00DC6678" w:rsidR="00C63DED">
              <w:rPr>
                <w:szCs w:val="20"/>
              </w:rPr>
              <w:t xml:space="preserve"> (21.</w:t>
            </w:r>
            <w:r w:rsidR="002640DF">
              <w:rPr>
                <w:szCs w:val="20"/>
              </w:rPr>
              <w:t> </w:t>
            </w:r>
            <w:r w:rsidR="008F5378">
              <w:rPr>
                <w:szCs w:val="20"/>
              </w:rPr>
              <w:t xml:space="preserve">- </w:t>
            </w:r>
            <w:r w:rsidRPr="00DC6678" w:rsidR="008F5378">
              <w:rPr>
                <w:szCs w:val="20"/>
              </w:rPr>
              <w:t>2</w:t>
            </w:r>
            <w:r w:rsidR="008F5378">
              <w:rPr>
                <w:szCs w:val="20"/>
              </w:rPr>
              <w:t>2</w:t>
            </w:r>
            <w:r w:rsidRPr="00DC6678" w:rsidR="008F5378">
              <w:rPr>
                <w:szCs w:val="20"/>
              </w:rPr>
              <w:t>.</w:t>
            </w:r>
            <w:r w:rsidR="008F5378">
              <w:rPr>
                <w:szCs w:val="20"/>
              </w:rPr>
              <w:t> </w:t>
            </w:r>
            <w:r w:rsidRPr="00DC6678" w:rsidR="008F5378">
              <w:rPr>
                <w:szCs w:val="20"/>
              </w:rPr>
              <w:t>lp</w:t>
            </w:r>
            <w:r w:rsidR="008F5378">
              <w:rPr>
                <w:szCs w:val="20"/>
              </w:rPr>
              <w:t>.</w:t>
            </w:r>
            <w:r w:rsidRPr="00DC6678" w:rsidR="00C63DED">
              <w:rPr>
                <w:szCs w:val="20"/>
              </w:rPr>
              <w:t>)</w:t>
            </w:r>
            <w:r w:rsidRPr="00DC6678">
              <w:rPr>
                <w:szCs w:val="20"/>
              </w:rPr>
              <w:t xml:space="preserve"> papildināta ar tekstu šādā redakcijā: </w:t>
            </w:r>
            <w:r w:rsidRPr="00DC6678">
              <w:rPr>
                <w:szCs w:val="20"/>
              </w:rPr>
              <w:br/>
              <w:t>"</w:t>
            </w:r>
            <w:r w:rsidRPr="00DC6678">
              <w:rPr>
                <w:b/>
                <w:bCs/>
                <w:u w:val="single"/>
              </w:rPr>
              <w:t xml:space="preserve">Izmeklēšanas un apsūdzības procesa kvalitātes uzlabošana ir valdības prioritāte, ko apliecina Deklarācijas par ietvaros definēts uzdevums (178.2 uzdevums). Minētā uzdevuma ietvaros tiks veikti pasākumi, lai nodrošinātu kvalitatīvu pirmstiesas izmeklēšanas un tiesu sistēmas funkcionēšanu. Minētā uzdevuma ietvaros, veicot tieslietu sistēmas </w:t>
            </w:r>
            <w:r w:rsidRPr="00DC6678">
              <w:rPr>
                <w:b/>
                <w:bCs/>
                <w:u w:val="single"/>
              </w:rPr>
              <w:lastRenderedPageBreak/>
              <w:t xml:space="preserve">efektivitātes izvērtējumu (174.uzdevums), tiks izstrādāti konkrēti priekšlikumi tieslietu sistēmas efektivitātes uzlabošanai. Tāpat tiks nodrošināts ieguldījums Valsts kontroles lietderības revīzijas </w:t>
            </w:r>
            <w:r w:rsidR="002640DF">
              <w:rPr>
                <w:b/>
                <w:bCs/>
                <w:u w:val="single"/>
              </w:rPr>
              <w:t>"</w:t>
            </w:r>
            <w:r w:rsidRPr="00DC6678">
              <w:rPr>
                <w:b/>
                <w:bCs/>
                <w:u w:val="single"/>
              </w:rPr>
              <w:t>Pirmstiesas izmeklēšanas efektivitāte Valsts policijā</w:t>
            </w:r>
            <w:r w:rsidR="002640DF">
              <w:rPr>
                <w:b/>
                <w:bCs/>
                <w:u w:val="single"/>
              </w:rPr>
              <w:t>"</w:t>
            </w:r>
            <w:r w:rsidRPr="00DC6678">
              <w:rPr>
                <w:b/>
                <w:bCs/>
                <w:u w:val="single"/>
              </w:rPr>
              <w:t xml:space="preserve"> konstatēto problēmu novēršanā un Valsts kontroles sniegto ieteikumu realizēšanā. </w:t>
            </w:r>
            <w:r w:rsidRPr="00DC6678" w:rsidR="00440E70">
              <w:rPr>
                <w:b/>
                <w:bCs/>
                <w:u w:val="single"/>
              </w:rPr>
              <w:t xml:space="preserve"> Jānorāda, ka konceptuālā ziņojuma ietvaros tiek risināts jautājums par specializētas tiesas izveidi, ko iespējams īstenot īstermiņā. Starpnozares pasākumu</w:t>
            </w:r>
            <w:r w:rsidR="008978E7">
              <w:rPr>
                <w:b/>
                <w:bCs/>
                <w:u w:val="single"/>
              </w:rPr>
              <w:t>s</w:t>
            </w:r>
            <w:r w:rsidRPr="00DC6678" w:rsidR="00440E70">
              <w:rPr>
                <w:b/>
                <w:bCs/>
                <w:u w:val="single"/>
              </w:rPr>
              <w:t xml:space="preserve">, ņemot vērā iesaistītās puses, ne vienmēr ir iespējams īstenot tikt pat </w:t>
            </w:r>
            <w:proofErr w:type="spellStart"/>
            <w:r w:rsidRPr="00DC6678" w:rsidR="00440E70">
              <w:rPr>
                <w:b/>
                <w:bCs/>
                <w:u w:val="single"/>
              </w:rPr>
              <w:t>ātŗi</w:t>
            </w:r>
            <w:proofErr w:type="spellEnd"/>
            <w:r w:rsidRPr="00DC6678" w:rsidR="00440E70">
              <w:rPr>
                <w:b/>
                <w:bCs/>
                <w:u w:val="single"/>
              </w:rPr>
              <w:t xml:space="preserve"> kā pasākum</w:t>
            </w:r>
            <w:r w:rsidR="008978E7">
              <w:rPr>
                <w:b/>
                <w:bCs/>
                <w:u w:val="single"/>
              </w:rPr>
              <w:t>us</w:t>
            </w:r>
            <w:r w:rsidRPr="00DC6678" w:rsidR="00440E70">
              <w:rPr>
                <w:b/>
                <w:bCs/>
                <w:u w:val="single"/>
              </w:rPr>
              <w:t xml:space="preserve">, kas aptver vienu nozari. </w:t>
            </w:r>
            <w:bookmarkStart w:name="_Hlk11322179" w:id="2"/>
            <w:r w:rsidRPr="00DC6678" w:rsidR="00440E70">
              <w:rPr>
                <w:b/>
                <w:bCs/>
                <w:u w:val="single"/>
              </w:rPr>
              <w:t>Tād</w:t>
            </w:r>
            <w:r w:rsidR="002640DF">
              <w:rPr>
                <w:b/>
                <w:bCs/>
                <w:u w:val="single"/>
              </w:rPr>
              <w:t>ē</w:t>
            </w:r>
            <w:r w:rsidRPr="00DC6678" w:rsidR="00440E70">
              <w:rPr>
                <w:b/>
                <w:bCs/>
                <w:u w:val="single"/>
              </w:rPr>
              <w:t>jādi, izvēlēts risinājums, ka pasākum</w:t>
            </w:r>
            <w:r w:rsidRPr="00DC6678" w:rsidR="00C63DED">
              <w:rPr>
                <w:b/>
                <w:bCs/>
                <w:u w:val="single"/>
              </w:rPr>
              <w:t>i</w:t>
            </w:r>
            <w:r w:rsidRPr="00DC6678" w:rsidR="00440E70">
              <w:rPr>
                <w:b/>
                <w:bCs/>
                <w:u w:val="single"/>
              </w:rPr>
              <w:t xml:space="preserve">, kas skar specializētas tiesas izveidi, tiek risināti paralēli pasākumiem, kas saistīti ar izmeklēšanas un apsūdzības kvalitātes uzlabošanu. </w:t>
            </w:r>
            <w:r w:rsidRPr="00DC6678" w:rsidR="00440E70">
              <w:rPr>
                <w:b/>
                <w:bCs/>
                <w:u w:val="single"/>
              </w:rPr>
              <w:lastRenderedPageBreak/>
              <w:t>Jāatzīmē, ka pasākumi i</w:t>
            </w:r>
            <w:r w:rsidRPr="00DC6678" w:rsidR="00471F8E">
              <w:rPr>
                <w:b/>
                <w:bCs/>
                <w:u w:val="single"/>
              </w:rPr>
              <w:t>r izdalīti, jo to īstenošana, lai arī ir savstarpēji saistīti, tomēr nav pakār</w:t>
            </w:r>
            <w:r w:rsidR="002640DF">
              <w:rPr>
                <w:b/>
                <w:bCs/>
                <w:u w:val="single"/>
              </w:rPr>
              <w:t>t</w:t>
            </w:r>
            <w:r w:rsidRPr="00DC6678" w:rsidR="00471F8E">
              <w:rPr>
                <w:b/>
                <w:bCs/>
                <w:u w:val="single"/>
              </w:rPr>
              <w:t xml:space="preserve">oti viens otram. Tādējādi izvēlētais risinājums no efektivitātes viedokļa ir atzīstams par atbilstošāku. </w:t>
            </w:r>
            <w:r w:rsidRPr="00DC6678" w:rsidR="00440E70">
              <w:rPr>
                <w:b/>
                <w:bCs/>
                <w:u w:val="single"/>
              </w:rPr>
              <w:t xml:space="preserve"> </w:t>
            </w:r>
          </w:p>
          <w:bookmarkEnd w:id="2"/>
          <w:p w:rsidRPr="00DC6678" w:rsidR="00C92FB8" w:rsidP="00C63DED" w:rsidRDefault="00EA5078" w14:paraId="146EA26B" w14:textId="050802FB">
            <w:pPr>
              <w:widowControl w:val="0"/>
              <w:spacing w:after="120"/>
              <w:ind w:firstLine="720"/>
              <w:jc w:val="both"/>
              <w:rPr>
                <w:b/>
                <w:bCs/>
                <w:sz w:val="24"/>
                <w:szCs w:val="24"/>
                <w:u w:val="single"/>
              </w:rPr>
            </w:pPr>
            <w:r w:rsidRPr="00EA5078">
              <w:rPr>
                <w:b/>
                <w:sz w:val="24"/>
                <w:szCs w:val="24"/>
                <w:u w:val="single"/>
                <w:lang w:eastAsia="en-US"/>
              </w:rPr>
              <w:t>Tieslietu ministrija 2019.gada 12.jūnijā Valsts kancelejā iesniegusi informatīvā ziņojuma projektu "Par nepieciešamību īstenot revīziju par faktoriem, kas ietekmē efektīvu kriminālprocesu par noziedzīgiem nodarījumiem ekonomikas un finanšu jomā izmeklēšanu un iztiesāšanu"</w:t>
            </w:r>
            <w:r w:rsidRPr="00EA5078">
              <w:rPr>
                <w:rFonts w:eastAsiaTheme="minorHAnsi"/>
                <w:b/>
                <w:sz w:val="24"/>
                <w:szCs w:val="24"/>
                <w:u w:val="single"/>
              </w:rPr>
              <w:t xml:space="preserve"> (2019-TA-1124).</w:t>
            </w:r>
            <w:r w:rsidRPr="00EA5078" w:rsidR="0029106E">
              <w:rPr>
                <w:b/>
                <w:bCs/>
                <w:sz w:val="28"/>
                <w:szCs w:val="24"/>
                <w:u w:val="single"/>
              </w:rPr>
              <w:t xml:space="preserve"> </w:t>
            </w:r>
            <w:r w:rsidRPr="00DC6678" w:rsidR="00C63DED">
              <w:rPr>
                <w:b/>
                <w:bCs/>
                <w:sz w:val="24"/>
                <w:szCs w:val="24"/>
                <w:u w:val="single"/>
              </w:rPr>
              <w:t>Informatīvā ziņojumā doto</w:t>
            </w:r>
            <w:r w:rsidRPr="00DC6678" w:rsidR="0029106E">
              <w:rPr>
                <w:b/>
                <w:bCs/>
                <w:sz w:val="24"/>
                <w:szCs w:val="24"/>
                <w:u w:val="single"/>
              </w:rPr>
              <w:t xml:space="preserve"> uzdevum</w:t>
            </w:r>
            <w:r w:rsidRPr="00DC6678" w:rsidR="00C63DED">
              <w:rPr>
                <w:b/>
                <w:bCs/>
                <w:sz w:val="24"/>
                <w:szCs w:val="24"/>
                <w:u w:val="single"/>
              </w:rPr>
              <w:t>u</w:t>
            </w:r>
            <w:r w:rsidRPr="00DC6678" w:rsidR="0029106E">
              <w:rPr>
                <w:b/>
                <w:bCs/>
                <w:sz w:val="24"/>
                <w:szCs w:val="24"/>
                <w:u w:val="single"/>
              </w:rPr>
              <w:t xml:space="preserve"> ietvaros plānot</w:t>
            </w:r>
            <w:r w:rsidRPr="00DC6678" w:rsidR="00C63DED">
              <w:rPr>
                <w:b/>
                <w:bCs/>
                <w:sz w:val="24"/>
                <w:szCs w:val="24"/>
                <w:u w:val="single"/>
              </w:rPr>
              <w:t>s</w:t>
            </w:r>
            <w:r w:rsidRPr="00DC6678" w:rsidR="0029106E">
              <w:rPr>
                <w:b/>
                <w:bCs/>
                <w:sz w:val="24"/>
                <w:szCs w:val="24"/>
                <w:u w:val="single"/>
              </w:rPr>
              <w:t xml:space="preserve"> izvērtēt faktorus, kas negatīvi ietekmē efektīvu kriminālprocesu par noziedzīgiem nodarījumiem ekonomikas un finanšu jomā virzību, un sniegtu ieteikumus situācijas uzlabošanai. Tāpat jāatzīmē, ka izmeklēšanas procesa kvalitātes nodrošināšanas </w:t>
            </w:r>
            <w:r w:rsidRPr="00DC6678" w:rsidR="0029106E">
              <w:rPr>
                <w:b/>
                <w:bCs/>
                <w:sz w:val="24"/>
                <w:szCs w:val="24"/>
                <w:u w:val="single"/>
              </w:rPr>
              <w:lastRenderedPageBreak/>
              <w:t>nolūkos 2017. gadā Valsts kontrole</w:t>
            </w:r>
            <w:r w:rsidR="002640DF">
              <w:rPr>
                <w:b/>
                <w:bCs/>
                <w:sz w:val="24"/>
                <w:szCs w:val="24"/>
                <w:u w:val="single"/>
              </w:rPr>
              <w:t>s</w:t>
            </w:r>
            <w:r w:rsidRPr="00DC6678" w:rsidR="0029106E">
              <w:rPr>
                <w:b/>
                <w:bCs/>
                <w:sz w:val="24"/>
                <w:szCs w:val="24"/>
                <w:u w:val="single"/>
              </w:rPr>
              <w:t xml:space="preserve"> veiktās lietderības revīzijas "Pirmstiesas izmeklēšanas efektivitāte Valsts policijā" ietvaros sniegta virkne ieteikumu. </w:t>
            </w:r>
            <w:bookmarkStart w:name="_Hlk11069770" w:id="3"/>
            <w:r w:rsidRPr="00DC6678" w:rsidR="0029106E">
              <w:rPr>
                <w:b/>
                <w:bCs/>
                <w:sz w:val="24"/>
                <w:szCs w:val="24"/>
                <w:u w:val="single"/>
              </w:rPr>
              <w:t xml:space="preserve">Minēto ieteikumu ieviešana ir patstāvīgi veicams uzdevums un tā īstenošana norit paralēli konceptuālā </w:t>
            </w:r>
            <w:r w:rsidRPr="00DC6678" w:rsidR="00C63DED">
              <w:rPr>
                <w:b/>
                <w:bCs/>
                <w:sz w:val="24"/>
                <w:szCs w:val="24"/>
                <w:u w:val="single"/>
              </w:rPr>
              <w:t xml:space="preserve"> </w:t>
            </w:r>
            <w:r w:rsidRPr="00DC6678" w:rsidR="0029106E">
              <w:rPr>
                <w:b/>
                <w:bCs/>
                <w:sz w:val="24"/>
                <w:szCs w:val="24"/>
                <w:u w:val="single"/>
              </w:rPr>
              <w:t>ziņojuma virzība</w:t>
            </w:r>
            <w:r w:rsidRPr="00DC6678" w:rsidR="00C63DED">
              <w:rPr>
                <w:b/>
                <w:bCs/>
                <w:sz w:val="24"/>
                <w:szCs w:val="24"/>
                <w:u w:val="single"/>
              </w:rPr>
              <w:t>i</w:t>
            </w:r>
            <w:r w:rsidR="002640DF">
              <w:rPr>
                <w:b/>
                <w:bCs/>
                <w:sz w:val="24"/>
                <w:szCs w:val="24"/>
                <w:u w:val="single"/>
              </w:rPr>
              <w:t>.</w:t>
            </w:r>
            <w:r w:rsidRPr="00DC6678" w:rsidR="00C63DED">
              <w:rPr>
                <w:b/>
                <w:bCs/>
                <w:sz w:val="24"/>
                <w:szCs w:val="24"/>
                <w:u w:val="single"/>
              </w:rPr>
              <w:t xml:space="preserve"> T</w:t>
            </w:r>
            <w:r w:rsidRPr="00DC6678" w:rsidR="0029106E">
              <w:rPr>
                <w:b/>
                <w:bCs/>
                <w:sz w:val="24"/>
                <w:szCs w:val="24"/>
                <w:u w:val="single"/>
              </w:rPr>
              <w:t>o dublēšana Ministru kabineta rīkojuma projektā nav nepieciešama</w:t>
            </w:r>
            <w:bookmarkEnd w:id="3"/>
            <w:r w:rsidRPr="00DC6678" w:rsidR="0029106E">
              <w:rPr>
                <w:b/>
                <w:bCs/>
                <w:sz w:val="24"/>
                <w:szCs w:val="24"/>
                <w:u w:val="single"/>
              </w:rPr>
              <w:t>."</w:t>
            </w:r>
          </w:p>
        </w:tc>
      </w:tr>
      <w:bookmarkEnd w:id="1"/>
      <w:tr w:rsidRPr="00DC6678" w:rsidR="00431258" w:rsidTr="001D2289" w14:paraId="5E7E84E9"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DC6678" w:rsidR="00431258" w:rsidP="00C63DED" w:rsidRDefault="00C63DED" w14:paraId="4F095B95" w14:textId="019B5C86">
            <w:pPr>
              <w:pStyle w:val="naisf"/>
              <w:ind w:firstLine="0"/>
              <w:rPr>
                <w:szCs w:val="20"/>
              </w:rPr>
            </w:pPr>
            <w:r w:rsidRPr="00DC6678">
              <w:rPr>
                <w:szCs w:val="20"/>
              </w:rPr>
              <w:lastRenderedPageBreak/>
              <w:t>7.</w:t>
            </w:r>
          </w:p>
        </w:tc>
        <w:tc>
          <w:tcPr>
            <w:tcW w:w="2977" w:type="dxa"/>
            <w:gridSpan w:val="2"/>
            <w:tcBorders>
              <w:top w:val="single" w:color="000000" w:sz="6" w:space="0"/>
              <w:left w:val="single" w:color="000000" w:sz="6" w:space="0"/>
              <w:bottom w:val="single" w:color="000000" w:sz="6" w:space="0"/>
              <w:right w:val="single" w:color="000000" w:sz="6" w:space="0"/>
            </w:tcBorders>
          </w:tcPr>
          <w:p w:rsidRPr="00DC6678" w:rsidR="00431258" w:rsidP="00431258" w:rsidRDefault="0042526C" w14:paraId="350B52D9" w14:textId="127E9489">
            <w:pPr>
              <w:pStyle w:val="naisf"/>
              <w:ind w:firstLine="0"/>
              <w:rPr>
                <w:szCs w:val="20"/>
              </w:rPr>
            </w:pPr>
            <w:r>
              <w:rPr>
                <w:szCs w:val="20"/>
              </w:rPr>
              <w:t>Konceptuālais ziņojums kopumā</w:t>
            </w:r>
          </w:p>
        </w:tc>
        <w:tc>
          <w:tcPr>
            <w:tcW w:w="4394" w:type="dxa"/>
            <w:gridSpan w:val="2"/>
            <w:tcBorders>
              <w:top w:val="single" w:color="000000" w:sz="6" w:space="0"/>
              <w:left w:val="single" w:color="000000" w:sz="6" w:space="0"/>
              <w:bottom w:val="single" w:color="000000" w:sz="6" w:space="0"/>
              <w:right w:val="single" w:color="000000" w:sz="6" w:space="0"/>
            </w:tcBorders>
          </w:tcPr>
          <w:p w:rsidRPr="00DC6678" w:rsidR="00EF482A" w:rsidP="00EF482A" w:rsidRDefault="00EF482A" w14:paraId="2AADC0DF" w14:textId="77777777">
            <w:pPr>
              <w:ind w:firstLine="709"/>
              <w:jc w:val="both"/>
              <w:rPr>
                <w:sz w:val="24"/>
                <w:szCs w:val="24"/>
              </w:rPr>
            </w:pPr>
            <w:r w:rsidRPr="00DC6678">
              <w:rPr>
                <w:sz w:val="24"/>
                <w:szCs w:val="24"/>
              </w:rPr>
              <w:t>Koncepcijā minēts (4.lp.), ka specializētās tiesas izveide varētu atvieglot vienotu standartu ieviešanu visās procesā iesaistītajās institūcijās, tomēr to īstenošana lielā mērā ir atkarīga no pirmstiesas procesā iesaistīto subjektu kvalifikācijas un profesionalitātes. Arī Sadarbības memorandā starp Iekšlietu ministriju un Tieslietu ministriju, īstenojot Valdības rīcības plānā noteiktos uzdevumus, ir paredzēts pirmstiesas izmeklēšanas kvalitātes celšanas nolūkā stiprināt tiesībaizsardzības iestāžu amatpersonu profesionālās zināšanas un prasmes, veicot regulāru aktuālās informācijas, kā arī apmācību materiālu apmaiņu un tālāknodošanu tiesībaizsardzības iestāžu darbības jomā.</w:t>
            </w:r>
          </w:p>
          <w:p w:rsidRPr="00DC6678" w:rsidR="00EF482A" w:rsidP="00EF482A" w:rsidRDefault="00EF482A" w14:paraId="66CCE7B4" w14:textId="77777777">
            <w:pPr>
              <w:ind w:firstLine="709"/>
              <w:jc w:val="both"/>
              <w:rPr>
                <w:sz w:val="24"/>
                <w:szCs w:val="24"/>
              </w:rPr>
            </w:pPr>
            <w:r w:rsidRPr="00DC6678">
              <w:rPr>
                <w:sz w:val="24"/>
                <w:szCs w:val="24"/>
              </w:rPr>
              <w:lastRenderedPageBreak/>
              <w:t>Lūdzam papildināt koncepciju ar plānotajiem priekšlikumiem kvalifikācijas un profesionalitātes celšanai pirmstiesas procesā iesaistītajiem subjektiem. Vienlaikus lūdzam attiecināt uz tiem koncepcijā paredzētas mācības “Justīcija attīstībai” ietvaros (20., 21., 22.lp).</w:t>
            </w:r>
          </w:p>
          <w:p w:rsidRPr="00DC6678" w:rsidR="00431258" w:rsidP="00431258" w:rsidRDefault="00431258" w14:paraId="0E762201" w14:textId="49D568D0">
            <w:pPr>
              <w:pStyle w:val="naisf"/>
              <w:spacing w:before="0" w:after="0"/>
              <w:ind w:firstLine="0"/>
              <w:rPr>
                <w:szCs w:val="20"/>
              </w:rPr>
            </w:pPr>
          </w:p>
        </w:tc>
        <w:tc>
          <w:tcPr>
            <w:tcW w:w="2835" w:type="dxa"/>
            <w:tcBorders>
              <w:top w:val="single" w:color="000000" w:sz="6" w:space="0"/>
              <w:left w:val="single" w:color="000000" w:sz="6" w:space="0"/>
              <w:bottom w:val="single" w:color="000000" w:sz="6" w:space="0"/>
              <w:right w:val="single" w:color="000000" w:sz="6" w:space="0"/>
            </w:tcBorders>
          </w:tcPr>
          <w:p w:rsidRPr="00DC6678" w:rsidR="00431258" w:rsidP="00431258" w:rsidRDefault="00B26147" w14:paraId="65034BAA" w14:textId="0DFFFD5A">
            <w:pPr>
              <w:pStyle w:val="naisf"/>
              <w:ind w:firstLine="0"/>
              <w:jc w:val="center"/>
              <w:rPr>
                <w:b/>
                <w:szCs w:val="20"/>
              </w:rPr>
            </w:pPr>
            <w:r>
              <w:rPr>
                <w:b/>
                <w:szCs w:val="20"/>
              </w:rPr>
              <w:lastRenderedPageBreak/>
              <w:t>Ņemts vērā</w:t>
            </w:r>
          </w:p>
        </w:tc>
        <w:tc>
          <w:tcPr>
            <w:tcW w:w="3260" w:type="dxa"/>
            <w:gridSpan w:val="3"/>
            <w:tcBorders>
              <w:top w:val="single" w:color="auto" w:sz="4" w:space="0"/>
              <w:left w:val="single" w:color="auto" w:sz="4" w:space="0"/>
              <w:bottom w:val="single" w:color="auto" w:sz="4" w:space="0"/>
            </w:tcBorders>
          </w:tcPr>
          <w:p w:rsidRPr="00DC6678" w:rsidR="00CB4B98" w:rsidP="00CB4B98" w:rsidRDefault="00CB4B98" w14:paraId="4E1C0A71" w14:textId="72853331">
            <w:pPr>
              <w:jc w:val="both"/>
              <w:rPr>
                <w:b/>
                <w:bCs/>
                <w:sz w:val="24"/>
                <w:szCs w:val="24"/>
                <w:u w:val="single"/>
              </w:rPr>
            </w:pPr>
            <w:r w:rsidRPr="00DC6678">
              <w:rPr>
                <w:bCs/>
                <w:sz w:val="24"/>
                <w:szCs w:val="24"/>
              </w:rPr>
              <w:t>Konceptu</w:t>
            </w:r>
            <w:r w:rsidRPr="00DC6678" w:rsidR="00E354A0">
              <w:rPr>
                <w:bCs/>
                <w:sz w:val="24"/>
                <w:szCs w:val="24"/>
              </w:rPr>
              <w:t>ālā ziņojuma 4.</w:t>
            </w:r>
            <w:r w:rsidR="002640DF">
              <w:rPr>
                <w:bCs/>
                <w:sz w:val="24"/>
                <w:szCs w:val="24"/>
              </w:rPr>
              <w:t> </w:t>
            </w:r>
            <w:r w:rsidRPr="00DC6678" w:rsidR="00E354A0">
              <w:rPr>
                <w:bCs/>
                <w:sz w:val="24"/>
                <w:szCs w:val="24"/>
              </w:rPr>
              <w:t>sadaļa</w:t>
            </w:r>
            <w:r w:rsidRPr="00DC6678" w:rsidR="00C63DED">
              <w:rPr>
                <w:bCs/>
                <w:sz w:val="24"/>
                <w:szCs w:val="24"/>
              </w:rPr>
              <w:t xml:space="preserve"> (</w:t>
            </w:r>
            <w:r w:rsidRPr="008F5378" w:rsidR="00C63DED">
              <w:rPr>
                <w:bCs/>
                <w:sz w:val="24"/>
                <w:szCs w:val="24"/>
              </w:rPr>
              <w:t>2</w:t>
            </w:r>
            <w:r w:rsidR="008F5378">
              <w:rPr>
                <w:sz w:val="24"/>
                <w:szCs w:val="24"/>
              </w:rPr>
              <w:t>4</w:t>
            </w:r>
            <w:r w:rsidRPr="008F5378" w:rsidR="008F5378">
              <w:rPr>
                <w:sz w:val="24"/>
                <w:szCs w:val="24"/>
              </w:rPr>
              <w:t>. </w:t>
            </w:r>
            <w:r w:rsidRPr="00DC6678" w:rsidR="00C63DED">
              <w:rPr>
                <w:bCs/>
                <w:sz w:val="24"/>
                <w:szCs w:val="24"/>
              </w:rPr>
              <w:t>lp</w:t>
            </w:r>
            <w:r w:rsidR="002640DF">
              <w:rPr>
                <w:bCs/>
                <w:sz w:val="24"/>
                <w:szCs w:val="24"/>
              </w:rPr>
              <w:t>.</w:t>
            </w:r>
            <w:r w:rsidRPr="00DC6678" w:rsidR="00C63DED">
              <w:rPr>
                <w:bCs/>
                <w:sz w:val="24"/>
                <w:szCs w:val="24"/>
              </w:rPr>
              <w:t>)</w:t>
            </w:r>
            <w:r w:rsidRPr="00DC6678" w:rsidR="00E354A0">
              <w:rPr>
                <w:bCs/>
                <w:sz w:val="24"/>
                <w:szCs w:val="24"/>
              </w:rPr>
              <w:t xml:space="preserve"> papildināta ar tekstu</w:t>
            </w:r>
            <w:r w:rsidRPr="00DC6678" w:rsidR="00E354A0">
              <w:rPr>
                <w:b/>
                <w:bCs/>
                <w:sz w:val="24"/>
                <w:szCs w:val="24"/>
                <w:u w:val="single"/>
              </w:rPr>
              <w:t xml:space="preserve"> "</w:t>
            </w:r>
            <w:r w:rsidRPr="00DC6678">
              <w:rPr>
                <w:b/>
                <w:bCs/>
                <w:sz w:val="24"/>
                <w:szCs w:val="24"/>
                <w:u w:val="single"/>
              </w:rPr>
              <w:t>Jāatzīmē, ka Eiropas Sociālā fonda projekta "Justīcija attīstībai" ietvaros tiek nodrošinātas apmācības tiesībsargājošo institūciju darbiniekiem, tostarp, prokuroriem, tajā skaitā, tiek nodrošinātas arī starpdisciplināras apmācības.</w:t>
            </w:r>
            <w:r w:rsidRPr="00DC6678" w:rsidR="00E354A0">
              <w:rPr>
                <w:b/>
                <w:bCs/>
                <w:sz w:val="24"/>
                <w:szCs w:val="24"/>
                <w:u w:val="single"/>
              </w:rPr>
              <w:t>"</w:t>
            </w:r>
          </w:p>
          <w:p w:rsidRPr="00DC6678" w:rsidR="00431258" w:rsidP="00431258" w:rsidRDefault="00431258" w14:paraId="4A7AA7A7" w14:textId="66ECCF95">
            <w:pPr>
              <w:pStyle w:val="naisf"/>
              <w:rPr>
                <w:szCs w:val="20"/>
              </w:rPr>
            </w:pPr>
          </w:p>
        </w:tc>
      </w:tr>
      <w:tr w:rsidRPr="00DC6678" w:rsidR="004C1E85" w:rsidTr="004F743E" w14:paraId="240B6E36"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DC6678" w:rsidR="004C1E85" w:rsidP="00C63DED" w:rsidRDefault="00C63DED" w14:paraId="5373CC64" w14:textId="1F98935B">
            <w:pPr>
              <w:pStyle w:val="naisf"/>
              <w:ind w:firstLine="59"/>
            </w:pPr>
            <w:r w:rsidRPr="00DC6678">
              <w:t>8.</w:t>
            </w:r>
          </w:p>
        </w:tc>
        <w:tc>
          <w:tcPr>
            <w:tcW w:w="2977" w:type="dxa"/>
            <w:gridSpan w:val="2"/>
            <w:tcBorders>
              <w:top w:val="single" w:color="000000" w:sz="6" w:space="0"/>
              <w:left w:val="single" w:color="000000" w:sz="6" w:space="0"/>
              <w:bottom w:val="single" w:color="000000" w:sz="6" w:space="0"/>
              <w:right w:val="single" w:color="000000" w:sz="6" w:space="0"/>
            </w:tcBorders>
          </w:tcPr>
          <w:p w:rsidRPr="00DC6678" w:rsidR="003C1015" w:rsidP="003C1015" w:rsidRDefault="003C1015" w14:paraId="7378D895" w14:textId="06481C14">
            <w:pPr>
              <w:jc w:val="both"/>
              <w:rPr>
                <w:sz w:val="24"/>
                <w:szCs w:val="24"/>
              </w:rPr>
            </w:pPr>
            <w:r w:rsidRPr="00DC6678">
              <w:rPr>
                <w:sz w:val="24"/>
                <w:szCs w:val="24"/>
              </w:rPr>
              <w:t>Konceptuālā ziņojuma 3.</w:t>
            </w:r>
            <w:r w:rsidR="002640DF">
              <w:rPr>
                <w:sz w:val="24"/>
                <w:szCs w:val="24"/>
              </w:rPr>
              <w:t> </w:t>
            </w:r>
            <w:r w:rsidRPr="00DC6678">
              <w:rPr>
                <w:sz w:val="24"/>
                <w:szCs w:val="24"/>
              </w:rPr>
              <w:t>sadaļa (12.lp</w:t>
            </w:r>
            <w:r w:rsidR="002640DF">
              <w:rPr>
                <w:sz w:val="24"/>
                <w:szCs w:val="24"/>
              </w:rPr>
              <w:t>.</w:t>
            </w:r>
            <w:r w:rsidRPr="00DC6678">
              <w:rPr>
                <w:sz w:val="24"/>
                <w:szCs w:val="24"/>
              </w:rPr>
              <w:t>)</w:t>
            </w:r>
          </w:p>
          <w:p w:rsidRPr="00DC6678" w:rsidR="003C1015" w:rsidP="003C1015" w:rsidRDefault="003C1015" w14:paraId="61B8FC92" w14:textId="06011B16">
            <w:pPr>
              <w:jc w:val="both"/>
              <w:rPr>
                <w:b/>
                <w:sz w:val="24"/>
                <w:szCs w:val="24"/>
              </w:rPr>
            </w:pPr>
            <w:r w:rsidRPr="00DC6678">
              <w:rPr>
                <w:b/>
                <w:sz w:val="24"/>
                <w:szCs w:val="24"/>
              </w:rPr>
              <w:t>Šādas lietas varētu būt civiltiesiski strīdi, kas saistīti ar:</w:t>
            </w:r>
          </w:p>
          <w:p w:rsidRPr="00DC6678" w:rsidR="003C1015" w:rsidP="003C1015" w:rsidRDefault="003C1015" w14:paraId="10BE52B8" w14:textId="77777777">
            <w:pPr>
              <w:pStyle w:val="Sarakstarindkopa"/>
              <w:numPr>
                <w:ilvl w:val="0"/>
                <w:numId w:val="12"/>
              </w:numPr>
              <w:ind w:left="1134" w:hanging="414"/>
              <w:jc w:val="both"/>
            </w:pPr>
            <w:r w:rsidRPr="00DC6678">
              <w:t>Finanšu instrumentu tirgus likuma piemērošanu;</w:t>
            </w:r>
          </w:p>
          <w:p w:rsidRPr="00DC6678" w:rsidR="003C1015" w:rsidP="003C1015" w:rsidRDefault="003C1015" w14:paraId="707822F9" w14:textId="77777777">
            <w:pPr>
              <w:pStyle w:val="Sarakstarindkopa"/>
              <w:numPr>
                <w:ilvl w:val="0"/>
                <w:numId w:val="12"/>
              </w:numPr>
              <w:ind w:left="1134" w:hanging="414"/>
              <w:jc w:val="both"/>
            </w:pPr>
            <w:r w:rsidRPr="00DC6678">
              <w:t>Finanšu nodrošinājuma likuma piemērošanu;</w:t>
            </w:r>
          </w:p>
          <w:p w:rsidRPr="00DC6678" w:rsidR="003C1015" w:rsidP="003C1015" w:rsidRDefault="003C1015" w14:paraId="4BE2AB42" w14:textId="77777777">
            <w:pPr>
              <w:pStyle w:val="Sarakstarindkopa"/>
              <w:numPr>
                <w:ilvl w:val="0"/>
                <w:numId w:val="12"/>
              </w:numPr>
              <w:ind w:left="1134" w:hanging="414"/>
              <w:jc w:val="both"/>
            </w:pPr>
            <w:r w:rsidRPr="00DC6678">
              <w:t>publiskos reģistros ierakstītiem saistību nodrošinājuma līdzekļiem (to pilnīgas vai daļējas spēkā esamības vai piemērojamības apstrīdēšanu);</w:t>
            </w:r>
          </w:p>
          <w:p w:rsidRPr="00DC6678" w:rsidR="003C1015" w:rsidP="003C1015" w:rsidRDefault="003C1015" w14:paraId="51D0E61B" w14:textId="77777777">
            <w:pPr>
              <w:pStyle w:val="Sarakstarindkopa"/>
              <w:numPr>
                <w:ilvl w:val="0"/>
                <w:numId w:val="12"/>
              </w:numPr>
              <w:ind w:left="1134" w:hanging="414"/>
              <w:jc w:val="both"/>
            </w:pPr>
            <w:r w:rsidRPr="00DC6678">
              <w:lastRenderedPageBreak/>
              <w:t xml:space="preserve">investīciju aizsardzības normatīvā regulējuma jautājumiem, ciktāl tie ir Latvijas tiesu jurisdikcijas kompetencē; </w:t>
            </w:r>
          </w:p>
          <w:p w:rsidRPr="00DC6678" w:rsidR="003C1015" w:rsidP="003C1015" w:rsidRDefault="003C1015" w14:paraId="56187F8F" w14:textId="7E19B1CE">
            <w:pPr>
              <w:pStyle w:val="Sarakstarindkopa"/>
              <w:numPr>
                <w:ilvl w:val="0"/>
                <w:numId w:val="12"/>
              </w:numPr>
              <w:ind w:left="1134" w:hanging="414"/>
              <w:jc w:val="both"/>
            </w:pPr>
            <w:r w:rsidRPr="00DC6678">
              <w:t xml:space="preserve">liela apjoma prasībām </w:t>
            </w:r>
            <w:proofErr w:type="spellStart"/>
            <w:r w:rsidRPr="00DC6678">
              <w:t>komercstrīdos</w:t>
            </w:r>
            <w:proofErr w:type="spellEnd"/>
            <w:r w:rsidRPr="00DC6678">
              <w:rPr>
                <w:rStyle w:val="Vresatsauce"/>
              </w:rPr>
              <w:footnoteReference w:id="1"/>
            </w:r>
            <w:r w:rsidRPr="00DC6678">
              <w:t xml:space="preserve">, piemēram, kā papildu kritēriju nosakot prasības minimālo summu, piemēram 0,5 milj. </w:t>
            </w:r>
            <w:proofErr w:type="spellStart"/>
            <w:r w:rsidRPr="00DC6678">
              <w:rPr>
                <w:i/>
              </w:rPr>
              <w:t>euro</w:t>
            </w:r>
            <w:proofErr w:type="spellEnd"/>
            <w:r w:rsidRPr="00DC6678">
              <w:t>;</w:t>
            </w:r>
          </w:p>
          <w:p w:rsidRPr="00DC6678" w:rsidR="003C1015" w:rsidP="003C1015" w:rsidRDefault="003C1015" w14:paraId="3AC71868" w14:textId="3346CCBA">
            <w:pPr>
              <w:pStyle w:val="Sarakstarindkopa"/>
              <w:numPr>
                <w:ilvl w:val="0"/>
                <w:numId w:val="12"/>
              </w:numPr>
              <w:ind w:left="1134" w:hanging="414"/>
              <w:jc w:val="both"/>
            </w:pPr>
            <w:r w:rsidRPr="00DC6678">
              <w:t>tiesiskās aizsardzības lietas</w:t>
            </w:r>
          </w:p>
          <w:p w:rsidRPr="00DC6678" w:rsidR="003C1015" w:rsidP="003C1015" w:rsidRDefault="003C1015" w14:paraId="04E2846B" w14:textId="77777777">
            <w:pPr>
              <w:pStyle w:val="Sarakstarindkopa"/>
              <w:numPr>
                <w:ilvl w:val="0"/>
                <w:numId w:val="12"/>
              </w:numPr>
              <w:ind w:left="1134" w:hanging="414"/>
              <w:jc w:val="both"/>
            </w:pPr>
            <w:r w:rsidRPr="00DC6678">
              <w:t>Koncernu likuma piemērošanu</w:t>
            </w:r>
            <w:r w:rsidRPr="00DC6678">
              <w:rPr>
                <w:rStyle w:val="Vresatsauce"/>
              </w:rPr>
              <w:footnoteReference w:id="2"/>
            </w:r>
            <w:r w:rsidRPr="00DC6678">
              <w:t xml:space="preserve">. </w:t>
            </w:r>
          </w:p>
          <w:p w:rsidRPr="00DC6678" w:rsidR="004C1E85" w:rsidP="004F743E" w:rsidRDefault="004C1E85" w14:paraId="1C750487" w14:textId="77777777">
            <w:pPr>
              <w:pStyle w:val="naisf"/>
              <w:ind w:firstLine="0"/>
            </w:pPr>
          </w:p>
        </w:tc>
        <w:tc>
          <w:tcPr>
            <w:tcW w:w="4394" w:type="dxa"/>
            <w:gridSpan w:val="2"/>
            <w:tcBorders>
              <w:top w:val="single" w:color="000000" w:sz="6" w:space="0"/>
              <w:left w:val="single" w:color="000000" w:sz="6" w:space="0"/>
              <w:bottom w:val="single" w:color="000000" w:sz="6" w:space="0"/>
              <w:right w:val="single" w:color="000000" w:sz="6" w:space="0"/>
            </w:tcBorders>
          </w:tcPr>
          <w:p w:rsidRPr="00DC6678" w:rsidR="00E354A0" w:rsidP="00E354A0" w:rsidRDefault="00E354A0" w14:paraId="60B6906F" w14:textId="77777777">
            <w:pPr>
              <w:ind w:firstLine="709"/>
              <w:jc w:val="both"/>
              <w:rPr>
                <w:sz w:val="24"/>
                <w:szCs w:val="24"/>
              </w:rPr>
            </w:pPr>
            <w:r w:rsidRPr="00DC6678">
              <w:rPr>
                <w:sz w:val="24"/>
                <w:szCs w:val="24"/>
              </w:rPr>
              <w:lastRenderedPageBreak/>
              <w:t xml:space="preserve">Koncepcijā minēts specializācijas tvērums, kurš, kā noprotams, vēl tiks precizēts. Aicinām paredzēt pakāpenisku specializācijas tvērumu un attiecīgi pārvērtēt minēto specializācijas uzskaitījumu, paredzot to sākotnēji ieviest tādās jomās, kur esošā tiesu sistēma netiek  galā, nesadrumstalojot lietu izskatīšanu pa dažāda līmeņa tiesām. Koncepcijā minēti gan atsevišķi likumi, gan procesi, kas būtu attiecināmi uz specializāciju. Tomēr netop skaidrs, kādas jomas lietas skatīs specializētā tiesa. Piemēram, plānots specializētajai tiesai nodot tiesiskās aizsardzības procesa lietas, kas saskaņā ar Maksātnespējas likumu 1) nav attiecināmas uz kredītiestādēm un apdrošināšanas sabiedrībām un 2) tiesa likumā paredzētos gadījumos var </w:t>
            </w:r>
            <w:r w:rsidRPr="00DC6678">
              <w:rPr>
                <w:sz w:val="24"/>
                <w:szCs w:val="24"/>
                <w:shd w:val="clear" w:color="auto" w:fill="FFFFFF"/>
              </w:rPr>
              <w:t xml:space="preserve">izbeigt tiesiskās aizsardzības procesu un pasludināt juridiskās personas maksātnespējas procesu, tādējādi specializētās tiesas izskatītās lietas var nonākt citu tiesu kompetencē, sadrumstalojot tiesas procesu starp vieniem </w:t>
            </w:r>
            <w:r w:rsidRPr="00DC6678">
              <w:rPr>
                <w:sz w:val="24"/>
                <w:szCs w:val="24"/>
                <w:shd w:val="clear" w:color="auto" w:fill="FFFFFF"/>
              </w:rPr>
              <w:lastRenderedPageBreak/>
              <w:t xml:space="preserve">un tiem pašiem lietas dalībniekiem, kas prasītu gan papildu resursus, gan arī paildzinātu lietu izskatīšanas procesu. Savukārt attiecībā uz </w:t>
            </w:r>
            <w:r w:rsidRPr="00DC6678">
              <w:rPr>
                <w:sz w:val="24"/>
                <w:szCs w:val="24"/>
              </w:rPr>
              <w:t>kredītiestādēm un apdrošināšanas sabiedrībām specializētās tiesas kompetencē nonāktu strīdi caur citiem finanšu instrumentu likumiem, kas minēti koncepcijā, bet Kredītiestāžu likums netiek minēts.</w:t>
            </w:r>
          </w:p>
          <w:p w:rsidRPr="00DC6678" w:rsidR="004C1E85" w:rsidP="004F743E" w:rsidRDefault="004C1E85" w14:paraId="503B6D9C" w14:textId="77777777">
            <w:pPr>
              <w:pStyle w:val="naisf"/>
              <w:spacing w:before="0" w:after="0"/>
              <w:ind w:firstLine="0"/>
            </w:pPr>
          </w:p>
        </w:tc>
        <w:tc>
          <w:tcPr>
            <w:tcW w:w="2835" w:type="dxa"/>
            <w:tcBorders>
              <w:top w:val="single" w:color="000000" w:sz="6" w:space="0"/>
              <w:left w:val="single" w:color="000000" w:sz="6" w:space="0"/>
              <w:bottom w:val="single" w:color="000000" w:sz="6" w:space="0"/>
              <w:right w:val="single" w:color="000000" w:sz="6" w:space="0"/>
            </w:tcBorders>
          </w:tcPr>
          <w:p w:rsidRPr="00DC6678" w:rsidR="004C1E85" w:rsidP="004F743E" w:rsidRDefault="00E354A0" w14:paraId="12E8C6DA" w14:textId="1B93CD59">
            <w:pPr>
              <w:pStyle w:val="naisf"/>
              <w:ind w:firstLine="0"/>
              <w:jc w:val="center"/>
              <w:rPr>
                <w:b/>
              </w:rPr>
            </w:pPr>
            <w:r w:rsidRPr="00DC6678">
              <w:rPr>
                <w:b/>
              </w:rPr>
              <w:lastRenderedPageBreak/>
              <w:t>Ņemts vērā</w:t>
            </w:r>
          </w:p>
        </w:tc>
        <w:tc>
          <w:tcPr>
            <w:tcW w:w="3260" w:type="dxa"/>
            <w:gridSpan w:val="3"/>
            <w:tcBorders>
              <w:top w:val="single" w:color="auto" w:sz="4" w:space="0"/>
              <w:left w:val="single" w:color="auto" w:sz="4" w:space="0"/>
              <w:bottom w:val="single" w:color="auto" w:sz="4" w:space="0"/>
            </w:tcBorders>
          </w:tcPr>
          <w:p w:rsidRPr="00DC6678" w:rsidR="003C1015" w:rsidP="003C1015" w:rsidRDefault="003C1015" w14:paraId="34999FDE" w14:textId="1769F00D">
            <w:pPr>
              <w:jc w:val="both"/>
              <w:rPr>
                <w:sz w:val="24"/>
                <w:szCs w:val="24"/>
              </w:rPr>
            </w:pPr>
            <w:r w:rsidRPr="00DC6678">
              <w:rPr>
                <w:sz w:val="24"/>
                <w:szCs w:val="24"/>
              </w:rPr>
              <w:t>Konceptuālā ziņojuma 3.</w:t>
            </w:r>
            <w:r w:rsidR="002640DF">
              <w:rPr>
                <w:sz w:val="24"/>
                <w:szCs w:val="24"/>
              </w:rPr>
              <w:t> </w:t>
            </w:r>
            <w:r w:rsidRPr="00DC6678">
              <w:rPr>
                <w:sz w:val="24"/>
                <w:szCs w:val="24"/>
              </w:rPr>
              <w:t>sadaļa (12.lp</w:t>
            </w:r>
            <w:r w:rsidR="002640DF">
              <w:rPr>
                <w:sz w:val="24"/>
                <w:szCs w:val="24"/>
              </w:rPr>
              <w:t>.</w:t>
            </w:r>
            <w:r w:rsidRPr="00DC6678">
              <w:rPr>
                <w:sz w:val="24"/>
                <w:szCs w:val="24"/>
              </w:rPr>
              <w:t>)</w:t>
            </w:r>
          </w:p>
          <w:p w:rsidRPr="00DC6678" w:rsidR="003C1015" w:rsidP="003C1015" w:rsidRDefault="003C1015" w14:paraId="0496C7A4" w14:textId="77777777">
            <w:pPr>
              <w:jc w:val="both"/>
              <w:rPr>
                <w:b/>
                <w:sz w:val="24"/>
                <w:szCs w:val="24"/>
              </w:rPr>
            </w:pPr>
            <w:r w:rsidRPr="00DC6678">
              <w:rPr>
                <w:b/>
                <w:sz w:val="24"/>
                <w:szCs w:val="24"/>
              </w:rPr>
              <w:t>Šādas lietas varētu būt civiltiesiski strīdi, kas saistīti ar:</w:t>
            </w:r>
          </w:p>
          <w:p w:rsidRPr="00DC6678" w:rsidR="003C1015" w:rsidP="003C1015" w:rsidRDefault="003C1015" w14:paraId="277596B4" w14:textId="77777777">
            <w:pPr>
              <w:pStyle w:val="Sarakstarindkopa"/>
              <w:numPr>
                <w:ilvl w:val="0"/>
                <w:numId w:val="13"/>
              </w:numPr>
              <w:jc w:val="both"/>
            </w:pPr>
            <w:r w:rsidRPr="00DC6678">
              <w:t>Finanšu instrumentu tirgus likuma piemērošanu;</w:t>
            </w:r>
          </w:p>
          <w:p w:rsidRPr="00DC6678" w:rsidR="003C1015" w:rsidP="003C1015" w:rsidRDefault="003C1015" w14:paraId="65232CBD" w14:textId="77777777">
            <w:pPr>
              <w:pStyle w:val="Sarakstarindkopa"/>
              <w:numPr>
                <w:ilvl w:val="0"/>
                <w:numId w:val="13"/>
              </w:numPr>
              <w:ind w:left="1134" w:hanging="414"/>
              <w:jc w:val="both"/>
            </w:pPr>
            <w:r w:rsidRPr="00DC6678">
              <w:t>Finanšu nodrošinājuma likuma piemērošanu;</w:t>
            </w:r>
          </w:p>
          <w:p w:rsidRPr="00DC6678" w:rsidR="003C1015" w:rsidP="003C1015" w:rsidRDefault="003C1015" w14:paraId="11783517" w14:textId="77777777">
            <w:pPr>
              <w:pStyle w:val="Sarakstarindkopa"/>
              <w:numPr>
                <w:ilvl w:val="0"/>
                <w:numId w:val="13"/>
              </w:numPr>
              <w:ind w:left="1134" w:hanging="414"/>
              <w:jc w:val="both"/>
            </w:pPr>
            <w:r w:rsidRPr="00DC6678">
              <w:t>publiskos reģistros ierakstītiem saistību nodrošinājuma līdzekļiem (to pilnīgas vai daļējas spēkā esamības vai piemērojamības apstrīdēšanu);</w:t>
            </w:r>
          </w:p>
          <w:p w:rsidRPr="00DC6678" w:rsidR="003C1015" w:rsidP="003C1015" w:rsidRDefault="003C1015" w14:paraId="4B997272" w14:textId="77777777">
            <w:pPr>
              <w:pStyle w:val="Sarakstarindkopa"/>
              <w:numPr>
                <w:ilvl w:val="0"/>
                <w:numId w:val="13"/>
              </w:numPr>
              <w:ind w:left="1134" w:hanging="414"/>
              <w:jc w:val="both"/>
            </w:pPr>
            <w:r w:rsidRPr="00DC6678">
              <w:t xml:space="preserve">investīciju aizsardzības </w:t>
            </w:r>
            <w:r w:rsidRPr="00DC6678">
              <w:lastRenderedPageBreak/>
              <w:t xml:space="preserve">normatīvā regulējuma jautājumiem, ciktāl tie ir Latvijas tiesu jurisdikcijas kompetencē; </w:t>
            </w:r>
          </w:p>
          <w:p w:rsidRPr="00DC6678" w:rsidR="003C1015" w:rsidP="003C1015" w:rsidRDefault="003C1015" w14:paraId="58C85701" w14:textId="77777777">
            <w:pPr>
              <w:pStyle w:val="Sarakstarindkopa"/>
              <w:numPr>
                <w:ilvl w:val="0"/>
                <w:numId w:val="13"/>
              </w:numPr>
              <w:ind w:left="1134" w:hanging="414"/>
              <w:jc w:val="both"/>
            </w:pPr>
            <w:r w:rsidRPr="00DC6678">
              <w:t xml:space="preserve">liela apjoma prasībām </w:t>
            </w:r>
            <w:proofErr w:type="spellStart"/>
            <w:r w:rsidRPr="00DC6678">
              <w:t>komercstrīdos</w:t>
            </w:r>
            <w:proofErr w:type="spellEnd"/>
            <w:r w:rsidRPr="00DC6678">
              <w:rPr>
                <w:rStyle w:val="Vresatsauce"/>
              </w:rPr>
              <w:footnoteReference w:id="3"/>
            </w:r>
            <w:r w:rsidRPr="00DC6678">
              <w:t xml:space="preserve">, piemēram, kā papildu kritēriju nosakot prasības minimālo summu, piemēram 0,5 milj. </w:t>
            </w:r>
            <w:proofErr w:type="spellStart"/>
            <w:r w:rsidRPr="00DC6678">
              <w:rPr>
                <w:i/>
              </w:rPr>
              <w:t>euro</w:t>
            </w:r>
            <w:proofErr w:type="spellEnd"/>
            <w:r w:rsidRPr="00DC6678">
              <w:t>;</w:t>
            </w:r>
          </w:p>
          <w:p w:rsidRPr="00DC6678" w:rsidR="003C1015" w:rsidP="003C1015" w:rsidRDefault="003C1015" w14:paraId="65463530" w14:textId="77777777">
            <w:pPr>
              <w:pStyle w:val="Sarakstarindkopa"/>
              <w:numPr>
                <w:ilvl w:val="0"/>
                <w:numId w:val="13"/>
              </w:numPr>
              <w:ind w:left="1134" w:hanging="414"/>
              <w:jc w:val="both"/>
            </w:pPr>
            <w:r w:rsidRPr="00DC6678">
              <w:t>Koncernu likuma piemērošanu</w:t>
            </w:r>
            <w:r w:rsidRPr="00DC6678">
              <w:rPr>
                <w:rStyle w:val="Vresatsauce"/>
              </w:rPr>
              <w:footnoteReference w:id="4"/>
            </w:r>
            <w:r w:rsidRPr="00DC6678">
              <w:t xml:space="preserve">. </w:t>
            </w:r>
          </w:p>
          <w:p w:rsidRPr="00DC6678" w:rsidR="003C1015" w:rsidP="003C1015" w:rsidRDefault="003C1015" w14:paraId="511C2B50" w14:textId="77777777">
            <w:pPr>
              <w:ind w:firstLine="720"/>
              <w:jc w:val="both"/>
              <w:rPr>
                <w:sz w:val="24"/>
                <w:szCs w:val="24"/>
              </w:rPr>
            </w:pPr>
          </w:p>
          <w:p w:rsidRPr="008F5378" w:rsidR="003C1015" w:rsidP="008F5378" w:rsidRDefault="003C1015" w14:paraId="46560D9D" w14:textId="07B13654">
            <w:pPr>
              <w:ind w:firstLine="720"/>
              <w:jc w:val="both"/>
              <w:rPr>
                <w:sz w:val="24"/>
                <w:szCs w:val="24"/>
              </w:rPr>
            </w:pPr>
            <w:r w:rsidRPr="00DC6678">
              <w:rPr>
                <w:sz w:val="24"/>
                <w:szCs w:val="24"/>
              </w:rPr>
              <w:t>Konceptuāl</w:t>
            </w:r>
            <w:r w:rsidRPr="00DC6678" w:rsidR="00C63DED">
              <w:rPr>
                <w:sz w:val="24"/>
                <w:szCs w:val="24"/>
              </w:rPr>
              <w:t>ais</w:t>
            </w:r>
            <w:r w:rsidRPr="00DC6678">
              <w:rPr>
                <w:sz w:val="24"/>
                <w:szCs w:val="24"/>
              </w:rPr>
              <w:t xml:space="preserve"> ziņojum</w:t>
            </w:r>
            <w:r w:rsidRPr="00DC6678" w:rsidR="00C63DED">
              <w:rPr>
                <w:sz w:val="24"/>
                <w:szCs w:val="24"/>
              </w:rPr>
              <w:t>s (1</w:t>
            </w:r>
            <w:r w:rsidR="008F5378">
              <w:rPr>
                <w:sz w:val="24"/>
                <w:szCs w:val="24"/>
              </w:rPr>
              <w:t>3</w:t>
            </w:r>
            <w:r w:rsidRPr="00DC6678" w:rsidR="00C63DED">
              <w:rPr>
                <w:sz w:val="24"/>
                <w:szCs w:val="24"/>
              </w:rPr>
              <w:t>.</w:t>
            </w:r>
            <w:r w:rsidR="002640DF">
              <w:rPr>
                <w:sz w:val="24"/>
                <w:szCs w:val="24"/>
              </w:rPr>
              <w:t> </w:t>
            </w:r>
            <w:r w:rsidRPr="00DC6678" w:rsidR="00C63DED">
              <w:rPr>
                <w:sz w:val="24"/>
                <w:szCs w:val="24"/>
              </w:rPr>
              <w:t>lp</w:t>
            </w:r>
            <w:r w:rsidR="002640DF">
              <w:rPr>
                <w:sz w:val="24"/>
                <w:szCs w:val="24"/>
              </w:rPr>
              <w:t>.</w:t>
            </w:r>
            <w:r w:rsidRPr="00DC6678" w:rsidR="00C63DED">
              <w:rPr>
                <w:sz w:val="24"/>
                <w:szCs w:val="24"/>
              </w:rPr>
              <w:t>)</w:t>
            </w:r>
            <w:r w:rsidRPr="00DC6678" w:rsidR="00E354A0">
              <w:rPr>
                <w:sz w:val="24"/>
                <w:szCs w:val="24"/>
              </w:rPr>
              <w:t xml:space="preserve"> papildināt</w:t>
            </w:r>
            <w:r w:rsidRPr="00DC6678">
              <w:rPr>
                <w:sz w:val="24"/>
                <w:szCs w:val="24"/>
              </w:rPr>
              <w:t>s</w:t>
            </w:r>
            <w:r w:rsidRPr="00DC6678" w:rsidR="00E354A0">
              <w:rPr>
                <w:sz w:val="24"/>
                <w:szCs w:val="24"/>
              </w:rPr>
              <w:t xml:space="preserve"> ar tekstu "</w:t>
            </w:r>
            <w:r w:rsidRPr="00DC6678">
              <w:rPr>
                <w:b/>
                <w:sz w:val="24"/>
                <w:szCs w:val="24"/>
                <w:u w:val="single"/>
              </w:rPr>
              <w:t>Jāatzīmē, ka nosakot specializētās tiesas kompetences tvērumu, t</w:t>
            </w:r>
            <w:r w:rsidRPr="00DC6678" w:rsidR="00C63DED">
              <w:rPr>
                <w:b/>
                <w:sz w:val="24"/>
                <w:szCs w:val="24"/>
                <w:u w:val="single"/>
              </w:rPr>
              <w:t>ā</w:t>
            </w:r>
            <w:r w:rsidRPr="00DC6678">
              <w:rPr>
                <w:b/>
                <w:sz w:val="24"/>
                <w:szCs w:val="24"/>
                <w:u w:val="single"/>
              </w:rPr>
              <w:t xml:space="preserve"> sākotnēji </w:t>
            </w:r>
            <w:r w:rsidRPr="00DC6678" w:rsidR="00C63DED">
              <w:rPr>
                <w:b/>
                <w:sz w:val="24"/>
                <w:szCs w:val="24"/>
                <w:u w:val="single"/>
              </w:rPr>
              <w:t>nosakāma</w:t>
            </w:r>
            <w:r w:rsidRPr="00DC6678">
              <w:rPr>
                <w:b/>
                <w:sz w:val="24"/>
                <w:szCs w:val="24"/>
                <w:u w:val="single"/>
              </w:rPr>
              <w:t xml:space="preserve"> tādās jomās, kas prasa tūlītēju </w:t>
            </w:r>
            <w:r w:rsidRPr="00DC6678">
              <w:rPr>
                <w:b/>
                <w:sz w:val="24"/>
                <w:szCs w:val="24"/>
                <w:u w:val="single"/>
              </w:rPr>
              <w:lastRenderedPageBreak/>
              <w:t>risinājumu. Turpmākās kompetences tvēruma definēšanā, ja šāda nepieciešamība radīsies, būs ņemama vērā gan tiesas kapacitāte, gan lietu atbilstība specializācijas tvērumam. Jāņem vērā, ka specializēt</w:t>
            </w:r>
            <w:r w:rsidRPr="00DC6678" w:rsidR="00C63DED">
              <w:rPr>
                <w:b/>
                <w:sz w:val="24"/>
                <w:szCs w:val="24"/>
                <w:u w:val="single"/>
              </w:rPr>
              <w:t>ā</w:t>
            </w:r>
            <w:r w:rsidRPr="00DC6678">
              <w:rPr>
                <w:b/>
                <w:sz w:val="24"/>
                <w:szCs w:val="24"/>
                <w:u w:val="single"/>
              </w:rPr>
              <w:t>s tiesas kompetences tvērums tiek noteikts pēc priekšmeta, nevis, piemēram, subjekta. Tād</w:t>
            </w:r>
            <w:r w:rsidR="002640DF">
              <w:rPr>
                <w:b/>
                <w:sz w:val="24"/>
                <w:szCs w:val="24"/>
                <w:u w:val="single"/>
              </w:rPr>
              <w:t>ē</w:t>
            </w:r>
            <w:r w:rsidRPr="00DC6678">
              <w:rPr>
                <w:b/>
                <w:sz w:val="24"/>
                <w:szCs w:val="24"/>
                <w:u w:val="single"/>
              </w:rPr>
              <w:t>jādi, piemēram, strīdi, kas izrietēs no Kredītiestāžu likum</w:t>
            </w:r>
            <w:r w:rsidR="002640DF">
              <w:rPr>
                <w:b/>
                <w:sz w:val="24"/>
                <w:szCs w:val="24"/>
                <w:u w:val="single"/>
              </w:rPr>
              <w:t>a</w:t>
            </w:r>
            <w:r w:rsidRPr="00DC6678">
              <w:rPr>
                <w:b/>
                <w:sz w:val="24"/>
                <w:szCs w:val="24"/>
                <w:u w:val="single"/>
              </w:rPr>
              <w:t xml:space="preserve"> būs piekritīgi specializētai tiesai, ja prasības summa pārsniegs 0,5 </w:t>
            </w:r>
            <w:proofErr w:type="spellStart"/>
            <w:r w:rsidRPr="00DC6678">
              <w:rPr>
                <w:b/>
                <w:sz w:val="24"/>
                <w:szCs w:val="24"/>
                <w:u w:val="single"/>
              </w:rPr>
              <w:t>milj</w:t>
            </w:r>
            <w:proofErr w:type="spellEnd"/>
            <w:r w:rsidRPr="00DC6678">
              <w:rPr>
                <w:b/>
                <w:sz w:val="24"/>
                <w:szCs w:val="24"/>
                <w:u w:val="single"/>
              </w:rPr>
              <w:t xml:space="preserve"> </w:t>
            </w:r>
            <w:proofErr w:type="spellStart"/>
            <w:r w:rsidRPr="0042526C">
              <w:rPr>
                <w:b/>
                <w:i/>
                <w:sz w:val="24"/>
                <w:szCs w:val="24"/>
                <w:u w:val="single"/>
              </w:rPr>
              <w:t>euro</w:t>
            </w:r>
            <w:proofErr w:type="spellEnd"/>
            <w:r w:rsidRPr="00DC6678">
              <w:rPr>
                <w:b/>
                <w:sz w:val="24"/>
                <w:szCs w:val="24"/>
                <w:u w:val="single"/>
              </w:rPr>
              <w:t xml:space="preserve">." </w:t>
            </w:r>
          </w:p>
          <w:p w:rsidRPr="00DC6678" w:rsidR="004C1E85" w:rsidP="003C1015" w:rsidRDefault="004C1E85" w14:paraId="0721501F" w14:textId="6DB4A620">
            <w:pPr>
              <w:ind w:firstLine="720"/>
              <w:jc w:val="both"/>
              <w:rPr>
                <w:sz w:val="24"/>
                <w:szCs w:val="24"/>
              </w:rPr>
            </w:pPr>
          </w:p>
        </w:tc>
      </w:tr>
      <w:tr w:rsidRPr="00DC6678" w:rsidR="00EA1DAF" w:rsidTr="004F743E" w14:paraId="15259DFB"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DC6678" w:rsidR="00EA1DAF" w:rsidP="00C63DED" w:rsidRDefault="00C63DED" w14:paraId="658FC2E4" w14:textId="00328BB6">
            <w:pPr>
              <w:pStyle w:val="naisf"/>
              <w:ind w:firstLine="201"/>
              <w:rPr>
                <w:szCs w:val="20"/>
              </w:rPr>
            </w:pPr>
            <w:r w:rsidRPr="00DC6678">
              <w:rPr>
                <w:szCs w:val="20"/>
              </w:rPr>
              <w:lastRenderedPageBreak/>
              <w:t xml:space="preserve">9. </w:t>
            </w:r>
          </w:p>
        </w:tc>
        <w:tc>
          <w:tcPr>
            <w:tcW w:w="2977" w:type="dxa"/>
            <w:gridSpan w:val="2"/>
            <w:tcBorders>
              <w:top w:val="single" w:color="000000" w:sz="6" w:space="0"/>
              <w:left w:val="single" w:color="000000" w:sz="6" w:space="0"/>
              <w:bottom w:val="single" w:color="000000" w:sz="6" w:space="0"/>
              <w:right w:val="single" w:color="000000" w:sz="6" w:space="0"/>
            </w:tcBorders>
          </w:tcPr>
          <w:p w:rsidRPr="00DC6678" w:rsidR="00EA1DAF" w:rsidP="00EA1DAF" w:rsidRDefault="00EA1DAF" w14:paraId="634A044D" w14:textId="1D4AE29C">
            <w:pPr>
              <w:ind w:firstLine="720"/>
              <w:jc w:val="both"/>
              <w:rPr>
                <w:sz w:val="24"/>
                <w:szCs w:val="24"/>
              </w:rPr>
            </w:pPr>
            <w:r w:rsidRPr="00DC6678">
              <w:rPr>
                <w:sz w:val="24"/>
                <w:szCs w:val="24"/>
              </w:rPr>
              <w:t>Konceptuālā ziņojuma 3.</w:t>
            </w:r>
            <w:r w:rsidR="002640DF">
              <w:rPr>
                <w:sz w:val="24"/>
                <w:szCs w:val="24"/>
              </w:rPr>
              <w:t> </w:t>
            </w:r>
            <w:r w:rsidRPr="00DC6678">
              <w:rPr>
                <w:sz w:val="24"/>
                <w:szCs w:val="24"/>
              </w:rPr>
              <w:t>sadaļa (17.lp</w:t>
            </w:r>
            <w:r w:rsidR="002640DF">
              <w:rPr>
                <w:sz w:val="24"/>
                <w:szCs w:val="24"/>
              </w:rPr>
              <w:t>.</w:t>
            </w:r>
            <w:r w:rsidRPr="00DC6678">
              <w:rPr>
                <w:sz w:val="24"/>
                <w:szCs w:val="24"/>
              </w:rPr>
              <w:t xml:space="preserve">). </w:t>
            </w:r>
            <w:r w:rsidRPr="00DC6678">
              <w:rPr>
                <w:sz w:val="24"/>
                <w:szCs w:val="24"/>
              </w:rPr>
              <w:br/>
            </w:r>
            <w:r w:rsidRPr="00DC6678">
              <w:rPr>
                <w:sz w:val="24"/>
                <w:szCs w:val="24"/>
              </w:rPr>
              <w:tab/>
              <w:t xml:space="preserve">Līdz šim Latvijā lielākoties ir izmantots pirmais ceļš. Šobrīd tiesas specializācija ir ieviesta (paredzēta lietu piekritība vienai konkrētai tiesai): </w:t>
            </w:r>
          </w:p>
          <w:p w:rsidRPr="00DC6678" w:rsidR="00EA1DAF" w:rsidP="00EA1DAF" w:rsidRDefault="00EA1DAF" w14:paraId="2993D7E3" w14:textId="77777777">
            <w:pPr>
              <w:pStyle w:val="Sarakstarindkopa"/>
              <w:numPr>
                <w:ilvl w:val="0"/>
                <w:numId w:val="14"/>
              </w:numPr>
              <w:jc w:val="both"/>
            </w:pPr>
            <w:r w:rsidRPr="00DC6678">
              <w:t xml:space="preserve">lietās par kapitālsabiedrību dalībnieku (akcionāru) sapulces lēmumu </w:t>
            </w:r>
            <w:r w:rsidRPr="00DC6678">
              <w:lastRenderedPageBreak/>
              <w:t>atzīšanu par spēkā neesošiem (no 2013. gada 1. jūlija – Jelgavas tiesa (šobrīd Zemgales rajona tiesa));</w:t>
            </w:r>
          </w:p>
          <w:p w:rsidRPr="00DC6678" w:rsidR="00EA1DAF" w:rsidP="00EA1DAF" w:rsidRDefault="00EA1DAF" w14:paraId="27CDF81B" w14:textId="77777777">
            <w:pPr>
              <w:pStyle w:val="Sarakstarindkopa"/>
              <w:numPr>
                <w:ilvl w:val="0"/>
                <w:numId w:val="14"/>
              </w:numPr>
              <w:jc w:val="both"/>
            </w:pPr>
            <w:r w:rsidRPr="00DC6678">
              <w:t>lietās par rūpnieciskā īpašuma tiesībām (patenti, dizainparaugi, pusvadītāju izstrādājumi, preču zīmes, u.c.) (no 2015. gada 1. janvāra – Rīgas pilsētas Vidzemes priekšpilsētas tiesa);</w:t>
            </w:r>
          </w:p>
          <w:p w:rsidRPr="00DC6678" w:rsidR="00EA1DAF" w:rsidP="00EA1DAF" w:rsidRDefault="00EA1DAF" w14:paraId="23B3F914" w14:textId="77777777">
            <w:pPr>
              <w:pStyle w:val="Sarakstarindkopa"/>
              <w:numPr>
                <w:ilvl w:val="0"/>
                <w:numId w:val="14"/>
              </w:numPr>
              <w:jc w:val="both"/>
            </w:pPr>
            <w:r w:rsidRPr="00DC6678">
              <w:t xml:space="preserve">lietās par atzinuma sniegšanu ārvalsts tiesai par bērna pārvietošanas pāri robežai uz ārvalsti vai aizturēšanas ārvalstī tiesiskumu un </w:t>
            </w:r>
            <w:r w:rsidRPr="00DC6678">
              <w:lastRenderedPageBreak/>
              <w:t>lietas par bērna prettiesisku pārvietošanu pāri robežai uz Latviju vai aizturēšanu Latvijā (no 2015. gada 1. marta – Rīgas pilsētas Ziemeļu rajona tiesa (ar 2018. gada 15. janvāri tiesa pievienota Rīgas pilsētas Vidzemes priekšpilsētas tiesai));</w:t>
            </w:r>
          </w:p>
          <w:p w:rsidRPr="00DC6678" w:rsidR="00EA1DAF" w:rsidP="00EA1DAF" w:rsidRDefault="00EA1DAF" w14:paraId="4A6742DD" w14:textId="77777777">
            <w:pPr>
              <w:pStyle w:val="Sarakstarindkopa"/>
              <w:numPr>
                <w:ilvl w:val="0"/>
                <w:numId w:val="14"/>
              </w:numPr>
              <w:jc w:val="both"/>
            </w:pPr>
            <w:r w:rsidRPr="00DC6678">
              <w:t>lietās, kuru materiālos ir iekļauts valsts noslēpuma objekts (no 2015. gada 1. janvāra – Rīgas pilsētas Vidzemes priekšpilsētas tiesa);</w:t>
            </w:r>
          </w:p>
          <w:p w:rsidRPr="00DC6678" w:rsidR="00EA1DAF" w:rsidP="00EA1DAF" w:rsidRDefault="00EA1DAF" w14:paraId="57348449" w14:textId="7142043E">
            <w:pPr>
              <w:pStyle w:val="Sarakstarindkopa"/>
              <w:numPr>
                <w:ilvl w:val="0"/>
                <w:numId w:val="14"/>
              </w:numPr>
              <w:jc w:val="both"/>
              <w:rPr>
                <w:szCs w:val="20"/>
              </w:rPr>
            </w:pPr>
            <w:r w:rsidRPr="00DC6678">
              <w:t xml:space="preserve">lietās par zaudējumu atlīdzināšanu par </w:t>
            </w:r>
            <w:r w:rsidRPr="00DC6678">
              <w:lastRenderedPageBreak/>
              <w:t>konkurences tiesību pārkāpumiem (no 2017. gada 1. novembra – Rīgas pilsētas Latgales priekšpilsētas tiesa).</w:t>
            </w:r>
          </w:p>
        </w:tc>
        <w:tc>
          <w:tcPr>
            <w:tcW w:w="4394" w:type="dxa"/>
            <w:gridSpan w:val="2"/>
            <w:tcBorders>
              <w:top w:val="single" w:color="000000" w:sz="6" w:space="0"/>
              <w:left w:val="single" w:color="000000" w:sz="6" w:space="0"/>
              <w:bottom w:val="single" w:color="000000" w:sz="6" w:space="0"/>
              <w:right w:val="single" w:color="000000" w:sz="6" w:space="0"/>
            </w:tcBorders>
          </w:tcPr>
          <w:p w:rsidRPr="00DC6678" w:rsidR="00EA1DAF" w:rsidP="00EA1DAF" w:rsidRDefault="00EA1DAF" w14:paraId="14C3CE19" w14:textId="2EDE10E4">
            <w:pPr>
              <w:pStyle w:val="naisf"/>
              <w:spacing w:before="0" w:after="0"/>
              <w:ind w:firstLine="0"/>
              <w:rPr>
                <w:szCs w:val="20"/>
              </w:rPr>
            </w:pPr>
            <w:r w:rsidRPr="00DC6678">
              <w:lastRenderedPageBreak/>
              <w:t>Lūdzam papildināt koncepciju ar plānotajiem pasākumiem attiecībā jau uz izveidotajām specializētajām tiesām un tiesnešiem – vai plānots tās saglabāt vai kā citādi attīstīt, ņemot vērā koncepcijā piedāvāto risinājumu.</w:t>
            </w:r>
          </w:p>
        </w:tc>
        <w:tc>
          <w:tcPr>
            <w:tcW w:w="2835" w:type="dxa"/>
            <w:tcBorders>
              <w:top w:val="single" w:color="000000" w:sz="6" w:space="0"/>
              <w:left w:val="single" w:color="000000" w:sz="6" w:space="0"/>
              <w:bottom w:val="single" w:color="000000" w:sz="6" w:space="0"/>
              <w:right w:val="single" w:color="000000" w:sz="6" w:space="0"/>
            </w:tcBorders>
          </w:tcPr>
          <w:p w:rsidRPr="00DC6678" w:rsidR="00EA1DAF" w:rsidP="00EA1DAF" w:rsidRDefault="00EA1DAF" w14:paraId="36C645F0" w14:textId="6A53B143">
            <w:pPr>
              <w:pStyle w:val="naisf"/>
              <w:ind w:firstLine="0"/>
              <w:jc w:val="center"/>
              <w:rPr>
                <w:b/>
                <w:szCs w:val="20"/>
              </w:rPr>
            </w:pPr>
            <w:r w:rsidRPr="00DC6678">
              <w:rPr>
                <w:b/>
                <w:szCs w:val="20"/>
              </w:rPr>
              <w:t xml:space="preserve">Ņemts vērā. </w:t>
            </w:r>
          </w:p>
        </w:tc>
        <w:tc>
          <w:tcPr>
            <w:tcW w:w="3260" w:type="dxa"/>
            <w:gridSpan w:val="3"/>
            <w:tcBorders>
              <w:top w:val="single" w:color="auto" w:sz="4" w:space="0"/>
              <w:left w:val="single" w:color="auto" w:sz="4" w:space="0"/>
              <w:bottom w:val="single" w:color="auto" w:sz="4" w:space="0"/>
            </w:tcBorders>
          </w:tcPr>
          <w:p w:rsidRPr="00DC6678" w:rsidR="00EA1DAF" w:rsidP="00EA1DAF" w:rsidRDefault="00EA1DAF" w14:paraId="586F5FB5" w14:textId="1E671C9D">
            <w:pPr>
              <w:ind w:firstLine="720"/>
              <w:jc w:val="both"/>
              <w:rPr>
                <w:sz w:val="24"/>
                <w:szCs w:val="24"/>
              </w:rPr>
            </w:pPr>
            <w:r w:rsidRPr="00DC6678">
              <w:rPr>
                <w:sz w:val="24"/>
                <w:szCs w:val="24"/>
              </w:rPr>
              <w:t>Konceptuālā ziņojuma 3.</w:t>
            </w:r>
            <w:r w:rsidR="002640DF">
              <w:rPr>
                <w:sz w:val="24"/>
                <w:szCs w:val="24"/>
              </w:rPr>
              <w:t> </w:t>
            </w:r>
            <w:r w:rsidRPr="00DC6678">
              <w:rPr>
                <w:sz w:val="24"/>
                <w:szCs w:val="24"/>
              </w:rPr>
              <w:t>sadaļa (</w:t>
            </w:r>
            <w:r w:rsidR="008F5378">
              <w:rPr>
                <w:sz w:val="24"/>
                <w:szCs w:val="24"/>
              </w:rPr>
              <w:t>17</w:t>
            </w:r>
            <w:r w:rsidRPr="008F5378" w:rsidR="008F5378">
              <w:rPr>
                <w:sz w:val="24"/>
                <w:szCs w:val="24"/>
              </w:rPr>
              <w:t>. - 18. lp</w:t>
            </w:r>
            <w:r w:rsidRPr="00DC6678">
              <w:rPr>
                <w:sz w:val="24"/>
                <w:szCs w:val="24"/>
              </w:rPr>
              <w:t xml:space="preserve">). </w:t>
            </w:r>
          </w:p>
          <w:p w:rsidRPr="00DC6678" w:rsidR="00EA1DAF" w:rsidP="00EA1DAF" w:rsidRDefault="00EA1DAF" w14:paraId="52E5562F" w14:textId="17A60DE2">
            <w:pPr>
              <w:ind w:firstLine="720"/>
              <w:jc w:val="both"/>
              <w:rPr>
                <w:sz w:val="24"/>
                <w:szCs w:val="24"/>
              </w:rPr>
            </w:pPr>
            <w:r w:rsidRPr="00DC6678">
              <w:rPr>
                <w:sz w:val="24"/>
                <w:szCs w:val="24"/>
              </w:rPr>
              <w:t xml:space="preserve">Līdz šim Latvijā lielākoties ir izmantots pirmais ceļš. Šobrīd tiesas specializācija ir ieviesta (paredzēta lietu piekritība vienai konkrētai tiesai): </w:t>
            </w:r>
          </w:p>
          <w:p w:rsidRPr="00DC6678" w:rsidR="00EA1DAF" w:rsidP="00EA1DAF" w:rsidRDefault="00EA1DAF" w14:paraId="432829BB" w14:textId="77777777">
            <w:pPr>
              <w:pStyle w:val="Sarakstarindkopa"/>
              <w:numPr>
                <w:ilvl w:val="0"/>
                <w:numId w:val="14"/>
              </w:numPr>
              <w:jc w:val="both"/>
            </w:pPr>
            <w:r w:rsidRPr="00DC6678">
              <w:t xml:space="preserve">lietās par kapitālsabiedrību dalībnieku (akcionāru) sapulces lēmumu </w:t>
            </w:r>
            <w:r w:rsidRPr="00DC6678">
              <w:lastRenderedPageBreak/>
              <w:t>atzīšanu par spēkā neesošiem (no 2013. gada 1. jūlija – Jelgavas tiesa (šobrīd Zemgales rajona tiesa));</w:t>
            </w:r>
          </w:p>
          <w:p w:rsidRPr="00DC6678" w:rsidR="00EA1DAF" w:rsidP="00EA1DAF" w:rsidRDefault="00EA1DAF" w14:paraId="76D5D0E8" w14:textId="77777777">
            <w:pPr>
              <w:pStyle w:val="Sarakstarindkopa"/>
              <w:numPr>
                <w:ilvl w:val="0"/>
                <w:numId w:val="14"/>
              </w:numPr>
              <w:jc w:val="both"/>
            </w:pPr>
            <w:r w:rsidRPr="00DC6678">
              <w:t>lietās par rūpnieciskā īpašuma tiesībām (patenti, dizainparaugi, pusvadītāju izstrādājumi, preču zīmes, u.c.) (no 2015. gada 1. janvāra – Rīgas pilsētas Vidzemes priekšpilsētas tiesa);</w:t>
            </w:r>
          </w:p>
          <w:p w:rsidRPr="00DC6678" w:rsidR="00EA1DAF" w:rsidP="00EA1DAF" w:rsidRDefault="00EA1DAF" w14:paraId="03BC5CA8" w14:textId="77777777">
            <w:pPr>
              <w:pStyle w:val="Sarakstarindkopa"/>
              <w:numPr>
                <w:ilvl w:val="0"/>
                <w:numId w:val="14"/>
              </w:numPr>
              <w:jc w:val="both"/>
            </w:pPr>
            <w:r w:rsidRPr="00DC6678">
              <w:t xml:space="preserve">lietās par atzinuma sniegšanu ārvalsts tiesai par bērna pārvietošanas pāri robežai uz ārvalsti vai aizturēšanas ārvalstī tiesiskumu un lietas par bērna prettiesisku pārvietošanu pāri robežai uz Latviju vai aizturēšanu Latvijā (no 2015. gada 1. marta </w:t>
            </w:r>
            <w:r w:rsidRPr="00DC6678">
              <w:lastRenderedPageBreak/>
              <w:t>– Rīgas pilsētas Ziemeļu rajona tiesa (ar 2018. gada 15. janvāri tiesa pievienota Rīgas pilsētas Vidzemes priekšpilsētas tiesai));</w:t>
            </w:r>
          </w:p>
          <w:p w:rsidRPr="00DC6678" w:rsidR="00EA1DAF" w:rsidP="00EA1DAF" w:rsidRDefault="00EA1DAF" w14:paraId="6C3B3C9F" w14:textId="77777777">
            <w:pPr>
              <w:pStyle w:val="Sarakstarindkopa"/>
              <w:numPr>
                <w:ilvl w:val="0"/>
                <w:numId w:val="14"/>
              </w:numPr>
              <w:jc w:val="both"/>
            </w:pPr>
            <w:r w:rsidRPr="00DC6678">
              <w:t>lietās, kuru materiālos ir iekļauts valsts noslēpuma objekts (no 2015. gada 1. janvāra – Rīgas pilsētas Vidzemes priekšpilsētas tiesa);</w:t>
            </w:r>
          </w:p>
          <w:p w:rsidRPr="00DC6678" w:rsidR="00EA1DAF" w:rsidP="00EA1DAF" w:rsidRDefault="00EA1DAF" w14:paraId="37918451" w14:textId="77777777">
            <w:pPr>
              <w:pStyle w:val="Sarakstarindkopa"/>
              <w:numPr>
                <w:ilvl w:val="0"/>
                <w:numId w:val="14"/>
              </w:numPr>
              <w:jc w:val="both"/>
            </w:pPr>
            <w:r w:rsidRPr="00DC6678">
              <w:t>lietās par zaudējumu atlīdzināšanu par konkurences tiesību pārkāpumiem (no 2017. gada 1. novembra – Rīgas pilsētas Latgales priekšpilsētas tiesa).</w:t>
            </w:r>
          </w:p>
          <w:p w:rsidRPr="00DC6678" w:rsidR="00EA1DAF" w:rsidP="00EA1DAF" w:rsidRDefault="00EA1DAF" w14:paraId="648DE846" w14:textId="77777777">
            <w:pPr>
              <w:ind w:firstLine="720"/>
              <w:jc w:val="both"/>
              <w:rPr>
                <w:b/>
                <w:sz w:val="24"/>
                <w:szCs w:val="24"/>
                <w:u w:val="single"/>
              </w:rPr>
            </w:pPr>
            <w:r w:rsidRPr="00DC6678">
              <w:rPr>
                <w:b/>
                <w:sz w:val="24"/>
                <w:szCs w:val="24"/>
                <w:u w:val="single"/>
              </w:rPr>
              <w:t xml:space="preserve">Jāatzīmē, ka līdz ar specializētās tiesas izveidi, netiek plānota iepriekš minēto lietu kompetences pārdali. </w:t>
            </w:r>
          </w:p>
          <w:p w:rsidRPr="00DC6678" w:rsidR="00EA1DAF" w:rsidP="00EA1DAF" w:rsidRDefault="00EA1DAF" w14:paraId="6F75CC25" w14:textId="77777777">
            <w:pPr>
              <w:pStyle w:val="naisf"/>
              <w:rPr>
                <w:szCs w:val="20"/>
              </w:rPr>
            </w:pPr>
          </w:p>
        </w:tc>
      </w:tr>
      <w:tr w:rsidRPr="00DC6678" w:rsidR="00EA1DAF" w:rsidTr="004F743E" w14:paraId="1A5014E6"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DC6678" w:rsidR="00EA1DAF" w:rsidP="00C63DED" w:rsidRDefault="00C63DED" w14:paraId="12F4A39B" w14:textId="70A83F22">
            <w:pPr>
              <w:pStyle w:val="naisf"/>
              <w:ind w:firstLine="0"/>
            </w:pPr>
            <w:r w:rsidRPr="00DC6678">
              <w:lastRenderedPageBreak/>
              <w:t>10.</w:t>
            </w:r>
          </w:p>
        </w:tc>
        <w:tc>
          <w:tcPr>
            <w:tcW w:w="2977" w:type="dxa"/>
            <w:gridSpan w:val="2"/>
            <w:tcBorders>
              <w:top w:val="single" w:color="000000" w:sz="6" w:space="0"/>
              <w:left w:val="single" w:color="000000" w:sz="6" w:space="0"/>
              <w:bottom w:val="single" w:color="000000" w:sz="6" w:space="0"/>
              <w:right w:val="single" w:color="000000" w:sz="6" w:space="0"/>
            </w:tcBorders>
          </w:tcPr>
          <w:p w:rsidRPr="00DC6678" w:rsidR="00EA1DAF" w:rsidP="00EA1DAF" w:rsidRDefault="00ED41DB" w14:paraId="4E351D4A" w14:textId="26A13DDC">
            <w:pPr>
              <w:pStyle w:val="naisf"/>
              <w:ind w:firstLine="0"/>
            </w:pPr>
            <w:r w:rsidRPr="00DC6678">
              <w:t>Koncep</w:t>
            </w:r>
            <w:r w:rsidR="0042526C">
              <w:t>tuālais ziņojums</w:t>
            </w:r>
            <w:r w:rsidRPr="00DC6678">
              <w:t xml:space="preserve"> kopumā. </w:t>
            </w:r>
          </w:p>
        </w:tc>
        <w:tc>
          <w:tcPr>
            <w:tcW w:w="4394" w:type="dxa"/>
            <w:gridSpan w:val="2"/>
            <w:tcBorders>
              <w:top w:val="single" w:color="000000" w:sz="6" w:space="0"/>
              <w:left w:val="single" w:color="000000" w:sz="6" w:space="0"/>
              <w:bottom w:val="single" w:color="000000" w:sz="6" w:space="0"/>
              <w:right w:val="single" w:color="000000" w:sz="6" w:space="0"/>
            </w:tcBorders>
          </w:tcPr>
          <w:p w:rsidRPr="00DC6678" w:rsidR="00EA1DAF" w:rsidP="00EA1DAF" w:rsidRDefault="00EA1DAF" w14:paraId="66B1919F" w14:textId="074BCCB7">
            <w:pPr>
              <w:pStyle w:val="naisf"/>
              <w:spacing w:before="0" w:after="0"/>
              <w:ind w:firstLine="0"/>
            </w:pPr>
            <w:r w:rsidRPr="00DC6678">
              <w:t>Lūdzam papildināt koncepciju ar priekšlikumiem, kā plānotās tiesas izmantos alternatīvu strīdu izšķiršanas iespējas – attīstot  šķīrējtiesas, mediācijas, samierināšanas, vai paredzot tiešsaistes palīdzību. Tiesas iekšējās mediācijas ieviešana varētu būt vērtīgs papildinājums tiesu sistēmas piedāvāto strīdu izšķiršanas pakalpojumu ziņā, kā arī ietaupītu tiesas resursus ilgtermiņā</w:t>
            </w:r>
          </w:p>
        </w:tc>
        <w:tc>
          <w:tcPr>
            <w:tcW w:w="2835" w:type="dxa"/>
            <w:tcBorders>
              <w:top w:val="single" w:color="000000" w:sz="6" w:space="0"/>
              <w:left w:val="single" w:color="000000" w:sz="6" w:space="0"/>
              <w:bottom w:val="single" w:color="000000" w:sz="6" w:space="0"/>
              <w:right w:val="single" w:color="000000" w:sz="6" w:space="0"/>
            </w:tcBorders>
          </w:tcPr>
          <w:p w:rsidRPr="00DC6678" w:rsidR="00EA1DAF" w:rsidP="00EA1DAF" w:rsidRDefault="00B26147" w14:paraId="452C76A0" w14:textId="62968822">
            <w:pPr>
              <w:pStyle w:val="naisf"/>
              <w:ind w:firstLine="0"/>
              <w:jc w:val="center"/>
              <w:rPr>
                <w:b/>
              </w:rPr>
            </w:pPr>
            <w:r>
              <w:rPr>
                <w:b/>
              </w:rPr>
              <w:t>Ņemts vērā</w:t>
            </w:r>
          </w:p>
        </w:tc>
        <w:tc>
          <w:tcPr>
            <w:tcW w:w="3260" w:type="dxa"/>
            <w:gridSpan w:val="3"/>
            <w:tcBorders>
              <w:top w:val="single" w:color="auto" w:sz="4" w:space="0"/>
              <w:left w:val="single" w:color="auto" w:sz="4" w:space="0"/>
              <w:bottom w:val="single" w:color="auto" w:sz="4" w:space="0"/>
            </w:tcBorders>
          </w:tcPr>
          <w:p w:rsidRPr="00DC6678" w:rsidR="00EA1DAF" w:rsidRDefault="00EA1DAF" w14:paraId="55CFA740" w14:textId="58D95114">
            <w:pPr>
              <w:pStyle w:val="naisf"/>
            </w:pPr>
            <w:r w:rsidRPr="00DC6678">
              <w:t>Konceptuālā ziņojuma 3.</w:t>
            </w:r>
            <w:r w:rsidR="008B5D63">
              <w:t> </w:t>
            </w:r>
            <w:r w:rsidRPr="00DC6678">
              <w:t xml:space="preserve">sadaļa </w:t>
            </w:r>
            <w:r w:rsidRPr="00DC6678" w:rsidR="00C63DED">
              <w:t>(</w:t>
            </w:r>
            <w:r w:rsidR="008F5378">
              <w:t>20</w:t>
            </w:r>
            <w:r w:rsidRPr="00DC6678" w:rsidR="00C63DED">
              <w:t>.</w:t>
            </w:r>
            <w:r w:rsidR="008B5D63">
              <w:t> </w:t>
            </w:r>
            <w:r w:rsidRPr="00DC6678" w:rsidR="00C63DED">
              <w:t>lp</w:t>
            </w:r>
            <w:r w:rsidR="008B5D63">
              <w:t>.</w:t>
            </w:r>
            <w:r w:rsidRPr="00DC6678" w:rsidR="00C63DED">
              <w:t xml:space="preserve">) </w:t>
            </w:r>
            <w:r w:rsidRPr="00DC6678">
              <w:t>papildināta ar tekstu "</w:t>
            </w:r>
            <w:r w:rsidRPr="00DC6678" w:rsidR="00ED41DB">
              <w:rPr>
                <w:b/>
                <w:u w:val="single"/>
              </w:rPr>
              <w:t>Jāatzīmē, ka attiecībā uz specializētās tiesas kompetencē esošajām lietām netiks mainīti šobrīd ieviestie risinājumi noslodzes mazināšan</w:t>
            </w:r>
            <w:r w:rsidRPr="00DC6678" w:rsidR="00C63DED">
              <w:rPr>
                <w:b/>
                <w:u w:val="single"/>
              </w:rPr>
              <w:t>ai</w:t>
            </w:r>
            <w:r w:rsidRPr="00DC6678" w:rsidR="00ED41DB">
              <w:rPr>
                <w:b/>
                <w:u w:val="single"/>
              </w:rPr>
              <w:t>, piemēram, alternatīvās strīdu izšķiršanas iespējas. Šīs iespējas, ciktāl to pieļauj procesuālie likumi, arī turpmāk būs attiecināmas uz lietām, kuras būs specializētas tiesas kompetencē</w:t>
            </w:r>
            <w:r w:rsidRPr="00DC6678" w:rsidR="008C7CD7">
              <w:rPr>
                <w:b/>
                <w:u w:val="single"/>
              </w:rPr>
              <w:t xml:space="preserve">. </w:t>
            </w:r>
            <w:r w:rsidRPr="00DC6678" w:rsidR="008C7CD7">
              <w:rPr>
                <w:b/>
                <w:i/>
                <w:u w:val="single"/>
              </w:rPr>
              <w:t xml:space="preserve">Papildus atzīmējams, ka </w:t>
            </w:r>
            <w:r w:rsidR="008140E0">
              <w:rPr>
                <w:b/>
                <w:i/>
                <w:u w:val="single"/>
              </w:rPr>
              <w:t>Deklarācijā</w:t>
            </w:r>
            <w:r w:rsidRPr="00DC6678" w:rsidR="008C7CD7">
              <w:rPr>
                <w:b/>
                <w:i/>
                <w:u w:val="single"/>
              </w:rPr>
              <w:t xml:space="preserve"> dots uzdevums</w:t>
            </w:r>
            <w:r w:rsidR="008140E0">
              <w:rPr>
                <w:b/>
                <w:i/>
                <w:u w:val="single"/>
              </w:rPr>
              <w:t xml:space="preserve"> -</w:t>
            </w:r>
            <w:r w:rsidRPr="00DC6678" w:rsidR="008C7CD7">
              <w:rPr>
                <w:b/>
                <w:i/>
                <w:u w:val="single"/>
              </w:rPr>
              <w:t xml:space="preserve"> nodrošināsim ārpustiesas strīdu izskatīšanas veidu (šķīrējtiesas un mediācijas) plašāku izmantošanu.</w:t>
            </w:r>
            <w:r w:rsidRPr="00DC6678" w:rsidR="00ED41DB">
              <w:rPr>
                <w:b/>
                <w:i/>
                <w:u w:val="single"/>
              </w:rPr>
              <w:t>"</w:t>
            </w:r>
          </w:p>
        </w:tc>
      </w:tr>
      <w:tr w:rsidRPr="00DC6678" w:rsidR="00EA1DAF" w:rsidTr="004F743E" w14:paraId="1762493F"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DC6678" w:rsidR="00EA1DAF" w:rsidP="00C63DED" w:rsidRDefault="00C63DED" w14:paraId="18A6478A" w14:textId="74D0ED73">
            <w:pPr>
              <w:pStyle w:val="naisf"/>
              <w:ind w:firstLine="59"/>
            </w:pPr>
            <w:r w:rsidRPr="00DC6678">
              <w:lastRenderedPageBreak/>
              <w:t>11.</w:t>
            </w:r>
          </w:p>
        </w:tc>
        <w:tc>
          <w:tcPr>
            <w:tcW w:w="2977" w:type="dxa"/>
            <w:gridSpan w:val="2"/>
            <w:tcBorders>
              <w:top w:val="single" w:color="000000" w:sz="6" w:space="0"/>
              <w:left w:val="single" w:color="000000" w:sz="6" w:space="0"/>
              <w:bottom w:val="single" w:color="000000" w:sz="6" w:space="0"/>
              <w:right w:val="single" w:color="000000" w:sz="6" w:space="0"/>
            </w:tcBorders>
          </w:tcPr>
          <w:p w:rsidRPr="00DC6678" w:rsidR="00EA1DAF" w:rsidP="00EA1DAF" w:rsidRDefault="002C4269" w14:paraId="3E132591" w14:textId="77E6B128">
            <w:pPr>
              <w:pStyle w:val="naisf"/>
              <w:ind w:firstLine="0"/>
            </w:pPr>
            <w:r w:rsidRPr="00DC6678">
              <w:t>Koncep</w:t>
            </w:r>
            <w:r w:rsidR="0042526C">
              <w:t>tuālais ziņojums</w:t>
            </w:r>
            <w:r w:rsidRPr="00DC6678" w:rsidR="0042526C">
              <w:t xml:space="preserve"> </w:t>
            </w:r>
            <w:r w:rsidRPr="00DC6678">
              <w:t>kopumā</w:t>
            </w:r>
          </w:p>
        </w:tc>
        <w:tc>
          <w:tcPr>
            <w:tcW w:w="4394" w:type="dxa"/>
            <w:gridSpan w:val="2"/>
            <w:tcBorders>
              <w:top w:val="single" w:color="000000" w:sz="6" w:space="0"/>
              <w:left w:val="single" w:color="000000" w:sz="6" w:space="0"/>
              <w:bottom w:val="single" w:color="000000" w:sz="6" w:space="0"/>
              <w:right w:val="single" w:color="000000" w:sz="6" w:space="0"/>
            </w:tcBorders>
          </w:tcPr>
          <w:p w:rsidRPr="00DC6678" w:rsidR="00ED41DB" w:rsidP="00ED41DB" w:rsidRDefault="00ED41DB" w14:paraId="5D3ED814" w14:textId="77777777">
            <w:pPr>
              <w:ind w:firstLine="709"/>
              <w:jc w:val="both"/>
              <w:rPr>
                <w:sz w:val="24"/>
                <w:szCs w:val="24"/>
              </w:rPr>
            </w:pPr>
            <w:r w:rsidRPr="00DC6678">
              <w:rPr>
                <w:sz w:val="24"/>
                <w:szCs w:val="24"/>
              </w:rPr>
              <w:t>Ņemot vērā starptautiskajā praksē minētos specializēto tiesu izveides riskus - atvieglots atlases process, iespējas interešu grupām ietekmēt atlases procesu, iespējamas priviliģētas attieksmes vai neobjektivitātes tiesnešu lēmumos,  mazāk plaša pieredze, aicinām papildināt koncepciju ar risinājumiem, kā plānots novērst šos riskus gan tiesnešu un tiesas darbinieku atlases  un apmācību procesā, gan tiesu judikatūras veidošanā.</w:t>
            </w:r>
          </w:p>
          <w:p w:rsidRPr="00DC6678" w:rsidR="00EA1DAF" w:rsidP="00EA1DAF" w:rsidRDefault="00EA1DAF" w14:paraId="7F94FA7F" w14:textId="77777777">
            <w:pPr>
              <w:pStyle w:val="naisf"/>
              <w:spacing w:before="0" w:after="0"/>
              <w:ind w:firstLine="0"/>
            </w:pPr>
          </w:p>
        </w:tc>
        <w:tc>
          <w:tcPr>
            <w:tcW w:w="2835" w:type="dxa"/>
            <w:tcBorders>
              <w:top w:val="single" w:color="000000" w:sz="6" w:space="0"/>
              <w:left w:val="single" w:color="000000" w:sz="6" w:space="0"/>
              <w:bottom w:val="single" w:color="000000" w:sz="6" w:space="0"/>
              <w:right w:val="single" w:color="000000" w:sz="6" w:space="0"/>
            </w:tcBorders>
          </w:tcPr>
          <w:p w:rsidRPr="00DC6678" w:rsidR="00EA1DAF" w:rsidP="00EA1DAF" w:rsidRDefault="002C4269" w14:paraId="115ADDA4" w14:textId="204DBE3A">
            <w:pPr>
              <w:pStyle w:val="naisf"/>
              <w:ind w:firstLine="0"/>
              <w:jc w:val="center"/>
              <w:rPr>
                <w:b/>
              </w:rPr>
            </w:pPr>
            <w:r w:rsidRPr="00DC6678">
              <w:rPr>
                <w:b/>
              </w:rPr>
              <w:t>Ņemts vērā</w:t>
            </w:r>
          </w:p>
        </w:tc>
        <w:tc>
          <w:tcPr>
            <w:tcW w:w="3260" w:type="dxa"/>
            <w:gridSpan w:val="3"/>
            <w:tcBorders>
              <w:top w:val="single" w:color="auto" w:sz="4" w:space="0"/>
              <w:left w:val="single" w:color="auto" w:sz="4" w:space="0"/>
              <w:bottom w:val="single" w:color="auto" w:sz="4" w:space="0"/>
            </w:tcBorders>
          </w:tcPr>
          <w:p w:rsidRPr="00DC6678" w:rsidR="00440E70" w:rsidP="00440E70" w:rsidRDefault="002C4269" w14:paraId="26BADE5E" w14:textId="4B666E26">
            <w:pPr>
              <w:tabs>
                <w:tab w:val="left" w:pos="709"/>
              </w:tabs>
              <w:jc w:val="both"/>
              <w:rPr>
                <w:b/>
                <w:i/>
                <w:sz w:val="24"/>
                <w:szCs w:val="24"/>
                <w:u w:val="single"/>
              </w:rPr>
            </w:pPr>
            <w:r w:rsidRPr="00020BF6">
              <w:rPr>
                <w:sz w:val="24"/>
                <w:szCs w:val="24"/>
              </w:rPr>
              <w:t>Konceptuālā ziņojuma 3.</w:t>
            </w:r>
            <w:r w:rsidRPr="00020BF6" w:rsidR="008B5D63">
              <w:rPr>
                <w:sz w:val="24"/>
                <w:szCs w:val="24"/>
              </w:rPr>
              <w:t> </w:t>
            </w:r>
            <w:r w:rsidRPr="00020BF6">
              <w:rPr>
                <w:sz w:val="24"/>
                <w:szCs w:val="24"/>
              </w:rPr>
              <w:t xml:space="preserve">sadaļa </w:t>
            </w:r>
            <w:r w:rsidRPr="00020BF6" w:rsidR="00C63DED">
              <w:rPr>
                <w:sz w:val="24"/>
                <w:szCs w:val="24"/>
              </w:rPr>
              <w:t>(</w:t>
            </w:r>
            <w:r w:rsidR="008F5378">
              <w:rPr>
                <w:sz w:val="24"/>
                <w:szCs w:val="24"/>
              </w:rPr>
              <w:t>20</w:t>
            </w:r>
            <w:r w:rsidRPr="00020BF6" w:rsidR="00C63DED">
              <w:rPr>
                <w:sz w:val="24"/>
                <w:szCs w:val="24"/>
              </w:rPr>
              <w:t>.</w:t>
            </w:r>
            <w:r w:rsidRPr="00020BF6" w:rsidR="008B5D63">
              <w:rPr>
                <w:sz w:val="24"/>
                <w:szCs w:val="24"/>
              </w:rPr>
              <w:t> </w:t>
            </w:r>
            <w:r w:rsidRPr="00020BF6" w:rsidR="00C63DED">
              <w:rPr>
                <w:sz w:val="24"/>
                <w:szCs w:val="24"/>
              </w:rPr>
              <w:t>lp</w:t>
            </w:r>
            <w:r w:rsidRPr="00020BF6" w:rsidR="008B5D63">
              <w:rPr>
                <w:sz w:val="24"/>
                <w:szCs w:val="24"/>
              </w:rPr>
              <w:t>.</w:t>
            </w:r>
            <w:r w:rsidRPr="00020BF6" w:rsidR="00C63DED">
              <w:rPr>
                <w:sz w:val="24"/>
                <w:szCs w:val="24"/>
              </w:rPr>
              <w:t xml:space="preserve">) </w:t>
            </w:r>
            <w:r w:rsidRPr="00020BF6">
              <w:rPr>
                <w:sz w:val="24"/>
                <w:szCs w:val="24"/>
              </w:rPr>
              <w:t>papildināta ar tekstu</w:t>
            </w:r>
            <w:r w:rsidRPr="00DC6678">
              <w:rPr>
                <w:b/>
                <w:i/>
                <w:sz w:val="24"/>
                <w:szCs w:val="24"/>
                <w:u w:val="single"/>
              </w:rPr>
              <w:t xml:space="preserve"> "</w:t>
            </w:r>
            <w:r w:rsidRPr="00DC6678" w:rsidR="008C7CD7">
              <w:rPr>
                <w:b/>
                <w:i/>
                <w:sz w:val="24"/>
                <w:szCs w:val="24"/>
                <w:u w:val="single"/>
              </w:rPr>
              <w:t>Tiesnešu atlases process pats pēc savas būtības neizslēdz t.s. iekšējā konkursa rīkošanu. Tajā pašā laikā</w:t>
            </w:r>
            <w:r w:rsidR="003157C3">
              <w:rPr>
                <w:b/>
                <w:i/>
                <w:sz w:val="24"/>
                <w:szCs w:val="24"/>
                <w:u w:val="single"/>
              </w:rPr>
              <w:t>,</w:t>
            </w:r>
            <w:r w:rsidRPr="00DC6678" w:rsidR="008C7CD7">
              <w:rPr>
                <w:b/>
                <w:i/>
                <w:sz w:val="24"/>
                <w:szCs w:val="24"/>
                <w:u w:val="single"/>
              </w:rPr>
              <w:t xml:space="preserve"> ņemot vērā plānoto specializāciju, specializētās tiesas tiesnešu atlases procesā būtu nosakāmi papildu kritēriji. [..] Interešu konflikta risku un tā radītās sekas ir jāapzinās ikvienam tiesnesim un šo risku mazināšanai, būtiska ir tiesu varas pārstāvju pašu attieksme pret tiem vai tā gadījumiem profesijas ietvaros. Tād</w:t>
            </w:r>
            <w:r w:rsidR="003157C3">
              <w:rPr>
                <w:b/>
                <w:i/>
                <w:sz w:val="24"/>
                <w:szCs w:val="24"/>
                <w:u w:val="single"/>
              </w:rPr>
              <w:t>ē</w:t>
            </w:r>
            <w:r w:rsidRPr="00DC6678" w:rsidR="008C7CD7">
              <w:rPr>
                <w:b/>
                <w:i/>
                <w:sz w:val="24"/>
                <w:szCs w:val="24"/>
                <w:u w:val="single"/>
              </w:rPr>
              <w:t>jādi minētajiem jautājumiem tiks pievērsta pastiprināta uzmanība, veicot tiesneša amata kandidātu atlasi. Minētie aspekti, tāpat arī reputācija būs nozīmīgi faktori, kas tiks vērtēti tiesnešu atlases procesā.</w:t>
            </w:r>
            <w:r w:rsidR="003157C3">
              <w:rPr>
                <w:b/>
                <w:i/>
                <w:sz w:val="24"/>
                <w:szCs w:val="24"/>
                <w:u w:val="single"/>
              </w:rPr>
              <w:t>"</w:t>
            </w:r>
            <w:r w:rsidRPr="00DC6678" w:rsidR="008C7CD7">
              <w:rPr>
                <w:b/>
                <w:i/>
                <w:sz w:val="24"/>
                <w:szCs w:val="24"/>
                <w:u w:val="single"/>
              </w:rPr>
              <w:t xml:space="preserve"> </w:t>
            </w:r>
          </w:p>
          <w:p w:rsidRPr="00DC6678" w:rsidR="00EA1DAF" w:rsidP="008C7CD7" w:rsidRDefault="00440E70" w14:paraId="65F587A9" w14:textId="1426BFA3">
            <w:pPr>
              <w:tabs>
                <w:tab w:val="left" w:pos="709"/>
              </w:tabs>
              <w:jc w:val="both"/>
              <w:rPr>
                <w:b/>
                <w:i/>
                <w:sz w:val="24"/>
                <w:szCs w:val="24"/>
                <w:u w:val="single"/>
              </w:rPr>
            </w:pPr>
            <w:r w:rsidRPr="00DC6678">
              <w:rPr>
                <w:b/>
                <w:i/>
                <w:sz w:val="24"/>
                <w:szCs w:val="24"/>
                <w:u w:val="single"/>
              </w:rPr>
              <w:t>Konceptuālā ziņojuma 3.</w:t>
            </w:r>
            <w:r w:rsidR="003157C3">
              <w:rPr>
                <w:b/>
                <w:i/>
                <w:sz w:val="24"/>
                <w:szCs w:val="24"/>
                <w:u w:val="single"/>
              </w:rPr>
              <w:t> </w:t>
            </w:r>
            <w:r w:rsidRPr="00DC6678">
              <w:rPr>
                <w:b/>
                <w:i/>
                <w:sz w:val="24"/>
                <w:szCs w:val="24"/>
                <w:u w:val="single"/>
              </w:rPr>
              <w:t xml:space="preserve">sadaļa </w:t>
            </w:r>
            <w:r w:rsidRPr="00DC6678" w:rsidR="00C63DED">
              <w:rPr>
                <w:b/>
                <w:i/>
                <w:sz w:val="24"/>
                <w:szCs w:val="24"/>
                <w:u w:val="single"/>
              </w:rPr>
              <w:t>(2</w:t>
            </w:r>
            <w:r w:rsidR="008F5378">
              <w:rPr>
                <w:b/>
                <w:i/>
                <w:sz w:val="24"/>
                <w:szCs w:val="24"/>
                <w:u w:val="single"/>
              </w:rPr>
              <w:t>1</w:t>
            </w:r>
            <w:r w:rsidRPr="00DC6678" w:rsidR="00C63DED">
              <w:rPr>
                <w:b/>
                <w:i/>
                <w:sz w:val="24"/>
                <w:szCs w:val="24"/>
                <w:u w:val="single"/>
              </w:rPr>
              <w:t>.</w:t>
            </w:r>
            <w:r w:rsidR="003157C3">
              <w:rPr>
                <w:b/>
                <w:i/>
                <w:sz w:val="24"/>
                <w:szCs w:val="24"/>
                <w:u w:val="single"/>
              </w:rPr>
              <w:t> </w:t>
            </w:r>
            <w:r w:rsidRPr="00DC6678" w:rsidR="00C63DED">
              <w:rPr>
                <w:b/>
                <w:i/>
                <w:sz w:val="24"/>
                <w:szCs w:val="24"/>
                <w:u w:val="single"/>
              </w:rPr>
              <w:t>lp</w:t>
            </w:r>
            <w:r w:rsidR="003157C3">
              <w:rPr>
                <w:b/>
                <w:i/>
                <w:sz w:val="24"/>
                <w:szCs w:val="24"/>
                <w:u w:val="single"/>
              </w:rPr>
              <w:t>.</w:t>
            </w:r>
            <w:r w:rsidRPr="00DC6678" w:rsidR="00C63DED">
              <w:rPr>
                <w:b/>
                <w:i/>
                <w:sz w:val="24"/>
                <w:szCs w:val="24"/>
                <w:u w:val="single"/>
              </w:rPr>
              <w:t xml:space="preserve">) </w:t>
            </w:r>
            <w:r w:rsidRPr="00DC6678">
              <w:rPr>
                <w:b/>
                <w:i/>
                <w:sz w:val="24"/>
                <w:szCs w:val="24"/>
                <w:u w:val="single"/>
              </w:rPr>
              <w:t>papildināta ar tekstu "</w:t>
            </w:r>
            <w:r w:rsidRPr="00DC6678" w:rsidR="002C4269">
              <w:rPr>
                <w:b/>
                <w:i/>
                <w:sz w:val="24"/>
                <w:szCs w:val="24"/>
                <w:u w:val="single"/>
              </w:rPr>
              <w:t xml:space="preserve">Jāatzīmē, ka Tiesnešu ētikas kodeksa normas izvirza augstus profesionālās un ārpusdarba uzvedības standartus ikvienam </w:t>
            </w:r>
            <w:r w:rsidRPr="00DC6678" w:rsidR="002C4269">
              <w:rPr>
                <w:b/>
                <w:i/>
                <w:sz w:val="24"/>
                <w:szCs w:val="24"/>
                <w:u w:val="single"/>
              </w:rPr>
              <w:lastRenderedPageBreak/>
              <w:t xml:space="preserve">tiesnesim un tiesneša amata kandidātam, kā arī ar skaidrojumiem palīdz risināt ētiska rakstura dilemmas, kas nereti ir saistītas arī ar interešu konflikta risku vai interešu konflikta šķietamību. Jāatzīmē, ka interešu konflikta riska samazināšanai var tikt izmantotas likumā noteiktās disciplinārās uzraudzības pilnvaras. Piemēram, tiesas priekšsēdētāju kompetencē ir ierosināt disciplinārlietu par likumā </w:t>
            </w:r>
            <w:r w:rsidR="003157C3">
              <w:rPr>
                <w:b/>
                <w:i/>
                <w:sz w:val="24"/>
                <w:szCs w:val="24"/>
                <w:u w:val="single"/>
              </w:rPr>
              <w:t>"</w:t>
            </w:r>
            <w:r w:rsidRPr="00DC6678" w:rsidR="002C4269">
              <w:rPr>
                <w:b/>
                <w:i/>
                <w:sz w:val="24"/>
                <w:szCs w:val="24"/>
                <w:u w:val="single"/>
              </w:rPr>
              <w:t>Par interešu konflikta novēršanu valsts amatpersonu darbībā</w:t>
            </w:r>
            <w:r w:rsidR="003157C3">
              <w:rPr>
                <w:b/>
                <w:i/>
                <w:sz w:val="24"/>
                <w:szCs w:val="24"/>
                <w:u w:val="single"/>
              </w:rPr>
              <w:t>"</w:t>
            </w:r>
            <w:r w:rsidRPr="00DC6678" w:rsidR="002C4269">
              <w:rPr>
                <w:b/>
                <w:i/>
                <w:sz w:val="24"/>
                <w:szCs w:val="24"/>
                <w:u w:val="single"/>
              </w:rPr>
              <w:t xml:space="preserve"> paredzēto ierobežojumu un aizliegumu neievērošanu. Šādas </w:t>
            </w:r>
            <w:r w:rsidR="008140E0">
              <w:rPr>
                <w:b/>
                <w:i/>
                <w:sz w:val="24"/>
                <w:szCs w:val="24"/>
                <w:u w:val="single"/>
              </w:rPr>
              <w:t>tiesības būs attiecināmas arī uz</w:t>
            </w:r>
            <w:r w:rsidRPr="00DC6678" w:rsidR="002C4269">
              <w:rPr>
                <w:b/>
                <w:i/>
                <w:sz w:val="24"/>
                <w:szCs w:val="24"/>
                <w:u w:val="single"/>
              </w:rPr>
              <w:t xml:space="preserve"> specializētas tiesas priekšsēdētāj</w:t>
            </w:r>
            <w:r w:rsidR="008140E0">
              <w:rPr>
                <w:b/>
                <w:i/>
                <w:sz w:val="24"/>
                <w:szCs w:val="24"/>
                <w:u w:val="single"/>
              </w:rPr>
              <w:t>u</w:t>
            </w:r>
            <w:r w:rsidRPr="00DC6678" w:rsidR="002C4269">
              <w:rPr>
                <w:b/>
                <w:i/>
                <w:sz w:val="24"/>
                <w:szCs w:val="24"/>
                <w:u w:val="single"/>
              </w:rPr>
              <w:t xml:space="preserve">. Nav pamata apšaubīt, ka minētie risinājumi </w:t>
            </w:r>
            <w:r w:rsidRPr="00DC6678" w:rsidR="008C7CD7">
              <w:rPr>
                <w:b/>
                <w:i/>
                <w:sz w:val="24"/>
                <w:szCs w:val="24"/>
                <w:u w:val="single"/>
              </w:rPr>
              <w:t>interešu konflikta risk</w:t>
            </w:r>
            <w:r w:rsidRPr="00DC6678" w:rsidR="002C4269">
              <w:rPr>
                <w:b/>
                <w:i/>
                <w:sz w:val="24"/>
                <w:szCs w:val="24"/>
                <w:u w:val="single"/>
              </w:rPr>
              <w:t>u</w:t>
            </w:r>
            <w:r w:rsidRPr="00DC6678" w:rsidR="008C7CD7">
              <w:rPr>
                <w:b/>
                <w:i/>
                <w:sz w:val="24"/>
                <w:szCs w:val="24"/>
                <w:u w:val="single"/>
              </w:rPr>
              <w:t xml:space="preserve"> </w:t>
            </w:r>
            <w:r w:rsidRPr="00DC6678" w:rsidR="002C4269">
              <w:rPr>
                <w:b/>
                <w:i/>
                <w:sz w:val="24"/>
                <w:szCs w:val="24"/>
                <w:u w:val="single"/>
              </w:rPr>
              <w:t>mazināšanai ir efektīvi."</w:t>
            </w:r>
          </w:p>
        </w:tc>
      </w:tr>
      <w:tr w:rsidRPr="00DC6678" w:rsidR="00ED41DB" w:rsidTr="004F743E" w14:paraId="708087D8"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DC6678" w:rsidR="00ED41DB" w:rsidP="00C63DED" w:rsidRDefault="00C63DED" w14:paraId="5024BF74" w14:textId="31690058">
            <w:pPr>
              <w:pStyle w:val="naisf"/>
              <w:ind w:firstLine="0"/>
              <w:rPr>
                <w:szCs w:val="20"/>
              </w:rPr>
            </w:pPr>
            <w:r w:rsidRPr="00DC6678">
              <w:rPr>
                <w:szCs w:val="20"/>
              </w:rPr>
              <w:lastRenderedPageBreak/>
              <w:t>12.</w:t>
            </w:r>
          </w:p>
        </w:tc>
        <w:tc>
          <w:tcPr>
            <w:tcW w:w="2977" w:type="dxa"/>
            <w:gridSpan w:val="2"/>
            <w:tcBorders>
              <w:top w:val="single" w:color="000000" w:sz="6" w:space="0"/>
              <w:left w:val="single" w:color="000000" w:sz="6" w:space="0"/>
              <w:bottom w:val="single" w:color="000000" w:sz="6" w:space="0"/>
              <w:right w:val="single" w:color="000000" w:sz="6" w:space="0"/>
            </w:tcBorders>
          </w:tcPr>
          <w:p w:rsidRPr="00DC6678" w:rsidR="00ED41DB" w:rsidP="00EA1DAF" w:rsidRDefault="00440E70" w14:paraId="2CD1AEDE" w14:textId="64135594">
            <w:pPr>
              <w:pStyle w:val="naisf"/>
              <w:ind w:firstLine="0"/>
              <w:rPr>
                <w:szCs w:val="20"/>
              </w:rPr>
            </w:pPr>
            <w:r w:rsidRPr="00DC6678">
              <w:rPr>
                <w:szCs w:val="20"/>
              </w:rPr>
              <w:t>Konce</w:t>
            </w:r>
            <w:r w:rsidR="003157C3">
              <w:rPr>
                <w:szCs w:val="20"/>
              </w:rPr>
              <w:t>p</w:t>
            </w:r>
            <w:r w:rsidR="0042526C">
              <w:t>tuālā ziņojuma</w:t>
            </w:r>
            <w:r w:rsidRPr="00DC6678">
              <w:rPr>
                <w:szCs w:val="20"/>
              </w:rPr>
              <w:t xml:space="preserve"> 4.</w:t>
            </w:r>
            <w:r w:rsidR="003157C3">
              <w:rPr>
                <w:szCs w:val="20"/>
              </w:rPr>
              <w:t> </w:t>
            </w:r>
            <w:r w:rsidRPr="00DC6678">
              <w:rPr>
                <w:szCs w:val="20"/>
              </w:rPr>
              <w:t>sadaļa</w:t>
            </w:r>
          </w:p>
        </w:tc>
        <w:tc>
          <w:tcPr>
            <w:tcW w:w="4394" w:type="dxa"/>
            <w:gridSpan w:val="2"/>
            <w:tcBorders>
              <w:top w:val="single" w:color="000000" w:sz="6" w:space="0"/>
              <w:left w:val="single" w:color="000000" w:sz="6" w:space="0"/>
              <w:bottom w:val="single" w:color="000000" w:sz="6" w:space="0"/>
              <w:right w:val="single" w:color="000000" w:sz="6" w:space="0"/>
            </w:tcBorders>
          </w:tcPr>
          <w:p w:rsidRPr="00DC6678" w:rsidR="00440E70" w:rsidP="00440E70" w:rsidRDefault="00440E70" w14:paraId="068E2ADC" w14:textId="77777777">
            <w:pPr>
              <w:ind w:firstLine="709"/>
              <w:jc w:val="both"/>
              <w:rPr>
                <w:sz w:val="24"/>
                <w:szCs w:val="24"/>
              </w:rPr>
            </w:pPr>
            <w:r w:rsidRPr="00DC6678">
              <w:rPr>
                <w:sz w:val="24"/>
                <w:szCs w:val="24"/>
              </w:rPr>
              <w:t>Koncepcijas ieviešanai papildu nepieciešami finansējums 2020. gadam 351 097 </w:t>
            </w:r>
            <w:proofErr w:type="spellStart"/>
            <w:r w:rsidRPr="00DC6678">
              <w:rPr>
                <w:i/>
                <w:sz w:val="24"/>
                <w:szCs w:val="24"/>
              </w:rPr>
              <w:t>euro</w:t>
            </w:r>
            <w:proofErr w:type="spellEnd"/>
            <w:r w:rsidRPr="00DC6678">
              <w:rPr>
                <w:sz w:val="24"/>
                <w:szCs w:val="24"/>
              </w:rPr>
              <w:t xml:space="preserve"> un turpmāk ik gadu 607 897 </w:t>
            </w:r>
            <w:proofErr w:type="spellStart"/>
            <w:r w:rsidRPr="00DC6678">
              <w:rPr>
                <w:i/>
                <w:sz w:val="24"/>
                <w:szCs w:val="24"/>
              </w:rPr>
              <w:t>euro</w:t>
            </w:r>
            <w:proofErr w:type="spellEnd"/>
            <w:r w:rsidRPr="00DC6678">
              <w:rPr>
                <w:sz w:val="24"/>
                <w:szCs w:val="24"/>
              </w:rPr>
              <w:t xml:space="preserve"> apmērā. Lūdzam izvērtēt un attiecīgi papildināt koncepciju, vai budžeta </w:t>
            </w:r>
            <w:proofErr w:type="spellStart"/>
            <w:r w:rsidRPr="00DC6678">
              <w:rPr>
                <w:sz w:val="24"/>
                <w:szCs w:val="24"/>
              </w:rPr>
              <w:t>nepiešķiršas</w:t>
            </w:r>
            <w:proofErr w:type="spellEnd"/>
            <w:r w:rsidRPr="00DC6678">
              <w:rPr>
                <w:sz w:val="24"/>
                <w:szCs w:val="24"/>
              </w:rPr>
              <w:t xml:space="preserve"> gadījumā Tiesu </w:t>
            </w:r>
            <w:proofErr w:type="spellStart"/>
            <w:r w:rsidRPr="00DC6678">
              <w:rPr>
                <w:sz w:val="24"/>
                <w:szCs w:val="24"/>
              </w:rPr>
              <w:t>admistrācijai</w:t>
            </w:r>
            <w:proofErr w:type="spellEnd"/>
            <w:r w:rsidRPr="00DC6678">
              <w:rPr>
                <w:sz w:val="24"/>
                <w:szCs w:val="24"/>
              </w:rPr>
              <w:t xml:space="preserve"> būs nepieciešams nodrošināt specializēto </w:t>
            </w:r>
            <w:r w:rsidRPr="00DC6678">
              <w:rPr>
                <w:sz w:val="24"/>
                <w:szCs w:val="24"/>
              </w:rPr>
              <w:lastRenderedPageBreak/>
              <w:t>tiesu izveidi esošo resursu ietvaros, iespējams pārdalot esošo tiesu resursus, lai uzsāktu plānoto tiesu darbu.</w:t>
            </w:r>
          </w:p>
          <w:p w:rsidRPr="00DC6678" w:rsidR="00ED41DB" w:rsidP="00EA1DAF" w:rsidRDefault="00ED41DB" w14:paraId="032E3971" w14:textId="77777777">
            <w:pPr>
              <w:pStyle w:val="naisf"/>
              <w:spacing w:before="0" w:after="0"/>
              <w:ind w:firstLine="0"/>
            </w:pPr>
          </w:p>
        </w:tc>
        <w:tc>
          <w:tcPr>
            <w:tcW w:w="2835" w:type="dxa"/>
            <w:tcBorders>
              <w:top w:val="single" w:color="000000" w:sz="6" w:space="0"/>
              <w:left w:val="single" w:color="000000" w:sz="6" w:space="0"/>
              <w:bottom w:val="single" w:color="000000" w:sz="6" w:space="0"/>
              <w:right w:val="single" w:color="000000" w:sz="6" w:space="0"/>
            </w:tcBorders>
          </w:tcPr>
          <w:p w:rsidRPr="00DC6678" w:rsidR="00ED41DB" w:rsidP="00EA1DAF" w:rsidRDefault="00440E70" w14:paraId="1F5E5FC5" w14:textId="631CD077">
            <w:pPr>
              <w:pStyle w:val="naisf"/>
              <w:ind w:firstLine="0"/>
              <w:jc w:val="center"/>
              <w:rPr>
                <w:b/>
                <w:szCs w:val="20"/>
              </w:rPr>
            </w:pPr>
            <w:r w:rsidRPr="00DC6678">
              <w:rPr>
                <w:b/>
                <w:szCs w:val="20"/>
              </w:rPr>
              <w:lastRenderedPageBreak/>
              <w:t>Ņemts vērā</w:t>
            </w:r>
          </w:p>
        </w:tc>
        <w:tc>
          <w:tcPr>
            <w:tcW w:w="3260" w:type="dxa"/>
            <w:gridSpan w:val="3"/>
            <w:tcBorders>
              <w:top w:val="single" w:color="auto" w:sz="4" w:space="0"/>
              <w:left w:val="single" w:color="auto" w:sz="4" w:space="0"/>
              <w:bottom w:val="single" w:color="auto" w:sz="4" w:space="0"/>
            </w:tcBorders>
          </w:tcPr>
          <w:p w:rsidRPr="00DC6678" w:rsidR="00ED41DB" w:rsidP="00EA1DAF" w:rsidRDefault="00440E70" w14:paraId="028CD97F" w14:textId="6973E7BA">
            <w:pPr>
              <w:pStyle w:val="naisf"/>
              <w:rPr>
                <w:szCs w:val="20"/>
              </w:rPr>
            </w:pPr>
            <w:r w:rsidRPr="00DC6678">
              <w:rPr>
                <w:szCs w:val="20"/>
              </w:rPr>
              <w:t>Koncep</w:t>
            </w:r>
            <w:r w:rsidR="003157C3">
              <w:rPr>
                <w:szCs w:val="20"/>
              </w:rPr>
              <w:t xml:space="preserve">tuālā ziņojuma </w:t>
            </w:r>
            <w:r w:rsidRPr="00DC6678">
              <w:rPr>
                <w:szCs w:val="20"/>
              </w:rPr>
              <w:t>4.</w:t>
            </w:r>
            <w:r w:rsidR="003157C3">
              <w:rPr>
                <w:szCs w:val="20"/>
              </w:rPr>
              <w:t> </w:t>
            </w:r>
            <w:r w:rsidRPr="00DC6678">
              <w:rPr>
                <w:szCs w:val="20"/>
              </w:rPr>
              <w:t>sadaļa</w:t>
            </w:r>
            <w:r w:rsidRPr="00DC6678" w:rsidR="00C63DED">
              <w:rPr>
                <w:szCs w:val="20"/>
              </w:rPr>
              <w:t xml:space="preserve"> (2</w:t>
            </w:r>
            <w:r w:rsidR="008F5378">
              <w:rPr>
                <w:szCs w:val="20"/>
              </w:rPr>
              <w:t>4</w:t>
            </w:r>
            <w:r w:rsidRPr="00DC6678" w:rsidR="00C63DED">
              <w:rPr>
                <w:szCs w:val="20"/>
              </w:rPr>
              <w:t>.</w:t>
            </w:r>
            <w:r w:rsidR="003157C3">
              <w:rPr>
                <w:szCs w:val="20"/>
              </w:rPr>
              <w:t> </w:t>
            </w:r>
            <w:r w:rsidRPr="00DC6678" w:rsidR="00C63DED">
              <w:rPr>
                <w:szCs w:val="20"/>
              </w:rPr>
              <w:t>lp</w:t>
            </w:r>
            <w:r w:rsidR="003157C3">
              <w:rPr>
                <w:szCs w:val="20"/>
              </w:rPr>
              <w:t>.</w:t>
            </w:r>
            <w:r w:rsidRPr="00DC6678" w:rsidR="00C63DED">
              <w:rPr>
                <w:szCs w:val="20"/>
              </w:rPr>
              <w:t>)</w:t>
            </w:r>
            <w:r w:rsidRPr="00DC6678">
              <w:rPr>
                <w:szCs w:val="20"/>
              </w:rPr>
              <w:t xml:space="preserve"> papildināta ar tekstu šādā redakcijā: "</w:t>
            </w:r>
            <w:r w:rsidRPr="00DC6678">
              <w:rPr>
                <w:b/>
                <w:u w:val="single"/>
              </w:rPr>
              <w:t>Bez papildu finansējuma iepriekš minēt</w:t>
            </w:r>
            <w:r w:rsidR="003157C3">
              <w:rPr>
                <w:b/>
                <w:u w:val="single"/>
              </w:rPr>
              <w:t>aj</w:t>
            </w:r>
            <w:r w:rsidRPr="00DC6678">
              <w:rPr>
                <w:b/>
                <w:u w:val="single"/>
              </w:rPr>
              <w:t xml:space="preserve">ā apmērā nebūs iespējams nedrošināt </w:t>
            </w:r>
            <w:r w:rsidRPr="00DC6678">
              <w:rPr>
                <w:b/>
                <w:u w:val="single"/>
              </w:rPr>
              <w:lastRenderedPageBreak/>
              <w:t>specializētas tiesas izveidi esošo resursu ietvaros."</w:t>
            </w:r>
          </w:p>
        </w:tc>
      </w:tr>
      <w:tr w:rsidRPr="00DC6678" w:rsidR="00ED41DB" w:rsidTr="004F743E" w14:paraId="74DF343D"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DC6678" w:rsidR="00ED41DB" w:rsidP="00C63DED" w:rsidRDefault="00C63DED" w14:paraId="0DD82BCB" w14:textId="5C8818E1">
            <w:pPr>
              <w:pStyle w:val="naisf"/>
              <w:ind w:firstLine="59"/>
              <w:rPr>
                <w:szCs w:val="20"/>
              </w:rPr>
            </w:pPr>
            <w:r w:rsidRPr="00DC6678">
              <w:rPr>
                <w:szCs w:val="20"/>
              </w:rPr>
              <w:lastRenderedPageBreak/>
              <w:t>13.</w:t>
            </w:r>
          </w:p>
        </w:tc>
        <w:tc>
          <w:tcPr>
            <w:tcW w:w="2977" w:type="dxa"/>
            <w:gridSpan w:val="2"/>
            <w:tcBorders>
              <w:top w:val="single" w:color="000000" w:sz="6" w:space="0"/>
              <w:left w:val="single" w:color="000000" w:sz="6" w:space="0"/>
              <w:bottom w:val="single" w:color="000000" w:sz="6" w:space="0"/>
              <w:right w:val="single" w:color="000000" w:sz="6" w:space="0"/>
            </w:tcBorders>
          </w:tcPr>
          <w:p w:rsidRPr="00DC6678" w:rsidR="00ED41DB" w:rsidP="00EA1DAF" w:rsidRDefault="00C63DED" w14:paraId="3914B1A2" w14:textId="1E8DC9BA">
            <w:pPr>
              <w:pStyle w:val="naisf"/>
              <w:ind w:firstLine="0"/>
              <w:rPr>
                <w:szCs w:val="20"/>
              </w:rPr>
            </w:pPr>
            <w:r w:rsidRPr="00DC6678">
              <w:rPr>
                <w:szCs w:val="20"/>
              </w:rPr>
              <w:t>Koncep</w:t>
            </w:r>
            <w:r w:rsidR="0008317E">
              <w:t>tuālais ziņojuma</w:t>
            </w:r>
            <w:r w:rsidRPr="00DC6678" w:rsidR="0008317E">
              <w:t xml:space="preserve"> </w:t>
            </w:r>
            <w:r w:rsidRPr="00DC6678">
              <w:rPr>
                <w:szCs w:val="20"/>
              </w:rPr>
              <w:t xml:space="preserve"> 1.</w:t>
            </w:r>
            <w:r w:rsidR="003157C3">
              <w:rPr>
                <w:szCs w:val="20"/>
              </w:rPr>
              <w:t> </w:t>
            </w:r>
            <w:r w:rsidRPr="00DC6678">
              <w:rPr>
                <w:szCs w:val="20"/>
              </w:rPr>
              <w:t xml:space="preserve">pielikums. </w:t>
            </w:r>
          </w:p>
        </w:tc>
        <w:tc>
          <w:tcPr>
            <w:tcW w:w="4394" w:type="dxa"/>
            <w:gridSpan w:val="2"/>
            <w:tcBorders>
              <w:top w:val="single" w:color="000000" w:sz="6" w:space="0"/>
              <w:left w:val="single" w:color="000000" w:sz="6" w:space="0"/>
              <w:bottom w:val="single" w:color="000000" w:sz="6" w:space="0"/>
              <w:right w:val="single" w:color="000000" w:sz="6" w:space="0"/>
            </w:tcBorders>
          </w:tcPr>
          <w:p w:rsidRPr="00DC6678" w:rsidR="00ED41DB" w:rsidP="00EA1DAF" w:rsidRDefault="00440E70" w14:paraId="69EF781A" w14:textId="1221DC39">
            <w:pPr>
              <w:pStyle w:val="naisf"/>
              <w:spacing w:before="0" w:after="0"/>
              <w:ind w:firstLine="0"/>
            </w:pPr>
            <w:r w:rsidRPr="00DC6678">
              <w:t>Priekšlikums izvērtēt, vai tiesnešu atlases procedūra uz vakantajām specializētās tiesas tiesnešu amata vietām visos gadījumos organizējama, izsludinot konkursu, vai ņemama vērā būtu atsevišķu tiesnešu specializācija un pieredze, nepieciešamības gadījumā aicinām precizēt 1.pielikuma 2.punktu</w:t>
            </w:r>
          </w:p>
        </w:tc>
        <w:tc>
          <w:tcPr>
            <w:tcW w:w="2835" w:type="dxa"/>
            <w:tcBorders>
              <w:top w:val="single" w:color="000000" w:sz="6" w:space="0"/>
              <w:left w:val="single" w:color="000000" w:sz="6" w:space="0"/>
              <w:bottom w:val="single" w:color="000000" w:sz="6" w:space="0"/>
              <w:right w:val="single" w:color="000000" w:sz="6" w:space="0"/>
            </w:tcBorders>
          </w:tcPr>
          <w:p w:rsidRPr="00DC6678" w:rsidR="00ED41DB" w:rsidP="00EA1DAF" w:rsidRDefault="00440E70" w14:paraId="22DF7F00" w14:textId="6C0DB0B5">
            <w:pPr>
              <w:pStyle w:val="naisf"/>
              <w:ind w:firstLine="0"/>
              <w:jc w:val="center"/>
              <w:rPr>
                <w:b/>
                <w:szCs w:val="20"/>
              </w:rPr>
            </w:pPr>
            <w:r w:rsidRPr="00DC6678">
              <w:rPr>
                <w:b/>
                <w:szCs w:val="20"/>
              </w:rPr>
              <w:t xml:space="preserve">Ņemts vērā </w:t>
            </w:r>
          </w:p>
        </w:tc>
        <w:tc>
          <w:tcPr>
            <w:tcW w:w="3260" w:type="dxa"/>
            <w:gridSpan w:val="3"/>
            <w:tcBorders>
              <w:top w:val="single" w:color="auto" w:sz="4" w:space="0"/>
              <w:left w:val="single" w:color="auto" w:sz="4" w:space="0"/>
              <w:bottom w:val="single" w:color="auto" w:sz="4" w:space="0"/>
            </w:tcBorders>
          </w:tcPr>
          <w:p w:rsidRPr="00DC6678" w:rsidR="00ED41DB" w:rsidP="00EA1DAF" w:rsidRDefault="00440E70" w14:paraId="7317D8A5" w14:textId="098FDE9E">
            <w:pPr>
              <w:pStyle w:val="naisf"/>
              <w:rPr>
                <w:szCs w:val="20"/>
              </w:rPr>
            </w:pPr>
            <w:r w:rsidRPr="00DC6678">
              <w:rPr>
                <w:lang w:eastAsia="en-US"/>
              </w:rPr>
              <w:t>Sk. papildinājumu Konceptuālā ziņojuma 3.</w:t>
            </w:r>
            <w:r w:rsidR="003157C3">
              <w:rPr>
                <w:lang w:eastAsia="en-US"/>
              </w:rPr>
              <w:t> </w:t>
            </w:r>
            <w:r w:rsidRPr="00DC6678">
              <w:rPr>
                <w:lang w:eastAsia="en-US"/>
              </w:rPr>
              <w:t xml:space="preserve">sadaļā </w:t>
            </w:r>
            <w:r w:rsidRPr="00DC6678" w:rsidR="008C7CD7">
              <w:rPr>
                <w:lang w:eastAsia="en-US"/>
              </w:rPr>
              <w:t>(20.</w:t>
            </w:r>
            <w:r w:rsidR="003157C3">
              <w:rPr>
                <w:lang w:eastAsia="en-US"/>
              </w:rPr>
              <w:t> </w:t>
            </w:r>
            <w:r w:rsidRPr="00DC6678" w:rsidR="008C7CD7">
              <w:rPr>
                <w:lang w:eastAsia="en-US"/>
              </w:rPr>
              <w:t>lp</w:t>
            </w:r>
            <w:r w:rsidR="003157C3">
              <w:rPr>
                <w:lang w:eastAsia="en-US"/>
              </w:rPr>
              <w:t>.</w:t>
            </w:r>
            <w:r w:rsidRPr="00DC6678" w:rsidR="008C7CD7">
              <w:rPr>
                <w:lang w:eastAsia="en-US"/>
              </w:rPr>
              <w:t xml:space="preserve">). </w:t>
            </w:r>
            <w:r w:rsidRPr="00DC6678">
              <w:rPr>
                <w:lang w:eastAsia="en-US"/>
              </w:rPr>
              <w:t xml:space="preserve"> </w:t>
            </w:r>
          </w:p>
        </w:tc>
      </w:tr>
      <w:tr w:rsidRPr="00DC6678" w:rsidR="00ED41DB" w:rsidTr="004F743E" w14:paraId="3CE21C76"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DC6678" w:rsidR="00ED41DB" w:rsidP="00C63DED" w:rsidRDefault="00C63DED" w14:paraId="31E40391" w14:textId="051F1FAB">
            <w:pPr>
              <w:pStyle w:val="naisf"/>
              <w:ind w:firstLine="59"/>
              <w:rPr>
                <w:szCs w:val="20"/>
              </w:rPr>
            </w:pPr>
            <w:r w:rsidRPr="00DC6678">
              <w:rPr>
                <w:szCs w:val="20"/>
              </w:rPr>
              <w:t xml:space="preserve">14. </w:t>
            </w:r>
          </w:p>
        </w:tc>
        <w:tc>
          <w:tcPr>
            <w:tcW w:w="2977" w:type="dxa"/>
            <w:gridSpan w:val="2"/>
            <w:tcBorders>
              <w:top w:val="single" w:color="000000" w:sz="6" w:space="0"/>
              <w:left w:val="single" w:color="000000" w:sz="6" w:space="0"/>
              <w:bottom w:val="single" w:color="000000" w:sz="6" w:space="0"/>
              <w:right w:val="single" w:color="000000" w:sz="6" w:space="0"/>
            </w:tcBorders>
          </w:tcPr>
          <w:p w:rsidRPr="00DC6678" w:rsidR="00ED41DB" w:rsidP="00EA1DAF" w:rsidRDefault="00C63DED" w14:paraId="1369B1D0" w14:textId="70B632DF">
            <w:pPr>
              <w:pStyle w:val="naisf"/>
              <w:ind w:firstLine="0"/>
              <w:rPr>
                <w:szCs w:val="20"/>
              </w:rPr>
            </w:pPr>
            <w:r w:rsidRPr="00DC6678">
              <w:rPr>
                <w:szCs w:val="20"/>
              </w:rPr>
              <w:t>Koncep</w:t>
            </w:r>
            <w:r w:rsidR="0008317E">
              <w:t>tuālais ziņojums</w:t>
            </w:r>
            <w:r w:rsidRPr="00DC6678" w:rsidR="0008317E">
              <w:t xml:space="preserve"> </w:t>
            </w:r>
            <w:r w:rsidRPr="00DC6678">
              <w:rPr>
                <w:szCs w:val="20"/>
              </w:rPr>
              <w:t xml:space="preserve"> kopumā.</w:t>
            </w:r>
          </w:p>
        </w:tc>
        <w:tc>
          <w:tcPr>
            <w:tcW w:w="4394" w:type="dxa"/>
            <w:gridSpan w:val="2"/>
            <w:tcBorders>
              <w:top w:val="single" w:color="000000" w:sz="6" w:space="0"/>
              <w:left w:val="single" w:color="000000" w:sz="6" w:space="0"/>
              <w:bottom w:val="single" w:color="000000" w:sz="6" w:space="0"/>
              <w:right w:val="single" w:color="000000" w:sz="6" w:space="0"/>
            </w:tcBorders>
          </w:tcPr>
          <w:p w:rsidRPr="00DC6678" w:rsidR="00440E70" w:rsidP="00440E70" w:rsidRDefault="00440E70" w14:paraId="128E1200" w14:textId="77777777">
            <w:pPr>
              <w:ind w:firstLine="709"/>
              <w:jc w:val="both"/>
              <w:rPr>
                <w:sz w:val="24"/>
                <w:szCs w:val="24"/>
              </w:rPr>
            </w:pPr>
            <w:r w:rsidRPr="00DC6678">
              <w:rPr>
                <w:sz w:val="24"/>
                <w:szCs w:val="24"/>
              </w:rPr>
              <w:t>Ņemot vērā koncepcijas tvērumu, aicinām to saskaņot ar Iekšlietu ministriju, LR Ģenerālprokuratūru un Korupcijas novēršanas un apkarošanas biroju.</w:t>
            </w:r>
          </w:p>
          <w:p w:rsidRPr="00DC6678" w:rsidR="00ED41DB" w:rsidP="00EA1DAF" w:rsidRDefault="00ED41DB" w14:paraId="58D72DC3" w14:textId="77777777">
            <w:pPr>
              <w:pStyle w:val="naisf"/>
              <w:spacing w:before="0" w:after="0"/>
              <w:ind w:firstLine="0"/>
            </w:pPr>
          </w:p>
        </w:tc>
        <w:tc>
          <w:tcPr>
            <w:tcW w:w="2835" w:type="dxa"/>
            <w:tcBorders>
              <w:top w:val="single" w:color="000000" w:sz="6" w:space="0"/>
              <w:left w:val="single" w:color="000000" w:sz="6" w:space="0"/>
              <w:bottom w:val="single" w:color="000000" w:sz="6" w:space="0"/>
              <w:right w:val="single" w:color="000000" w:sz="6" w:space="0"/>
            </w:tcBorders>
          </w:tcPr>
          <w:p w:rsidRPr="00DC6678" w:rsidR="00ED41DB" w:rsidP="00EA1DAF" w:rsidRDefault="00440E70" w14:paraId="52036A54" w14:textId="2001AF3D">
            <w:pPr>
              <w:pStyle w:val="naisf"/>
              <w:ind w:firstLine="0"/>
              <w:jc w:val="center"/>
              <w:rPr>
                <w:b/>
                <w:szCs w:val="20"/>
              </w:rPr>
            </w:pPr>
            <w:r w:rsidRPr="00DC6678">
              <w:rPr>
                <w:b/>
                <w:szCs w:val="20"/>
              </w:rPr>
              <w:t xml:space="preserve">Panākta vienošanās elektroniskās saskaņošanas laikā, </w:t>
            </w:r>
            <w:r w:rsidRPr="00DC6678">
              <w:rPr>
                <w:szCs w:val="20"/>
              </w:rPr>
              <w:t>ņemot vērā, ka pasākumi izmeklēšanas un apsūdzības kvalitātes nodrošināšanai tiek īstenoti pastāvīgi ārpus konceptuālā ziņojuma (sk.</w:t>
            </w:r>
            <w:r w:rsidR="003157C3">
              <w:rPr>
                <w:szCs w:val="20"/>
              </w:rPr>
              <w:t> </w:t>
            </w:r>
            <w:r w:rsidRPr="00DC6678">
              <w:rPr>
                <w:szCs w:val="20"/>
              </w:rPr>
              <w:t>skaidrojumu pie izziņas 5.</w:t>
            </w:r>
            <w:r w:rsidR="003157C3">
              <w:rPr>
                <w:szCs w:val="20"/>
              </w:rPr>
              <w:t> </w:t>
            </w:r>
            <w:r w:rsidRPr="00DC6678">
              <w:rPr>
                <w:szCs w:val="20"/>
              </w:rPr>
              <w:t>p</w:t>
            </w:r>
            <w:r w:rsidR="003157C3">
              <w:rPr>
                <w:szCs w:val="20"/>
              </w:rPr>
              <w:t>unkta</w:t>
            </w:r>
            <w:r w:rsidRPr="00DC6678">
              <w:rPr>
                <w:szCs w:val="20"/>
              </w:rPr>
              <w:t>).</w:t>
            </w:r>
            <w:r w:rsidRPr="00DC6678">
              <w:rPr>
                <w:b/>
                <w:szCs w:val="20"/>
              </w:rPr>
              <w:t xml:space="preserve"> </w:t>
            </w:r>
          </w:p>
        </w:tc>
        <w:tc>
          <w:tcPr>
            <w:tcW w:w="3260" w:type="dxa"/>
            <w:gridSpan w:val="3"/>
            <w:tcBorders>
              <w:top w:val="single" w:color="auto" w:sz="4" w:space="0"/>
              <w:left w:val="single" w:color="auto" w:sz="4" w:space="0"/>
              <w:bottom w:val="single" w:color="auto" w:sz="4" w:space="0"/>
            </w:tcBorders>
          </w:tcPr>
          <w:p w:rsidRPr="00DC6678" w:rsidR="00ED41DB" w:rsidP="00EA1DAF" w:rsidRDefault="00ED41DB" w14:paraId="68130635" w14:textId="77A3FE1B">
            <w:pPr>
              <w:pStyle w:val="naisf"/>
              <w:rPr>
                <w:szCs w:val="20"/>
              </w:rPr>
            </w:pPr>
          </w:p>
        </w:tc>
      </w:tr>
      <w:tr w:rsidRPr="00DC6678" w:rsidR="00EA1DAF" w:rsidTr="000664E2" w14:paraId="630D9323" w14:textId="77777777">
        <w:trPr>
          <w:gridBefore w:val="1"/>
          <w:wBefore w:w="8" w:type="dxa"/>
        </w:trPr>
        <w:tc>
          <w:tcPr>
            <w:tcW w:w="14175" w:type="dxa"/>
            <w:gridSpan w:val="9"/>
            <w:tcBorders>
              <w:top w:val="single" w:color="000000" w:sz="6" w:space="0"/>
              <w:left w:val="single" w:color="000000" w:sz="6" w:space="0"/>
              <w:bottom w:val="single" w:color="000000" w:sz="6" w:space="0"/>
            </w:tcBorders>
          </w:tcPr>
          <w:p w:rsidRPr="00DC6678" w:rsidR="00EA1DAF" w:rsidP="0042526C" w:rsidRDefault="00EA1DAF" w14:paraId="01382C71" w14:textId="5E50836E">
            <w:pPr>
              <w:pStyle w:val="naisf"/>
              <w:jc w:val="center"/>
              <w:rPr>
                <w:b/>
                <w:szCs w:val="20"/>
              </w:rPr>
            </w:pPr>
            <w:r w:rsidRPr="00DC6678">
              <w:rPr>
                <w:b/>
                <w:szCs w:val="20"/>
              </w:rPr>
              <w:t>Priekšlikumi</w:t>
            </w:r>
          </w:p>
        </w:tc>
      </w:tr>
      <w:tr w:rsidRPr="00DC6678" w:rsidR="00EA1DAF" w:rsidTr="004F743E" w14:paraId="3AE6D369"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DC6678" w:rsidR="00EA1DAF" w:rsidP="00EA1DAF" w:rsidRDefault="00EA1DAF" w14:paraId="1AD28660" w14:textId="0A1A4940">
            <w:pPr>
              <w:pStyle w:val="naisf"/>
              <w:ind w:firstLine="0"/>
            </w:pPr>
            <w:r w:rsidRPr="00DC6678">
              <w:t>1.</w:t>
            </w:r>
          </w:p>
        </w:tc>
        <w:tc>
          <w:tcPr>
            <w:tcW w:w="2977" w:type="dxa"/>
            <w:gridSpan w:val="2"/>
            <w:tcBorders>
              <w:top w:val="single" w:color="000000" w:sz="6" w:space="0"/>
              <w:left w:val="single" w:color="000000" w:sz="6" w:space="0"/>
              <w:bottom w:val="single" w:color="000000" w:sz="6" w:space="0"/>
              <w:right w:val="single" w:color="000000" w:sz="6" w:space="0"/>
            </w:tcBorders>
          </w:tcPr>
          <w:p w:rsidRPr="00DC6678" w:rsidR="00EA1DAF" w:rsidP="00EA1DAF" w:rsidRDefault="00EA1DAF" w14:paraId="6D79F561" w14:textId="77777777">
            <w:pPr>
              <w:jc w:val="center"/>
              <w:rPr>
                <w:sz w:val="24"/>
                <w:szCs w:val="24"/>
              </w:rPr>
            </w:pPr>
            <w:r w:rsidRPr="00DC6678">
              <w:rPr>
                <w:sz w:val="24"/>
                <w:szCs w:val="24"/>
              </w:rPr>
              <w:t xml:space="preserve">Konceptuāls ziņojums </w:t>
            </w:r>
          </w:p>
          <w:p w:rsidRPr="00DC6678" w:rsidR="00EA1DAF" w:rsidP="00EA1DAF" w:rsidRDefault="00EA1DAF" w14:paraId="7AC7809F" w14:textId="77777777">
            <w:pPr>
              <w:jc w:val="both"/>
              <w:rPr>
                <w:sz w:val="24"/>
                <w:szCs w:val="24"/>
              </w:rPr>
            </w:pPr>
            <w:r w:rsidRPr="00DC6678">
              <w:rPr>
                <w:sz w:val="24"/>
                <w:szCs w:val="24"/>
              </w:rPr>
              <w:t>"</w:t>
            </w:r>
            <w:r w:rsidRPr="00DC6678">
              <w:rPr>
                <w:sz w:val="24"/>
                <w:szCs w:val="24"/>
                <w:u w:val="single"/>
              </w:rPr>
              <w:t xml:space="preserve">Par </w:t>
            </w:r>
            <w:r w:rsidRPr="00DC6678">
              <w:rPr>
                <w:iCs/>
                <w:sz w:val="24"/>
                <w:szCs w:val="24"/>
                <w:u w:val="single"/>
              </w:rPr>
              <w:t>ekonomisko lietu tiesas izveidi</w:t>
            </w:r>
            <w:r w:rsidRPr="00DC6678">
              <w:rPr>
                <w:sz w:val="24"/>
                <w:szCs w:val="24"/>
              </w:rPr>
              <w:t xml:space="preserve">" </w:t>
            </w:r>
          </w:p>
          <w:p w:rsidRPr="00DC6678" w:rsidR="00EA1DAF" w:rsidP="00EA1DAF" w:rsidRDefault="00EA1DAF" w14:paraId="1979DBF5" w14:textId="77777777">
            <w:pPr>
              <w:contextualSpacing/>
              <w:jc w:val="both"/>
              <w:rPr>
                <w:sz w:val="24"/>
                <w:szCs w:val="24"/>
              </w:rPr>
            </w:pPr>
          </w:p>
        </w:tc>
        <w:tc>
          <w:tcPr>
            <w:tcW w:w="4394" w:type="dxa"/>
            <w:gridSpan w:val="2"/>
            <w:tcBorders>
              <w:top w:val="single" w:color="000000" w:sz="6" w:space="0"/>
              <w:left w:val="single" w:color="000000" w:sz="6" w:space="0"/>
              <w:bottom w:val="single" w:color="000000" w:sz="6" w:space="0"/>
              <w:right w:val="single" w:color="000000" w:sz="6" w:space="0"/>
            </w:tcBorders>
          </w:tcPr>
          <w:p w:rsidRPr="00DC6678" w:rsidR="00EA1DAF" w:rsidP="00EA1DAF" w:rsidRDefault="00EA1DAF" w14:paraId="53C2A67D" w14:textId="77777777">
            <w:pPr>
              <w:contextualSpacing/>
              <w:jc w:val="both"/>
              <w:rPr>
                <w:sz w:val="24"/>
                <w:szCs w:val="24"/>
              </w:rPr>
            </w:pPr>
            <w:r w:rsidRPr="00DC6678">
              <w:rPr>
                <w:b/>
                <w:sz w:val="24"/>
                <w:szCs w:val="24"/>
              </w:rPr>
              <w:t>Finanšu ministrija</w:t>
            </w:r>
            <w:r w:rsidRPr="00DC6678">
              <w:rPr>
                <w:sz w:val="24"/>
                <w:szCs w:val="24"/>
              </w:rPr>
              <w:t xml:space="preserve"> </w:t>
            </w:r>
          </w:p>
          <w:p w:rsidRPr="00DC6678" w:rsidR="00EA1DAF" w:rsidP="00EA1DAF" w:rsidRDefault="00EA1DAF" w14:paraId="4A317EFC" w14:textId="7AE58F98">
            <w:pPr>
              <w:contextualSpacing/>
              <w:jc w:val="both"/>
              <w:rPr>
                <w:color w:val="FF0000"/>
                <w:sz w:val="24"/>
                <w:szCs w:val="24"/>
              </w:rPr>
            </w:pPr>
            <w:r w:rsidRPr="00DC6678">
              <w:rPr>
                <w:sz w:val="24"/>
                <w:szCs w:val="24"/>
              </w:rPr>
              <w:t>Lūdzam precizēt piedāvātā konceptuālā ziņojuma nosaukumu atbilstoši tā saturam un pievienotajam MK rīkojuma projektam, jo pašreizējā redakcijā piedāvātie nosaukumi atšķiras</w:t>
            </w:r>
            <w:r w:rsidRPr="00DC6678">
              <w:rPr>
                <w:color w:val="FF0000"/>
                <w:sz w:val="24"/>
                <w:szCs w:val="24"/>
              </w:rPr>
              <w:t xml:space="preserve">. </w:t>
            </w:r>
          </w:p>
          <w:p w:rsidRPr="00DC6678" w:rsidR="00EA1DAF" w:rsidP="00EA1DAF" w:rsidRDefault="00EA1DAF" w14:paraId="72F7F9A0" w14:textId="68973216">
            <w:pPr>
              <w:pStyle w:val="naisf"/>
              <w:spacing w:before="0" w:after="0"/>
              <w:ind w:firstLine="0"/>
              <w:rPr>
                <w:b/>
              </w:rPr>
            </w:pPr>
          </w:p>
        </w:tc>
        <w:tc>
          <w:tcPr>
            <w:tcW w:w="2835" w:type="dxa"/>
            <w:tcBorders>
              <w:top w:val="single" w:color="000000" w:sz="6" w:space="0"/>
              <w:left w:val="single" w:color="000000" w:sz="6" w:space="0"/>
              <w:bottom w:val="single" w:color="000000" w:sz="6" w:space="0"/>
              <w:right w:val="single" w:color="000000" w:sz="6" w:space="0"/>
            </w:tcBorders>
          </w:tcPr>
          <w:p w:rsidRPr="00DC6678" w:rsidR="00EA1DAF" w:rsidP="00EA1DAF" w:rsidRDefault="00EA1DAF" w14:paraId="2E307519" w14:textId="249C44C9">
            <w:pPr>
              <w:pStyle w:val="naisf"/>
              <w:ind w:firstLine="0"/>
              <w:jc w:val="center"/>
              <w:rPr>
                <w:b/>
              </w:rPr>
            </w:pPr>
            <w:r w:rsidRPr="00DC6678">
              <w:rPr>
                <w:b/>
              </w:rPr>
              <w:t>Ņemts vērā</w:t>
            </w:r>
          </w:p>
        </w:tc>
        <w:tc>
          <w:tcPr>
            <w:tcW w:w="3260" w:type="dxa"/>
            <w:gridSpan w:val="3"/>
            <w:tcBorders>
              <w:top w:val="single" w:color="auto" w:sz="4" w:space="0"/>
              <w:left w:val="single" w:color="auto" w:sz="4" w:space="0"/>
              <w:bottom w:val="single" w:color="auto" w:sz="4" w:space="0"/>
            </w:tcBorders>
          </w:tcPr>
          <w:p w:rsidRPr="00DC6678" w:rsidR="00EA1DAF" w:rsidP="00EA1DAF" w:rsidRDefault="00EA1DAF" w14:paraId="1423B5CB" w14:textId="534C8917">
            <w:pPr>
              <w:jc w:val="both"/>
              <w:rPr>
                <w:sz w:val="24"/>
                <w:szCs w:val="24"/>
              </w:rPr>
            </w:pPr>
            <w:r w:rsidRPr="00DC6678">
              <w:rPr>
                <w:sz w:val="24"/>
                <w:szCs w:val="24"/>
              </w:rPr>
              <w:t>Ministru kabineta rīkojuma projekts "</w:t>
            </w:r>
            <w:r w:rsidRPr="00DC6678">
              <w:rPr>
                <w:b/>
                <w:sz w:val="24"/>
                <w:szCs w:val="24"/>
              </w:rPr>
              <w:t>Par ekonomisko lietu tiesas izveidi</w:t>
            </w:r>
            <w:r w:rsidRPr="00DC6678">
              <w:rPr>
                <w:sz w:val="24"/>
                <w:szCs w:val="24"/>
              </w:rPr>
              <w:t>".</w:t>
            </w:r>
          </w:p>
          <w:p w:rsidRPr="00DC6678" w:rsidR="00EA1DAF" w:rsidP="00EA1DAF" w:rsidRDefault="00EA1DAF" w14:paraId="3901DB04" w14:textId="77777777">
            <w:pPr>
              <w:jc w:val="center"/>
              <w:rPr>
                <w:b/>
                <w:sz w:val="24"/>
                <w:szCs w:val="24"/>
              </w:rPr>
            </w:pPr>
          </w:p>
          <w:p w:rsidRPr="00DC6678" w:rsidR="00EA1DAF" w:rsidP="00EA1DAF" w:rsidRDefault="00EA1DAF" w14:paraId="1409113B" w14:textId="77777777">
            <w:pPr>
              <w:pStyle w:val="naisf"/>
            </w:pPr>
          </w:p>
        </w:tc>
      </w:tr>
      <w:tr w:rsidRPr="00DC6678" w:rsidR="0042526C" w:rsidTr="004F743E" w14:paraId="0C9A866E"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DC6678" w:rsidR="0042526C" w:rsidP="0042526C" w:rsidRDefault="0042526C" w14:paraId="444927DB" w14:textId="7DA7FF50">
            <w:pPr>
              <w:pStyle w:val="naisf"/>
              <w:ind w:firstLine="59"/>
              <w:rPr>
                <w:iCs/>
              </w:rPr>
            </w:pPr>
            <w:r w:rsidRPr="00DC6678">
              <w:rPr>
                <w:iCs/>
              </w:rPr>
              <w:lastRenderedPageBreak/>
              <w:t>2.</w:t>
            </w:r>
          </w:p>
        </w:tc>
        <w:tc>
          <w:tcPr>
            <w:tcW w:w="2977" w:type="dxa"/>
            <w:gridSpan w:val="2"/>
            <w:tcBorders>
              <w:top w:val="single" w:color="000000" w:sz="6" w:space="0"/>
              <w:left w:val="single" w:color="000000" w:sz="6" w:space="0"/>
              <w:bottom w:val="single" w:color="000000" w:sz="6" w:space="0"/>
              <w:right w:val="single" w:color="000000" w:sz="6" w:space="0"/>
            </w:tcBorders>
          </w:tcPr>
          <w:p w:rsidRPr="00DC6678" w:rsidR="0042526C" w:rsidP="0042526C" w:rsidRDefault="0042526C" w14:paraId="458AC5B0" w14:textId="33D4BC6D">
            <w:pPr>
              <w:pStyle w:val="naisf"/>
              <w:ind w:firstLine="0"/>
              <w:rPr>
                <w:iCs/>
              </w:rPr>
            </w:pPr>
            <w:r w:rsidRPr="00DC6678">
              <w:rPr>
                <w:iCs/>
              </w:rPr>
              <w:t xml:space="preserve">Konceptuālā ziņojuma </w:t>
            </w:r>
            <w:r>
              <w:rPr>
                <w:iCs/>
              </w:rPr>
              <w:t>2</w:t>
            </w:r>
            <w:r w:rsidRPr="00DC6678">
              <w:rPr>
                <w:iCs/>
              </w:rPr>
              <w:t>.</w:t>
            </w:r>
            <w:r>
              <w:rPr>
                <w:iCs/>
              </w:rPr>
              <w:t> pielikums</w:t>
            </w:r>
          </w:p>
        </w:tc>
        <w:tc>
          <w:tcPr>
            <w:tcW w:w="4394" w:type="dxa"/>
            <w:gridSpan w:val="2"/>
            <w:tcBorders>
              <w:top w:val="single" w:color="000000" w:sz="6" w:space="0"/>
              <w:left w:val="single" w:color="000000" w:sz="6" w:space="0"/>
              <w:bottom w:val="single" w:color="000000" w:sz="6" w:space="0"/>
              <w:right w:val="single" w:color="000000" w:sz="6" w:space="0"/>
            </w:tcBorders>
          </w:tcPr>
          <w:p w:rsidRPr="00DC6678" w:rsidR="0042526C" w:rsidP="0042526C" w:rsidRDefault="0042526C" w14:paraId="77CED590" w14:textId="492A8CEC">
            <w:pPr>
              <w:contextualSpacing/>
              <w:jc w:val="both"/>
              <w:rPr>
                <w:iCs/>
                <w:szCs w:val="24"/>
              </w:rPr>
            </w:pPr>
            <w:r w:rsidRPr="00DC6678">
              <w:rPr>
                <w:iCs/>
                <w:sz w:val="24"/>
                <w:szCs w:val="24"/>
              </w:rPr>
              <w:t>Lūdzam precizēt konceptuālā ziņojuma 2.pielikumā ietvertās tabulas kolonnu nosaukumus atbilstoši to saturam.</w:t>
            </w:r>
          </w:p>
        </w:tc>
        <w:tc>
          <w:tcPr>
            <w:tcW w:w="2835" w:type="dxa"/>
            <w:tcBorders>
              <w:top w:val="single" w:color="000000" w:sz="6" w:space="0"/>
              <w:left w:val="single" w:color="000000" w:sz="6" w:space="0"/>
              <w:bottom w:val="single" w:color="000000" w:sz="6" w:space="0"/>
              <w:right w:val="single" w:color="000000" w:sz="6" w:space="0"/>
            </w:tcBorders>
          </w:tcPr>
          <w:p w:rsidRPr="00DC6678" w:rsidR="0042526C" w:rsidP="0042526C" w:rsidRDefault="0042526C" w14:paraId="54E3F357" w14:textId="3C4475B2">
            <w:pPr>
              <w:pStyle w:val="naisf"/>
              <w:ind w:firstLine="0"/>
              <w:jc w:val="center"/>
              <w:rPr>
                <w:iCs/>
              </w:rPr>
            </w:pPr>
            <w:r w:rsidRPr="00DC6678">
              <w:rPr>
                <w:b/>
              </w:rPr>
              <w:t>Ņemts vērā</w:t>
            </w:r>
          </w:p>
        </w:tc>
        <w:tc>
          <w:tcPr>
            <w:tcW w:w="3260" w:type="dxa"/>
            <w:gridSpan w:val="3"/>
            <w:tcBorders>
              <w:top w:val="single" w:color="auto" w:sz="4" w:space="0"/>
              <w:left w:val="single" w:color="auto" w:sz="4" w:space="0"/>
              <w:bottom w:val="single" w:color="auto" w:sz="4" w:space="0"/>
            </w:tcBorders>
          </w:tcPr>
          <w:p w:rsidRPr="00DC6678" w:rsidR="0042526C" w:rsidP="0042526C" w:rsidRDefault="0042526C" w14:paraId="47FB3E86" w14:textId="22D9A5FD">
            <w:pPr>
              <w:contextualSpacing/>
              <w:jc w:val="both"/>
              <w:rPr>
                <w:iCs/>
                <w:szCs w:val="24"/>
              </w:rPr>
            </w:pPr>
            <w:r w:rsidRPr="00DC6678">
              <w:rPr>
                <w:iCs/>
                <w:sz w:val="24"/>
                <w:szCs w:val="24"/>
              </w:rPr>
              <w:t>Precizēt</w:t>
            </w:r>
            <w:r>
              <w:rPr>
                <w:iCs/>
                <w:sz w:val="24"/>
                <w:szCs w:val="24"/>
              </w:rPr>
              <w:t>i</w:t>
            </w:r>
            <w:r w:rsidRPr="00DC6678">
              <w:rPr>
                <w:iCs/>
                <w:sz w:val="24"/>
                <w:szCs w:val="24"/>
              </w:rPr>
              <w:t xml:space="preserve"> pielikumā ietvertās tabulas kolonnu nosaukum</w:t>
            </w:r>
            <w:r>
              <w:rPr>
                <w:iCs/>
                <w:sz w:val="24"/>
                <w:szCs w:val="24"/>
              </w:rPr>
              <w:t>i</w:t>
            </w:r>
            <w:r w:rsidRPr="00DC6678">
              <w:rPr>
                <w:iCs/>
                <w:sz w:val="24"/>
                <w:szCs w:val="24"/>
              </w:rPr>
              <w:t xml:space="preserve"> atbilstoši to saturam. </w:t>
            </w:r>
          </w:p>
        </w:tc>
      </w:tr>
      <w:tr w:rsidRPr="00DC6678" w:rsidR="0042526C" w:rsidTr="004F743E" w14:paraId="530CDE26"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DC6678" w:rsidR="0042526C" w:rsidP="0042526C" w:rsidRDefault="0042526C" w14:paraId="1F23E515" w14:textId="6CD281F7">
            <w:pPr>
              <w:contextualSpacing/>
              <w:jc w:val="both"/>
              <w:rPr>
                <w:iCs/>
                <w:sz w:val="24"/>
                <w:szCs w:val="24"/>
              </w:rPr>
            </w:pPr>
            <w:r w:rsidRPr="00DC6678">
              <w:rPr>
                <w:iCs/>
                <w:sz w:val="24"/>
                <w:szCs w:val="24"/>
              </w:rPr>
              <w:t>3.</w:t>
            </w:r>
          </w:p>
        </w:tc>
        <w:tc>
          <w:tcPr>
            <w:tcW w:w="2977" w:type="dxa"/>
            <w:gridSpan w:val="2"/>
            <w:tcBorders>
              <w:top w:val="single" w:color="000000" w:sz="6" w:space="0"/>
              <w:left w:val="single" w:color="000000" w:sz="6" w:space="0"/>
              <w:bottom w:val="single" w:color="000000" w:sz="6" w:space="0"/>
              <w:right w:val="single" w:color="000000" w:sz="6" w:space="0"/>
            </w:tcBorders>
          </w:tcPr>
          <w:p w:rsidRPr="00DC6678" w:rsidR="0042526C" w:rsidP="0042526C" w:rsidRDefault="0042526C" w14:paraId="3F18162B" w14:textId="78D63129">
            <w:pPr>
              <w:contextualSpacing/>
              <w:jc w:val="both"/>
              <w:rPr>
                <w:iCs/>
                <w:sz w:val="24"/>
                <w:szCs w:val="24"/>
              </w:rPr>
            </w:pPr>
            <w:r w:rsidRPr="00DC6678">
              <w:rPr>
                <w:iCs/>
                <w:sz w:val="24"/>
                <w:szCs w:val="24"/>
              </w:rPr>
              <w:t>Konceptuālā ziņojuma 3.</w:t>
            </w:r>
            <w:r>
              <w:rPr>
                <w:iCs/>
                <w:sz w:val="24"/>
                <w:szCs w:val="24"/>
              </w:rPr>
              <w:t> </w:t>
            </w:r>
            <w:r w:rsidRPr="00DC6678">
              <w:rPr>
                <w:iCs/>
                <w:sz w:val="24"/>
                <w:szCs w:val="24"/>
              </w:rPr>
              <w:t>sadaļa</w:t>
            </w:r>
          </w:p>
        </w:tc>
        <w:tc>
          <w:tcPr>
            <w:tcW w:w="4394" w:type="dxa"/>
            <w:gridSpan w:val="2"/>
            <w:tcBorders>
              <w:top w:val="single" w:color="000000" w:sz="6" w:space="0"/>
              <w:left w:val="single" w:color="000000" w:sz="6" w:space="0"/>
              <w:bottom w:val="single" w:color="000000" w:sz="6" w:space="0"/>
              <w:right w:val="single" w:color="000000" w:sz="6" w:space="0"/>
            </w:tcBorders>
          </w:tcPr>
          <w:p w:rsidRPr="00DC6678" w:rsidR="0042526C" w:rsidP="0042526C" w:rsidRDefault="0042526C" w14:paraId="4A434EB5" w14:textId="0BAC380D">
            <w:pPr>
              <w:contextualSpacing/>
              <w:jc w:val="both"/>
              <w:rPr>
                <w:iCs/>
                <w:sz w:val="24"/>
                <w:szCs w:val="24"/>
              </w:rPr>
            </w:pPr>
            <w:r w:rsidRPr="00DC6678">
              <w:rPr>
                <w:iCs/>
                <w:sz w:val="24"/>
                <w:szCs w:val="24"/>
              </w:rPr>
              <w:t>Finanšu ministrija piekrīt TM konceptuālajā ziņojumā norādītajam, ka tiesu sistēmas efektivitātei un kvalitātei ir būtiska nozīme, un ne mazāk svarīga tiesvedības procesu un tiesas nolēmumu kvalitāte, vienlaicīgi nodrošinot ātrāku tiesvedības procesu izskatīšanu. Tomēr atklāts ir jautājums, vai specializētas tiesas izveide uzlabos situāciju ar ieilgušiem tiesvedības procesiem, vai sekmēs tiesvedības procesu un tiesas nolēmumu kvalitāti. Tādējādi pirms specializētas tiesas izveides ir lietderīgi izvērtēt problēmas rašanās iemeslus, lai rastu pamatotus argumentus šāda veida tiesas izveides nepieciešamībai, proti:</w:t>
            </w:r>
          </w:p>
          <w:p w:rsidRPr="00DC6678" w:rsidR="0042526C" w:rsidP="0042526C" w:rsidRDefault="0042526C" w14:paraId="132F591D" w14:textId="458C34AC">
            <w:pPr>
              <w:contextualSpacing/>
              <w:jc w:val="both"/>
              <w:rPr>
                <w:iCs/>
                <w:sz w:val="24"/>
                <w:szCs w:val="24"/>
              </w:rPr>
            </w:pPr>
            <w:r w:rsidRPr="00DC6678">
              <w:rPr>
                <w:iCs/>
                <w:sz w:val="24"/>
                <w:szCs w:val="24"/>
              </w:rPr>
              <w:t>1) vai specializētas tiesas izveide nodrošinās pienācīgu risinājumu konstatētajām problēmām;</w:t>
            </w:r>
          </w:p>
          <w:p w:rsidRPr="00DC6678" w:rsidR="0042526C" w:rsidP="0042526C" w:rsidRDefault="0042526C" w14:paraId="1A7A5B78" w14:textId="6D71D618">
            <w:pPr>
              <w:contextualSpacing/>
              <w:jc w:val="both"/>
              <w:rPr>
                <w:iCs/>
                <w:sz w:val="24"/>
                <w:szCs w:val="24"/>
              </w:rPr>
            </w:pPr>
            <w:r w:rsidRPr="00DC6678">
              <w:rPr>
                <w:iCs/>
                <w:sz w:val="24"/>
                <w:szCs w:val="24"/>
              </w:rPr>
              <w:t>2) vai specializētas tiesas izveide būs dzīvotspējīga un elastīga ilgstošā laika periodā, proti, pastāv iespēja, ka ar laiku var pieaugt lietu skaits, kā rezultātā tās netiks galā ar tām un atkal veidosies ieilgušu tiesvedības procesu problēma. Tāpat pastāv iespēja, ka šāda veida tiesā ar laiku var mazināties izskatāmo lietu skaits un tādējādi veidosies  nevienmērīga tiesnešu noslodze.</w:t>
            </w:r>
          </w:p>
          <w:p w:rsidRPr="00DC6678" w:rsidR="0042526C" w:rsidP="0042526C" w:rsidRDefault="0042526C" w14:paraId="6313CB54" w14:textId="77777777">
            <w:pPr>
              <w:contextualSpacing/>
              <w:jc w:val="both"/>
              <w:rPr>
                <w:iCs/>
                <w:sz w:val="24"/>
                <w:szCs w:val="24"/>
              </w:rPr>
            </w:pPr>
            <w:r w:rsidRPr="00DC6678">
              <w:rPr>
                <w:iCs/>
                <w:sz w:val="24"/>
                <w:szCs w:val="24"/>
              </w:rPr>
              <w:lastRenderedPageBreak/>
              <w:t xml:space="preserve">Ņemot vēra iepriekš minēto, lūdzam izvērtēt, vai tiesu darba efektivitāte un kvalitāte nav atrisināma ar citiem piemērotākiem un situācijai atbilstošākiem līdzekļiem. </w:t>
            </w:r>
          </w:p>
          <w:p w:rsidRPr="00DC6678" w:rsidR="0042526C" w:rsidP="0042526C" w:rsidRDefault="0042526C" w14:paraId="1A174AA9" w14:textId="77777777">
            <w:pPr>
              <w:contextualSpacing/>
              <w:jc w:val="both"/>
              <w:rPr>
                <w:iCs/>
                <w:sz w:val="24"/>
                <w:szCs w:val="24"/>
              </w:rPr>
            </w:pPr>
          </w:p>
        </w:tc>
        <w:tc>
          <w:tcPr>
            <w:tcW w:w="2835" w:type="dxa"/>
            <w:tcBorders>
              <w:top w:val="single" w:color="000000" w:sz="6" w:space="0"/>
              <w:left w:val="single" w:color="000000" w:sz="6" w:space="0"/>
              <w:bottom w:val="single" w:color="000000" w:sz="6" w:space="0"/>
              <w:right w:val="single" w:color="000000" w:sz="6" w:space="0"/>
            </w:tcBorders>
          </w:tcPr>
          <w:p w:rsidRPr="00DC6678" w:rsidR="0042526C" w:rsidP="0042526C" w:rsidRDefault="0042526C" w14:paraId="162FA235" w14:textId="33F708C8">
            <w:pPr>
              <w:pStyle w:val="naisf"/>
              <w:ind w:firstLine="0"/>
              <w:jc w:val="center"/>
              <w:rPr>
                <w:b/>
                <w:iCs/>
              </w:rPr>
            </w:pPr>
            <w:r w:rsidRPr="00DC6678">
              <w:rPr>
                <w:b/>
                <w:iCs/>
              </w:rPr>
              <w:lastRenderedPageBreak/>
              <w:t>Ņemts vērā</w:t>
            </w:r>
          </w:p>
          <w:p w:rsidRPr="00DC6678" w:rsidR="0042526C" w:rsidP="0042526C" w:rsidRDefault="0042526C" w14:paraId="7A601072" w14:textId="77777777">
            <w:pPr>
              <w:ind w:firstLine="720"/>
              <w:jc w:val="both"/>
              <w:rPr>
                <w:sz w:val="24"/>
                <w:szCs w:val="24"/>
              </w:rPr>
            </w:pPr>
            <w:r w:rsidRPr="00DC6678">
              <w:rPr>
                <w:sz w:val="24"/>
                <w:szCs w:val="24"/>
              </w:rPr>
              <w:t xml:space="preserve">Analizējot iespējamos risinājuma variantus un savstarpēji vērtējot to ieguvumus un trūkumus, Tieslietu ministrija uzskata, ka ir virzāms risinājums, kas paredz veidot jaunu specializētu pirmās instances rajona (pilsētas) tiesu Rīgā, vienlaikus specializējot šo lietu izskatīšanu arī apelācijas ietvaros, paredzot specializētas kolēģijas izveidi pie Rīgas apgabaltiesas. </w:t>
            </w:r>
          </w:p>
          <w:p w:rsidRPr="00DC6678" w:rsidR="0042526C" w:rsidP="0042526C" w:rsidRDefault="0042526C" w14:paraId="77701192" w14:textId="32AFC83E">
            <w:pPr>
              <w:jc w:val="both"/>
              <w:rPr>
                <w:sz w:val="24"/>
                <w:szCs w:val="24"/>
              </w:rPr>
            </w:pPr>
            <w:r w:rsidRPr="00DC6678">
              <w:rPr>
                <w:sz w:val="24"/>
                <w:szCs w:val="24"/>
              </w:rPr>
              <w:t>Tieslietu ministrijas ieskatā, tiesas specializācija nodrošinās nekavējoša mērķa sasniegšanu, vienlaikus nodrošinot sistēmas efektivitāti ilgtermiņā.</w:t>
            </w:r>
          </w:p>
          <w:p w:rsidRPr="00DC6678" w:rsidR="0042526C" w:rsidP="0042526C" w:rsidRDefault="0042526C" w14:paraId="3E3E0847" w14:textId="1D437A30">
            <w:pPr>
              <w:contextualSpacing/>
              <w:jc w:val="both"/>
              <w:rPr>
                <w:iCs/>
                <w:sz w:val="24"/>
                <w:szCs w:val="24"/>
              </w:rPr>
            </w:pPr>
            <w:r w:rsidRPr="00DC6678">
              <w:rPr>
                <w:iCs/>
                <w:sz w:val="24"/>
                <w:szCs w:val="24"/>
              </w:rPr>
              <w:t xml:space="preserve">Konceptuālā ziņojumā, norādīts tiesas specializācija pati par sevi nenodrošina mērķa pilnīgu </w:t>
            </w:r>
            <w:r w:rsidRPr="00DC6678">
              <w:rPr>
                <w:iCs/>
                <w:sz w:val="24"/>
                <w:szCs w:val="24"/>
              </w:rPr>
              <w:lastRenderedPageBreak/>
              <w:t xml:space="preserve">sasniegšanu, jo vienlaikus ir jārisina jautājums par izmeklēšanas un apsūdzības kvalitāti. Izmeklēšanas un apsūdzības kvalitātes celšana ir valdības prioritāte, ko apliecina Valdības rīcības plāna Deklarācijas par Artura Krišjāņa Kariņa vadītā Ministru kabineta iecerēto darbību īstenošanai (apstiprināts ar Ministru kabineta 2019. gada 7. maija rīkojumu Nr. 210) ietvaros definēts uzdevums (178.2 uzdevums). Minētā uzdevuma ietvaros tiks veikti pasākumi, lai nodrošinātu kvalitatīvu pirmstiesas izmeklēšanas un tiesu sistēmas funkcionēšanu. Minētā uzdevuma ietvaros, veicot tieslietu sistēmas efektivitātes izvērtējumu (174.uzdevums), tiks izstrādāti konkrēti priekšlikumi tieslietu sistēmas efektivitātes uzlabošanai. Tāpat tiks </w:t>
            </w:r>
            <w:r w:rsidRPr="00DC6678">
              <w:rPr>
                <w:iCs/>
                <w:sz w:val="24"/>
                <w:szCs w:val="24"/>
              </w:rPr>
              <w:lastRenderedPageBreak/>
              <w:t xml:space="preserve">nodrošināts ieguldījums Valsts kontroles lietderības revīzijas „Pirmstiesas izmeklēšanas efektivitāte Valsts policijā” konstatēto problēmu novēršanā un Valsts kontroles sniegto ieteikumu realizēšanā. Tieslietu ministrijas ieskatā, minēto pasākumu kompleksa risināšana ir vispiemērotākais un situācijai atbilstošākais līdzeklis tiesu darba efektivitātes un kvalitātes paaugstināšanā. </w:t>
            </w:r>
          </w:p>
          <w:p w:rsidRPr="00DC6678" w:rsidR="0042526C" w:rsidP="0042526C" w:rsidRDefault="0042526C" w14:paraId="0A980379" w14:textId="0F74FFA1">
            <w:pPr>
              <w:contextualSpacing/>
              <w:jc w:val="both"/>
              <w:rPr>
                <w:iCs/>
                <w:sz w:val="24"/>
                <w:szCs w:val="24"/>
              </w:rPr>
            </w:pPr>
            <w:r w:rsidRPr="00DC6678">
              <w:rPr>
                <w:iCs/>
                <w:sz w:val="24"/>
                <w:szCs w:val="24"/>
              </w:rPr>
              <w:t xml:space="preserve">Konceptuālajā ziņojuma 20.lapā norādītie risinājumi attiecībā uz noslodzes izmaiņām (pārlieku liela vai pārlieku zema) ir pietiekami.  </w:t>
            </w:r>
          </w:p>
        </w:tc>
        <w:tc>
          <w:tcPr>
            <w:tcW w:w="3260" w:type="dxa"/>
            <w:gridSpan w:val="3"/>
            <w:tcBorders>
              <w:top w:val="single" w:color="auto" w:sz="4" w:space="0"/>
              <w:left w:val="single" w:color="auto" w:sz="4" w:space="0"/>
              <w:bottom w:val="single" w:color="auto" w:sz="4" w:space="0"/>
            </w:tcBorders>
          </w:tcPr>
          <w:p w:rsidRPr="00DC6678" w:rsidR="0042526C" w:rsidP="0042526C" w:rsidRDefault="0042526C" w14:paraId="3F4B33E6" w14:textId="5BFF218D">
            <w:pPr>
              <w:pStyle w:val="naisf"/>
              <w:spacing w:before="0" w:after="0"/>
              <w:ind w:firstLine="0"/>
              <w:rPr>
                <w:b/>
                <w:bCs/>
                <w:u w:val="single"/>
              </w:rPr>
            </w:pPr>
            <w:r w:rsidRPr="00DC6678">
              <w:rPr>
                <w:iCs/>
              </w:rPr>
              <w:lastRenderedPageBreak/>
              <w:t>Konceptuālā ziņojuma 3.</w:t>
            </w:r>
            <w:r>
              <w:rPr>
                <w:iCs/>
              </w:rPr>
              <w:t> </w:t>
            </w:r>
            <w:r w:rsidRPr="00DC6678">
              <w:rPr>
                <w:iCs/>
              </w:rPr>
              <w:t>sadaļa (2</w:t>
            </w:r>
            <w:r w:rsidR="008F5378">
              <w:rPr>
                <w:iCs/>
              </w:rPr>
              <w:t>1</w:t>
            </w:r>
            <w:r w:rsidRPr="00DC6678">
              <w:rPr>
                <w:iCs/>
              </w:rPr>
              <w:t>.-2</w:t>
            </w:r>
            <w:r w:rsidR="008F5378">
              <w:rPr>
                <w:iCs/>
              </w:rPr>
              <w:t>2</w:t>
            </w:r>
            <w:r>
              <w:rPr>
                <w:iCs/>
              </w:rPr>
              <w:t>. </w:t>
            </w:r>
            <w:r w:rsidRPr="00DC6678">
              <w:rPr>
                <w:iCs/>
              </w:rPr>
              <w:t>lp</w:t>
            </w:r>
            <w:r>
              <w:rPr>
                <w:iCs/>
              </w:rPr>
              <w:t>.</w:t>
            </w:r>
            <w:r w:rsidRPr="00DC6678">
              <w:rPr>
                <w:iCs/>
              </w:rPr>
              <w:t>) papildināta, norādot, ka</w:t>
            </w:r>
            <w:r w:rsidRPr="00DC6678">
              <w:rPr>
                <w:rFonts w:eastAsiaTheme="majorEastAsia"/>
                <w:lang w:eastAsia="en-US"/>
              </w:rPr>
              <w:t xml:space="preserve"> </w:t>
            </w:r>
            <w:r w:rsidRPr="00DC6678">
              <w:rPr>
                <w:szCs w:val="20"/>
              </w:rPr>
              <w:t>"</w:t>
            </w:r>
            <w:r w:rsidRPr="00DC6678">
              <w:rPr>
                <w:b/>
                <w:bCs/>
                <w:u w:val="single"/>
              </w:rPr>
              <w:t xml:space="preserve">Izmeklēšanas un apsūdzības procesa kvalitātes uzlabošana ir valdības prioritāte, ko apliecina Deklarācijas ietvaros definēts uzdevums (178.2 uzdevums). Minētā uzdevuma ietvaros tiks veikti pasākumi, lai nodrošinātu kvalitatīvu pirmstiesas izmeklēšanas un tiesu sistēmas funkcionēšanu. Minētā uzdevuma ietvaros, veicot tieslietu sistēmas efektivitātes izvērtējumu (174.uzdevums), tiks izstrādāti konkrēti priekšlikumi tieslietu sistēmas efektivitātes uzlabošanai. Tāpat tiks nodrošināts ieguldījums Valsts kontroles lietderības revīzijas </w:t>
            </w:r>
            <w:r>
              <w:rPr>
                <w:b/>
                <w:bCs/>
                <w:u w:val="single"/>
              </w:rPr>
              <w:t>"</w:t>
            </w:r>
            <w:r w:rsidRPr="00DC6678">
              <w:rPr>
                <w:b/>
                <w:bCs/>
                <w:u w:val="single"/>
              </w:rPr>
              <w:t>Pirmstiesas izmeklēšanas efektivitāte Valsts policijā</w:t>
            </w:r>
            <w:r>
              <w:rPr>
                <w:b/>
                <w:bCs/>
                <w:u w:val="single"/>
              </w:rPr>
              <w:t>"</w:t>
            </w:r>
            <w:r w:rsidRPr="00DC6678">
              <w:rPr>
                <w:b/>
                <w:bCs/>
                <w:u w:val="single"/>
              </w:rPr>
              <w:t xml:space="preserve"> konstatēto problēmu novēršanā un Valsts kontroles sniegto </w:t>
            </w:r>
            <w:r w:rsidRPr="00DC6678">
              <w:rPr>
                <w:b/>
                <w:bCs/>
                <w:u w:val="single"/>
              </w:rPr>
              <w:lastRenderedPageBreak/>
              <w:t>ieteikumu realizēšanā.  Jānorāda, ka konceptuālā ziņojuma ietvaros tiek risināts jautājums par specializētas tiesas izveidi, ko iespējams īstenot īstermiņā. Starpnozares pasākumu</w:t>
            </w:r>
            <w:r>
              <w:rPr>
                <w:b/>
                <w:bCs/>
                <w:u w:val="single"/>
              </w:rPr>
              <w:t>s</w:t>
            </w:r>
            <w:r w:rsidRPr="00DC6678">
              <w:rPr>
                <w:b/>
                <w:bCs/>
                <w:u w:val="single"/>
              </w:rPr>
              <w:t xml:space="preserve">, ņemot vērā iesaistītās puses, ne vienmēr ir iespējams īstenot tikt pat </w:t>
            </w:r>
            <w:proofErr w:type="spellStart"/>
            <w:r w:rsidRPr="00DC6678">
              <w:rPr>
                <w:b/>
                <w:bCs/>
                <w:u w:val="single"/>
              </w:rPr>
              <w:t>ātŗi</w:t>
            </w:r>
            <w:proofErr w:type="spellEnd"/>
            <w:r w:rsidRPr="00DC6678">
              <w:rPr>
                <w:b/>
                <w:bCs/>
                <w:u w:val="single"/>
              </w:rPr>
              <w:t xml:space="preserve"> kā pasākum</w:t>
            </w:r>
            <w:r>
              <w:rPr>
                <w:b/>
                <w:bCs/>
                <w:u w:val="single"/>
              </w:rPr>
              <w:t>us</w:t>
            </w:r>
            <w:r w:rsidRPr="00DC6678">
              <w:rPr>
                <w:b/>
                <w:bCs/>
                <w:u w:val="single"/>
              </w:rPr>
              <w:t>, kas aptver vienu  nozari. Tād</w:t>
            </w:r>
            <w:r>
              <w:rPr>
                <w:b/>
                <w:bCs/>
                <w:u w:val="single"/>
              </w:rPr>
              <w:t>ē</w:t>
            </w:r>
            <w:r w:rsidRPr="00DC6678">
              <w:rPr>
                <w:b/>
                <w:bCs/>
                <w:u w:val="single"/>
              </w:rPr>
              <w:t>jādi izvēlēts risinājums, ka pasākumi, kas skar specializētas tiesas izveidi, tiek risināti paralēli pasākumiem, kas saistīti ar izmeklēšanas un apsūdzības kvalitātes uzlabošanu. Jāatzīmē, ka pasākumi ir izdalīti, jo to īstenošana, lai arī ir savstarpēji saistīti, tomēr nav pakār</w:t>
            </w:r>
            <w:r>
              <w:rPr>
                <w:b/>
                <w:bCs/>
                <w:u w:val="single"/>
              </w:rPr>
              <w:t>t</w:t>
            </w:r>
            <w:r w:rsidRPr="00DC6678">
              <w:rPr>
                <w:b/>
                <w:bCs/>
                <w:u w:val="single"/>
              </w:rPr>
              <w:t xml:space="preserve">oti viens otram. Tādējādi izvēlētais risinājums no efektivitātes viedokļa ir atzīstams par atbilstošāku.  </w:t>
            </w:r>
          </w:p>
          <w:p w:rsidRPr="00DC6678" w:rsidR="0042526C" w:rsidP="0042526C" w:rsidRDefault="00EA5078" w14:paraId="04C9F6C7" w14:textId="0AE57D06">
            <w:pPr>
              <w:pStyle w:val="naisf"/>
              <w:spacing w:before="0" w:after="0"/>
              <w:ind w:firstLine="0"/>
              <w:rPr>
                <w:iCs/>
              </w:rPr>
            </w:pPr>
            <w:r w:rsidRPr="00EA5078">
              <w:rPr>
                <w:b/>
                <w:u w:val="single"/>
                <w:lang w:eastAsia="en-US"/>
              </w:rPr>
              <w:t xml:space="preserve">Tieslietu ministrija 2019.gada 12.jūnijā Valsts kancelejā iesniegusi informatīvā ziņojuma projektu "Par nepieciešamību īstenot revīziju par faktoriem, kas </w:t>
            </w:r>
            <w:r w:rsidRPr="00EA5078">
              <w:rPr>
                <w:b/>
                <w:u w:val="single"/>
                <w:lang w:eastAsia="en-US"/>
              </w:rPr>
              <w:lastRenderedPageBreak/>
              <w:t>ietekmē efektīvu kriminālprocesu par noziedzīgiem nodarījumiem ekonomikas un finanšu jomā izmeklēšanu un iztiesāšanu"</w:t>
            </w:r>
            <w:r w:rsidRPr="00EA5078">
              <w:rPr>
                <w:rFonts w:eastAsiaTheme="minorHAnsi"/>
                <w:b/>
                <w:u w:val="single"/>
              </w:rPr>
              <w:t xml:space="preserve"> (2019-TA-1124).</w:t>
            </w:r>
            <w:r w:rsidRPr="00DC6678" w:rsidR="0042526C">
              <w:rPr>
                <w:b/>
                <w:bCs/>
                <w:u w:val="single"/>
              </w:rPr>
              <w:t xml:space="preserve"> Informatīvā ziņojumā doto uzdevumu ietvaros plānots izvērtēt faktorus, kas negatīvi ietekmē efektīvu kriminālprocesu par noziedzīgiem nodarījumiem ekonomikas un finanšu jomā virzību, un sniegtu ieteikumus situācijas uzlabošanai. Tāpat jāatzīmē, ka izmeklēšanas procesa kvalitātes nodrošināšanas nolūkos 2017. gadā Valsts kontrole</w:t>
            </w:r>
            <w:r w:rsidR="0042526C">
              <w:rPr>
                <w:b/>
                <w:bCs/>
                <w:u w:val="single"/>
              </w:rPr>
              <w:t>s</w:t>
            </w:r>
            <w:r w:rsidRPr="00DC6678" w:rsidR="0042526C">
              <w:rPr>
                <w:b/>
                <w:bCs/>
                <w:u w:val="single"/>
              </w:rPr>
              <w:t xml:space="preserve"> veiktās lietderības revīzijas "Pirmstiesas izmeklēšanas efektivitāte Valsts policijā" ietvaros sniegta virkne ieteikumu. Minēto ieteikumu ieviešana ir patstāvīgi veicams uzdevums un tā īstenošana norit paralēli konceptuālā ziņojuma virzībai</w:t>
            </w:r>
            <w:r w:rsidR="0042526C">
              <w:rPr>
                <w:b/>
                <w:bCs/>
                <w:u w:val="single"/>
              </w:rPr>
              <w:t>.</w:t>
            </w:r>
            <w:r w:rsidRPr="00DC6678" w:rsidR="0042526C">
              <w:rPr>
                <w:b/>
                <w:bCs/>
                <w:u w:val="single"/>
              </w:rPr>
              <w:t xml:space="preserve"> To dublēšana Ministru kabineta rīkojuma projektā nav nepieciešama."</w:t>
            </w:r>
          </w:p>
        </w:tc>
      </w:tr>
      <w:tr w:rsidRPr="00DC6678" w:rsidR="00471216" w:rsidTr="004F743E" w14:paraId="1717F4AC"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DC6678" w:rsidR="00471216" w:rsidP="0042526C" w:rsidRDefault="00783039" w14:paraId="61B8F849" w14:textId="62E74108">
            <w:pPr>
              <w:contextualSpacing/>
              <w:jc w:val="both"/>
              <w:rPr>
                <w:iCs/>
                <w:sz w:val="24"/>
                <w:szCs w:val="24"/>
              </w:rPr>
            </w:pPr>
            <w:r>
              <w:rPr>
                <w:iCs/>
                <w:sz w:val="24"/>
                <w:szCs w:val="24"/>
              </w:rPr>
              <w:lastRenderedPageBreak/>
              <w:t>4.</w:t>
            </w:r>
          </w:p>
        </w:tc>
        <w:tc>
          <w:tcPr>
            <w:tcW w:w="2977" w:type="dxa"/>
            <w:gridSpan w:val="2"/>
            <w:tcBorders>
              <w:top w:val="single" w:color="000000" w:sz="6" w:space="0"/>
              <w:left w:val="single" w:color="000000" w:sz="6" w:space="0"/>
              <w:bottom w:val="single" w:color="000000" w:sz="6" w:space="0"/>
              <w:right w:val="single" w:color="000000" w:sz="6" w:space="0"/>
            </w:tcBorders>
          </w:tcPr>
          <w:p w:rsidRPr="00DC6678" w:rsidR="00471216" w:rsidP="0042526C" w:rsidRDefault="00D63C91" w14:paraId="101A002F" w14:textId="43F3E96F">
            <w:pPr>
              <w:contextualSpacing/>
              <w:jc w:val="both"/>
              <w:rPr>
                <w:iCs/>
                <w:sz w:val="24"/>
                <w:szCs w:val="24"/>
              </w:rPr>
            </w:pPr>
            <w:r w:rsidRPr="00D63C91">
              <w:rPr>
                <w:iCs/>
                <w:sz w:val="24"/>
                <w:szCs w:val="24"/>
              </w:rPr>
              <w:t>Konceptuālā ziņojuma 3. sadaļa</w:t>
            </w:r>
          </w:p>
        </w:tc>
        <w:tc>
          <w:tcPr>
            <w:tcW w:w="4394" w:type="dxa"/>
            <w:gridSpan w:val="2"/>
            <w:tcBorders>
              <w:top w:val="single" w:color="000000" w:sz="6" w:space="0"/>
              <w:left w:val="single" w:color="000000" w:sz="6" w:space="0"/>
              <w:bottom w:val="single" w:color="000000" w:sz="6" w:space="0"/>
              <w:right w:val="single" w:color="000000" w:sz="6" w:space="0"/>
            </w:tcBorders>
          </w:tcPr>
          <w:p w:rsidR="00471216" w:rsidP="0042526C" w:rsidRDefault="00471216" w14:paraId="0DA2F98A" w14:textId="404BD170">
            <w:pPr>
              <w:contextualSpacing/>
              <w:jc w:val="both"/>
              <w:rPr>
                <w:iCs/>
                <w:sz w:val="24"/>
                <w:szCs w:val="24"/>
              </w:rPr>
            </w:pPr>
            <w:r>
              <w:rPr>
                <w:iCs/>
                <w:sz w:val="24"/>
                <w:szCs w:val="24"/>
              </w:rPr>
              <w:t xml:space="preserve">Saņemti pēc elektroniskās saskaņošanas. </w:t>
            </w:r>
          </w:p>
          <w:p w:rsidR="00471216" w:rsidP="00471216" w:rsidRDefault="00471216" w14:paraId="7F080632" w14:textId="5060C7BC">
            <w:pPr>
              <w:ind w:firstLine="720"/>
              <w:jc w:val="both"/>
              <w:rPr>
                <w:sz w:val="24"/>
                <w:szCs w:val="24"/>
              </w:rPr>
            </w:pPr>
            <w:r>
              <w:rPr>
                <w:sz w:val="24"/>
                <w:szCs w:val="24"/>
              </w:rPr>
              <w:lastRenderedPageBreak/>
              <w:t>Vēršam uzmanību, ka konceptuālais ziņojums sniedz tikai daļēju un ļoti vispusīgu priekšstatu par specializētajai tiesai pakļautajām civillietu kategorijām. Konceptuālā ziņojuma 3. sadaļā “Risinājums un tā ietekme uz problēmu risināšanu” (turpmāk – 3.sadaļa) (12.lpp.) ir uzskaitīti konkrēti likumi, saistībā ar kuru piemērošanu kompetence būtu nosakāma specializētajai tiesai, piemēram, Finanšu instrumentu tirgus likums, Finanšu nodrošinājuma likums, Koncernu likums u.c. Kā izriet no konceptuālā ziņojuma, tad, prognozējot noslodzes apjomu un nepieciešamo kapacitāti, Tieslietu ministrija arī hipotētiski iespējamo lietu skaitu ir rēķinājusi, veicot datu atlasi Tiesu informatīvajā sistēmā, meklējot atsauces uz konkrētiem likumiem. Taču šāda pieeja ir vērtējama kritiski, jo tā nesniedz skaidru priekšstatu par to, kāda tieši veida lietas būs piekritīgas specializētajai tiesai un neļauj skaidri aplēst nepieciešamo tiesnešu un cilvēkresursu skaitu.</w:t>
            </w:r>
          </w:p>
          <w:p w:rsidR="00471216" w:rsidP="00471216" w:rsidRDefault="00471216" w14:paraId="71E2962F" w14:textId="77777777">
            <w:pPr>
              <w:ind w:firstLine="720"/>
              <w:jc w:val="both"/>
              <w:rPr>
                <w:sz w:val="24"/>
                <w:szCs w:val="24"/>
              </w:rPr>
            </w:pPr>
            <w:r>
              <w:rPr>
                <w:sz w:val="24"/>
                <w:szCs w:val="24"/>
              </w:rPr>
              <w:t>Civilprocesa likuma normas, kas regulē lietu pakļautību un piekritību (Civilprocesa likuma 23.pants - 32.</w:t>
            </w:r>
            <w:r>
              <w:rPr>
                <w:sz w:val="24"/>
                <w:szCs w:val="24"/>
                <w:vertAlign w:val="superscript"/>
              </w:rPr>
              <w:t>1</w:t>
            </w:r>
            <w:r>
              <w:rPr>
                <w:sz w:val="24"/>
                <w:szCs w:val="24"/>
              </w:rPr>
              <w:t xml:space="preserve">pants), pašlaik neparedz iedalīt lietas kategorijās, vadoties pēc prasības pieteikumā nosauktiem likumiem un tiesību normām. Tā vietā Civilprocesa likums pietiekami skaidri nosauc prasības priekšmetu vai </w:t>
            </w:r>
            <w:r>
              <w:rPr>
                <w:sz w:val="24"/>
                <w:szCs w:val="24"/>
              </w:rPr>
              <w:lastRenderedPageBreak/>
              <w:t xml:space="preserve">vismaz identificē civiltiesiskā strīda raksturu, pēc kura, saņemot lietu tiesā, tiesnesim 10 dienu laikā jāizlemj jautājumu par prasības pieteikuma pieņemšanu un lietas ierosināšanu (Civilprocesa likuma 131.pants). Tādas ir, piemēram, </w:t>
            </w:r>
            <w:r>
              <w:rPr>
                <w:sz w:val="24"/>
                <w:szCs w:val="24"/>
                <w:shd w:val="clear" w:color="auto" w:fill="FFFFFF"/>
              </w:rPr>
              <w:t>prasības, kas izriet no personiskiem aizskārumiem</w:t>
            </w:r>
            <w:r>
              <w:rPr>
                <w:sz w:val="24"/>
                <w:szCs w:val="24"/>
              </w:rPr>
              <w:t>, prasības par uzturlīdzekļu piedziņu bērnam, prasības, kas izriet no darba tiesiskajām attiecībām u.tml. Tam, vai prasības pieteikums satur atsauci uz kādu konkrētu likumu, nav it nekādas nozīmes, izšķirot jurisdikcijas jautājumu, jo šajā stadijā vēl nemaz nav iespējams pateikt, ir vai nav pamats piemērot attiecīgo likuma normu, jo tas tiek izlemts tikai ar tiesas spriedumu. Praksē ir novērojams, ka ļoti bieži prasītāji procesuālajos dokumentos nosauc pēc iespējas vairāk likumus un pantus, kuri nemaz nav attiecināmi uz izskatāmās lietas apstākļiem. Tāpēc konkrēta likuma pieminēšana prasības pieteikumā nav kritērijs, pēc kura izlemjams jautājums par to, vai lieta būs piekritīga vispārējās jurisdikcijas tiesai vai specializētajai tiesai.</w:t>
            </w:r>
          </w:p>
          <w:p w:rsidR="00471216" w:rsidP="002F4826" w:rsidRDefault="00471216" w14:paraId="1CA88A2E" w14:textId="77777777">
            <w:pPr>
              <w:jc w:val="both"/>
              <w:rPr>
                <w:rFonts w:ascii="Calibri" w:hAnsi="Calibri" w:cs="Calibri"/>
                <w:color w:val="FF0000"/>
                <w:sz w:val="22"/>
                <w:szCs w:val="22"/>
              </w:rPr>
            </w:pPr>
            <w:r>
              <w:rPr>
                <w:sz w:val="24"/>
                <w:szCs w:val="24"/>
                <w:shd w:val="clear" w:color="auto" w:fill="FFFFFF"/>
              </w:rPr>
              <w:t>Ievērojot  minēto, konceptuālais ziņojums būtu precizējams, sniedzot skaidrākas norādes par to, kāda veida civiltiesiskie strīdi ietilptu specializētās ekonomisko lietu tiesas jurisdikcijā, bet kādi paliktu vispārējās tiesas jurisdikcijā.</w:t>
            </w:r>
            <w:r>
              <w:rPr>
                <w:color w:val="FF0000"/>
              </w:rPr>
              <w:t xml:space="preserve"> </w:t>
            </w:r>
          </w:p>
          <w:p w:rsidRPr="00DC6678" w:rsidR="00471216" w:rsidP="002F4826" w:rsidRDefault="00471216" w14:paraId="5085C19F" w14:textId="665F01C8">
            <w:pPr>
              <w:ind w:firstLine="720"/>
              <w:jc w:val="both"/>
              <w:rPr>
                <w:iCs/>
                <w:sz w:val="24"/>
                <w:szCs w:val="24"/>
              </w:rPr>
            </w:pPr>
            <w:r>
              <w:rPr>
                <w:sz w:val="24"/>
                <w:szCs w:val="24"/>
                <w:shd w:val="clear" w:color="auto" w:fill="FFFFFF"/>
              </w:rPr>
              <w:lastRenderedPageBreak/>
              <w:t xml:space="preserve">Tāpat aicinām Tieslietu ministriju izvērtēt, vai nebūtu jāpaplašina specializētās tiesas kompetence </w:t>
            </w:r>
            <w:proofErr w:type="spellStart"/>
            <w:r>
              <w:rPr>
                <w:sz w:val="24"/>
                <w:szCs w:val="24"/>
                <w:shd w:val="clear" w:color="auto" w:fill="FFFFFF"/>
              </w:rPr>
              <w:t>komercstrīdu</w:t>
            </w:r>
            <w:proofErr w:type="spellEnd"/>
            <w:r>
              <w:rPr>
                <w:sz w:val="24"/>
                <w:szCs w:val="24"/>
                <w:shd w:val="clear" w:color="auto" w:fill="FFFFFF"/>
              </w:rPr>
              <w:t xml:space="preserve"> izskatīšanā. Pašlaik, </w:t>
            </w:r>
            <w:r>
              <w:rPr>
                <w:sz w:val="24"/>
                <w:szCs w:val="24"/>
              </w:rPr>
              <w:t xml:space="preserve">aprakstot specializētās tiesas iespējamās kompetences tvērumu konceptuālā ziņojuma 3. sadaļā (11.lpp.) ir minēts piemērs par Komerclikuma 169.panta pirmajā daļā paredzēto prasību, ko sabiedrība ceļ pret valdes locekli par sabiedrībai nodarītajiem zaudējumiem. Konceptuālajā ziņojumā ir pamatoti norādīts, ka “jēdzienu “viegla neuzmanība” un “krietns un rūpīgs saimnieks” saturs ir “ekonomiska rakstura vērtējums, jo tikai no komercdarbības prakses un ekonomisko zināšu viedokļa var novērtēt, vai valdes locekļa darbība bija ekonomiski pamatota un izdevīga sabiedrībai kā tirgus ekonomikas subjektam.” Taču tālāk konceptuālajā ziņojuma 3.sadaļā (12.lpp.) ir ietverts prasības summas slieksnis </w:t>
            </w:r>
            <w:proofErr w:type="spellStart"/>
            <w:r>
              <w:rPr>
                <w:sz w:val="24"/>
                <w:szCs w:val="24"/>
              </w:rPr>
              <w:t>komercstrīdos</w:t>
            </w:r>
            <w:proofErr w:type="spellEnd"/>
            <w:r>
              <w:rPr>
                <w:sz w:val="24"/>
                <w:szCs w:val="24"/>
              </w:rPr>
              <w:t xml:space="preserve"> – 0,5 miljoni </w:t>
            </w:r>
            <w:proofErr w:type="spellStart"/>
            <w:r>
              <w:rPr>
                <w:i/>
                <w:iCs/>
                <w:sz w:val="24"/>
                <w:szCs w:val="24"/>
              </w:rPr>
              <w:t>euro</w:t>
            </w:r>
            <w:proofErr w:type="spellEnd"/>
            <w:r>
              <w:rPr>
                <w:sz w:val="24"/>
                <w:szCs w:val="24"/>
              </w:rPr>
              <w:t xml:space="preserve">. Prasības summa nav objektīvs kritērijs sarežģītu ekonomisko lietu nošķiršanai no vienkāršākām lietām. Prakse rāda, ka arī tādām prasībām, kurās prasības summa ir zemāka par šo slieksni, ir nepieciešamas īpašas grāmatvedības un finanšu jomas zināšanas. Prasības summas sliekšņa noteikšana </w:t>
            </w:r>
            <w:proofErr w:type="spellStart"/>
            <w:r>
              <w:rPr>
                <w:sz w:val="24"/>
                <w:szCs w:val="24"/>
              </w:rPr>
              <w:t>komercstrīdos</w:t>
            </w:r>
            <w:proofErr w:type="spellEnd"/>
            <w:r>
              <w:rPr>
                <w:sz w:val="24"/>
                <w:szCs w:val="24"/>
              </w:rPr>
              <w:t xml:space="preserve"> neļautu efektīvi sasniegt Tieslietu ministrijas izstrādātās </w:t>
            </w:r>
            <w:r>
              <w:rPr>
                <w:sz w:val="24"/>
                <w:szCs w:val="24"/>
              </w:rPr>
              <w:lastRenderedPageBreak/>
              <w:t>koncepcijas mērķi, jo maziem un vidējiem uzņēmumiem tiktu liegta pieeja profesionālai un kvalificētai tiesai tikai tāpēc, ka prasības summa nesasniedz likumdevēja noteikto slieksni, ja pat lieta ir juridiski sarežģīta. Vienāda rakstura strīdu, bet ar atšķirīgām prasības summām, izskatīšana dažādās tiesās, t.i., vispārējās jurisdikcijas tiesā un specializētajā tiesā neveicinās arī judikatūras vienveidīgu attīstību valstī.</w:t>
            </w:r>
          </w:p>
        </w:tc>
        <w:tc>
          <w:tcPr>
            <w:tcW w:w="2835" w:type="dxa"/>
            <w:tcBorders>
              <w:top w:val="single" w:color="000000" w:sz="6" w:space="0"/>
              <w:left w:val="single" w:color="000000" w:sz="6" w:space="0"/>
              <w:bottom w:val="single" w:color="000000" w:sz="6" w:space="0"/>
              <w:right w:val="single" w:color="000000" w:sz="6" w:space="0"/>
            </w:tcBorders>
          </w:tcPr>
          <w:p w:rsidRPr="002F4826" w:rsidR="00471216" w:rsidP="00471216" w:rsidRDefault="002F4826" w14:paraId="27B9AD92" w14:textId="65304BB0">
            <w:pPr>
              <w:jc w:val="both"/>
              <w:rPr>
                <w:b/>
                <w:iCs/>
                <w:sz w:val="24"/>
                <w:szCs w:val="24"/>
              </w:rPr>
            </w:pPr>
            <w:r>
              <w:rPr>
                <w:b/>
                <w:iCs/>
                <w:sz w:val="24"/>
                <w:szCs w:val="24"/>
              </w:rPr>
              <w:lastRenderedPageBreak/>
              <w:tab/>
            </w:r>
            <w:r w:rsidRPr="002F4826" w:rsidR="00471216">
              <w:rPr>
                <w:b/>
                <w:iCs/>
                <w:sz w:val="24"/>
                <w:szCs w:val="24"/>
              </w:rPr>
              <w:t xml:space="preserve">Ņemts vērā </w:t>
            </w:r>
          </w:p>
          <w:p w:rsidRPr="002F4826" w:rsidR="002F4826" w:rsidP="002F4826" w:rsidRDefault="002F4826" w14:paraId="28701092" w14:textId="6E38669C">
            <w:pPr>
              <w:jc w:val="both"/>
              <w:rPr>
                <w:iCs/>
                <w:sz w:val="24"/>
                <w:szCs w:val="24"/>
              </w:rPr>
            </w:pPr>
            <w:r>
              <w:rPr>
                <w:iCs/>
                <w:sz w:val="24"/>
                <w:szCs w:val="24"/>
              </w:rPr>
              <w:lastRenderedPageBreak/>
              <w:tab/>
              <w:t>Konceptuālā ziņojumā sniegts specializētās tiesas kompetences tvēruma raksturojums.</w:t>
            </w:r>
            <w:r w:rsidRPr="002F4826">
              <w:rPr>
                <w:iCs/>
                <w:sz w:val="24"/>
                <w:szCs w:val="24"/>
              </w:rPr>
              <w:t xml:space="preserve"> Lietu piekritība, tajā skaitā, tās nošķiršanā izmantotie kritēriji (likuma vai likuma regulējuma joma, prasības summas apmērs) tiks definēti likumprojekta izstrādes procesā.</w:t>
            </w:r>
          </w:p>
          <w:p w:rsidR="002F4826" w:rsidP="002F4826" w:rsidRDefault="002F4826" w14:paraId="70F8D798" w14:textId="77777777">
            <w:pPr>
              <w:jc w:val="both"/>
              <w:rPr>
                <w:iCs/>
                <w:sz w:val="24"/>
                <w:szCs w:val="24"/>
              </w:rPr>
            </w:pPr>
            <w:r w:rsidRPr="002F4826">
              <w:rPr>
                <w:iCs/>
                <w:sz w:val="24"/>
                <w:szCs w:val="24"/>
              </w:rPr>
              <w:t>Šobrīd Civilprocesa likuma 24.pantā</w:t>
            </w:r>
            <w:r>
              <w:rPr>
                <w:iCs/>
                <w:sz w:val="24"/>
                <w:szCs w:val="24"/>
              </w:rPr>
              <w:t>,</w:t>
            </w:r>
            <w:r w:rsidRPr="002F4826">
              <w:rPr>
                <w:iCs/>
                <w:sz w:val="24"/>
                <w:szCs w:val="24"/>
              </w:rPr>
              <w:t xml:space="preserve"> nosakot lietu piekritību, izmantota attiecīgā likuma regulējuma joma</w:t>
            </w:r>
            <w:r>
              <w:rPr>
                <w:iCs/>
                <w:sz w:val="24"/>
                <w:szCs w:val="24"/>
              </w:rPr>
              <w:t xml:space="preserve">, piemēram, lietas </w:t>
            </w:r>
            <w:r w:rsidRPr="002F4826">
              <w:rPr>
                <w:iCs/>
                <w:sz w:val="24"/>
                <w:szCs w:val="24"/>
              </w:rPr>
              <w:t xml:space="preserve">par patenttiesību aizsardzību, lietas par komercnoslēpuma aizsardzību pret nelikumīgu iegūšanu. </w:t>
            </w:r>
          </w:p>
          <w:p w:rsidRPr="002F4826" w:rsidR="00471216" w:rsidP="002F4826" w:rsidRDefault="002F4826" w14:paraId="280EA938" w14:textId="2480819B">
            <w:pPr>
              <w:jc w:val="both"/>
              <w:rPr>
                <w:iCs/>
                <w:sz w:val="24"/>
                <w:szCs w:val="24"/>
              </w:rPr>
            </w:pPr>
            <w:r w:rsidRPr="002F4826">
              <w:rPr>
                <w:iCs/>
                <w:sz w:val="24"/>
                <w:szCs w:val="24"/>
              </w:rPr>
              <w:t>Lai arī p</w:t>
            </w:r>
            <w:r w:rsidRPr="002F4826" w:rsidR="00471216">
              <w:rPr>
                <w:iCs/>
                <w:sz w:val="24"/>
                <w:szCs w:val="24"/>
              </w:rPr>
              <w:t xml:space="preserve">rasības summa pati par sevi nav kritērijs sarežģītu ekonomisko lietu nošķiršanai no vienkāršajām lietām, tomēr </w:t>
            </w:r>
            <w:r w:rsidRPr="002F4826">
              <w:rPr>
                <w:iCs/>
                <w:sz w:val="24"/>
                <w:szCs w:val="24"/>
              </w:rPr>
              <w:t xml:space="preserve">tā </w:t>
            </w:r>
            <w:r w:rsidRPr="002F4826" w:rsidR="00471216">
              <w:rPr>
                <w:iCs/>
                <w:sz w:val="24"/>
                <w:szCs w:val="24"/>
              </w:rPr>
              <w:t xml:space="preserve">kā kritērijs ir izmantojams, lai nošķirtu piekritību. Laikā, kad Latvijā nebija ieviestas t.s. </w:t>
            </w:r>
            <w:r w:rsidRPr="002F4826" w:rsidR="00471216">
              <w:rPr>
                <w:iCs/>
                <w:sz w:val="24"/>
                <w:szCs w:val="24"/>
              </w:rPr>
              <w:lastRenderedPageBreak/>
              <w:t xml:space="preserve">tīrās tiesu instances, viens no apgabaltiesai piekritīgo lietu nošķiršanas kritērijiem bija tieši prasības summa. Nav identificēti apstākļu, kuru dēļ šo kritēriju nevarētu izmantot definējot specializētās tiesas kompetenci. </w:t>
            </w:r>
            <w:r w:rsidRPr="002F4826">
              <w:rPr>
                <w:iCs/>
                <w:sz w:val="24"/>
                <w:szCs w:val="24"/>
              </w:rPr>
              <w:t>Lietu piekritība, tajā skaitā, tās nošķiršanā izmantotie kritēriji (likuma vai likuma regulējuma joma, prasības summas apmērs) tiks definēti likumprojekta izstrādes procesā.</w:t>
            </w:r>
          </w:p>
          <w:p w:rsidRPr="00DC6678" w:rsidR="00471216" w:rsidP="0042526C" w:rsidRDefault="00471216" w14:paraId="3661D398" w14:textId="50E2CE3C">
            <w:pPr>
              <w:pStyle w:val="naisf"/>
              <w:ind w:firstLine="0"/>
              <w:jc w:val="center"/>
              <w:rPr>
                <w:b/>
                <w:iCs/>
              </w:rPr>
            </w:pPr>
          </w:p>
        </w:tc>
        <w:tc>
          <w:tcPr>
            <w:tcW w:w="3260" w:type="dxa"/>
            <w:gridSpan w:val="3"/>
            <w:tcBorders>
              <w:top w:val="single" w:color="auto" w:sz="4" w:space="0"/>
              <w:left w:val="single" w:color="auto" w:sz="4" w:space="0"/>
              <w:bottom w:val="single" w:color="auto" w:sz="4" w:space="0"/>
            </w:tcBorders>
          </w:tcPr>
          <w:p w:rsidR="00471216" w:rsidP="002F4826" w:rsidRDefault="00471216" w14:paraId="74AB2827" w14:textId="2320E9CC">
            <w:pPr>
              <w:jc w:val="both"/>
              <w:rPr>
                <w:iCs/>
              </w:rPr>
            </w:pPr>
            <w:r w:rsidRPr="002F4826">
              <w:rPr>
                <w:iCs/>
                <w:sz w:val="24"/>
                <w:szCs w:val="24"/>
              </w:rPr>
              <w:lastRenderedPageBreak/>
              <w:t>Konceptuālā ziņojuma 3. sadaļa (13. lp.)</w:t>
            </w:r>
            <w:r w:rsidR="00D63C91">
              <w:rPr>
                <w:iCs/>
                <w:sz w:val="24"/>
                <w:szCs w:val="24"/>
              </w:rPr>
              <w:t xml:space="preserve"> papildināta ar tekstu</w:t>
            </w:r>
            <w:r>
              <w:rPr>
                <w:iCs/>
              </w:rPr>
              <w:t xml:space="preserve"> </w:t>
            </w:r>
            <w:r w:rsidRPr="002F4826">
              <w:rPr>
                <w:b/>
                <w:iCs/>
                <w:sz w:val="24"/>
                <w:szCs w:val="24"/>
              </w:rPr>
              <w:lastRenderedPageBreak/>
              <w:t>"</w:t>
            </w:r>
            <w:r w:rsidRPr="002F4826">
              <w:rPr>
                <w:b/>
                <w:bCs/>
                <w:sz w:val="24"/>
                <w:szCs w:val="24"/>
                <w:u w:val="single"/>
              </w:rPr>
              <w:t xml:space="preserve">Norādāms, ka iepriekš minētais uzskaitījums norādīts nolūkā aprakstīt specializētās tiesas kompetences tvērumu, nevis definēt lietu piekritību. Lietu piekritība, tajā skaitā, tās nošķiršanā izmantotie kritēriji (likuma vai likuma regulējuma joma, prasības summas apmērs) tiks definēti likumprojekta izstrādes procesā.". </w:t>
            </w:r>
            <w:r w:rsidRPr="00DC6678">
              <w:rPr>
                <w:iCs/>
              </w:rPr>
              <w:t xml:space="preserve"> </w:t>
            </w:r>
          </w:p>
          <w:p w:rsidRPr="00DC6678" w:rsidR="002F4826" w:rsidP="002F4826" w:rsidRDefault="002F4826" w14:paraId="61FF3819" w14:textId="72C7C3B0">
            <w:pPr>
              <w:jc w:val="both"/>
              <w:rPr>
                <w:iCs/>
              </w:rPr>
            </w:pPr>
          </w:p>
        </w:tc>
      </w:tr>
      <w:tr w:rsidRPr="00DC6678" w:rsidR="002F4826" w:rsidTr="004F743E" w14:paraId="590DC19B"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DC6678" w:rsidR="002F4826" w:rsidP="0042526C" w:rsidRDefault="00783039" w14:paraId="0953B795" w14:textId="69CB3154">
            <w:pPr>
              <w:contextualSpacing/>
              <w:jc w:val="both"/>
              <w:rPr>
                <w:iCs/>
                <w:sz w:val="24"/>
                <w:szCs w:val="24"/>
              </w:rPr>
            </w:pPr>
            <w:r>
              <w:rPr>
                <w:iCs/>
                <w:sz w:val="24"/>
                <w:szCs w:val="24"/>
              </w:rPr>
              <w:lastRenderedPageBreak/>
              <w:t>5.</w:t>
            </w:r>
          </w:p>
        </w:tc>
        <w:tc>
          <w:tcPr>
            <w:tcW w:w="2977" w:type="dxa"/>
            <w:gridSpan w:val="2"/>
            <w:tcBorders>
              <w:top w:val="single" w:color="000000" w:sz="6" w:space="0"/>
              <w:left w:val="single" w:color="000000" w:sz="6" w:space="0"/>
              <w:bottom w:val="single" w:color="000000" w:sz="6" w:space="0"/>
              <w:right w:val="single" w:color="000000" w:sz="6" w:space="0"/>
            </w:tcBorders>
          </w:tcPr>
          <w:p w:rsidRPr="00DC6678" w:rsidR="002F4826" w:rsidP="0042526C" w:rsidRDefault="00D63C91" w14:paraId="6BB674E4" w14:textId="2ABA30EE">
            <w:pPr>
              <w:contextualSpacing/>
              <w:jc w:val="both"/>
              <w:rPr>
                <w:iCs/>
                <w:sz w:val="24"/>
                <w:szCs w:val="24"/>
              </w:rPr>
            </w:pPr>
            <w:r w:rsidRPr="00D63C91">
              <w:rPr>
                <w:iCs/>
                <w:sz w:val="24"/>
                <w:szCs w:val="24"/>
              </w:rPr>
              <w:t>Konceptuālā ziņojuma 3. sadaļa</w:t>
            </w:r>
          </w:p>
        </w:tc>
        <w:tc>
          <w:tcPr>
            <w:tcW w:w="4394" w:type="dxa"/>
            <w:gridSpan w:val="2"/>
            <w:tcBorders>
              <w:top w:val="single" w:color="000000" w:sz="6" w:space="0"/>
              <w:left w:val="single" w:color="000000" w:sz="6" w:space="0"/>
              <w:bottom w:val="single" w:color="000000" w:sz="6" w:space="0"/>
              <w:right w:val="single" w:color="000000" w:sz="6" w:space="0"/>
            </w:tcBorders>
          </w:tcPr>
          <w:p w:rsidR="002F4826" w:rsidP="002F4826" w:rsidRDefault="002F4826" w14:paraId="4515A9BF" w14:textId="77777777">
            <w:pPr>
              <w:ind w:firstLine="720"/>
              <w:jc w:val="both"/>
              <w:rPr>
                <w:sz w:val="24"/>
                <w:szCs w:val="24"/>
              </w:rPr>
            </w:pPr>
            <w:bookmarkStart w:name="_Hlk11745625" w:id="4"/>
            <w:r>
              <w:rPr>
                <w:sz w:val="24"/>
                <w:szCs w:val="24"/>
              </w:rPr>
              <w:t xml:space="preserve">Atbilstoši </w:t>
            </w:r>
            <w:proofErr w:type="spellStart"/>
            <w:r>
              <w:rPr>
                <w:sz w:val="24"/>
                <w:szCs w:val="24"/>
              </w:rPr>
              <w:t>Moneyval</w:t>
            </w:r>
            <w:proofErr w:type="spellEnd"/>
            <w:r>
              <w:rPr>
                <w:sz w:val="24"/>
                <w:szCs w:val="24"/>
              </w:rPr>
              <w:t xml:space="preserve"> ziņojumam un pasākumiem, kuri tiek veikti, lai uzlabotu Latvijas reputāciju, lūdzam papildināt konceptuālā ziņojuma 3.sadaļu (12.lpp. pirmspēdējo rindkopu) ar jaunu 3.punktu (precizējot turpmāko punktu numerāciju) šādā redakcijā:</w:t>
            </w:r>
          </w:p>
          <w:p w:rsidR="002F4826" w:rsidP="002F4826" w:rsidRDefault="002F4826" w14:paraId="6B1DCE6A" w14:textId="77777777">
            <w:pPr>
              <w:ind w:firstLine="720"/>
              <w:jc w:val="both"/>
              <w:rPr>
                <w:sz w:val="24"/>
                <w:szCs w:val="24"/>
              </w:rPr>
            </w:pPr>
            <w:r>
              <w:rPr>
                <w:sz w:val="24"/>
                <w:szCs w:val="24"/>
              </w:rPr>
              <w:t>“3) terorisma un proliferācijas finansēšana;”,</w:t>
            </w:r>
          </w:p>
          <w:bookmarkEnd w:id="4"/>
          <w:p w:rsidR="002F4826" w:rsidP="002F4826" w:rsidRDefault="002F4826" w14:paraId="7184A407" w14:textId="77777777">
            <w:pPr>
              <w:jc w:val="both"/>
              <w:rPr>
                <w:sz w:val="24"/>
                <w:szCs w:val="24"/>
              </w:rPr>
            </w:pPr>
            <w:r>
              <w:rPr>
                <w:sz w:val="24"/>
                <w:szCs w:val="24"/>
              </w:rPr>
              <w:t>tādējādi paredzot, ka specializētās tiesas kompetence varētu aptvert arī šādus noziedzīgus nodarījumus.</w:t>
            </w:r>
          </w:p>
          <w:p w:rsidR="002F4826" w:rsidP="002F4826" w:rsidRDefault="002F4826" w14:paraId="08959390" w14:textId="77777777">
            <w:pPr>
              <w:jc w:val="both"/>
              <w:rPr>
                <w:rFonts w:ascii="Calibri" w:hAnsi="Calibri" w:cs="Calibri"/>
                <w:sz w:val="22"/>
                <w:szCs w:val="22"/>
              </w:rPr>
            </w:pPr>
          </w:p>
          <w:p w:rsidR="002F4826" w:rsidP="0042526C" w:rsidRDefault="002F4826" w14:paraId="51AF3DA5" w14:textId="77777777">
            <w:pPr>
              <w:contextualSpacing/>
              <w:jc w:val="both"/>
              <w:rPr>
                <w:iCs/>
                <w:sz w:val="24"/>
                <w:szCs w:val="24"/>
              </w:rPr>
            </w:pPr>
          </w:p>
        </w:tc>
        <w:tc>
          <w:tcPr>
            <w:tcW w:w="2835" w:type="dxa"/>
            <w:tcBorders>
              <w:top w:val="single" w:color="000000" w:sz="6" w:space="0"/>
              <w:left w:val="single" w:color="000000" w:sz="6" w:space="0"/>
              <w:bottom w:val="single" w:color="000000" w:sz="6" w:space="0"/>
              <w:right w:val="single" w:color="000000" w:sz="6" w:space="0"/>
            </w:tcBorders>
          </w:tcPr>
          <w:p w:rsidRPr="002F4826" w:rsidR="00D63C91" w:rsidP="00D63C91" w:rsidRDefault="00D63C91" w14:paraId="57B63905" w14:textId="77777777">
            <w:pPr>
              <w:jc w:val="both"/>
              <w:rPr>
                <w:b/>
                <w:iCs/>
                <w:sz w:val="24"/>
                <w:szCs w:val="24"/>
              </w:rPr>
            </w:pPr>
            <w:r w:rsidRPr="002F4826">
              <w:rPr>
                <w:b/>
                <w:iCs/>
                <w:sz w:val="24"/>
                <w:szCs w:val="24"/>
              </w:rPr>
              <w:t xml:space="preserve">Ņemts vērā </w:t>
            </w:r>
          </w:p>
          <w:p w:rsidR="002F4826" w:rsidP="00D63C91" w:rsidRDefault="002F4826" w14:paraId="4ADCD5A8" w14:textId="77777777">
            <w:pPr>
              <w:ind w:firstLine="720"/>
              <w:jc w:val="both"/>
              <w:rPr>
                <w:b/>
                <w:iCs/>
                <w:sz w:val="24"/>
                <w:szCs w:val="24"/>
              </w:rPr>
            </w:pPr>
          </w:p>
        </w:tc>
        <w:tc>
          <w:tcPr>
            <w:tcW w:w="3260" w:type="dxa"/>
            <w:gridSpan w:val="3"/>
            <w:tcBorders>
              <w:top w:val="single" w:color="auto" w:sz="4" w:space="0"/>
              <w:left w:val="single" w:color="auto" w:sz="4" w:space="0"/>
              <w:bottom w:val="single" w:color="auto" w:sz="4" w:space="0"/>
            </w:tcBorders>
          </w:tcPr>
          <w:p w:rsidRPr="00D63C91" w:rsidR="002F4826" w:rsidP="00D63C91" w:rsidRDefault="00D63C91" w14:paraId="14FD6B65" w14:textId="6035BDE6">
            <w:pPr>
              <w:ind w:firstLine="720"/>
              <w:jc w:val="both"/>
              <w:rPr>
                <w:iCs/>
                <w:sz w:val="24"/>
                <w:szCs w:val="24"/>
              </w:rPr>
            </w:pPr>
            <w:r w:rsidRPr="00D63C91">
              <w:rPr>
                <w:iCs/>
                <w:sz w:val="24"/>
                <w:szCs w:val="24"/>
              </w:rPr>
              <w:t>Konceptuālā ziņojuma 3. sadaļa (12.</w:t>
            </w:r>
            <w:r w:rsidRPr="00D63C91" w:rsidR="008F5378">
              <w:rPr>
                <w:iCs/>
                <w:sz w:val="24"/>
                <w:szCs w:val="24"/>
              </w:rPr>
              <w:t> </w:t>
            </w:r>
            <w:r w:rsidRPr="00D63C91">
              <w:rPr>
                <w:iCs/>
                <w:sz w:val="24"/>
                <w:szCs w:val="24"/>
              </w:rPr>
              <w:t>-13. lp.) papildināta ar tekstu: "</w:t>
            </w:r>
            <w:r w:rsidRPr="00D63C91">
              <w:rPr>
                <w:b/>
                <w:sz w:val="24"/>
                <w:szCs w:val="24"/>
                <w:u w:val="single"/>
              </w:rPr>
              <w:t xml:space="preserve"> Iepriekš minēto krimināllietu uzskaitījums definēts atbilstoši Noziedzīgi iegūtu līdzekļu legalizācijas novēršanas dienesta un Ģenerālprokuratūras viedokļiem, tostarp, ņemot vērā 2018.gada 22.jūnija Latvijas Nacionālajā noziedzīgi iegūtu līdzekļu legalizācijas un terorisma finansēšanas risku novērtēšanas ziņojumā, kā arī Ministru kabineta 2018.gada 11.oktobra rīkojumā Nr.512 "Par Pasākumu plānu noziedzīgi iegūtu līdzekļu legalizācijas un terorisma </w:t>
            </w:r>
            <w:r w:rsidRPr="00D63C91">
              <w:rPr>
                <w:b/>
                <w:sz w:val="24"/>
                <w:szCs w:val="24"/>
                <w:u w:val="single"/>
              </w:rPr>
              <w:lastRenderedPageBreak/>
              <w:t xml:space="preserve">finansēšanas novēršanai laikposmam līdz 2019.gada 31.decembrim" norādītajam par būtiskākajiem draudiem attiecībā uz noziedzīgiem nodarījumiem noziedzīgi iegūtu līdzekļu legalizācijas jomā. Vienlaikus likumprojektu izstrādes ietvaros būtu vērtējams, vai atbilstoši </w:t>
            </w:r>
            <w:proofErr w:type="spellStart"/>
            <w:r w:rsidRPr="00D63C91">
              <w:rPr>
                <w:b/>
                <w:i/>
                <w:sz w:val="24"/>
                <w:szCs w:val="24"/>
                <w:u w:val="single"/>
              </w:rPr>
              <w:t>Moneyval</w:t>
            </w:r>
            <w:proofErr w:type="spellEnd"/>
            <w:r w:rsidRPr="00D63C91">
              <w:rPr>
                <w:b/>
                <w:sz w:val="24"/>
                <w:szCs w:val="24"/>
                <w:u w:val="single"/>
              </w:rPr>
              <w:t xml:space="preserve"> 5. kārtas novērtējuma ziņojumam par Latvijas noziedzīgi iegūtu līdzekļu legalizācijas un terorisma finansēšanas novēršanas un apkarošanas sistēmu un pasākumiem, kuri tiek veikti, lai uzlabotu Latvijas reputāciju, specializētās tiesas kompetencē nav iekļaujami noziedzīgi nodarījumi saistībā ar terorisma un proliferācijas finansēšanu. </w:t>
            </w:r>
          </w:p>
        </w:tc>
      </w:tr>
      <w:tr w:rsidRPr="00DC6678" w:rsidR="00D63C91" w:rsidTr="004F743E" w14:paraId="1BA1BC22"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DC6678" w:rsidR="00D63C91" w:rsidP="0042526C" w:rsidRDefault="00783039" w14:paraId="3F920CD3" w14:textId="5F71BDEA">
            <w:pPr>
              <w:contextualSpacing/>
              <w:jc w:val="both"/>
              <w:rPr>
                <w:iCs/>
                <w:sz w:val="24"/>
                <w:szCs w:val="24"/>
              </w:rPr>
            </w:pPr>
            <w:r>
              <w:rPr>
                <w:iCs/>
                <w:sz w:val="24"/>
                <w:szCs w:val="24"/>
              </w:rPr>
              <w:lastRenderedPageBreak/>
              <w:t>6.</w:t>
            </w:r>
            <w:bookmarkStart w:name="_GoBack" w:id="5"/>
            <w:bookmarkEnd w:id="5"/>
          </w:p>
        </w:tc>
        <w:tc>
          <w:tcPr>
            <w:tcW w:w="2977" w:type="dxa"/>
            <w:gridSpan w:val="2"/>
            <w:tcBorders>
              <w:top w:val="single" w:color="000000" w:sz="6" w:space="0"/>
              <w:left w:val="single" w:color="000000" w:sz="6" w:space="0"/>
              <w:bottom w:val="single" w:color="000000" w:sz="6" w:space="0"/>
              <w:right w:val="single" w:color="000000" w:sz="6" w:space="0"/>
            </w:tcBorders>
          </w:tcPr>
          <w:p w:rsidRPr="00DC6678" w:rsidR="00D63C91" w:rsidP="0042526C" w:rsidRDefault="00491535" w14:paraId="6102CBDF" w14:textId="6EAD80D7">
            <w:pPr>
              <w:contextualSpacing/>
              <w:jc w:val="both"/>
              <w:rPr>
                <w:iCs/>
                <w:sz w:val="24"/>
                <w:szCs w:val="24"/>
              </w:rPr>
            </w:pPr>
            <w:r>
              <w:rPr>
                <w:iCs/>
                <w:sz w:val="24"/>
                <w:szCs w:val="24"/>
              </w:rPr>
              <w:t>Konceptuālais ziņojums kopumā.</w:t>
            </w:r>
          </w:p>
        </w:tc>
        <w:tc>
          <w:tcPr>
            <w:tcW w:w="4394" w:type="dxa"/>
            <w:gridSpan w:val="2"/>
            <w:tcBorders>
              <w:top w:val="single" w:color="000000" w:sz="6" w:space="0"/>
              <w:left w:val="single" w:color="000000" w:sz="6" w:space="0"/>
              <w:bottom w:val="single" w:color="000000" w:sz="6" w:space="0"/>
              <w:right w:val="single" w:color="000000" w:sz="6" w:space="0"/>
            </w:tcBorders>
          </w:tcPr>
          <w:p w:rsidR="00D63C91" w:rsidP="00D63C91" w:rsidRDefault="00D63C91" w14:paraId="1C16F85B" w14:textId="77777777">
            <w:pPr>
              <w:ind w:firstLine="720"/>
              <w:jc w:val="both"/>
              <w:rPr>
                <w:sz w:val="24"/>
                <w:szCs w:val="24"/>
              </w:rPr>
            </w:pPr>
            <w:r>
              <w:rPr>
                <w:sz w:val="24"/>
                <w:szCs w:val="24"/>
              </w:rPr>
              <w:t xml:space="preserve">Tā kā Tieslietu ministrija ir norādījusi, ka konkrēti priekšlikumi procesuālajos likumos tiks izstrādāti līdz 2019.gada decembrim un vēl tiks precizēti lietu piekritības noteikumi, tad Finanšu ministrija kopumā atbalsta konceptuālajā ziņojumā norādīto ekonomisko lietu tiesas specializācijas tvērumu, vienlaikus paužot </w:t>
            </w:r>
            <w:r>
              <w:rPr>
                <w:sz w:val="24"/>
                <w:szCs w:val="24"/>
              </w:rPr>
              <w:lastRenderedPageBreak/>
              <w:t>zināmas šaubas par to, vai veiktās aplēses par tiesnešu noslodzes apjomu un tiesai nepieciešamo kapacitāti nav pārlieku optimistiskas, jo tiesnešu skaitam būtu jāspēj izskatīt civillietas un krimināllietas, kuras pēc savas būtības ietilpst juridiski sarežģītu lietu kategorijā.</w:t>
            </w:r>
          </w:p>
          <w:p w:rsidR="00D63C91" w:rsidP="002F4826" w:rsidRDefault="00D63C91" w14:paraId="43542651" w14:textId="77777777">
            <w:pPr>
              <w:ind w:firstLine="720"/>
              <w:jc w:val="both"/>
              <w:rPr>
                <w:sz w:val="24"/>
                <w:szCs w:val="24"/>
              </w:rPr>
            </w:pPr>
          </w:p>
        </w:tc>
        <w:tc>
          <w:tcPr>
            <w:tcW w:w="2835" w:type="dxa"/>
            <w:tcBorders>
              <w:top w:val="single" w:color="000000" w:sz="6" w:space="0"/>
              <w:left w:val="single" w:color="000000" w:sz="6" w:space="0"/>
              <w:bottom w:val="single" w:color="000000" w:sz="6" w:space="0"/>
              <w:right w:val="single" w:color="000000" w:sz="6" w:space="0"/>
            </w:tcBorders>
          </w:tcPr>
          <w:p w:rsidRPr="00491535" w:rsidR="00491535" w:rsidP="00D63C91" w:rsidRDefault="00D63C91" w14:paraId="0BAF4924" w14:textId="77777777">
            <w:pPr>
              <w:jc w:val="both"/>
              <w:rPr>
                <w:b/>
                <w:sz w:val="24"/>
                <w:szCs w:val="24"/>
              </w:rPr>
            </w:pPr>
            <w:r w:rsidRPr="00491535">
              <w:rPr>
                <w:b/>
                <w:sz w:val="24"/>
                <w:szCs w:val="24"/>
              </w:rPr>
              <w:lastRenderedPageBreak/>
              <w:t xml:space="preserve">Ņemts vērā </w:t>
            </w:r>
          </w:p>
          <w:p w:rsidRPr="00491535" w:rsidR="00D63C91" w:rsidP="00D63C91" w:rsidRDefault="00491535" w14:paraId="0E4ED861" w14:textId="04D21D00">
            <w:pPr>
              <w:jc w:val="both"/>
              <w:rPr>
                <w:b/>
                <w:iCs/>
                <w:sz w:val="24"/>
                <w:szCs w:val="24"/>
              </w:rPr>
            </w:pPr>
            <w:r>
              <w:rPr>
                <w:iCs/>
                <w:sz w:val="24"/>
                <w:szCs w:val="24"/>
              </w:rPr>
              <w:t>Konceptuālā ziņojumā norādīti risinājumi gan pārslodzes, gan nepietiekamas noslodzes gadījumā.</w:t>
            </w:r>
          </w:p>
        </w:tc>
        <w:tc>
          <w:tcPr>
            <w:tcW w:w="3260" w:type="dxa"/>
            <w:gridSpan w:val="3"/>
            <w:tcBorders>
              <w:top w:val="single" w:color="auto" w:sz="4" w:space="0"/>
              <w:left w:val="single" w:color="auto" w:sz="4" w:space="0"/>
              <w:bottom w:val="single" w:color="auto" w:sz="4" w:space="0"/>
            </w:tcBorders>
          </w:tcPr>
          <w:p w:rsidRPr="00D63C91" w:rsidR="00D63C91" w:rsidP="00D63C91" w:rsidRDefault="00D63C91" w14:paraId="01CFCABF" w14:textId="10DABC4C">
            <w:pPr>
              <w:ind w:firstLine="720"/>
              <w:jc w:val="both"/>
              <w:rPr>
                <w:iCs/>
                <w:sz w:val="24"/>
                <w:szCs w:val="24"/>
              </w:rPr>
            </w:pPr>
          </w:p>
        </w:tc>
      </w:tr>
      <w:tr w:rsidRPr="00DC6678" w:rsidR="0042526C" w:rsidTr="001D2289" w14:paraId="49BB795C" w14:textId="77777777">
        <w:tblPrEx>
          <w:tblBorders>
            <w:top w:val="none" w:color="auto" w:sz="0" w:space="0"/>
            <w:left w:val="none" w:color="auto" w:sz="0" w:space="0"/>
            <w:bottom w:val="none" w:color="auto" w:sz="0" w:space="0"/>
            <w:right w:val="none" w:color="auto" w:sz="0" w:space="0"/>
          </w:tblBorders>
        </w:tblPrEx>
        <w:trPr>
          <w:gridAfter w:val="1"/>
          <w:wAfter w:w="8" w:type="dxa"/>
        </w:trPr>
        <w:tc>
          <w:tcPr>
            <w:tcW w:w="5782" w:type="dxa"/>
            <w:gridSpan w:val="5"/>
          </w:tcPr>
          <w:p w:rsidRPr="00DC6678" w:rsidR="0042526C" w:rsidP="0042526C" w:rsidRDefault="0042526C" w14:paraId="164A68BE" w14:textId="77777777">
            <w:pPr>
              <w:pStyle w:val="naisf"/>
              <w:ind w:firstLine="0"/>
              <w:rPr>
                <w:szCs w:val="20"/>
              </w:rPr>
            </w:pPr>
          </w:p>
          <w:p w:rsidRPr="00DC6678" w:rsidR="0042526C" w:rsidP="0042526C" w:rsidRDefault="0042526C" w14:paraId="36BDD748" w14:textId="1BFEBAA1">
            <w:pPr>
              <w:pStyle w:val="naisf"/>
              <w:ind w:firstLine="0"/>
              <w:rPr>
                <w:szCs w:val="20"/>
              </w:rPr>
            </w:pPr>
            <w:r w:rsidRPr="00DC6678">
              <w:rPr>
                <w:szCs w:val="20"/>
              </w:rPr>
              <w:t>Atbildīgā amatpersona</w:t>
            </w:r>
          </w:p>
        </w:tc>
        <w:tc>
          <w:tcPr>
            <w:tcW w:w="8393" w:type="dxa"/>
            <w:gridSpan w:val="4"/>
          </w:tcPr>
          <w:p w:rsidRPr="00DC6678" w:rsidR="0042526C" w:rsidP="0042526C" w:rsidRDefault="0042526C" w14:paraId="2BF8A991" w14:textId="77777777">
            <w:pPr>
              <w:pStyle w:val="naisf"/>
              <w:ind w:firstLine="0"/>
              <w:rPr>
                <w:szCs w:val="20"/>
              </w:rPr>
            </w:pPr>
          </w:p>
          <w:p w:rsidRPr="00DC6678" w:rsidR="0042526C" w:rsidP="0042526C" w:rsidRDefault="0042526C" w14:paraId="7D8DF34B" w14:textId="77777777">
            <w:pPr>
              <w:pStyle w:val="Parastais"/>
            </w:pPr>
          </w:p>
        </w:tc>
      </w:tr>
      <w:tr w:rsidRPr="00DC6678" w:rsidR="0042526C" w:rsidTr="001D2289" w14:paraId="5B41B5BA" w14:textId="77777777">
        <w:tblPrEx>
          <w:tblBorders>
            <w:top w:val="none" w:color="auto" w:sz="0" w:space="0"/>
            <w:left w:val="none" w:color="auto" w:sz="0" w:space="0"/>
            <w:bottom w:val="none" w:color="auto" w:sz="0" w:space="0"/>
            <w:right w:val="none" w:color="auto" w:sz="0" w:space="0"/>
          </w:tblBorders>
        </w:tblPrEx>
        <w:trPr>
          <w:gridAfter w:val="2"/>
          <w:wAfter w:w="2671" w:type="dxa"/>
        </w:trPr>
        <w:tc>
          <w:tcPr>
            <w:tcW w:w="3119" w:type="dxa"/>
            <w:gridSpan w:val="3"/>
          </w:tcPr>
          <w:p w:rsidRPr="00DC6678" w:rsidR="0042526C" w:rsidP="0042526C" w:rsidRDefault="0042526C" w14:paraId="382B94AA" w14:textId="77777777">
            <w:pPr>
              <w:pStyle w:val="naisf"/>
              <w:rPr>
                <w:szCs w:val="20"/>
              </w:rPr>
            </w:pPr>
          </w:p>
        </w:tc>
        <w:tc>
          <w:tcPr>
            <w:tcW w:w="8393" w:type="dxa"/>
            <w:gridSpan w:val="5"/>
            <w:tcBorders>
              <w:top w:val="single" w:color="000000" w:sz="6" w:space="0"/>
            </w:tcBorders>
          </w:tcPr>
          <w:p w:rsidRPr="00DC6678" w:rsidR="0042526C" w:rsidP="0042526C" w:rsidRDefault="0042526C" w14:paraId="7AF31A37" w14:textId="77777777">
            <w:pPr>
              <w:pStyle w:val="naisf"/>
              <w:rPr>
                <w:szCs w:val="20"/>
              </w:rPr>
            </w:pPr>
            <w:r w:rsidRPr="00DC6678">
              <w:rPr>
                <w:szCs w:val="20"/>
              </w:rPr>
              <w:t>(paraksts)</w:t>
            </w:r>
          </w:p>
        </w:tc>
      </w:tr>
    </w:tbl>
    <w:p w:rsidRPr="00DC6678" w:rsidR="00EA366C" w:rsidP="00EA366C" w:rsidRDefault="00EA366C" w14:paraId="02E58341" w14:textId="77777777">
      <w:pPr>
        <w:pStyle w:val="naisf"/>
        <w:spacing w:before="0" w:after="0"/>
        <w:ind w:firstLine="0"/>
        <w:rPr>
          <w:szCs w:val="20"/>
        </w:rPr>
      </w:pPr>
      <w:r w:rsidRPr="00DC6678">
        <w:rPr>
          <w:szCs w:val="20"/>
        </w:rPr>
        <w:t>Inita Ilgaža</w:t>
      </w:r>
    </w:p>
    <w:p w:rsidRPr="00DC6678" w:rsidR="00EA366C" w:rsidP="00EA366C" w:rsidRDefault="00EA366C" w14:paraId="39E9108E" w14:textId="77777777">
      <w:pPr>
        <w:pStyle w:val="naisf"/>
        <w:spacing w:before="0" w:after="0"/>
        <w:ind w:firstLine="0"/>
        <w:rPr>
          <w:szCs w:val="20"/>
        </w:rPr>
      </w:pPr>
      <w:r w:rsidRPr="00DC6678">
        <w:rPr>
          <w:szCs w:val="20"/>
        </w:rPr>
        <w:t>Tieslietu ministrijas</w:t>
      </w:r>
    </w:p>
    <w:p w:rsidRPr="00DC6678" w:rsidR="00EA366C" w:rsidP="00EA366C" w:rsidRDefault="00EA366C" w14:paraId="3D2CFD6B" w14:textId="77777777">
      <w:pPr>
        <w:pStyle w:val="naisf"/>
        <w:spacing w:before="0" w:after="0"/>
        <w:ind w:firstLine="0"/>
        <w:rPr>
          <w:szCs w:val="20"/>
        </w:rPr>
      </w:pPr>
      <w:r w:rsidRPr="00DC6678">
        <w:rPr>
          <w:szCs w:val="20"/>
        </w:rPr>
        <w:t>Tiesu sistēmas politikas departamenta direktore</w:t>
      </w:r>
    </w:p>
    <w:p w:rsidRPr="00DC6678" w:rsidR="005F510E" w:rsidP="00A36B8E" w:rsidRDefault="00EA366C" w14:paraId="0202B696" w14:textId="77777777">
      <w:pPr>
        <w:pStyle w:val="naisf"/>
        <w:spacing w:before="0" w:after="0"/>
        <w:ind w:firstLine="0"/>
        <w:rPr>
          <w:szCs w:val="20"/>
        </w:rPr>
      </w:pPr>
      <w:r w:rsidRPr="00DC6678">
        <w:rPr>
          <w:szCs w:val="20"/>
        </w:rPr>
        <w:t>Tālr</w:t>
      </w:r>
      <w:r w:rsidRPr="00DC6678" w:rsidR="004805A5">
        <w:rPr>
          <w:szCs w:val="20"/>
        </w:rPr>
        <w:t>.</w:t>
      </w:r>
      <w:r w:rsidRPr="00DC6678">
        <w:rPr>
          <w:szCs w:val="20"/>
        </w:rPr>
        <w:t>: 67036814</w:t>
      </w:r>
    </w:p>
    <w:p w:rsidRPr="00FC7039" w:rsidR="006A1C6D" w:rsidP="00A36B8E" w:rsidRDefault="004805A5" w14:paraId="3D233B42" w14:textId="77777777">
      <w:pPr>
        <w:pStyle w:val="naisf"/>
        <w:spacing w:before="0" w:after="0"/>
        <w:ind w:firstLine="0"/>
        <w:rPr>
          <w:szCs w:val="20"/>
        </w:rPr>
      </w:pPr>
      <w:r w:rsidRPr="00DC6678">
        <w:rPr>
          <w:szCs w:val="20"/>
        </w:rPr>
        <w:t xml:space="preserve">E-pasts: </w:t>
      </w:r>
      <w:r w:rsidRPr="00DC6678" w:rsidR="00EA366C">
        <w:rPr>
          <w:szCs w:val="20"/>
        </w:rPr>
        <w:t>Inita.Ilgaza@tm.gov.lv</w:t>
      </w:r>
    </w:p>
    <w:sectPr w:rsidRPr="00FC7039" w:rsidR="006A1C6D" w:rsidSect="00FC7039">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E0165" w14:textId="77777777" w:rsidR="002C453C" w:rsidRDefault="002C453C">
      <w:pPr>
        <w:pStyle w:val="Parastais"/>
      </w:pPr>
      <w:r>
        <w:separator/>
      </w:r>
    </w:p>
    <w:p w14:paraId="7F409E23" w14:textId="77777777" w:rsidR="008C6CD8" w:rsidRDefault="008C6CD8"/>
  </w:endnote>
  <w:endnote w:type="continuationSeparator" w:id="0">
    <w:p w14:paraId="128CA836" w14:textId="77777777" w:rsidR="002C453C" w:rsidRDefault="002C453C">
      <w:pPr>
        <w:pStyle w:val="Parastais"/>
      </w:pPr>
      <w:r>
        <w:continuationSeparator/>
      </w:r>
    </w:p>
    <w:p w14:paraId="73A66B86" w14:textId="77777777" w:rsidR="008C6CD8" w:rsidRDefault="008C6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FF9A" w14:textId="4A02CE91" w:rsidR="00AB3D34" w:rsidRPr="00445498" w:rsidRDefault="00445498" w:rsidP="00FC7039">
    <w:pPr>
      <w:pStyle w:val="Kjene"/>
      <w:jc w:val="both"/>
    </w:pPr>
    <w:r>
      <w:rPr>
        <w:sz w:val="20"/>
        <w:szCs w:val="20"/>
      </w:rPr>
      <w:t>TM</w:t>
    </w:r>
    <w:r w:rsidR="00D51B5C">
      <w:rPr>
        <w:sz w:val="20"/>
        <w:szCs w:val="20"/>
      </w:rPr>
      <w:t>I</w:t>
    </w:r>
    <w:r>
      <w:rPr>
        <w:sz w:val="20"/>
        <w:szCs w:val="20"/>
      </w:rPr>
      <w:t>zz_</w:t>
    </w:r>
    <w:r w:rsidR="00DE1048">
      <w:rPr>
        <w:sz w:val="20"/>
        <w:szCs w:val="20"/>
      </w:rPr>
      <w:t>1</w:t>
    </w:r>
    <w:r w:rsidR="00491535">
      <w:rPr>
        <w:sz w:val="20"/>
        <w:szCs w:val="20"/>
      </w:rPr>
      <w:t>9</w:t>
    </w:r>
    <w:r w:rsidR="00DE1048">
      <w:rPr>
        <w:sz w:val="20"/>
        <w:szCs w:val="20"/>
      </w:rPr>
      <w:t>0619</w:t>
    </w:r>
    <w:r w:rsidR="005265E4">
      <w:rPr>
        <w:sz w:val="20"/>
        <w:szCs w:val="20"/>
      </w:rPr>
      <w:t>_</w:t>
    </w:r>
    <w:r w:rsidR="00DE1048">
      <w:rPr>
        <w:sz w:val="20"/>
        <w:szCs w:val="20"/>
      </w:rPr>
      <w:t>EL_tiesa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CAB0" w14:textId="78AA3EDB" w:rsidR="00AB3D34" w:rsidRPr="009F19AA" w:rsidRDefault="009F19AA" w:rsidP="009F19AA">
    <w:pPr>
      <w:pStyle w:val="Kjene"/>
      <w:jc w:val="both"/>
      <w:rPr>
        <w:sz w:val="20"/>
        <w:szCs w:val="20"/>
      </w:rPr>
    </w:pPr>
    <w:r>
      <w:rPr>
        <w:sz w:val="20"/>
        <w:szCs w:val="20"/>
      </w:rPr>
      <w:t>TM</w:t>
    </w:r>
    <w:r w:rsidR="00D51B5C">
      <w:rPr>
        <w:sz w:val="20"/>
        <w:szCs w:val="20"/>
      </w:rPr>
      <w:t>I</w:t>
    </w:r>
    <w:r>
      <w:rPr>
        <w:sz w:val="20"/>
        <w:szCs w:val="20"/>
      </w:rPr>
      <w:t>zz_</w:t>
    </w:r>
    <w:r w:rsidR="00DE1048">
      <w:rPr>
        <w:sz w:val="20"/>
        <w:szCs w:val="20"/>
      </w:rPr>
      <w:t>1</w:t>
    </w:r>
    <w:r w:rsidR="00491535">
      <w:rPr>
        <w:sz w:val="20"/>
        <w:szCs w:val="20"/>
      </w:rPr>
      <w:t>9</w:t>
    </w:r>
    <w:r w:rsidR="00DE1048">
      <w:rPr>
        <w:sz w:val="20"/>
        <w:szCs w:val="20"/>
      </w:rPr>
      <w:t>0619</w:t>
    </w:r>
    <w:r w:rsidR="005265E4">
      <w:rPr>
        <w:sz w:val="20"/>
        <w:szCs w:val="20"/>
      </w:rPr>
      <w:t>_</w:t>
    </w:r>
    <w:r w:rsidR="00DE1048">
      <w:rPr>
        <w:sz w:val="20"/>
        <w:szCs w:val="20"/>
      </w:rPr>
      <w:t>EL_tiesa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8B740" w14:textId="77777777" w:rsidR="002C453C" w:rsidRDefault="002C453C">
      <w:pPr>
        <w:pStyle w:val="Parastais"/>
      </w:pPr>
      <w:r>
        <w:separator/>
      </w:r>
    </w:p>
    <w:p w14:paraId="7F2B670C" w14:textId="77777777" w:rsidR="008C6CD8" w:rsidRDefault="008C6CD8"/>
  </w:footnote>
  <w:footnote w:type="continuationSeparator" w:id="0">
    <w:p w14:paraId="6D17C7FD" w14:textId="77777777" w:rsidR="002C453C" w:rsidRDefault="002C453C">
      <w:pPr>
        <w:pStyle w:val="Parastais"/>
      </w:pPr>
      <w:r>
        <w:continuationSeparator/>
      </w:r>
    </w:p>
    <w:p w14:paraId="0C0C6320" w14:textId="77777777" w:rsidR="008C6CD8" w:rsidRDefault="008C6CD8"/>
  </w:footnote>
  <w:footnote w:id="1">
    <w:p w14:paraId="00FEACD4" w14:textId="77777777" w:rsidR="003C1015" w:rsidRPr="00020BF6" w:rsidRDefault="003C1015" w:rsidP="003C1015">
      <w:pPr>
        <w:pStyle w:val="Vresteksts"/>
        <w:jc w:val="both"/>
        <w:rPr>
          <w:rFonts w:ascii="Times New Roman" w:hAnsi="Times New Roman"/>
        </w:rPr>
      </w:pPr>
      <w:r w:rsidRPr="00020BF6">
        <w:rPr>
          <w:rStyle w:val="Vresatsauce"/>
          <w:rFonts w:ascii="Times New Roman" w:hAnsi="Times New Roman"/>
        </w:rPr>
        <w:footnoteRef/>
      </w:r>
      <w:r w:rsidRPr="00020BF6">
        <w:rPr>
          <w:rFonts w:ascii="Times New Roman" w:hAnsi="Times New Roman"/>
        </w:rPr>
        <w:t xml:space="preserve"> Nepieciešams papildu izvērtējums par liela apjoma komercstrīdu pazīmēm</w:t>
      </w:r>
    </w:p>
  </w:footnote>
  <w:footnote w:id="2">
    <w:p w14:paraId="4538FE15" w14:textId="77777777" w:rsidR="003C1015" w:rsidRPr="00020BF6" w:rsidRDefault="003C1015" w:rsidP="003C1015">
      <w:pPr>
        <w:pStyle w:val="Vresteksts"/>
        <w:jc w:val="both"/>
        <w:rPr>
          <w:rFonts w:ascii="Times New Roman" w:hAnsi="Times New Roman"/>
        </w:rPr>
      </w:pPr>
      <w:r w:rsidRPr="00020BF6">
        <w:rPr>
          <w:rStyle w:val="Vresatsauce"/>
          <w:rFonts w:ascii="Times New Roman" w:hAnsi="Times New Roman"/>
        </w:rPr>
        <w:footnoteRef/>
      </w:r>
      <w:r w:rsidRPr="00020BF6">
        <w:rPr>
          <w:rFonts w:ascii="Times New Roman" w:hAnsi="Times New Roman"/>
        </w:rPr>
        <w:t xml:space="preserve"> Pēc tam, kad tiek pārskatīts Koncernu likums un sakārtots attiecīgās nozares regulējums, specializētās tiesas (vai atsevišķās specializācijas) kompetence būtu paplašināma arī attiecībā uz strīdiem, kas izriet vai kuri pamatoti ar Koncernu likumu.</w:t>
      </w:r>
    </w:p>
  </w:footnote>
  <w:footnote w:id="3">
    <w:p w14:paraId="51735BC9" w14:textId="77777777" w:rsidR="003C1015" w:rsidRPr="00020BF6" w:rsidRDefault="003C1015" w:rsidP="003C1015">
      <w:pPr>
        <w:pStyle w:val="Vresteksts"/>
        <w:jc w:val="both"/>
        <w:rPr>
          <w:rFonts w:ascii="Times New Roman" w:hAnsi="Times New Roman"/>
        </w:rPr>
      </w:pPr>
      <w:r w:rsidRPr="00020BF6">
        <w:rPr>
          <w:rStyle w:val="Vresatsauce"/>
          <w:rFonts w:ascii="Times New Roman" w:hAnsi="Times New Roman"/>
        </w:rPr>
        <w:footnoteRef/>
      </w:r>
      <w:r w:rsidRPr="00020BF6">
        <w:rPr>
          <w:rFonts w:ascii="Times New Roman" w:hAnsi="Times New Roman"/>
        </w:rPr>
        <w:t xml:space="preserve"> Nepieciešams papildu izvērtējums par liela apjoma komercstrīdu pazīmēm</w:t>
      </w:r>
    </w:p>
  </w:footnote>
  <w:footnote w:id="4">
    <w:p w14:paraId="519516B2" w14:textId="77777777" w:rsidR="003C1015" w:rsidRDefault="003C1015" w:rsidP="003C1015">
      <w:pPr>
        <w:pStyle w:val="Vresteksts"/>
        <w:jc w:val="both"/>
      </w:pPr>
      <w:r w:rsidRPr="00020BF6">
        <w:rPr>
          <w:rStyle w:val="Vresatsauce"/>
          <w:rFonts w:ascii="Times New Roman" w:hAnsi="Times New Roman"/>
        </w:rPr>
        <w:footnoteRef/>
      </w:r>
      <w:r w:rsidRPr="00020BF6">
        <w:rPr>
          <w:rFonts w:ascii="Times New Roman" w:hAnsi="Times New Roman"/>
        </w:rPr>
        <w:t xml:space="preserve"> Pēc tam, kad tiek pārskatīts Koncernu likums un sakārtots attiecīgās nozares regulējums, specializētās tiesas (vai atsevišķās specializācijas) kompetence būtu paplašināma arī attiecībā uz strīdiem, kas izriet vai kuri pamatoti ar Koncernu likumu.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P="00364BB6" w:rsidRDefault="00AB3D34" w14:paraId="48C4EB0E"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3D34" w:rsidRDefault="00AB3D34" w14:paraId="457A475C" w14:textId="77777777">
    <w:pPr>
      <w:pStyle w:val="Galvene"/>
    </w:pPr>
  </w:p>
  <w:p w:rsidR="008C6CD8" w:rsidRDefault="008C6CD8" w14:paraId="0EED707C"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P="00364BB6" w:rsidRDefault="00AB3D34" w14:paraId="35658660"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663C7">
      <w:rPr>
        <w:rStyle w:val="Lappusesnumurs"/>
        <w:noProof/>
      </w:rPr>
      <w:t>2</w:t>
    </w:r>
    <w:r>
      <w:rPr>
        <w:rStyle w:val="Lappusesnumurs"/>
      </w:rPr>
      <w:fldChar w:fldCharType="end"/>
    </w:r>
  </w:p>
  <w:p w:rsidR="00AB3D34" w:rsidRDefault="00AB3D34" w14:paraId="12E0D0A4" w14:textId="77777777">
    <w:pPr>
      <w:pStyle w:val="Galvene"/>
    </w:pPr>
  </w:p>
  <w:p w:rsidR="008C6CD8" w:rsidRDefault="008C6CD8" w14:paraId="451221A3"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7680"/>
    <w:multiLevelType w:val="hybridMultilevel"/>
    <w:tmpl w:val="6C52E536"/>
    <w:lvl w:ilvl="0" w:tplc="F74222A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13E1630C"/>
    <w:multiLevelType w:val="hybridMultilevel"/>
    <w:tmpl w:val="2E38688E"/>
    <w:lvl w:ilvl="0" w:tplc="809C4604">
      <w:start w:val="1"/>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186D46B6"/>
    <w:multiLevelType w:val="hybridMultilevel"/>
    <w:tmpl w:val="2E38688E"/>
    <w:lvl w:ilvl="0" w:tplc="809C4604">
      <w:start w:val="1"/>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220E3C76"/>
    <w:multiLevelType w:val="hybridMultilevel"/>
    <w:tmpl w:val="B11C2700"/>
    <w:lvl w:ilvl="0" w:tplc="BE042506">
      <w:start w:val="1"/>
      <w:numFmt w:val="decimal"/>
      <w:lvlText w:val="%1."/>
      <w:lvlJc w:val="left"/>
      <w:pPr>
        <w:ind w:left="1650" w:hanging="93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04A35AB"/>
    <w:multiLevelType w:val="hybridMultilevel"/>
    <w:tmpl w:val="505680AA"/>
    <w:lvl w:ilvl="0" w:tplc="90D4AC4C">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33935B0F"/>
    <w:multiLevelType w:val="hybridMultilevel"/>
    <w:tmpl w:val="6C52E536"/>
    <w:lvl w:ilvl="0" w:tplc="F74222A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43A641D"/>
    <w:multiLevelType w:val="hybridMultilevel"/>
    <w:tmpl w:val="E2965598"/>
    <w:lvl w:ilvl="0" w:tplc="7B5E348C">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76F4F2B"/>
    <w:multiLevelType w:val="hybridMultilevel"/>
    <w:tmpl w:val="2E38688E"/>
    <w:lvl w:ilvl="0" w:tplc="809C4604">
      <w:start w:val="1"/>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9"/>
  </w:num>
  <w:num w:numId="4">
    <w:abstractNumId w:val="7"/>
  </w:num>
  <w:num w:numId="5">
    <w:abstractNumId w:val="6"/>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4"/>
  </w:num>
  <w:num w:numId="11">
    <w:abstractNumId w:val="1"/>
  </w:num>
  <w:num w:numId="12">
    <w:abstractNumId w:val="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273C"/>
    <w:rsid w:val="00003066"/>
    <w:rsid w:val="00003C53"/>
    <w:rsid w:val="0000414A"/>
    <w:rsid w:val="0000456E"/>
    <w:rsid w:val="000055EA"/>
    <w:rsid w:val="00006BF1"/>
    <w:rsid w:val="0001118D"/>
    <w:rsid w:val="0001131F"/>
    <w:rsid w:val="0001143B"/>
    <w:rsid w:val="00011663"/>
    <w:rsid w:val="0001249F"/>
    <w:rsid w:val="000125C0"/>
    <w:rsid w:val="0001270C"/>
    <w:rsid w:val="000136AA"/>
    <w:rsid w:val="00013B4C"/>
    <w:rsid w:val="00013BF6"/>
    <w:rsid w:val="0001554C"/>
    <w:rsid w:val="00015864"/>
    <w:rsid w:val="00015B94"/>
    <w:rsid w:val="00015D85"/>
    <w:rsid w:val="00015DE5"/>
    <w:rsid w:val="000172E2"/>
    <w:rsid w:val="00017449"/>
    <w:rsid w:val="00020249"/>
    <w:rsid w:val="00020BF6"/>
    <w:rsid w:val="00022338"/>
    <w:rsid w:val="0002296A"/>
    <w:rsid w:val="00022B0F"/>
    <w:rsid w:val="00022B9A"/>
    <w:rsid w:val="00023FD6"/>
    <w:rsid w:val="0002416A"/>
    <w:rsid w:val="00024CCD"/>
    <w:rsid w:val="00024D20"/>
    <w:rsid w:val="000253DB"/>
    <w:rsid w:val="0002627D"/>
    <w:rsid w:val="000278E7"/>
    <w:rsid w:val="00027A63"/>
    <w:rsid w:val="00027F9D"/>
    <w:rsid w:val="000307B5"/>
    <w:rsid w:val="00030BE2"/>
    <w:rsid w:val="00032457"/>
    <w:rsid w:val="00032E61"/>
    <w:rsid w:val="0003413A"/>
    <w:rsid w:val="000342BC"/>
    <w:rsid w:val="000349CA"/>
    <w:rsid w:val="0003557A"/>
    <w:rsid w:val="00035C06"/>
    <w:rsid w:val="000366DF"/>
    <w:rsid w:val="000376CD"/>
    <w:rsid w:val="00040A5C"/>
    <w:rsid w:val="00040FAC"/>
    <w:rsid w:val="000415C6"/>
    <w:rsid w:val="00043005"/>
    <w:rsid w:val="0004345F"/>
    <w:rsid w:val="00044026"/>
    <w:rsid w:val="00046075"/>
    <w:rsid w:val="00046CAD"/>
    <w:rsid w:val="00046F5C"/>
    <w:rsid w:val="00047385"/>
    <w:rsid w:val="00050554"/>
    <w:rsid w:val="00053706"/>
    <w:rsid w:val="00053E04"/>
    <w:rsid w:val="0005416F"/>
    <w:rsid w:val="000544E1"/>
    <w:rsid w:val="00054551"/>
    <w:rsid w:val="000579E6"/>
    <w:rsid w:val="00057DAE"/>
    <w:rsid w:val="00060E03"/>
    <w:rsid w:val="000641CE"/>
    <w:rsid w:val="00064798"/>
    <w:rsid w:val="00065271"/>
    <w:rsid w:val="00066176"/>
    <w:rsid w:val="0006618D"/>
    <w:rsid w:val="00066885"/>
    <w:rsid w:val="0006694E"/>
    <w:rsid w:val="00066A37"/>
    <w:rsid w:val="00066F05"/>
    <w:rsid w:val="00072628"/>
    <w:rsid w:val="000728ED"/>
    <w:rsid w:val="000733F5"/>
    <w:rsid w:val="000733FF"/>
    <w:rsid w:val="0007577A"/>
    <w:rsid w:val="00075783"/>
    <w:rsid w:val="000775D0"/>
    <w:rsid w:val="00081B0F"/>
    <w:rsid w:val="0008283D"/>
    <w:rsid w:val="00083090"/>
    <w:rsid w:val="0008317E"/>
    <w:rsid w:val="00083214"/>
    <w:rsid w:val="00083B8F"/>
    <w:rsid w:val="00084B11"/>
    <w:rsid w:val="00085186"/>
    <w:rsid w:val="00085322"/>
    <w:rsid w:val="0008656F"/>
    <w:rsid w:val="00086AB9"/>
    <w:rsid w:val="00086BCE"/>
    <w:rsid w:val="00086F36"/>
    <w:rsid w:val="00090168"/>
    <w:rsid w:val="00090C76"/>
    <w:rsid w:val="00091033"/>
    <w:rsid w:val="00091F10"/>
    <w:rsid w:val="0009302B"/>
    <w:rsid w:val="00093C1C"/>
    <w:rsid w:val="00093EC2"/>
    <w:rsid w:val="000958A2"/>
    <w:rsid w:val="000965E7"/>
    <w:rsid w:val="00096D24"/>
    <w:rsid w:val="000976F5"/>
    <w:rsid w:val="00097D1A"/>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026"/>
    <w:rsid w:val="000B4746"/>
    <w:rsid w:val="000B48A4"/>
    <w:rsid w:val="000B7687"/>
    <w:rsid w:val="000B7966"/>
    <w:rsid w:val="000B7CB1"/>
    <w:rsid w:val="000C0AE6"/>
    <w:rsid w:val="000C0D0D"/>
    <w:rsid w:val="000C2555"/>
    <w:rsid w:val="000C3545"/>
    <w:rsid w:val="000C358A"/>
    <w:rsid w:val="000C498A"/>
    <w:rsid w:val="000C4C16"/>
    <w:rsid w:val="000C56FC"/>
    <w:rsid w:val="000C57DF"/>
    <w:rsid w:val="000C59D7"/>
    <w:rsid w:val="000C76BE"/>
    <w:rsid w:val="000C7907"/>
    <w:rsid w:val="000C7A11"/>
    <w:rsid w:val="000C7F5E"/>
    <w:rsid w:val="000D00AC"/>
    <w:rsid w:val="000D0AED"/>
    <w:rsid w:val="000D25BC"/>
    <w:rsid w:val="000D2A8B"/>
    <w:rsid w:val="000D3602"/>
    <w:rsid w:val="000D4D89"/>
    <w:rsid w:val="000D6BBD"/>
    <w:rsid w:val="000D6C3C"/>
    <w:rsid w:val="000D7751"/>
    <w:rsid w:val="000D7C23"/>
    <w:rsid w:val="000E0A16"/>
    <w:rsid w:val="000E1BFA"/>
    <w:rsid w:val="000E2142"/>
    <w:rsid w:val="000E21D0"/>
    <w:rsid w:val="000E2A38"/>
    <w:rsid w:val="000E2ACC"/>
    <w:rsid w:val="000E5509"/>
    <w:rsid w:val="000E585F"/>
    <w:rsid w:val="000E66F8"/>
    <w:rsid w:val="000E7A25"/>
    <w:rsid w:val="000F054F"/>
    <w:rsid w:val="000F079D"/>
    <w:rsid w:val="000F0D9D"/>
    <w:rsid w:val="000F1D56"/>
    <w:rsid w:val="000F2534"/>
    <w:rsid w:val="000F28D9"/>
    <w:rsid w:val="000F2D43"/>
    <w:rsid w:val="000F2F9A"/>
    <w:rsid w:val="000F3AA0"/>
    <w:rsid w:val="000F4535"/>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5E3A"/>
    <w:rsid w:val="00106F4F"/>
    <w:rsid w:val="001071D3"/>
    <w:rsid w:val="001075A8"/>
    <w:rsid w:val="00110259"/>
    <w:rsid w:val="00110AA9"/>
    <w:rsid w:val="00111400"/>
    <w:rsid w:val="0011254D"/>
    <w:rsid w:val="001139C2"/>
    <w:rsid w:val="00114559"/>
    <w:rsid w:val="00114EA9"/>
    <w:rsid w:val="00115967"/>
    <w:rsid w:val="00115ED0"/>
    <w:rsid w:val="00116650"/>
    <w:rsid w:val="0011683C"/>
    <w:rsid w:val="001179E8"/>
    <w:rsid w:val="0012021B"/>
    <w:rsid w:val="0012055F"/>
    <w:rsid w:val="00121E5A"/>
    <w:rsid w:val="0012222D"/>
    <w:rsid w:val="001255E6"/>
    <w:rsid w:val="0013053A"/>
    <w:rsid w:val="0013066A"/>
    <w:rsid w:val="00131220"/>
    <w:rsid w:val="001315EF"/>
    <w:rsid w:val="00131F39"/>
    <w:rsid w:val="00132375"/>
    <w:rsid w:val="00132E73"/>
    <w:rsid w:val="00133505"/>
    <w:rsid w:val="00134188"/>
    <w:rsid w:val="001342EA"/>
    <w:rsid w:val="00137403"/>
    <w:rsid w:val="00140706"/>
    <w:rsid w:val="0014122A"/>
    <w:rsid w:val="00141E85"/>
    <w:rsid w:val="00142021"/>
    <w:rsid w:val="00143098"/>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666"/>
    <w:rsid w:val="00157A57"/>
    <w:rsid w:val="00157DB6"/>
    <w:rsid w:val="00157EC2"/>
    <w:rsid w:val="001605FB"/>
    <w:rsid w:val="00162A68"/>
    <w:rsid w:val="00162E08"/>
    <w:rsid w:val="001633F1"/>
    <w:rsid w:val="0016351A"/>
    <w:rsid w:val="0016531E"/>
    <w:rsid w:val="0016565C"/>
    <w:rsid w:val="00166314"/>
    <w:rsid w:val="00166746"/>
    <w:rsid w:val="00167590"/>
    <w:rsid w:val="00167918"/>
    <w:rsid w:val="00167C1E"/>
    <w:rsid w:val="0017043B"/>
    <w:rsid w:val="001706A1"/>
    <w:rsid w:val="00170914"/>
    <w:rsid w:val="00170DF2"/>
    <w:rsid w:val="00172BD3"/>
    <w:rsid w:val="001743F1"/>
    <w:rsid w:val="00174841"/>
    <w:rsid w:val="001761FD"/>
    <w:rsid w:val="00177D61"/>
    <w:rsid w:val="00180125"/>
    <w:rsid w:val="001808CA"/>
    <w:rsid w:val="00180923"/>
    <w:rsid w:val="00180CE5"/>
    <w:rsid w:val="00181BAA"/>
    <w:rsid w:val="00181D2D"/>
    <w:rsid w:val="0018210A"/>
    <w:rsid w:val="00182DE0"/>
    <w:rsid w:val="00182FAB"/>
    <w:rsid w:val="0018386C"/>
    <w:rsid w:val="00184479"/>
    <w:rsid w:val="0018472C"/>
    <w:rsid w:val="00184838"/>
    <w:rsid w:val="00184B1C"/>
    <w:rsid w:val="00184F40"/>
    <w:rsid w:val="00185755"/>
    <w:rsid w:val="00186F57"/>
    <w:rsid w:val="00187398"/>
    <w:rsid w:val="00187F73"/>
    <w:rsid w:val="00187FB0"/>
    <w:rsid w:val="001902E9"/>
    <w:rsid w:val="00190327"/>
    <w:rsid w:val="0019047E"/>
    <w:rsid w:val="00190A0A"/>
    <w:rsid w:val="00191F8E"/>
    <w:rsid w:val="001926F2"/>
    <w:rsid w:val="00193BCE"/>
    <w:rsid w:val="00194B87"/>
    <w:rsid w:val="00194E1D"/>
    <w:rsid w:val="0019569A"/>
    <w:rsid w:val="00195962"/>
    <w:rsid w:val="00197533"/>
    <w:rsid w:val="001977E7"/>
    <w:rsid w:val="00197CCA"/>
    <w:rsid w:val="001A0D8A"/>
    <w:rsid w:val="001A192D"/>
    <w:rsid w:val="001A342D"/>
    <w:rsid w:val="001A7C72"/>
    <w:rsid w:val="001B084B"/>
    <w:rsid w:val="001B0CEC"/>
    <w:rsid w:val="001B0FFC"/>
    <w:rsid w:val="001B18A9"/>
    <w:rsid w:val="001B1CF2"/>
    <w:rsid w:val="001B3ECE"/>
    <w:rsid w:val="001B4388"/>
    <w:rsid w:val="001B463E"/>
    <w:rsid w:val="001B49E0"/>
    <w:rsid w:val="001B5377"/>
    <w:rsid w:val="001B6159"/>
    <w:rsid w:val="001B6553"/>
    <w:rsid w:val="001B6647"/>
    <w:rsid w:val="001B6A47"/>
    <w:rsid w:val="001B6B0A"/>
    <w:rsid w:val="001B6C3C"/>
    <w:rsid w:val="001C0824"/>
    <w:rsid w:val="001C0B83"/>
    <w:rsid w:val="001C1510"/>
    <w:rsid w:val="001C1989"/>
    <w:rsid w:val="001C28FD"/>
    <w:rsid w:val="001C3349"/>
    <w:rsid w:val="001C4ABA"/>
    <w:rsid w:val="001C546B"/>
    <w:rsid w:val="001C552D"/>
    <w:rsid w:val="001C5EA2"/>
    <w:rsid w:val="001C6608"/>
    <w:rsid w:val="001C672E"/>
    <w:rsid w:val="001C6C7D"/>
    <w:rsid w:val="001D1CB1"/>
    <w:rsid w:val="001D2289"/>
    <w:rsid w:val="001D2AC0"/>
    <w:rsid w:val="001D2DBA"/>
    <w:rsid w:val="001D2FD0"/>
    <w:rsid w:val="001D3830"/>
    <w:rsid w:val="001D3BA6"/>
    <w:rsid w:val="001D5564"/>
    <w:rsid w:val="001D6FAA"/>
    <w:rsid w:val="001D70FA"/>
    <w:rsid w:val="001D7BA9"/>
    <w:rsid w:val="001E039D"/>
    <w:rsid w:val="001E10E7"/>
    <w:rsid w:val="001E22E7"/>
    <w:rsid w:val="001E2714"/>
    <w:rsid w:val="001E398C"/>
    <w:rsid w:val="001E4456"/>
    <w:rsid w:val="001E4DDC"/>
    <w:rsid w:val="001E5ADD"/>
    <w:rsid w:val="001E774F"/>
    <w:rsid w:val="001E7C1D"/>
    <w:rsid w:val="001F073F"/>
    <w:rsid w:val="001F177D"/>
    <w:rsid w:val="001F1DFE"/>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271"/>
    <w:rsid w:val="00204D0F"/>
    <w:rsid w:val="00204DB6"/>
    <w:rsid w:val="002056ED"/>
    <w:rsid w:val="00205C3A"/>
    <w:rsid w:val="00206C00"/>
    <w:rsid w:val="00210C82"/>
    <w:rsid w:val="00211793"/>
    <w:rsid w:val="00211C11"/>
    <w:rsid w:val="00212345"/>
    <w:rsid w:val="00214809"/>
    <w:rsid w:val="002149A1"/>
    <w:rsid w:val="00214E7A"/>
    <w:rsid w:val="00215BFE"/>
    <w:rsid w:val="00215C44"/>
    <w:rsid w:val="00216E73"/>
    <w:rsid w:val="00217084"/>
    <w:rsid w:val="0021774C"/>
    <w:rsid w:val="00217FF6"/>
    <w:rsid w:val="0022105E"/>
    <w:rsid w:val="00222386"/>
    <w:rsid w:val="00222F51"/>
    <w:rsid w:val="002230E1"/>
    <w:rsid w:val="00223361"/>
    <w:rsid w:val="002244BA"/>
    <w:rsid w:val="002247AA"/>
    <w:rsid w:val="00224D7C"/>
    <w:rsid w:val="00224DA7"/>
    <w:rsid w:val="002261CB"/>
    <w:rsid w:val="00226500"/>
    <w:rsid w:val="002268BF"/>
    <w:rsid w:val="00227BDE"/>
    <w:rsid w:val="00230045"/>
    <w:rsid w:val="0023014E"/>
    <w:rsid w:val="002308FA"/>
    <w:rsid w:val="0023132F"/>
    <w:rsid w:val="00231AA5"/>
    <w:rsid w:val="00232237"/>
    <w:rsid w:val="00232F90"/>
    <w:rsid w:val="0023339B"/>
    <w:rsid w:val="0023469C"/>
    <w:rsid w:val="00234C71"/>
    <w:rsid w:val="0023516E"/>
    <w:rsid w:val="00235511"/>
    <w:rsid w:val="00235C26"/>
    <w:rsid w:val="002366E0"/>
    <w:rsid w:val="00236913"/>
    <w:rsid w:val="00236AC1"/>
    <w:rsid w:val="00236DE1"/>
    <w:rsid w:val="002372EE"/>
    <w:rsid w:val="002372FD"/>
    <w:rsid w:val="0023764D"/>
    <w:rsid w:val="002415BC"/>
    <w:rsid w:val="002434B2"/>
    <w:rsid w:val="002442F4"/>
    <w:rsid w:val="002445EA"/>
    <w:rsid w:val="00244ECE"/>
    <w:rsid w:val="00244FC5"/>
    <w:rsid w:val="00245D1D"/>
    <w:rsid w:val="00250AAC"/>
    <w:rsid w:val="00250EDA"/>
    <w:rsid w:val="00250F26"/>
    <w:rsid w:val="00251502"/>
    <w:rsid w:val="002518E8"/>
    <w:rsid w:val="00251C10"/>
    <w:rsid w:val="00251D34"/>
    <w:rsid w:val="00252E1E"/>
    <w:rsid w:val="002538BA"/>
    <w:rsid w:val="0025469D"/>
    <w:rsid w:val="002552B1"/>
    <w:rsid w:val="00255D01"/>
    <w:rsid w:val="00256E55"/>
    <w:rsid w:val="00257E0E"/>
    <w:rsid w:val="00257FF4"/>
    <w:rsid w:val="002605C3"/>
    <w:rsid w:val="00260950"/>
    <w:rsid w:val="00260FCB"/>
    <w:rsid w:val="002615F5"/>
    <w:rsid w:val="002616B9"/>
    <w:rsid w:val="0026217B"/>
    <w:rsid w:val="002629E4"/>
    <w:rsid w:val="00263FE3"/>
    <w:rsid w:val="002640DF"/>
    <w:rsid w:val="00264441"/>
    <w:rsid w:val="00265593"/>
    <w:rsid w:val="002675EA"/>
    <w:rsid w:val="00267BC5"/>
    <w:rsid w:val="00267CBE"/>
    <w:rsid w:val="00267E0B"/>
    <w:rsid w:val="00270680"/>
    <w:rsid w:val="00271103"/>
    <w:rsid w:val="00271F6D"/>
    <w:rsid w:val="00272010"/>
    <w:rsid w:val="002721FA"/>
    <w:rsid w:val="0027230C"/>
    <w:rsid w:val="00272B99"/>
    <w:rsid w:val="00273357"/>
    <w:rsid w:val="0027380D"/>
    <w:rsid w:val="0027468E"/>
    <w:rsid w:val="00274826"/>
    <w:rsid w:val="00275005"/>
    <w:rsid w:val="002752AB"/>
    <w:rsid w:val="002756D6"/>
    <w:rsid w:val="0027573C"/>
    <w:rsid w:val="00280FC4"/>
    <w:rsid w:val="002815D0"/>
    <w:rsid w:val="002820A7"/>
    <w:rsid w:val="00283B82"/>
    <w:rsid w:val="00283E13"/>
    <w:rsid w:val="00284712"/>
    <w:rsid w:val="00286089"/>
    <w:rsid w:val="00286478"/>
    <w:rsid w:val="00287D86"/>
    <w:rsid w:val="00287EDD"/>
    <w:rsid w:val="0029106E"/>
    <w:rsid w:val="0029141B"/>
    <w:rsid w:val="002927D3"/>
    <w:rsid w:val="002933F6"/>
    <w:rsid w:val="00294BDE"/>
    <w:rsid w:val="00295DB6"/>
    <w:rsid w:val="0029788B"/>
    <w:rsid w:val="00297D1B"/>
    <w:rsid w:val="00297F4D"/>
    <w:rsid w:val="002A0226"/>
    <w:rsid w:val="002A0661"/>
    <w:rsid w:val="002A0FFE"/>
    <w:rsid w:val="002A1CF2"/>
    <w:rsid w:val="002A2ED0"/>
    <w:rsid w:val="002A3A84"/>
    <w:rsid w:val="002A4C3E"/>
    <w:rsid w:val="002A56BC"/>
    <w:rsid w:val="002A5C53"/>
    <w:rsid w:val="002A5DFC"/>
    <w:rsid w:val="002A6AD6"/>
    <w:rsid w:val="002A716D"/>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A72"/>
    <w:rsid w:val="002B4BAE"/>
    <w:rsid w:val="002B538B"/>
    <w:rsid w:val="002B581B"/>
    <w:rsid w:val="002B5A3D"/>
    <w:rsid w:val="002B79EB"/>
    <w:rsid w:val="002C2892"/>
    <w:rsid w:val="002C4269"/>
    <w:rsid w:val="002C453C"/>
    <w:rsid w:val="002C58AB"/>
    <w:rsid w:val="002C6D84"/>
    <w:rsid w:val="002C75F3"/>
    <w:rsid w:val="002C7D21"/>
    <w:rsid w:val="002D1564"/>
    <w:rsid w:val="002D1CA4"/>
    <w:rsid w:val="002D2A83"/>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404"/>
    <w:rsid w:val="002E5886"/>
    <w:rsid w:val="002E5AD3"/>
    <w:rsid w:val="002E635D"/>
    <w:rsid w:val="002E7562"/>
    <w:rsid w:val="002F071F"/>
    <w:rsid w:val="002F16D5"/>
    <w:rsid w:val="002F1A90"/>
    <w:rsid w:val="002F1C2F"/>
    <w:rsid w:val="002F1F77"/>
    <w:rsid w:val="002F3D1C"/>
    <w:rsid w:val="002F4826"/>
    <w:rsid w:val="002F4EA1"/>
    <w:rsid w:val="002F52DE"/>
    <w:rsid w:val="002F55C1"/>
    <w:rsid w:val="002F797A"/>
    <w:rsid w:val="002F7E9B"/>
    <w:rsid w:val="00300483"/>
    <w:rsid w:val="00301C91"/>
    <w:rsid w:val="00303F2B"/>
    <w:rsid w:val="00304607"/>
    <w:rsid w:val="0030467A"/>
    <w:rsid w:val="00304991"/>
    <w:rsid w:val="00304D4E"/>
    <w:rsid w:val="00304FFD"/>
    <w:rsid w:val="00305608"/>
    <w:rsid w:val="00305B72"/>
    <w:rsid w:val="0030610A"/>
    <w:rsid w:val="00306627"/>
    <w:rsid w:val="003069DD"/>
    <w:rsid w:val="00306CAB"/>
    <w:rsid w:val="003077B9"/>
    <w:rsid w:val="0031146F"/>
    <w:rsid w:val="00311795"/>
    <w:rsid w:val="003117B1"/>
    <w:rsid w:val="00311B70"/>
    <w:rsid w:val="00311CBE"/>
    <w:rsid w:val="00312280"/>
    <w:rsid w:val="00312CD0"/>
    <w:rsid w:val="0031449F"/>
    <w:rsid w:val="003145A5"/>
    <w:rsid w:val="003148B9"/>
    <w:rsid w:val="00314A2E"/>
    <w:rsid w:val="00314E34"/>
    <w:rsid w:val="00315266"/>
    <w:rsid w:val="003157C3"/>
    <w:rsid w:val="0031693B"/>
    <w:rsid w:val="003169CE"/>
    <w:rsid w:val="00316F0A"/>
    <w:rsid w:val="0031783B"/>
    <w:rsid w:val="00317AC9"/>
    <w:rsid w:val="00317DC7"/>
    <w:rsid w:val="003200F9"/>
    <w:rsid w:val="00320F38"/>
    <w:rsid w:val="00321183"/>
    <w:rsid w:val="00321509"/>
    <w:rsid w:val="00321694"/>
    <w:rsid w:val="00321F0A"/>
    <w:rsid w:val="003223CE"/>
    <w:rsid w:val="00322A2D"/>
    <w:rsid w:val="00322E80"/>
    <w:rsid w:val="00324D5B"/>
    <w:rsid w:val="00325045"/>
    <w:rsid w:val="00325D91"/>
    <w:rsid w:val="00325DA4"/>
    <w:rsid w:val="003267B4"/>
    <w:rsid w:val="00326988"/>
    <w:rsid w:val="00331193"/>
    <w:rsid w:val="00331F1B"/>
    <w:rsid w:val="003333D4"/>
    <w:rsid w:val="00334951"/>
    <w:rsid w:val="00336411"/>
    <w:rsid w:val="0033678D"/>
    <w:rsid w:val="0033720D"/>
    <w:rsid w:val="003373E8"/>
    <w:rsid w:val="003421E1"/>
    <w:rsid w:val="003443DD"/>
    <w:rsid w:val="00344D5A"/>
    <w:rsid w:val="00346EB6"/>
    <w:rsid w:val="00347EDB"/>
    <w:rsid w:val="00350797"/>
    <w:rsid w:val="00351A85"/>
    <w:rsid w:val="003522E8"/>
    <w:rsid w:val="00353989"/>
    <w:rsid w:val="00354D2C"/>
    <w:rsid w:val="0035538C"/>
    <w:rsid w:val="00355B7A"/>
    <w:rsid w:val="0035617C"/>
    <w:rsid w:val="0035624D"/>
    <w:rsid w:val="00356E7E"/>
    <w:rsid w:val="00356EB8"/>
    <w:rsid w:val="00357B83"/>
    <w:rsid w:val="003607EC"/>
    <w:rsid w:val="003614A8"/>
    <w:rsid w:val="0036160E"/>
    <w:rsid w:val="00362610"/>
    <w:rsid w:val="00363830"/>
    <w:rsid w:val="00363D2D"/>
    <w:rsid w:val="00364BB6"/>
    <w:rsid w:val="00364D6B"/>
    <w:rsid w:val="00365408"/>
    <w:rsid w:val="00365CC0"/>
    <w:rsid w:val="003668DF"/>
    <w:rsid w:val="00367688"/>
    <w:rsid w:val="00372221"/>
    <w:rsid w:val="00372CF2"/>
    <w:rsid w:val="0037473B"/>
    <w:rsid w:val="00374C7E"/>
    <w:rsid w:val="00375C8B"/>
    <w:rsid w:val="00377353"/>
    <w:rsid w:val="0037736B"/>
    <w:rsid w:val="00380C0F"/>
    <w:rsid w:val="00381F57"/>
    <w:rsid w:val="0038216E"/>
    <w:rsid w:val="003822E5"/>
    <w:rsid w:val="003830B8"/>
    <w:rsid w:val="00383262"/>
    <w:rsid w:val="00392677"/>
    <w:rsid w:val="00397C87"/>
    <w:rsid w:val="003A157A"/>
    <w:rsid w:val="003A283F"/>
    <w:rsid w:val="003A2A16"/>
    <w:rsid w:val="003A2FDD"/>
    <w:rsid w:val="003A3C43"/>
    <w:rsid w:val="003A5CCC"/>
    <w:rsid w:val="003A5D8A"/>
    <w:rsid w:val="003A70FF"/>
    <w:rsid w:val="003A74D2"/>
    <w:rsid w:val="003A756B"/>
    <w:rsid w:val="003A7902"/>
    <w:rsid w:val="003B2375"/>
    <w:rsid w:val="003B23D7"/>
    <w:rsid w:val="003B34CB"/>
    <w:rsid w:val="003B3AB4"/>
    <w:rsid w:val="003B3CA8"/>
    <w:rsid w:val="003B45D5"/>
    <w:rsid w:val="003B4D53"/>
    <w:rsid w:val="003B52FE"/>
    <w:rsid w:val="003B572A"/>
    <w:rsid w:val="003B6325"/>
    <w:rsid w:val="003B71E0"/>
    <w:rsid w:val="003B78A4"/>
    <w:rsid w:val="003B7F0B"/>
    <w:rsid w:val="003C1015"/>
    <w:rsid w:val="003C144E"/>
    <w:rsid w:val="003C1A07"/>
    <w:rsid w:val="003C1E74"/>
    <w:rsid w:val="003C20A2"/>
    <w:rsid w:val="003C2673"/>
    <w:rsid w:val="003C2781"/>
    <w:rsid w:val="003C27A2"/>
    <w:rsid w:val="003C567C"/>
    <w:rsid w:val="003C59B8"/>
    <w:rsid w:val="003C6809"/>
    <w:rsid w:val="003C7897"/>
    <w:rsid w:val="003D0937"/>
    <w:rsid w:val="003D17E6"/>
    <w:rsid w:val="003D1A20"/>
    <w:rsid w:val="003D1AC9"/>
    <w:rsid w:val="003D2AC9"/>
    <w:rsid w:val="003D2CD8"/>
    <w:rsid w:val="003D3724"/>
    <w:rsid w:val="003D3AE1"/>
    <w:rsid w:val="003D46A7"/>
    <w:rsid w:val="003D6376"/>
    <w:rsid w:val="003D79AD"/>
    <w:rsid w:val="003E0F4A"/>
    <w:rsid w:val="003E1235"/>
    <w:rsid w:val="003E2A35"/>
    <w:rsid w:val="003E2B56"/>
    <w:rsid w:val="003E2CE1"/>
    <w:rsid w:val="003E2DCB"/>
    <w:rsid w:val="003E3D88"/>
    <w:rsid w:val="003E4C3F"/>
    <w:rsid w:val="003E4D7C"/>
    <w:rsid w:val="003E5FA8"/>
    <w:rsid w:val="003E6252"/>
    <w:rsid w:val="003E7FDF"/>
    <w:rsid w:val="003F1200"/>
    <w:rsid w:val="003F1421"/>
    <w:rsid w:val="003F1844"/>
    <w:rsid w:val="003F1FDC"/>
    <w:rsid w:val="003F241E"/>
    <w:rsid w:val="003F26CF"/>
    <w:rsid w:val="003F28C0"/>
    <w:rsid w:val="003F34A1"/>
    <w:rsid w:val="003F52B2"/>
    <w:rsid w:val="003F5C8C"/>
    <w:rsid w:val="003F716E"/>
    <w:rsid w:val="00400061"/>
    <w:rsid w:val="0040068A"/>
    <w:rsid w:val="00400813"/>
    <w:rsid w:val="004013AD"/>
    <w:rsid w:val="00402215"/>
    <w:rsid w:val="00402A48"/>
    <w:rsid w:val="00402C35"/>
    <w:rsid w:val="00403244"/>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5A7E"/>
    <w:rsid w:val="00416277"/>
    <w:rsid w:val="00416E24"/>
    <w:rsid w:val="004172EA"/>
    <w:rsid w:val="0042063D"/>
    <w:rsid w:val="00422B23"/>
    <w:rsid w:val="00423A60"/>
    <w:rsid w:val="0042526C"/>
    <w:rsid w:val="0042651C"/>
    <w:rsid w:val="00426E9B"/>
    <w:rsid w:val="00427D55"/>
    <w:rsid w:val="00431258"/>
    <w:rsid w:val="0043233C"/>
    <w:rsid w:val="004345A6"/>
    <w:rsid w:val="00434C7A"/>
    <w:rsid w:val="00435B2F"/>
    <w:rsid w:val="00435E03"/>
    <w:rsid w:val="004373E1"/>
    <w:rsid w:val="004374A3"/>
    <w:rsid w:val="00437A7E"/>
    <w:rsid w:val="00437B6C"/>
    <w:rsid w:val="00440144"/>
    <w:rsid w:val="0044064E"/>
    <w:rsid w:val="00440805"/>
    <w:rsid w:val="00440DED"/>
    <w:rsid w:val="00440E70"/>
    <w:rsid w:val="004412E1"/>
    <w:rsid w:val="00441554"/>
    <w:rsid w:val="00442E48"/>
    <w:rsid w:val="00443DCD"/>
    <w:rsid w:val="00443E7E"/>
    <w:rsid w:val="00444C06"/>
    <w:rsid w:val="00445377"/>
    <w:rsid w:val="00445498"/>
    <w:rsid w:val="004454DF"/>
    <w:rsid w:val="00446804"/>
    <w:rsid w:val="00446832"/>
    <w:rsid w:val="004478D4"/>
    <w:rsid w:val="00450380"/>
    <w:rsid w:val="004505C6"/>
    <w:rsid w:val="0045186B"/>
    <w:rsid w:val="00451C14"/>
    <w:rsid w:val="004520CD"/>
    <w:rsid w:val="00452DF3"/>
    <w:rsid w:val="004534F5"/>
    <w:rsid w:val="00453765"/>
    <w:rsid w:val="00454EC3"/>
    <w:rsid w:val="0045530A"/>
    <w:rsid w:val="004554AE"/>
    <w:rsid w:val="004554C3"/>
    <w:rsid w:val="00455FB6"/>
    <w:rsid w:val="00457197"/>
    <w:rsid w:val="004573F8"/>
    <w:rsid w:val="00457555"/>
    <w:rsid w:val="00457971"/>
    <w:rsid w:val="00457DD8"/>
    <w:rsid w:val="004603D0"/>
    <w:rsid w:val="004624AE"/>
    <w:rsid w:val="0046250E"/>
    <w:rsid w:val="00462E9C"/>
    <w:rsid w:val="00464B48"/>
    <w:rsid w:val="00465231"/>
    <w:rsid w:val="004662AD"/>
    <w:rsid w:val="00466516"/>
    <w:rsid w:val="00467B65"/>
    <w:rsid w:val="00471216"/>
    <w:rsid w:val="00471EA5"/>
    <w:rsid w:val="00471F8E"/>
    <w:rsid w:val="004720C9"/>
    <w:rsid w:val="00472257"/>
    <w:rsid w:val="00472E49"/>
    <w:rsid w:val="004732BB"/>
    <w:rsid w:val="0047372A"/>
    <w:rsid w:val="00474C60"/>
    <w:rsid w:val="00475388"/>
    <w:rsid w:val="00475944"/>
    <w:rsid w:val="00475DF0"/>
    <w:rsid w:val="00476525"/>
    <w:rsid w:val="004772E2"/>
    <w:rsid w:val="0047739F"/>
    <w:rsid w:val="00477F97"/>
    <w:rsid w:val="004805A5"/>
    <w:rsid w:val="00480A2D"/>
    <w:rsid w:val="00480AFB"/>
    <w:rsid w:val="00480D23"/>
    <w:rsid w:val="00481247"/>
    <w:rsid w:val="004828DC"/>
    <w:rsid w:val="00482E49"/>
    <w:rsid w:val="00482FF7"/>
    <w:rsid w:val="00483098"/>
    <w:rsid w:val="00483AFB"/>
    <w:rsid w:val="0048402B"/>
    <w:rsid w:val="0048414A"/>
    <w:rsid w:val="00484B31"/>
    <w:rsid w:val="00485C56"/>
    <w:rsid w:val="00486B79"/>
    <w:rsid w:val="00486CA2"/>
    <w:rsid w:val="00487E18"/>
    <w:rsid w:val="00490B25"/>
    <w:rsid w:val="00490FD6"/>
    <w:rsid w:val="004911C4"/>
    <w:rsid w:val="00491535"/>
    <w:rsid w:val="00494CC8"/>
    <w:rsid w:val="004955E7"/>
    <w:rsid w:val="0049589C"/>
    <w:rsid w:val="00495EF1"/>
    <w:rsid w:val="00496ED4"/>
    <w:rsid w:val="00497D4A"/>
    <w:rsid w:val="004A0441"/>
    <w:rsid w:val="004A084C"/>
    <w:rsid w:val="004A15B3"/>
    <w:rsid w:val="004A1D01"/>
    <w:rsid w:val="004A2A54"/>
    <w:rsid w:val="004A2EF3"/>
    <w:rsid w:val="004A3B0D"/>
    <w:rsid w:val="004A49A8"/>
    <w:rsid w:val="004A52F5"/>
    <w:rsid w:val="004A5D3A"/>
    <w:rsid w:val="004A6897"/>
    <w:rsid w:val="004A692B"/>
    <w:rsid w:val="004A6EB6"/>
    <w:rsid w:val="004A794C"/>
    <w:rsid w:val="004B3EC7"/>
    <w:rsid w:val="004B41AD"/>
    <w:rsid w:val="004B44D0"/>
    <w:rsid w:val="004B5664"/>
    <w:rsid w:val="004B7B84"/>
    <w:rsid w:val="004C12E9"/>
    <w:rsid w:val="004C1E85"/>
    <w:rsid w:val="004C2107"/>
    <w:rsid w:val="004C4E86"/>
    <w:rsid w:val="004C5FC6"/>
    <w:rsid w:val="004C6435"/>
    <w:rsid w:val="004C649B"/>
    <w:rsid w:val="004C677A"/>
    <w:rsid w:val="004C7907"/>
    <w:rsid w:val="004C7B9C"/>
    <w:rsid w:val="004C7D55"/>
    <w:rsid w:val="004D089A"/>
    <w:rsid w:val="004D2CE7"/>
    <w:rsid w:val="004D3184"/>
    <w:rsid w:val="004D5030"/>
    <w:rsid w:val="004D6045"/>
    <w:rsid w:val="004D724D"/>
    <w:rsid w:val="004D7317"/>
    <w:rsid w:val="004D7546"/>
    <w:rsid w:val="004D7EC5"/>
    <w:rsid w:val="004E02B0"/>
    <w:rsid w:val="004E0B29"/>
    <w:rsid w:val="004E0E11"/>
    <w:rsid w:val="004E0F08"/>
    <w:rsid w:val="004E1546"/>
    <w:rsid w:val="004E19DC"/>
    <w:rsid w:val="004E2ED4"/>
    <w:rsid w:val="004E35E8"/>
    <w:rsid w:val="004E4204"/>
    <w:rsid w:val="004E50F0"/>
    <w:rsid w:val="004E6A03"/>
    <w:rsid w:val="004F0070"/>
    <w:rsid w:val="004F0468"/>
    <w:rsid w:val="004F0C51"/>
    <w:rsid w:val="004F263C"/>
    <w:rsid w:val="004F2BB1"/>
    <w:rsid w:val="004F2EC7"/>
    <w:rsid w:val="004F3CE8"/>
    <w:rsid w:val="004F5A4C"/>
    <w:rsid w:val="004F5CD9"/>
    <w:rsid w:val="004F6BFB"/>
    <w:rsid w:val="004F745D"/>
    <w:rsid w:val="004F7E4A"/>
    <w:rsid w:val="0050147C"/>
    <w:rsid w:val="0050182B"/>
    <w:rsid w:val="005024C4"/>
    <w:rsid w:val="00502579"/>
    <w:rsid w:val="00502614"/>
    <w:rsid w:val="005029F7"/>
    <w:rsid w:val="00503D4C"/>
    <w:rsid w:val="00504C0C"/>
    <w:rsid w:val="00504E48"/>
    <w:rsid w:val="005070FF"/>
    <w:rsid w:val="00507695"/>
    <w:rsid w:val="005122FC"/>
    <w:rsid w:val="00512BBC"/>
    <w:rsid w:val="005134FB"/>
    <w:rsid w:val="005135FD"/>
    <w:rsid w:val="0051366C"/>
    <w:rsid w:val="0051684F"/>
    <w:rsid w:val="00516A92"/>
    <w:rsid w:val="00516B9F"/>
    <w:rsid w:val="00517693"/>
    <w:rsid w:val="00517814"/>
    <w:rsid w:val="005205AB"/>
    <w:rsid w:val="005205E8"/>
    <w:rsid w:val="005211CD"/>
    <w:rsid w:val="00523378"/>
    <w:rsid w:val="00524FF0"/>
    <w:rsid w:val="0052550F"/>
    <w:rsid w:val="005265E4"/>
    <w:rsid w:val="00526C0F"/>
    <w:rsid w:val="0052702A"/>
    <w:rsid w:val="00530397"/>
    <w:rsid w:val="00530F73"/>
    <w:rsid w:val="00533B8E"/>
    <w:rsid w:val="00535417"/>
    <w:rsid w:val="00535833"/>
    <w:rsid w:val="0053599A"/>
    <w:rsid w:val="00536D28"/>
    <w:rsid w:val="005372C5"/>
    <w:rsid w:val="00537A26"/>
    <w:rsid w:val="00540E37"/>
    <w:rsid w:val="00540E47"/>
    <w:rsid w:val="005420E6"/>
    <w:rsid w:val="00543283"/>
    <w:rsid w:val="0054364C"/>
    <w:rsid w:val="00546252"/>
    <w:rsid w:val="00546747"/>
    <w:rsid w:val="00547510"/>
    <w:rsid w:val="00547E72"/>
    <w:rsid w:val="00547ECC"/>
    <w:rsid w:val="00551D43"/>
    <w:rsid w:val="00551D5A"/>
    <w:rsid w:val="00551EC3"/>
    <w:rsid w:val="005532B5"/>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68F2"/>
    <w:rsid w:val="00567E8F"/>
    <w:rsid w:val="005702D6"/>
    <w:rsid w:val="00572588"/>
    <w:rsid w:val="0057298A"/>
    <w:rsid w:val="00573A50"/>
    <w:rsid w:val="005746D2"/>
    <w:rsid w:val="00574E8A"/>
    <w:rsid w:val="00575335"/>
    <w:rsid w:val="00575BA1"/>
    <w:rsid w:val="00576433"/>
    <w:rsid w:val="00577775"/>
    <w:rsid w:val="005811B4"/>
    <w:rsid w:val="0058121A"/>
    <w:rsid w:val="00581863"/>
    <w:rsid w:val="00581EA3"/>
    <w:rsid w:val="0058205A"/>
    <w:rsid w:val="0058260B"/>
    <w:rsid w:val="00584B8C"/>
    <w:rsid w:val="00584D1E"/>
    <w:rsid w:val="0058581C"/>
    <w:rsid w:val="00586795"/>
    <w:rsid w:val="00586B82"/>
    <w:rsid w:val="00587E13"/>
    <w:rsid w:val="00592F78"/>
    <w:rsid w:val="005933AA"/>
    <w:rsid w:val="005940AA"/>
    <w:rsid w:val="00594614"/>
    <w:rsid w:val="00594E10"/>
    <w:rsid w:val="005958A4"/>
    <w:rsid w:val="00596306"/>
    <w:rsid w:val="00596487"/>
    <w:rsid w:val="00596EE8"/>
    <w:rsid w:val="005A0809"/>
    <w:rsid w:val="005A0B91"/>
    <w:rsid w:val="005A0BB9"/>
    <w:rsid w:val="005A1494"/>
    <w:rsid w:val="005A1998"/>
    <w:rsid w:val="005A3590"/>
    <w:rsid w:val="005A4A1C"/>
    <w:rsid w:val="005A550F"/>
    <w:rsid w:val="005A5BD8"/>
    <w:rsid w:val="005A692A"/>
    <w:rsid w:val="005A6AB8"/>
    <w:rsid w:val="005B11C2"/>
    <w:rsid w:val="005B137B"/>
    <w:rsid w:val="005B180A"/>
    <w:rsid w:val="005B382C"/>
    <w:rsid w:val="005B3C11"/>
    <w:rsid w:val="005B40DA"/>
    <w:rsid w:val="005B4226"/>
    <w:rsid w:val="005B5AA4"/>
    <w:rsid w:val="005B656B"/>
    <w:rsid w:val="005B71B3"/>
    <w:rsid w:val="005B76A4"/>
    <w:rsid w:val="005C04A7"/>
    <w:rsid w:val="005C17A4"/>
    <w:rsid w:val="005C1D7D"/>
    <w:rsid w:val="005C20BB"/>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1B49"/>
    <w:rsid w:val="005E2C60"/>
    <w:rsid w:val="005E31F6"/>
    <w:rsid w:val="005E3622"/>
    <w:rsid w:val="005E5EAE"/>
    <w:rsid w:val="005E60B3"/>
    <w:rsid w:val="005E676C"/>
    <w:rsid w:val="005E6CB9"/>
    <w:rsid w:val="005E7548"/>
    <w:rsid w:val="005E7F14"/>
    <w:rsid w:val="005F0154"/>
    <w:rsid w:val="005F0176"/>
    <w:rsid w:val="005F021D"/>
    <w:rsid w:val="005F1EAC"/>
    <w:rsid w:val="005F308F"/>
    <w:rsid w:val="005F4869"/>
    <w:rsid w:val="005F4BFD"/>
    <w:rsid w:val="005F510E"/>
    <w:rsid w:val="005F5748"/>
    <w:rsid w:val="005F5834"/>
    <w:rsid w:val="005F5E11"/>
    <w:rsid w:val="006003E5"/>
    <w:rsid w:val="00600E63"/>
    <w:rsid w:val="00601561"/>
    <w:rsid w:val="00601E55"/>
    <w:rsid w:val="00602034"/>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229D"/>
    <w:rsid w:val="00642C2F"/>
    <w:rsid w:val="00643007"/>
    <w:rsid w:val="006431D0"/>
    <w:rsid w:val="006432C5"/>
    <w:rsid w:val="006436FA"/>
    <w:rsid w:val="00643852"/>
    <w:rsid w:val="00643C27"/>
    <w:rsid w:val="006455E7"/>
    <w:rsid w:val="00645758"/>
    <w:rsid w:val="006461A1"/>
    <w:rsid w:val="00647422"/>
    <w:rsid w:val="00647959"/>
    <w:rsid w:val="00647E6B"/>
    <w:rsid w:val="00650E84"/>
    <w:rsid w:val="006515D7"/>
    <w:rsid w:val="0065198B"/>
    <w:rsid w:val="006525AF"/>
    <w:rsid w:val="0065266A"/>
    <w:rsid w:val="00653F9C"/>
    <w:rsid w:val="00655470"/>
    <w:rsid w:val="00655FE9"/>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3940"/>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2CC9"/>
    <w:rsid w:val="0069493F"/>
    <w:rsid w:val="0069596E"/>
    <w:rsid w:val="00696566"/>
    <w:rsid w:val="006966BA"/>
    <w:rsid w:val="0069722D"/>
    <w:rsid w:val="006A0052"/>
    <w:rsid w:val="006A0A9E"/>
    <w:rsid w:val="006A1C6D"/>
    <w:rsid w:val="006A1F1C"/>
    <w:rsid w:val="006A206C"/>
    <w:rsid w:val="006A3836"/>
    <w:rsid w:val="006A3DD3"/>
    <w:rsid w:val="006A4625"/>
    <w:rsid w:val="006A47AE"/>
    <w:rsid w:val="006A5B5E"/>
    <w:rsid w:val="006A67CB"/>
    <w:rsid w:val="006B0368"/>
    <w:rsid w:val="006B0F6E"/>
    <w:rsid w:val="006B1D7B"/>
    <w:rsid w:val="006B2335"/>
    <w:rsid w:val="006B27D4"/>
    <w:rsid w:val="006B2C9C"/>
    <w:rsid w:val="006B48EB"/>
    <w:rsid w:val="006B4C00"/>
    <w:rsid w:val="006B56FC"/>
    <w:rsid w:val="006B620A"/>
    <w:rsid w:val="006B649F"/>
    <w:rsid w:val="006B6DDA"/>
    <w:rsid w:val="006B73D9"/>
    <w:rsid w:val="006B7DF0"/>
    <w:rsid w:val="006B7E74"/>
    <w:rsid w:val="006C06A5"/>
    <w:rsid w:val="006C0D75"/>
    <w:rsid w:val="006C1C48"/>
    <w:rsid w:val="006C3C1D"/>
    <w:rsid w:val="006C41FF"/>
    <w:rsid w:val="006C5145"/>
    <w:rsid w:val="006C65A8"/>
    <w:rsid w:val="006C78E9"/>
    <w:rsid w:val="006D05AD"/>
    <w:rsid w:val="006D0EC1"/>
    <w:rsid w:val="006D16F8"/>
    <w:rsid w:val="006D1813"/>
    <w:rsid w:val="006D24A9"/>
    <w:rsid w:val="006D2AF3"/>
    <w:rsid w:val="006D4D79"/>
    <w:rsid w:val="006D4FBD"/>
    <w:rsid w:val="006D53F6"/>
    <w:rsid w:val="006D5879"/>
    <w:rsid w:val="006D63FD"/>
    <w:rsid w:val="006D65B4"/>
    <w:rsid w:val="006D754A"/>
    <w:rsid w:val="006D7B9C"/>
    <w:rsid w:val="006E04C6"/>
    <w:rsid w:val="006E0A65"/>
    <w:rsid w:val="006E1B01"/>
    <w:rsid w:val="006E2966"/>
    <w:rsid w:val="006E3E3D"/>
    <w:rsid w:val="006E4745"/>
    <w:rsid w:val="006E4836"/>
    <w:rsid w:val="006E5DDD"/>
    <w:rsid w:val="006E7811"/>
    <w:rsid w:val="006F04DA"/>
    <w:rsid w:val="006F0557"/>
    <w:rsid w:val="006F0EA3"/>
    <w:rsid w:val="006F1B5D"/>
    <w:rsid w:val="006F212B"/>
    <w:rsid w:val="006F2B9C"/>
    <w:rsid w:val="006F37F7"/>
    <w:rsid w:val="006F4A61"/>
    <w:rsid w:val="006F4ADC"/>
    <w:rsid w:val="006F643D"/>
    <w:rsid w:val="006F675C"/>
    <w:rsid w:val="006F6D13"/>
    <w:rsid w:val="006F7759"/>
    <w:rsid w:val="006F7D95"/>
    <w:rsid w:val="007009FE"/>
    <w:rsid w:val="00700D41"/>
    <w:rsid w:val="00701B21"/>
    <w:rsid w:val="00702384"/>
    <w:rsid w:val="00704BAE"/>
    <w:rsid w:val="00705807"/>
    <w:rsid w:val="00705C74"/>
    <w:rsid w:val="00705C78"/>
    <w:rsid w:val="007060E1"/>
    <w:rsid w:val="0070673C"/>
    <w:rsid w:val="00706824"/>
    <w:rsid w:val="00706B85"/>
    <w:rsid w:val="007071FC"/>
    <w:rsid w:val="00707C84"/>
    <w:rsid w:val="00710A59"/>
    <w:rsid w:val="00710FDE"/>
    <w:rsid w:val="007116C7"/>
    <w:rsid w:val="00711C5A"/>
    <w:rsid w:val="00712B66"/>
    <w:rsid w:val="00712F46"/>
    <w:rsid w:val="00713C31"/>
    <w:rsid w:val="0071428D"/>
    <w:rsid w:val="007144C9"/>
    <w:rsid w:val="00715E68"/>
    <w:rsid w:val="00716AE4"/>
    <w:rsid w:val="00716B3C"/>
    <w:rsid w:val="007170C2"/>
    <w:rsid w:val="00717EE4"/>
    <w:rsid w:val="00717F2D"/>
    <w:rsid w:val="00720453"/>
    <w:rsid w:val="00720853"/>
    <w:rsid w:val="00722129"/>
    <w:rsid w:val="0072326F"/>
    <w:rsid w:val="00724173"/>
    <w:rsid w:val="00724692"/>
    <w:rsid w:val="00726730"/>
    <w:rsid w:val="00730598"/>
    <w:rsid w:val="00731C24"/>
    <w:rsid w:val="00731DB6"/>
    <w:rsid w:val="0073257E"/>
    <w:rsid w:val="00732A32"/>
    <w:rsid w:val="00733066"/>
    <w:rsid w:val="00733469"/>
    <w:rsid w:val="00733539"/>
    <w:rsid w:val="00735557"/>
    <w:rsid w:val="00736384"/>
    <w:rsid w:val="00737108"/>
    <w:rsid w:val="007379CE"/>
    <w:rsid w:val="007419A7"/>
    <w:rsid w:val="00741B21"/>
    <w:rsid w:val="00741DD8"/>
    <w:rsid w:val="00741E49"/>
    <w:rsid w:val="0074250D"/>
    <w:rsid w:val="007445E2"/>
    <w:rsid w:val="00744751"/>
    <w:rsid w:val="007448BF"/>
    <w:rsid w:val="00745496"/>
    <w:rsid w:val="007460DA"/>
    <w:rsid w:val="0074705B"/>
    <w:rsid w:val="007470EC"/>
    <w:rsid w:val="00747F14"/>
    <w:rsid w:val="0075020B"/>
    <w:rsid w:val="00751017"/>
    <w:rsid w:val="00751960"/>
    <w:rsid w:val="007535C7"/>
    <w:rsid w:val="00756551"/>
    <w:rsid w:val="00756C13"/>
    <w:rsid w:val="00756EA9"/>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3039"/>
    <w:rsid w:val="00783C7B"/>
    <w:rsid w:val="0078556C"/>
    <w:rsid w:val="007855C5"/>
    <w:rsid w:val="007856D3"/>
    <w:rsid w:val="00785ABD"/>
    <w:rsid w:val="007860C6"/>
    <w:rsid w:val="00786254"/>
    <w:rsid w:val="00786DB0"/>
    <w:rsid w:val="00787C8A"/>
    <w:rsid w:val="00787D47"/>
    <w:rsid w:val="0079014E"/>
    <w:rsid w:val="0079148B"/>
    <w:rsid w:val="00792971"/>
    <w:rsid w:val="007935C6"/>
    <w:rsid w:val="00794129"/>
    <w:rsid w:val="00794516"/>
    <w:rsid w:val="00794878"/>
    <w:rsid w:val="00795512"/>
    <w:rsid w:val="00795AB7"/>
    <w:rsid w:val="00795E37"/>
    <w:rsid w:val="00796789"/>
    <w:rsid w:val="0079694C"/>
    <w:rsid w:val="00796D89"/>
    <w:rsid w:val="00796DA2"/>
    <w:rsid w:val="0079751B"/>
    <w:rsid w:val="00797D4D"/>
    <w:rsid w:val="007A0415"/>
    <w:rsid w:val="007A06BA"/>
    <w:rsid w:val="007A0D58"/>
    <w:rsid w:val="007A27BD"/>
    <w:rsid w:val="007A294A"/>
    <w:rsid w:val="007A4C96"/>
    <w:rsid w:val="007A51A6"/>
    <w:rsid w:val="007A523D"/>
    <w:rsid w:val="007A5629"/>
    <w:rsid w:val="007A56E5"/>
    <w:rsid w:val="007A60CA"/>
    <w:rsid w:val="007A6F0F"/>
    <w:rsid w:val="007A701F"/>
    <w:rsid w:val="007A708C"/>
    <w:rsid w:val="007A75B5"/>
    <w:rsid w:val="007A7985"/>
    <w:rsid w:val="007A7ABE"/>
    <w:rsid w:val="007B03C5"/>
    <w:rsid w:val="007B12AC"/>
    <w:rsid w:val="007B1BC5"/>
    <w:rsid w:val="007B217A"/>
    <w:rsid w:val="007B26E1"/>
    <w:rsid w:val="007B3045"/>
    <w:rsid w:val="007B4C0F"/>
    <w:rsid w:val="007B5E25"/>
    <w:rsid w:val="007B6E0E"/>
    <w:rsid w:val="007C155E"/>
    <w:rsid w:val="007C27FB"/>
    <w:rsid w:val="007C2CBB"/>
    <w:rsid w:val="007C309C"/>
    <w:rsid w:val="007C4209"/>
    <w:rsid w:val="007C42BF"/>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106"/>
    <w:rsid w:val="007E4A2F"/>
    <w:rsid w:val="007E5C4A"/>
    <w:rsid w:val="007E6915"/>
    <w:rsid w:val="007E74CA"/>
    <w:rsid w:val="007E7AD3"/>
    <w:rsid w:val="007F0070"/>
    <w:rsid w:val="007F0441"/>
    <w:rsid w:val="007F0E99"/>
    <w:rsid w:val="007F173D"/>
    <w:rsid w:val="007F19C6"/>
    <w:rsid w:val="007F20F1"/>
    <w:rsid w:val="007F310E"/>
    <w:rsid w:val="007F4224"/>
    <w:rsid w:val="007F4DD2"/>
    <w:rsid w:val="007F4FB9"/>
    <w:rsid w:val="007F63C6"/>
    <w:rsid w:val="007F7022"/>
    <w:rsid w:val="007F7690"/>
    <w:rsid w:val="008011CC"/>
    <w:rsid w:val="00801404"/>
    <w:rsid w:val="008017AA"/>
    <w:rsid w:val="00801CBA"/>
    <w:rsid w:val="00801D92"/>
    <w:rsid w:val="00804BCF"/>
    <w:rsid w:val="00804FA4"/>
    <w:rsid w:val="00805275"/>
    <w:rsid w:val="00806A62"/>
    <w:rsid w:val="00806E55"/>
    <w:rsid w:val="008075CE"/>
    <w:rsid w:val="008115F7"/>
    <w:rsid w:val="00812179"/>
    <w:rsid w:val="008124E2"/>
    <w:rsid w:val="00813411"/>
    <w:rsid w:val="00813928"/>
    <w:rsid w:val="008140E0"/>
    <w:rsid w:val="00815321"/>
    <w:rsid w:val="008162BF"/>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2351"/>
    <w:rsid w:val="008333B7"/>
    <w:rsid w:val="008336EC"/>
    <w:rsid w:val="008337B9"/>
    <w:rsid w:val="008340E4"/>
    <w:rsid w:val="00834FD2"/>
    <w:rsid w:val="00835084"/>
    <w:rsid w:val="00835184"/>
    <w:rsid w:val="00835569"/>
    <w:rsid w:val="00835802"/>
    <w:rsid w:val="00836095"/>
    <w:rsid w:val="00836295"/>
    <w:rsid w:val="008370D2"/>
    <w:rsid w:val="008370EE"/>
    <w:rsid w:val="00837CBA"/>
    <w:rsid w:val="0084093F"/>
    <w:rsid w:val="0084098A"/>
    <w:rsid w:val="00840DB0"/>
    <w:rsid w:val="00840EDE"/>
    <w:rsid w:val="008418A5"/>
    <w:rsid w:val="00842098"/>
    <w:rsid w:val="00843548"/>
    <w:rsid w:val="0084364C"/>
    <w:rsid w:val="0084383C"/>
    <w:rsid w:val="00843925"/>
    <w:rsid w:val="00843CC0"/>
    <w:rsid w:val="00844ADD"/>
    <w:rsid w:val="0084534E"/>
    <w:rsid w:val="00846062"/>
    <w:rsid w:val="008474C1"/>
    <w:rsid w:val="00847AAE"/>
    <w:rsid w:val="00847C1C"/>
    <w:rsid w:val="0085055E"/>
    <w:rsid w:val="00850C3B"/>
    <w:rsid w:val="008512E4"/>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5C5C"/>
    <w:rsid w:val="008671C7"/>
    <w:rsid w:val="00867EB8"/>
    <w:rsid w:val="00870335"/>
    <w:rsid w:val="00870AA2"/>
    <w:rsid w:val="00873D88"/>
    <w:rsid w:val="0087433B"/>
    <w:rsid w:val="00874B0A"/>
    <w:rsid w:val="0087621E"/>
    <w:rsid w:val="008767B2"/>
    <w:rsid w:val="00877328"/>
    <w:rsid w:val="00877469"/>
    <w:rsid w:val="0087787A"/>
    <w:rsid w:val="008802F0"/>
    <w:rsid w:val="00880992"/>
    <w:rsid w:val="00881692"/>
    <w:rsid w:val="00883143"/>
    <w:rsid w:val="00886154"/>
    <w:rsid w:val="00890277"/>
    <w:rsid w:val="0089061A"/>
    <w:rsid w:val="008915C6"/>
    <w:rsid w:val="00891677"/>
    <w:rsid w:val="00892DB5"/>
    <w:rsid w:val="0089474B"/>
    <w:rsid w:val="00894B61"/>
    <w:rsid w:val="00895255"/>
    <w:rsid w:val="00895DF1"/>
    <w:rsid w:val="00896645"/>
    <w:rsid w:val="008975D2"/>
    <w:rsid w:val="008978E7"/>
    <w:rsid w:val="008A035B"/>
    <w:rsid w:val="008A0459"/>
    <w:rsid w:val="008A1218"/>
    <w:rsid w:val="008A15B6"/>
    <w:rsid w:val="008A1A6E"/>
    <w:rsid w:val="008A202A"/>
    <w:rsid w:val="008A36C9"/>
    <w:rsid w:val="008A44EE"/>
    <w:rsid w:val="008A5AF9"/>
    <w:rsid w:val="008B16DE"/>
    <w:rsid w:val="008B251F"/>
    <w:rsid w:val="008B2602"/>
    <w:rsid w:val="008B2727"/>
    <w:rsid w:val="008B316B"/>
    <w:rsid w:val="008B5059"/>
    <w:rsid w:val="008B5BF2"/>
    <w:rsid w:val="008B5D63"/>
    <w:rsid w:val="008B6934"/>
    <w:rsid w:val="008B6CF8"/>
    <w:rsid w:val="008B72F6"/>
    <w:rsid w:val="008C119E"/>
    <w:rsid w:val="008C1E24"/>
    <w:rsid w:val="008C296B"/>
    <w:rsid w:val="008C2A46"/>
    <w:rsid w:val="008C4278"/>
    <w:rsid w:val="008C51C0"/>
    <w:rsid w:val="008C520E"/>
    <w:rsid w:val="008C563B"/>
    <w:rsid w:val="008C567E"/>
    <w:rsid w:val="008C5DEE"/>
    <w:rsid w:val="008C6285"/>
    <w:rsid w:val="008C6CD8"/>
    <w:rsid w:val="008C7182"/>
    <w:rsid w:val="008C7268"/>
    <w:rsid w:val="008C7CA5"/>
    <w:rsid w:val="008C7CD7"/>
    <w:rsid w:val="008C7D9D"/>
    <w:rsid w:val="008D0416"/>
    <w:rsid w:val="008D13C6"/>
    <w:rsid w:val="008D1605"/>
    <w:rsid w:val="008D1B04"/>
    <w:rsid w:val="008D2412"/>
    <w:rsid w:val="008D30A0"/>
    <w:rsid w:val="008D3235"/>
    <w:rsid w:val="008D33C8"/>
    <w:rsid w:val="008D3893"/>
    <w:rsid w:val="008D45CD"/>
    <w:rsid w:val="008D4898"/>
    <w:rsid w:val="008D55F1"/>
    <w:rsid w:val="008D5CD7"/>
    <w:rsid w:val="008D718E"/>
    <w:rsid w:val="008D73DE"/>
    <w:rsid w:val="008E09C5"/>
    <w:rsid w:val="008E0AA7"/>
    <w:rsid w:val="008E2355"/>
    <w:rsid w:val="008E3151"/>
    <w:rsid w:val="008E3386"/>
    <w:rsid w:val="008E3733"/>
    <w:rsid w:val="008E5410"/>
    <w:rsid w:val="008E5A3F"/>
    <w:rsid w:val="008E7209"/>
    <w:rsid w:val="008E7448"/>
    <w:rsid w:val="008F11BB"/>
    <w:rsid w:val="008F16FF"/>
    <w:rsid w:val="008F182F"/>
    <w:rsid w:val="008F1E95"/>
    <w:rsid w:val="008F2304"/>
    <w:rsid w:val="008F452E"/>
    <w:rsid w:val="008F5378"/>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06FC7"/>
    <w:rsid w:val="0091045D"/>
    <w:rsid w:val="0091281A"/>
    <w:rsid w:val="00912B24"/>
    <w:rsid w:val="009139B5"/>
    <w:rsid w:val="00913D34"/>
    <w:rsid w:val="009142B2"/>
    <w:rsid w:val="00914514"/>
    <w:rsid w:val="00914549"/>
    <w:rsid w:val="00914C08"/>
    <w:rsid w:val="00914F2F"/>
    <w:rsid w:val="00916057"/>
    <w:rsid w:val="00916AD1"/>
    <w:rsid w:val="00917637"/>
    <w:rsid w:val="00917FEE"/>
    <w:rsid w:val="0092023D"/>
    <w:rsid w:val="0092039A"/>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1294"/>
    <w:rsid w:val="0093375E"/>
    <w:rsid w:val="00933BEF"/>
    <w:rsid w:val="00934210"/>
    <w:rsid w:val="00935223"/>
    <w:rsid w:val="0093787E"/>
    <w:rsid w:val="00940B95"/>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319"/>
    <w:rsid w:val="009536A8"/>
    <w:rsid w:val="009538C2"/>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5AC8"/>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A9B"/>
    <w:rsid w:val="00986B9C"/>
    <w:rsid w:val="00987BAB"/>
    <w:rsid w:val="009906BF"/>
    <w:rsid w:val="009913F3"/>
    <w:rsid w:val="0099174C"/>
    <w:rsid w:val="00991DA1"/>
    <w:rsid w:val="009927F1"/>
    <w:rsid w:val="009936C4"/>
    <w:rsid w:val="009948ED"/>
    <w:rsid w:val="00995ADA"/>
    <w:rsid w:val="0099616E"/>
    <w:rsid w:val="0099643A"/>
    <w:rsid w:val="00997959"/>
    <w:rsid w:val="009A0BAF"/>
    <w:rsid w:val="009A1431"/>
    <w:rsid w:val="009A153D"/>
    <w:rsid w:val="009A1634"/>
    <w:rsid w:val="009A3A34"/>
    <w:rsid w:val="009A3FE2"/>
    <w:rsid w:val="009A400C"/>
    <w:rsid w:val="009A4B2C"/>
    <w:rsid w:val="009A4CC8"/>
    <w:rsid w:val="009A5592"/>
    <w:rsid w:val="009A59BA"/>
    <w:rsid w:val="009A5E87"/>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5F4D"/>
    <w:rsid w:val="009B6C97"/>
    <w:rsid w:val="009C058F"/>
    <w:rsid w:val="009C0C5A"/>
    <w:rsid w:val="009C2B3E"/>
    <w:rsid w:val="009C2EA2"/>
    <w:rsid w:val="009C3721"/>
    <w:rsid w:val="009C4141"/>
    <w:rsid w:val="009C4B55"/>
    <w:rsid w:val="009C5450"/>
    <w:rsid w:val="009C5FCC"/>
    <w:rsid w:val="009C61A2"/>
    <w:rsid w:val="009C6DF6"/>
    <w:rsid w:val="009C6E92"/>
    <w:rsid w:val="009D04F7"/>
    <w:rsid w:val="009D0AE8"/>
    <w:rsid w:val="009D1589"/>
    <w:rsid w:val="009D15A1"/>
    <w:rsid w:val="009D2003"/>
    <w:rsid w:val="009D38C2"/>
    <w:rsid w:val="009D39ED"/>
    <w:rsid w:val="009D417F"/>
    <w:rsid w:val="009D45E5"/>
    <w:rsid w:val="009D4B85"/>
    <w:rsid w:val="009D535B"/>
    <w:rsid w:val="009D630B"/>
    <w:rsid w:val="009D6CAA"/>
    <w:rsid w:val="009D6CF6"/>
    <w:rsid w:val="009D6E69"/>
    <w:rsid w:val="009E02DC"/>
    <w:rsid w:val="009E0DFF"/>
    <w:rsid w:val="009E2040"/>
    <w:rsid w:val="009E49AE"/>
    <w:rsid w:val="009E4DC7"/>
    <w:rsid w:val="009E660A"/>
    <w:rsid w:val="009E6B64"/>
    <w:rsid w:val="009E72E5"/>
    <w:rsid w:val="009E7A7F"/>
    <w:rsid w:val="009F08FB"/>
    <w:rsid w:val="009F19AA"/>
    <w:rsid w:val="009F46C8"/>
    <w:rsid w:val="009F4F2A"/>
    <w:rsid w:val="009F660B"/>
    <w:rsid w:val="009F671E"/>
    <w:rsid w:val="009F76C6"/>
    <w:rsid w:val="009F7ED1"/>
    <w:rsid w:val="00A0149B"/>
    <w:rsid w:val="00A015B7"/>
    <w:rsid w:val="00A01607"/>
    <w:rsid w:val="00A018D4"/>
    <w:rsid w:val="00A02F9D"/>
    <w:rsid w:val="00A03767"/>
    <w:rsid w:val="00A04690"/>
    <w:rsid w:val="00A04834"/>
    <w:rsid w:val="00A05628"/>
    <w:rsid w:val="00A07DCF"/>
    <w:rsid w:val="00A11963"/>
    <w:rsid w:val="00A1231B"/>
    <w:rsid w:val="00A12979"/>
    <w:rsid w:val="00A131A9"/>
    <w:rsid w:val="00A1496E"/>
    <w:rsid w:val="00A14CE1"/>
    <w:rsid w:val="00A14EB4"/>
    <w:rsid w:val="00A14F84"/>
    <w:rsid w:val="00A15169"/>
    <w:rsid w:val="00A16A1A"/>
    <w:rsid w:val="00A16D6D"/>
    <w:rsid w:val="00A17C75"/>
    <w:rsid w:val="00A211C8"/>
    <w:rsid w:val="00A2121E"/>
    <w:rsid w:val="00A21EAC"/>
    <w:rsid w:val="00A221DE"/>
    <w:rsid w:val="00A22CB2"/>
    <w:rsid w:val="00A23138"/>
    <w:rsid w:val="00A23940"/>
    <w:rsid w:val="00A23ECC"/>
    <w:rsid w:val="00A24024"/>
    <w:rsid w:val="00A24CD3"/>
    <w:rsid w:val="00A25461"/>
    <w:rsid w:val="00A262BC"/>
    <w:rsid w:val="00A26367"/>
    <w:rsid w:val="00A2678A"/>
    <w:rsid w:val="00A269E1"/>
    <w:rsid w:val="00A27C1C"/>
    <w:rsid w:val="00A30F6A"/>
    <w:rsid w:val="00A32AEA"/>
    <w:rsid w:val="00A32F32"/>
    <w:rsid w:val="00A33E80"/>
    <w:rsid w:val="00A33EFE"/>
    <w:rsid w:val="00A342E1"/>
    <w:rsid w:val="00A350E8"/>
    <w:rsid w:val="00A358BC"/>
    <w:rsid w:val="00A36B8E"/>
    <w:rsid w:val="00A40554"/>
    <w:rsid w:val="00A4148D"/>
    <w:rsid w:val="00A44D0E"/>
    <w:rsid w:val="00A4501A"/>
    <w:rsid w:val="00A45F29"/>
    <w:rsid w:val="00A4621D"/>
    <w:rsid w:val="00A509FB"/>
    <w:rsid w:val="00A51C19"/>
    <w:rsid w:val="00A51E04"/>
    <w:rsid w:val="00A522B5"/>
    <w:rsid w:val="00A52C31"/>
    <w:rsid w:val="00A52F37"/>
    <w:rsid w:val="00A533C5"/>
    <w:rsid w:val="00A5388C"/>
    <w:rsid w:val="00A5397B"/>
    <w:rsid w:val="00A53BE1"/>
    <w:rsid w:val="00A544A3"/>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824"/>
    <w:rsid w:val="00A64B5F"/>
    <w:rsid w:val="00A65EA0"/>
    <w:rsid w:val="00A66517"/>
    <w:rsid w:val="00A67B0E"/>
    <w:rsid w:val="00A7029B"/>
    <w:rsid w:val="00A718EF"/>
    <w:rsid w:val="00A72134"/>
    <w:rsid w:val="00A726A8"/>
    <w:rsid w:val="00A72951"/>
    <w:rsid w:val="00A73505"/>
    <w:rsid w:val="00A742C4"/>
    <w:rsid w:val="00A75E02"/>
    <w:rsid w:val="00A76E79"/>
    <w:rsid w:val="00A7761D"/>
    <w:rsid w:val="00A7771B"/>
    <w:rsid w:val="00A77B53"/>
    <w:rsid w:val="00A811F1"/>
    <w:rsid w:val="00A8242D"/>
    <w:rsid w:val="00A82887"/>
    <w:rsid w:val="00A83010"/>
    <w:rsid w:val="00A83BF5"/>
    <w:rsid w:val="00A84CD1"/>
    <w:rsid w:val="00A85E2E"/>
    <w:rsid w:val="00A86011"/>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041A"/>
    <w:rsid w:val="00AB14A1"/>
    <w:rsid w:val="00AB202A"/>
    <w:rsid w:val="00AB3D34"/>
    <w:rsid w:val="00AB5555"/>
    <w:rsid w:val="00AB55AD"/>
    <w:rsid w:val="00AB5D1B"/>
    <w:rsid w:val="00AB6918"/>
    <w:rsid w:val="00AB6B40"/>
    <w:rsid w:val="00AB740A"/>
    <w:rsid w:val="00AC1DA5"/>
    <w:rsid w:val="00AC1FAD"/>
    <w:rsid w:val="00AC216B"/>
    <w:rsid w:val="00AC26B1"/>
    <w:rsid w:val="00AC42B8"/>
    <w:rsid w:val="00AC45C5"/>
    <w:rsid w:val="00AC4791"/>
    <w:rsid w:val="00AC483A"/>
    <w:rsid w:val="00AC4FB6"/>
    <w:rsid w:val="00AC4FD1"/>
    <w:rsid w:val="00AC540E"/>
    <w:rsid w:val="00AC5FEF"/>
    <w:rsid w:val="00AC6036"/>
    <w:rsid w:val="00AC7CD7"/>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5E7"/>
    <w:rsid w:val="00AE08B7"/>
    <w:rsid w:val="00AE0DBA"/>
    <w:rsid w:val="00AE160F"/>
    <w:rsid w:val="00AE21DC"/>
    <w:rsid w:val="00AE239B"/>
    <w:rsid w:val="00AE25D2"/>
    <w:rsid w:val="00AE2B47"/>
    <w:rsid w:val="00AE2CAD"/>
    <w:rsid w:val="00AE3090"/>
    <w:rsid w:val="00AE380E"/>
    <w:rsid w:val="00AE38BB"/>
    <w:rsid w:val="00AE3AAD"/>
    <w:rsid w:val="00AE4189"/>
    <w:rsid w:val="00AE503A"/>
    <w:rsid w:val="00AE68E2"/>
    <w:rsid w:val="00AF0157"/>
    <w:rsid w:val="00AF2EC7"/>
    <w:rsid w:val="00AF3AC0"/>
    <w:rsid w:val="00AF4F4A"/>
    <w:rsid w:val="00AF78F1"/>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746"/>
    <w:rsid w:val="00B24948"/>
    <w:rsid w:val="00B24CBD"/>
    <w:rsid w:val="00B259B1"/>
    <w:rsid w:val="00B25CA3"/>
    <w:rsid w:val="00B26147"/>
    <w:rsid w:val="00B26E57"/>
    <w:rsid w:val="00B30028"/>
    <w:rsid w:val="00B31E8D"/>
    <w:rsid w:val="00B324DB"/>
    <w:rsid w:val="00B3313B"/>
    <w:rsid w:val="00B331E8"/>
    <w:rsid w:val="00B331EA"/>
    <w:rsid w:val="00B34732"/>
    <w:rsid w:val="00B353B8"/>
    <w:rsid w:val="00B35C56"/>
    <w:rsid w:val="00B36F17"/>
    <w:rsid w:val="00B37045"/>
    <w:rsid w:val="00B372ED"/>
    <w:rsid w:val="00B40603"/>
    <w:rsid w:val="00B40AF6"/>
    <w:rsid w:val="00B41071"/>
    <w:rsid w:val="00B425C0"/>
    <w:rsid w:val="00B42DB6"/>
    <w:rsid w:val="00B46957"/>
    <w:rsid w:val="00B47B54"/>
    <w:rsid w:val="00B50E99"/>
    <w:rsid w:val="00B51926"/>
    <w:rsid w:val="00B51F9A"/>
    <w:rsid w:val="00B533CF"/>
    <w:rsid w:val="00B54DA7"/>
    <w:rsid w:val="00B55E87"/>
    <w:rsid w:val="00B600C6"/>
    <w:rsid w:val="00B60167"/>
    <w:rsid w:val="00B60C35"/>
    <w:rsid w:val="00B60FC0"/>
    <w:rsid w:val="00B61665"/>
    <w:rsid w:val="00B63528"/>
    <w:rsid w:val="00B63DAF"/>
    <w:rsid w:val="00B63E05"/>
    <w:rsid w:val="00B63E98"/>
    <w:rsid w:val="00B65754"/>
    <w:rsid w:val="00B661AA"/>
    <w:rsid w:val="00B66242"/>
    <w:rsid w:val="00B670D3"/>
    <w:rsid w:val="00B67958"/>
    <w:rsid w:val="00B701D1"/>
    <w:rsid w:val="00B70482"/>
    <w:rsid w:val="00B7150A"/>
    <w:rsid w:val="00B716BB"/>
    <w:rsid w:val="00B716FD"/>
    <w:rsid w:val="00B7276D"/>
    <w:rsid w:val="00B734C2"/>
    <w:rsid w:val="00B73BDA"/>
    <w:rsid w:val="00B74053"/>
    <w:rsid w:val="00B747D1"/>
    <w:rsid w:val="00B765A0"/>
    <w:rsid w:val="00B76C02"/>
    <w:rsid w:val="00B77BD2"/>
    <w:rsid w:val="00B814CB"/>
    <w:rsid w:val="00B81B6A"/>
    <w:rsid w:val="00B820F4"/>
    <w:rsid w:val="00B835E0"/>
    <w:rsid w:val="00B8396D"/>
    <w:rsid w:val="00B90331"/>
    <w:rsid w:val="00B903ED"/>
    <w:rsid w:val="00B90B2D"/>
    <w:rsid w:val="00B90E79"/>
    <w:rsid w:val="00B9127F"/>
    <w:rsid w:val="00B9349E"/>
    <w:rsid w:val="00B935A1"/>
    <w:rsid w:val="00B95DAD"/>
    <w:rsid w:val="00B96C0C"/>
    <w:rsid w:val="00B9734D"/>
    <w:rsid w:val="00B97732"/>
    <w:rsid w:val="00BA00F3"/>
    <w:rsid w:val="00BA1096"/>
    <w:rsid w:val="00BA27F4"/>
    <w:rsid w:val="00BA2E40"/>
    <w:rsid w:val="00BA3CB7"/>
    <w:rsid w:val="00BA41DE"/>
    <w:rsid w:val="00BA556C"/>
    <w:rsid w:val="00BB0F31"/>
    <w:rsid w:val="00BB15AB"/>
    <w:rsid w:val="00BB189B"/>
    <w:rsid w:val="00BB1D21"/>
    <w:rsid w:val="00BB2E51"/>
    <w:rsid w:val="00BB4BEA"/>
    <w:rsid w:val="00BB4C1A"/>
    <w:rsid w:val="00BB4E78"/>
    <w:rsid w:val="00BB50AB"/>
    <w:rsid w:val="00BB6664"/>
    <w:rsid w:val="00BB6AE6"/>
    <w:rsid w:val="00BB7190"/>
    <w:rsid w:val="00BC01FC"/>
    <w:rsid w:val="00BC1F79"/>
    <w:rsid w:val="00BC2201"/>
    <w:rsid w:val="00BC3C7A"/>
    <w:rsid w:val="00BC3D98"/>
    <w:rsid w:val="00BC435D"/>
    <w:rsid w:val="00BC7DC6"/>
    <w:rsid w:val="00BD0AD7"/>
    <w:rsid w:val="00BD0DC5"/>
    <w:rsid w:val="00BD1039"/>
    <w:rsid w:val="00BD13B5"/>
    <w:rsid w:val="00BD2EFC"/>
    <w:rsid w:val="00BD340E"/>
    <w:rsid w:val="00BD60AD"/>
    <w:rsid w:val="00BD68E9"/>
    <w:rsid w:val="00BD6C02"/>
    <w:rsid w:val="00BE0328"/>
    <w:rsid w:val="00BE1244"/>
    <w:rsid w:val="00BE165D"/>
    <w:rsid w:val="00BE2394"/>
    <w:rsid w:val="00BE2702"/>
    <w:rsid w:val="00BE4326"/>
    <w:rsid w:val="00BE57ED"/>
    <w:rsid w:val="00BE5F4F"/>
    <w:rsid w:val="00BE60DB"/>
    <w:rsid w:val="00BF0191"/>
    <w:rsid w:val="00BF13EC"/>
    <w:rsid w:val="00BF1C07"/>
    <w:rsid w:val="00BF3DEE"/>
    <w:rsid w:val="00BF40AE"/>
    <w:rsid w:val="00BF54AC"/>
    <w:rsid w:val="00BF54BD"/>
    <w:rsid w:val="00BF6B8E"/>
    <w:rsid w:val="00C025A5"/>
    <w:rsid w:val="00C03C78"/>
    <w:rsid w:val="00C04CF8"/>
    <w:rsid w:val="00C04FD3"/>
    <w:rsid w:val="00C065A2"/>
    <w:rsid w:val="00C0671B"/>
    <w:rsid w:val="00C07214"/>
    <w:rsid w:val="00C07919"/>
    <w:rsid w:val="00C103F9"/>
    <w:rsid w:val="00C104AC"/>
    <w:rsid w:val="00C110E1"/>
    <w:rsid w:val="00C1198F"/>
    <w:rsid w:val="00C11FA1"/>
    <w:rsid w:val="00C12E21"/>
    <w:rsid w:val="00C12E65"/>
    <w:rsid w:val="00C13C20"/>
    <w:rsid w:val="00C13F74"/>
    <w:rsid w:val="00C146D3"/>
    <w:rsid w:val="00C14917"/>
    <w:rsid w:val="00C16BE0"/>
    <w:rsid w:val="00C20854"/>
    <w:rsid w:val="00C21C39"/>
    <w:rsid w:val="00C2325C"/>
    <w:rsid w:val="00C239ED"/>
    <w:rsid w:val="00C24593"/>
    <w:rsid w:val="00C24D9D"/>
    <w:rsid w:val="00C25CF3"/>
    <w:rsid w:val="00C263E9"/>
    <w:rsid w:val="00C2775A"/>
    <w:rsid w:val="00C278A6"/>
    <w:rsid w:val="00C27986"/>
    <w:rsid w:val="00C3063A"/>
    <w:rsid w:val="00C30996"/>
    <w:rsid w:val="00C30BAD"/>
    <w:rsid w:val="00C31E8F"/>
    <w:rsid w:val="00C335DA"/>
    <w:rsid w:val="00C33D3E"/>
    <w:rsid w:val="00C351B7"/>
    <w:rsid w:val="00C362E0"/>
    <w:rsid w:val="00C36ED4"/>
    <w:rsid w:val="00C376CC"/>
    <w:rsid w:val="00C400F7"/>
    <w:rsid w:val="00C40EC6"/>
    <w:rsid w:val="00C419AD"/>
    <w:rsid w:val="00C41B5F"/>
    <w:rsid w:val="00C4293C"/>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552"/>
    <w:rsid w:val="00C52D62"/>
    <w:rsid w:val="00C52EF3"/>
    <w:rsid w:val="00C533D4"/>
    <w:rsid w:val="00C53A4C"/>
    <w:rsid w:val="00C5448D"/>
    <w:rsid w:val="00C5477F"/>
    <w:rsid w:val="00C547B7"/>
    <w:rsid w:val="00C5503B"/>
    <w:rsid w:val="00C554A9"/>
    <w:rsid w:val="00C55A32"/>
    <w:rsid w:val="00C564F2"/>
    <w:rsid w:val="00C56F11"/>
    <w:rsid w:val="00C56FE9"/>
    <w:rsid w:val="00C602A4"/>
    <w:rsid w:val="00C61F3A"/>
    <w:rsid w:val="00C629CB"/>
    <w:rsid w:val="00C62B75"/>
    <w:rsid w:val="00C6327B"/>
    <w:rsid w:val="00C63DED"/>
    <w:rsid w:val="00C652D1"/>
    <w:rsid w:val="00C657B5"/>
    <w:rsid w:val="00C661E1"/>
    <w:rsid w:val="00C66686"/>
    <w:rsid w:val="00C678C4"/>
    <w:rsid w:val="00C71215"/>
    <w:rsid w:val="00C7216B"/>
    <w:rsid w:val="00C727BE"/>
    <w:rsid w:val="00C732A9"/>
    <w:rsid w:val="00C73448"/>
    <w:rsid w:val="00C73E2E"/>
    <w:rsid w:val="00C74546"/>
    <w:rsid w:val="00C748E2"/>
    <w:rsid w:val="00C76292"/>
    <w:rsid w:val="00C7643C"/>
    <w:rsid w:val="00C7776C"/>
    <w:rsid w:val="00C8398D"/>
    <w:rsid w:val="00C84BC2"/>
    <w:rsid w:val="00C85139"/>
    <w:rsid w:val="00C85657"/>
    <w:rsid w:val="00C91C88"/>
    <w:rsid w:val="00C92FB8"/>
    <w:rsid w:val="00C939C3"/>
    <w:rsid w:val="00C93C2B"/>
    <w:rsid w:val="00C94228"/>
    <w:rsid w:val="00C96D56"/>
    <w:rsid w:val="00C977E6"/>
    <w:rsid w:val="00CA0020"/>
    <w:rsid w:val="00CA02BA"/>
    <w:rsid w:val="00CA0B2E"/>
    <w:rsid w:val="00CA18CA"/>
    <w:rsid w:val="00CA1E6C"/>
    <w:rsid w:val="00CA2557"/>
    <w:rsid w:val="00CA5413"/>
    <w:rsid w:val="00CA5674"/>
    <w:rsid w:val="00CA5BDA"/>
    <w:rsid w:val="00CA5C1A"/>
    <w:rsid w:val="00CA633F"/>
    <w:rsid w:val="00CA641E"/>
    <w:rsid w:val="00CA7558"/>
    <w:rsid w:val="00CA785F"/>
    <w:rsid w:val="00CA792A"/>
    <w:rsid w:val="00CA7949"/>
    <w:rsid w:val="00CB0161"/>
    <w:rsid w:val="00CB0C6E"/>
    <w:rsid w:val="00CB0C89"/>
    <w:rsid w:val="00CB226B"/>
    <w:rsid w:val="00CB229B"/>
    <w:rsid w:val="00CB2BB1"/>
    <w:rsid w:val="00CB33B4"/>
    <w:rsid w:val="00CB3D93"/>
    <w:rsid w:val="00CB4441"/>
    <w:rsid w:val="00CB4B1A"/>
    <w:rsid w:val="00CB4B98"/>
    <w:rsid w:val="00CB4E1F"/>
    <w:rsid w:val="00CB50BA"/>
    <w:rsid w:val="00CC04A5"/>
    <w:rsid w:val="00CC152E"/>
    <w:rsid w:val="00CC1629"/>
    <w:rsid w:val="00CC237A"/>
    <w:rsid w:val="00CC2493"/>
    <w:rsid w:val="00CC26F7"/>
    <w:rsid w:val="00CC3222"/>
    <w:rsid w:val="00CC35F1"/>
    <w:rsid w:val="00CC35FF"/>
    <w:rsid w:val="00CC3BCF"/>
    <w:rsid w:val="00CC3FD6"/>
    <w:rsid w:val="00CD0E6E"/>
    <w:rsid w:val="00CD23AE"/>
    <w:rsid w:val="00CD27DF"/>
    <w:rsid w:val="00CD2D8A"/>
    <w:rsid w:val="00CD3BAC"/>
    <w:rsid w:val="00CD3FF2"/>
    <w:rsid w:val="00CD4A65"/>
    <w:rsid w:val="00CD531F"/>
    <w:rsid w:val="00CD6FA3"/>
    <w:rsid w:val="00CE17AA"/>
    <w:rsid w:val="00CE2184"/>
    <w:rsid w:val="00CE3B7F"/>
    <w:rsid w:val="00CE3FA2"/>
    <w:rsid w:val="00CE41A0"/>
    <w:rsid w:val="00CE4958"/>
    <w:rsid w:val="00CE68E2"/>
    <w:rsid w:val="00CE706E"/>
    <w:rsid w:val="00CE70B1"/>
    <w:rsid w:val="00CE7AE4"/>
    <w:rsid w:val="00CF0A4C"/>
    <w:rsid w:val="00CF144F"/>
    <w:rsid w:val="00CF150A"/>
    <w:rsid w:val="00CF1BBA"/>
    <w:rsid w:val="00CF2225"/>
    <w:rsid w:val="00CF25E7"/>
    <w:rsid w:val="00CF3C77"/>
    <w:rsid w:val="00CF40FA"/>
    <w:rsid w:val="00CF45A2"/>
    <w:rsid w:val="00CF52E7"/>
    <w:rsid w:val="00CF64B5"/>
    <w:rsid w:val="00CF7853"/>
    <w:rsid w:val="00D004ED"/>
    <w:rsid w:val="00D0260F"/>
    <w:rsid w:val="00D03708"/>
    <w:rsid w:val="00D06776"/>
    <w:rsid w:val="00D06E46"/>
    <w:rsid w:val="00D06F95"/>
    <w:rsid w:val="00D075E1"/>
    <w:rsid w:val="00D10D8A"/>
    <w:rsid w:val="00D1158C"/>
    <w:rsid w:val="00D11600"/>
    <w:rsid w:val="00D119A2"/>
    <w:rsid w:val="00D12E31"/>
    <w:rsid w:val="00D136B8"/>
    <w:rsid w:val="00D137F9"/>
    <w:rsid w:val="00D1458C"/>
    <w:rsid w:val="00D1620E"/>
    <w:rsid w:val="00D16867"/>
    <w:rsid w:val="00D16894"/>
    <w:rsid w:val="00D16EEC"/>
    <w:rsid w:val="00D2047A"/>
    <w:rsid w:val="00D20631"/>
    <w:rsid w:val="00D207FC"/>
    <w:rsid w:val="00D221AC"/>
    <w:rsid w:val="00D2260B"/>
    <w:rsid w:val="00D22D49"/>
    <w:rsid w:val="00D23930"/>
    <w:rsid w:val="00D23A23"/>
    <w:rsid w:val="00D24D8A"/>
    <w:rsid w:val="00D24DA4"/>
    <w:rsid w:val="00D25235"/>
    <w:rsid w:val="00D25383"/>
    <w:rsid w:val="00D25670"/>
    <w:rsid w:val="00D301FF"/>
    <w:rsid w:val="00D3257F"/>
    <w:rsid w:val="00D32F57"/>
    <w:rsid w:val="00D340E2"/>
    <w:rsid w:val="00D35415"/>
    <w:rsid w:val="00D36887"/>
    <w:rsid w:val="00D36C65"/>
    <w:rsid w:val="00D37563"/>
    <w:rsid w:val="00D379EB"/>
    <w:rsid w:val="00D400B8"/>
    <w:rsid w:val="00D4022C"/>
    <w:rsid w:val="00D40DDB"/>
    <w:rsid w:val="00D41023"/>
    <w:rsid w:val="00D41C6C"/>
    <w:rsid w:val="00D42465"/>
    <w:rsid w:val="00D42E5B"/>
    <w:rsid w:val="00D439D1"/>
    <w:rsid w:val="00D43C68"/>
    <w:rsid w:val="00D444B2"/>
    <w:rsid w:val="00D45038"/>
    <w:rsid w:val="00D4523E"/>
    <w:rsid w:val="00D453E4"/>
    <w:rsid w:val="00D47226"/>
    <w:rsid w:val="00D50B21"/>
    <w:rsid w:val="00D51349"/>
    <w:rsid w:val="00D51B5C"/>
    <w:rsid w:val="00D527AF"/>
    <w:rsid w:val="00D529E1"/>
    <w:rsid w:val="00D534C2"/>
    <w:rsid w:val="00D5410F"/>
    <w:rsid w:val="00D564DF"/>
    <w:rsid w:val="00D576DD"/>
    <w:rsid w:val="00D57CB4"/>
    <w:rsid w:val="00D601E1"/>
    <w:rsid w:val="00D61477"/>
    <w:rsid w:val="00D619E2"/>
    <w:rsid w:val="00D62036"/>
    <w:rsid w:val="00D620CC"/>
    <w:rsid w:val="00D634B8"/>
    <w:rsid w:val="00D63C91"/>
    <w:rsid w:val="00D63EF3"/>
    <w:rsid w:val="00D64441"/>
    <w:rsid w:val="00D65497"/>
    <w:rsid w:val="00D654DA"/>
    <w:rsid w:val="00D6609E"/>
    <w:rsid w:val="00D67A9F"/>
    <w:rsid w:val="00D67C20"/>
    <w:rsid w:val="00D70C1B"/>
    <w:rsid w:val="00D70E5C"/>
    <w:rsid w:val="00D7146C"/>
    <w:rsid w:val="00D71695"/>
    <w:rsid w:val="00D718CD"/>
    <w:rsid w:val="00D7416F"/>
    <w:rsid w:val="00D755F2"/>
    <w:rsid w:val="00D762AC"/>
    <w:rsid w:val="00D775E7"/>
    <w:rsid w:val="00D77B26"/>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97060"/>
    <w:rsid w:val="00D971A0"/>
    <w:rsid w:val="00DA024A"/>
    <w:rsid w:val="00DA0673"/>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32FB"/>
    <w:rsid w:val="00DB42AE"/>
    <w:rsid w:val="00DB4411"/>
    <w:rsid w:val="00DB466D"/>
    <w:rsid w:val="00DB5FD0"/>
    <w:rsid w:val="00DB7395"/>
    <w:rsid w:val="00DB75C2"/>
    <w:rsid w:val="00DB7E2C"/>
    <w:rsid w:val="00DB7F6D"/>
    <w:rsid w:val="00DC027B"/>
    <w:rsid w:val="00DC071C"/>
    <w:rsid w:val="00DC0A64"/>
    <w:rsid w:val="00DC0FC4"/>
    <w:rsid w:val="00DC1B9A"/>
    <w:rsid w:val="00DC2344"/>
    <w:rsid w:val="00DC2E4F"/>
    <w:rsid w:val="00DC384C"/>
    <w:rsid w:val="00DC40C4"/>
    <w:rsid w:val="00DC4AFD"/>
    <w:rsid w:val="00DC4D87"/>
    <w:rsid w:val="00DC4D8A"/>
    <w:rsid w:val="00DC6678"/>
    <w:rsid w:val="00DC6DF6"/>
    <w:rsid w:val="00DC7832"/>
    <w:rsid w:val="00DC7BFE"/>
    <w:rsid w:val="00DD08C7"/>
    <w:rsid w:val="00DD1A10"/>
    <w:rsid w:val="00DD200D"/>
    <w:rsid w:val="00DD2867"/>
    <w:rsid w:val="00DD2990"/>
    <w:rsid w:val="00DD2FE9"/>
    <w:rsid w:val="00DD3A7E"/>
    <w:rsid w:val="00DD434E"/>
    <w:rsid w:val="00DD4402"/>
    <w:rsid w:val="00DD60D0"/>
    <w:rsid w:val="00DD6200"/>
    <w:rsid w:val="00DD686C"/>
    <w:rsid w:val="00DD6E86"/>
    <w:rsid w:val="00DE0E5D"/>
    <w:rsid w:val="00DE0FE2"/>
    <w:rsid w:val="00DE1048"/>
    <w:rsid w:val="00DE2348"/>
    <w:rsid w:val="00DE447F"/>
    <w:rsid w:val="00DE48F0"/>
    <w:rsid w:val="00DE4A77"/>
    <w:rsid w:val="00DE68EE"/>
    <w:rsid w:val="00DE6D24"/>
    <w:rsid w:val="00DE7285"/>
    <w:rsid w:val="00DE7C40"/>
    <w:rsid w:val="00DF0EA5"/>
    <w:rsid w:val="00DF1F1D"/>
    <w:rsid w:val="00DF23A5"/>
    <w:rsid w:val="00DF4C6E"/>
    <w:rsid w:val="00DF6666"/>
    <w:rsid w:val="00DF745E"/>
    <w:rsid w:val="00DF762E"/>
    <w:rsid w:val="00DF7E9F"/>
    <w:rsid w:val="00E0044E"/>
    <w:rsid w:val="00E00816"/>
    <w:rsid w:val="00E0239F"/>
    <w:rsid w:val="00E0267B"/>
    <w:rsid w:val="00E02B33"/>
    <w:rsid w:val="00E033AE"/>
    <w:rsid w:val="00E04441"/>
    <w:rsid w:val="00E04B31"/>
    <w:rsid w:val="00E05F03"/>
    <w:rsid w:val="00E06370"/>
    <w:rsid w:val="00E06B7B"/>
    <w:rsid w:val="00E06E20"/>
    <w:rsid w:val="00E07CF9"/>
    <w:rsid w:val="00E07DD9"/>
    <w:rsid w:val="00E102F8"/>
    <w:rsid w:val="00E12387"/>
    <w:rsid w:val="00E12FCF"/>
    <w:rsid w:val="00E13273"/>
    <w:rsid w:val="00E13379"/>
    <w:rsid w:val="00E139EE"/>
    <w:rsid w:val="00E14837"/>
    <w:rsid w:val="00E14D83"/>
    <w:rsid w:val="00E14FA6"/>
    <w:rsid w:val="00E15A0D"/>
    <w:rsid w:val="00E16640"/>
    <w:rsid w:val="00E1740F"/>
    <w:rsid w:val="00E200CF"/>
    <w:rsid w:val="00E21298"/>
    <w:rsid w:val="00E2173C"/>
    <w:rsid w:val="00E24287"/>
    <w:rsid w:val="00E2588E"/>
    <w:rsid w:val="00E31367"/>
    <w:rsid w:val="00E3181C"/>
    <w:rsid w:val="00E32EF3"/>
    <w:rsid w:val="00E33E21"/>
    <w:rsid w:val="00E34BC4"/>
    <w:rsid w:val="00E3540C"/>
    <w:rsid w:val="00E354A0"/>
    <w:rsid w:val="00E36187"/>
    <w:rsid w:val="00E36332"/>
    <w:rsid w:val="00E36C9B"/>
    <w:rsid w:val="00E36ED8"/>
    <w:rsid w:val="00E37638"/>
    <w:rsid w:val="00E37E9D"/>
    <w:rsid w:val="00E41B71"/>
    <w:rsid w:val="00E42569"/>
    <w:rsid w:val="00E434A0"/>
    <w:rsid w:val="00E44D30"/>
    <w:rsid w:val="00E4597F"/>
    <w:rsid w:val="00E46CB7"/>
    <w:rsid w:val="00E4723D"/>
    <w:rsid w:val="00E5077C"/>
    <w:rsid w:val="00E50EC8"/>
    <w:rsid w:val="00E5159B"/>
    <w:rsid w:val="00E515C6"/>
    <w:rsid w:val="00E515F8"/>
    <w:rsid w:val="00E52E0D"/>
    <w:rsid w:val="00E52FE2"/>
    <w:rsid w:val="00E53067"/>
    <w:rsid w:val="00E54629"/>
    <w:rsid w:val="00E54667"/>
    <w:rsid w:val="00E54715"/>
    <w:rsid w:val="00E54D6B"/>
    <w:rsid w:val="00E54E6F"/>
    <w:rsid w:val="00E55338"/>
    <w:rsid w:val="00E569AF"/>
    <w:rsid w:val="00E5774E"/>
    <w:rsid w:val="00E57EEB"/>
    <w:rsid w:val="00E60318"/>
    <w:rsid w:val="00E60BA8"/>
    <w:rsid w:val="00E61E25"/>
    <w:rsid w:val="00E61E28"/>
    <w:rsid w:val="00E628E4"/>
    <w:rsid w:val="00E647F7"/>
    <w:rsid w:val="00E6517B"/>
    <w:rsid w:val="00E65FF5"/>
    <w:rsid w:val="00E663C7"/>
    <w:rsid w:val="00E66857"/>
    <w:rsid w:val="00E67556"/>
    <w:rsid w:val="00E7079A"/>
    <w:rsid w:val="00E7252F"/>
    <w:rsid w:val="00E738D5"/>
    <w:rsid w:val="00E73FC2"/>
    <w:rsid w:val="00E74481"/>
    <w:rsid w:val="00E74517"/>
    <w:rsid w:val="00E755D7"/>
    <w:rsid w:val="00E7566D"/>
    <w:rsid w:val="00E76E91"/>
    <w:rsid w:val="00E774B4"/>
    <w:rsid w:val="00E77833"/>
    <w:rsid w:val="00E778F5"/>
    <w:rsid w:val="00E80A63"/>
    <w:rsid w:val="00E80E7C"/>
    <w:rsid w:val="00E81779"/>
    <w:rsid w:val="00E8205B"/>
    <w:rsid w:val="00E82444"/>
    <w:rsid w:val="00E8341C"/>
    <w:rsid w:val="00E858B4"/>
    <w:rsid w:val="00E8602B"/>
    <w:rsid w:val="00E86041"/>
    <w:rsid w:val="00E86B5F"/>
    <w:rsid w:val="00E87D05"/>
    <w:rsid w:val="00E91F96"/>
    <w:rsid w:val="00E92E99"/>
    <w:rsid w:val="00E94270"/>
    <w:rsid w:val="00E968FD"/>
    <w:rsid w:val="00E96D55"/>
    <w:rsid w:val="00E96F14"/>
    <w:rsid w:val="00E97993"/>
    <w:rsid w:val="00EA0D5D"/>
    <w:rsid w:val="00EA1192"/>
    <w:rsid w:val="00EA1342"/>
    <w:rsid w:val="00EA148A"/>
    <w:rsid w:val="00EA153F"/>
    <w:rsid w:val="00EA1DAF"/>
    <w:rsid w:val="00EA2788"/>
    <w:rsid w:val="00EA2C6E"/>
    <w:rsid w:val="00EA366C"/>
    <w:rsid w:val="00EA4964"/>
    <w:rsid w:val="00EA4F1A"/>
    <w:rsid w:val="00EA5078"/>
    <w:rsid w:val="00EA5687"/>
    <w:rsid w:val="00EA697D"/>
    <w:rsid w:val="00EA71D7"/>
    <w:rsid w:val="00EA7E2A"/>
    <w:rsid w:val="00EB00B2"/>
    <w:rsid w:val="00EB02DE"/>
    <w:rsid w:val="00EB0A07"/>
    <w:rsid w:val="00EB0C0C"/>
    <w:rsid w:val="00EB1B69"/>
    <w:rsid w:val="00EB1C78"/>
    <w:rsid w:val="00EB3B46"/>
    <w:rsid w:val="00EB4F08"/>
    <w:rsid w:val="00EC0612"/>
    <w:rsid w:val="00EC1BA8"/>
    <w:rsid w:val="00EC2E07"/>
    <w:rsid w:val="00EC43C7"/>
    <w:rsid w:val="00EC465D"/>
    <w:rsid w:val="00EC5C89"/>
    <w:rsid w:val="00EC66D2"/>
    <w:rsid w:val="00EC67E7"/>
    <w:rsid w:val="00ED0A1B"/>
    <w:rsid w:val="00ED21BC"/>
    <w:rsid w:val="00ED26BD"/>
    <w:rsid w:val="00ED2FEC"/>
    <w:rsid w:val="00ED3173"/>
    <w:rsid w:val="00ED3F67"/>
    <w:rsid w:val="00ED41DB"/>
    <w:rsid w:val="00ED440A"/>
    <w:rsid w:val="00ED58F0"/>
    <w:rsid w:val="00ED7971"/>
    <w:rsid w:val="00EE0748"/>
    <w:rsid w:val="00EE17B4"/>
    <w:rsid w:val="00EE29A0"/>
    <w:rsid w:val="00EE2CEA"/>
    <w:rsid w:val="00EE3365"/>
    <w:rsid w:val="00EE48DF"/>
    <w:rsid w:val="00EE4AB3"/>
    <w:rsid w:val="00EE7405"/>
    <w:rsid w:val="00EF033E"/>
    <w:rsid w:val="00EF06EC"/>
    <w:rsid w:val="00EF14FF"/>
    <w:rsid w:val="00EF2BFE"/>
    <w:rsid w:val="00EF2D85"/>
    <w:rsid w:val="00EF402C"/>
    <w:rsid w:val="00EF45E0"/>
    <w:rsid w:val="00EF4816"/>
    <w:rsid w:val="00EF482A"/>
    <w:rsid w:val="00EF4E6F"/>
    <w:rsid w:val="00EF5C82"/>
    <w:rsid w:val="00EF792D"/>
    <w:rsid w:val="00EF7A15"/>
    <w:rsid w:val="00F01F8C"/>
    <w:rsid w:val="00F02967"/>
    <w:rsid w:val="00F03308"/>
    <w:rsid w:val="00F035A6"/>
    <w:rsid w:val="00F04AD0"/>
    <w:rsid w:val="00F06B9A"/>
    <w:rsid w:val="00F10033"/>
    <w:rsid w:val="00F10848"/>
    <w:rsid w:val="00F10B68"/>
    <w:rsid w:val="00F11B1C"/>
    <w:rsid w:val="00F11F55"/>
    <w:rsid w:val="00F125AC"/>
    <w:rsid w:val="00F12DEC"/>
    <w:rsid w:val="00F13151"/>
    <w:rsid w:val="00F15523"/>
    <w:rsid w:val="00F1554D"/>
    <w:rsid w:val="00F16391"/>
    <w:rsid w:val="00F2062B"/>
    <w:rsid w:val="00F21A18"/>
    <w:rsid w:val="00F21E61"/>
    <w:rsid w:val="00F220EA"/>
    <w:rsid w:val="00F222CD"/>
    <w:rsid w:val="00F2394E"/>
    <w:rsid w:val="00F2462A"/>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CA4"/>
    <w:rsid w:val="00F41E79"/>
    <w:rsid w:val="00F4315F"/>
    <w:rsid w:val="00F445F6"/>
    <w:rsid w:val="00F4512F"/>
    <w:rsid w:val="00F45763"/>
    <w:rsid w:val="00F45BCF"/>
    <w:rsid w:val="00F45BEA"/>
    <w:rsid w:val="00F45CFE"/>
    <w:rsid w:val="00F46877"/>
    <w:rsid w:val="00F47F3E"/>
    <w:rsid w:val="00F51066"/>
    <w:rsid w:val="00F530E6"/>
    <w:rsid w:val="00F532C7"/>
    <w:rsid w:val="00F54D75"/>
    <w:rsid w:val="00F54EE5"/>
    <w:rsid w:val="00F55358"/>
    <w:rsid w:val="00F5603C"/>
    <w:rsid w:val="00F5605C"/>
    <w:rsid w:val="00F564B9"/>
    <w:rsid w:val="00F57909"/>
    <w:rsid w:val="00F6031D"/>
    <w:rsid w:val="00F60C22"/>
    <w:rsid w:val="00F612D6"/>
    <w:rsid w:val="00F63400"/>
    <w:rsid w:val="00F636C6"/>
    <w:rsid w:val="00F6433D"/>
    <w:rsid w:val="00F6573E"/>
    <w:rsid w:val="00F662EB"/>
    <w:rsid w:val="00F67606"/>
    <w:rsid w:val="00F70327"/>
    <w:rsid w:val="00F70FEF"/>
    <w:rsid w:val="00F72FA8"/>
    <w:rsid w:val="00F74167"/>
    <w:rsid w:val="00F75415"/>
    <w:rsid w:val="00F773F9"/>
    <w:rsid w:val="00F7768D"/>
    <w:rsid w:val="00F8101C"/>
    <w:rsid w:val="00F817B9"/>
    <w:rsid w:val="00F81CB7"/>
    <w:rsid w:val="00F82280"/>
    <w:rsid w:val="00F8235F"/>
    <w:rsid w:val="00F83A22"/>
    <w:rsid w:val="00F83A97"/>
    <w:rsid w:val="00F841F0"/>
    <w:rsid w:val="00F844F0"/>
    <w:rsid w:val="00F84895"/>
    <w:rsid w:val="00F84E9D"/>
    <w:rsid w:val="00F853AA"/>
    <w:rsid w:val="00F8659E"/>
    <w:rsid w:val="00F86CE4"/>
    <w:rsid w:val="00F86F42"/>
    <w:rsid w:val="00F90AFD"/>
    <w:rsid w:val="00F91941"/>
    <w:rsid w:val="00F924F7"/>
    <w:rsid w:val="00F92E3F"/>
    <w:rsid w:val="00F938D2"/>
    <w:rsid w:val="00F96389"/>
    <w:rsid w:val="00F9650E"/>
    <w:rsid w:val="00F96B73"/>
    <w:rsid w:val="00F96C01"/>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4D3"/>
    <w:rsid w:val="00FB6C91"/>
    <w:rsid w:val="00FB74E8"/>
    <w:rsid w:val="00FC0263"/>
    <w:rsid w:val="00FC0348"/>
    <w:rsid w:val="00FC0FB5"/>
    <w:rsid w:val="00FC102A"/>
    <w:rsid w:val="00FC154C"/>
    <w:rsid w:val="00FC1DBC"/>
    <w:rsid w:val="00FC2637"/>
    <w:rsid w:val="00FC393B"/>
    <w:rsid w:val="00FC4052"/>
    <w:rsid w:val="00FC4274"/>
    <w:rsid w:val="00FC5252"/>
    <w:rsid w:val="00FC5C0D"/>
    <w:rsid w:val="00FC6356"/>
    <w:rsid w:val="00FC7039"/>
    <w:rsid w:val="00FC7D01"/>
    <w:rsid w:val="00FD0130"/>
    <w:rsid w:val="00FD0373"/>
    <w:rsid w:val="00FD0582"/>
    <w:rsid w:val="00FD0C93"/>
    <w:rsid w:val="00FD1062"/>
    <w:rsid w:val="00FD2589"/>
    <w:rsid w:val="00FD4876"/>
    <w:rsid w:val="00FD52A3"/>
    <w:rsid w:val="00FD68D4"/>
    <w:rsid w:val="00FE00D9"/>
    <w:rsid w:val="00FE1186"/>
    <w:rsid w:val="00FE177A"/>
    <w:rsid w:val="00FE1D57"/>
    <w:rsid w:val="00FE240A"/>
    <w:rsid w:val="00FE3C17"/>
    <w:rsid w:val="00FE3E3C"/>
    <w:rsid w:val="00FE43E7"/>
    <w:rsid w:val="00FE4B66"/>
    <w:rsid w:val="00FE4F6E"/>
    <w:rsid w:val="00FE583F"/>
    <w:rsid w:val="00FE5998"/>
    <w:rsid w:val="00FE5CC4"/>
    <w:rsid w:val="00FE6B13"/>
    <w:rsid w:val="00FE6CB2"/>
    <w:rsid w:val="00FE7337"/>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B2BB813"/>
  <w15:chartTrackingRefBased/>
  <w15:docId w15:val="{392F6E7C-D608-4C6A-9977-846E1EB3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ai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944826"/>
    <w:rPr>
      <w:sz w:val="24"/>
      <w:szCs w:val="24"/>
    </w:rPr>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Veidlapasz-auga">
    <w:name w:val="HTML Top of Form"/>
    <w:basedOn w:val="Parastais"/>
    <w:next w:val="Parastai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ais"/>
    <w:next w:val="Parastai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customStyle="1" w:styleId="ParastaisWeb">
    <w:name w:val="Parastais (Web)"/>
    <w:basedOn w:val="Parastais"/>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ai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ai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ai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ai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Sarakstarindkopa1">
    <w:name w:val="Saraksta rindkopa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ai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styleId="Sarakstarindkopa">
    <w:name w:val="List Paragraph"/>
    <w:basedOn w:val="Parastais"/>
    <w:uiPriority w:val="34"/>
    <w:qFormat/>
    <w:rsid w:val="004E4204"/>
    <w:pPr>
      <w:ind w:left="720"/>
    </w:pPr>
  </w:style>
  <w:style w:type="character" w:styleId="Neatrisintapieminana">
    <w:name w:val="Unresolved Mention"/>
    <w:uiPriority w:val="99"/>
    <w:semiHidden/>
    <w:unhideWhenUsed/>
    <w:rsid w:val="006A1C6D"/>
    <w:rPr>
      <w:color w:val="808080"/>
      <w:shd w:val="clear" w:color="auto" w:fill="E6E6E6"/>
    </w:rPr>
  </w:style>
  <w:style w:type="paragraph" w:styleId="Vresteksts">
    <w:name w:val="footnote text"/>
    <w:basedOn w:val="Parastais"/>
    <w:link w:val="VrestekstsRakstz"/>
    <w:uiPriority w:val="99"/>
    <w:semiHidden/>
    <w:unhideWhenUsed/>
    <w:rsid w:val="007448BF"/>
    <w:rPr>
      <w:rFonts w:ascii="Calibri" w:eastAsia="Calibri" w:hAnsi="Calibri"/>
      <w:sz w:val="20"/>
      <w:szCs w:val="20"/>
      <w:lang w:eastAsia="en-US"/>
    </w:rPr>
  </w:style>
  <w:style w:type="character" w:customStyle="1" w:styleId="VrestekstsRakstz">
    <w:name w:val="Vēres teksts Rakstz."/>
    <w:link w:val="Vresteksts"/>
    <w:uiPriority w:val="99"/>
    <w:semiHidden/>
    <w:rsid w:val="007448BF"/>
    <w:rPr>
      <w:rFonts w:ascii="Calibri" w:eastAsia="Calibri" w:hAnsi="Calibri"/>
      <w:lang w:eastAsia="en-US"/>
    </w:rPr>
  </w:style>
  <w:style w:type="character" w:styleId="Vresatsauce">
    <w:name w:val="footnote reference"/>
    <w:uiPriority w:val="99"/>
    <w:unhideWhenUsed/>
    <w:rsid w:val="00744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0558">
      <w:bodyDiv w:val="1"/>
      <w:marLeft w:val="0"/>
      <w:marRight w:val="0"/>
      <w:marTop w:val="0"/>
      <w:marBottom w:val="0"/>
      <w:divBdr>
        <w:top w:val="none" w:sz="0" w:space="0" w:color="auto"/>
        <w:left w:val="none" w:sz="0" w:space="0" w:color="auto"/>
        <w:bottom w:val="none" w:sz="0" w:space="0" w:color="auto"/>
        <w:right w:val="none" w:sz="0" w:space="0" w:color="auto"/>
      </w:divBdr>
    </w:div>
    <w:div w:id="351414721">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24974489">
      <w:bodyDiv w:val="1"/>
      <w:marLeft w:val="0"/>
      <w:marRight w:val="0"/>
      <w:marTop w:val="0"/>
      <w:marBottom w:val="0"/>
      <w:divBdr>
        <w:top w:val="none" w:sz="0" w:space="0" w:color="auto"/>
        <w:left w:val="none" w:sz="0" w:space="0" w:color="auto"/>
        <w:bottom w:val="none" w:sz="0" w:space="0" w:color="auto"/>
        <w:right w:val="none" w:sz="0" w:space="0" w:color="auto"/>
      </w:divBdr>
    </w:div>
    <w:div w:id="835615691">
      <w:bodyDiv w:val="1"/>
      <w:marLeft w:val="0"/>
      <w:marRight w:val="0"/>
      <w:marTop w:val="0"/>
      <w:marBottom w:val="0"/>
      <w:divBdr>
        <w:top w:val="none" w:sz="0" w:space="0" w:color="auto"/>
        <w:left w:val="none" w:sz="0" w:space="0" w:color="auto"/>
        <w:bottom w:val="none" w:sz="0" w:space="0" w:color="auto"/>
        <w:right w:val="none" w:sz="0" w:space="0" w:color="auto"/>
      </w:divBdr>
    </w:div>
    <w:div w:id="852262337">
      <w:bodyDiv w:val="1"/>
      <w:marLeft w:val="0"/>
      <w:marRight w:val="0"/>
      <w:marTop w:val="0"/>
      <w:marBottom w:val="0"/>
      <w:divBdr>
        <w:top w:val="none" w:sz="0" w:space="0" w:color="auto"/>
        <w:left w:val="none" w:sz="0" w:space="0" w:color="auto"/>
        <w:bottom w:val="none" w:sz="0" w:space="0" w:color="auto"/>
        <w:right w:val="none" w:sz="0" w:space="0" w:color="auto"/>
      </w:divBdr>
    </w:div>
    <w:div w:id="873272874">
      <w:bodyDiv w:val="1"/>
      <w:marLeft w:val="0"/>
      <w:marRight w:val="0"/>
      <w:marTop w:val="0"/>
      <w:marBottom w:val="0"/>
      <w:divBdr>
        <w:top w:val="none" w:sz="0" w:space="0" w:color="auto"/>
        <w:left w:val="none" w:sz="0" w:space="0" w:color="auto"/>
        <w:bottom w:val="none" w:sz="0" w:space="0" w:color="auto"/>
        <w:right w:val="none" w:sz="0" w:space="0" w:color="auto"/>
      </w:divBdr>
    </w:div>
    <w:div w:id="925266706">
      <w:bodyDiv w:val="1"/>
      <w:marLeft w:val="0"/>
      <w:marRight w:val="0"/>
      <w:marTop w:val="0"/>
      <w:marBottom w:val="0"/>
      <w:divBdr>
        <w:top w:val="none" w:sz="0" w:space="0" w:color="auto"/>
        <w:left w:val="none" w:sz="0" w:space="0" w:color="auto"/>
        <w:bottom w:val="none" w:sz="0" w:space="0" w:color="auto"/>
        <w:right w:val="none" w:sz="0" w:space="0" w:color="auto"/>
      </w:divBdr>
    </w:div>
    <w:div w:id="103156493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13551910">
      <w:bodyDiv w:val="1"/>
      <w:marLeft w:val="0"/>
      <w:marRight w:val="0"/>
      <w:marTop w:val="0"/>
      <w:marBottom w:val="0"/>
      <w:divBdr>
        <w:top w:val="none" w:sz="0" w:space="0" w:color="auto"/>
        <w:left w:val="none" w:sz="0" w:space="0" w:color="auto"/>
        <w:bottom w:val="none" w:sz="0" w:space="0" w:color="auto"/>
        <w:right w:val="none" w:sz="0" w:space="0" w:color="auto"/>
      </w:divBdr>
    </w:div>
    <w:div w:id="1117725020">
      <w:bodyDiv w:val="1"/>
      <w:marLeft w:val="0"/>
      <w:marRight w:val="0"/>
      <w:marTop w:val="0"/>
      <w:marBottom w:val="0"/>
      <w:divBdr>
        <w:top w:val="none" w:sz="0" w:space="0" w:color="auto"/>
        <w:left w:val="none" w:sz="0" w:space="0" w:color="auto"/>
        <w:bottom w:val="none" w:sz="0" w:space="0" w:color="auto"/>
        <w:right w:val="none" w:sz="0" w:space="0" w:color="auto"/>
      </w:divBdr>
    </w:div>
    <w:div w:id="1122461592">
      <w:bodyDiv w:val="1"/>
      <w:marLeft w:val="0"/>
      <w:marRight w:val="0"/>
      <w:marTop w:val="0"/>
      <w:marBottom w:val="0"/>
      <w:divBdr>
        <w:top w:val="none" w:sz="0" w:space="0" w:color="auto"/>
        <w:left w:val="none" w:sz="0" w:space="0" w:color="auto"/>
        <w:bottom w:val="none" w:sz="0" w:space="0" w:color="auto"/>
        <w:right w:val="none" w:sz="0" w:space="0" w:color="auto"/>
      </w:divBdr>
    </w:div>
    <w:div w:id="1123843453">
      <w:bodyDiv w:val="1"/>
      <w:marLeft w:val="0"/>
      <w:marRight w:val="0"/>
      <w:marTop w:val="0"/>
      <w:marBottom w:val="0"/>
      <w:divBdr>
        <w:top w:val="none" w:sz="0" w:space="0" w:color="auto"/>
        <w:left w:val="none" w:sz="0" w:space="0" w:color="auto"/>
        <w:bottom w:val="none" w:sz="0" w:space="0" w:color="auto"/>
        <w:right w:val="none" w:sz="0" w:space="0" w:color="auto"/>
      </w:divBdr>
    </w:div>
    <w:div w:id="1125737814">
      <w:bodyDiv w:val="1"/>
      <w:marLeft w:val="0"/>
      <w:marRight w:val="0"/>
      <w:marTop w:val="0"/>
      <w:marBottom w:val="0"/>
      <w:divBdr>
        <w:top w:val="none" w:sz="0" w:space="0" w:color="auto"/>
        <w:left w:val="none" w:sz="0" w:space="0" w:color="auto"/>
        <w:bottom w:val="none" w:sz="0" w:space="0" w:color="auto"/>
        <w:right w:val="none" w:sz="0" w:space="0" w:color="auto"/>
      </w:divBdr>
    </w:div>
    <w:div w:id="1187251218">
      <w:bodyDiv w:val="1"/>
      <w:marLeft w:val="0"/>
      <w:marRight w:val="0"/>
      <w:marTop w:val="0"/>
      <w:marBottom w:val="0"/>
      <w:divBdr>
        <w:top w:val="none" w:sz="0" w:space="0" w:color="auto"/>
        <w:left w:val="none" w:sz="0" w:space="0" w:color="auto"/>
        <w:bottom w:val="none" w:sz="0" w:space="0" w:color="auto"/>
        <w:right w:val="none" w:sz="0" w:space="0" w:color="auto"/>
      </w:divBdr>
    </w:div>
    <w:div w:id="124965255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61472485">
      <w:bodyDiv w:val="1"/>
      <w:marLeft w:val="0"/>
      <w:marRight w:val="0"/>
      <w:marTop w:val="0"/>
      <w:marBottom w:val="0"/>
      <w:divBdr>
        <w:top w:val="none" w:sz="0" w:space="0" w:color="auto"/>
        <w:left w:val="none" w:sz="0" w:space="0" w:color="auto"/>
        <w:bottom w:val="none" w:sz="0" w:space="0" w:color="auto"/>
        <w:right w:val="none" w:sz="0" w:space="0" w:color="auto"/>
      </w:divBdr>
    </w:div>
    <w:div w:id="141520576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7822297">
      <w:bodyDiv w:val="1"/>
      <w:marLeft w:val="0"/>
      <w:marRight w:val="0"/>
      <w:marTop w:val="0"/>
      <w:marBottom w:val="0"/>
      <w:divBdr>
        <w:top w:val="none" w:sz="0" w:space="0" w:color="auto"/>
        <w:left w:val="none" w:sz="0" w:space="0" w:color="auto"/>
        <w:bottom w:val="none" w:sz="0" w:space="0" w:color="auto"/>
        <w:right w:val="none" w:sz="0" w:space="0" w:color="auto"/>
      </w:divBdr>
    </w:div>
    <w:div w:id="1757705673">
      <w:bodyDiv w:val="1"/>
      <w:marLeft w:val="0"/>
      <w:marRight w:val="0"/>
      <w:marTop w:val="0"/>
      <w:marBottom w:val="0"/>
      <w:divBdr>
        <w:top w:val="none" w:sz="0" w:space="0" w:color="auto"/>
        <w:left w:val="none" w:sz="0" w:space="0" w:color="auto"/>
        <w:bottom w:val="none" w:sz="0" w:space="0" w:color="auto"/>
        <w:right w:val="none" w:sz="0" w:space="0" w:color="auto"/>
      </w:divBdr>
    </w:div>
    <w:div w:id="1820337743">
      <w:bodyDiv w:val="1"/>
      <w:marLeft w:val="0"/>
      <w:marRight w:val="0"/>
      <w:marTop w:val="0"/>
      <w:marBottom w:val="0"/>
      <w:divBdr>
        <w:top w:val="none" w:sz="0" w:space="0" w:color="auto"/>
        <w:left w:val="none" w:sz="0" w:space="0" w:color="auto"/>
        <w:bottom w:val="none" w:sz="0" w:space="0" w:color="auto"/>
        <w:right w:val="none" w:sz="0" w:space="0" w:color="auto"/>
      </w:divBdr>
    </w:div>
    <w:div w:id="1885605597">
      <w:bodyDiv w:val="1"/>
      <w:marLeft w:val="0"/>
      <w:marRight w:val="0"/>
      <w:marTop w:val="0"/>
      <w:marBottom w:val="0"/>
      <w:divBdr>
        <w:top w:val="none" w:sz="0" w:space="0" w:color="auto"/>
        <w:left w:val="none" w:sz="0" w:space="0" w:color="auto"/>
        <w:bottom w:val="none" w:sz="0" w:space="0" w:color="auto"/>
        <w:right w:val="none" w:sz="0" w:space="0" w:color="auto"/>
      </w:divBdr>
    </w:div>
    <w:div w:id="19033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757A4-8B40-4D19-B9E9-0FB53466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4916</Words>
  <Characters>35688</Characters>
  <Application>Microsoft Office Word</Application>
  <DocSecurity>0</DocSecurity>
  <Lines>297</Lines>
  <Paragraphs>81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par konceptuālo ziņojumu "Par ekonomisko lietu tiesas izveidi"</vt:lpstr>
      <vt:lpstr>MK noteikumu projekts "Ministru kabineta kārtības rullis"</vt:lpstr>
    </vt:vector>
  </TitlesOfParts>
  <Company>Tieslietu ministrija</Company>
  <LinksUpToDate>false</LinksUpToDate>
  <CharactersWithSpaces>40523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konceptuālo ziņojumu "Par ekonomisko lietu tiesas izveidi"</dc:title>
  <dc:subject>Izziņa</dc:subject>
  <dc:creator>Kristīne Miļevska</dc:creator>
  <cp:keywords/>
  <dc:description>67036813, Kristine.Milevska@tm.gov.lv</dc:description>
  <cp:lastModifiedBy>Lelde Stepanova</cp:lastModifiedBy>
  <cp:revision>4</cp:revision>
  <cp:lastPrinted>2019-06-10T13:47:00Z</cp:lastPrinted>
  <dcterms:created xsi:type="dcterms:W3CDTF">2019-06-19T08:08:00Z</dcterms:created>
  <dcterms:modified xsi:type="dcterms:W3CDTF">2019-06-19T08:33:00Z</dcterms:modified>
</cp:coreProperties>
</file>