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A754D" w14:textId="4DF5AEE4" w:rsidR="00551014" w:rsidRDefault="00A653AF">
      <w:pPr>
        <w:spacing w:after="0" w:line="240" w:lineRule="auto"/>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Ministru kabineta noteikumu projekta “Atkritumu un to pārvadājumu uzskaites kārtība” sākotnējās ietekmes novērtējuma ziņojums (anotācija)</w:t>
      </w:r>
    </w:p>
    <w:p w14:paraId="7482FB70" w14:textId="77777777" w:rsidR="00551014" w:rsidRDefault="00551014">
      <w:pPr>
        <w:spacing w:after="0" w:line="240" w:lineRule="auto"/>
        <w:jc w:val="center"/>
        <w:rPr>
          <w:rFonts w:ascii="Times New Roman" w:eastAsia="Times New Roman" w:hAnsi="Times New Roman" w:cs="Times New Roman"/>
          <w:b/>
          <w:color w:val="414142"/>
          <w:sz w:val="28"/>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689"/>
        <w:gridCol w:w="6499"/>
      </w:tblGrid>
      <w:tr w:rsidR="00551014" w14:paraId="51C8AF2A" w14:textId="77777777">
        <w:trPr>
          <w:trHeight w:val="1"/>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4EA2D" w14:textId="77777777" w:rsidR="00551014" w:rsidRPr="00EE5AFB" w:rsidRDefault="00A653AF">
            <w:pPr>
              <w:spacing w:after="0" w:line="240" w:lineRule="auto"/>
              <w:jc w:val="center"/>
              <w:rPr>
                <w:b/>
              </w:rPr>
            </w:pPr>
            <w:r w:rsidRPr="00EE5AFB">
              <w:rPr>
                <w:rFonts w:ascii="Times New Roman" w:eastAsia="Times New Roman" w:hAnsi="Times New Roman" w:cs="Times New Roman"/>
                <w:b/>
                <w:sz w:val="24"/>
              </w:rPr>
              <w:t>Tiesību akta projekta anotācijas kopsavilkums</w:t>
            </w:r>
          </w:p>
        </w:tc>
      </w:tr>
      <w:tr w:rsidR="00551014" w14:paraId="18957751" w14:textId="77777777">
        <w:trPr>
          <w:trHeight w:val="1"/>
        </w:trPr>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4D0E7" w14:textId="77777777" w:rsidR="00551014" w:rsidRDefault="00A653AF">
            <w:pPr>
              <w:spacing w:after="0" w:line="240" w:lineRule="auto"/>
              <w:jc w:val="center"/>
            </w:pPr>
            <w:r>
              <w:rPr>
                <w:rFonts w:ascii="Times New Roman" w:eastAsia="Times New Roman" w:hAnsi="Times New Roman" w:cs="Times New Roman"/>
                <w:sz w:val="24"/>
              </w:rPr>
              <w:t>Mērķis, risinājums un projekta spēkā stāšanās laiks</w:t>
            </w:r>
          </w:p>
        </w:tc>
        <w:tc>
          <w:tcPr>
            <w:tcW w:w="7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EDDF3" w14:textId="0B88D4AA" w:rsidR="00551014" w:rsidRPr="00331D33" w:rsidRDefault="00331D33">
            <w:pPr>
              <w:spacing w:after="0" w:line="240" w:lineRule="auto"/>
              <w:jc w:val="both"/>
              <w:rPr>
                <w:rFonts w:ascii="Times New Roman" w:eastAsia="Calibri" w:hAnsi="Times New Roman" w:cs="Times New Roman"/>
                <w:sz w:val="24"/>
                <w:szCs w:val="24"/>
              </w:rPr>
            </w:pPr>
            <w:r w:rsidRPr="00331D33">
              <w:rPr>
                <w:rFonts w:ascii="Times New Roman" w:eastAsia="Calibri" w:hAnsi="Times New Roman" w:cs="Times New Roman"/>
                <w:sz w:val="24"/>
                <w:szCs w:val="24"/>
              </w:rPr>
              <w:t xml:space="preserve">Nav attiecināms. </w:t>
            </w:r>
          </w:p>
        </w:tc>
      </w:tr>
    </w:tbl>
    <w:p w14:paraId="390F0F34" w14:textId="77777777" w:rsidR="00551014" w:rsidRDefault="00551014">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396"/>
        <w:gridCol w:w="1949"/>
        <w:gridCol w:w="5843"/>
      </w:tblGrid>
      <w:tr w:rsidR="00551014" w14:paraId="1F53422F" w14:textId="77777777">
        <w:trPr>
          <w:trHeight w:val="1"/>
        </w:trPr>
        <w:tc>
          <w:tcPr>
            <w:tcW w:w="92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72140" w14:textId="77777777" w:rsidR="00551014" w:rsidRDefault="00A653AF" w:rsidP="00EE5AFB">
            <w:pPr>
              <w:spacing w:after="0" w:line="240" w:lineRule="auto"/>
              <w:jc w:val="center"/>
            </w:pPr>
            <w:r>
              <w:rPr>
                <w:rFonts w:ascii="Times New Roman" w:eastAsia="Times New Roman" w:hAnsi="Times New Roman" w:cs="Times New Roman"/>
                <w:b/>
                <w:sz w:val="24"/>
              </w:rPr>
              <w:t>I. Tiesību akta projekta izstrādes nepieciešamība</w:t>
            </w:r>
          </w:p>
        </w:tc>
      </w:tr>
      <w:tr w:rsidR="00551014" w14:paraId="0EEF723F" w14:textId="77777777">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EC5D0" w14:textId="77777777" w:rsidR="00551014" w:rsidRDefault="00A653AF">
            <w:pPr>
              <w:spacing w:after="0" w:line="240" w:lineRule="auto"/>
            </w:pPr>
            <w:r>
              <w:rPr>
                <w:rFonts w:ascii="Times New Roman" w:eastAsia="Times New Roman" w:hAnsi="Times New Roman" w:cs="Times New Roman"/>
                <w:color w:val="414142"/>
                <w:sz w:val="24"/>
              </w:rPr>
              <w:t>1.</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79401" w14:textId="77777777" w:rsidR="00551014" w:rsidRDefault="00A653AF">
            <w:pPr>
              <w:spacing w:after="0" w:line="240" w:lineRule="auto"/>
            </w:pPr>
            <w:r>
              <w:rPr>
                <w:rFonts w:ascii="Times New Roman" w:eastAsia="Times New Roman" w:hAnsi="Times New Roman" w:cs="Times New Roman"/>
                <w:sz w:val="24"/>
              </w:rPr>
              <w:t>Pamatojums</w:t>
            </w:r>
          </w:p>
        </w:tc>
        <w:tc>
          <w:tcPr>
            <w:tcW w:w="7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C33A" w14:textId="77777777" w:rsidR="00551014" w:rsidRDefault="00A653AF">
            <w:pPr>
              <w:spacing w:after="0" w:line="240" w:lineRule="auto"/>
              <w:jc w:val="both"/>
            </w:pPr>
            <w:r>
              <w:rPr>
                <w:rFonts w:ascii="Times New Roman" w:eastAsia="Times New Roman" w:hAnsi="Times New Roman" w:cs="Times New Roman"/>
                <w:sz w:val="24"/>
              </w:rPr>
              <w:t>Atkritumu apsaimniekošanas likuma (turpmāk - AAL) 17. panta piektā, sestā, devītā un desmitā daļa, 17.</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panta otrā daļas 1., 2., 3. un 4. punkts, 23. panta piektās daļas 1., 2., 3.un 4. punkts, un 42. panta 11.un 12. daļa.</w:t>
            </w:r>
          </w:p>
        </w:tc>
      </w:tr>
      <w:tr w:rsidR="00551014" w14:paraId="32D713A4" w14:textId="77777777">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E9D20" w14:textId="77777777" w:rsidR="00551014" w:rsidRDefault="00A653AF">
            <w:pPr>
              <w:spacing w:after="0" w:line="240" w:lineRule="auto"/>
              <w:jc w:val="both"/>
            </w:pPr>
            <w:r>
              <w:rPr>
                <w:rFonts w:ascii="Times New Roman" w:eastAsia="Times New Roman" w:hAnsi="Times New Roman" w:cs="Times New Roman"/>
                <w:sz w:val="24"/>
              </w:rPr>
              <w:t>2.</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E9DFB" w14:textId="77777777" w:rsidR="00551014" w:rsidRDefault="00A653AF">
            <w:pPr>
              <w:spacing w:after="0" w:line="240" w:lineRule="auto"/>
              <w:jc w:val="both"/>
            </w:pPr>
            <w:r>
              <w:rPr>
                <w:rFonts w:ascii="Times New Roman" w:eastAsia="Times New Roman" w:hAnsi="Times New Roman" w:cs="Times New Roman"/>
                <w:sz w:val="24"/>
              </w:rPr>
              <w:t>Pašreizējā situācija un problēmas, kuru risināšanai tiesību akta projekts izstrādāts, tiesiskā regulējuma mērķis un būtība</w:t>
            </w:r>
          </w:p>
        </w:tc>
        <w:tc>
          <w:tcPr>
            <w:tcW w:w="7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F795B" w14:textId="496A769E" w:rsidR="00551014" w:rsidRPr="004B473F" w:rsidRDefault="00AB7479">
            <w:pPr>
              <w:spacing w:before="75" w:after="75" w:line="240" w:lineRule="auto"/>
              <w:ind w:left="72"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Ministru kabineta noteikumu projekts “Atkritumu un to pārvadājumu uzskaites kārtība” (turpmāk </w:t>
            </w:r>
            <w:r>
              <w:rPr>
                <w:rFonts w:ascii="Times New Roman" w:eastAsia="Times New Roman" w:hAnsi="Times New Roman" w:cs="Times New Roman"/>
                <w:sz w:val="24"/>
                <w:szCs w:val="24"/>
              </w:rPr>
              <w:noBreakHyphen/>
              <w:t xml:space="preserve"> </w:t>
            </w:r>
            <w:r w:rsidR="00A653AF" w:rsidRPr="004B473F">
              <w:rPr>
                <w:rFonts w:ascii="Times New Roman" w:eastAsia="Times New Roman" w:hAnsi="Times New Roman" w:cs="Times New Roman"/>
                <w:sz w:val="24"/>
                <w:szCs w:val="24"/>
              </w:rPr>
              <w:t>Noteikumu projekt</w:t>
            </w:r>
            <w:r>
              <w:rPr>
                <w:rFonts w:ascii="Times New Roman" w:eastAsia="Times New Roman" w:hAnsi="Times New Roman" w:cs="Times New Roman"/>
                <w:sz w:val="24"/>
                <w:szCs w:val="24"/>
              </w:rPr>
              <w:t>s) izstrādāts</w:t>
            </w:r>
            <w:r w:rsidR="00875D7E">
              <w:rPr>
                <w:rFonts w:ascii="Times New Roman" w:eastAsia="Times New Roman" w:hAnsi="Times New Roman" w:cs="Times New Roman"/>
                <w:sz w:val="24"/>
                <w:szCs w:val="24"/>
              </w:rPr>
              <w:t>, lai</w:t>
            </w:r>
            <w:r>
              <w:rPr>
                <w:rFonts w:ascii="Times New Roman" w:eastAsia="Times New Roman" w:hAnsi="Times New Roman" w:cs="Times New Roman"/>
                <w:sz w:val="24"/>
                <w:szCs w:val="24"/>
              </w:rPr>
              <w:t xml:space="preserve"> </w:t>
            </w:r>
            <w:r w:rsidR="00A653AF" w:rsidRPr="004B473F">
              <w:rPr>
                <w:rFonts w:ascii="Times New Roman" w:eastAsia="Times New Roman" w:hAnsi="Times New Roman" w:cs="Times New Roman"/>
                <w:sz w:val="24"/>
                <w:szCs w:val="24"/>
              </w:rPr>
              <w:t>mazināt</w:t>
            </w:r>
            <w:r w:rsidR="00875D7E">
              <w:rPr>
                <w:rFonts w:ascii="Times New Roman" w:eastAsia="Times New Roman" w:hAnsi="Times New Roman" w:cs="Times New Roman"/>
                <w:sz w:val="24"/>
                <w:szCs w:val="24"/>
              </w:rPr>
              <w:t>u</w:t>
            </w:r>
            <w:r w:rsidR="00A653AF" w:rsidRPr="004B473F">
              <w:rPr>
                <w:rFonts w:ascii="Times New Roman" w:eastAsia="Times New Roman" w:hAnsi="Times New Roman" w:cs="Times New Roman"/>
                <w:sz w:val="24"/>
                <w:szCs w:val="24"/>
              </w:rPr>
              <w:t xml:space="preserve"> normatīvo aktu skaitu, </w:t>
            </w:r>
            <w:r>
              <w:rPr>
                <w:rFonts w:ascii="Times New Roman" w:eastAsia="Times New Roman" w:hAnsi="Times New Roman" w:cs="Times New Roman"/>
                <w:sz w:val="24"/>
                <w:szCs w:val="24"/>
              </w:rPr>
              <w:t xml:space="preserve">konsolidējot un aktualizējot spēkā esošo regulējumu, ko noteic </w:t>
            </w:r>
            <w:r w:rsidR="00A653AF" w:rsidRPr="004B473F">
              <w:rPr>
                <w:rFonts w:ascii="Times New Roman" w:eastAsia="Times New Roman" w:hAnsi="Times New Roman" w:cs="Times New Roman"/>
                <w:sz w:val="24"/>
                <w:szCs w:val="24"/>
              </w:rPr>
              <w:t>Ministru kabineta 2014.</w:t>
            </w:r>
            <w:r w:rsidR="004B473F">
              <w:rPr>
                <w:rFonts w:ascii="Times New Roman" w:eastAsia="Times New Roman" w:hAnsi="Times New Roman" w:cs="Times New Roman"/>
                <w:sz w:val="24"/>
                <w:szCs w:val="24"/>
              </w:rPr>
              <w:t> gada </w:t>
            </w:r>
            <w:r w:rsidR="00A653AF" w:rsidRPr="004B473F">
              <w:rPr>
                <w:rFonts w:ascii="Times New Roman" w:eastAsia="Times New Roman" w:hAnsi="Times New Roman" w:cs="Times New Roman"/>
                <w:sz w:val="24"/>
                <w:szCs w:val="24"/>
              </w:rPr>
              <w:t>15.</w:t>
            </w:r>
            <w:r w:rsidR="004B473F">
              <w:rPr>
                <w:rFonts w:ascii="Times New Roman" w:eastAsia="Times New Roman" w:hAnsi="Times New Roman" w:cs="Times New Roman"/>
                <w:sz w:val="24"/>
                <w:szCs w:val="24"/>
              </w:rPr>
              <w:t> aprīļa noteikum</w:t>
            </w:r>
            <w:r>
              <w:rPr>
                <w:rFonts w:ascii="Times New Roman" w:eastAsia="Times New Roman" w:hAnsi="Times New Roman" w:cs="Times New Roman"/>
                <w:sz w:val="24"/>
                <w:szCs w:val="24"/>
              </w:rPr>
              <w:t>i</w:t>
            </w:r>
            <w:r w:rsidR="004B473F">
              <w:rPr>
                <w:rFonts w:ascii="Times New Roman" w:eastAsia="Times New Roman" w:hAnsi="Times New Roman" w:cs="Times New Roman"/>
                <w:sz w:val="24"/>
                <w:szCs w:val="24"/>
              </w:rPr>
              <w:t xml:space="preserve"> Nr. 199 “</w:t>
            </w:r>
            <w:r w:rsidR="00A653AF" w:rsidRPr="004B473F">
              <w:rPr>
                <w:rFonts w:ascii="Times New Roman" w:eastAsia="Times New Roman" w:hAnsi="Times New Roman" w:cs="Times New Roman"/>
                <w:sz w:val="24"/>
                <w:szCs w:val="24"/>
              </w:rPr>
              <w:t>Būvniecībā radušos atkritumu un t</w:t>
            </w:r>
            <w:r w:rsidR="004B473F">
              <w:rPr>
                <w:rFonts w:ascii="Times New Roman" w:eastAsia="Times New Roman" w:hAnsi="Times New Roman" w:cs="Times New Roman"/>
                <w:sz w:val="24"/>
                <w:szCs w:val="24"/>
              </w:rPr>
              <w:t>o pārvadājumu uzskaites kārtība” (turpmāk – MK noteikumi Nr. </w:t>
            </w:r>
            <w:r w:rsidR="00A653AF" w:rsidRPr="004B473F">
              <w:rPr>
                <w:rFonts w:ascii="Times New Roman" w:eastAsia="Times New Roman" w:hAnsi="Times New Roman" w:cs="Times New Roman"/>
                <w:sz w:val="24"/>
                <w:szCs w:val="24"/>
              </w:rPr>
              <w:t xml:space="preserve">199) </w:t>
            </w:r>
            <w:r>
              <w:rPr>
                <w:rFonts w:ascii="Times New Roman" w:eastAsia="Times New Roman" w:hAnsi="Times New Roman" w:cs="Times New Roman"/>
                <w:sz w:val="24"/>
                <w:szCs w:val="24"/>
              </w:rPr>
              <w:t>un</w:t>
            </w:r>
            <w:r w:rsidR="00A653AF" w:rsidRPr="004B473F">
              <w:rPr>
                <w:rFonts w:ascii="Times New Roman" w:eastAsia="Times New Roman" w:hAnsi="Times New Roman" w:cs="Times New Roman"/>
                <w:sz w:val="24"/>
                <w:szCs w:val="24"/>
              </w:rPr>
              <w:t xml:space="preserve"> Ministru kabineta 2018.</w:t>
            </w:r>
            <w:r>
              <w:t> </w:t>
            </w:r>
            <w:r w:rsidR="00A653AF" w:rsidRPr="004B473F">
              <w:rPr>
                <w:rFonts w:ascii="Times New Roman" w:eastAsia="Times New Roman" w:hAnsi="Times New Roman" w:cs="Times New Roman"/>
                <w:sz w:val="24"/>
                <w:szCs w:val="24"/>
              </w:rPr>
              <w:t xml:space="preserve">gada </w:t>
            </w:r>
            <w:r w:rsidR="004B473F">
              <w:rPr>
                <w:rFonts w:ascii="Times New Roman" w:eastAsia="Times New Roman" w:hAnsi="Times New Roman" w:cs="Times New Roman"/>
                <w:sz w:val="24"/>
                <w:szCs w:val="24"/>
              </w:rPr>
              <w:t>7. augusta noteikumiem Nr. 494 “</w:t>
            </w:r>
            <w:r w:rsidR="00A653AF" w:rsidRPr="004B473F">
              <w:rPr>
                <w:rFonts w:ascii="Times New Roman" w:eastAsia="Times New Roman" w:hAnsi="Times New Roman" w:cs="Times New Roman"/>
                <w:sz w:val="24"/>
                <w:szCs w:val="24"/>
              </w:rPr>
              <w:t>Atkritum</w:t>
            </w:r>
            <w:r w:rsidR="004B473F">
              <w:rPr>
                <w:rFonts w:ascii="Times New Roman" w:eastAsia="Times New Roman" w:hAnsi="Times New Roman" w:cs="Times New Roman"/>
                <w:sz w:val="24"/>
                <w:szCs w:val="24"/>
              </w:rPr>
              <w:t>u pārvadājumu uzskaites kārtība” (turpmāk –</w:t>
            </w:r>
            <w:r w:rsidR="00A653AF" w:rsidRPr="004B473F">
              <w:rPr>
                <w:rFonts w:ascii="Times New Roman" w:eastAsia="Times New Roman" w:hAnsi="Times New Roman" w:cs="Times New Roman"/>
                <w:sz w:val="24"/>
                <w:szCs w:val="24"/>
              </w:rPr>
              <w:t xml:space="preserve"> MK noteikumi Nr. 494).</w:t>
            </w:r>
          </w:p>
          <w:p w14:paraId="50BF635C" w14:textId="1FDBCECE" w:rsidR="004B473F" w:rsidRDefault="00A653AF">
            <w:pPr>
              <w:spacing w:before="75" w:after="75" w:line="240" w:lineRule="auto"/>
              <w:ind w:left="72" w:right="72"/>
              <w:jc w:val="both"/>
              <w:rPr>
                <w:rFonts w:ascii="Times New Roman" w:eastAsia="Times New Roman" w:hAnsi="Times New Roman" w:cs="Times New Roman"/>
                <w:sz w:val="24"/>
                <w:szCs w:val="24"/>
              </w:rPr>
            </w:pPr>
            <w:r w:rsidRPr="004B473F">
              <w:rPr>
                <w:rFonts w:ascii="Times New Roman" w:eastAsia="Times New Roman" w:hAnsi="Times New Roman" w:cs="Times New Roman"/>
                <w:sz w:val="24"/>
                <w:szCs w:val="24"/>
              </w:rPr>
              <w:t>Sas</w:t>
            </w:r>
            <w:r w:rsidR="004B473F">
              <w:rPr>
                <w:rFonts w:ascii="Times New Roman" w:eastAsia="Times New Roman" w:hAnsi="Times New Roman" w:cs="Times New Roman"/>
                <w:sz w:val="24"/>
                <w:szCs w:val="24"/>
              </w:rPr>
              <w:t>kaņā ar Anotācijas I sadaļas 1. </w:t>
            </w:r>
            <w:r w:rsidRPr="004B473F">
              <w:rPr>
                <w:rFonts w:ascii="Times New Roman" w:eastAsia="Times New Roman" w:hAnsi="Times New Roman" w:cs="Times New Roman"/>
                <w:sz w:val="24"/>
                <w:szCs w:val="24"/>
              </w:rPr>
              <w:t>punktā minētajiem Atkritumu apsaimniekošanas likuma nosacījumiem VARAM jānodrošina atkritumu pārvadājumu valsts uzskaites sistēmas dar</w:t>
            </w:r>
            <w:r w:rsidR="004B473F">
              <w:rPr>
                <w:rFonts w:ascii="Times New Roman" w:eastAsia="Times New Roman" w:hAnsi="Times New Roman" w:cs="Times New Roman"/>
                <w:sz w:val="24"/>
                <w:szCs w:val="24"/>
              </w:rPr>
              <w:t>b</w:t>
            </w:r>
            <w:r w:rsidRPr="004B473F">
              <w:rPr>
                <w:rFonts w:ascii="Times New Roman" w:eastAsia="Times New Roman" w:hAnsi="Times New Roman" w:cs="Times New Roman"/>
                <w:sz w:val="24"/>
                <w:szCs w:val="24"/>
              </w:rPr>
              <w:t>ība, lai atkritumu apsaimniekošanas komersanti reģistrētu sistēmā visu veidu (sadzīves, ražošanas, būvniecības un bīstamo) atkritumu pārvadājumus. Ievērojot, ka hronoloģiski pirmais deleģē</w:t>
            </w:r>
            <w:r w:rsidR="004B473F">
              <w:rPr>
                <w:rFonts w:ascii="Times New Roman" w:eastAsia="Times New Roman" w:hAnsi="Times New Roman" w:cs="Times New Roman"/>
                <w:sz w:val="24"/>
                <w:szCs w:val="24"/>
              </w:rPr>
              <w:t>jums izveidot pārvadājumu uzskaites sistēmu</w:t>
            </w:r>
            <w:r w:rsidRPr="004B473F">
              <w:rPr>
                <w:rFonts w:ascii="Times New Roman" w:eastAsia="Times New Roman" w:hAnsi="Times New Roman" w:cs="Times New Roman"/>
                <w:sz w:val="24"/>
                <w:szCs w:val="24"/>
              </w:rPr>
              <w:t xml:space="preserve"> bija tikai būvniecības a</w:t>
            </w:r>
            <w:r w:rsidR="004B473F">
              <w:rPr>
                <w:rFonts w:ascii="Times New Roman" w:eastAsia="Times New Roman" w:hAnsi="Times New Roman" w:cs="Times New Roman"/>
                <w:sz w:val="24"/>
                <w:szCs w:val="24"/>
              </w:rPr>
              <w:t>tkritumiem (grozījumi AAL, kas stājušies spēkā 2014. gada 1. janvārī), tad sākotnēji 2014. </w:t>
            </w:r>
            <w:r w:rsidRPr="004B473F">
              <w:rPr>
                <w:rFonts w:ascii="Times New Roman" w:eastAsia="Times New Roman" w:hAnsi="Times New Roman" w:cs="Times New Roman"/>
                <w:sz w:val="24"/>
                <w:szCs w:val="24"/>
              </w:rPr>
              <w:t>gadā tika izveidota Būvniecībā radušos atkritumu pārvadājumu val</w:t>
            </w:r>
            <w:r w:rsidR="004B473F">
              <w:rPr>
                <w:rFonts w:ascii="Times New Roman" w:eastAsia="Times New Roman" w:hAnsi="Times New Roman" w:cs="Times New Roman"/>
                <w:sz w:val="24"/>
                <w:szCs w:val="24"/>
              </w:rPr>
              <w:t>sts uzskaites sistēma (turpmāk –</w:t>
            </w:r>
            <w:r w:rsidRPr="004B473F">
              <w:rPr>
                <w:rFonts w:ascii="Times New Roman" w:eastAsia="Times New Roman" w:hAnsi="Times New Roman" w:cs="Times New Roman"/>
                <w:sz w:val="24"/>
                <w:szCs w:val="24"/>
              </w:rPr>
              <w:t xml:space="preserve"> BRAPUS). BRAPUS darbīb</w:t>
            </w:r>
            <w:r w:rsidR="00CC2039">
              <w:rPr>
                <w:rFonts w:ascii="Times New Roman" w:eastAsia="Times New Roman" w:hAnsi="Times New Roman" w:cs="Times New Roman"/>
                <w:sz w:val="24"/>
                <w:szCs w:val="24"/>
              </w:rPr>
              <w:t>u regulē</w:t>
            </w:r>
            <w:r w:rsidR="004B473F">
              <w:rPr>
                <w:rFonts w:ascii="Times New Roman" w:eastAsia="Times New Roman" w:hAnsi="Times New Roman" w:cs="Times New Roman"/>
                <w:sz w:val="24"/>
                <w:szCs w:val="24"/>
              </w:rPr>
              <w:t xml:space="preserve"> MK noteikumi Nr. 199.</w:t>
            </w:r>
          </w:p>
          <w:p w14:paraId="5953AF51" w14:textId="77777777" w:rsidR="00551014" w:rsidRPr="004B473F" w:rsidRDefault="004B473F">
            <w:pPr>
              <w:spacing w:before="75" w:after="75" w:line="240" w:lineRule="auto"/>
              <w:ind w:left="72"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Savukārt 2018. gada 1. </w:t>
            </w:r>
            <w:r w:rsidR="00A653AF" w:rsidRPr="004B473F">
              <w:rPr>
                <w:rFonts w:ascii="Times New Roman" w:eastAsia="Times New Roman" w:hAnsi="Times New Roman" w:cs="Times New Roman"/>
                <w:sz w:val="24"/>
                <w:szCs w:val="24"/>
              </w:rPr>
              <w:t xml:space="preserve">janvārī stājās spēkā AAL </w:t>
            </w:r>
            <w:r>
              <w:rPr>
                <w:rFonts w:ascii="Times New Roman" w:eastAsia="Times New Roman" w:hAnsi="Times New Roman" w:cs="Times New Roman"/>
                <w:sz w:val="24"/>
                <w:szCs w:val="24"/>
              </w:rPr>
              <w:t>grozījumi par deleģējumu</w:t>
            </w:r>
            <w:r w:rsidR="00A653AF" w:rsidRPr="004B473F">
              <w:rPr>
                <w:rFonts w:ascii="Times New Roman" w:eastAsia="Times New Roman" w:hAnsi="Times New Roman" w:cs="Times New Roman"/>
                <w:sz w:val="24"/>
                <w:szCs w:val="24"/>
              </w:rPr>
              <w:t xml:space="preserve"> VARAM nodrošināt sadzīves, ražošanas un bīstamo atkritumu pārvadājumu uzskaiti, tādēļ t</w:t>
            </w:r>
            <w:r>
              <w:rPr>
                <w:rFonts w:ascii="Times New Roman" w:eastAsia="Times New Roman" w:hAnsi="Times New Roman" w:cs="Times New Roman"/>
                <w:sz w:val="24"/>
                <w:szCs w:val="24"/>
              </w:rPr>
              <w:t>ika izstrādāti MK noteikumi Nr. </w:t>
            </w:r>
            <w:r w:rsidR="00A653AF" w:rsidRPr="004B473F">
              <w:rPr>
                <w:rFonts w:ascii="Times New Roman" w:eastAsia="Times New Roman" w:hAnsi="Times New Roman" w:cs="Times New Roman"/>
                <w:sz w:val="24"/>
                <w:szCs w:val="24"/>
              </w:rPr>
              <w:t>494 un Atkritumu pārvadājumu val</w:t>
            </w:r>
            <w:r>
              <w:rPr>
                <w:rFonts w:ascii="Times New Roman" w:eastAsia="Times New Roman" w:hAnsi="Times New Roman" w:cs="Times New Roman"/>
                <w:sz w:val="24"/>
                <w:szCs w:val="24"/>
              </w:rPr>
              <w:t>sts uzskaites sistēma (turpmāk –</w:t>
            </w:r>
            <w:r w:rsidR="00A653AF" w:rsidRPr="004B473F">
              <w:rPr>
                <w:rFonts w:ascii="Times New Roman" w:eastAsia="Times New Roman" w:hAnsi="Times New Roman" w:cs="Times New Roman"/>
                <w:sz w:val="24"/>
                <w:szCs w:val="24"/>
              </w:rPr>
              <w:t xml:space="preserve"> APUS).</w:t>
            </w:r>
          </w:p>
          <w:p w14:paraId="7A7989AB" w14:textId="0671A55F" w:rsidR="004B473F" w:rsidRDefault="00A653AF">
            <w:pPr>
              <w:spacing w:before="75" w:after="75" w:line="240" w:lineRule="auto"/>
              <w:ind w:left="72" w:right="72"/>
              <w:jc w:val="both"/>
              <w:rPr>
                <w:rFonts w:ascii="Times New Roman" w:eastAsia="Times New Roman" w:hAnsi="Times New Roman" w:cs="Times New Roman"/>
                <w:sz w:val="24"/>
                <w:szCs w:val="24"/>
              </w:rPr>
            </w:pPr>
            <w:r w:rsidRPr="004B473F">
              <w:rPr>
                <w:rFonts w:ascii="Times New Roman" w:eastAsia="Times New Roman" w:hAnsi="Times New Roman" w:cs="Times New Roman"/>
                <w:sz w:val="24"/>
                <w:szCs w:val="24"/>
              </w:rPr>
              <w:t>2019.</w:t>
            </w:r>
            <w:r w:rsidR="00CC2039">
              <w:rPr>
                <w:rFonts w:ascii="Times New Roman" w:eastAsia="Times New Roman" w:hAnsi="Times New Roman" w:cs="Times New Roman"/>
                <w:sz w:val="24"/>
                <w:szCs w:val="24"/>
              </w:rPr>
              <w:t> </w:t>
            </w:r>
            <w:r w:rsidRPr="004B473F">
              <w:rPr>
                <w:rFonts w:ascii="Times New Roman" w:eastAsia="Times New Roman" w:hAnsi="Times New Roman" w:cs="Times New Roman"/>
                <w:sz w:val="24"/>
                <w:szCs w:val="24"/>
              </w:rPr>
              <w:t xml:space="preserve">gadā pēc VARAM iniciatīvas tika uzsākts darbs, lai abas minētās sistēmas apvienotu, tādējādi </w:t>
            </w:r>
            <w:r w:rsidR="00FB7864">
              <w:rPr>
                <w:rFonts w:ascii="Times New Roman" w:eastAsia="Times New Roman" w:hAnsi="Times New Roman" w:cs="Times New Roman"/>
                <w:sz w:val="24"/>
                <w:szCs w:val="24"/>
              </w:rPr>
              <w:t xml:space="preserve">izveidojot Apvienoto atkritumu pārvadājumu uzskaites sistēmu </w:t>
            </w:r>
            <w:r w:rsidR="00FB7864">
              <w:rPr>
                <w:rFonts w:ascii="Times New Roman" w:eastAsia="Times New Roman" w:hAnsi="Times New Roman" w:cs="Times New Roman"/>
                <w:sz w:val="24"/>
                <w:szCs w:val="24"/>
              </w:rPr>
              <w:lastRenderedPageBreak/>
              <w:t xml:space="preserve">(turpmāk – Sistēma) un </w:t>
            </w:r>
            <w:r w:rsidRPr="004B473F">
              <w:rPr>
                <w:rFonts w:ascii="Times New Roman" w:eastAsia="Times New Roman" w:hAnsi="Times New Roman" w:cs="Times New Roman"/>
                <w:sz w:val="24"/>
                <w:szCs w:val="24"/>
              </w:rPr>
              <w:t>m</w:t>
            </w:r>
            <w:r w:rsidR="004B473F">
              <w:rPr>
                <w:rFonts w:ascii="Times New Roman" w:eastAsia="Times New Roman" w:hAnsi="Times New Roman" w:cs="Times New Roman"/>
                <w:sz w:val="24"/>
                <w:szCs w:val="24"/>
              </w:rPr>
              <w:t xml:space="preserve">azinot administratīvo slogu </w:t>
            </w:r>
            <w:r w:rsidRPr="004B473F">
              <w:rPr>
                <w:rFonts w:ascii="Times New Roman" w:eastAsia="Times New Roman" w:hAnsi="Times New Roman" w:cs="Times New Roman"/>
                <w:sz w:val="24"/>
                <w:szCs w:val="24"/>
              </w:rPr>
              <w:t>atkritum</w:t>
            </w:r>
            <w:r w:rsidR="004B473F">
              <w:rPr>
                <w:rFonts w:ascii="Times New Roman" w:eastAsia="Times New Roman" w:hAnsi="Times New Roman" w:cs="Times New Roman"/>
                <w:sz w:val="24"/>
                <w:szCs w:val="24"/>
              </w:rPr>
              <w:t>u apsaimniekošanas komersantiem</w:t>
            </w:r>
            <w:r w:rsidRPr="004B473F">
              <w:rPr>
                <w:rFonts w:ascii="Times New Roman" w:eastAsia="Times New Roman" w:hAnsi="Times New Roman" w:cs="Times New Roman"/>
                <w:sz w:val="24"/>
                <w:szCs w:val="24"/>
              </w:rPr>
              <w:t xml:space="preserve">. </w:t>
            </w:r>
          </w:p>
          <w:p w14:paraId="23A35DC2" w14:textId="6F6389B5" w:rsidR="00551014" w:rsidRDefault="00A653AF">
            <w:pPr>
              <w:spacing w:before="75" w:after="75" w:line="240" w:lineRule="auto"/>
              <w:ind w:left="72" w:right="72"/>
              <w:jc w:val="both"/>
              <w:rPr>
                <w:rFonts w:ascii="Times New Roman" w:eastAsia="Times New Roman" w:hAnsi="Times New Roman" w:cs="Times New Roman"/>
                <w:sz w:val="24"/>
                <w:szCs w:val="24"/>
              </w:rPr>
            </w:pPr>
            <w:r w:rsidRPr="004B473F">
              <w:rPr>
                <w:rFonts w:ascii="Times New Roman" w:eastAsia="Times New Roman" w:hAnsi="Times New Roman" w:cs="Times New Roman"/>
                <w:sz w:val="24"/>
                <w:szCs w:val="24"/>
              </w:rPr>
              <w:t xml:space="preserve">Papildus minētajam plānots, ka atkritumu pārvadājumu uzskaites sistēmu apvienošanas rezultātā uzlabosies atkritumu pārvadājumu kontrole, atkritumu apsaimniekošanas komersantiem tiks atvieglota atkritumu pārvadājumu reģistrācija, jo daļai komersantu divu sistēmu vietā būs jālieto viena, ka arī tiks izveidota apvienotās sistēmas sasaiste ar Valsts vides dienesta </w:t>
            </w:r>
            <w:r w:rsidR="00022CDE">
              <w:rPr>
                <w:rFonts w:ascii="Times New Roman" w:eastAsia="Times New Roman" w:hAnsi="Times New Roman" w:cs="Times New Roman"/>
                <w:sz w:val="24"/>
                <w:szCs w:val="24"/>
              </w:rPr>
              <w:t xml:space="preserve">(turpmāk – VVD) </w:t>
            </w:r>
            <w:r w:rsidRPr="004B473F">
              <w:rPr>
                <w:rFonts w:ascii="Times New Roman" w:eastAsia="Times New Roman" w:hAnsi="Times New Roman" w:cs="Times New Roman"/>
                <w:sz w:val="24"/>
                <w:szCs w:val="24"/>
              </w:rPr>
              <w:t xml:space="preserve">informācijas sistēmām. </w:t>
            </w:r>
          </w:p>
          <w:p w14:paraId="4D50A009" w14:textId="4381327D" w:rsidR="004B473F" w:rsidRPr="004B473F" w:rsidRDefault="004B473F" w:rsidP="004B473F">
            <w:pPr>
              <w:spacing w:before="75" w:after="75" w:line="240" w:lineRule="auto"/>
              <w:ind w:left="72" w:right="72"/>
              <w:jc w:val="both"/>
              <w:rPr>
                <w:rFonts w:ascii="Times New Roman" w:eastAsia="Times New Roman" w:hAnsi="Times New Roman" w:cs="Times New Roman"/>
                <w:sz w:val="24"/>
                <w:szCs w:val="24"/>
              </w:rPr>
            </w:pPr>
            <w:r w:rsidRPr="004B473F">
              <w:rPr>
                <w:rFonts w:ascii="Times New Roman" w:eastAsia="Times New Roman" w:hAnsi="Times New Roman" w:cs="Times New Roman"/>
                <w:sz w:val="24"/>
                <w:szCs w:val="24"/>
              </w:rPr>
              <w:t>Plānots, ka apvienotā atkritumu pārvadājumu valsts uzskaites sistēma uzsāks darbu ekspluatācijas vidē un būs pieejama atkritumu apsaimniekošanas komersantiem 2019.</w:t>
            </w:r>
            <w:r w:rsidR="009163CB">
              <w:rPr>
                <w:rFonts w:ascii="Times New Roman" w:eastAsia="Times New Roman" w:hAnsi="Times New Roman" w:cs="Times New Roman"/>
                <w:sz w:val="24"/>
                <w:szCs w:val="24"/>
              </w:rPr>
              <w:t> </w:t>
            </w:r>
            <w:r w:rsidRPr="004B473F">
              <w:rPr>
                <w:rFonts w:ascii="Times New Roman" w:eastAsia="Times New Roman" w:hAnsi="Times New Roman" w:cs="Times New Roman"/>
                <w:sz w:val="24"/>
                <w:szCs w:val="24"/>
              </w:rPr>
              <w:t>gada 1.</w:t>
            </w:r>
            <w:r w:rsidR="009163CB">
              <w:rPr>
                <w:rFonts w:ascii="Times New Roman" w:eastAsia="Times New Roman" w:hAnsi="Times New Roman" w:cs="Times New Roman"/>
                <w:sz w:val="24"/>
                <w:szCs w:val="24"/>
              </w:rPr>
              <w:t> </w:t>
            </w:r>
            <w:r w:rsidRPr="004B473F">
              <w:rPr>
                <w:rFonts w:ascii="Times New Roman" w:eastAsia="Times New Roman" w:hAnsi="Times New Roman" w:cs="Times New Roman"/>
                <w:sz w:val="24"/>
                <w:szCs w:val="24"/>
              </w:rPr>
              <w:t>oktobrī.</w:t>
            </w:r>
            <w:r>
              <w:rPr>
                <w:rFonts w:ascii="Times New Roman" w:eastAsia="Times New Roman" w:hAnsi="Times New Roman" w:cs="Times New Roman"/>
                <w:sz w:val="24"/>
                <w:szCs w:val="24"/>
              </w:rPr>
              <w:t xml:space="preserve"> Apvienotās </w:t>
            </w:r>
            <w:r w:rsidR="00FB786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istēmas uzturētājs kā līdz šim būs </w:t>
            </w:r>
            <w:r w:rsidR="009163CB">
              <w:rPr>
                <w:rFonts w:ascii="Times New Roman" w:eastAsia="Times New Roman" w:hAnsi="Times New Roman" w:cs="Times New Roman"/>
                <w:sz w:val="24"/>
                <w:szCs w:val="24"/>
              </w:rPr>
              <w:t xml:space="preserve">valsts sabiedrība ar ierobežotu atbildību </w:t>
            </w:r>
            <w:r>
              <w:rPr>
                <w:rFonts w:ascii="Times New Roman" w:eastAsia="Times New Roman" w:hAnsi="Times New Roman" w:cs="Times New Roman"/>
                <w:sz w:val="24"/>
                <w:szCs w:val="24"/>
              </w:rPr>
              <w:t xml:space="preserve">“Latvijas Vides, ģeoloģijas un meteoroloģijas centrs”, </w:t>
            </w:r>
            <w:r w:rsidR="009163CB">
              <w:rPr>
                <w:rFonts w:ascii="Times New Roman" w:eastAsia="Times New Roman" w:hAnsi="Times New Roman" w:cs="Times New Roman"/>
                <w:sz w:val="24"/>
                <w:szCs w:val="24"/>
              </w:rPr>
              <w:t xml:space="preserve">ar kuru sistēmas lietotāji un atkritumu apsaimniekošanas komersanti </w:t>
            </w:r>
            <w:r>
              <w:rPr>
                <w:rFonts w:ascii="Times New Roman" w:eastAsia="Times New Roman" w:hAnsi="Times New Roman" w:cs="Times New Roman"/>
                <w:sz w:val="24"/>
                <w:szCs w:val="24"/>
              </w:rPr>
              <w:t>slēgs līgumus par sistēmas izmantošanu.</w:t>
            </w:r>
          </w:p>
          <w:p w14:paraId="29185AD4" w14:textId="4E7ABE46" w:rsidR="00551014" w:rsidRPr="004B473F" w:rsidRDefault="00A653AF">
            <w:pPr>
              <w:spacing w:before="75" w:after="75" w:line="240" w:lineRule="auto"/>
              <w:ind w:left="72" w:right="72"/>
              <w:jc w:val="both"/>
              <w:rPr>
                <w:rFonts w:ascii="Times New Roman" w:eastAsia="Times New Roman" w:hAnsi="Times New Roman" w:cs="Times New Roman"/>
                <w:sz w:val="24"/>
                <w:szCs w:val="24"/>
              </w:rPr>
            </w:pPr>
            <w:r w:rsidRPr="004B473F">
              <w:rPr>
                <w:rFonts w:ascii="Times New Roman" w:eastAsia="Times New Roman" w:hAnsi="Times New Roman" w:cs="Times New Roman"/>
                <w:sz w:val="24"/>
                <w:szCs w:val="24"/>
              </w:rPr>
              <w:t xml:space="preserve">Lai regulētu </w:t>
            </w:r>
            <w:r w:rsidR="00FB7864">
              <w:rPr>
                <w:rFonts w:ascii="Times New Roman" w:eastAsia="Times New Roman" w:hAnsi="Times New Roman" w:cs="Times New Roman"/>
                <w:sz w:val="24"/>
                <w:szCs w:val="24"/>
              </w:rPr>
              <w:t>Sistēmas lietošanas nosacījumus</w:t>
            </w:r>
            <w:r w:rsidRPr="004B473F">
              <w:rPr>
                <w:rFonts w:ascii="Times New Roman" w:eastAsia="Times New Roman" w:hAnsi="Times New Roman" w:cs="Times New Roman"/>
                <w:sz w:val="24"/>
                <w:szCs w:val="24"/>
              </w:rPr>
              <w:t xml:space="preserve">, VARAM </w:t>
            </w:r>
            <w:r w:rsidR="009163CB">
              <w:rPr>
                <w:rFonts w:ascii="Times New Roman" w:eastAsia="Times New Roman" w:hAnsi="Times New Roman" w:cs="Times New Roman"/>
                <w:sz w:val="24"/>
                <w:szCs w:val="24"/>
              </w:rPr>
              <w:t>ir izstrādājis Noteikumu projektu</w:t>
            </w:r>
            <w:r w:rsidR="004B07A1">
              <w:rPr>
                <w:rFonts w:ascii="Times New Roman" w:eastAsia="Times New Roman" w:hAnsi="Times New Roman" w:cs="Times New Roman"/>
                <w:sz w:val="24"/>
                <w:szCs w:val="24"/>
              </w:rPr>
              <w:t xml:space="preserve">, kas </w:t>
            </w:r>
            <w:r w:rsidR="009163CB">
              <w:rPr>
                <w:rFonts w:ascii="Times New Roman" w:eastAsia="Times New Roman" w:hAnsi="Times New Roman" w:cs="Times New Roman"/>
                <w:sz w:val="24"/>
                <w:szCs w:val="24"/>
              </w:rPr>
              <w:t xml:space="preserve">noteic </w:t>
            </w:r>
            <w:r w:rsidR="004B07A1">
              <w:rPr>
                <w:rFonts w:ascii="Times New Roman" w:eastAsia="Times New Roman" w:hAnsi="Times New Roman" w:cs="Times New Roman"/>
                <w:sz w:val="24"/>
                <w:szCs w:val="24"/>
              </w:rPr>
              <w:t>prasības attiecībā uz apvienotās atkritumu pārvadājumu uzskaites sistēmas darbību</w:t>
            </w:r>
            <w:r w:rsidRPr="004B473F">
              <w:rPr>
                <w:rFonts w:ascii="Times New Roman" w:eastAsia="Times New Roman" w:hAnsi="Times New Roman" w:cs="Times New Roman"/>
                <w:sz w:val="24"/>
                <w:szCs w:val="24"/>
              </w:rPr>
              <w:t xml:space="preserve">. Ar </w:t>
            </w:r>
            <w:r w:rsidR="009163CB">
              <w:rPr>
                <w:rFonts w:ascii="Times New Roman" w:eastAsia="Times New Roman" w:hAnsi="Times New Roman" w:cs="Times New Roman"/>
                <w:sz w:val="24"/>
                <w:szCs w:val="24"/>
              </w:rPr>
              <w:t>N</w:t>
            </w:r>
            <w:r w:rsidRPr="004B473F">
              <w:rPr>
                <w:rFonts w:ascii="Times New Roman" w:eastAsia="Times New Roman" w:hAnsi="Times New Roman" w:cs="Times New Roman"/>
                <w:sz w:val="24"/>
                <w:szCs w:val="24"/>
              </w:rPr>
              <w:t>oteikumu projekta spēkā stāšanās dienu spēku zaudēs MK noteikumi Nr.</w:t>
            </w:r>
            <w:r w:rsidR="009163CB">
              <w:rPr>
                <w:rFonts w:ascii="Times New Roman" w:eastAsia="Times New Roman" w:hAnsi="Times New Roman" w:cs="Times New Roman"/>
                <w:sz w:val="24"/>
                <w:szCs w:val="24"/>
              </w:rPr>
              <w:t> </w:t>
            </w:r>
            <w:r w:rsidRPr="004B473F">
              <w:rPr>
                <w:rFonts w:ascii="Times New Roman" w:eastAsia="Times New Roman" w:hAnsi="Times New Roman" w:cs="Times New Roman"/>
                <w:sz w:val="24"/>
                <w:szCs w:val="24"/>
              </w:rPr>
              <w:t>199 un MK noteikumi Nr.</w:t>
            </w:r>
            <w:r w:rsidR="004B07A1">
              <w:rPr>
                <w:rFonts w:ascii="Times New Roman" w:eastAsia="Times New Roman" w:hAnsi="Times New Roman" w:cs="Times New Roman"/>
                <w:sz w:val="24"/>
                <w:szCs w:val="24"/>
              </w:rPr>
              <w:t> </w:t>
            </w:r>
            <w:r w:rsidRPr="004B473F">
              <w:rPr>
                <w:rFonts w:ascii="Times New Roman" w:eastAsia="Times New Roman" w:hAnsi="Times New Roman" w:cs="Times New Roman"/>
                <w:sz w:val="24"/>
                <w:szCs w:val="24"/>
              </w:rPr>
              <w:t>494.</w:t>
            </w:r>
          </w:p>
          <w:p w14:paraId="26613D86" w14:textId="50CB3A7F" w:rsidR="004512C1" w:rsidRDefault="00A66305" w:rsidP="004B07A1">
            <w:pPr>
              <w:spacing w:before="75" w:after="75" w:line="240" w:lineRule="auto"/>
              <w:ind w:left="72"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00A653AF" w:rsidRPr="004B07A1">
              <w:rPr>
                <w:rFonts w:ascii="Times New Roman" w:eastAsia="Times New Roman" w:hAnsi="Times New Roman" w:cs="Times New Roman"/>
                <w:sz w:val="24"/>
                <w:szCs w:val="24"/>
              </w:rPr>
              <w:t>Noteikumu projekt</w:t>
            </w:r>
            <w:r>
              <w:rPr>
                <w:rFonts w:ascii="Times New Roman" w:eastAsia="Times New Roman" w:hAnsi="Times New Roman" w:cs="Times New Roman"/>
                <w:sz w:val="24"/>
                <w:szCs w:val="24"/>
              </w:rPr>
              <w:t>u noteic</w:t>
            </w:r>
            <w:r w:rsidR="00A653AF" w:rsidRPr="004B07A1">
              <w:rPr>
                <w:rFonts w:ascii="Times New Roman" w:eastAsia="Times New Roman" w:hAnsi="Times New Roman" w:cs="Times New Roman"/>
                <w:sz w:val="24"/>
                <w:szCs w:val="24"/>
              </w:rPr>
              <w:t xml:space="preserve"> arī maks</w:t>
            </w:r>
            <w:r>
              <w:rPr>
                <w:rFonts w:ascii="Times New Roman" w:eastAsia="Times New Roman" w:hAnsi="Times New Roman" w:cs="Times New Roman"/>
                <w:sz w:val="24"/>
                <w:szCs w:val="24"/>
              </w:rPr>
              <w:t>u</w:t>
            </w:r>
            <w:r w:rsidR="00A653AF" w:rsidRPr="004B07A1">
              <w:rPr>
                <w:rFonts w:ascii="Times New Roman" w:eastAsia="Times New Roman" w:hAnsi="Times New Roman" w:cs="Times New Roman"/>
                <w:sz w:val="24"/>
                <w:szCs w:val="24"/>
              </w:rPr>
              <w:t xml:space="preserve"> par </w:t>
            </w:r>
            <w:r w:rsidR="00FB7864">
              <w:rPr>
                <w:rFonts w:ascii="Times New Roman" w:eastAsia="Times New Roman" w:hAnsi="Times New Roman" w:cs="Times New Roman"/>
                <w:sz w:val="24"/>
                <w:szCs w:val="24"/>
              </w:rPr>
              <w:t>Sistēmas</w:t>
            </w:r>
            <w:r w:rsidR="00843434">
              <w:rPr>
                <w:rFonts w:ascii="Times New Roman" w:eastAsia="Times New Roman" w:hAnsi="Times New Roman" w:cs="Times New Roman"/>
                <w:sz w:val="24"/>
                <w:szCs w:val="24"/>
              </w:rPr>
              <w:t xml:space="preserve"> </w:t>
            </w:r>
            <w:r w:rsidR="00A653AF" w:rsidRPr="004B07A1">
              <w:rPr>
                <w:rFonts w:ascii="Times New Roman" w:eastAsia="Times New Roman" w:hAnsi="Times New Roman" w:cs="Times New Roman"/>
                <w:sz w:val="24"/>
                <w:szCs w:val="24"/>
              </w:rPr>
              <w:t xml:space="preserve">lietošanu un maksāšanas kārtība par </w:t>
            </w:r>
            <w:r w:rsidR="00A653AF" w:rsidRPr="005C493B">
              <w:rPr>
                <w:rFonts w:ascii="Times New Roman" w:eastAsia="Times New Roman" w:hAnsi="Times New Roman" w:cs="Times New Roman"/>
                <w:sz w:val="24"/>
                <w:szCs w:val="24"/>
              </w:rPr>
              <w:t>tajā saņemtajiem pakalpojumiem. Mak</w:t>
            </w:r>
            <w:r w:rsidR="004B07A1" w:rsidRPr="005C493B">
              <w:rPr>
                <w:rFonts w:ascii="Times New Roman" w:eastAsia="Times New Roman" w:hAnsi="Times New Roman" w:cs="Times New Roman"/>
                <w:sz w:val="24"/>
                <w:szCs w:val="24"/>
              </w:rPr>
              <w:t xml:space="preserve">sa par Sistēmas lietošanu ir </w:t>
            </w:r>
            <w:r w:rsidR="002509F7" w:rsidRPr="005C493B">
              <w:rPr>
                <w:rFonts w:ascii="Times New Roman" w:eastAsia="Times New Roman" w:hAnsi="Times New Roman" w:cs="Times New Roman"/>
                <w:sz w:val="24"/>
                <w:szCs w:val="24"/>
              </w:rPr>
              <w:t>690</w:t>
            </w:r>
            <w:r w:rsidR="005C493B" w:rsidRPr="005C493B">
              <w:rPr>
                <w:rFonts w:ascii="Times New Roman" w:eastAsia="Times New Roman" w:hAnsi="Times New Roman" w:cs="Times New Roman"/>
                <w:sz w:val="24"/>
                <w:szCs w:val="24"/>
              </w:rPr>
              <w:t>,00</w:t>
            </w:r>
            <w:r w:rsidR="00A653AF" w:rsidRPr="004B07A1">
              <w:rPr>
                <w:rFonts w:ascii="Times New Roman" w:eastAsia="Times New Roman" w:hAnsi="Times New Roman" w:cs="Times New Roman"/>
                <w:sz w:val="24"/>
                <w:szCs w:val="24"/>
              </w:rPr>
              <w:t xml:space="preserve"> euro un pievienotās vērtības nodoklis atbilstoši normatīvajiem aktiem par pievienotās vērtības nodokli. Pašreiz s</w:t>
            </w:r>
            <w:r w:rsidR="004B07A1">
              <w:rPr>
                <w:rFonts w:ascii="Times New Roman" w:eastAsia="Times New Roman" w:hAnsi="Times New Roman" w:cs="Times New Roman"/>
                <w:sz w:val="24"/>
                <w:szCs w:val="24"/>
              </w:rPr>
              <w:t>pēkā esošajos noteikumos Nr. 199 ir noteikta 472,00</w:t>
            </w:r>
            <w:r w:rsidR="00843434">
              <w:rPr>
                <w:rFonts w:ascii="Times New Roman" w:eastAsia="Times New Roman" w:hAnsi="Times New Roman" w:cs="Times New Roman"/>
                <w:sz w:val="24"/>
                <w:szCs w:val="24"/>
              </w:rPr>
              <w:t> </w:t>
            </w:r>
            <w:r w:rsidR="00A653AF" w:rsidRPr="00FB7864">
              <w:rPr>
                <w:rFonts w:ascii="Times New Roman" w:eastAsia="Times New Roman" w:hAnsi="Times New Roman" w:cs="Times New Roman"/>
                <w:i/>
                <w:sz w:val="24"/>
                <w:szCs w:val="24"/>
              </w:rPr>
              <w:t>euro</w:t>
            </w:r>
            <w:r w:rsidR="004B07A1">
              <w:rPr>
                <w:rFonts w:ascii="Times New Roman" w:eastAsia="Times New Roman" w:hAnsi="Times New Roman" w:cs="Times New Roman"/>
                <w:sz w:val="24"/>
                <w:szCs w:val="24"/>
              </w:rPr>
              <w:t xml:space="preserve"> </w:t>
            </w:r>
            <w:r w:rsidR="004512C1">
              <w:rPr>
                <w:rFonts w:ascii="Times New Roman" w:eastAsia="Times New Roman" w:hAnsi="Times New Roman" w:cs="Times New Roman"/>
                <w:sz w:val="24"/>
                <w:szCs w:val="24"/>
              </w:rPr>
              <w:t xml:space="preserve">(neskaitot PVN) </w:t>
            </w:r>
            <w:r w:rsidR="004B07A1">
              <w:rPr>
                <w:rFonts w:ascii="Times New Roman" w:eastAsia="Times New Roman" w:hAnsi="Times New Roman" w:cs="Times New Roman"/>
                <w:sz w:val="24"/>
                <w:szCs w:val="24"/>
              </w:rPr>
              <w:t xml:space="preserve">liela maksa par </w:t>
            </w:r>
            <w:r w:rsidR="00843434">
              <w:rPr>
                <w:rFonts w:ascii="Times New Roman" w:eastAsia="Times New Roman" w:hAnsi="Times New Roman" w:cs="Times New Roman"/>
                <w:sz w:val="24"/>
                <w:szCs w:val="24"/>
              </w:rPr>
              <w:t>BRAPUS</w:t>
            </w:r>
            <w:r w:rsidR="00FB7864">
              <w:rPr>
                <w:rFonts w:ascii="Times New Roman" w:eastAsia="Times New Roman" w:hAnsi="Times New Roman" w:cs="Times New Roman"/>
                <w:sz w:val="24"/>
                <w:szCs w:val="24"/>
              </w:rPr>
              <w:t xml:space="preserve"> </w:t>
            </w:r>
            <w:r w:rsidR="00A653AF" w:rsidRPr="004B07A1">
              <w:rPr>
                <w:rFonts w:ascii="Times New Roman" w:eastAsia="Times New Roman" w:hAnsi="Times New Roman" w:cs="Times New Roman"/>
                <w:sz w:val="24"/>
                <w:szCs w:val="24"/>
              </w:rPr>
              <w:t>lietošanu</w:t>
            </w:r>
            <w:r w:rsidR="004B07A1">
              <w:rPr>
                <w:rFonts w:ascii="Times New Roman" w:eastAsia="Times New Roman" w:hAnsi="Times New Roman" w:cs="Times New Roman"/>
                <w:sz w:val="24"/>
                <w:szCs w:val="24"/>
              </w:rPr>
              <w:t>, kā arī 1,43</w:t>
            </w:r>
            <w:r w:rsidR="00843434">
              <w:rPr>
                <w:rFonts w:ascii="Times New Roman" w:eastAsia="Times New Roman" w:hAnsi="Times New Roman" w:cs="Times New Roman"/>
                <w:sz w:val="24"/>
                <w:szCs w:val="24"/>
              </w:rPr>
              <w:t> </w:t>
            </w:r>
            <w:r w:rsidR="004B07A1" w:rsidRPr="00FB7864">
              <w:rPr>
                <w:rFonts w:ascii="Times New Roman" w:eastAsia="Times New Roman" w:hAnsi="Times New Roman" w:cs="Times New Roman"/>
                <w:i/>
                <w:sz w:val="24"/>
                <w:szCs w:val="24"/>
              </w:rPr>
              <w:t>euro</w:t>
            </w:r>
            <w:r w:rsidR="004512C1">
              <w:rPr>
                <w:rFonts w:ascii="Times New Roman" w:eastAsia="Times New Roman" w:hAnsi="Times New Roman" w:cs="Times New Roman"/>
                <w:sz w:val="24"/>
                <w:szCs w:val="24"/>
              </w:rPr>
              <w:t xml:space="preserve"> (neskaitot PVN)</w:t>
            </w:r>
            <w:r w:rsidR="004B07A1">
              <w:rPr>
                <w:rFonts w:ascii="Times New Roman" w:eastAsia="Times New Roman" w:hAnsi="Times New Roman" w:cs="Times New Roman"/>
                <w:sz w:val="24"/>
                <w:szCs w:val="24"/>
              </w:rPr>
              <w:t xml:space="preserve"> liela maksa par katras pavadzīmes ievadīšanu</w:t>
            </w:r>
            <w:r w:rsidR="00A653AF" w:rsidRPr="004B07A1">
              <w:rPr>
                <w:rFonts w:ascii="Times New Roman" w:eastAsia="Times New Roman" w:hAnsi="Times New Roman" w:cs="Times New Roman"/>
                <w:sz w:val="24"/>
                <w:szCs w:val="24"/>
              </w:rPr>
              <w:t xml:space="preserve">. </w:t>
            </w:r>
            <w:r w:rsidR="004B07A1">
              <w:rPr>
                <w:rFonts w:ascii="Times New Roman" w:eastAsia="Times New Roman" w:hAnsi="Times New Roman" w:cs="Times New Roman"/>
                <w:sz w:val="24"/>
                <w:szCs w:val="24"/>
              </w:rPr>
              <w:t xml:space="preserve">Savukārt pašlaik spēkā esošajos MK noteikumos Nr. 494 </w:t>
            </w:r>
            <w:r w:rsidR="004512C1">
              <w:rPr>
                <w:rFonts w:ascii="Times New Roman" w:eastAsia="Times New Roman" w:hAnsi="Times New Roman" w:cs="Times New Roman"/>
                <w:sz w:val="24"/>
                <w:szCs w:val="24"/>
              </w:rPr>
              <w:t>ir noteikta 855</w:t>
            </w:r>
            <w:r w:rsidR="004B07A1">
              <w:rPr>
                <w:rFonts w:ascii="Times New Roman" w:eastAsia="Times New Roman" w:hAnsi="Times New Roman" w:cs="Times New Roman"/>
                <w:sz w:val="24"/>
                <w:szCs w:val="24"/>
              </w:rPr>
              <w:t>,00</w:t>
            </w:r>
            <w:r w:rsidR="00843434">
              <w:rPr>
                <w:rFonts w:ascii="Times New Roman" w:eastAsia="Times New Roman" w:hAnsi="Times New Roman" w:cs="Times New Roman"/>
                <w:sz w:val="24"/>
                <w:szCs w:val="24"/>
              </w:rPr>
              <w:t> </w:t>
            </w:r>
            <w:r w:rsidR="004B07A1" w:rsidRPr="00FB7864">
              <w:rPr>
                <w:rFonts w:ascii="Times New Roman" w:eastAsia="Times New Roman" w:hAnsi="Times New Roman" w:cs="Times New Roman"/>
                <w:i/>
                <w:sz w:val="24"/>
                <w:szCs w:val="24"/>
              </w:rPr>
              <w:t>euro</w:t>
            </w:r>
            <w:r w:rsidR="004B07A1">
              <w:rPr>
                <w:rFonts w:ascii="Times New Roman" w:eastAsia="Times New Roman" w:hAnsi="Times New Roman" w:cs="Times New Roman"/>
                <w:sz w:val="24"/>
                <w:szCs w:val="24"/>
              </w:rPr>
              <w:t xml:space="preserve"> </w:t>
            </w:r>
            <w:r w:rsidR="004512C1">
              <w:rPr>
                <w:rFonts w:ascii="Times New Roman" w:eastAsia="Times New Roman" w:hAnsi="Times New Roman" w:cs="Times New Roman"/>
                <w:sz w:val="24"/>
                <w:szCs w:val="24"/>
              </w:rPr>
              <w:t xml:space="preserve">(neskaitot PVN) </w:t>
            </w:r>
            <w:r w:rsidR="004B07A1">
              <w:rPr>
                <w:rFonts w:ascii="Times New Roman" w:eastAsia="Times New Roman" w:hAnsi="Times New Roman" w:cs="Times New Roman"/>
                <w:sz w:val="24"/>
                <w:szCs w:val="24"/>
              </w:rPr>
              <w:t xml:space="preserve">liela maksa par </w:t>
            </w:r>
            <w:r w:rsidR="004512C1">
              <w:rPr>
                <w:rFonts w:ascii="Times New Roman" w:eastAsia="Times New Roman" w:hAnsi="Times New Roman" w:cs="Times New Roman"/>
                <w:sz w:val="24"/>
                <w:szCs w:val="24"/>
              </w:rPr>
              <w:t>sadzīves, ražošanas un bīstamo atkritumu</w:t>
            </w:r>
            <w:r w:rsidR="004B07A1">
              <w:rPr>
                <w:rFonts w:ascii="Times New Roman" w:eastAsia="Times New Roman" w:hAnsi="Times New Roman" w:cs="Times New Roman"/>
                <w:sz w:val="24"/>
                <w:szCs w:val="24"/>
              </w:rPr>
              <w:t xml:space="preserve"> </w:t>
            </w:r>
            <w:r w:rsidR="004512C1" w:rsidRPr="004B07A1">
              <w:rPr>
                <w:rFonts w:ascii="Times New Roman" w:eastAsia="Times New Roman" w:hAnsi="Times New Roman" w:cs="Times New Roman"/>
                <w:sz w:val="24"/>
                <w:szCs w:val="24"/>
              </w:rPr>
              <w:t>pārvadājumu uzskaites sistēmas lietošanu</w:t>
            </w:r>
            <w:r w:rsidR="004512C1">
              <w:rPr>
                <w:rFonts w:ascii="Times New Roman" w:eastAsia="Times New Roman" w:hAnsi="Times New Roman" w:cs="Times New Roman"/>
                <w:sz w:val="24"/>
                <w:szCs w:val="24"/>
              </w:rPr>
              <w:t>.</w:t>
            </w:r>
            <w:r w:rsidR="004512C1" w:rsidRPr="004B07A1">
              <w:rPr>
                <w:rFonts w:ascii="Times New Roman" w:eastAsia="Times New Roman" w:hAnsi="Times New Roman" w:cs="Times New Roman"/>
                <w:sz w:val="24"/>
                <w:szCs w:val="24"/>
              </w:rPr>
              <w:t xml:space="preserve"> </w:t>
            </w:r>
            <w:r w:rsidR="00843434">
              <w:rPr>
                <w:rFonts w:ascii="Times New Roman" w:eastAsia="Times New Roman" w:hAnsi="Times New Roman" w:cs="Times New Roman"/>
                <w:sz w:val="24"/>
                <w:szCs w:val="24"/>
              </w:rPr>
              <w:t xml:space="preserve">Ar Noteikumu projektu atcelta </w:t>
            </w:r>
            <w:r w:rsidR="00A653AF" w:rsidRPr="004B07A1">
              <w:rPr>
                <w:rFonts w:ascii="Times New Roman" w:eastAsia="Times New Roman" w:hAnsi="Times New Roman" w:cs="Times New Roman"/>
                <w:sz w:val="24"/>
                <w:szCs w:val="24"/>
              </w:rPr>
              <w:t>atsevišķ</w:t>
            </w:r>
            <w:r w:rsidR="00843434">
              <w:rPr>
                <w:rFonts w:ascii="Times New Roman" w:eastAsia="Times New Roman" w:hAnsi="Times New Roman" w:cs="Times New Roman"/>
                <w:sz w:val="24"/>
                <w:szCs w:val="24"/>
              </w:rPr>
              <w:t>a</w:t>
            </w:r>
            <w:r w:rsidR="00A653AF" w:rsidRPr="004B07A1">
              <w:rPr>
                <w:rFonts w:ascii="Times New Roman" w:eastAsia="Times New Roman" w:hAnsi="Times New Roman" w:cs="Times New Roman"/>
                <w:sz w:val="24"/>
                <w:szCs w:val="24"/>
              </w:rPr>
              <w:t xml:space="preserve"> maks</w:t>
            </w:r>
            <w:r w:rsidR="00843434">
              <w:rPr>
                <w:rFonts w:ascii="Times New Roman" w:eastAsia="Times New Roman" w:hAnsi="Times New Roman" w:cs="Times New Roman"/>
                <w:sz w:val="24"/>
                <w:szCs w:val="24"/>
              </w:rPr>
              <w:t>a</w:t>
            </w:r>
            <w:r w:rsidR="00A653AF" w:rsidRPr="004B07A1">
              <w:rPr>
                <w:rFonts w:ascii="Times New Roman" w:eastAsia="Times New Roman" w:hAnsi="Times New Roman" w:cs="Times New Roman"/>
                <w:sz w:val="24"/>
                <w:szCs w:val="24"/>
              </w:rPr>
              <w:t xml:space="preserve"> par pavadzīmju sagatavošanu. </w:t>
            </w:r>
          </w:p>
          <w:p w14:paraId="7B821498" w14:textId="6EC13A60" w:rsidR="00551014" w:rsidRPr="004B07A1" w:rsidRDefault="00843434" w:rsidP="004B07A1">
            <w:pPr>
              <w:spacing w:before="75" w:after="75" w:line="240" w:lineRule="auto"/>
              <w:ind w:left="72"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653AF" w:rsidRPr="004B07A1">
              <w:rPr>
                <w:rFonts w:ascii="Times New Roman" w:eastAsia="Times New Roman" w:hAnsi="Times New Roman" w:cs="Times New Roman"/>
                <w:sz w:val="24"/>
                <w:szCs w:val="24"/>
              </w:rPr>
              <w:t xml:space="preserve">istēmas darbības uzturēšana tiks nodrošināta, izmantojot sistēmas lietotāju samaksāto maksu par </w:t>
            </w:r>
            <w:r w:rsidR="004512C1">
              <w:rPr>
                <w:rFonts w:ascii="Times New Roman" w:eastAsia="Times New Roman" w:hAnsi="Times New Roman" w:cs="Times New Roman"/>
                <w:sz w:val="24"/>
                <w:szCs w:val="24"/>
              </w:rPr>
              <w:t>atkritumu pārvadājumu uzskaiti.</w:t>
            </w:r>
          </w:p>
          <w:p w14:paraId="485D0008" w14:textId="6E9D74D1" w:rsidR="00551014" w:rsidRPr="004B07A1" w:rsidRDefault="004B07A1" w:rsidP="004B07A1">
            <w:pPr>
              <w:spacing w:before="75" w:after="75" w:line="240" w:lineRule="auto"/>
              <w:ind w:left="72"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Papildus nosacījumiem, kas attiecas uz visu veidu atkritumu pārvadājumiem, </w:t>
            </w:r>
            <w:r w:rsidR="00843434">
              <w:rPr>
                <w:rFonts w:ascii="Times New Roman" w:eastAsia="Times New Roman" w:hAnsi="Times New Roman" w:cs="Times New Roman"/>
                <w:sz w:val="24"/>
                <w:szCs w:val="24"/>
              </w:rPr>
              <w:t xml:space="preserve">ar Noteikumu projektu noteiktas prasības </w:t>
            </w:r>
            <w:r>
              <w:rPr>
                <w:rFonts w:ascii="Times New Roman" w:eastAsia="Times New Roman" w:hAnsi="Times New Roman" w:cs="Times New Roman"/>
                <w:sz w:val="24"/>
                <w:szCs w:val="24"/>
              </w:rPr>
              <w:t xml:space="preserve">bīstamo atkritumu </w:t>
            </w:r>
            <w:r w:rsidRPr="004B473F">
              <w:rPr>
                <w:rFonts w:ascii="Times New Roman" w:eastAsia="Times New Roman" w:hAnsi="Times New Roman" w:cs="Times New Roman"/>
                <w:sz w:val="24"/>
                <w:szCs w:val="24"/>
              </w:rPr>
              <w:t>identifikācijas, uzskaites, uzglabāšanas, iepakošanas un marķēšanas</w:t>
            </w:r>
            <w:r>
              <w:rPr>
                <w:rFonts w:ascii="Times New Roman" w:eastAsia="Times New Roman" w:hAnsi="Times New Roman" w:cs="Times New Roman"/>
                <w:sz w:val="24"/>
                <w:szCs w:val="24"/>
              </w:rPr>
              <w:t xml:space="preserve"> kārtīb</w:t>
            </w:r>
            <w:r w:rsidR="00843434">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w:t>
            </w:r>
            <w:r w:rsidR="00843434">
              <w:rPr>
                <w:rFonts w:ascii="Times New Roman" w:eastAsia="Times New Roman" w:hAnsi="Times New Roman" w:cs="Times New Roman"/>
                <w:sz w:val="24"/>
                <w:szCs w:val="24"/>
              </w:rPr>
              <w:t xml:space="preserve">ko šobrīd regulē </w:t>
            </w:r>
            <w:r w:rsidR="004512C1">
              <w:rPr>
                <w:rFonts w:ascii="Times New Roman" w:eastAsia="Times New Roman" w:hAnsi="Times New Roman" w:cs="Times New Roman"/>
                <w:sz w:val="24"/>
                <w:szCs w:val="24"/>
              </w:rPr>
              <w:t>MK noteikum</w:t>
            </w:r>
            <w:r w:rsidR="00843434">
              <w:rPr>
                <w:rFonts w:ascii="Times New Roman" w:eastAsia="Times New Roman" w:hAnsi="Times New Roman" w:cs="Times New Roman"/>
                <w:sz w:val="24"/>
                <w:szCs w:val="24"/>
              </w:rPr>
              <w:t xml:space="preserve">i </w:t>
            </w:r>
            <w:r w:rsidR="004512C1">
              <w:rPr>
                <w:rFonts w:ascii="Times New Roman" w:eastAsia="Times New Roman" w:hAnsi="Times New Roman" w:cs="Times New Roman"/>
                <w:sz w:val="24"/>
                <w:szCs w:val="24"/>
              </w:rPr>
              <w:t>Nr. 494.</w:t>
            </w:r>
          </w:p>
        </w:tc>
      </w:tr>
      <w:tr w:rsidR="00551014" w14:paraId="69340337" w14:textId="77777777">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9412A" w14:textId="77777777" w:rsidR="00551014" w:rsidRDefault="00A653AF">
            <w:pPr>
              <w:spacing w:after="0" w:line="240" w:lineRule="auto"/>
              <w:jc w:val="both"/>
            </w:pPr>
            <w:r>
              <w:rPr>
                <w:rFonts w:ascii="Times New Roman" w:eastAsia="Times New Roman" w:hAnsi="Times New Roman" w:cs="Times New Roman"/>
                <w:sz w:val="24"/>
              </w:rPr>
              <w:lastRenderedPageBreak/>
              <w:t>3.</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59FC7" w14:textId="77777777" w:rsidR="00551014" w:rsidRDefault="00A653AF">
            <w:pPr>
              <w:spacing w:after="0" w:line="240" w:lineRule="auto"/>
              <w:jc w:val="both"/>
            </w:pPr>
            <w:r>
              <w:rPr>
                <w:rFonts w:ascii="Times New Roman" w:eastAsia="Times New Roman" w:hAnsi="Times New Roman" w:cs="Times New Roman"/>
                <w:sz w:val="24"/>
              </w:rPr>
              <w:t xml:space="preserve">Projekta izstrādē iesaistītās </w:t>
            </w:r>
            <w:r>
              <w:rPr>
                <w:rFonts w:ascii="Times New Roman" w:eastAsia="Times New Roman" w:hAnsi="Times New Roman" w:cs="Times New Roman"/>
                <w:sz w:val="24"/>
              </w:rPr>
              <w:lastRenderedPageBreak/>
              <w:t>institūcijas un publiskas personas kapitālsabiedrības</w:t>
            </w:r>
          </w:p>
        </w:tc>
        <w:tc>
          <w:tcPr>
            <w:tcW w:w="7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F85FC" w14:textId="77777777" w:rsidR="00551014" w:rsidRDefault="00A653AF">
            <w:pPr>
              <w:spacing w:after="0" w:line="240" w:lineRule="auto"/>
              <w:jc w:val="both"/>
            </w:pPr>
            <w:r>
              <w:rPr>
                <w:rFonts w:ascii="Times New Roman" w:eastAsia="Times New Roman" w:hAnsi="Times New Roman" w:cs="Times New Roman"/>
                <w:sz w:val="24"/>
              </w:rPr>
              <w:lastRenderedPageBreak/>
              <w:t xml:space="preserve">VARAM, VVD, LVĢMC. </w:t>
            </w:r>
          </w:p>
        </w:tc>
      </w:tr>
      <w:tr w:rsidR="00551014" w14:paraId="6479F34E" w14:textId="77777777">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C39C3" w14:textId="77777777" w:rsidR="00551014" w:rsidRDefault="00A653AF">
            <w:pPr>
              <w:spacing w:after="0" w:line="240" w:lineRule="auto"/>
            </w:pPr>
            <w:r>
              <w:rPr>
                <w:rFonts w:ascii="Times New Roman" w:eastAsia="Times New Roman" w:hAnsi="Times New Roman" w:cs="Times New Roman"/>
                <w:sz w:val="24"/>
              </w:rPr>
              <w:t>4.</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0AD14" w14:textId="77777777" w:rsidR="00551014" w:rsidRDefault="00A653AF">
            <w:pPr>
              <w:spacing w:after="0" w:line="240" w:lineRule="auto"/>
            </w:pPr>
            <w:r>
              <w:rPr>
                <w:rFonts w:ascii="Times New Roman" w:eastAsia="Times New Roman" w:hAnsi="Times New Roman" w:cs="Times New Roman"/>
                <w:sz w:val="24"/>
              </w:rPr>
              <w:t>Cita informācija</w:t>
            </w:r>
          </w:p>
        </w:tc>
        <w:tc>
          <w:tcPr>
            <w:tcW w:w="7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CBDCC" w14:textId="77777777" w:rsidR="00551014" w:rsidRDefault="00A653AF">
            <w:pPr>
              <w:spacing w:after="0" w:line="240" w:lineRule="auto"/>
            </w:pPr>
            <w:r>
              <w:rPr>
                <w:rFonts w:ascii="Times New Roman" w:eastAsia="Times New Roman" w:hAnsi="Times New Roman" w:cs="Times New Roman"/>
                <w:sz w:val="24"/>
              </w:rPr>
              <w:t>Nav</w:t>
            </w:r>
          </w:p>
        </w:tc>
      </w:tr>
    </w:tbl>
    <w:p w14:paraId="3577DA04" w14:textId="77777777" w:rsidR="00551014" w:rsidRDefault="00551014">
      <w:pPr>
        <w:spacing w:after="0" w:line="240" w:lineRule="auto"/>
        <w:rPr>
          <w:rFonts w:ascii="Times New Roman" w:eastAsia="Times New Roman" w:hAnsi="Times New Roman" w:cs="Times New Roman"/>
          <w:color w:val="414142"/>
          <w:sz w:val="24"/>
        </w:rPr>
      </w:pPr>
    </w:p>
    <w:tbl>
      <w:tblPr>
        <w:tblW w:w="0" w:type="auto"/>
        <w:tblInd w:w="-8" w:type="dxa"/>
        <w:tblCellMar>
          <w:left w:w="10" w:type="dxa"/>
          <w:right w:w="10" w:type="dxa"/>
        </w:tblCellMar>
        <w:tblLook w:val="04A0" w:firstRow="1" w:lastRow="0" w:firstColumn="1" w:lastColumn="0" w:noHBand="0" w:noVBand="1"/>
      </w:tblPr>
      <w:tblGrid>
        <w:gridCol w:w="396"/>
        <w:gridCol w:w="1731"/>
        <w:gridCol w:w="6177"/>
      </w:tblGrid>
      <w:tr w:rsidR="00551014" w14:paraId="0C5DD14F" w14:textId="77777777">
        <w:trPr>
          <w:trHeight w:val="1"/>
        </w:trPr>
        <w:tc>
          <w:tcPr>
            <w:tcW w:w="90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3ADC2" w14:textId="77777777" w:rsidR="00551014" w:rsidRDefault="00A653AF" w:rsidP="00EE5AFB">
            <w:pPr>
              <w:spacing w:after="0" w:line="240" w:lineRule="auto"/>
              <w:jc w:val="center"/>
            </w:pPr>
            <w:r>
              <w:rPr>
                <w:rFonts w:ascii="Times New Roman" w:eastAsia="Times New Roman" w:hAnsi="Times New Roman" w:cs="Times New Roman"/>
                <w:b/>
                <w:sz w:val="24"/>
              </w:rPr>
              <w:t>II. Tiesību akta projekta ietekme uz sabiedrību, tautsaimniecības attīstību un administratīvo slogu</w:t>
            </w:r>
          </w:p>
        </w:tc>
      </w:tr>
      <w:tr w:rsidR="00551014" w14:paraId="112AB7FA" w14:textId="77777777">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37169" w14:textId="77777777" w:rsidR="00551014" w:rsidRDefault="00A653AF">
            <w:pPr>
              <w:spacing w:after="0" w:line="240" w:lineRule="auto"/>
              <w:jc w:val="both"/>
            </w:pPr>
            <w:r>
              <w:rPr>
                <w:rFonts w:ascii="Times New Roman" w:eastAsia="Times New Roman" w:hAnsi="Times New Roman" w:cs="Times New Roman"/>
                <w:sz w:val="24"/>
              </w:rPr>
              <w:t>1.</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274F9" w14:textId="77777777" w:rsidR="00551014" w:rsidRDefault="00A653AF">
            <w:pPr>
              <w:spacing w:after="0" w:line="240" w:lineRule="auto"/>
              <w:jc w:val="both"/>
            </w:pPr>
            <w:r>
              <w:rPr>
                <w:rFonts w:ascii="Times New Roman" w:eastAsia="Times New Roman" w:hAnsi="Times New Roman" w:cs="Times New Roman"/>
                <w:sz w:val="24"/>
              </w:rPr>
              <w:t>Sabiedrības mērķgrupas, kuras tiesiskais regulējums ietekmē vai varētu ietekmēt</w:t>
            </w:r>
          </w:p>
        </w:tc>
        <w:tc>
          <w:tcPr>
            <w:tcW w:w="6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E7EA0" w14:textId="77777777" w:rsidR="00551014" w:rsidRDefault="00A653AF">
            <w:pPr>
              <w:spacing w:after="0" w:line="240" w:lineRule="auto"/>
              <w:ind w:left="72" w:right="72" w:firstLine="82"/>
              <w:jc w:val="both"/>
              <w:rPr>
                <w:rFonts w:ascii="Times New Roman" w:eastAsia="Times New Roman" w:hAnsi="Times New Roman" w:cs="Times New Roman"/>
                <w:sz w:val="24"/>
              </w:rPr>
            </w:pPr>
            <w:r>
              <w:rPr>
                <w:rFonts w:ascii="Times New Roman" w:eastAsia="Times New Roman" w:hAnsi="Times New Roman" w:cs="Times New Roman"/>
                <w:sz w:val="24"/>
              </w:rPr>
              <w:t>Noteikumu projekts attiecas:</w:t>
            </w:r>
          </w:p>
          <w:p w14:paraId="026C97DF" w14:textId="1C0C8A0E" w:rsidR="00551014" w:rsidRDefault="00A653AF">
            <w:pPr>
              <w:numPr>
                <w:ilvl w:val="0"/>
                <w:numId w:val="1"/>
              </w:numPr>
              <w:spacing w:after="0" w:line="240" w:lineRule="auto"/>
              <w:ind w:left="589" w:right="72" w:hanging="435"/>
              <w:jc w:val="both"/>
              <w:rPr>
                <w:rFonts w:ascii="Times New Roman" w:eastAsia="Times New Roman" w:hAnsi="Times New Roman" w:cs="Times New Roman"/>
                <w:sz w:val="24"/>
              </w:rPr>
            </w:pPr>
            <w:r>
              <w:rPr>
                <w:rFonts w:ascii="Times New Roman" w:eastAsia="Times New Roman" w:hAnsi="Times New Roman" w:cs="Times New Roman"/>
                <w:sz w:val="24"/>
              </w:rPr>
              <w:t xml:space="preserve">uz personām, kas nodarbojas ar sadzīves, ražošanas un bīstamo atkritumu pārvadājumiem – ap </w:t>
            </w:r>
            <w:r w:rsidR="005C493B" w:rsidRPr="005C493B">
              <w:rPr>
                <w:rFonts w:ascii="Times New Roman" w:eastAsia="Times New Roman" w:hAnsi="Times New Roman" w:cs="Times New Roman"/>
                <w:sz w:val="24"/>
              </w:rPr>
              <w:t>900</w:t>
            </w:r>
            <w:r>
              <w:rPr>
                <w:rFonts w:ascii="Times New Roman" w:eastAsia="Times New Roman" w:hAnsi="Times New Roman" w:cs="Times New Roman"/>
                <w:sz w:val="24"/>
              </w:rPr>
              <w:t xml:space="preserve"> komersantiem (saskaņā ar LVĢMC sniegto</w:t>
            </w:r>
            <w:r w:rsidR="004512C1">
              <w:rPr>
                <w:rFonts w:ascii="Times New Roman" w:eastAsia="Times New Roman" w:hAnsi="Times New Roman" w:cs="Times New Roman"/>
                <w:sz w:val="24"/>
              </w:rPr>
              <w:t xml:space="preserve"> informāciju </w:t>
            </w:r>
            <w:r w:rsidR="005C493B" w:rsidRPr="005C493B">
              <w:rPr>
                <w:rFonts w:ascii="Times New Roman" w:eastAsia="Times New Roman" w:hAnsi="Times New Roman" w:cs="Times New Roman"/>
                <w:sz w:val="24"/>
              </w:rPr>
              <w:t>891</w:t>
            </w:r>
            <w:r w:rsidR="005C493B">
              <w:rPr>
                <w:rFonts w:ascii="Times New Roman" w:eastAsia="Times New Roman" w:hAnsi="Times New Roman" w:cs="Times New Roman"/>
                <w:sz w:val="24"/>
              </w:rPr>
              <w:t xml:space="preserve"> komersants 2017</w:t>
            </w:r>
            <w:r>
              <w:rPr>
                <w:rFonts w:ascii="Times New Roman" w:eastAsia="Times New Roman" w:hAnsi="Times New Roman" w:cs="Times New Roman"/>
                <w:sz w:val="24"/>
              </w:rPr>
              <w:t>. gadā ir iesniedzis vides statistikas pārskatu “3-Atkritumi” atbilstoši Ministru kabineta 2017. gada 23. maija noteikumiem Nr. 271</w:t>
            </w:r>
          </w:p>
          <w:p w14:paraId="1B0AEE07" w14:textId="77777777" w:rsidR="00551014" w:rsidRDefault="00A653AF">
            <w:pPr>
              <w:spacing w:after="0" w:line="240" w:lineRule="auto"/>
              <w:ind w:left="589" w:right="72"/>
              <w:jc w:val="both"/>
              <w:rPr>
                <w:rFonts w:ascii="Times New Roman" w:eastAsia="Times New Roman" w:hAnsi="Times New Roman" w:cs="Times New Roman"/>
                <w:sz w:val="24"/>
              </w:rPr>
            </w:pPr>
            <w:r>
              <w:rPr>
                <w:rFonts w:ascii="Times New Roman" w:eastAsia="Times New Roman" w:hAnsi="Times New Roman" w:cs="Times New Roman"/>
                <w:sz w:val="24"/>
              </w:rPr>
              <w:t>“Noteikumi par vides aizsardzības oficiālās statistikas veidlapām”</w:t>
            </w:r>
            <w:r w:rsidR="004512C1">
              <w:rPr>
                <w:rFonts w:ascii="Times New Roman" w:eastAsia="Times New Roman" w:hAnsi="Times New Roman" w:cs="Times New Roman"/>
                <w:sz w:val="24"/>
              </w:rPr>
              <w:t>)</w:t>
            </w:r>
            <w:r>
              <w:rPr>
                <w:rFonts w:ascii="Times New Roman" w:eastAsia="Times New Roman" w:hAnsi="Times New Roman" w:cs="Times New Roman"/>
                <w:sz w:val="24"/>
              </w:rPr>
              <w:t>;</w:t>
            </w:r>
          </w:p>
          <w:p w14:paraId="0D5A35E0" w14:textId="77777777" w:rsidR="00551014" w:rsidRPr="002509F7" w:rsidRDefault="00A653AF">
            <w:pPr>
              <w:numPr>
                <w:ilvl w:val="0"/>
                <w:numId w:val="2"/>
              </w:numPr>
              <w:spacing w:after="0" w:line="240" w:lineRule="auto"/>
              <w:ind w:left="589" w:right="72" w:hanging="435"/>
              <w:jc w:val="both"/>
              <w:rPr>
                <w:rFonts w:ascii="Times New Roman" w:eastAsia="Times New Roman" w:hAnsi="Times New Roman" w:cs="Times New Roman"/>
                <w:sz w:val="24"/>
              </w:rPr>
            </w:pPr>
            <w:r>
              <w:rPr>
                <w:rFonts w:ascii="Times New Roman" w:eastAsia="Times New Roman" w:hAnsi="Times New Roman" w:cs="Times New Roman"/>
                <w:sz w:val="24"/>
              </w:rPr>
              <w:t>uz atkritumu pārstrādes un reģenerācijas iekārtu operatoriem – atbilstoši Vides pārraudzības valsts biroja tīmekļviet</w:t>
            </w:r>
            <w:r w:rsidR="004512C1">
              <w:rPr>
                <w:rFonts w:ascii="Times New Roman" w:eastAsia="Times New Roman" w:hAnsi="Times New Roman" w:cs="Times New Roman"/>
                <w:sz w:val="24"/>
              </w:rPr>
              <w:t xml:space="preserve">nē pieejamajai </w:t>
            </w:r>
            <w:r w:rsidR="004512C1" w:rsidRPr="002509F7">
              <w:rPr>
                <w:rFonts w:ascii="Times New Roman" w:eastAsia="Times New Roman" w:hAnsi="Times New Roman" w:cs="Times New Roman"/>
                <w:sz w:val="24"/>
              </w:rPr>
              <w:t>informācijai 2018. gada pirmajos divos</w:t>
            </w:r>
            <w:r w:rsidRPr="002509F7">
              <w:rPr>
                <w:rFonts w:ascii="Times New Roman" w:eastAsia="Times New Roman" w:hAnsi="Times New Roman" w:cs="Times New Roman"/>
                <w:sz w:val="24"/>
              </w:rPr>
              <w:t xml:space="preserve"> ceturkšņos ir izsniegtas 26 atļaujas A kategorijas piesārņojošās darbības veikšanai atkritumu apsaimniekošanas jomā, 308 atļaujas B kategorijas piesārņojošās darbības veikšanai atkritumu apsaimniekošanas jomā un 113 atļaujas B kategorijas piesārņojošas darbības veikšanai attiecībā uz nolietotiem transportlīdzekļiem un kuģu vrakiem – kopumā 447 komersantiem;</w:t>
            </w:r>
          </w:p>
          <w:p w14:paraId="58D186C0" w14:textId="77777777" w:rsidR="00551014" w:rsidRDefault="00A653AF" w:rsidP="004512C1">
            <w:pPr>
              <w:numPr>
                <w:ilvl w:val="0"/>
                <w:numId w:val="2"/>
              </w:numPr>
              <w:spacing w:after="0" w:line="240" w:lineRule="auto"/>
              <w:ind w:left="589" w:right="72" w:hanging="435"/>
              <w:jc w:val="both"/>
              <w:rPr>
                <w:rFonts w:ascii="Times New Roman" w:eastAsia="Times New Roman" w:hAnsi="Times New Roman" w:cs="Times New Roman"/>
                <w:sz w:val="24"/>
              </w:rPr>
            </w:pPr>
            <w:r>
              <w:rPr>
                <w:rFonts w:ascii="Times New Roman" w:eastAsia="Times New Roman" w:hAnsi="Times New Roman" w:cs="Times New Roman"/>
                <w:sz w:val="24"/>
              </w:rPr>
              <w:t>personām, kuras ieved Latvijā pārstrāde</w:t>
            </w:r>
            <w:r w:rsidR="00027272">
              <w:rPr>
                <w:rFonts w:ascii="Times New Roman" w:eastAsia="Times New Roman" w:hAnsi="Times New Roman" w:cs="Times New Roman"/>
                <w:sz w:val="24"/>
              </w:rPr>
              <w:t>i un reģenerācijai Regulas Nr. 1</w:t>
            </w:r>
            <w:r>
              <w:rPr>
                <w:rFonts w:ascii="Times New Roman" w:eastAsia="Times New Roman" w:hAnsi="Times New Roman" w:cs="Times New Roman"/>
                <w:sz w:val="24"/>
              </w:rPr>
              <w:t>013/2006</w:t>
            </w:r>
            <w:r w:rsidR="00027272">
              <w:rPr>
                <w:rStyle w:val="FootnoteReference"/>
                <w:rFonts w:ascii="Times New Roman" w:eastAsia="Times New Roman" w:hAnsi="Times New Roman" w:cs="Times New Roman"/>
                <w:sz w:val="24"/>
              </w:rPr>
              <w:footnoteReference w:id="1"/>
            </w:r>
            <w:r>
              <w:rPr>
                <w:rFonts w:ascii="Times New Roman" w:eastAsia="Times New Roman" w:hAnsi="Times New Roman" w:cs="Times New Roman"/>
                <w:sz w:val="24"/>
              </w:rPr>
              <w:t xml:space="preserve"> 3. panta 2. punktā minētos atkritumus;</w:t>
            </w:r>
          </w:p>
          <w:p w14:paraId="792B4C50" w14:textId="77777777" w:rsidR="00027272" w:rsidRPr="004512C1" w:rsidRDefault="00027272" w:rsidP="004512C1">
            <w:pPr>
              <w:numPr>
                <w:ilvl w:val="0"/>
                <w:numId w:val="2"/>
              </w:numPr>
              <w:spacing w:after="0" w:line="240" w:lineRule="auto"/>
              <w:ind w:left="589" w:right="72" w:hanging="435"/>
              <w:jc w:val="both"/>
              <w:rPr>
                <w:rFonts w:ascii="Times New Roman" w:eastAsia="Times New Roman" w:hAnsi="Times New Roman" w:cs="Times New Roman"/>
                <w:sz w:val="24"/>
              </w:rPr>
            </w:pPr>
            <w:r>
              <w:rPr>
                <w:rFonts w:ascii="Times New Roman" w:eastAsia="Times New Roman" w:hAnsi="Times New Roman" w:cs="Times New Roman"/>
                <w:sz w:val="24"/>
              </w:rPr>
              <w:t>atkritumu apglabāšanas poligonu operatoriem (pašlaik Latvijā ir 10 sadzīves atkritumu apglabāšanas poligoni un 1 bīstamo atkritumu apglabāšanas poligons);</w:t>
            </w:r>
          </w:p>
          <w:p w14:paraId="0D1B8DBB" w14:textId="77777777" w:rsidR="00551014" w:rsidRDefault="00A653AF">
            <w:pPr>
              <w:numPr>
                <w:ilvl w:val="0"/>
                <w:numId w:val="3"/>
              </w:numPr>
              <w:spacing w:after="0" w:line="240" w:lineRule="auto"/>
              <w:ind w:left="589" w:hanging="435"/>
              <w:jc w:val="both"/>
              <w:rPr>
                <w:rFonts w:ascii="Times New Roman" w:eastAsia="Times New Roman" w:hAnsi="Times New Roman" w:cs="Times New Roman"/>
                <w:sz w:val="24"/>
              </w:rPr>
            </w:pPr>
            <w:r>
              <w:rPr>
                <w:rFonts w:ascii="Times New Roman" w:eastAsia="Times New Roman" w:hAnsi="Times New Roman" w:cs="Times New Roman"/>
                <w:sz w:val="24"/>
              </w:rPr>
              <w:t>atbilstoši VVD tīmekļvietnē sniegtajai informācijai</w:t>
            </w:r>
            <w:r w:rsidR="00027272">
              <w:rPr>
                <w:rFonts w:ascii="Times New Roman" w:eastAsia="Times New Roman" w:hAnsi="Times New Roman" w:cs="Times New Roman"/>
                <w:sz w:val="24"/>
              </w:rPr>
              <w:t>,</w:t>
            </w:r>
            <w:r>
              <w:rPr>
                <w:rFonts w:ascii="Times New Roman" w:eastAsia="Times New Roman" w:hAnsi="Times New Roman" w:cs="Times New Roman"/>
                <w:sz w:val="24"/>
              </w:rPr>
              <w:t xml:space="preserve"> lai</w:t>
            </w:r>
            <w:r w:rsidR="00027272">
              <w:rPr>
                <w:rFonts w:ascii="Times New Roman" w:eastAsia="Times New Roman" w:hAnsi="Times New Roman" w:cs="Times New Roman"/>
                <w:sz w:val="24"/>
              </w:rPr>
              <w:t>ka posmā no 2014. gada līdz 2018</w:t>
            </w:r>
            <w:r>
              <w:rPr>
                <w:rFonts w:ascii="Times New Roman" w:eastAsia="Times New Roman" w:hAnsi="Times New Roman" w:cs="Times New Roman"/>
                <w:sz w:val="24"/>
              </w:rPr>
              <w:t xml:space="preserve">. gadam (ieskaitot) ir izsniegtas šādas atļaujas atkritumu apsaimniekošanas darbībām atbilstoši Ministru kabineta 2011. gada 13. septembra noteikumiem Nr. 703 “Noteikumi par atkritumu apsaimniekošanas atļaujas izsniegšanas un anulēšanas kārtību, atkritumu tirgotāju un atkritumu apsaimniekošanas starpnieku reģistrācijas kārtību, kā arī par valsts nodevu un tās maksāšanas kārtību” (turpmāk – MK noteikumi Nr. 703), kā arī licences melno un krāsaino metālu lūžņu iepirkšanai. </w:t>
            </w:r>
          </w:p>
          <w:tbl>
            <w:tblPr>
              <w:tblW w:w="0" w:type="auto"/>
              <w:tblCellMar>
                <w:left w:w="10" w:type="dxa"/>
                <w:right w:w="10" w:type="dxa"/>
              </w:tblCellMar>
              <w:tblLook w:val="04A0" w:firstRow="1" w:lastRow="0" w:firstColumn="1" w:lastColumn="0" w:noHBand="0" w:noVBand="1"/>
            </w:tblPr>
            <w:tblGrid>
              <w:gridCol w:w="1225"/>
              <w:gridCol w:w="1991"/>
              <w:gridCol w:w="1512"/>
              <w:gridCol w:w="1218"/>
            </w:tblGrid>
            <w:tr w:rsidR="00551014" w14:paraId="2DCB60BC" w14:textId="77777777" w:rsidTr="002509F7">
              <w:trPr>
                <w:trHeight w:val="1"/>
              </w:trPr>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8EB5D" w14:textId="77777777" w:rsidR="00551014" w:rsidRDefault="00A653AF">
                  <w:pPr>
                    <w:spacing w:after="0" w:line="240" w:lineRule="auto"/>
                    <w:jc w:val="both"/>
                  </w:pPr>
                  <w:r>
                    <w:rPr>
                      <w:rFonts w:ascii="Times New Roman" w:eastAsia="Times New Roman" w:hAnsi="Times New Roman" w:cs="Times New Roman"/>
                      <w:sz w:val="24"/>
                    </w:rPr>
                    <w:t>Gads</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A43F9" w14:textId="77777777" w:rsidR="00551014" w:rsidRDefault="00A653AF">
                  <w:pPr>
                    <w:spacing w:after="0" w:line="240" w:lineRule="auto"/>
                    <w:jc w:val="both"/>
                  </w:pPr>
                  <w:r>
                    <w:rPr>
                      <w:rFonts w:ascii="Times New Roman" w:eastAsia="Times New Roman" w:hAnsi="Times New Roman" w:cs="Times New Roman"/>
                      <w:sz w:val="24"/>
                    </w:rPr>
                    <w:t>Atļauja atkritumu apsaimniekošanai</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E8498" w14:textId="77777777" w:rsidR="00551014" w:rsidRDefault="00A653AF">
                  <w:pPr>
                    <w:spacing w:after="0" w:line="240" w:lineRule="auto"/>
                    <w:jc w:val="both"/>
                  </w:pPr>
                  <w:r>
                    <w:rPr>
                      <w:rFonts w:ascii="Times New Roman" w:eastAsia="Times New Roman" w:hAnsi="Times New Roman" w:cs="Times New Roman"/>
                      <w:sz w:val="24"/>
                    </w:rPr>
                    <w:t xml:space="preserve">Licences melno un </w:t>
                  </w:r>
                  <w:r>
                    <w:rPr>
                      <w:rFonts w:ascii="Times New Roman" w:eastAsia="Times New Roman" w:hAnsi="Times New Roman" w:cs="Times New Roman"/>
                      <w:sz w:val="24"/>
                    </w:rPr>
                    <w:lastRenderedPageBreak/>
                    <w:t>krāsaino metālu atgriezumu un lūžņu iepirkšanai</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18C98" w14:textId="77777777" w:rsidR="00551014" w:rsidRDefault="00A653AF">
                  <w:pPr>
                    <w:spacing w:after="0" w:line="240" w:lineRule="auto"/>
                    <w:jc w:val="both"/>
                  </w:pPr>
                  <w:r>
                    <w:rPr>
                      <w:rFonts w:ascii="Times New Roman" w:eastAsia="Times New Roman" w:hAnsi="Times New Roman" w:cs="Times New Roman"/>
                      <w:sz w:val="24"/>
                    </w:rPr>
                    <w:lastRenderedPageBreak/>
                    <w:t>Kopā</w:t>
                  </w:r>
                </w:p>
              </w:tc>
            </w:tr>
            <w:tr w:rsidR="00551014" w14:paraId="2FF51397" w14:textId="77777777" w:rsidTr="002509F7">
              <w:trPr>
                <w:trHeight w:val="1"/>
              </w:trPr>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20488" w14:textId="77777777" w:rsidR="00551014" w:rsidRDefault="00A653AF">
                  <w:pPr>
                    <w:spacing w:after="0" w:line="240" w:lineRule="auto"/>
                    <w:jc w:val="both"/>
                  </w:pPr>
                  <w:r>
                    <w:rPr>
                      <w:rFonts w:ascii="Times New Roman" w:eastAsia="Times New Roman" w:hAnsi="Times New Roman" w:cs="Times New Roman"/>
                      <w:sz w:val="24"/>
                    </w:rPr>
                    <w:t>2017.</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49313" w14:textId="77777777" w:rsidR="00551014" w:rsidRDefault="00A653AF">
                  <w:pPr>
                    <w:spacing w:after="0" w:line="240" w:lineRule="auto"/>
                    <w:jc w:val="both"/>
                  </w:pPr>
                  <w:r>
                    <w:rPr>
                      <w:rFonts w:ascii="Times New Roman" w:eastAsia="Times New Roman" w:hAnsi="Times New Roman" w:cs="Times New Roman"/>
                      <w:sz w:val="24"/>
                    </w:rPr>
                    <w:t>64</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B0630" w14:textId="77777777" w:rsidR="00551014" w:rsidRDefault="00A653AF">
                  <w:pPr>
                    <w:spacing w:after="0" w:line="240" w:lineRule="auto"/>
                    <w:jc w:val="both"/>
                  </w:pPr>
                  <w:r>
                    <w:rPr>
                      <w:rFonts w:ascii="Times New Roman" w:eastAsia="Times New Roman" w:hAnsi="Times New Roman" w:cs="Times New Roman"/>
                      <w:sz w:val="24"/>
                    </w:rPr>
                    <w:t>18</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92172" w14:textId="77777777" w:rsidR="00551014" w:rsidRDefault="00A653AF">
                  <w:pPr>
                    <w:spacing w:after="0" w:line="240" w:lineRule="auto"/>
                    <w:jc w:val="both"/>
                  </w:pPr>
                  <w:r>
                    <w:rPr>
                      <w:rFonts w:ascii="Times New Roman" w:eastAsia="Times New Roman" w:hAnsi="Times New Roman" w:cs="Times New Roman"/>
                      <w:sz w:val="24"/>
                    </w:rPr>
                    <w:t>82</w:t>
                  </w:r>
                </w:p>
              </w:tc>
            </w:tr>
            <w:tr w:rsidR="00551014" w14:paraId="2F827EEF" w14:textId="77777777" w:rsidTr="002509F7">
              <w:trPr>
                <w:trHeight w:val="1"/>
              </w:trPr>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D6763" w14:textId="77777777" w:rsidR="00551014" w:rsidRDefault="00A653AF">
                  <w:pPr>
                    <w:spacing w:after="0" w:line="240" w:lineRule="auto"/>
                    <w:jc w:val="both"/>
                  </w:pPr>
                  <w:r>
                    <w:rPr>
                      <w:rFonts w:ascii="Times New Roman" w:eastAsia="Times New Roman" w:hAnsi="Times New Roman" w:cs="Times New Roman"/>
                      <w:sz w:val="24"/>
                    </w:rPr>
                    <w:t>2016.</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43181" w14:textId="77777777" w:rsidR="00551014" w:rsidRDefault="00A653AF">
                  <w:pPr>
                    <w:spacing w:after="0" w:line="240" w:lineRule="auto"/>
                    <w:jc w:val="both"/>
                  </w:pPr>
                  <w:r>
                    <w:rPr>
                      <w:rFonts w:ascii="Times New Roman" w:eastAsia="Times New Roman" w:hAnsi="Times New Roman" w:cs="Times New Roman"/>
                      <w:sz w:val="24"/>
                    </w:rPr>
                    <w:t>88</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C1B53" w14:textId="77777777" w:rsidR="00551014" w:rsidRDefault="00A653AF">
                  <w:pPr>
                    <w:spacing w:after="0" w:line="240" w:lineRule="auto"/>
                    <w:jc w:val="both"/>
                  </w:pPr>
                  <w:r>
                    <w:rPr>
                      <w:rFonts w:ascii="Times New Roman" w:eastAsia="Times New Roman" w:hAnsi="Times New Roman" w:cs="Times New Roman"/>
                      <w:sz w:val="24"/>
                    </w:rPr>
                    <w:t>13</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10390" w14:textId="77777777" w:rsidR="00551014" w:rsidRDefault="00A653AF">
                  <w:pPr>
                    <w:spacing w:after="0" w:line="240" w:lineRule="auto"/>
                    <w:jc w:val="both"/>
                  </w:pPr>
                  <w:r>
                    <w:rPr>
                      <w:rFonts w:ascii="Times New Roman" w:eastAsia="Times New Roman" w:hAnsi="Times New Roman" w:cs="Times New Roman"/>
                      <w:sz w:val="24"/>
                    </w:rPr>
                    <w:t>101</w:t>
                  </w:r>
                </w:p>
              </w:tc>
            </w:tr>
            <w:tr w:rsidR="00551014" w14:paraId="21542CE1" w14:textId="77777777" w:rsidTr="002509F7">
              <w:trPr>
                <w:trHeight w:val="1"/>
              </w:trPr>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C6593" w14:textId="77777777" w:rsidR="00551014" w:rsidRDefault="00A653AF">
                  <w:pPr>
                    <w:spacing w:after="0" w:line="240" w:lineRule="auto"/>
                    <w:jc w:val="both"/>
                  </w:pPr>
                  <w:r>
                    <w:rPr>
                      <w:rFonts w:ascii="Times New Roman" w:eastAsia="Times New Roman" w:hAnsi="Times New Roman" w:cs="Times New Roman"/>
                      <w:sz w:val="24"/>
                    </w:rPr>
                    <w:t>2015.</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18E92" w14:textId="77777777" w:rsidR="00551014" w:rsidRDefault="00A653AF">
                  <w:pPr>
                    <w:spacing w:after="0" w:line="240" w:lineRule="auto"/>
                    <w:jc w:val="both"/>
                  </w:pPr>
                  <w:r>
                    <w:rPr>
                      <w:rFonts w:ascii="Times New Roman" w:eastAsia="Times New Roman" w:hAnsi="Times New Roman" w:cs="Times New Roman"/>
                      <w:sz w:val="24"/>
                    </w:rPr>
                    <w:t>99</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74C88" w14:textId="77777777" w:rsidR="00551014" w:rsidRDefault="00A653AF">
                  <w:pPr>
                    <w:spacing w:after="0" w:line="240" w:lineRule="auto"/>
                    <w:jc w:val="both"/>
                  </w:pPr>
                  <w:r>
                    <w:rPr>
                      <w:rFonts w:ascii="Times New Roman" w:eastAsia="Times New Roman" w:hAnsi="Times New Roman" w:cs="Times New Roman"/>
                      <w:sz w:val="24"/>
                    </w:rPr>
                    <w:t>21</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FE0EA" w14:textId="77777777" w:rsidR="00551014" w:rsidRDefault="00A653AF">
                  <w:pPr>
                    <w:spacing w:after="0" w:line="240" w:lineRule="auto"/>
                    <w:jc w:val="both"/>
                  </w:pPr>
                  <w:r>
                    <w:rPr>
                      <w:rFonts w:ascii="Times New Roman" w:eastAsia="Times New Roman" w:hAnsi="Times New Roman" w:cs="Times New Roman"/>
                      <w:sz w:val="24"/>
                    </w:rPr>
                    <w:t>120</w:t>
                  </w:r>
                </w:p>
              </w:tc>
            </w:tr>
            <w:tr w:rsidR="00551014" w14:paraId="78122850" w14:textId="77777777" w:rsidTr="002509F7">
              <w:trPr>
                <w:trHeight w:val="1"/>
              </w:trPr>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A6C3C" w14:textId="77777777" w:rsidR="00551014" w:rsidRDefault="00A653AF">
                  <w:pPr>
                    <w:spacing w:after="0" w:line="240" w:lineRule="auto"/>
                    <w:jc w:val="both"/>
                  </w:pPr>
                  <w:r>
                    <w:rPr>
                      <w:rFonts w:ascii="Times New Roman" w:eastAsia="Times New Roman" w:hAnsi="Times New Roman" w:cs="Times New Roman"/>
                      <w:sz w:val="24"/>
                    </w:rPr>
                    <w:t>2014.</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711FE" w14:textId="77777777" w:rsidR="00551014" w:rsidRDefault="00A653AF">
                  <w:pPr>
                    <w:spacing w:after="0" w:line="240" w:lineRule="auto"/>
                    <w:jc w:val="both"/>
                  </w:pPr>
                  <w:r>
                    <w:rPr>
                      <w:rFonts w:ascii="Times New Roman" w:eastAsia="Times New Roman" w:hAnsi="Times New Roman" w:cs="Times New Roman"/>
                      <w:sz w:val="24"/>
                    </w:rPr>
                    <w:t>83</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9E8BC" w14:textId="77777777" w:rsidR="00551014" w:rsidRDefault="00A653AF">
                  <w:pPr>
                    <w:spacing w:after="0" w:line="240" w:lineRule="auto"/>
                    <w:jc w:val="both"/>
                  </w:pPr>
                  <w:r>
                    <w:rPr>
                      <w:rFonts w:ascii="Times New Roman" w:eastAsia="Times New Roman" w:hAnsi="Times New Roman" w:cs="Times New Roman"/>
                      <w:sz w:val="24"/>
                    </w:rPr>
                    <w:t>17</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23544" w14:textId="77777777" w:rsidR="00551014" w:rsidRDefault="00A653AF">
                  <w:pPr>
                    <w:spacing w:after="0" w:line="240" w:lineRule="auto"/>
                    <w:jc w:val="both"/>
                  </w:pPr>
                  <w:r>
                    <w:rPr>
                      <w:rFonts w:ascii="Times New Roman" w:eastAsia="Times New Roman" w:hAnsi="Times New Roman" w:cs="Times New Roman"/>
                      <w:sz w:val="24"/>
                    </w:rPr>
                    <w:t>100</w:t>
                  </w:r>
                </w:p>
              </w:tc>
            </w:tr>
          </w:tbl>
          <w:p w14:paraId="6BA185F7" w14:textId="77777777" w:rsidR="00551014" w:rsidRDefault="00A653A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Datu avots: VVD</w:t>
            </w:r>
          </w:p>
          <w:p w14:paraId="2E9D4640" w14:textId="77777777" w:rsidR="00551014" w:rsidRDefault="00551014">
            <w:pPr>
              <w:spacing w:after="0" w:line="240" w:lineRule="auto"/>
              <w:jc w:val="both"/>
              <w:rPr>
                <w:rFonts w:ascii="Times New Roman" w:eastAsia="Times New Roman" w:hAnsi="Times New Roman" w:cs="Times New Roman"/>
                <w:sz w:val="24"/>
              </w:rPr>
            </w:pPr>
          </w:p>
          <w:p w14:paraId="629CBFEB" w14:textId="359C71D6" w:rsidR="00551014" w:rsidRPr="002509F7" w:rsidRDefault="00A653A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Tomēr jāņem vērā, ka ne visi komersanti, kuri sniedz informāciju vides aizsardzības oficiālās statistikas veidlapās “3-Atkritumi” vai kuriem ir izsniegta attiecīga atkritumu apsaimniekošanas atļauja, veic </w:t>
            </w:r>
            <w:r w:rsidR="003A469A">
              <w:rPr>
                <w:rFonts w:ascii="Times New Roman" w:eastAsia="Times New Roman" w:hAnsi="Times New Roman" w:cs="Times New Roman"/>
                <w:sz w:val="24"/>
              </w:rPr>
              <w:t>N</w:t>
            </w:r>
            <w:r>
              <w:rPr>
                <w:rFonts w:ascii="Times New Roman" w:eastAsia="Times New Roman" w:hAnsi="Times New Roman" w:cs="Times New Roman"/>
                <w:sz w:val="24"/>
              </w:rPr>
              <w:t xml:space="preserve">oteikumu projektā minētos atkritumu pārvadājumus. Vienlaikus jāņem vērā, ka ir atkritumu apsaimniekotāji, kuri ir saņēmuši divas vai vairākas atļaujas atkritumu </w:t>
            </w:r>
            <w:r w:rsidRPr="002509F7">
              <w:rPr>
                <w:rFonts w:ascii="Times New Roman" w:eastAsia="Times New Roman" w:hAnsi="Times New Roman" w:cs="Times New Roman"/>
                <w:sz w:val="24"/>
              </w:rPr>
              <w:t xml:space="preserve">apsaimniekošanai. </w:t>
            </w:r>
          </w:p>
          <w:p w14:paraId="327B7CD4" w14:textId="053DEA41" w:rsidR="00551014" w:rsidRPr="002509F7" w:rsidRDefault="00027272">
            <w:pPr>
              <w:spacing w:after="0" w:line="240" w:lineRule="auto"/>
              <w:jc w:val="both"/>
              <w:rPr>
                <w:rFonts w:ascii="Times New Roman" w:eastAsia="Times New Roman" w:hAnsi="Times New Roman" w:cs="Times New Roman"/>
                <w:sz w:val="24"/>
              </w:rPr>
            </w:pPr>
            <w:r w:rsidRPr="002509F7">
              <w:rPr>
                <w:rFonts w:ascii="Times New Roman" w:eastAsia="Times New Roman" w:hAnsi="Times New Roman" w:cs="Times New Roman"/>
                <w:sz w:val="24"/>
              </w:rPr>
              <w:t xml:space="preserve">Pašreiz darbojas APUS, kurai ir </w:t>
            </w:r>
            <w:r w:rsidR="002509F7" w:rsidRPr="002509F7">
              <w:rPr>
                <w:rFonts w:ascii="Times New Roman" w:eastAsia="Times New Roman" w:hAnsi="Times New Roman" w:cs="Times New Roman"/>
                <w:sz w:val="24"/>
              </w:rPr>
              <w:t>135</w:t>
            </w:r>
            <w:r w:rsidR="00A653AF" w:rsidRPr="002509F7">
              <w:rPr>
                <w:rFonts w:ascii="Times New Roman" w:eastAsia="Times New Roman" w:hAnsi="Times New Roman" w:cs="Times New Roman"/>
                <w:sz w:val="24"/>
              </w:rPr>
              <w:t xml:space="preserve"> l</w:t>
            </w:r>
            <w:r w:rsidRPr="002509F7">
              <w:rPr>
                <w:rFonts w:ascii="Times New Roman" w:eastAsia="Times New Roman" w:hAnsi="Times New Roman" w:cs="Times New Roman"/>
                <w:sz w:val="24"/>
              </w:rPr>
              <w:t xml:space="preserve">ietotāji, un BRAPUS, kurai ir </w:t>
            </w:r>
            <w:r w:rsidR="002509F7" w:rsidRPr="002509F7">
              <w:rPr>
                <w:rFonts w:ascii="Times New Roman" w:eastAsia="Times New Roman" w:hAnsi="Times New Roman" w:cs="Times New Roman"/>
                <w:sz w:val="24"/>
              </w:rPr>
              <w:t>97</w:t>
            </w:r>
            <w:r w:rsidR="00A653AF" w:rsidRPr="002509F7">
              <w:rPr>
                <w:rFonts w:ascii="Times New Roman" w:eastAsia="Times New Roman" w:hAnsi="Times New Roman" w:cs="Times New Roman"/>
                <w:sz w:val="24"/>
              </w:rPr>
              <w:t xml:space="preserve"> lietotāji.</w:t>
            </w:r>
          </w:p>
          <w:p w14:paraId="46709E6B" w14:textId="77777777" w:rsidR="00551014" w:rsidRPr="002509F7" w:rsidRDefault="00551014">
            <w:pPr>
              <w:spacing w:after="0" w:line="240" w:lineRule="auto"/>
              <w:jc w:val="both"/>
              <w:rPr>
                <w:rFonts w:ascii="Times New Roman" w:eastAsia="Times New Roman" w:hAnsi="Times New Roman" w:cs="Times New Roman"/>
                <w:sz w:val="24"/>
              </w:rPr>
            </w:pPr>
          </w:p>
          <w:p w14:paraId="697A3AB2" w14:textId="77777777" w:rsidR="00551014" w:rsidRDefault="00A653AF">
            <w:pPr>
              <w:spacing w:after="0" w:line="240" w:lineRule="auto"/>
              <w:jc w:val="both"/>
            </w:pPr>
            <w:r w:rsidRPr="002509F7">
              <w:rPr>
                <w:rFonts w:ascii="Times New Roman" w:eastAsia="Times New Roman" w:hAnsi="Times New Roman" w:cs="Times New Roman"/>
                <w:sz w:val="24"/>
              </w:rPr>
              <w:t>Turpmāko aprēķinu veikšanai VARAM</w:t>
            </w:r>
            <w:r>
              <w:rPr>
                <w:rFonts w:ascii="Times New Roman" w:eastAsia="Times New Roman" w:hAnsi="Times New Roman" w:cs="Times New Roman"/>
                <w:sz w:val="24"/>
              </w:rPr>
              <w:t xml:space="preserve"> pieņem, ka sistēmu izmantos ne vairāk ka 500 lietotāji, ņemot vērā atkritumu pārstrādes un reģenerācijas iekārtu darbībai izsniegto A un B kategorijas atļauju skaitu (477 atļaujas) un komersantu skaitu, kuri ir saņēmuši atkritumu apsaimniekošanas atļaujas un licences melno un krāsaino metāllūžņu iepirkšanai (vidēji 100 komersanti gadā).</w:t>
            </w:r>
          </w:p>
        </w:tc>
      </w:tr>
      <w:tr w:rsidR="00551014" w14:paraId="0FF80DFF" w14:textId="77777777">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0A838" w14:textId="77777777" w:rsidR="00551014" w:rsidRDefault="00A653AF">
            <w:pPr>
              <w:spacing w:after="0" w:line="240" w:lineRule="auto"/>
              <w:jc w:val="both"/>
            </w:pPr>
            <w:r>
              <w:rPr>
                <w:rFonts w:ascii="Times New Roman" w:eastAsia="Times New Roman" w:hAnsi="Times New Roman" w:cs="Times New Roman"/>
                <w:sz w:val="24"/>
              </w:rPr>
              <w:lastRenderedPageBreak/>
              <w:t>2.</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2413C" w14:textId="77777777" w:rsidR="00551014" w:rsidRDefault="00A653AF">
            <w:pPr>
              <w:spacing w:after="0" w:line="240" w:lineRule="auto"/>
              <w:jc w:val="both"/>
            </w:pPr>
            <w:r>
              <w:rPr>
                <w:rFonts w:ascii="Times New Roman" w:eastAsia="Times New Roman" w:hAnsi="Times New Roman" w:cs="Times New Roman"/>
                <w:sz w:val="24"/>
              </w:rPr>
              <w:t>Tiesiskā regulējuma ietekme uz tautsaimniecību un administratīvo slogu</w:t>
            </w:r>
          </w:p>
        </w:tc>
        <w:tc>
          <w:tcPr>
            <w:tcW w:w="6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3BEC8" w14:textId="0C98124B" w:rsidR="00551014" w:rsidRDefault="004B52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Tiesiskajam regulējumam nebūs būtiskas ietekmes uz tautsaimniecību un administratīvo slogu, jo pēc būtības </w:t>
            </w:r>
            <w:r w:rsidR="00473D82">
              <w:rPr>
                <w:rFonts w:ascii="Times New Roman" w:eastAsia="Times New Roman" w:hAnsi="Times New Roman" w:cs="Times New Roman"/>
                <w:sz w:val="24"/>
              </w:rPr>
              <w:t>N</w:t>
            </w:r>
            <w:r>
              <w:rPr>
                <w:rFonts w:ascii="Times New Roman" w:eastAsia="Times New Roman" w:hAnsi="Times New Roman" w:cs="Times New Roman"/>
                <w:sz w:val="24"/>
              </w:rPr>
              <w:t>oteikumu projekts neuzliek jaunus pienākumus, bet apvieno vienā normatīvajā aktā jau spēkā esošu normatīvo aktu prasības.</w:t>
            </w:r>
          </w:p>
          <w:p w14:paraId="4E0B189A" w14:textId="16B033DD" w:rsidR="00473D82" w:rsidRPr="00F370D3" w:rsidRDefault="00473D82" w:rsidP="00473D82">
            <w:pPr>
              <w:spacing w:after="12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Noteikumu projekts </w:t>
            </w:r>
            <w:r w:rsidRPr="00F370D3">
              <w:rPr>
                <w:rFonts w:ascii="Times New Roman" w:eastAsia="Times New Roman" w:hAnsi="Times New Roman" w:cs="Times New Roman"/>
                <w:iCs/>
                <w:sz w:val="24"/>
                <w:szCs w:val="24"/>
              </w:rPr>
              <w:t>veicina sakārtotāku uzņēmējdarbības vidi.</w:t>
            </w:r>
          </w:p>
          <w:p w14:paraId="1ABBBD17" w14:textId="3C5AF0ED" w:rsidR="00473D82" w:rsidRPr="00F370D3" w:rsidRDefault="00473D82" w:rsidP="00473D82">
            <w:pPr>
              <w:spacing w:after="12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Neparedz atšķirīgu pieeju</w:t>
            </w:r>
            <w:r w:rsidRPr="00F370D3">
              <w:rPr>
                <w:rFonts w:ascii="Times New Roman" w:eastAsia="Times New Roman" w:hAnsi="Times New Roman" w:cs="Times New Roman"/>
                <w:iCs/>
                <w:sz w:val="24"/>
                <w:szCs w:val="24"/>
              </w:rPr>
              <w:t xml:space="preserve"> atkarībā no </w:t>
            </w:r>
            <w:r>
              <w:rPr>
                <w:rFonts w:ascii="Times New Roman" w:eastAsia="Times New Roman" w:hAnsi="Times New Roman" w:cs="Times New Roman"/>
                <w:iCs/>
                <w:sz w:val="24"/>
                <w:szCs w:val="24"/>
              </w:rPr>
              <w:t>komersanta</w:t>
            </w:r>
            <w:r w:rsidRPr="00F370D3">
              <w:rPr>
                <w:rFonts w:ascii="Times New Roman" w:eastAsia="Times New Roman" w:hAnsi="Times New Roman" w:cs="Times New Roman"/>
                <w:iCs/>
                <w:sz w:val="24"/>
                <w:szCs w:val="24"/>
              </w:rPr>
              <w:t xml:space="preserve"> lieluma.</w:t>
            </w:r>
          </w:p>
          <w:p w14:paraId="2F51D979" w14:textId="77777777" w:rsidR="00473D82" w:rsidRPr="00F370D3" w:rsidRDefault="00473D82" w:rsidP="00473D82">
            <w:pPr>
              <w:spacing w:after="120" w:line="240" w:lineRule="auto"/>
              <w:jc w:val="both"/>
              <w:rPr>
                <w:rFonts w:ascii="Times New Roman" w:eastAsia="Times New Roman" w:hAnsi="Times New Roman" w:cs="Times New Roman"/>
                <w:iCs/>
                <w:sz w:val="24"/>
                <w:szCs w:val="24"/>
              </w:rPr>
            </w:pPr>
            <w:r w:rsidRPr="00F370D3">
              <w:rPr>
                <w:rFonts w:ascii="Times New Roman" w:eastAsia="Times New Roman" w:hAnsi="Times New Roman" w:cs="Times New Roman"/>
                <w:iCs/>
                <w:sz w:val="24"/>
                <w:szCs w:val="24"/>
              </w:rPr>
              <w:t>Ietekme uz Nacionālā attīstības plāna rādītājiem vērtējama kā nebūtiska vai pozitīva.</w:t>
            </w:r>
          </w:p>
          <w:p w14:paraId="7210C0AF" w14:textId="7BBCE5CD" w:rsidR="00473D82" w:rsidRPr="00F370D3" w:rsidRDefault="00473D82" w:rsidP="00473D82">
            <w:pPr>
              <w:spacing w:after="120" w:line="240" w:lineRule="auto"/>
              <w:jc w:val="both"/>
              <w:rPr>
                <w:rFonts w:ascii="Times New Roman" w:eastAsia="Times New Roman" w:hAnsi="Times New Roman" w:cs="Times New Roman"/>
                <w:iCs/>
                <w:sz w:val="24"/>
                <w:szCs w:val="24"/>
              </w:rPr>
            </w:pPr>
            <w:r w:rsidRPr="00F370D3">
              <w:rPr>
                <w:rFonts w:ascii="Times New Roman" w:eastAsia="Times New Roman" w:hAnsi="Times New Roman" w:cs="Times New Roman"/>
                <w:iCs/>
                <w:sz w:val="24"/>
                <w:szCs w:val="24"/>
              </w:rPr>
              <w:t>Konkuren</w:t>
            </w:r>
            <w:r>
              <w:rPr>
                <w:rFonts w:ascii="Times New Roman" w:eastAsia="Times New Roman" w:hAnsi="Times New Roman" w:cs="Times New Roman"/>
                <w:iCs/>
                <w:sz w:val="24"/>
                <w:szCs w:val="24"/>
              </w:rPr>
              <w:t>ces ziņā Noteikumu projekts</w:t>
            </w:r>
            <w:r w:rsidRPr="00F370D3">
              <w:rPr>
                <w:rFonts w:ascii="Times New Roman" w:eastAsia="Times New Roman" w:hAnsi="Times New Roman" w:cs="Times New Roman"/>
                <w:iCs/>
                <w:sz w:val="24"/>
                <w:szCs w:val="24"/>
              </w:rPr>
              <w:t xml:space="preserve"> ne</w:t>
            </w:r>
            <w:r>
              <w:rPr>
                <w:rFonts w:ascii="Times New Roman" w:eastAsia="Times New Roman" w:hAnsi="Times New Roman" w:cs="Times New Roman"/>
                <w:iCs/>
                <w:sz w:val="24"/>
                <w:szCs w:val="24"/>
              </w:rPr>
              <w:t>sniedz</w:t>
            </w:r>
            <w:r w:rsidRPr="00F370D3">
              <w:rPr>
                <w:rFonts w:ascii="Times New Roman" w:eastAsia="Times New Roman" w:hAnsi="Times New Roman" w:cs="Times New Roman"/>
                <w:iCs/>
                <w:sz w:val="24"/>
                <w:szCs w:val="24"/>
              </w:rPr>
              <w:t xml:space="preserve"> priekšrocības atsevišķiem </w:t>
            </w:r>
            <w:r>
              <w:rPr>
                <w:rFonts w:ascii="Times New Roman" w:eastAsia="Times New Roman" w:hAnsi="Times New Roman" w:cs="Times New Roman"/>
                <w:iCs/>
                <w:sz w:val="24"/>
                <w:szCs w:val="24"/>
              </w:rPr>
              <w:t>komersantiem</w:t>
            </w:r>
            <w:r w:rsidRPr="00F370D3">
              <w:rPr>
                <w:rFonts w:ascii="Times New Roman" w:eastAsia="Times New Roman" w:hAnsi="Times New Roman" w:cs="Times New Roman"/>
                <w:iCs/>
                <w:sz w:val="24"/>
                <w:szCs w:val="24"/>
              </w:rPr>
              <w:t xml:space="preserve"> vai nozar</w:t>
            </w:r>
            <w:r>
              <w:rPr>
                <w:rFonts w:ascii="Times New Roman" w:eastAsia="Times New Roman" w:hAnsi="Times New Roman" w:cs="Times New Roman"/>
                <w:iCs/>
                <w:sz w:val="24"/>
                <w:szCs w:val="24"/>
              </w:rPr>
              <w:t>ēm</w:t>
            </w:r>
            <w:r w:rsidRPr="00F370D3">
              <w:rPr>
                <w:rFonts w:ascii="Times New Roman" w:eastAsia="Times New Roman" w:hAnsi="Times New Roman" w:cs="Times New Roman"/>
                <w:iCs/>
                <w:sz w:val="24"/>
                <w:szCs w:val="24"/>
              </w:rPr>
              <w:t>.</w:t>
            </w:r>
          </w:p>
          <w:p w14:paraId="07BCEF97" w14:textId="6C285448" w:rsidR="00473D82" w:rsidRPr="00F370D3" w:rsidRDefault="00473D82" w:rsidP="00473D82">
            <w:pPr>
              <w:spacing w:after="120" w:line="240" w:lineRule="auto"/>
              <w:jc w:val="both"/>
              <w:rPr>
                <w:rFonts w:ascii="Times New Roman" w:eastAsia="Times New Roman" w:hAnsi="Times New Roman" w:cs="Times New Roman"/>
                <w:iCs/>
                <w:sz w:val="24"/>
                <w:szCs w:val="24"/>
              </w:rPr>
            </w:pPr>
            <w:r w:rsidRPr="00F370D3">
              <w:rPr>
                <w:rFonts w:ascii="Times New Roman" w:eastAsia="Times New Roman" w:hAnsi="Times New Roman" w:cs="Times New Roman"/>
                <w:iCs/>
                <w:sz w:val="24"/>
                <w:szCs w:val="24"/>
              </w:rPr>
              <w:t>Iespējamā ietekme uz vidi vērtējama pozitī</w:t>
            </w:r>
            <w:r>
              <w:rPr>
                <w:rFonts w:ascii="Times New Roman" w:eastAsia="Times New Roman" w:hAnsi="Times New Roman" w:cs="Times New Roman"/>
                <w:iCs/>
                <w:sz w:val="24"/>
                <w:szCs w:val="24"/>
              </w:rPr>
              <w:t>vi, jo Noteikumu projekta regulējums veicinās caurskatāmākas un korektākas informācijas saņemšanu dabas un vides aizsardzības iestādēm.</w:t>
            </w:r>
          </w:p>
          <w:p w14:paraId="1AAD9349" w14:textId="1A798901" w:rsidR="00473D82" w:rsidRPr="005C493B" w:rsidRDefault="00473D82" w:rsidP="005C493B">
            <w:pPr>
              <w:spacing w:after="12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Noteikumu projekts</w:t>
            </w:r>
            <w:r w:rsidRPr="00F370D3">
              <w:rPr>
                <w:rFonts w:ascii="Times New Roman" w:eastAsia="Times New Roman" w:hAnsi="Times New Roman" w:cs="Times New Roman"/>
                <w:iCs/>
                <w:sz w:val="24"/>
                <w:szCs w:val="24"/>
              </w:rPr>
              <w:t xml:space="preserve"> neparedz atsevišķu regulējum</w:t>
            </w:r>
            <w:r>
              <w:rPr>
                <w:rFonts w:ascii="Times New Roman" w:eastAsia="Times New Roman" w:hAnsi="Times New Roman" w:cs="Times New Roman"/>
                <w:iCs/>
                <w:sz w:val="24"/>
                <w:szCs w:val="24"/>
              </w:rPr>
              <w:t>u nevalstiskajām organizācijām.</w:t>
            </w:r>
          </w:p>
        </w:tc>
      </w:tr>
      <w:tr w:rsidR="00551014" w14:paraId="46C388A4" w14:textId="77777777">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DA523" w14:textId="77777777" w:rsidR="00551014" w:rsidRDefault="00A653AF">
            <w:pPr>
              <w:spacing w:after="0" w:line="240" w:lineRule="auto"/>
              <w:jc w:val="both"/>
            </w:pPr>
            <w:r>
              <w:rPr>
                <w:rFonts w:ascii="Times New Roman" w:eastAsia="Times New Roman" w:hAnsi="Times New Roman" w:cs="Times New Roman"/>
                <w:sz w:val="24"/>
              </w:rPr>
              <w:t>3.</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4FDB7" w14:textId="77777777" w:rsidR="00551014" w:rsidRDefault="00A653AF">
            <w:pPr>
              <w:spacing w:after="0" w:line="240" w:lineRule="auto"/>
              <w:jc w:val="both"/>
            </w:pPr>
            <w:r>
              <w:rPr>
                <w:rFonts w:ascii="Times New Roman" w:eastAsia="Times New Roman" w:hAnsi="Times New Roman" w:cs="Times New Roman"/>
                <w:sz w:val="24"/>
              </w:rPr>
              <w:t xml:space="preserve">Administratīvo izmaksu </w:t>
            </w:r>
            <w:r>
              <w:rPr>
                <w:rFonts w:ascii="Times New Roman" w:eastAsia="Times New Roman" w:hAnsi="Times New Roman" w:cs="Times New Roman"/>
                <w:sz w:val="24"/>
              </w:rPr>
              <w:lastRenderedPageBreak/>
              <w:t>monetārs novērtējums</w:t>
            </w:r>
          </w:p>
        </w:tc>
        <w:tc>
          <w:tcPr>
            <w:tcW w:w="6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32B0" w14:textId="41028B22" w:rsidR="00551014" w:rsidRDefault="004B52F7" w:rsidP="004B52F7">
            <w:pPr>
              <w:spacing w:after="0" w:line="240" w:lineRule="auto"/>
              <w:jc w:val="both"/>
            </w:pPr>
            <w:r w:rsidRPr="004B52F7">
              <w:rPr>
                <w:rFonts w:ascii="Times New Roman" w:eastAsia="Times New Roman" w:hAnsi="Times New Roman" w:cs="Times New Roman"/>
                <w:sz w:val="24"/>
              </w:rPr>
              <w:lastRenderedPageBreak/>
              <w:t>Nav</w:t>
            </w:r>
          </w:p>
        </w:tc>
      </w:tr>
      <w:tr w:rsidR="00551014" w14:paraId="4E4C50E3" w14:textId="77777777">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DDB69" w14:textId="77777777" w:rsidR="00551014" w:rsidRDefault="00A653AF">
            <w:pPr>
              <w:spacing w:after="0" w:line="240" w:lineRule="auto"/>
            </w:pPr>
            <w:r>
              <w:rPr>
                <w:rFonts w:ascii="Times New Roman" w:eastAsia="Times New Roman" w:hAnsi="Times New Roman" w:cs="Times New Roman"/>
                <w:sz w:val="24"/>
              </w:rPr>
              <w:t>4.</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73132" w14:textId="77777777" w:rsidR="00551014" w:rsidRDefault="00A653AF">
            <w:pPr>
              <w:spacing w:after="0" w:line="240" w:lineRule="auto"/>
            </w:pPr>
            <w:r>
              <w:rPr>
                <w:rFonts w:ascii="Times New Roman" w:eastAsia="Times New Roman" w:hAnsi="Times New Roman" w:cs="Times New Roman"/>
                <w:sz w:val="24"/>
              </w:rPr>
              <w:t>Atbilstības izmaksu monetārs novērtējums</w:t>
            </w:r>
          </w:p>
        </w:tc>
        <w:tc>
          <w:tcPr>
            <w:tcW w:w="6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73424" w14:textId="157F232A" w:rsidR="00551014" w:rsidRDefault="00A653A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Noteikumu projektā noteiktā maksa par atkritumu pārvadājumu uzskaites sistēmas izmantošanu ir </w:t>
            </w:r>
            <w:r w:rsidR="005C493B" w:rsidRPr="005C493B">
              <w:rPr>
                <w:rFonts w:ascii="Times New Roman" w:eastAsia="Times New Roman" w:hAnsi="Times New Roman" w:cs="Times New Roman"/>
                <w:sz w:val="24"/>
              </w:rPr>
              <w:t>690,00</w:t>
            </w:r>
            <w:r>
              <w:rPr>
                <w:rFonts w:ascii="Times New Roman" w:eastAsia="Times New Roman" w:hAnsi="Times New Roman" w:cs="Times New Roman"/>
                <w:sz w:val="24"/>
              </w:rPr>
              <w:t> </w:t>
            </w:r>
            <w:r>
              <w:rPr>
                <w:rFonts w:ascii="Times New Roman" w:eastAsia="Times New Roman" w:hAnsi="Times New Roman" w:cs="Times New Roman"/>
                <w:i/>
                <w:sz w:val="24"/>
              </w:rPr>
              <w:t>euro</w:t>
            </w:r>
            <w:r>
              <w:rPr>
                <w:rFonts w:ascii="Times New Roman" w:eastAsia="Times New Roman" w:hAnsi="Times New Roman" w:cs="Times New Roman"/>
                <w:sz w:val="24"/>
              </w:rPr>
              <w:t xml:space="preserve"> gadā un pievienotās vērtības nodoklis atbilstoši normatīvajiem aktiem.</w:t>
            </w:r>
          </w:p>
          <w:p w14:paraId="47C80EE9" w14:textId="77777777" w:rsidR="00551014" w:rsidRDefault="00551014">
            <w:pPr>
              <w:spacing w:after="0" w:line="240" w:lineRule="auto"/>
              <w:jc w:val="both"/>
              <w:rPr>
                <w:rFonts w:ascii="Times New Roman" w:eastAsia="Times New Roman" w:hAnsi="Times New Roman" w:cs="Times New Roman"/>
                <w:sz w:val="24"/>
              </w:rPr>
            </w:pPr>
          </w:p>
          <w:p w14:paraId="60F0E592" w14:textId="77777777" w:rsidR="00551014" w:rsidRPr="004B52F7" w:rsidRDefault="00A653AF">
            <w:pPr>
              <w:spacing w:after="0" w:line="240" w:lineRule="auto"/>
              <w:jc w:val="center"/>
              <w:rPr>
                <w:rFonts w:ascii="Times New Roman" w:eastAsia="Times New Roman" w:hAnsi="Times New Roman" w:cs="Times New Roman"/>
                <w:b/>
                <w:sz w:val="24"/>
              </w:rPr>
            </w:pPr>
            <w:r w:rsidRPr="004B52F7">
              <w:rPr>
                <w:rFonts w:ascii="Times New Roman" w:eastAsia="Times New Roman" w:hAnsi="Times New Roman" w:cs="Times New Roman"/>
                <w:b/>
                <w:sz w:val="24"/>
              </w:rPr>
              <w:t>Atkritumu uzskaites, identifikācijas, uzglabāšanas, iepakošanas, marķēšanas un pārvadājumu uzskaites sistēmas izmaksu aprēķins</w:t>
            </w:r>
          </w:p>
          <w:tbl>
            <w:tblPr>
              <w:tblW w:w="5948" w:type="dxa"/>
              <w:tblLook w:val="04A0" w:firstRow="1" w:lastRow="0" w:firstColumn="1" w:lastColumn="0" w:noHBand="0" w:noVBand="1"/>
            </w:tblPr>
            <w:tblGrid>
              <w:gridCol w:w="893"/>
              <w:gridCol w:w="2576"/>
              <w:gridCol w:w="1243"/>
              <w:gridCol w:w="1236"/>
            </w:tblGrid>
            <w:tr w:rsidR="002509F7" w:rsidRPr="002509F7" w14:paraId="035FC895" w14:textId="77777777" w:rsidTr="002509F7">
              <w:trPr>
                <w:trHeight w:val="9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F7D46" w14:textId="77777777" w:rsidR="002509F7" w:rsidRPr="002509F7" w:rsidRDefault="002509F7" w:rsidP="002509F7">
                  <w:pPr>
                    <w:spacing w:after="0" w:line="240" w:lineRule="auto"/>
                    <w:rPr>
                      <w:rFonts w:ascii="Times New Roman" w:eastAsia="Times New Roman" w:hAnsi="Times New Roman" w:cs="Times New Roman"/>
                      <w:color w:val="000000"/>
                    </w:rPr>
                  </w:pPr>
                  <w:r w:rsidRPr="002509F7">
                    <w:rPr>
                      <w:rFonts w:ascii="Times New Roman" w:eastAsia="Times New Roman" w:hAnsi="Times New Roman" w:cs="Times New Roman"/>
                      <w:color w:val="000000"/>
                    </w:rPr>
                    <w:t>Nr.p.k.</w:t>
                  </w:r>
                </w:p>
              </w:tc>
              <w:tc>
                <w:tcPr>
                  <w:tcW w:w="2576" w:type="dxa"/>
                  <w:tcBorders>
                    <w:top w:val="single" w:sz="4" w:space="0" w:color="auto"/>
                    <w:left w:val="nil"/>
                    <w:bottom w:val="single" w:sz="4" w:space="0" w:color="auto"/>
                    <w:right w:val="single" w:sz="4" w:space="0" w:color="auto"/>
                  </w:tcBorders>
                  <w:shd w:val="clear" w:color="auto" w:fill="auto"/>
                  <w:noWrap/>
                  <w:vAlign w:val="center"/>
                  <w:hideMark/>
                </w:tcPr>
                <w:p w14:paraId="0D75BBB4"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Izmaksu postenis</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78AE90A0"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Izmaksas, EUR</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BEF38B8"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Izmaksas vienam lietotājam, EUR (bez PVN)</w:t>
                  </w:r>
                </w:p>
              </w:tc>
            </w:tr>
            <w:tr w:rsidR="002509F7" w:rsidRPr="002509F7" w14:paraId="242D2627" w14:textId="77777777" w:rsidTr="002509F7">
              <w:trPr>
                <w:trHeight w:val="70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0C9EB886" w14:textId="77777777" w:rsidR="002509F7" w:rsidRPr="002509F7" w:rsidRDefault="002509F7" w:rsidP="002509F7">
                  <w:pPr>
                    <w:spacing w:after="0" w:line="240" w:lineRule="auto"/>
                    <w:jc w:val="center"/>
                    <w:rPr>
                      <w:rFonts w:ascii="Times New Roman" w:eastAsia="Times New Roman" w:hAnsi="Times New Roman" w:cs="Times New Roman"/>
                      <w:b/>
                      <w:bCs/>
                      <w:color w:val="000000"/>
                    </w:rPr>
                  </w:pPr>
                  <w:r w:rsidRPr="002509F7">
                    <w:rPr>
                      <w:rFonts w:ascii="Times New Roman" w:eastAsia="Times New Roman" w:hAnsi="Times New Roman" w:cs="Times New Roman"/>
                      <w:b/>
                      <w:bCs/>
                      <w:color w:val="000000"/>
                    </w:rPr>
                    <w:t>1</w:t>
                  </w:r>
                </w:p>
              </w:tc>
              <w:tc>
                <w:tcPr>
                  <w:tcW w:w="2576" w:type="dxa"/>
                  <w:tcBorders>
                    <w:top w:val="nil"/>
                    <w:left w:val="nil"/>
                    <w:bottom w:val="single" w:sz="4" w:space="0" w:color="auto"/>
                    <w:right w:val="single" w:sz="4" w:space="0" w:color="auto"/>
                  </w:tcBorders>
                  <w:shd w:val="clear" w:color="auto" w:fill="auto"/>
                  <w:vAlign w:val="center"/>
                  <w:hideMark/>
                </w:tcPr>
                <w:p w14:paraId="4019AF97" w14:textId="77777777" w:rsidR="002509F7" w:rsidRPr="002509F7" w:rsidRDefault="002509F7" w:rsidP="002509F7">
                  <w:pPr>
                    <w:spacing w:after="0" w:line="240" w:lineRule="auto"/>
                    <w:rPr>
                      <w:rFonts w:ascii="Times New Roman" w:eastAsia="Times New Roman" w:hAnsi="Times New Roman" w:cs="Times New Roman"/>
                      <w:b/>
                      <w:bCs/>
                      <w:color w:val="000000"/>
                    </w:rPr>
                  </w:pPr>
                  <w:r w:rsidRPr="002509F7">
                    <w:rPr>
                      <w:rFonts w:ascii="Times New Roman" w:eastAsia="Times New Roman" w:hAnsi="Times New Roman" w:cs="Times New Roman"/>
                      <w:b/>
                      <w:bCs/>
                      <w:color w:val="000000"/>
                    </w:rPr>
                    <w:t>Tiešās izmaksas</w:t>
                  </w:r>
                </w:p>
              </w:tc>
              <w:tc>
                <w:tcPr>
                  <w:tcW w:w="1243" w:type="dxa"/>
                  <w:tcBorders>
                    <w:top w:val="nil"/>
                    <w:left w:val="nil"/>
                    <w:bottom w:val="single" w:sz="4" w:space="0" w:color="auto"/>
                    <w:right w:val="single" w:sz="4" w:space="0" w:color="auto"/>
                  </w:tcBorders>
                  <w:shd w:val="clear" w:color="auto" w:fill="auto"/>
                  <w:noWrap/>
                  <w:vAlign w:val="center"/>
                  <w:hideMark/>
                </w:tcPr>
                <w:p w14:paraId="34721590" w14:textId="77777777" w:rsidR="002509F7" w:rsidRPr="002509F7" w:rsidRDefault="002509F7" w:rsidP="002509F7">
                  <w:pPr>
                    <w:spacing w:after="0" w:line="240" w:lineRule="auto"/>
                    <w:rPr>
                      <w:rFonts w:ascii="Times New Roman" w:eastAsia="Times New Roman" w:hAnsi="Times New Roman" w:cs="Times New Roman"/>
                      <w:color w:val="000000"/>
                    </w:rPr>
                  </w:pPr>
                  <w:r w:rsidRPr="002509F7">
                    <w:rPr>
                      <w:rFonts w:ascii="Times New Roman" w:eastAsia="Times New Roman" w:hAnsi="Times New Roman" w:cs="Times New Roman"/>
                      <w:color w:val="000000"/>
                    </w:rPr>
                    <w:t> </w:t>
                  </w:r>
                </w:p>
              </w:tc>
              <w:tc>
                <w:tcPr>
                  <w:tcW w:w="1236" w:type="dxa"/>
                  <w:tcBorders>
                    <w:top w:val="nil"/>
                    <w:left w:val="nil"/>
                    <w:bottom w:val="single" w:sz="4" w:space="0" w:color="auto"/>
                    <w:right w:val="single" w:sz="4" w:space="0" w:color="auto"/>
                  </w:tcBorders>
                  <w:shd w:val="clear" w:color="auto" w:fill="auto"/>
                  <w:noWrap/>
                  <w:vAlign w:val="center"/>
                  <w:hideMark/>
                </w:tcPr>
                <w:p w14:paraId="17B209C2" w14:textId="77777777" w:rsidR="002509F7" w:rsidRPr="002509F7" w:rsidRDefault="002509F7" w:rsidP="002509F7">
                  <w:pPr>
                    <w:spacing w:after="0" w:line="240" w:lineRule="auto"/>
                    <w:rPr>
                      <w:rFonts w:ascii="Times New Roman" w:eastAsia="Times New Roman" w:hAnsi="Times New Roman" w:cs="Times New Roman"/>
                      <w:color w:val="000000"/>
                    </w:rPr>
                  </w:pPr>
                  <w:r w:rsidRPr="002509F7">
                    <w:rPr>
                      <w:rFonts w:ascii="Times New Roman" w:eastAsia="Times New Roman" w:hAnsi="Times New Roman" w:cs="Times New Roman"/>
                      <w:color w:val="000000"/>
                    </w:rPr>
                    <w:t> </w:t>
                  </w:r>
                </w:p>
              </w:tc>
            </w:tr>
            <w:tr w:rsidR="002509F7" w:rsidRPr="002509F7" w14:paraId="7DF327EE" w14:textId="77777777" w:rsidTr="002509F7">
              <w:trPr>
                <w:trHeight w:val="70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731D755D"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1.1.</w:t>
                  </w:r>
                </w:p>
              </w:tc>
              <w:tc>
                <w:tcPr>
                  <w:tcW w:w="2576" w:type="dxa"/>
                  <w:tcBorders>
                    <w:top w:val="nil"/>
                    <w:left w:val="nil"/>
                    <w:bottom w:val="single" w:sz="4" w:space="0" w:color="auto"/>
                    <w:right w:val="single" w:sz="4" w:space="0" w:color="auto"/>
                  </w:tcBorders>
                  <w:shd w:val="clear" w:color="auto" w:fill="auto"/>
                  <w:vAlign w:val="center"/>
                  <w:hideMark/>
                </w:tcPr>
                <w:p w14:paraId="4C2C70C3" w14:textId="77777777" w:rsidR="002509F7" w:rsidRPr="002509F7" w:rsidRDefault="002509F7" w:rsidP="002509F7">
                  <w:pPr>
                    <w:spacing w:after="0" w:line="240" w:lineRule="auto"/>
                    <w:rPr>
                      <w:rFonts w:ascii="Times New Roman" w:eastAsia="Times New Roman" w:hAnsi="Times New Roman" w:cs="Times New Roman"/>
                      <w:color w:val="000000"/>
                    </w:rPr>
                  </w:pPr>
                  <w:r w:rsidRPr="002509F7">
                    <w:rPr>
                      <w:rFonts w:ascii="Times New Roman" w:eastAsia="Times New Roman" w:hAnsi="Times New Roman" w:cs="Times New Roman"/>
                      <w:color w:val="000000"/>
                    </w:rPr>
                    <w:t>Darba samaksa (t.sk. valsts sociālās apdrošināšanas obligātās iemaksas) (15 EUR/st. * 19.95 st.*200.lietot.)</w:t>
                  </w:r>
                </w:p>
              </w:tc>
              <w:tc>
                <w:tcPr>
                  <w:tcW w:w="1243" w:type="dxa"/>
                  <w:tcBorders>
                    <w:top w:val="nil"/>
                    <w:left w:val="nil"/>
                    <w:bottom w:val="nil"/>
                    <w:right w:val="nil"/>
                  </w:tcBorders>
                  <w:shd w:val="clear" w:color="auto" w:fill="auto"/>
                  <w:noWrap/>
                  <w:vAlign w:val="center"/>
                  <w:hideMark/>
                </w:tcPr>
                <w:p w14:paraId="5FEECBF8" w14:textId="77777777" w:rsidR="002509F7" w:rsidRPr="002509F7" w:rsidRDefault="002509F7" w:rsidP="002509F7">
                  <w:pPr>
                    <w:spacing w:after="0" w:line="240" w:lineRule="auto"/>
                    <w:jc w:val="right"/>
                    <w:rPr>
                      <w:rFonts w:ascii="Times New Roman" w:eastAsia="Times New Roman" w:hAnsi="Times New Roman" w:cs="Times New Roman"/>
                      <w:color w:val="000000"/>
                    </w:rPr>
                  </w:pPr>
                  <w:r w:rsidRPr="002509F7">
                    <w:rPr>
                      <w:rFonts w:ascii="Times New Roman" w:eastAsia="Times New Roman" w:hAnsi="Times New Roman" w:cs="Times New Roman"/>
                      <w:color w:val="000000"/>
                    </w:rPr>
                    <w:t>59 850,00</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6713CED8"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299</w:t>
                  </w:r>
                </w:p>
              </w:tc>
            </w:tr>
            <w:tr w:rsidR="002509F7" w:rsidRPr="002509F7" w14:paraId="65780408" w14:textId="77777777" w:rsidTr="002509F7">
              <w:trPr>
                <w:trHeight w:val="70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744FD224"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1.2.</w:t>
                  </w:r>
                </w:p>
              </w:tc>
              <w:tc>
                <w:tcPr>
                  <w:tcW w:w="2576" w:type="dxa"/>
                  <w:tcBorders>
                    <w:top w:val="nil"/>
                    <w:left w:val="nil"/>
                    <w:bottom w:val="single" w:sz="4" w:space="0" w:color="auto"/>
                    <w:right w:val="single" w:sz="4" w:space="0" w:color="auto"/>
                  </w:tcBorders>
                  <w:shd w:val="clear" w:color="auto" w:fill="auto"/>
                  <w:vAlign w:val="center"/>
                  <w:hideMark/>
                </w:tcPr>
                <w:p w14:paraId="353D9282" w14:textId="77777777" w:rsidR="002509F7" w:rsidRPr="002509F7" w:rsidRDefault="002509F7" w:rsidP="002509F7">
                  <w:pPr>
                    <w:spacing w:after="0" w:line="240" w:lineRule="auto"/>
                    <w:rPr>
                      <w:rFonts w:ascii="Times New Roman" w:eastAsia="Times New Roman" w:hAnsi="Times New Roman" w:cs="Times New Roman"/>
                      <w:color w:val="000000"/>
                    </w:rPr>
                  </w:pPr>
                  <w:r w:rsidRPr="002509F7">
                    <w:rPr>
                      <w:rFonts w:ascii="Times New Roman" w:eastAsia="Times New Roman" w:hAnsi="Times New Roman" w:cs="Times New Roman"/>
                      <w:color w:val="000000"/>
                    </w:rPr>
                    <w:t>Datortehnikas un biroja tehnikas nolietojums (0,135 EUR/st*3990 st.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162A6091" w14:textId="77777777" w:rsidR="002509F7" w:rsidRPr="002509F7" w:rsidRDefault="002509F7" w:rsidP="002509F7">
                  <w:pPr>
                    <w:spacing w:after="0" w:line="240" w:lineRule="auto"/>
                    <w:jc w:val="right"/>
                    <w:rPr>
                      <w:rFonts w:ascii="Times New Roman" w:eastAsia="Times New Roman" w:hAnsi="Times New Roman" w:cs="Times New Roman"/>
                      <w:color w:val="000000"/>
                    </w:rPr>
                  </w:pPr>
                  <w:r w:rsidRPr="002509F7">
                    <w:rPr>
                      <w:rFonts w:ascii="Times New Roman" w:eastAsia="Times New Roman" w:hAnsi="Times New Roman" w:cs="Times New Roman"/>
                      <w:color w:val="000000"/>
                    </w:rPr>
                    <w:t>538,65</w:t>
                  </w:r>
                </w:p>
              </w:tc>
              <w:tc>
                <w:tcPr>
                  <w:tcW w:w="1236" w:type="dxa"/>
                  <w:tcBorders>
                    <w:top w:val="nil"/>
                    <w:left w:val="nil"/>
                    <w:bottom w:val="single" w:sz="4" w:space="0" w:color="auto"/>
                    <w:right w:val="single" w:sz="4" w:space="0" w:color="auto"/>
                  </w:tcBorders>
                  <w:shd w:val="clear" w:color="auto" w:fill="auto"/>
                  <w:noWrap/>
                  <w:vAlign w:val="center"/>
                  <w:hideMark/>
                </w:tcPr>
                <w:p w14:paraId="72C75E42"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3</w:t>
                  </w:r>
                </w:p>
              </w:tc>
            </w:tr>
            <w:tr w:rsidR="002509F7" w:rsidRPr="002509F7" w14:paraId="641A92A1" w14:textId="77777777" w:rsidTr="002509F7">
              <w:trPr>
                <w:trHeight w:val="70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483FA310"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1.3.</w:t>
                  </w:r>
                </w:p>
              </w:tc>
              <w:tc>
                <w:tcPr>
                  <w:tcW w:w="2576" w:type="dxa"/>
                  <w:tcBorders>
                    <w:top w:val="nil"/>
                    <w:left w:val="nil"/>
                    <w:bottom w:val="single" w:sz="4" w:space="0" w:color="auto"/>
                    <w:right w:val="single" w:sz="4" w:space="0" w:color="auto"/>
                  </w:tcBorders>
                  <w:shd w:val="clear" w:color="auto" w:fill="auto"/>
                  <w:vAlign w:val="center"/>
                  <w:hideMark/>
                </w:tcPr>
                <w:p w14:paraId="4C5F75D4" w14:textId="77777777" w:rsidR="002509F7" w:rsidRPr="002509F7" w:rsidRDefault="002509F7" w:rsidP="002509F7">
                  <w:pPr>
                    <w:spacing w:after="0" w:line="240" w:lineRule="auto"/>
                    <w:rPr>
                      <w:rFonts w:ascii="Times New Roman" w:eastAsia="Times New Roman" w:hAnsi="Times New Roman" w:cs="Times New Roman"/>
                      <w:color w:val="000000"/>
                    </w:rPr>
                  </w:pPr>
                  <w:r w:rsidRPr="002509F7">
                    <w:rPr>
                      <w:rFonts w:ascii="Times New Roman" w:eastAsia="Times New Roman" w:hAnsi="Times New Roman" w:cs="Times New Roman"/>
                      <w:color w:val="000000"/>
                    </w:rPr>
                    <w:t>APUS nolietojums (5.364 EUR/st.*3990 st.)</w:t>
                  </w:r>
                </w:p>
              </w:tc>
              <w:tc>
                <w:tcPr>
                  <w:tcW w:w="1243" w:type="dxa"/>
                  <w:tcBorders>
                    <w:top w:val="nil"/>
                    <w:left w:val="nil"/>
                    <w:bottom w:val="single" w:sz="4" w:space="0" w:color="auto"/>
                    <w:right w:val="single" w:sz="4" w:space="0" w:color="auto"/>
                  </w:tcBorders>
                  <w:shd w:val="clear" w:color="auto" w:fill="auto"/>
                  <w:noWrap/>
                  <w:vAlign w:val="center"/>
                  <w:hideMark/>
                </w:tcPr>
                <w:p w14:paraId="053817C4" w14:textId="77777777" w:rsidR="002509F7" w:rsidRPr="002509F7" w:rsidRDefault="002509F7" w:rsidP="002509F7">
                  <w:pPr>
                    <w:spacing w:after="0" w:line="240" w:lineRule="auto"/>
                    <w:jc w:val="right"/>
                    <w:rPr>
                      <w:rFonts w:ascii="Times New Roman" w:eastAsia="Times New Roman" w:hAnsi="Times New Roman" w:cs="Times New Roman"/>
                      <w:color w:val="000000"/>
                    </w:rPr>
                  </w:pPr>
                  <w:r w:rsidRPr="002509F7">
                    <w:rPr>
                      <w:rFonts w:ascii="Times New Roman" w:eastAsia="Times New Roman" w:hAnsi="Times New Roman" w:cs="Times New Roman"/>
                      <w:color w:val="000000"/>
                    </w:rPr>
                    <w:t>21 402,36</w:t>
                  </w:r>
                </w:p>
              </w:tc>
              <w:tc>
                <w:tcPr>
                  <w:tcW w:w="1236" w:type="dxa"/>
                  <w:tcBorders>
                    <w:top w:val="nil"/>
                    <w:left w:val="nil"/>
                    <w:bottom w:val="single" w:sz="4" w:space="0" w:color="auto"/>
                    <w:right w:val="single" w:sz="4" w:space="0" w:color="auto"/>
                  </w:tcBorders>
                  <w:shd w:val="clear" w:color="auto" w:fill="auto"/>
                  <w:noWrap/>
                  <w:vAlign w:val="center"/>
                  <w:hideMark/>
                </w:tcPr>
                <w:p w14:paraId="53F47432"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107</w:t>
                  </w:r>
                </w:p>
              </w:tc>
            </w:tr>
            <w:tr w:rsidR="002509F7" w:rsidRPr="002509F7" w14:paraId="6F426BAC" w14:textId="77777777" w:rsidTr="002509F7">
              <w:trPr>
                <w:trHeight w:val="70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6A781CFA"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 </w:t>
                  </w:r>
                </w:p>
              </w:tc>
              <w:tc>
                <w:tcPr>
                  <w:tcW w:w="2576" w:type="dxa"/>
                  <w:tcBorders>
                    <w:top w:val="nil"/>
                    <w:left w:val="nil"/>
                    <w:bottom w:val="single" w:sz="4" w:space="0" w:color="auto"/>
                    <w:right w:val="single" w:sz="4" w:space="0" w:color="auto"/>
                  </w:tcBorders>
                  <w:shd w:val="clear" w:color="auto" w:fill="auto"/>
                  <w:vAlign w:val="center"/>
                  <w:hideMark/>
                </w:tcPr>
                <w:p w14:paraId="1CFC91A4" w14:textId="77777777" w:rsidR="002509F7" w:rsidRPr="002509F7" w:rsidRDefault="002509F7" w:rsidP="002509F7">
                  <w:pPr>
                    <w:spacing w:after="0" w:line="240" w:lineRule="auto"/>
                    <w:rPr>
                      <w:rFonts w:ascii="Times New Roman" w:eastAsia="Times New Roman" w:hAnsi="Times New Roman" w:cs="Times New Roman"/>
                      <w:b/>
                      <w:bCs/>
                      <w:i/>
                      <w:iCs/>
                      <w:color w:val="000000"/>
                    </w:rPr>
                  </w:pPr>
                  <w:r w:rsidRPr="002509F7">
                    <w:rPr>
                      <w:rFonts w:ascii="Times New Roman" w:eastAsia="Times New Roman" w:hAnsi="Times New Roman" w:cs="Times New Roman"/>
                      <w:b/>
                      <w:bCs/>
                      <w:i/>
                      <w:iCs/>
                      <w:color w:val="000000"/>
                    </w:rPr>
                    <w:t>Tiešās izmaksas kopā:</w:t>
                  </w:r>
                </w:p>
              </w:tc>
              <w:tc>
                <w:tcPr>
                  <w:tcW w:w="1243" w:type="dxa"/>
                  <w:tcBorders>
                    <w:top w:val="nil"/>
                    <w:left w:val="nil"/>
                    <w:bottom w:val="single" w:sz="4" w:space="0" w:color="auto"/>
                    <w:right w:val="single" w:sz="4" w:space="0" w:color="auto"/>
                  </w:tcBorders>
                  <w:shd w:val="clear" w:color="auto" w:fill="auto"/>
                  <w:noWrap/>
                  <w:vAlign w:val="center"/>
                  <w:hideMark/>
                </w:tcPr>
                <w:p w14:paraId="206C0CDB" w14:textId="77777777" w:rsidR="002509F7" w:rsidRPr="002509F7" w:rsidRDefault="002509F7" w:rsidP="002509F7">
                  <w:pPr>
                    <w:spacing w:after="0" w:line="240" w:lineRule="auto"/>
                    <w:jc w:val="right"/>
                    <w:rPr>
                      <w:rFonts w:ascii="Times New Roman" w:eastAsia="Times New Roman" w:hAnsi="Times New Roman" w:cs="Times New Roman"/>
                      <w:color w:val="000000"/>
                    </w:rPr>
                  </w:pPr>
                  <w:r w:rsidRPr="002509F7">
                    <w:rPr>
                      <w:rFonts w:ascii="Times New Roman" w:eastAsia="Times New Roman" w:hAnsi="Times New Roman" w:cs="Times New Roman"/>
                      <w:color w:val="000000"/>
                    </w:rPr>
                    <w:t>81 791,01</w:t>
                  </w:r>
                </w:p>
              </w:tc>
              <w:tc>
                <w:tcPr>
                  <w:tcW w:w="1236" w:type="dxa"/>
                  <w:tcBorders>
                    <w:top w:val="nil"/>
                    <w:left w:val="nil"/>
                    <w:bottom w:val="single" w:sz="4" w:space="0" w:color="auto"/>
                    <w:right w:val="single" w:sz="4" w:space="0" w:color="auto"/>
                  </w:tcBorders>
                  <w:shd w:val="clear" w:color="auto" w:fill="auto"/>
                  <w:noWrap/>
                  <w:vAlign w:val="center"/>
                  <w:hideMark/>
                </w:tcPr>
                <w:p w14:paraId="6C3603F3"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409</w:t>
                  </w:r>
                </w:p>
              </w:tc>
            </w:tr>
            <w:tr w:rsidR="002509F7" w:rsidRPr="002509F7" w14:paraId="28B22A0C" w14:textId="77777777" w:rsidTr="002509F7">
              <w:trPr>
                <w:trHeight w:val="70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6229A2FD"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2</w:t>
                  </w:r>
                </w:p>
              </w:tc>
              <w:tc>
                <w:tcPr>
                  <w:tcW w:w="2576" w:type="dxa"/>
                  <w:tcBorders>
                    <w:top w:val="nil"/>
                    <w:left w:val="nil"/>
                    <w:bottom w:val="single" w:sz="4" w:space="0" w:color="auto"/>
                    <w:right w:val="single" w:sz="4" w:space="0" w:color="auto"/>
                  </w:tcBorders>
                  <w:shd w:val="clear" w:color="auto" w:fill="auto"/>
                  <w:vAlign w:val="center"/>
                  <w:hideMark/>
                </w:tcPr>
                <w:p w14:paraId="725EA756" w14:textId="77777777" w:rsidR="002509F7" w:rsidRPr="002509F7" w:rsidRDefault="002509F7" w:rsidP="002509F7">
                  <w:pPr>
                    <w:spacing w:after="0" w:line="240" w:lineRule="auto"/>
                    <w:rPr>
                      <w:rFonts w:ascii="Times New Roman" w:eastAsia="Times New Roman" w:hAnsi="Times New Roman" w:cs="Times New Roman"/>
                      <w:b/>
                      <w:bCs/>
                      <w:i/>
                      <w:iCs/>
                      <w:color w:val="000000"/>
                    </w:rPr>
                  </w:pPr>
                  <w:r w:rsidRPr="002509F7">
                    <w:rPr>
                      <w:rFonts w:ascii="Times New Roman" w:eastAsia="Times New Roman" w:hAnsi="Times New Roman" w:cs="Times New Roman"/>
                      <w:b/>
                      <w:bCs/>
                      <w:i/>
                      <w:iCs/>
                      <w:color w:val="000000"/>
                    </w:rPr>
                    <w:t>Netiešās izmaksas (10.91 EUR par katru tiešo darba stundu) - (3990 st.)</w:t>
                  </w:r>
                </w:p>
              </w:tc>
              <w:tc>
                <w:tcPr>
                  <w:tcW w:w="1243" w:type="dxa"/>
                  <w:tcBorders>
                    <w:top w:val="nil"/>
                    <w:left w:val="nil"/>
                    <w:bottom w:val="single" w:sz="4" w:space="0" w:color="auto"/>
                    <w:right w:val="single" w:sz="4" w:space="0" w:color="auto"/>
                  </w:tcBorders>
                  <w:shd w:val="clear" w:color="auto" w:fill="auto"/>
                  <w:noWrap/>
                  <w:vAlign w:val="center"/>
                  <w:hideMark/>
                </w:tcPr>
                <w:p w14:paraId="34468FDF" w14:textId="77777777" w:rsidR="002509F7" w:rsidRPr="002509F7" w:rsidRDefault="002509F7" w:rsidP="002509F7">
                  <w:pPr>
                    <w:spacing w:after="0" w:line="240" w:lineRule="auto"/>
                    <w:jc w:val="right"/>
                    <w:rPr>
                      <w:rFonts w:ascii="Times New Roman" w:eastAsia="Times New Roman" w:hAnsi="Times New Roman" w:cs="Times New Roman"/>
                      <w:color w:val="000000"/>
                    </w:rPr>
                  </w:pPr>
                  <w:r w:rsidRPr="002509F7">
                    <w:rPr>
                      <w:rFonts w:ascii="Times New Roman" w:eastAsia="Times New Roman" w:hAnsi="Times New Roman" w:cs="Times New Roman"/>
                      <w:color w:val="000000"/>
                    </w:rPr>
                    <w:t>43 530,90</w:t>
                  </w:r>
                </w:p>
              </w:tc>
              <w:tc>
                <w:tcPr>
                  <w:tcW w:w="1236" w:type="dxa"/>
                  <w:tcBorders>
                    <w:top w:val="nil"/>
                    <w:left w:val="nil"/>
                    <w:bottom w:val="single" w:sz="4" w:space="0" w:color="auto"/>
                    <w:right w:val="single" w:sz="4" w:space="0" w:color="auto"/>
                  </w:tcBorders>
                  <w:shd w:val="clear" w:color="auto" w:fill="auto"/>
                  <w:noWrap/>
                  <w:vAlign w:val="center"/>
                  <w:hideMark/>
                </w:tcPr>
                <w:p w14:paraId="120A1AC8"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218</w:t>
                  </w:r>
                </w:p>
              </w:tc>
            </w:tr>
            <w:tr w:rsidR="002509F7" w:rsidRPr="002509F7" w14:paraId="6D054079" w14:textId="77777777" w:rsidTr="002509F7">
              <w:trPr>
                <w:trHeight w:val="70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5603DB76"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 </w:t>
                  </w:r>
                </w:p>
              </w:tc>
              <w:tc>
                <w:tcPr>
                  <w:tcW w:w="2576" w:type="dxa"/>
                  <w:tcBorders>
                    <w:top w:val="nil"/>
                    <w:left w:val="nil"/>
                    <w:bottom w:val="single" w:sz="4" w:space="0" w:color="auto"/>
                    <w:right w:val="single" w:sz="4" w:space="0" w:color="auto"/>
                  </w:tcBorders>
                  <w:shd w:val="clear" w:color="auto" w:fill="auto"/>
                  <w:vAlign w:val="center"/>
                  <w:hideMark/>
                </w:tcPr>
                <w:p w14:paraId="6D07142F" w14:textId="77777777" w:rsidR="002509F7" w:rsidRPr="002509F7" w:rsidRDefault="002509F7" w:rsidP="002509F7">
                  <w:pPr>
                    <w:spacing w:after="0" w:line="240" w:lineRule="auto"/>
                    <w:rPr>
                      <w:rFonts w:ascii="Times New Roman" w:eastAsia="Times New Roman" w:hAnsi="Times New Roman" w:cs="Times New Roman"/>
                      <w:color w:val="000000"/>
                    </w:rPr>
                  </w:pPr>
                  <w:r w:rsidRPr="002509F7">
                    <w:rPr>
                      <w:rFonts w:ascii="Times New Roman" w:eastAsia="Times New Roman" w:hAnsi="Times New Roman" w:cs="Times New Roman"/>
                      <w:color w:val="000000"/>
                    </w:rPr>
                    <w:t xml:space="preserve">t.sk. kancelejas izmaksas; administrācijas darba izmaksas; telpu uzturēšana; komunālie maksājumi; elektroenerģija; apkures izmaksas; administratīvās ēkas nolietojums, u.c. </w:t>
                  </w:r>
                </w:p>
              </w:tc>
              <w:tc>
                <w:tcPr>
                  <w:tcW w:w="1243" w:type="dxa"/>
                  <w:tcBorders>
                    <w:top w:val="nil"/>
                    <w:left w:val="nil"/>
                    <w:bottom w:val="single" w:sz="4" w:space="0" w:color="auto"/>
                    <w:right w:val="single" w:sz="4" w:space="0" w:color="auto"/>
                  </w:tcBorders>
                  <w:shd w:val="clear" w:color="auto" w:fill="auto"/>
                  <w:noWrap/>
                  <w:vAlign w:val="center"/>
                  <w:hideMark/>
                </w:tcPr>
                <w:p w14:paraId="439E3281"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 </w:t>
                  </w:r>
                </w:p>
              </w:tc>
              <w:tc>
                <w:tcPr>
                  <w:tcW w:w="1236" w:type="dxa"/>
                  <w:tcBorders>
                    <w:top w:val="nil"/>
                    <w:left w:val="nil"/>
                    <w:bottom w:val="single" w:sz="4" w:space="0" w:color="auto"/>
                    <w:right w:val="single" w:sz="4" w:space="0" w:color="auto"/>
                  </w:tcBorders>
                  <w:shd w:val="clear" w:color="auto" w:fill="auto"/>
                  <w:noWrap/>
                  <w:vAlign w:val="center"/>
                  <w:hideMark/>
                </w:tcPr>
                <w:p w14:paraId="27045A34"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 </w:t>
                  </w:r>
                </w:p>
              </w:tc>
            </w:tr>
            <w:tr w:rsidR="002509F7" w:rsidRPr="002509F7" w14:paraId="1807AF02" w14:textId="77777777" w:rsidTr="002509F7">
              <w:trPr>
                <w:trHeight w:val="70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7D875C03"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3</w:t>
                  </w:r>
                </w:p>
              </w:tc>
              <w:tc>
                <w:tcPr>
                  <w:tcW w:w="2576" w:type="dxa"/>
                  <w:tcBorders>
                    <w:top w:val="nil"/>
                    <w:left w:val="nil"/>
                    <w:bottom w:val="single" w:sz="4" w:space="0" w:color="auto"/>
                    <w:right w:val="single" w:sz="4" w:space="0" w:color="auto"/>
                  </w:tcBorders>
                  <w:shd w:val="clear" w:color="auto" w:fill="auto"/>
                  <w:vAlign w:val="center"/>
                  <w:hideMark/>
                </w:tcPr>
                <w:p w14:paraId="4CE1DB3F" w14:textId="77777777" w:rsidR="002509F7" w:rsidRPr="002509F7" w:rsidRDefault="002509F7" w:rsidP="002509F7">
                  <w:pPr>
                    <w:spacing w:after="0" w:line="240" w:lineRule="auto"/>
                    <w:rPr>
                      <w:rFonts w:ascii="Times New Roman" w:eastAsia="Times New Roman" w:hAnsi="Times New Roman" w:cs="Times New Roman"/>
                      <w:b/>
                      <w:bCs/>
                      <w:i/>
                      <w:iCs/>
                      <w:color w:val="000000"/>
                    </w:rPr>
                  </w:pPr>
                  <w:r w:rsidRPr="002509F7">
                    <w:rPr>
                      <w:rFonts w:ascii="Times New Roman" w:eastAsia="Times New Roman" w:hAnsi="Times New Roman" w:cs="Times New Roman"/>
                      <w:b/>
                      <w:bCs/>
                      <w:i/>
                      <w:iCs/>
                      <w:color w:val="000000"/>
                    </w:rPr>
                    <w:t>Izmaksas kopā:</w:t>
                  </w:r>
                </w:p>
              </w:tc>
              <w:tc>
                <w:tcPr>
                  <w:tcW w:w="1243" w:type="dxa"/>
                  <w:tcBorders>
                    <w:top w:val="nil"/>
                    <w:left w:val="nil"/>
                    <w:bottom w:val="single" w:sz="4" w:space="0" w:color="auto"/>
                    <w:right w:val="single" w:sz="4" w:space="0" w:color="auto"/>
                  </w:tcBorders>
                  <w:shd w:val="clear" w:color="auto" w:fill="auto"/>
                  <w:noWrap/>
                  <w:vAlign w:val="center"/>
                  <w:hideMark/>
                </w:tcPr>
                <w:p w14:paraId="0FA4D8FB" w14:textId="77777777" w:rsidR="002509F7" w:rsidRPr="002509F7" w:rsidRDefault="002509F7" w:rsidP="002509F7">
                  <w:pPr>
                    <w:spacing w:after="0" w:line="240" w:lineRule="auto"/>
                    <w:jc w:val="right"/>
                    <w:rPr>
                      <w:rFonts w:ascii="Times New Roman" w:eastAsia="Times New Roman" w:hAnsi="Times New Roman" w:cs="Times New Roman"/>
                      <w:color w:val="000000"/>
                    </w:rPr>
                  </w:pPr>
                  <w:r w:rsidRPr="002509F7">
                    <w:rPr>
                      <w:rFonts w:ascii="Times New Roman" w:eastAsia="Times New Roman" w:hAnsi="Times New Roman" w:cs="Times New Roman"/>
                      <w:color w:val="000000"/>
                    </w:rPr>
                    <w:t>125 321,91</w:t>
                  </w:r>
                </w:p>
              </w:tc>
              <w:tc>
                <w:tcPr>
                  <w:tcW w:w="1236" w:type="dxa"/>
                  <w:tcBorders>
                    <w:top w:val="nil"/>
                    <w:left w:val="nil"/>
                    <w:bottom w:val="single" w:sz="4" w:space="0" w:color="auto"/>
                    <w:right w:val="single" w:sz="4" w:space="0" w:color="auto"/>
                  </w:tcBorders>
                  <w:shd w:val="clear" w:color="auto" w:fill="auto"/>
                  <w:noWrap/>
                  <w:vAlign w:val="center"/>
                  <w:hideMark/>
                </w:tcPr>
                <w:p w14:paraId="4224C789"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627</w:t>
                  </w:r>
                </w:p>
              </w:tc>
            </w:tr>
            <w:tr w:rsidR="002509F7" w:rsidRPr="002509F7" w14:paraId="2852F832" w14:textId="77777777" w:rsidTr="002509F7">
              <w:trPr>
                <w:trHeight w:val="70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79D1AA34"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4</w:t>
                  </w:r>
                </w:p>
              </w:tc>
              <w:tc>
                <w:tcPr>
                  <w:tcW w:w="2576" w:type="dxa"/>
                  <w:tcBorders>
                    <w:top w:val="nil"/>
                    <w:left w:val="nil"/>
                    <w:bottom w:val="single" w:sz="4" w:space="0" w:color="auto"/>
                    <w:right w:val="single" w:sz="4" w:space="0" w:color="auto"/>
                  </w:tcBorders>
                  <w:shd w:val="clear" w:color="auto" w:fill="auto"/>
                  <w:vAlign w:val="center"/>
                  <w:hideMark/>
                </w:tcPr>
                <w:p w14:paraId="7B7B7BDB" w14:textId="77777777" w:rsidR="002509F7" w:rsidRPr="002509F7" w:rsidRDefault="002509F7" w:rsidP="002509F7">
                  <w:pPr>
                    <w:spacing w:after="0" w:line="240" w:lineRule="auto"/>
                    <w:rPr>
                      <w:rFonts w:ascii="Times New Roman" w:eastAsia="Times New Roman" w:hAnsi="Times New Roman" w:cs="Times New Roman"/>
                      <w:b/>
                      <w:bCs/>
                      <w:i/>
                      <w:iCs/>
                      <w:color w:val="000000"/>
                    </w:rPr>
                  </w:pPr>
                  <w:r w:rsidRPr="002509F7">
                    <w:rPr>
                      <w:rFonts w:ascii="Times New Roman" w:eastAsia="Times New Roman" w:hAnsi="Times New Roman" w:cs="Times New Roman"/>
                      <w:b/>
                      <w:bCs/>
                      <w:i/>
                      <w:iCs/>
                      <w:color w:val="000000"/>
                    </w:rPr>
                    <w:t>Rentabilitāte 10%</w:t>
                  </w:r>
                </w:p>
              </w:tc>
              <w:tc>
                <w:tcPr>
                  <w:tcW w:w="1243" w:type="dxa"/>
                  <w:tcBorders>
                    <w:top w:val="nil"/>
                    <w:left w:val="nil"/>
                    <w:bottom w:val="single" w:sz="4" w:space="0" w:color="auto"/>
                    <w:right w:val="single" w:sz="4" w:space="0" w:color="auto"/>
                  </w:tcBorders>
                  <w:shd w:val="clear" w:color="auto" w:fill="auto"/>
                  <w:noWrap/>
                  <w:vAlign w:val="center"/>
                  <w:hideMark/>
                </w:tcPr>
                <w:p w14:paraId="4B4B8136" w14:textId="77777777" w:rsidR="002509F7" w:rsidRPr="002509F7" w:rsidRDefault="002509F7" w:rsidP="002509F7">
                  <w:pPr>
                    <w:spacing w:after="0" w:line="240" w:lineRule="auto"/>
                    <w:jc w:val="right"/>
                    <w:rPr>
                      <w:rFonts w:ascii="Times New Roman" w:eastAsia="Times New Roman" w:hAnsi="Times New Roman" w:cs="Times New Roman"/>
                      <w:color w:val="000000"/>
                    </w:rPr>
                  </w:pPr>
                  <w:r w:rsidRPr="002509F7">
                    <w:rPr>
                      <w:rFonts w:ascii="Times New Roman" w:eastAsia="Times New Roman" w:hAnsi="Times New Roman" w:cs="Times New Roman"/>
                      <w:color w:val="000000"/>
                    </w:rPr>
                    <w:t>12 532,19</w:t>
                  </w:r>
                </w:p>
              </w:tc>
              <w:tc>
                <w:tcPr>
                  <w:tcW w:w="1236" w:type="dxa"/>
                  <w:tcBorders>
                    <w:top w:val="nil"/>
                    <w:left w:val="nil"/>
                    <w:bottom w:val="single" w:sz="4" w:space="0" w:color="auto"/>
                    <w:right w:val="single" w:sz="4" w:space="0" w:color="auto"/>
                  </w:tcBorders>
                  <w:shd w:val="clear" w:color="auto" w:fill="auto"/>
                  <w:noWrap/>
                  <w:vAlign w:val="center"/>
                  <w:hideMark/>
                </w:tcPr>
                <w:p w14:paraId="2AA8C9D0"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63</w:t>
                  </w:r>
                </w:p>
              </w:tc>
            </w:tr>
            <w:tr w:rsidR="002509F7" w:rsidRPr="002509F7" w14:paraId="2DD0B819" w14:textId="77777777" w:rsidTr="002509F7">
              <w:trPr>
                <w:trHeight w:val="70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12086285"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5</w:t>
                  </w:r>
                </w:p>
              </w:tc>
              <w:tc>
                <w:tcPr>
                  <w:tcW w:w="2576" w:type="dxa"/>
                  <w:tcBorders>
                    <w:top w:val="nil"/>
                    <w:left w:val="nil"/>
                    <w:bottom w:val="single" w:sz="4" w:space="0" w:color="auto"/>
                    <w:right w:val="single" w:sz="4" w:space="0" w:color="auto"/>
                  </w:tcBorders>
                  <w:shd w:val="clear" w:color="auto" w:fill="auto"/>
                  <w:vAlign w:val="center"/>
                  <w:hideMark/>
                </w:tcPr>
                <w:p w14:paraId="66B83F50" w14:textId="77777777" w:rsidR="002509F7" w:rsidRPr="002509F7" w:rsidRDefault="002509F7" w:rsidP="002509F7">
                  <w:pPr>
                    <w:spacing w:after="0" w:line="240" w:lineRule="auto"/>
                    <w:rPr>
                      <w:rFonts w:ascii="Times New Roman" w:eastAsia="Times New Roman" w:hAnsi="Times New Roman" w:cs="Times New Roman"/>
                      <w:b/>
                      <w:bCs/>
                      <w:i/>
                      <w:iCs/>
                      <w:color w:val="000000"/>
                    </w:rPr>
                  </w:pPr>
                  <w:r w:rsidRPr="002509F7">
                    <w:rPr>
                      <w:rFonts w:ascii="Times New Roman" w:eastAsia="Times New Roman" w:hAnsi="Times New Roman" w:cs="Times New Roman"/>
                      <w:b/>
                      <w:bCs/>
                      <w:i/>
                      <w:iCs/>
                      <w:color w:val="000000"/>
                    </w:rPr>
                    <w:t xml:space="preserve">Pakalpojuma kopējās izmaksas </w:t>
                  </w:r>
                </w:p>
              </w:tc>
              <w:tc>
                <w:tcPr>
                  <w:tcW w:w="1243" w:type="dxa"/>
                  <w:tcBorders>
                    <w:top w:val="nil"/>
                    <w:left w:val="nil"/>
                    <w:bottom w:val="single" w:sz="4" w:space="0" w:color="auto"/>
                    <w:right w:val="single" w:sz="4" w:space="0" w:color="auto"/>
                  </w:tcBorders>
                  <w:shd w:val="clear" w:color="auto" w:fill="auto"/>
                  <w:noWrap/>
                  <w:vAlign w:val="center"/>
                  <w:hideMark/>
                </w:tcPr>
                <w:p w14:paraId="4561C657" w14:textId="77777777" w:rsidR="002509F7" w:rsidRPr="002509F7" w:rsidRDefault="002509F7" w:rsidP="002509F7">
                  <w:pPr>
                    <w:spacing w:after="0" w:line="240" w:lineRule="auto"/>
                    <w:jc w:val="right"/>
                    <w:rPr>
                      <w:rFonts w:ascii="Times New Roman" w:eastAsia="Times New Roman" w:hAnsi="Times New Roman" w:cs="Times New Roman"/>
                      <w:color w:val="000000"/>
                    </w:rPr>
                  </w:pPr>
                  <w:r w:rsidRPr="002509F7">
                    <w:rPr>
                      <w:rFonts w:ascii="Times New Roman" w:eastAsia="Times New Roman" w:hAnsi="Times New Roman" w:cs="Times New Roman"/>
                      <w:color w:val="000000"/>
                    </w:rPr>
                    <w:t>137 854,10</w:t>
                  </w:r>
                </w:p>
              </w:tc>
              <w:tc>
                <w:tcPr>
                  <w:tcW w:w="1236" w:type="dxa"/>
                  <w:tcBorders>
                    <w:top w:val="nil"/>
                    <w:left w:val="nil"/>
                    <w:bottom w:val="single" w:sz="4" w:space="0" w:color="auto"/>
                    <w:right w:val="single" w:sz="4" w:space="0" w:color="auto"/>
                  </w:tcBorders>
                  <w:shd w:val="clear" w:color="auto" w:fill="auto"/>
                  <w:noWrap/>
                  <w:vAlign w:val="center"/>
                  <w:hideMark/>
                </w:tcPr>
                <w:p w14:paraId="5302CF1F" w14:textId="77777777" w:rsidR="002509F7" w:rsidRPr="002509F7" w:rsidRDefault="002509F7" w:rsidP="002509F7">
                  <w:pPr>
                    <w:spacing w:after="0" w:line="240" w:lineRule="auto"/>
                    <w:jc w:val="center"/>
                    <w:rPr>
                      <w:rFonts w:ascii="Times New Roman" w:eastAsia="Times New Roman" w:hAnsi="Times New Roman" w:cs="Times New Roman"/>
                      <w:color w:val="000000"/>
                    </w:rPr>
                  </w:pPr>
                  <w:r w:rsidRPr="002509F7">
                    <w:rPr>
                      <w:rFonts w:ascii="Times New Roman" w:eastAsia="Times New Roman" w:hAnsi="Times New Roman" w:cs="Times New Roman"/>
                      <w:color w:val="000000"/>
                    </w:rPr>
                    <w:t>690</w:t>
                  </w:r>
                </w:p>
              </w:tc>
            </w:tr>
          </w:tbl>
          <w:p w14:paraId="12E877FC" w14:textId="77777777" w:rsidR="00551014" w:rsidRPr="005C493B" w:rsidRDefault="00551014">
            <w:pPr>
              <w:spacing w:after="0" w:line="240" w:lineRule="auto"/>
              <w:rPr>
                <w:rFonts w:ascii="Calibri" w:eastAsia="Calibri" w:hAnsi="Calibri" w:cs="Calibri"/>
                <w:sz w:val="2"/>
                <w:szCs w:val="2"/>
              </w:rPr>
            </w:pPr>
          </w:p>
          <w:tbl>
            <w:tblPr>
              <w:tblW w:w="5978" w:type="dxa"/>
              <w:tblLook w:val="04A0" w:firstRow="1" w:lastRow="0" w:firstColumn="1" w:lastColumn="0" w:noHBand="0" w:noVBand="1"/>
            </w:tblPr>
            <w:tblGrid>
              <w:gridCol w:w="1538"/>
              <w:gridCol w:w="4440"/>
            </w:tblGrid>
            <w:tr w:rsidR="002509F7" w:rsidRPr="002509F7" w14:paraId="5F08C9A8" w14:textId="77777777" w:rsidTr="00FC27A8">
              <w:trPr>
                <w:trHeight w:val="278"/>
              </w:trPr>
              <w:tc>
                <w:tcPr>
                  <w:tcW w:w="897" w:type="dxa"/>
                  <w:tcBorders>
                    <w:top w:val="nil"/>
                    <w:left w:val="nil"/>
                    <w:bottom w:val="nil"/>
                    <w:right w:val="nil"/>
                  </w:tcBorders>
                  <w:shd w:val="clear" w:color="auto" w:fill="auto"/>
                  <w:noWrap/>
                  <w:vAlign w:val="bottom"/>
                  <w:hideMark/>
                </w:tcPr>
                <w:p w14:paraId="2FC0A29A" w14:textId="77777777" w:rsidR="002509F7" w:rsidRPr="002509F7" w:rsidRDefault="002509F7" w:rsidP="002509F7">
                  <w:pPr>
                    <w:spacing w:after="0" w:line="240" w:lineRule="auto"/>
                    <w:rPr>
                      <w:rFonts w:ascii="Times New Roman" w:eastAsia="Times New Roman" w:hAnsi="Times New Roman" w:cs="Times New Roman"/>
                      <w:sz w:val="20"/>
                      <w:szCs w:val="20"/>
                    </w:rPr>
                  </w:pPr>
                </w:p>
              </w:tc>
              <w:tc>
                <w:tcPr>
                  <w:tcW w:w="2590" w:type="dxa"/>
                  <w:tcBorders>
                    <w:top w:val="nil"/>
                    <w:left w:val="nil"/>
                    <w:bottom w:val="nil"/>
                    <w:right w:val="nil"/>
                  </w:tcBorders>
                  <w:shd w:val="clear" w:color="auto" w:fill="auto"/>
                  <w:noWrap/>
                  <w:vAlign w:val="bottom"/>
                  <w:hideMark/>
                </w:tcPr>
                <w:p w14:paraId="0C2ABFB2" w14:textId="77777777" w:rsidR="002509F7" w:rsidRPr="002509F7" w:rsidRDefault="002509F7" w:rsidP="002509F7">
                  <w:pPr>
                    <w:spacing w:after="0" w:line="240" w:lineRule="auto"/>
                    <w:rPr>
                      <w:rFonts w:ascii="Times New Roman" w:eastAsia="Times New Roman" w:hAnsi="Times New Roman" w:cs="Times New Roman"/>
                      <w:color w:val="000000"/>
                    </w:rPr>
                  </w:pPr>
                  <w:r w:rsidRPr="002509F7">
                    <w:rPr>
                      <w:rFonts w:ascii="Times New Roman" w:eastAsia="Times New Roman" w:hAnsi="Times New Roman" w:cs="Times New Roman"/>
                      <w:color w:val="000000"/>
                    </w:rPr>
                    <w:t>2 darbinieki: 2 pilnas slodzes = 3990 h</w:t>
                  </w:r>
                </w:p>
              </w:tc>
            </w:tr>
            <w:tr w:rsidR="002509F7" w:rsidRPr="002509F7" w14:paraId="2F686CF2" w14:textId="77777777" w:rsidTr="002509F7">
              <w:trPr>
                <w:trHeight w:val="77"/>
              </w:trPr>
              <w:tc>
                <w:tcPr>
                  <w:tcW w:w="897" w:type="dxa"/>
                  <w:tcBorders>
                    <w:top w:val="nil"/>
                    <w:left w:val="nil"/>
                    <w:bottom w:val="nil"/>
                    <w:right w:val="nil"/>
                  </w:tcBorders>
                  <w:shd w:val="clear" w:color="auto" w:fill="auto"/>
                  <w:noWrap/>
                  <w:vAlign w:val="bottom"/>
                  <w:hideMark/>
                </w:tcPr>
                <w:p w14:paraId="6F2D227F" w14:textId="77777777" w:rsidR="002509F7" w:rsidRPr="002509F7" w:rsidRDefault="002509F7" w:rsidP="002509F7">
                  <w:pPr>
                    <w:spacing w:after="0" w:line="240" w:lineRule="auto"/>
                    <w:rPr>
                      <w:rFonts w:ascii="Times New Roman" w:eastAsia="Times New Roman" w:hAnsi="Times New Roman" w:cs="Times New Roman"/>
                      <w:sz w:val="20"/>
                      <w:szCs w:val="20"/>
                    </w:rPr>
                  </w:pPr>
                </w:p>
              </w:tc>
              <w:tc>
                <w:tcPr>
                  <w:tcW w:w="2590" w:type="dxa"/>
                  <w:tcBorders>
                    <w:top w:val="nil"/>
                    <w:left w:val="nil"/>
                    <w:bottom w:val="nil"/>
                    <w:right w:val="nil"/>
                  </w:tcBorders>
                  <w:shd w:val="clear" w:color="auto" w:fill="auto"/>
                  <w:noWrap/>
                  <w:vAlign w:val="bottom"/>
                  <w:hideMark/>
                </w:tcPr>
                <w:p w14:paraId="5F6056F2" w14:textId="77777777" w:rsidR="002509F7" w:rsidRDefault="002509F7" w:rsidP="002509F7">
                  <w:pPr>
                    <w:spacing w:after="0" w:line="240" w:lineRule="auto"/>
                    <w:rPr>
                      <w:rFonts w:ascii="Times New Roman" w:eastAsia="Times New Roman" w:hAnsi="Times New Roman" w:cs="Times New Roman"/>
                      <w:color w:val="000000"/>
                    </w:rPr>
                  </w:pPr>
                  <w:r w:rsidRPr="002509F7">
                    <w:rPr>
                      <w:rFonts w:ascii="Times New Roman" w:eastAsia="Times New Roman" w:hAnsi="Times New Roman" w:cs="Times New Roman"/>
                      <w:color w:val="000000"/>
                    </w:rPr>
                    <w:t>Vidēji uz darbinieku 3990/2 = 1995 h</w:t>
                  </w:r>
                </w:p>
                <w:p w14:paraId="319154A1" w14:textId="77777777" w:rsidR="002509F7" w:rsidRPr="002509F7" w:rsidRDefault="002509F7" w:rsidP="002509F7">
                  <w:pPr>
                    <w:spacing w:after="0" w:line="240" w:lineRule="auto"/>
                    <w:rPr>
                      <w:rFonts w:ascii="Times New Roman" w:eastAsia="Times New Roman" w:hAnsi="Times New Roman" w:cs="Times New Roman"/>
                      <w:color w:val="000000"/>
                    </w:rPr>
                  </w:pPr>
                </w:p>
              </w:tc>
            </w:tr>
          </w:tbl>
          <w:p w14:paraId="7E20E05D" w14:textId="4B46DF13" w:rsidR="00551014" w:rsidRDefault="00FB7864">
            <w:pPr>
              <w:spacing w:after="0" w:line="240" w:lineRule="auto"/>
              <w:jc w:val="both"/>
            </w:pPr>
            <w:r w:rsidRPr="00BB2F19">
              <w:rPr>
                <w:rFonts w:ascii="Times New Roman" w:eastAsia="Times New Roman" w:hAnsi="Times New Roman" w:cs="Times New Roman"/>
                <w:sz w:val="24"/>
              </w:rPr>
              <w:lastRenderedPageBreak/>
              <w:t>Jaunas amata vietas netiek veidotas, jo LVGMC jau šobrīd uztur esošās sistēmas – APUS un BRAPUS, attiecīgi šo sistēmu uzraudzībā nodarbinātie cilvēkresursi turpmāk tiks piesaistīti jaunizveidotās Sistēmas uzraudzībai un darbības nodrošināšanai.</w:t>
            </w:r>
          </w:p>
        </w:tc>
      </w:tr>
      <w:tr w:rsidR="00551014" w14:paraId="49C6CFF4" w14:textId="77777777">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7ED1A" w14:textId="77777777" w:rsidR="00551014" w:rsidRDefault="00A653AF">
            <w:pPr>
              <w:spacing w:after="0" w:line="240" w:lineRule="auto"/>
            </w:pPr>
            <w:r>
              <w:rPr>
                <w:rFonts w:ascii="Times New Roman" w:eastAsia="Times New Roman" w:hAnsi="Times New Roman" w:cs="Times New Roman"/>
                <w:sz w:val="24"/>
              </w:rPr>
              <w:lastRenderedPageBreak/>
              <w:t>5.</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FFA13" w14:textId="77777777" w:rsidR="00551014" w:rsidRDefault="00A653AF">
            <w:pPr>
              <w:spacing w:after="0" w:line="240" w:lineRule="auto"/>
            </w:pPr>
            <w:r>
              <w:rPr>
                <w:rFonts w:ascii="Times New Roman" w:eastAsia="Times New Roman" w:hAnsi="Times New Roman" w:cs="Times New Roman"/>
                <w:sz w:val="24"/>
              </w:rPr>
              <w:t>Cita informācija</w:t>
            </w:r>
          </w:p>
        </w:tc>
        <w:tc>
          <w:tcPr>
            <w:tcW w:w="6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99FDD" w14:textId="19A0608F" w:rsidR="00551014" w:rsidRDefault="00A653AF">
            <w:pPr>
              <w:spacing w:after="0" w:line="240" w:lineRule="auto"/>
            </w:pPr>
            <w:r>
              <w:rPr>
                <w:rFonts w:ascii="Times New Roman" w:eastAsia="Times New Roman" w:hAnsi="Times New Roman" w:cs="Times New Roman"/>
                <w:sz w:val="24"/>
              </w:rPr>
              <w:t>Nav</w:t>
            </w:r>
          </w:p>
        </w:tc>
      </w:tr>
    </w:tbl>
    <w:p w14:paraId="72588D7F" w14:textId="77777777" w:rsidR="00FB7864" w:rsidRDefault="00FB7864">
      <w:pPr>
        <w:spacing w:after="0" w:line="240" w:lineRule="auto"/>
        <w:rPr>
          <w:rFonts w:ascii="Times New Roman" w:eastAsia="Times New Roman" w:hAnsi="Times New Roman" w:cs="Times New Roman"/>
          <w:color w:val="414142"/>
          <w:sz w:val="24"/>
        </w:rPr>
      </w:pPr>
    </w:p>
    <w:tbl>
      <w:tblPr>
        <w:tblW w:w="0" w:type="auto"/>
        <w:tblInd w:w="-8" w:type="dxa"/>
        <w:tblCellMar>
          <w:left w:w="10" w:type="dxa"/>
          <w:right w:w="10" w:type="dxa"/>
        </w:tblCellMar>
        <w:tblLook w:val="04A0" w:firstRow="1" w:lastRow="0" w:firstColumn="1" w:lastColumn="0" w:noHBand="0" w:noVBand="1"/>
      </w:tblPr>
      <w:tblGrid>
        <w:gridCol w:w="8304"/>
      </w:tblGrid>
      <w:tr w:rsidR="00551014" w14:paraId="597EFBAB" w14:textId="77777777">
        <w:trPr>
          <w:trHeight w:val="1"/>
        </w:trPr>
        <w:tc>
          <w:tcPr>
            <w:tcW w:w="9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B169A" w14:textId="77777777" w:rsidR="00551014" w:rsidRDefault="00A653AF" w:rsidP="00EE5AFB">
            <w:pPr>
              <w:spacing w:after="0" w:line="240" w:lineRule="auto"/>
              <w:jc w:val="center"/>
            </w:pPr>
            <w:r>
              <w:rPr>
                <w:rFonts w:ascii="Times New Roman" w:eastAsia="Times New Roman" w:hAnsi="Times New Roman" w:cs="Times New Roman"/>
                <w:b/>
                <w:sz w:val="24"/>
              </w:rPr>
              <w:t>III. Tiesību akta projekta ietekme uz valsts budžetu un pašvaldību budžetiem</w:t>
            </w:r>
          </w:p>
        </w:tc>
      </w:tr>
      <w:tr w:rsidR="00551014" w14:paraId="78D8A361" w14:textId="77777777">
        <w:trPr>
          <w:trHeight w:val="1"/>
        </w:trPr>
        <w:tc>
          <w:tcPr>
            <w:tcW w:w="9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9B459" w14:textId="77777777" w:rsidR="00551014" w:rsidRDefault="00A653AF">
            <w:pPr>
              <w:spacing w:after="0" w:line="240" w:lineRule="auto"/>
              <w:jc w:val="center"/>
            </w:pPr>
            <w:r>
              <w:rPr>
                <w:rFonts w:ascii="Times New Roman" w:eastAsia="Times New Roman" w:hAnsi="Times New Roman" w:cs="Times New Roman"/>
                <w:sz w:val="24"/>
              </w:rPr>
              <w:t>Projekts šo jomu neskar.</w:t>
            </w:r>
          </w:p>
        </w:tc>
      </w:tr>
    </w:tbl>
    <w:p w14:paraId="2A00B38E" w14:textId="77777777" w:rsidR="00551014" w:rsidRDefault="00A653AF">
      <w:pPr>
        <w:spacing w:after="0" w:line="240" w:lineRule="auto"/>
        <w:rPr>
          <w:rFonts w:ascii="Times New Roman" w:eastAsia="Times New Roman" w:hAnsi="Times New Roman" w:cs="Times New Roman"/>
          <w:color w:val="414142"/>
          <w:sz w:val="24"/>
        </w:rPr>
      </w:pPr>
      <w:r>
        <w:rPr>
          <w:rFonts w:ascii="Times New Roman" w:eastAsia="Times New Roman" w:hAnsi="Times New Roman" w:cs="Times New Roman"/>
          <w:color w:val="414142"/>
          <w:sz w:val="24"/>
        </w:rPr>
        <w:t xml:space="preserve">  </w:t>
      </w:r>
    </w:p>
    <w:tbl>
      <w:tblPr>
        <w:tblW w:w="0" w:type="auto"/>
        <w:jc w:val="center"/>
        <w:tblCellMar>
          <w:left w:w="10" w:type="dxa"/>
          <w:right w:w="10" w:type="dxa"/>
        </w:tblCellMar>
        <w:tblLook w:val="04A0" w:firstRow="1" w:lastRow="0" w:firstColumn="1" w:lastColumn="0" w:noHBand="0" w:noVBand="1"/>
      </w:tblPr>
      <w:tblGrid>
        <w:gridCol w:w="8296"/>
      </w:tblGrid>
      <w:tr w:rsidR="00551014" w14:paraId="1081CD47" w14:textId="77777777">
        <w:trPr>
          <w:trHeight w:val="1"/>
          <w:jc w:val="center"/>
        </w:trPr>
        <w:tc>
          <w:tcPr>
            <w:tcW w:w="9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5170A" w14:textId="77777777" w:rsidR="00551014" w:rsidRDefault="00A653AF" w:rsidP="00EE5AFB">
            <w:pPr>
              <w:spacing w:after="0" w:line="240" w:lineRule="auto"/>
              <w:jc w:val="center"/>
            </w:pPr>
            <w:r>
              <w:rPr>
                <w:rFonts w:ascii="Times New Roman" w:eastAsia="Times New Roman" w:hAnsi="Times New Roman" w:cs="Times New Roman"/>
                <w:b/>
                <w:sz w:val="24"/>
              </w:rPr>
              <w:t>IV. Tiesību akta projekta ietekme uz spēkā esošo tiesību normu sistēmu</w:t>
            </w:r>
          </w:p>
        </w:tc>
      </w:tr>
      <w:tr w:rsidR="00551014" w14:paraId="26403E6E" w14:textId="77777777">
        <w:trPr>
          <w:trHeight w:val="1"/>
          <w:jc w:val="center"/>
        </w:trPr>
        <w:tc>
          <w:tcPr>
            <w:tcW w:w="9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CCCF8" w14:textId="77777777" w:rsidR="00551014" w:rsidRDefault="00A653AF">
            <w:pPr>
              <w:spacing w:after="0" w:line="240" w:lineRule="auto"/>
              <w:jc w:val="center"/>
            </w:pPr>
            <w:r>
              <w:rPr>
                <w:rFonts w:ascii="Times New Roman" w:eastAsia="Times New Roman" w:hAnsi="Times New Roman" w:cs="Times New Roman"/>
                <w:sz w:val="24"/>
              </w:rPr>
              <w:t>Projekts šo jomu neskar.</w:t>
            </w:r>
          </w:p>
        </w:tc>
      </w:tr>
    </w:tbl>
    <w:p w14:paraId="09A7D0DD" w14:textId="77777777" w:rsidR="00551014" w:rsidRDefault="00551014">
      <w:pPr>
        <w:spacing w:after="0" w:line="240" w:lineRule="auto"/>
        <w:rPr>
          <w:rFonts w:ascii="Times New Roman" w:eastAsia="Times New Roman" w:hAnsi="Times New Roman" w:cs="Times New Roman"/>
          <w:color w:val="414142"/>
          <w:sz w:val="24"/>
        </w:rPr>
      </w:pPr>
    </w:p>
    <w:tbl>
      <w:tblPr>
        <w:tblW w:w="0" w:type="auto"/>
        <w:tblInd w:w="-8" w:type="dxa"/>
        <w:tblCellMar>
          <w:left w:w="10" w:type="dxa"/>
          <w:right w:w="10" w:type="dxa"/>
        </w:tblCellMar>
        <w:tblLook w:val="04A0" w:firstRow="1" w:lastRow="0" w:firstColumn="1" w:lastColumn="0" w:noHBand="0" w:noVBand="1"/>
      </w:tblPr>
      <w:tblGrid>
        <w:gridCol w:w="396"/>
        <w:gridCol w:w="2613"/>
        <w:gridCol w:w="5295"/>
      </w:tblGrid>
      <w:tr w:rsidR="00551014" w14:paraId="72B115CB" w14:textId="77777777">
        <w:trPr>
          <w:trHeight w:val="1"/>
        </w:trPr>
        <w:tc>
          <w:tcPr>
            <w:tcW w:w="90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46C08" w14:textId="77777777" w:rsidR="00551014" w:rsidRDefault="00A653AF" w:rsidP="00EE5AFB">
            <w:pPr>
              <w:spacing w:after="0" w:line="240" w:lineRule="auto"/>
              <w:jc w:val="center"/>
            </w:pPr>
            <w:r>
              <w:rPr>
                <w:rFonts w:ascii="Times New Roman" w:eastAsia="Times New Roman" w:hAnsi="Times New Roman" w:cs="Times New Roman"/>
                <w:b/>
                <w:sz w:val="24"/>
              </w:rPr>
              <w:t>V. Tiesību akta projekta atbilstība Latvijas Republikas starptautiskajām saistībām</w:t>
            </w:r>
          </w:p>
        </w:tc>
      </w:tr>
      <w:tr w:rsidR="00551014" w14:paraId="38064C7F" w14:textId="77777777">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DF101" w14:textId="77777777" w:rsidR="00551014" w:rsidRDefault="00A653AF">
            <w:pPr>
              <w:spacing w:after="0" w:line="240" w:lineRule="auto"/>
            </w:pPr>
            <w:r>
              <w:rPr>
                <w:rFonts w:ascii="Times New Roman" w:eastAsia="Times New Roman" w:hAnsi="Times New Roman" w:cs="Times New Roman"/>
                <w:color w:val="414142"/>
                <w:sz w:val="24"/>
              </w:rPr>
              <w:t>1.</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36856" w14:textId="77777777" w:rsidR="00551014" w:rsidRDefault="00A653AF">
            <w:pPr>
              <w:spacing w:after="0" w:line="240" w:lineRule="auto"/>
            </w:pPr>
            <w:r>
              <w:rPr>
                <w:rFonts w:ascii="Times New Roman" w:eastAsia="Times New Roman" w:hAnsi="Times New Roman" w:cs="Times New Roman"/>
                <w:sz w:val="24"/>
              </w:rPr>
              <w:t>Saistības pret Eiropas Savienību</w:t>
            </w:r>
          </w:p>
        </w:tc>
        <w:tc>
          <w:tcPr>
            <w:tcW w:w="5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69531" w14:textId="77777777" w:rsidR="00551014" w:rsidRDefault="00A653AF">
            <w:pPr>
              <w:spacing w:after="0" w:line="240" w:lineRule="auto"/>
              <w:jc w:val="both"/>
            </w:pPr>
            <w:r>
              <w:rPr>
                <w:rFonts w:ascii="Times New Roman" w:eastAsia="Times New Roman" w:hAnsi="Times New Roman" w:cs="Times New Roman"/>
                <w:sz w:val="24"/>
              </w:rPr>
              <w:t>Eiropas Parlamenta un Padomes 2008. gada 19. novembra Direktīva 2008/98/EK par atkritumiem un par dažu direktīvu atcelšanu</w:t>
            </w:r>
          </w:p>
        </w:tc>
      </w:tr>
      <w:tr w:rsidR="00551014" w14:paraId="4FB8C655" w14:textId="77777777">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179DA" w14:textId="77777777" w:rsidR="00551014" w:rsidRDefault="00A653AF">
            <w:pPr>
              <w:spacing w:after="0" w:line="240" w:lineRule="auto"/>
            </w:pPr>
            <w:r>
              <w:rPr>
                <w:rFonts w:ascii="Times New Roman" w:eastAsia="Times New Roman" w:hAnsi="Times New Roman" w:cs="Times New Roman"/>
                <w:color w:val="414142"/>
                <w:sz w:val="24"/>
              </w:rPr>
              <w:t>2.</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C989C" w14:textId="77777777" w:rsidR="00551014" w:rsidRDefault="00A653AF">
            <w:pPr>
              <w:spacing w:after="0" w:line="240" w:lineRule="auto"/>
            </w:pPr>
            <w:r>
              <w:rPr>
                <w:rFonts w:ascii="Times New Roman" w:eastAsia="Times New Roman" w:hAnsi="Times New Roman" w:cs="Times New Roman"/>
                <w:sz w:val="24"/>
              </w:rPr>
              <w:t>Citas starptautiskās saistības</w:t>
            </w:r>
          </w:p>
        </w:tc>
        <w:tc>
          <w:tcPr>
            <w:tcW w:w="5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7482E" w14:textId="77777777" w:rsidR="00551014" w:rsidRDefault="00A653AF">
            <w:pPr>
              <w:spacing w:after="0" w:line="240" w:lineRule="auto"/>
            </w:pPr>
            <w:r>
              <w:rPr>
                <w:rFonts w:ascii="Times New Roman" w:eastAsia="Times New Roman" w:hAnsi="Times New Roman" w:cs="Times New Roman"/>
                <w:sz w:val="24"/>
              </w:rPr>
              <w:t>Projekts šo jomu neskar.</w:t>
            </w:r>
          </w:p>
        </w:tc>
      </w:tr>
      <w:tr w:rsidR="00551014" w14:paraId="49046217" w14:textId="77777777">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D7880" w14:textId="77777777" w:rsidR="00551014" w:rsidRDefault="00A653AF">
            <w:pPr>
              <w:spacing w:after="0" w:line="240" w:lineRule="auto"/>
            </w:pPr>
            <w:r>
              <w:rPr>
                <w:rFonts w:ascii="Times New Roman" w:eastAsia="Times New Roman" w:hAnsi="Times New Roman" w:cs="Times New Roman"/>
                <w:color w:val="414142"/>
                <w:sz w:val="24"/>
              </w:rPr>
              <w:t>3.</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4CD98" w14:textId="77777777" w:rsidR="00551014" w:rsidRDefault="00A653AF">
            <w:pPr>
              <w:spacing w:after="0" w:line="240" w:lineRule="auto"/>
            </w:pPr>
            <w:r>
              <w:rPr>
                <w:rFonts w:ascii="Times New Roman" w:eastAsia="Times New Roman" w:hAnsi="Times New Roman" w:cs="Times New Roman"/>
                <w:sz w:val="24"/>
              </w:rPr>
              <w:t>Cita informācija</w:t>
            </w:r>
          </w:p>
        </w:tc>
        <w:tc>
          <w:tcPr>
            <w:tcW w:w="5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02D3D" w14:textId="77777777" w:rsidR="00551014" w:rsidRDefault="00A653AF">
            <w:pPr>
              <w:spacing w:after="0" w:line="240" w:lineRule="auto"/>
            </w:pPr>
            <w:r>
              <w:rPr>
                <w:rFonts w:ascii="Times New Roman" w:eastAsia="Times New Roman" w:hAnsi="Times New Roman" w:cs="Times New Roman"/>
                <w:sz w:val="24"/>
              </w:rPr>
              <w:t>Nav</w:t>
            </w:r>
          </w:p>
        </w:tc>
      </w:tr>
    </w:tbl>
    <w:p w14:paraId="329FB680" w14:textId="77777777" w:rsidR="004B52F7" w:rsidRDefault="004B52F7">
      <w:pPr>
        <w:spacing w:after="0" w:line="240" w:lineRule="auto"/>
        <w:rPr>
          <w:rFonts w:ascii="Times New Roman" w:eastAsia="Times New Roman" w:hAnsi="Times New Roman" w:cs="Times New Roman"/>
          <w:color w:val="414142"/>
          <w:sz w:val="24"/>
        </w:rPr>
      </w:pPr>
    </w:p>
    <w:tbl>
      <w:tblPr>
        <w:tblW w:w="0" w:type="auto"/>
        <w:tblInd w:w="-8" w:type="dxa"/>
        <w:tblCellMar>
          <w:left w:w="10" w:type="dxa"/>
          <w:right w:w="10" w:type="dxa"/>
        </w:tblCellMar>
        <w:tblLook w:val="04A0" w:firstRow="1" w:lastRow="0" w:firstColumn="1" w:lastColumn="0" w:noHBand="0" w:noVBand="1"/>
      </w:tblPr>
      <w:tblGrid>
        <w:gridCol w:w="2201"/>
        <w:gridCol w:w="1949"/>
        <w:gridCol w:w="1960"/>
        <w:gridCol w:w="2194"/>
      </w:tblGrid>
      <w:tr w:rsidR="00551014" w14:paraId="2A040587" w14:textId="77777777">
        <w:trPr>
          <w:trHeight w:val="1"/>
        </w:trPr>
        <w:tc>
          <w:tcPr>
            <w:tcW w:w="90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92883" w14:textId="116FCB9A" w:rsidR="00551014" w:rsidRDefault="00A653AF" w:rsidP="00EE5AFB">
            <w:pPr>
              <w:spacing w:after="0" w:line="240" w:lineRule="auto"/>
              <w:jc w:val="center"/>
            </w:pPr>
            <w:r>
              <w:rPr>
                <w:rFonts w:ascii="Times New Roman" w:eastAsia="Times New Roman" w:hAnsi="Times New Roman" w:cs="Times New Roman"/>
                <w:b/>
                <w:sz w:val="24"/>
              </w:rPr>
              <w:t>1. tabula</w:t>
            </w:r>
            <w:r>
              <w:rPr>
                <w:rFonts w:ascii="Times New Roman" w:eastAsia="Times New Roman" w:hAnsi="Times New Roman" w:cs="Times New Roman"/>
                <w:b/>
                <w:sz w:val="24"/>
              </w:rPr>
              <w:br/>
              <w:t>Tiesību akta projekta atbilstība ES tiesību aktiem</w:t>
            </w:r>
          </w:p>
        </w:tc>
      </w:tr>
      <w:tr w:rsidR="00551014" w14:paraId="0E49092F" w14:textId="77777777">
        <w:trPr>
          <w:trHeight w:val="1"/>
        </w:trPr>
        <w:tc>
          <w:tcPr>
            <w:tcW w:w="90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4E102" w14:textId="77777777" w:rsidR="00551014" w:rsidRPr="004B52F7" w:rsidRDefault="00A653A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Eiropas Parlamenta un Padomes 2008. gada 19. novembra Direktīva 2008/98/EK par atkritumiem un par dažu direktīvu atcelšanu</w:t>
            </w:r>
          </w:p>
        </w:tc>
      </w:tr>
      <w:tr w:rsidR="00551014" w14:paraId="1AAB28A6" w14:textId="77777777">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20281" w14:textId="77777777" w:rsidR="00551014" w:rsidRDefault="00A653AF">
            <w:pPr>
              <w:spacing w:after="0" w:line="240" w:lineRule="auto"/>
            </w:pPr>
            <w:r>
              <w:rPr>
                <w:rFonts w:ascii="Times New Roman" w:eastAsia="Times New Roman" w:hAnsi="Times New Roman" w:cs="Times New Roman"/>
                <w:color w:val="414142"/>
                <w:sz w:val="24"/>
              </w:rPr>
              <w:t>A</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6CBB5" w14:textId="77777777" w:rsidR="00551014" w:rsidRDefault="00A653AF">
            <w:pPr>
              <w:spacing w:after="0" w:line="240" w:lineRule="auto"/>
            </w:pPr>
            <w:r>
              <w:rPr>
                <w:rFonts w:ascii="Times New Roman" w:eastAsia="Times New Roman" w:hAnsi="Times New Roman" w:cs="Times New Roman"/>
                <w:color w:val="414142"/>
                <w:sz w:val="24"/>
              </w:rPr>
              <w:t>B</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1A51C" w14:textId="77777777" w:rsidR="00551014" w:rsidRDefault="00A653AF">
            <w:pPr>
              <w:spacing w:after="0" w:line="240" w:lineRule="auto"/>
            </w:pPr>
            <w:r>
              <w:rPr>
                <w:rFonts w:ascii="Times New Roman" w:eastAsia="Times New Roman" w:hAnsi="Times New Roman" w:cs="Times New Roman"/>
                <w:color w:val="414142"/>
                <w:sz w:val="24"/>
              </w:rPr>
              <w:t>C</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81283" w14:textId="77777777" w:rsidR="00551014" w:rsidRDefault="00A653AF">
            <w:pPr>
              <w:spacing w:after="0" w:line="240" w:lineRule="auto"/>
            </w:pPr>
            <w:r>
              <w:rPr>
                <w:rFonts w:ascii="Times New Roman" w:eastAsia="Times New Roman" w:hAnsi="Times New Roman" w:cs="Times New Roman"/>
                <w:color w:val="414142"/>
                <w:sz w:val="24"/>
              </w:rPr>
              <w:t>D</w:t>
            </w:r>
          </w:p>
        </w:tc>
      </w:tr>
      <w:tr w:rsidR="00551014" w14:paraId="36D0713D" w14:textId="77777777">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321ED" w14:textId="77777777" w:rsidR="00551014" w:rsidRDefault="00A653AF">
            <w:pPr>
              <w:spacing w:after="0" w:line="240" w:lineRule="auto"/>
              <w:jc w:val="both"/>
            </w:pPr>
            <w:r>
              <w:rPr>
                <w:rFonts w:ascii="Times New Roman" w:eastAsia="Times New Roman" w:hAnsi="Times New Roman" w:cs="Times New Roman"/>
                <w:sz w:val="20"/>
              </w:rPr>
              <w:t>Attiecīgā ES tiesību akta panta numurs (uzskaitot katru tiesību akta vienību – pantu, daļu, punktu, apakšpunktu)</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94EB9" w14:textId="77777777" w:rsidR="00551014" w:rsidRDefault="00A653AF" w:rsidP="00EE5AFB">
            <w:pPr>
              <w:spacing w:after="0" w:line="240" w:lineRule="auto"/>
              <w:jc w:val="both"/>
            </w:pPr>
            <w:r>
              <w:rPr>
                <w:rFonts w:ascii="Times New Roman" w:eastAsia="Times New Roman" w:hAnsi="Times New Roman" w:cs="Times New Roman"/>
                <w:sz w:val="20"/>
              </w:rPr>
              <w:t>Projekta vienība, kas pārņem vai ievieš katru šīs tabulas A ailē minēto ES tiesību akta vienību, vai tiesību akts, kur attiecīgā ES tiesību akta vienība pārņemta vai ieviesta</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DEFF1" w14:textId="77777777" w:rsidR="00551014" w:rsidRDefault="00A653AF" w:rsidP="00EE5AFB">
            <w:pPr>
              <w:spacing w:after="0" w:line="240" w:lineRule="auto"/>
              <w:jc w:val="both"/>
            </w:pPr>
            <w:r>
              <w:rPr>
                <w:rFonts w:ascii="Times New Roman" w:eastAsia="Times New Roman" w:hAnsi="Times New Roman" w:cs="Times New Roman"/>
                <w:sz w:val="20"/>
              </w:rPr>
              <w:t>Informācija par to, vai šīs tabulas A ailē minētās ES tiesību akta vienības tiek pārņemtas vai ieviestas pilnībā vai daļēji.</w:t>
            </w:r>
            <w:r>
              <w:rPr>
                <w:rFonts w:ascii="Times New Roman" w:eastAsia="Times New Roman" w:hAnsi="Times New Roman" w:cs="Times New Roman"/>
                <w:sz w:val="20"/>
              </w:rPr>
              <w:br/>
              <w:t>Ja attiecīgā ES tiesību akta vienība tiek pārņemta vai ieviesta daļēji, sniedz attiecīgu skaidrojumu, kā arī precīzi norāda, kad un kādā veidā ES tiesību akta vienība tiks pārņemta vai ieviesta pilnībā.</w:t>
            </w:r>
            <w:r>
              <w:rPr>
                <w:rFonts w:ascii="Times New Roman" w:eastAsia="Times New Roman" w:hAnsi="Times New Roman" w:cs="Times New Roman"/>
                <w:sz w:val="20"/>
              </w:rPr>
              <w:br/>
              <w:t>Norāda institūciju, kas ir atbildīga par šo saistību izpildi pilnībā</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AB723" w14:textId="77777777" w:rsidR="00551014" w:rsidRDefault="00A653AF" w:rsidP="00EE5AFB">
            <w:pPr>
              <w:spacing w:after="0" w:line="240" w:lineRule="auto"/>
              <w:jc w:val="both"/>
            </w:pPr>
            <w:r>
              <w:rPr>
                <w:rFonts w:ascii="Times New Roman" w:eastAsia="Times New Roman" w:hAnsi="Times New Roman" w:cs="Times New Roman"/>
                <w:sz w:val="20"/>
              </w:rPr>
              <w:t>Informācija par to, vai šīs tabulas B ailē minētās projekta vienības paredz stingrākas prasības nekā šīs tabulas A ailē minētās ES tiesību akta vienības.</w:t>
            </w:r>
            <w:r>
              <w:rPr>
                <w:rFonts w:ascii="Times New Roman" w:eastAsia="Times New Roman" w:hAnsi="Times New Roman" w:cs="Times New Roman"/>
                <w:sz w:val="20"/>
              </w:rPr>
              <w:br/>
              <w:t>Ja projekts satur stingrākas prasības nekā attiecīgais ES tiesību akts, norāda pamatojumu un samērīgumu.</w:t>
            </w:r>
            <w:r>
              <w:rPr>
                <w:rFonts w:ascii="Times New Roman" w:eastAsia="Times New Roman" w:hAnsi="Times New Roman" w:cs="Times New Roman"/>
                <w:sz w:val="20"/>
              </w:rPr>
              <w:br/>
              <w:t>Norāda iespējamās alternatīvas (t. sk. alternatīvas, kas neparedz tiesiskā regulējuma izstrādi) – kādos gadījumos būtu iespējams izvairīties no stingrāku prasību noteikšanas, nekā paredzēts attiecīgajos ES tiesību aktos</w:t>
            </w:r>
          </w:p>
        </w:tc>
      </w:tr>
      <w:tr w:rsidR="00551014" w14:paraId="08AA6E15" w14:textId="77777777">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4FB7C" w14:textId="77777777" w:rsidR="00551014" w:rsidRDefault="00A653AF">
            <w:pPr>
              <w:spacing w:after="0" w:line="240" w:lineRule="auto"/>
            </w:pPr>
            <w:r>
              <w:rPr>
                <w:rFonts w:ascii="Times New Roman" w:eastAsia="Times New Roman" w:hAnsi="Times New Roman" w:cs="Times New Roman"/>
                <w:sz w:val="24"/>
              </w:rPr>
              <w:lastRenderedPageBreak/>
              <w:t>17. pants</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0CB71" w14:textId="77777777" w:rsidR="00551014" w:rsidRDefault="00A653AF">
            <w:pPr>
              <w:spacing w:after="0" w:line="240" w:lineRule="auto"/>
              <w:jc w:val="both"/>
            </w:pPr>
            <w:r>
              <w:rPr>
                <w:rFonts w:ascii="Times New Roman" w:eastAsia="Times New Roman" w:hAnsi="Times New Roman" w:cs="Times New Roman"/>
                <w:sz w:val="24"/>
              </w:rPr>
              <w:t>Noteikumu projekta1.1., 1.2. apakšpunkts, 2.nodaļa, 10., 12., 15., 16., 17. punkts, 1. un 2. pielikums</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99095" w14:textId="77777777" w:rsidR="00551014" w:rsidRDefault="00A653AF">
            <w:pPr>
              <w:spacing w:after="0" w:line="240" w:lineRule="auto"/>
            </w:pPr>
            <w:r>
              <w:rPr>
                <w:rFonts w:ascii="Times New Roman" w:eastAsia="Times New Roman" w:hAnsi="Times New Roman" w:cs="Times New Roman"/>
                <w:sz w:val="24"/>
              </w:rPr>
              <w:t>Pārņemts pilnībā.</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C7892" w14:textId="77777777" w:rsidR="00551014" w:rsidRDefault="00A653AF">
            <w:pPr>
              <w:spacing w:after="0" w:line="240" w:lineRule="auto"/>
              <w:jc w:val="both"/>
            </w:pPr>
            <w:r>
              <w:rPr>
                <w:rFonts w:ascii="Times New Roman" w:eastAsia="Times New Roman" w:hAnsi="Times New Roman" w:cs="Times New Roman"/>
                <w:sz w:val="24"/>
              </w:rPr>
              <w:t>Netiek noteiktas stingrākas prasības.</w:t>
            </w:r>
          </w:p>
        </w:tc>
      </w:tr>
      <w:tr w:rsidR="00551014" w14:paraId="241B5907" w14:textId="77777777">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DC49E" w14:textId="77777777" w:rsidR="00551014" w:rsidRDefault="00A653AF">
            <w:pPr>
              <w:spacing w:after="0" w:line="240" w:lineRule="auto"/>
            </w:pPr>
            <w:r>
              <w:rPr>
                <w:rFonts w:ascii="Times New Roman" w:eastAsia="Times New Roman" w:hAnsi="Times New Roman" w:cs="Times New Roman"/>
                <w:sz w:val="24"/>
              </w:rPr>
              <w:t>18. panta 1. punkts</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CA295" w14:textId="77777777" w:rsidR="00551014" w:rsidRDefault="00A653AF">
            <w:pPr>
              <w:spacing w:after="0" w:line="240" w:lineRule="auto"/>
              <w:jc w:val="both"/>
            </w:pPr>
            <w:r>
              <w:rPr>
                <w:rFonts w:ascii="Times New Roman" w:eastAsia="Times New Roman" w:hAnsi="Times New Roman" w:cs="Times New Roman"/>
                <w:sz w:val="24"/>
              </w:rPr>
              <w:t>Noteikumu projekta 6. punkts</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62F61" w14:textId="77777777" w:rsidR="00551014" w:rsidRDefault="00A653AF">
            <w:pPr>
              <w:spacing w:after="0" w:line="240" w:lineRule="auto"/>
            </w:pPr>
            <w:r>
              <w:rPr>
                <w:rFonts w:ascii="Times New Roman" w:eastAsia="Times New Roman" w:hAnsi="Times New Roman" w:cs="Times New Roman"/>
                <w:sz w:val="24"/>
              </w:rPr>
              <w:t xml:space="preserve">Pārņemts pilnībā. </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482D2" w14:textId="77777777" w:rsidR="00551014" w:rsidRDefault="00A653AF">
            <w:pPr>
              <w:spacing w:after="0" w:line="240" w:lineRule="auto"/>
              <w:jc w:val="both"/>
            </w:pPr>
            <w:r>
              <w:rPr>
                <w:rFonts w:ascii="Times New Roman" w:eastAsia="Times New Roman" w:hAnsi="Times New Roman" w:cs="Times New Roman"/>
                <w:sz w:val="24"/>
              </w:rPr>
              <w:t>Netiek noteiktas stingrākas prasības. Pārējie direktīvas 18. panta punkti ir pārņemti Atkritumu apsaimniekošanas likuma 19. pantā.</w:t>
            </w:r>
          </w:p>
        </w:tc>
      </w:tr>
      <w:tr w:rsidR="00551014" w14:paraId="44CA6D1B" w14:textId="77777777">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337DC" w14:textId="77777777" w:rsidR="00551014" w:rsidRDefault="00A653AF">
            <w:pPr>
              <w:spacing w:after="0" w:line="240" w:lineRule="auto"/>
            </w:pPr>
            <w:r>
              <w:rPr>
                <w:rFonts w:ascii="Times New Roman" w:eastAsia="Times New Roman" w:hAnsi="Times New Roman" w:cs="Times New Roman"/>
                <w:sz w:val="24"/>
              </w:rPr>
              <w:t>19. panta 1. punkts</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2D659" w14:textId="77777777" w:rsidR="00551014" w:rsidRDefault="00A653AF">
            <w:pPr>
              <w:spacing w:after="0" w:line="240" w:lineRule="auto"/>
              <w:jc w:val="both"/>
            </w:pPr>
            <w:r>
              <w:rPr>
                <w:rFonts w:ascii="Times New Roman" w:eastAsia="Times New Roman" w:hAnsi="Times New Roman" w:cs="Times New Roman"/>
                <w:sz w:val="24"/>
              </w:rPr>
              <w:t>Noteikumu projekta 3., 4.,5., 6., 7.,8. un 9. punkts</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615F5" w14:textId="77777777" w:rsidR="00551014" w:rsidRDefault="00A653AF">
            <w:pPr>
              <w:spacing w:after="0" w:line="240" w:lineRule="auto"/>
            </w:pPr>
            <w:r>
              <w:rPr>
                <w:rFonts w:ascii="Times New Roman" w:eastAsia="Times New Roman" w:hAnsi="Times New Roman" w:cs="Times New Roman"/>
                <w:sz w:val="24"/>
              </w:rPr>
              <w:t>Pārņemts pilnībā.</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53B23" w14:textId="77777777" w:rsidR="00551014" w:rsidRDefault="00A653AF">
            <w:pPr>
              <w:spacing w:after="0" w:line="240" w:lineRule="auto"/>
              <w:jc w:val="both"/>
            </w:pPr>
            <w:r>
              <w:rPr>
                <w:rFonts w:ascii="Times New Roman" w:eastAsia="Times New Roman" w:hAnsi="Times New Roman" w:cs="Times New Roman"/>
                <w:sz w:val="24"/>
              </w:rPr>
              <w:t>Netiek noteiktas stingrākas prasības.</w:t>
            </w:r>
          </w:p>
        </w:tc>
      </w:tr>
      <w:tr w:rsidR="00551014" w14:paraId="23E9797E" w14:textId="77777777">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871E9" w14:textId="77777777" w:rsidR="00551014" w:rsidRDefault="00A653AF">
            <w:pPr>
              <w:spacing w:after="0" w:line="240" w:lineRule="auto"/>
            </w:pPr>
            <w:r>
              <w:rPr>
                <w:rFonts w:ascii="Times New Roman" w:eastAsia="Times New Roman" w:hAnsi="Times New Roman" w:cs="Times New Roman"/>
                <w:sz w:val="24"/>
              </w:rPr>
              <w:t>19. panta 2. punkts</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6CDF6" w14:textId="77777777" w:rsidR="00551014" w:rsidRDefault="00A653AF">
            <w:pPr>
              <w:spacing w:after="0" w:line="240" w:lineRule="auto"/>
              <w:jc w:val="both"/>
            </w:pPr>
            <w:r>
              <w:rPr>
                <w:rFonts w:ascii="Times New Roman" w:eastAsia="Times New Roman" w:hAnsi="Times New Roman" w:cs="Times New Roman"/>
                <w:sz w:val="24"/>
              </w:rPr>
              <w:t>Noteikumu projekta 10., 12., 15., 16. un 17. punkts, 2. pielikums</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839CC" w14:textId="77777777" w:rsidR="00551014" w:rsidRDefault="00A653AF">
            <w:pPr>
              <w:spacing w:after="0" w:line="240" w:lineRule="auto"/>
            </w:pPr>
            <w:r>
              <w:rPr>
                <w:rFonts w:ascii="Times New Roman" w:eastAsia="Times New Roman" w:hAnsi="Times New Roman" w:cs="Times New Roman"/>
                <w:sz w:val="24"/>
              </w:rPr>
              <w:t>Pārņemts pilnībā.</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E2260" w14:textId="77777777" w:rsidR="00551014" w:rsidRDefault="00A653AF">
            <w:pPr>
              <w:spacing w:after="0" w:line="240" w:lineRule="auto"/>
              <w:jc w:val="both"/>
            </w:pPr>
            <w:r>
              <w:rPr>
                <w:rFonts w:ascii="Times New Roman" w:eastAsia="Times New Roman" w:hAnsi="Times New Roman" w:cs="Times New Roman"/>
                <w:sz w:val="24"/>
              </w:rPr>
              <w:t>Netiek noteiktas stingrākas prasības.</w:t>
            </w:r>
          </w:p>
        </w:tc>
      </w:tr>
      <w:tr w:rsidR="00551014" w14:paraId="42E309EA" w14:textId="77777777">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6AE97" w14:textId="77777777" w:rsidR="00551014" w:rsidRDefault="00A653AF">
            <w:pPr>
              <w:spacing w:after="0" w:line="240" w:lineRule="auto"/>
            </w:pPr>
            <w:r>
              <w:rPr>
                <w:rFonts w:ascii="Times New Roman" w:eastAsia="Times New Roman" w:hAnsi="Times New Roman" w:cs="Times New Roman"/>
                <w:sz w:val="24"/>
              </w:rPr>
              <w:t>20. pants</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4AC34" w14:textId="77777777" w:rsidR="00551014" w:rsidRDefault="00A653AF">
            <w:pPr>
              <w:spacing w:after="0" w:line="240" w:lineRule="auto"/>
              <w:jc w:val="both"/>
            </w:pPr>
            <w:r>
              <w:rPr>
                <w:rFonts w:ascii="Times New Roman" w:eastAsia="Times New Roman" w:hAnsi="Times New Roman" w:cs="Times New Roman"/>
                <w:sz w:val="24"/>
              </w:rPr>
              <w:t>Noteikumu projekta 2.1. un 2.2. apakšpunkts</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EF618" w14:textId="77777777" w:rsidR="00551014" w:rsidRDefault="00A653AF">
            <w:pPr>
              <w:spacing w:after="0" w:line="240" w:lineRule="auto"/>
            </w:pPr>
            <w:r>
              <w:rPr>
                <w:rFonts w:ascii="Times New Roman" w:eastAsia="Times New Roman" w:hAnsi="Times New Roman" w:cs="Times New Roman"/>
                <w:sz w:val="24"/>
              </w:rPr>
              <w:t>Pārņemts pilnībā.</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3E132" w14:textId="77777777" w:rsidR="00551014" w:rsidRDefault="00A653AF">
            <w:pPr>
              <w:spacing w:after="0" w:line="240" w:lineRule="auto"/>
              <w:jc w:val="both"/>
            </w:pPr>
            <w:r>
              <w:rPr>
                <w:rFonts w:ascii="Times New Roman" w:eastAsia="Times New Roman" w:hAnsi="Times New Roman" w:cs="Times New Roman"/>
                <w:sz w:val="24"/>
              </w:rPr>
              <w:t>Netiek noteiktas stingrākas prasības.</w:t>
            </w:r>
          </w:p>
        </w:tc>
      </w:tr>
      <w:tr w:rsidR="00551014" w14:paraId="399274C7" w14:textId="77777777">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02C2E" w14:textId="77777777" w:rsidR="00551014" w:rsidRDefault="00A653AF">
            <w:pPr>
              <w:spacing w:after="0" w:line="240" w:lineRule="auto"/>
            </w:pPr>
            <w:r>
              <w:rPr>
                <w:rFonts w:ascii="Times New Roman" w:eastAsia="Times New Roman" w:hAnsi="Times New Roman" w:cs="Times New Roman"/>
                <w:sz w:val="24"/>
              </w:rPr>
              <w:t>35. panta 1. punkts</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B8FD7" w14:textId="77777777" w:rsidR="00551014" w:rsidRDefault="00A653AF">
            <w:pPr>
              <w:spacing w:after="0" w:line="240" w:lineRule="auto"/>
              <w:jc w:val="both"/>
            </w:pPr>
            <w:r>
              <w:rPr>
                <w:rFonts w:ascii="Times New Roman" w:eastAsia="Times New Roman" w:hAnsi="Times New Roman" w:cs="Times New Roman"/>
                <w:sz w:val="24"/>
              </w:rPr>
              <w:t>Noteikumu projekta 4. punkts, 1. pielikums</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A0E9D" w14:textId="77777777" w:rsidR="00551014" w:rsidRDefault="00A653AF">
            <w:pPr>
              <w:spacing w:after="0" w:line="240" w:lineRule="auto"/>
            </w:pPr>
            <w:r>
              <w:rPr>
                <w:rFonts w:ascii="Times New Roman" w:eastAsia="Times New Roman" w:hAnsi="Times New Roman" w:cs="Times New Roman"/>
                <w:sz w:val="24"/>
              </w:rPr>
              <w:t>Pārņemtas pilnībā.</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F58E6" w14:textId="77777777" w:rsidR="00551014" w:rsidRDefault="00A653AF">
            <w:pPr>
              <w:spacing w:after="0" w:line="240" w:lineRule="auto"/>
              <w:jc w:val="both"/>
            </w:pPr>
            <w:r>
              <w:rPr>
                <w:rFonts w:ascii="Times New Roman" w:eastAsia="Times New Roman" w:hAnsi="Times New Roman" w:cs="Times New Roman"/>
                <w:sz w:val="24"/>
              </w:rPr>
              <w:t>Netiek noteiktas stingrākas prasības.</w:t>
            </w:r>
          </w:p>
        </w:tc>
      </w:tr>
      <w:tr w:rsidR="00551014" w14:paraId="4593AB23" w14:textId="77777777">
        <w:tc>
          <w:tcPr>
            <w:tcW w:w="67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6DA06" w14:textId="77777777" w:rsidR="00551014" w:rsidRDefault="00A653AF">
            <w:pPr>
              <w:spacing w:after="0" w:line="240" w:lineRule="auto"/>
            </w:pPr>
            <w:r>
              <w:rPr>
                <w:rFonts w:ascii="Times New Roman" w:eastAsia="Times New Roman" w:hAnsi="Times New Roman" w:cs="Times New Roman"/>
                <w:sz w:val="24"/>
              </w:rPr>
              <w:t>Kā ir izmantota ES tiesību aktā paredzētā rīcības brīvība dalībvalstij pārņemt vai ieviest noteiktas ES tiesību akta normas? Kādēļ?</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6E8F4" w14:textId="77777777" w:rsidR="00551014" w:rsidRDefault="00A653AF">
            <w:pPr>
              <w:spacing w:after="0" w:line="240" w:lineRule="auto"/>
              <w:jc w:val="both"/>
            </w:pPr>
            <w:r>
              <w:rPr>
                <w:rFonts w:ascii="Times New Roman" w:eastAsia="Times New Roman" w:hAnsi="Times New Roman" w:cs="Times New Roman"/>
                <w:sz w:val="24"/>
              </w:rPr>
              <w:t>Projekts šo jomu neskar.</w:t>
            </w:r>
          </w:p>
        </w:tc>
      </w:tr>
      <w:tr w:rsidR="00551014" w14:paraId="31AA1C22" w14:textId="77777777">
        <w:tc>
          <w:tcPr>
            <w:tcW w:w="67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93707" w14:textId="77777777" w:rsidR="00551014" w:rsidRDefault="00A653AF">
            <w:pPr>
              <w:spacing w:after="0" w:line="240" w:lineRule="auto"/>
            </w:pPr>
            <w:r>
              <w:rPr>
                <w:rFonts w:ascii="Times New Roman" w:eastAsia="Times New Roman" w:hAnsi="Times New Roman" w:cs="Times New Roman"/>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0F529" w14:textId="77777777" w:rsidR="00551014" w:rsidRDefault="00A653AF">
            <w:pPr>
              <w:spacing w:after="0" w:line="240" w:lineRule="auto"/>
              <w:jc w:val="both"/>
            </w:pPr>
            <w:r>
              <w:rPr>
                <w:rFonts w:ascii="Times New Roman" w:eastAsia="Times New Roman" w:hAnsi="Times New Roman" w:cs="Times New Roman"/>
                <w:sz w:val="24"/>
              </w:rPr>
              <w:t>Projekts šo jomu neskar.</w:t>
            </w:r>
          </w:p>
        </w:tc>
      </w:tr>
      <w:tr w:rsidR="00551014" w14:paraId="1838D720" w14:textId="77777777">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60FF4" w14:textId="77777777" w:rsidR="00551014" w:rsidRDefault="00A653AF">
            <w:pPr>
              <w:spacing w:after="0" w:line="240" w:lineRule="auto"/>
            </w:pPr>
            <w:r>
              <w:rPr>
                <w:rFonts w:ascii="Times New Roman" w:eastAsia="Times New Roman" w:hAnsi="Times New Roman" w:cs="Times New Roman"/>
                <w:sz w:val="24"/>
              </w:rPr>
              <w:t>Cita informācija</w:t>
            </w:r>
          </w:p>
        </w:tc>
        <w:tc>
          <w:tcPr>
            <w:tcW w:w="65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EE80C" w14:textId="149F1408" w:rsidR="00551014" w:rsidRDefault="002E0A9C">
            <w:pPr>
              <w:spacing w:after="0" w:line="240" w:lineRule="auto"/>
              <w:jc w:val="both"/>
            </w:pPr>
            <w:r>
              <w:rPr>
                <w:rFonts w:ascii="Times New Roman" w:eastAsia="Times New Roman" w:hAnsi="Times New Roman" w:cs="Times New Roman"/>
                <w:sz w:val="24"/>
              </w:rPr>
              <w:t>Dotais noteikumu projekts pēc būtības nepārņem ES normatīvo aktu prasības, jo tās tikušas pārņemtas spēkā esošajos MK noteikumos Nr. 494, kuri zaudēs spēku ar noteikumu projekta spēkā stāšanās brīdi.</w:t>
            </w:r>
          </w:p>
        </w:tc>
      </w:tr>
    </w:tbl>
    <w:p w14:paraId="57A19408" w14:textId="77777777" w:rsidR="00551014" w:rsidRDefault="00551014">
      <w:pPr>
        <w:spacing w:after="0" w:line="240" w:lineRule="auto"/>
        <w:rPr>
          <w:rFonts w:ascii="Times New Roman" w:eastAsia="Times New Roman" w:hAnsi="Times New Roman" w:cs="Times New Roman"/>
          <w:color w:val="414142"/>
          <w:sz w:val="24"/>
        </w:rPr>
      </w:pPr>
    </w:p>
    <w:p w14:paraId="0DF46918" w14:textId="77777777" w:rsidR="002509F7" w:rsidRDefault="002509F7">
      <w:pPr>
        <w:spacing w:after="0" w:line="240" w:lineRule="auto"/>
        <w:rPr>
          <w:rFonts w:ascii="Times New Roman" w:eastAsia="Times New Roman" w:hAnsi="Times New Roman" w:cs="Times New Roman"/>
          <w:color w:val="414142"/>
          <w:sz w:val="24"/>
        </w:rPr>
      </w:pPr>
    </w:p>
    <w:tbl>
      <w:tblPr>
        <w:tblW w:w="0" w:type="auto"/>
        <w:tblInd w:w="-8" w:type="dxa"/>
        <w:tblCellMar>
          <w:left w:w="10" w:type="dxa"/>
          <w:right w:w="10" w:type="dxa"/>
        </w:tblCellMar>
        <w:tblLook w:val="04A0" w:firstRow="1" w:lastRow="0" w:firstColumn="1" w:lastColumn="0" w:noHBand="0" w:noVBand="1"/>
      </w:tblPr>
      <w:tblGrid>
        <w:gridCol w:w="8304"/>
      </w:tblGrid>
      <w:tr w:rsidR="00551014" w14:paraId="099A3C26" w14:textId="77777777">
        <w:trPr>
          <w:trHeight w:val="1"/>
        </w:trPr>
        <w:tc>
          <w:tcPr>
            <w:tcW w:w="9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8D397" w14:textId="1A4FBE2E" w:rsidR="00551014" w:rsidRDefault="00A653AF" w:rsidP="00EE5AFB">
            <w:pPr>
              <w:spacing w:after="0" w:line="240" w:lineRule="auto"/>
              <w:jc w:val="center"/>
            </w:pPr>
            <w:r>
              <w:rPr>
                <w:rFonts w:ascii="Times New Roman" w:eastAsia="Times New Roman" w:hAnsi="Times New Roman" w:cs="Times New Roman"/>
                <w:b/>
                <w:sz w:val="24"/>
              </w:rPr>
              <w:t>2. tabula</w:t>
            </w:r>
            <w:r>
              <w:rPr>
                <w:rFonts w:ascii="Times New Roman" w:eastAsia="Times New Roman" w:hAnsi="Times New Roman" w:cs="Times New Roman"/>
                <w:b/>
                <w:sz w:val="24"/>
              </w:rPr>
              <w:br/>
              <w:t>Ar tiesību akta projektu izpildītās vai uzņemtās saistības, kas izriet no starptautiskajiem tiesību aktiem vai starptautiskas institūcijas vai organizācijas dokumentiem.</w:t>
            </w:r>
            <w:r>
              <w:rPr>
                <w:rFonts w:ascii="Times New Roman" w:eastAsia="Times New Roman" w:hAnsi="Times New Roman" w:cs="Times New Roman"/>
                <w:b/>
                <w:sz w:val="24"/>
              </w:rPr>
              <w:br/>
              <w:t>Pasākumi šo saistību izpildei</w:t>
            </w:r>
          </w:p>
        </w:tc>
      </w:tr>
      <w:tr w:rsidR="00551014" w14:paraId="579F6F09" w14:textId="77777777">
        <w:trPr>
          <w:trHeight w:val="1"/>
        </w:trPr>
        <w:tc>
          <w:tcPr>
            <w:tcW w:w="9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22DAE" w14:textId="77777777" w:rsidR="00551014" w:rsidRDefault="00A653AF">
            <w:pPr>
              <w:spacing w:after="0" w:line="240" w:lineRule="auto"/>
              <w:jc w:val="center"/>
            </w:pPr>
            <w:r>
              <w:rPr>
                <w:rFonts w:ascii="Times New Roman" w:eastAsia="Times New Roman" w:hAnsi="Times New Roman" w:cs="Times New Roman"/>
                <w:sz w:val="24"/>
              </w:rPr>
              <w:t>Projekts šo jomu neskar.</w:t>
            </w:r>
          </w:p>
        </w:tc>
      </w:tr>
    </w:tbl>
    <w:p w14:paraId="1A738BCE" w14:textId="77777777" w:rsidR="00551014" w:rsidRDefault="00551014">
      <w:pPr>
        <w:spacing w:after="0" w:line="240" w:lineRule="auto"/>
        <w:rPr>
          <w:rFonts w:ascii="Times New Roman" w:eastAsia="Times New Roman" w:hAnsi="Times New Roman" w:cs="Times New Roman"/>
          <w:color w:val="414142"/>
          <w:sz w:val="24"/>
        </w:rPr>
      </w:pPr>
    </w:p>
    <w:tbl>
      <w:tblPr>
        <w:tblW w:w="0" w:type="auto"/>
        <w:tblInd w:w="-8" w:type="dxa"/>
        <w:tblCellMar>
          <w:left w:w="10" w:type="dxa"/>
          <w:right w:w="10" w:type="dxa"/>
        </w:tblCellMar>
        <w:tblLook w:val="04A0" w:firstRow="1" w:lastRow="0" w:firstColumn="1" w:lastColumn="0" w:noHBand="0" w:noVBand="1"/>
      </w:tblPr>
      <w:tblGrid>
        <w:gridCol w:w="505"/>
        <w:gridCol w:w="2856"/>
        <w:gridCol w:w="4943"/>
      </w:tblGrid>
      <w:tr w:rsidR="00551014" w14:paraId="3C56F48D" w14:textId="77777777">
        <w:trPr>
          <w:trHeight w:val="1"/>
        </w:trPr>
        <w:tc>
          <w:tcPr>
            <w:tcW w:w="90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72803" w14:textId="77777777" w:rsidR="00551014" w:rsidRDefault="00A653AF" w:rsidP="00EE5AFB">
            <w:pPr>
              <w:spacing w:after="0" w:line="240" w:lineRule="auto"/>
              <w:jc w:val="center"/>
            </w:pPr>
            <w:r>
              <w:rPr>
                <w:rFonts w:ascii="Times New Roman" w:eastAsia="Times New Roman" w:hAnsi="Times New Roman" w:cs="Times New Roman"/>
                <w:b/>
                <w:sz w:val="24"/>
              </w:rPr>
              <w:t>VI. Sabiedrības līdzdalība un komunikācijas aktivitātes</w:t>
            </w:r>
          </w:p>
        </w:tc>
      </w:tr>
      <w:tr w:rsidR="00551014" w14:paraId="4C7C049D" w14:textId="77777777">
        <w:trPr>
          <w:trHeight w:val="1"/>
        </w:trPr>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0898E" w14:textId="77777777" w:rsidR="00551014" w:rsidRDefault="00A653AF">
            <w:pPr>
              <w:spacing w:after="0" w:line="240" w:lineRule="auto"/>
            </w:pPr>
            <w:r>
              <w:rPr>
                <w:rFonts w:ascii="Times New Roman" w:eastAsia="Times New Roman" w:hAnsi="Times New Roman" w:cs="Times New Roman"/>
                <w:sz w:val="24"/>
              </w:rPr>
              <w:t>1.</w:t>
            </w: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9FF9A" w14:textId="77777777" w:rsidR="00551014" w:rsidRDefault="00A653AF">
            <w:pPr>
              <w:spacing w:after="0" w:line="240" w:lineRule="auto"/>
            </w:pPr>
            <w:r>
              <w:rPr>
                <w:rFonts w:ascii="Times New Roman" w:eastAsia="Times New Roman" w:hAnsi="Times New Roman" w:cs="Times New Roman"/>
                <w:sz w:val="24"/>
              </w:rPr>
              <w:t>Plānotās sabiedrības līdzdalības un komunikācijas aktivitātes saistībā ar projektu</w:t>
            </w:r>
          </w:p>
        </w:tc>
        <w:tc>
          <w:tcPr>
            <w:tcW w:w="5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A91E6" w14:textId="7BDADD43" w:rsidR="00C63BED" w:rsidRDefault="00BF3C59" w:rsidP="00FB32EE">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 xml:space="preserve">aicināti līdzdarboties, rakstiski </w:t>
            </w:r>
            <w:r>
              <w:t xml:space="preserve">sniedzot viedokli par </w:t>
            </w:r>
            <w:r w:rsidR="00EE6485">
              <w:t>n</w:t>
            </w:r>
            <w:r>
              <w:t>oteikumu projektu</w:t>
            </w:r>
            <w:r w:rsidRPr="00CD00B5">
              <w:t xml:space="preserve"> tā izstrādes stadijā.</w:t>
            </w:r>
          </w:p>
        </w:tc>
      </w:tr>
      <w:tr w:rsidR="00551014" w14:paraId="18C81644" w14:textId="77777777">
        <w:trPr>
          <w:trHeight w:val="1"/>
        </w:trPr>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9CFC7" w14:textId="77777777" w:rsidR="00551014" w:rsidRDefault="00A653AF">
            <w:pPr>
              <w:spacing w:after="0" w:line="240" w:lineRule="auto"/>
            </w:pPr>
            <w:r>
              <w:rPr>
                <w:rFonts w:ascii="Times New Roman" w:eastAsia="Times New Roman" w:hAnsi="Times New Roman" w:cs="Times New Roman"/>
                <w:sz w:val="24"/>
              </w:rPr>
              <w:t>2.</w:t>
            </w: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4EFD7" w14:textId="77777777" w:rsidR="00551014" w:rsidRDefault="00A653AF">
            <w:pPr>
              <w:spacing w:after="0" w:line="240" w:lineRule="auto"/>
            </w:pPr>
            <w:r>
              <w:rPr>
                <w:rFonts w:ascii="Times New Roman" w:eastAsia="Times New Roman" w:hAnsi="Times New Roman" w:cs="Times New Roman"/>
                <w:sz w:val="24"/>
              </w:rPr>
              <w:t>Sabiedrības līdzdalība projekta izstrādē</w:t>
            </w:r>
          </w:p>
        </w:tc>
        <w:tc>
          <w:tcPr>
            <w:tcW w:w="5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2D35A" w14:textId="77777777" w:rsidR="00FB32EE" w:rsidRPr="00FB32EE" w:rsidRDefault="00FB32EE" w:rsidP="00FB32EE">
            <w:pPr>
              <w:spacing w:after="0" w:line="240" w:lineRule="auto"/>
              <w:jc w:val="both"/>
              <w:rPr>
                <w:rFonts w:ascii="Times New Roman" w:eastAsia="Times New Roman" w:hAnsi="Times New Roman" w:cs="Times New Roman"/>
                <w:sz w:val="24"/>
              </w:rPr>
            </w:pPr>
            <w:r w:rsidRPr="00FB32EE">
              <w:rPr>
                <w:rFonts w:ascii="Times New Roman" w:eastAsia="Times New Roman" w:hAnsi="Times New Roman" w:cs="Times New Roman"/>
                <w:sz w:val="24"/>
              </w:rPr>
              <w:t xml:space="preserve">Sabiedrības pārstāvji ir informēti par iespēju līdzdarboties, 2019. gada 19. jūlijā publicējot paziņojumu par līdzdalības procesu Vides aizsardzības un reģionālās attīstības ministrijas tīmekļvietnē </w:t>
            </w:r>
            <w:hyperlink r:id="rId8" w:history="1">
              <w:r w:rsidRPr="00FB32EE">
                <w:rPr>
                  <w:rStyle w:val="Hyperlink"/>
                  <w:rFonts w:ascii="Times New Roman" w:eastAsia="Times New Roman" w:hAnsi="Times New Roman" w:cs="Times New Roman"/>
                  <w:sz w:val="24"/>
                </w:rPr>
                <w:t>www.varam.gov.lv</w:t>
              </w:r>
            </w:hyperlink>
            <w:r w:rsidRPr="00FB32EE">
              <w:rPr>
                <w:rFonts w:ascii="Times New Roman" w:eastAsia="Times New Roman" w:hAnsi="Times New Roman" w:cs="Times New Roman"/>
                <w:sz w:val="24"/>
              </w:rPr>
              <w:t>.</w:t>
            </w:r>
          </w:p>
          <w:p w14:paraId="6712DE10" w14:textId="77777777" w:rsidR="00FB32EE" w:rsidRPr="00FB32EE" w:rsidRDefault="00FB32EE" w:rsidP="00FB32EE">
            <w:pPr>
              <w:spacing w:after="0" w:line="240" w:lineRule="auto"/>
              <w:jc w:val="both"/>
              <w:rPr>
                <w:rFonts w:ascii="Times New Roman" w:eastAsia="Times New Roman" w:hAnsi="Times New Roman" w:cs="Times New Roman"/>
                <w:sz w:val="24"/>
              </w:rPr>
            </w:pPr>
          </w:p>
          <w:p w14:paraId="59DDF8C2" w14:textId="77777777" w:rsidR="00FB32EE" w:rsidRPr="00FB32EE" w:rsidRDefault="00FB32EE" w:rsidP="00FB32EE">
            <w:pPr>
              <w:spacing w:after="0" w:line="240" w:lineRule="auto"/>
              <w:jc w:val="both"/>
              <w:rPr>
                <w:rFonts w:ascii="Times New Roman" w:eastAsia="Times New Roman" w:hAnsi="Times New Roman" w:cs="Times New Roman"/>
                <w:sz w:val="24"/>
              </w:rPr>
            </w:pPr>
            <w:r w:rsidRPr="00FB32EE">
              <w:rPr>
                <w:rFonts w:ascii="Times New Roman" w:eastAsia="Times New Roman" w:hAnsi="Times New Roman" w:cs="Times New Roman"/>
                <w:sz w:val="24"/>
              </w:rPr>
              <w:t>Tāpat 2019. gada 19. jūlijā Valsts kancelejā publicēšanai tās tīmekļvietnē tika iesniegts paziņojums par līdzdalības iespējām noteikumu projekta izstrādē.</w:t>
            </w:r>
          </w:p>
          <w:p w14:paraId="339D085D" w14:textId="77777777" w:rsidR="00FB32EE" w:rsidRPr="00FB32EE" w:rsidRDefault="00FB32EE" w:rsidP="00FB32EE">
            <w:pPr>
              <w:spacing w:after="0" w:line="240" w:lineRule="auto"/>
              <w:jc w:val="both"/>
              <w:rPr>
                <w:rFonts w:ascii="Times New Roman" w:eastAsia="Times New Roman" w:hAnsi="Times New Roman" w:cs="Times New Roman"/>
                <w:sz w:val="24"/>
              </w:rPr>
            </w:pPr>
          </w:p>
          <w:p w14:paraId="0AE1F030" w14:textId="21F1A9E7" w:rsidR="00FB32EE" w:rsidRPr="00FB32EE" w:rsidRDefault="00FB32EE" w:rsidP="00BF3C59">
            <w:pPr>
              <w:spacing w:after="0" w:line="240" w:lineRule="auto"/>
              <w:jc w:val="both"/>
              <w:rPr>
                <w:rFonts w:ascii="Times New Roman" w:eastAsia="Times New Roman" w:hAnsi="Times New Roman" w:cs="Times New Roman"/>
                <w:sz w:val="24"/>
              </w:rPr>
            </w:pPr>
            <w:r w:rsidRPr="00FB32EE">
              <w:rPr>
                <w:rFonts w:ascii="Times New Roman" w:eastAsia="Times New Roman" w:hAnsi="Times New Roman" w:cs="Times New Roman"/>
                <w:sz w:val="24"/>
              </w:rPr>
              <w:t>Par Noteikumu projektu 2019. gada 19. jūlijā elektroniski informēta Latvijas Atkritumu saimniecības uzņēmumu asociācija, aicinot asociācijas biedrus sniegt viedokli.</w:t>
            </w:r>
          </w:p>
        </w:tc>
      </w:tr>
      <w:tr w:rsidR="00551014" w14:paraId="55A6AC87" w14:textId="77777777">
        <w:trPr>
          <w:trHeight w:val="1"/>
        </w:trPr>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AE45A" w14:textId="77777777" w:rsidR="00551014" w:rsidRDefault="00A653AF">
            <w:pPr>
              <w:spacing w:after="0" w:line="240" w:lineRule="auto"/>
            </w:pPr>
            <w:r>
              <w:rPr>
                <w:rFonts w:ascii="Times New Roman" w:eastAsia="Times New Roman" w:hAnsi="Times New Roman" w:cs="Times New Roman"/>
                <w:sz w:val="24"/>
              </w:rPr>
              <w:t>3.</w:t>
            </w: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72CA1" w14:textId="77777777" w:rsidR="00551014" w:rsidRDefault="00A653AF">
            <w:pPr>
              <w:spacing w:after="0" w:line="240" w:lineRule="auto"/>
            </w:pPr>
            <w:r>
              <w:rPr>
                <w:rFonts w:ascii="Times New Roman" w:eastAsia="Times New Roman" w:hAnsi="Times New Roman" w:cs="Times New Roman"/>
                <w:sz w:val="24"/>
              </w:rPr>
              <w:t>Sabiedrības līdzdalības rezultāti</w:t>
            </w:r>
          </w:p>
        </w:tc>
        <w:tc>
          <w:tcPr>
            <w:tcW w:w="5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817D3" w14:textId="156B4470" w:rsidR="00551014" w:rsidRDefault="00FB32EE">
            <w:pPr>
              <w:spacing w:after="0" w:line="240" w:lineRule="auto"/>
              <w:jc w:val="both"/>
            </w:pPr>
            <w:r w:rsidRPr="00FB32EE">
              <w:rPr>
                <w:rFonts w:ascii="Times New Roman" w:eastAsia="Times New Roman" w:hAnsi="Times New Roman" w:cs="Times New Roman"/>
                <w:iCs/>
                <w:sz w:val="24"/>
              </w:rPr>
              <w:t>Sabiedrības līdzdalības rezultātā iebildumi un priekšlikumi nav saņemti.</w:t>
            </w:r>
          </w:p>
        </w:tc>
      </w:tr>
      <w:tr w:rsidR="00551014" w14:paraId="34AC1290" w14:textId="77777777">
        <w:trPr>
          <w:trHeight w:val="1"/>
        </w:trPr>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59DB1" w14:textId="77777777" w:rsidR="00551014" w:rsidRDefault="00A653AF">
            <w:pPr>
              <w:spacing w:after="0" w:line="240" w:lineRule="auto"/>
            </w:pPr>
            <w:r>
              <w:rPr>
                <w:rFonts w:ascii="Times New Roman" w:eastAsia="Times New Roman" w:hAnsi="Times New Roman" w:cs="Times New Roman"/>
                <w:sz w:val="24"/>
              </w:rPr>
              <w:t>4.</w:t>
            </w:r>
          </w:p>
        </w:tc>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F89AA" w14:textId="77777777" w:rsidR="00551014" w:rsidRDefault="00A653AF">
            <w:pPr>
              <w:spacing w:after="0" w:line="240" w:lineRule="auto"/>
            </w:pPr>
            <w:r>
              <w:rPr>
                <w:rFonts w:ascii="Times New Roman" w:eastAsia="Times New Roman" w:hAnsi="Times New Roman" w:cs="Times New Roman"/>
                <w:sz w:val="24"/>
              </w:rPr>
              <w:t>Cita informācija</w:t>
            </w:r>
          </w:p>
        </w:tc>
        <w:tc>
          <w:tcPr>
            <w:tcW w:w="5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0E3B2" w14:textId="77777777" w:rsidR="00551014" w:rsidRDefault="00A653AF">
            <w:pPr>
              <w:spacing w:after="0" w:line="240" w:lineRule="auto"/>
            </w:pPr>
            <w:r>
              <w:rPr>
                <w:rFonts w:ascii="Times New Roman" w:eastAsia="Times New Roman" w:hAnsi="Times New Roman" w:cs="Times New Roman"/>
                <w:sz w:val="24"/>
              </w:rPr>
              <w:t>Nav</w:t>
            </w:r>
          </w:p>
        </w:tc>
      </w:tr>
    </w:tbl>
    <w:p w14:paraId="4850E233" w14:textId="77777777" w:rsidR="00551014" w:rsidRDefault="00551014">
      <w:pPr>
        <w:spacing w:after="0" w:line="240" w:lineRule="auto"/>
        <w:rPr>
          <w:rFonts w:ascii="Times New Roman" w:eastAsia="Times New Roman" w:hAnsi="Times New Roman" w:cs="Times New Roman"/>
          <w:color w:val="414142"/>
          <w:sz w:val="24"/>
        </w:rPr>
      </w:pPr>
    </w:p>
    <w:tbl>
      <w:tblPr>
        <w:tblW w:w="0" w:type="auto"/>
        <w:tblInd w:w="-8" w:type="dxa"/>
        <w:tblCellMar>
          <w:left w:w="10" w:type="dxa"/>
          <w:right w:w="10" w:type="dxa"/>
        </w:tblCellMar>
        <w:tblLook w:val="04A0" w:firstRow="1" w:lastRow="0" w:firstColumn="1" w:lastColumn="0" w:noHBand="0" w:noVBand="1"/>
      </w:tblPr>
      <w:tblGrid>
        <w:gridCol w:w="509"/>
        <w:gridCol w:w="2990"/>
        <w:gridCol w:w="4805"/>
      </w:tblGrid>
      <w:tr w:rsidR="00551014" w14:paraId="161DFC89" w14:textId="77777777">
        <w:trPr>
          <w:trHeight w:val="1"/>
        </w:trPr>
        <w:tc>
          <w:tcPr>
            <w:tcW w:w="90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287BB" w14:textId="77777777" w:rsidR="00551014" w:rsidRDefault="00A653AF">
            <w:pPr>
              <w:spacing w:after="0" w:line="240" w:lineRule="auto"/>
            </w:pPr>
            <w:r>
              <w:rPr>
                <w:rFonts w:ascii="Times New Roman" w:eastAsia="Times New Roman" w:hAnsi="Times New Roman" w:cs="Times New Roman"/>
                <w:b/>
                <w:sz w:val="24"/>
              </w:rPr>
              <w:t>VII. Tiesību akta projekta izpildes nodrošināšana un tās ietekme uz institūcijām</w:t>
            </w:r>
          </w:p>
        </w:tc>
      </w:tr>
      <w:tr w:rsidR="00551014" w14:paraId="26DE06CD" w14:textId="77777777">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DC0F4" w14:textId="77777777" w:rsidR="00551014" w:rsidRDefault="00A653AF">
            <w:pPr>
              <w:spacing w:after="0" w:line="240" w:lineRule="auto"/>
            </w:pPr>
            <w:r>
              <w:rPr>
                <w:rFonts w:ascii="Times New Roman" w:eastAsia="Times New Roman" w:hAnsi="Times New Roman" w:cs="Times New Roman"/>
                <w:sz w:val="24"/>
              </w:rPr>
              <w:t>1.</w:t>
            </w:r>
          </w:p>
        </w:tc>
        <w:tc>
          <w:tcPr>
            <w:tcW w:w="3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0186B" w14:textId="77777777" w:rsidR="00551014" w:rsidRDefault="00A653AF">
            <w:pPr>
              <w:spacing w:after="0" w:line="240" w:lineRule="auto"/>
            </w:pPr>
            <w:r>
              <w:rPr>
                <w:rFonts w:ascii="Times New Roman" w:eastAsia="Times New Roman" w:hAnsi="Times New Roman" w:cs="Times New Roman"/>
                <w:sz w:val="24"/>
              </w:rPr>
              <w:t>Projekta izpildē iesaistītās institūcijas</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5C185" w14:textId="77777777" w:rsidR="00551014" w:rsidRDefault="00A653AF">
            <w:pPr>
              <w:spacing w:after="0" w:line="240" w:lineRule="auto"/>
            </w:pPr>
            <w:r>
              <w:rPr>
                <w:rFonts w:ascii="Times New Roman" w:eastAsia="Times New Roman" w:hAnsi="Times New Roman" w:cs="Times New Roman"/>
                <w:sz w:val="24"/>
              </w:rPr>
              <w:t>LVĢMC, VVD</w:t>
            </w:r>
          </w:p>
        </w:tc>
      </w:tr>
      <w:tr w:rsidR="00551014" w14:paraId="0EDBEE82" w14:textId="77777777">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7A723" w14:textId="77777777" w:rsidR="00551014" w:rsidRDefault="00A653AF">
            <w:pPr>
              <w:spacing w:after="0" w:line="240" w:lineRule="auto"/>
            </w:pPr>
            <w:r>
              <w:rPr>
                <w:rFonts w:ascii="Times New Roman" w:eastAsia="Times New Roman" w:hAnsi="Times New Roman" w:cs="Times New Roman"/>
                <w:sz w:val="24"/>
              </w:rPr>
              <w:t>2.</w:t>
            </w:r>
          </w:p>
        </w:tc>
        <w:tc>
          <w:tcPr>
            <w:tcW w:w="3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3BA30" w14:textId="77777777" w:rsidR="00551014" w:rsidRDefault="00A653AF">
            <w:pPr>
              <w:spacing w:after="0" w:line="240" w:lineRule="auto"/>
            </w:pPr>
            <w:r>
              <w:rPr>
                <w:rFonts w:ascii="Times New Roman" w:eastAsia="Times New Roman" w:hAnsi="Times New Roman" w:cs="Times New Roman"/>
                <w:sz w:val="24"/>
              </w:rPr>
              <w:t>Projekta izpildes ietekme uz pārvaldes funkcijām un institucionālo struktūru.</w:t>
            </w:r>
            <w:r>
              <w:rPr>
                <w:rFonts w:ascii="Times New Roman" w:eastAsia="Times New Roman" w:hAnsi="Times New Roman" w:cs="Times New Roman"/>
                <w:sz w:val="24"/>
              </w:rPr>
              <w:br/>
              <w:t>Jaunu institūciju izveide, esošu institūciju likvidācija vai reorganizācija, to ietekme uz institūcijas cilvēkresursiem</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AA06C" w14:textId="77777777" w:rsidR="00551014" w:rsidRDefault="00A653AF" w:rsidP="00DD2358">
            <w:pPr>
              <w:spacing w:after="0" w:line="240" w:lineRule="auto"/>
              <w:ind w:right="57"/>
              <w:jc w:val="both"/>
              <w:rPr>
                <w:rFonts w:ascii="Times New Roman" w:eastAsia="Times New Roman" w:hAnsi="Times New Roman" w:cs="Times New Roman"/>
                <w:sz w:val="24"/>
              </w:rPr>
            </w:pPr>
            <w:r>
              <w:rPr>
                <w:rFonts w:ascii="Times New Roman" w:eastAsia="Times New Roman" w:hAnsi="Times New Roman" w:cs="Times New Roman"/>
                <w:sz w:val="24"/>
              </w:rPr>
              <w:t>Noteikumu projekts neietekmē iesaistīto institūciju funkcijas un uzdevumus.</w:t>
            </w:r>
          </w:p>
          <w:p w14:paraId="245EDD4C" w14:textId="77777777" w:rsidR="00DD2358" w:rsidRDefault="00DD2358" w:rsidP="00FB7864">
            <w:pPr>
              <w:spacing w:after="0" w:line="240" w:lineRule="auto"/>
              <w:jc w:val="both"/>
              <w:rPr>
                <w:rFonts w:ascii="Times New Roman" w:eastAsia="Times New Roman" w:hAnsi="Times New Roman" w:cs="Times New Roman"/>
                <w:sz w:val="24"/>
              </w:rPr>
            </w:pPr>
            <w:r w:rsidRPr="00FB7864">
              <w:rPr>
                <w:rFonts w:ascii="Times New Roman" w:eastAsia="Times New Roman" w:hAnsi="Times New Roman" w:cs="Times New Roman"/>
                <w:sz w:val="24"/>
              </w:rPr>
              <w:t>Noteikumu projekts neparedz jaunu institūciju izveidi, likvidāciju vai reorganizāciju.</w:t>
            </w:r>
          </w:p>
          <w:p w14:paraId="319DD407" w14:textId="665C7177" w:rsidR="00551014" w:rsidRDefault="00DD2358" w:rsidP="00FB7864">
            <w:pPr>
              <w:spacing w:after="0" w:line="240" w:lineRule="auto"/>
              <w:jc w:val="both"/>
            </w:pPr>
            <w:r>
              <w:rPr>
                <w:rFonts w:ascii="Times New Roman" w:eastAsia="Times New Roman" w:hAnsi="Times New Roman" w:cs="Times New Roman"/>
                <w:sz w:val="24"/>
              </w:rPr>
              <w:t>J</w:t>
            </w:r>
            <w:r w:rsidR="00A653AF">
              <w:rPr>
                <w:rFonts w:ascii="Times New Roman" w:eastAsia="Times New Roman" w:hAnsi="Times New Roman" w:cs="Times New Roman"/>
                <w:sz w:val="24"/>
              </w:rPr>
              <w:t>aunas institūcijas nav jāveido. Esošās institūcijas nav jāreorganizē.</w:t>
            </w:r>
          </w:p>
        </w:tc>
      </w:tr>
      <w:tr w:rsidR="00551014" w14:paraId="56FA5C00" w14:textId="77777777">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99C2A" w14:textId="77777777" w:rsidR="00551014" w:rsidRDefault="00A653AF">
            <w:pPr>
              <w:spacing w:after="0" w:line="240" w:lineRule="auto"/>
            </w:pPr>
            <w:r>
              <w:rPr>
                <w:rFonts w:ascii="Times New Roman" w:eastAsia="Times New Roman" w:hAnsi="Times New Roman" w:cs="Times New Roman"/>
                <w:sz w:val="24"/>
              </w:rPr>
              <w:t>3.</w:t>
            </w:r>
          </w:p>
        </w:tc>
        <w:tc>
          <w:tcPr>
            <w:tcW w:w="3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8ADCE" w14:textId="77777777" w:rsidR="00551014" w:rsidRDefault="00A653AF">
            <w:pPr>
              <w:spacing w:after="0" w:line="240" w:lineRule="auto"/>
            </w:pPr>
            <w:r>
              <w:rPr>
                <w:rFonts w:ascii="Times New Roman" w:eastAsia="Times New Roman" w:hAnsi="Times New Roman" w:cs="Times New Roman"/>
                <w:sz w:val="24"/>
              </w:rPr>
              <w:t>Cita informācija</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09AAA" w14:textId="77777777" w:rsidR="00551014" w:rsidRDefault="00A653AF">
            <w:pPr>
              <w:spacing w:after="0" w:line="240" w:lineRule="auto"/>
            </w:pPr>
            <w:r>
              <w:rPr>
                <w:rFonts w:ascii="Times New Roman" w:eastAsia="Times New Roman" w:hAnsi="Times New Roman" w:cs="Times New Roman"/>
                <w:sz w:val="24"/>
              </w:rPr>
              <w:t>Nav</w:t>
            </w:r>
          </w:p>
        </w:tc>
      </w:tr>
    </w:tbl>
    <w:p w14:paraId="7FB9BB86" w14:textId="77777777" w:rsidR="005C493B" w:rsidRDefault="005C493B">
      <w:pPr>
        <w:spacing w:after="0" w:line="240" w:lineRule="auto"/>
        <w:rPr>
          <w:rFonts w:ascii="Times New Roman" w:eastAsia="Times New Roman" w:hAnsi="Times New Roman" w:cs="Times New Roman"/>
          <w:sz w:val="28"/>
        </w:rPr>
      </w:pPr>
    </w:p>
    <w:p w14:paraId="70BBDB57" w14:textId="66D2FC20" w:rsidR="00E31EF7" w:rsidRPr="002509F7" w:rsidRDefault="00E31EF7">
      <w:pPr>
        <w:spacing w:after="0" w:line="240" w:lineRule="auto"/>
        <w:rPr>
          <w:rFonts w:ascii="Times New Roman" w:eastAsia="Times New Roman" w:hAnsi="Times New Roman" w:cs="Times New Roman"/>
          <w:color w:val="414142"/>
          <w:sz w:val="24"/>
        </w:rPr>
      </w:pPr>
      <w:r>
        <w:rPr>
          <w:rFonts w:ascii="Times New Roman" w:eastAsia="Times New Roman" w:hAnsi="Times New Roman" w:cs="Times New Roman"/>
          <w:sz w:val="28"/>
        </w:rPr>
        <w:t>Vides aizsardzības un</w:t>
      </w:r>
    </w:p>
    <w:p w14:paraId="71DA9369" w14:textId="7C8EE557" w:rsidR="00551014" w:rsidRDefault="00A653A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reģionālās attīstības ministrs</w:t>
      </w:r>
      <w:r>
        <w:rPr>
          <w:rFonts w:ascii="Times New Roman" w:eastAsia="Times New Roman" w:hAnsi="Times New Roman" w:cs="Times New Roman"/>
          <w:sz w:val="28"/>
        </w:rPr>
        <w:tab/>
      </w:r>
      <w:r>
        <w:rPr>
          <w:rFonts w:ascii="Times New Roman" w:eastAsia="Times New Roman" w:hAnsi="Times New Roman" w:cs="Times New Roman"/>
          <w:sz w:val="28"/>
        </w:rPr>
        <w:tab/>
      </w:r>
      <w:r w:rsidR="00E31EF7">
        <w:rPr>
          <w:rFonts w:ascii="Times New Roman" w:eastAsia="Times New Roman" w:hAnsi="Times New Roman" w:cs="Times New Roman"/>
          <w:sz w:val="28"/>
        </w:rPr>
        <w:tab/>
      </w:r>
      <w:r w:rsidR="00E31EF7">
        <w:rPr>
          <w:rFonts w:ascii="Times New Roman" w:eastAsia="Times New Roman" w:hAnsi="Times New Roman" w:cs="Times New Roman"/>
          <w:sz w:val="28"/>
        </w:rPr>
        <w:tab/>
        <w:t>Juris</w:t>
      </w:r>
      <w:r w:rsidR="00AF432F">
        <w:rPr>
          <w:rFonts w:ascii="Times New Roman" w:eastAsia="Times New Roman" w:hAnsi="Times New Roman" w:cs="Times New Roman"/>
          <w:sz w:val="28"/>
        </w:rPr>
        <w:t> </w:t>
      </w:r>
      <w:r w:rsidR="00E31EF7">
        <w:rPr>
          <w:rFonts w:ascii="Times New Roman" w:eastAsia="Times New Roman" w:hAnsi="Times New Roman" w:cs="Times New Roman"/>
          <w:sz w:val="28"/>
        </w:rPr>
        <w:t>Pūce</w:t>
      </w:r>
    </w:p>
    <w:p w14:paraId="314FE005" w14:textId="77777777" w:rsidR="005C493B" w:rsidRDefault="005C493B">
      <w:pPr>
        <w:tabs>
          <w:tab w:val="left" w:pos="6237"/>
        </w:tabs>
        <w:spacing w:after="0" w:line="240" w:lineRule="auto"/>
        <w:rPr>
          <w:rFonts w:ascii="Times New Roman" w:eastAsia="Times New Roman" w:hAnsi="Times New Roman" w:cs="Times New Roman"/>
          <w:sz w:val="20"/>
          <w:szCs w:val="20"/>
        </w:rPr>
      </w:pPr>
    </w:p>
    <w:p w14:paraId="65CFC706" w14:textId="11013950" w:rsidR="00551014" w:rsidRPr="002509F7" w:rsidRDefault="00E31EF7">
      <w:pPr>
        <w:tabs>
          <w:tab w:val="left" w:pos="6237"/>
        </w:tabs>
        <w:spacing w:after="0" w:line="240" w:lineRule="auto"/>
        <w:rPr>
          <w:rFonts w:ascii="Times New Roman" w:eastAsia="Times New Roman" w:hAnsi="Times New Roman" w:cs="Times New Roman"/>
          <w:sz w:val="20"/>
          <w:szCs w:val="20"/>
        </w:rPr>
      </w:pPr>
      <w:r w:rsidRPr="002509F7">
        <w:rPr>
          <w:rFonts w:ascii="Times New Roman" w:eastAsia="Times New Roman" w:hAnsi="Times New Roman" w:cs="Times New Roman"/>
          <w:sz w:val="20"/>
          <w:szCs w:val="20"/>
        </w:rPr>
        <w:t>Slaidiņa 67026487</w:t>
      </w:r>
    </w:p>
    <w:p w14:paraId="6F13137C" w14:textId="662A2675" w:rsidR="00551014" w:rsidRPr="002509F7" w:rsidRDefault="001C44C4">
      <w:pPr>
        <w:tabs>
          <w:tab w:val="left" w:pos="6237"/>
        </w:tabs>
        <w:spacing w:after="0" w:line="240" w:lineRule="auto"/>
        <w:rPr>
          <w:rFonts w:ascii="Times New Roman" w:eastAsia="Times New Roman" w:hAnsi="Times New Roman" w:cs="Times New Roman"/>
          <w:sz w:val="20"/>
          <w:szCs w:val="20"/>
        </w:rPr>
      </w:pPr>
      <w:hyperlink r:id="rId9" w:history="1">
        <w:r w:rsidR="00AF432F" w:rsidRPr="002509F7">
          <w:rPr>
            <w:rStyle w:val="Hyperlink"/>
            <w:rFonts w:ascii="Times New Roman" w:eastAsia="Times New Roman" w:hAnsi="Times New Roman" w:cs="Times New Roman"/>
            <w:sz w:val="20"/>
            <w:szCs w:val="20"/>
          </w:rPr>
          <w:t>Natalija.Slaidina@varam.gov.lv</w:t>
        </w:r>
      </w:hyperlink>
      <w:r w:rsidR="00A653AF" w:rsidRPr="002509F7">
        <w:rPr>
          <w:rFonts w:ascii="Times New Roman" w:eastAsia="Times New Roman" w:hAnsi="Times New Roman" w:cs="Times New Roman"/>
          <w:sz w:val="20"/>
          <w:szCs w:val="20"/>
        </w:rPr>
        <w:t xml:space="preserve"> </w:t>
      </w:r>
    </w:p>
    <w:sectPr w:rsidR="00551014" w:rsidRPr="002509F7" w:rsidSect="00A653AF">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89E59" w14:textId="77777777" w:rsidR="001C44C4" w:rsidRDefault="001C44C4" w:rsidP="00027272">
      <w:pPr>
        <w:spacing w:after="0" w:line="240" w:lineRule="auto"/>
      </w:pPr>
      <w:r>
        <w:separator/>
      </w:r>
    </w:p>
  </w:endnote>
  <w:endnote w:type="continuationSeparator" w:id="0">
    <w:p w14:paraId="51E52C1C" w14:textId="77777777" w:rsidR="001C44C4" w:rsidRDefault="001C44C4" w:rsidP="0002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0A1D" w14:textId="5D61898E" w:rsidR="003A469A" w:rsidRPr="00E31EF7" w:rsidRDefault="00C66DBA">
    <w:pPr>
      <w:pStyle w:val="Footer"/>
      <w:rPr>
        <w:rFonts w:ascii="Times New Roman" w:hAnsi="Times New Roman" w:cs="Times New Roman"/>
      </w:rPr>
    </w:pPr>
    <w:r>
      <w:rPr>
        <w:rFonts w:ascii="Times New Roman" w:hAnsi="Times New Roman" w:cs="Times New Roman"/>
      </w:rPr>
      <w:t>VARAMAnot_0908</w:t>
    </w:r>
    <w:r w:rsidR="003A469A" w:rsidRPr="00E31EF7">
      <w:rPr>
        <w:rFonts w:ascii="Times New Roman" w:hAnsi="Times New Roman" w:cs="Times New Roman"/>
      </w:rPr>
      <w:t>2019_atkritumu_parvadajumi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691EB" w14:textId="0BB7B29E" w:rsidR="003A469A" w:rsidRPr="00A653AF" w:rsidRDefault="00C66DBA">
    <w:pPr>
      <w:pStyle w:val="Footer"/>
      <w:rPr>
        <w:rFonts w:ascii="Times New Roman" w:hAnsi="Times New Roman" w:cs="Times New Roman"/>
      </w:rPr>
    </w:pPr>
    <w:r>
      <w:rPr>
        <w:rFonts w:ascii="Times New Roman" w:hAnsi="Times New Roman" w:cs="Times New Roman"/>
      </w:rPr>
      <w:t>VARAMAnot_0908</w:t>
    </w:r>
    <w:r w:rsidR="003A469A" w:rsidRPr="00E31EF7">
      <w:rPr>
        <w:rFonts w:ascii="Times New Roman" w:hAnsi="Times New Roman" w:cs="Times New Roman"/>
      </w:rPr>
      <w:t>2019_atkritumu_parvadajumi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58E2" w14:textId="77777777" w:rsidR="001C44C4" w:rsidRDefault="001C44C4" w:rsidP="00027272">
      <w:pPr>
        <w:spacing w:after="0" w:line="240" w:lineRule="auto"/>
      </w:pPr>
      <w:r>
        <w:separator/>
      </w:r>
    </w:p>
  </w:footnote>
  <w:footnote w:type="continuationSeparator" w:id="0">
    <w:p w14:paraId="0C7D2829" w14:textId="77777777" w:rsidR="001C44C4" w:rsidRDefault="001C44C4" w:rsidP="00027272">
      <w:pPr>
        <w:spacing w:after="0" w:line="240" w:lineRule="auto"/>
      </w:pPr>
      <w:r>
        <w:continuationSeparator/>
      </w:r>
    </w:p>
  </w:footnote>
  <w:footnote w:id="1">
    <w:p w14:paraId="74D23F6E" w14:textId="291FD743" w:rsidR="003A469A" w:rsidRPr="00027272" w:rsidRDefault="003A469A">
      <w:pPr>
        <w:pStyle w:val="FootnoteText"/>
        <w:rPr>
          <w:rFonts w:ascii="Times New Roman" w:hAnsi="Times New Roman" w:cs="Times New Roman"/>
        </w:rPr>
      </w:pPr>
      <w:r w:rsidRPr="00027272">
        <w:rPr>
          <w:rStyle w:val="FootnoteReference"/>
          <w:rFonts w:ascii="Times New Roman" w:hAnsi="Times New Roman" w:cs="Times New Roman"/>
        </w:rPr>
        <w:footnoteRef/>
      </w:r>
      <w:r>
        <w:rPr>
          <w:rFonts w:ascii="Times New Roman" w:hAnsi="Times New Roman" w:cs="Times New Roman"/>
        </w:rPr>
        <w:t> </w:t>
      </w:r>
      <w:r w:rsidRPr="00027272">
        <w:rPr>
          <w:rFonts w:ascii="Times New Roman" w:hAnsi="Times New Roman" w:cs="Times New Roman"/>
        </w:rPr>
        <w:t xml:space="preserve">Eiropas Parlamenta un Padomes 2006. gada 14. jūnija </w:t>
      </w:r>
      <w:r>
        <w:rPr>
          <w:rFonts w:ascii="Times New Roman" w:hAnsi="Times New Roman" w:cs="Times New Roman"/>
        </w:rPr>
        <w:t>R</w:t>
      </w:r>
      <w:r w:rsidRPr="00027272">
        <w:rPr>
          <w:rFonts w:ascii="Times New Roman" w:hAnsi="Times New Roman" w:cs="Times New Roman"/>
        </w:rPr>
        <w:t>egula Nr. 1013/2006/EK par atkritumu sūtījumiem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81363919"/>
      <w:docPartObj>
        <w:docPartGallery w:val="Page Numbers (Top of Page)"/>
        <w:docPartUnique/>
      </w:docPartObj>
    </w:sdtPr>
    <w:sdtEndPr>
      <w:rPr>
        <w:noProof/>
      </w:rPr>
    </w:sdtEndPr>
    <w:sdtContent>
      <w:p w14:paraId="2C61BBA5" w14:textId="77777777" w:rsidR="003A469A" w:rsidRPr="00A653AF" w:rsidRDefault="003A469A">
        <w:pPr>
          <w:pStyle w:val="Header"/>
          <w:jc w:val="center"/>
          <w:rPr>
            <w:rFonts w:ascii="Times New Roman" w:hAnsi="Times New Roman" w:cs="Times New Roman"/>
          </w:rPr>
        </w:pPr>
        <w:r w:rsidRPr="00A653AF">
          <w:rPr>
            <w:rFonts w:ascii="Times New Roman" w:hAnsi="Times New Roman" w:cs="Times New Roman"/>
          </w:rPr>
          <w:fldChar w:fldCharType="begin"/>
        </w:r>
        <w:r w:rsidRPr="00A653AF">
          <w:rPr>
            <w:rFonts w:ascii="Times New Roman" w:hAnsi="Times New Roman" w:cs="Times New Roman"/>
          </w:rPr>
          <w:instrText xml:space="preserve"> PAGE   \* MERGEFORMAT </w:instrText>
        </w:r>
        <w:r w:rsidRPr="00A653AF">
          <w:rPr>
            <w:rFonts w:ascii="Times New Roman" w:hAnsi="Times New Roman" w:cs="Times New Roman"/>
          </w:rPr>
          <w:fldChar w:fldCharType="separate"/>
        </w:r>
        <w:r w:rsidR="00CB5F2C">
          <w:rPr>
            <w:rFonts w:ascii="Times New Roman" w:hAnsi="Times New Roman" w:cs="Times New Roman"/>
            <w:noProof/>
          </w:rPr>
          <w:t>2</w:t>
        </w:r>
        <w:r w:rsidRPr="00A653AF">
          <w:rPr>
            <w:rFonts w:ascii="Times New Roman" w:hAnsi="Times New Roman" w:cs="Times New Roman"/>
            <w:noProof/>
          </w:rPr>
          <w:fldChar w:fldCharType="end"/>
        </w:r>
      </w:p>
    </w:sdtContent>
  </w:sdt>
  <w:p w14:paraId="3C6885DA" w14:textId="77777777" w:rsidR="003A469A" w:rsidRDefault="003A4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D97"/>
    <w:multiLevelType w:val="multilevel"/>
    <w:tmpl w:val="D0201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00327"/>
    <w:multiLevelType w:val="multilevel"/>
    <w:tmpl w:val="24E84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A66BBF"/>
    <w:multiLevelType w:val="multilevel"/>
    <w:tmpl w:val="7952D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42FF4"/>
    <w:multiLevelType w:val="multilevel"/>
    <w:tmpl w:val="C4E8B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8272A"/>
    <w:multiLevelType w:val="multilevel"/>
    <w:tmpl w:val="84EE0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003D29"/>
    <w:multiLevelType w:val="multilevel"/>
    <w:tmpl w:val="08FC2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D874E5"/>
    <w:multiLevelType w:val="multilevel"/>
    <w:tmpl w:val="8C064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5E1E51"/>
    <w:multiLevelType w:val="multilevel"/>
    <w:tmpl w:val="7E224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AB48B5"/>
    <w:multiLevelType w:val="multilevel"/>
    <w:tmpl w:val="F7004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FB70D4"/>
    <w:multiLevelType w:val="multilevel"/>
    <w:tmpl w:val="96ACB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703759"/>
    <w:multiLevelType w:val="multilevel"/>
    <w:tmpl w:val="1904F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F90F95"/>
    <w:multiLevelType w:val="multilevel"/>
    <w:tmpl w:val="19E84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881D8C"/>
    <w:multiLevelType w:val="multilevel"/>
    <w:tmpl w:val="8C589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0960B9"/>
    <w:multiLevelType w:val="multilevel"/>
    <w:tmpl w:val="D6728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BF426F"/>
    <w:multiLevelType w:val="multilevel"/>
    <w:tmpl w:val="BC7A0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021CE5"/>
    <w:multiLevelType w:val="multilevel"/>
    <w:tmpl w:val="682AA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9A6871"/>
    <w:multiLevelType w:val="multilevel"/>
    <w:tmpl w:val="0AEEB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086B31"/>
    <w:multiLevelType w:val="multilevel"/>
    <w:tmpl w:val="FA007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C75CDD"/>
    <w:multiLevelType w:val="multilevel"/>
    <w:tmpl w:val="908CB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244F15"/>
    <w:multiLevelType w:val="multilevel"/>
    <w:tmpl w:val="50E0F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9"/>
  </w:num>
  <w:num w:numId="3">
    <w:abstractNumId w:val="5"/>
  </w:num>
  <w:num w:numId="4">
    <w:abstractNumId w:val="14"/>
  </w:num>
  <w:num w:numId="5">
    <w:abstractNumId w:val="2"/>
  </w:num>
  <w:num w:numId="6">
    <w:abstractNumId w:val="15"/>
  </w:num>
  <w:num w:numId="7">
    <w:abstractNumId w:val="13"/>
  </w:num>
  <w:num w:numId="8">
    <w:abstractNumId w:val="6"/>
  </w:num>
  <w:num w:numId="9">
    <w:abstractNumId w:val="3"/>
  </w:num>
  <w:num w:numId="10">
    <w:abstractNumId w:val="4"/>
  </w:num>
  <w:num w:numId="11">
    <w:abstractNumId w:val="11"/>
  </w:num>
  <w:num w:numId="12">
    <w:abstractNumId w:val="8"/>
  </w:num>
  <w:num w:numId="13">
    <w:abstractNumId w:val="10"/>
  </w:num>
  <w:num w:numId="14">
    <w:abstractNumId w:val="18"/>
  </w:num>
  <w:num w:numId="15">
    <w:abstractNumId w:val="1"/>
  </w:num>
  <w:num w:numId="16">
    <w:abstractNumId w:val="7"/>
  </w:num>
  <w:num w:numId="17">
    <w:abstractNumId w:val="9"/>
  </w:num>
  <w:num w:numId="18">
    <w:abstractNumId w:val="16"/>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14"/>
    <w:rsid w:val="00022CDE"/>
    <w:rsid w:val="00027272"/>
    <w:rsid w:val="00081687"/>
    <w:rsid w:val="00103726"/>
    <w:rsid w:val="001C44C4"/>
    <w:rsid w:val="002509F7"/>
    <w:rsid w:val="002E0A9C"/>
    <w:rsid w:val="00331D33"/>
    <w:rsid w:val="003A469A"/>
    <w:rsid w:val="003F3FCC"/>
    <w:rsid w:val="004512C1"/>
    <w:rsid w:val="00473D82"/>
    <w:rsid w:val="004B07A1"/>
    <w:rsid w:val="004B473F"/>
    <w:rsid w:val="004B52F7"/>
    <w:rsid w:val="00551014"/>
    <w:rsid w:val="005C493B"/>
    <w:rsid w:val="008246AF"/>
    <w:rsid w:val="00843434"/>
    <w:rsid w:val="00875D7E"/>
    <w:rsid w:val="008F17DB"/>
    <w:rsid w:val="009163CB"/>
    <w:rsid w:val="00924C8C"/>
    <w:rsid w:val="00A653AF"/>
    <w:rsid w:val="00A66305"/>
    <w:rsid w:val="00AB7479"/>
    <w:rsid w:val="00AF432F"/>
    <w:rsid w:val="00BA16CA"/>
    <w:rsid w:val="00BB2F19"/>
    <w:rsid w:val="00BD5E08"/>
    <w:rsid w:val="00BF3C59"/>
    <w:rsid w:val="00C63BED"/>
    <w:rsid w:val="00C66DBA"/>
    <w:rsid w:val="00CB5F2C"/>
    <w:rsid w:val="00CC2039"/>
    <w:rsid w:val="00DD2358"/>
    <w:rsid w:val="00E31EF7"/>
    <w:rsid w:val="00EC4B97"/>
    <w:rsid w:val="00EE5AFB"/>
    <w:rsid w:val="00EE6485"/>
    <w:rsid w:val="00F104E9"/>
    <w:rsid w:val="00F60F5D"/>
    <w:rsid w:val="00FB32EE"/>
    <w:rsid w:val="00FB7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F92D"/>
  <w15:docId w15:val="{44FBD44B-6127-402C-A08A-558124AD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7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272"/>
    <w:rPr>
      <w:sz w:val="20"/>
      <w:szCs w:val="20"/>
    </w:rPr>
  </w:style>
  <w:style w:type="character" w:styleId="FootnoteReference">
    <w:name w:val="footnote reference"/>
    <w:basedOn w:val="DefaultParagraphFont"/>
    <w:uiPriority w:val="99"/>
    <w:semiHidden/>
    <w:unhideWhenUsed/>
    <w:rsid w:val="00027272"/>
    <w:rPr>
      <w:vertAlign w:val="superscript"/>
    </w:rPr>
  </w:style>
  <w:style w:type="character" w:styleId="CommentReference">
    <w:name w:val="annotation reference"/>
    <w:basedOn w:val="DefaultParagraphFont"/>
    <w:uiPriority w:val="99"/>
    <w:semiHidden/>
    <w:unhideWhenUsed/>
    <w:rsid w:val="004B52F7"/>
    <w:rPr>
      <w:sz w:val="16"/>
      <w:szCs w:val="16"/>
    </w:rPr>
  </w:style>
  <w:style w:type="paragraph" w:styleId="CommentText">
    <w:name w:val="annotation text"/>
    <w:basedOn w:val="Normal"/>
    <w:link w:val="CommentTextChar"/>
    <w:uiPriority w:val="99"/>
    <w:semiHidden/>
    <w:unhideWhenUsed/>
    <w:rsid w:val="004B52F7"/>
    <w:pPr>
      <w:spacing w:line="240" w:lineRule="auto"/>
    </w:pPr>
    <w:rPr>
      <w:sz w:val="20"/>
      <w:szCs w:val="20"/>
    </w:rPr>
  </w:style>
  <w:style w:type="character" w:customStyle="1" w:styleId="CommentTextChar">
    <w:name w:val="Comment Text Char"/>
    <w:basedOn w:val="DefaultParagraphFont"/>
    <w:link w:val="CommentText"/>
    <w:uiPriority w:val="99"/>
    <w:semiHidden/>
    <w:rsid w:val="004B52F7"/>
    <w:rPr>
      <w:sz w:val="20"/>
      <w:szCs w:val="20"/>
    </w:rPr>
  </w:style>
  <w:style w:type="paragraph" w:styleId="CommentSubject">
    <w:name w:val="annotation subject"/>
    <w:basedOn w:val="CommentText"/>
    <w:next w:val="CommentText"/>
    <w:link w:val="CommentSubjectChar"/>
    <w:uiPriority w:val="99"/>
    <w:semiHidden/>
    <w:unhideWhenUsed/>
    <w:rsid w:val="004B52F7"/>
    <w:rPr>
      <w:b/>
      <w:bCs/>
    </w:rPr>
  </w:style>
  <w:style w:type="character" w:customStyle="1" w:styleId="CommentSubjectChar">
    <w:name w:val="Comment Subject Char"/>
    <w:basedOn w:val="CommentTextChar"/>
    <w:link w:val="CommentSubject"/>
    <w:uiPriority w:val="99"/>
    <w:semiHidden/>
    <w:rsid w:val="004B52F7"/>
    <w:rPr>
      <w:b/>
      <w:bCs/>
      <w:sz w:val="20"/>
      <w:szCs w:val="20"/>
    </w:rPr>
  </w:style>
  <w:style w:type="paragraph" w:styleId="BalloonText">
    <w:name w:val="Balloon Text"/>
    <w:basedOn w:val="Normal"/>
    <w:link w:val="BalloonTextChar"/>
    <w:uiPriority w:val="99"/>
    <w:semiHidden/>
    <w:unhideWhenUsed/>
    <w:rsid w:val="004B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F7"/>
    <w:rPr>
      <w:rFonts w:ascii="Segoe UI" w:hAnsi="Segoe UI" w:cs="Segoe UI"/>
      <w:sz w:val="18"/>
      <w:szCs w:val="18"/>
    </w:rPr>
  </w:style>
  <w:style w:type="paragraph" w:customStyle="1" w:styleId="naisf">
    <w:name w:val="naisf"/>
    <w:basedOn w:val="Normal"/>
    <w:rsid w:val="00E31EF7"/>
    <w:pPr>
      <w:spacing w:before="75" w:after="75" w:line="240" w:lineRule="auto"/>
      <w:ind w:firstLine="375"/>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1EF7"/>
    <w:rPr>
      <w:color w:val="0563C1" w:themeColor="hyperlink"/>
      <w:u w:val="single"/>
    </w:rPr>
  </w:style>
  <w:style w:type="paragraph" w:styleId="Header">
    <w:name w:val="header"/>
    <w:basedOn w:val="Normal"/>
    <w:link w:val="HeaderChar"/>
    <w:uiPriority w:val="99"/>
    <w:unhideWhenUsed/>
    <w:rsid w:val="00E31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1EF7"/>
  </w:style>
  <w:style w:type="paragraph" w:styleId="Footer">
    <w:name w:val="footer"/>
    <w:basedOn w:val="Normal"/>
    <w:link w:val="FooterChar"/>
    <w:uiPriority w:val="99"/>
    <w:unhideWhenUsed/>
    <w:rsid w:val="00E31E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1EF7"/>
  </w:style>
  <w:style w:type="paragraph" w:styleId="Revision">
    <w:name w:val="Revision"/>
    <w:hidden/>
    <w:uiPriority w:val="99"/>
    <w:semiHidden/>
    <w:rsid w:val="00250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023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tao\AppData\Local\Microsoft\Windows\Temporary%20Internet%20Files\Content.Outlook\9B2JD3UU\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ja.Slaid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7976-BDED-4D94-A8CB-888175D1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10115</Words>
  <Characters>5767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Slaidiņa</dc:creator>
  <cp:lastModifiedBy>Laila Bremša</cp:lastModifiedBy>
  <cp:revision>2</cp:revision>
  <dcterms:created xsi:type="dcterms:W3CDTF">2019-08-12T12:46:00Z</dcterms:created>
  <dcterms:modified xsi:type="dcterms:W3CDTF">2019-08-12T12:46:00Z</dcterms:modified>
</cp:coreProperties>
</file>