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D34F" w14:textId="77777777" w:rsidR="006D664B" w:rsidRPr="001950C0" w:rsidRDefault="006D664B" w:rsidP="006D664B">
      <w:pPr>
        <w:pStyle w:val="naisnod"/>
        <w:spacing w:before="0" w:after="0"/>
        <w:ind w:firstLine="720"/>
        <w:rPr>
          <w:sz w:val="22"/>
          <w:szCs w:val="22"/>
        </w:rPr>
      </w:pPr>
      <w:r w:rsidRPr="001950C0">
        <w:rPr>
          <w:sz w:val="22"/>
          <w:szCs w:val="22"/>
        </w:rPr>
        <w:t>Izziņa par atzinumos sniegtajiem iebildumiem Ministru kabineta noteikumu projektam “</w:t>
      </w:r>
      <w:r w:rsidR="00F268B6" w:rsidRPr="00F268B6">
        <w:rPr>
          <w:bCs w:val="0"/>
          <w:color w:val="000000" w:themeColor="text1"/>
          <w:sz w:val="22"/>
          <w:szCs w:val="22"/>
        </w:rPr>
        <w:t>Grozījumi Ministru kabineta 2007. gada 20. novembra noteikumos Nr. 779 “Kārtība, kādā rezerves karavīrus un rezervistus reģistrē un uzskaita, rezerves karavīrus iesauc aktīvajā dienestā, kā arī pieprasa un izsniedz informāciju par rezerves karavīriem un rezervistiem</w:t>
      </w:r>
      <w:r w:rsidRPr="00F268B6">
        <w:rPr>
          <w:color w:val="000000" w:themeColor="text1"/>
        </w:rPr>
        <w:t>”</w:t>
      </w:r>
    </w:p>
    <w:p w14:paraId="0FF37510" w14:textId="77777777" w:rsidR="006D664B" w:rsidRPr="001950C0" w:rsidRDefault="006D664B" w:rsidP="006D664B">
      <w:pPr>
        <w:pStyle w:val="naisf"/>
        <w:spacing w:before="0" w:after="0"/>
        <w:ind w:firstLine="720"/>
        <w:rPr>
          <w:sz w:val="22"/>
          <w:szCs w:val="22"/>
        </w:rPr>
      </w:pPr>
      <w:bookmarkStart w:id="0" w:name="_GoBack"/>
      <w:bookmarkEnd w:id="0"/>
    </w:p>
    <w:p w14:paraId="09DEA7DB" w14:textId="77777777" w:rsidR="006D664B" w:rsidRPr="001950C0" w:rsidRDefault="006D664B" w:rsidP="006D664B">
      <w:pPr>
        <w:pStyle w:val="naisf"/>
        <w:spacing w:before="0" w:after="0"/>
        <w:ind w:firstLine="0"/>
        <w:jc w:val="center"/>
        <w:rPr>
          <w:b/>
          <w:sz w:val="22"/>
          <w:szCs w:val="22"/>
        </w:rPr>
      </w:pPr>
      <w:r w:rsidRPr="001950C0">
        <w:rPr>
          <w:b/>
          <w:sz w:val="22"/>
          <w:szCs w:val="22"/>
        </w:rPr>
        <w:t>I. Jautājumi, par kuriem saskaņošanā vienošanās nav panākta</w:t>
      </w:r>
    </w:p>
    <w:p w14:paraId="3DDA2326" w14:textId="77777777" w:rsidR="006D664B" w:rsidRPr="001950C0" w:rsidRDefault="006D664B" w:rsidP="006D664B">
      <w:pPr>
        <w:pStyle w:val="naisf"/>
        <w:spacing w:before="0" w:after="0"/>
        <w:ind w:firstLine="720"/>
        <w:rPr>
          <w:sz w:val="22"/>
          <w:szCs w:val="22"/>
        </w:rPr>
      </w:pPr>
    </w:p>
    <w:tbl>
      <w:tblPr>
        <w:tblW w:w="139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9"/>
        <w:gridCol w:w="3007"/>
        <w:gridCol w:w="3479"/>
        <w:gridCol w:w="2462"/>
        <w:gridCol w:w="2396"/>
        <w:gridCol w:w="1871"/>
      </w:tblGrid>
      <w:tr w:rsidR="006D664B" w:rsidRPr="001950C0" w14:paraId="4F418DBD" w14:textId="77777777" w:rsidTr="001950C0">
        <w:trPr>
          <w:trHeight w:val="1290"/>
        </w:trPr>
        <w:tc>
          <w:tcPr>
            <w:tcW w:w="689" w:type="dxa"/>
            <w:tcBorders>
              <w:top w:val="single" w:sz="6" w:space="0" w:color="000000"/>
              <w:left w:val="single" w:sz="6" w:space="0" w:color="000000"/>
              <w:bottom w:val="single" w:sz="6" w:space="0" w:color="000000"/>
              <w:right w:val="single" w:sz="6" w:space="0" w:color="000000"/>
            </w:tcBorders>
            <w:vAlign w:val="center"/>
            <w:hideMark/>
          </w:tcPr>
          <w:p w14:paraId="7483312F" w14:textId="77777777" w:rsidR="006D664B" w:rsidRPr="001950C0" w:rsidRDefault="006D664B">
            <w:pPr>
              <w:pStyle w:val="naisc"/>
              <w:spacing w:before="0" w:after="0"/>
              <w:rPr>
                <w:sz w:val="22"/>
                <w:szCs w:val="22"/>
              </w:rPr>
            </w:pPr>
            <w:r w:rsidRPr="001950C0">
              <w:rPr>
                <w:sz w:val="22"/>
                <w:szCs w:val="22"/>
              </w:rPr>
              <w:t>Nr. p. k.</w:t>
            </w:r>
          </w:p>
        </w:tc>
        <w:tc>
          <w:tcPr>
            <w:tcW w:w="3007" w:type="dxa"/>
            <w:tcBorders>
              <w:top w:val="single" w:sz="6" w:space="0" w:color="000000"/>
              <w:left w:val="single" w:sz="6" w:space="0" w:color="000000"/>
              <w:bottom w:val="single" w:sz="6" w:space="0" w:color="000000"/>
              <w:right w:val="single" w:sz="6" w:space="0" w:color="000000"/>
            </w:tcBorders>
            <w:vAlign w:val="center"/>
            <w:hideMark/>
          </w:tcPr>
          <w:p w14:paraId="6802C3BE" w14:textId="77777777" w:rsidR="006D664B" w:rsidRPr="001950C0" w:rsidRDefault="006D664B">
            <w:pPr>
              <w:pStyle w:val="naisc"/>
              <w:spacing w:before="0" w:after="0"/>
              <w:ind w:firstLine="12"/>
              <w:rPr>
                <w:sz w:val="22"/>
                <w:szCs w:val="22"/>
              </w:rPr>
            </w:pPr>
            <w:r w:rsidRPr="001950C0">
              <w:rPr>
                <w:sz w:val="22"/>
                <w:szCs w:val="22"/>
              </w:rPr>
              <w:t>Saskaņošanai nosūtītā projekta redakcija (konkrēta punkta (panta) redakcija)</w:t>
            </w:r>
          </w:p>
        </w:tc>
        <w:tc>
          <w:tcPr>
            <w:tcW w:w="3479" w:type="dxa"/>
            <w:tcBorders>
              <w:top w:val="single" w:sz="6" w:space="0" w:color="000000"/>
              <w:left w:val="single" w:sz="6" w:space="0" w:color="000000"/>
              <w:bottom w:val="single" w:sz="6" w:space="0" w:color="000000"/>
              <w:right w:val="single" w:sz="6" w:space="0" w:color="000000"/>
            </w:tcBorders>
            <w:vAlign w:val="center"/>
            <w:hideMark/>
          </w:tcPr>
          <w:p w14:paraId="4D1C50F9" w14:textId="77777777" w:rsidR="006D664B" w:rsidRPr="001950C0" w:rsidRDefault="006D664B">
            <w:pPr>
              <w:pStyle w:val="naisc"/>
              <w:spacing w:before="0" w:after="0"/>
              <w:ind w:right="3"/>
              <w:rPr>
                <w:sz w:val="22"/>
                <w:szCs w:val="22"/>
              </w:rPr>
            </w:pPr>
            <w:r w:rsidRPr="001950C0">
              <w:rPr>
                <w:sz w:val="22"/>
                <w:szCs w:val="22"/>
              </w:rPr>
              <w:t>Atzinumā norādītais ministrijas (citas institūcijas) iebildums, kā arī saskaņošanā papildus izteiktais iebildums par projekta konkrēto punktu (pantu)</w:t>
            </w:r>
          </w:p>
        </w:tc>
        <w:tc>
          <w:tcPr>
            <w:tcW w:w="2462" w:type="dxa"/>
            <w:tcBorders>
              <w:top w:val="single" w:sz="6" w:space="0" w:color="000000"/>
              <w:left w:val="single" w:sz="6" w:space="0" w:color="000000"/>
              <w:bottom w:val="single" w:sz="6" w:space="0" w:color="000000"/>
              <w:right w:val="single" w:sz="6" w:space="0" w:color="000000"/>
            </w:tcBorders>
            <w:vAlign w:val="center"/>
            <w:hideMark/>
          </w:tcPr>
          <w:p w14:paraId="525B5173" w14:textId="77777777" w:rsidR="006D664B" w:rsidRPr="001950C0" w:rsidRDefault="006D664B">
            <w:pPr>
              <w:pStyle w:val="naisc"/>
              <w:spacing w:before="0" w:after="0"/>
              <w:ind w:firstLine="21"/>
              <w:rPr>
                <w:sz w:val="22"/>
                <w:szCs w:val="22"/>
              </w:rPr>
            </w:pPr>
            <w:r w:rsidRPr="001950C0">
              <w:rPr>
                <w:sz w:val="22"/>
                <w:szCs w:val="22"/>
              </w:rPr>
              <w:t>Atbildīgās ministrijas pamatojums iebilduma noraidījumam</w:t>
            </w:r>
          </w:p>
        </w:tc>
        <w:tc>
          <w:tcPr>
            <w:tcW w:w="2396" w:type="dxa"/>
            <w:tcBorders>
              <w:top w:val="single" w:sz="4" w:space="0" w:color="auto"/>
              <w:left w:val="single" w:sz="4" w:space="0" w:color="auto"/>
              <w:bottom w:val="single" w:sz="4" w:space="0" w:color="auto"/>
              <w:right w:val="single" w:sz="4" w:space="0" w:color="auto"/>
            </w:tcBorders>
            <w:vAlign w:val="center"/>
            <w:hideMark/>
          </w:tcPr>
          <w:p w14:paraId="14507F53" w14:textId="77777777" w:rsidR="006D664B" w:rsidRPr="001950C0" w:rsidRDefault="006D664B">
            <w:pPr>
              <w:jc w:val="center"/>
              <w:rPr>
                <w:sz w:val="22"/>
                <w:szCs w:val="22"/>
              </w:rPr>
            </w:pPr>
            <w:r w:rsidRPr="001950C0">
              <w:rPr>
                <w:sz w:val="22"/>
                <w:szCs w:val="22"/>
              </w:rPr>
              <w:t>Atzinuma sniedzēja uzturētais iebildums, ja tas atšķiras no atzinumā norādītā iebilduma pamatojuma</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F313EC2" w14:textId="77777777" w:rsidR="006D664B" w:rsidRPr="001950C0" w:rsidRDefault="006D664B">
            <w:pPr>
              <w:jc w:val="center"/>
              <w:rPr>
                <w:sz w:val="22"/>
                <w:szCs w:val="22"/>
              </w:rPr>
            </w:pPr>
            <w:r w:rsidRPr="001950C0">
              <w:rPr>
                <w:sz w:val="22"/>
                <w:szCs w:val="22"/>
              </w:rPr>
              <w:t>Projekta attiecīgā punkta (panta) galīgā redakcija</w:t>
            </w:r>
          </w:p>
        </w:tc>
      </w:tr>
      <w:tr w:rsidR="006D664B" w:rsidRPr="001950C0" w14:paraId="7993870F" w14:textId="77777777" w:rsidTr="001950C0">
        <w:trPr>
          <w:trHeight w:val="14"/>
        </w:trPr>
        <w:tc>
          <w:tcPr>
            <w:tcW w:w="689" w:type="dxa"/>
            <w:tcBorders>
              <w:top w:val="single" w:sz="6" w:space="0" w:color="000000"/>
              <w:left w:val="single" w:sz="6" w:space="0" w:color="000000"/>
              <w:bottom w:val="single" w:sz="6" w:space="0" w:color="000000"/>
              <w:right w:val="single" w:sz="6" w:space="0" w:color="000000"/>
            </w:tcBorders>
            <w:hideMark/>
          </w:tcPr>
          <w:p w14:paraId="20E76FD7" w14:textId="77777777" w:rsidR="006D664B" w:rsidRPr="001950C0" w:rsidRDefault="006D664B" w:rsidP="00B070CF">
            <w:pPr>
              <w:pStyle w:val="naisc"/>
              <w:spacing w:before="0" w:after="0"/>
              <w:jc w:val="left"/>
              <w:rPr>
                <w:sz w:val="22"/>
                <w:szCs w:val="22"/>
              </w:rPr>
            </w:pPr>
          </w:p>
        </w:tc>
        <w:tc>
          <w:tcPr>
            <w:tcW w:w="3007" w:type="dxa"/>
            <w:tcBorders>
              <w:top w:val="single" w:sz="6" w:space="0" w:color="000000"/>
              <w:left w:val="single" w:sz="6" w:space="0" w:color="000000"/>
              <w:bottom w:val="single" w:sz="6" w:space="0" w:color="000000"/>
              <w:right w:val="single" w:sz="6" w:space="0" w:color="000000"/>
            </w:tcBorders>
            <w:hideMark/>
          </w:tcPr>
          <w:p w14:paraId="69BA5F53" w14:textId="77777777" w:rsidR="006D664B" w:rsidRPr="001950C0" w:rsidRDefault="006D664B">
            <w:pPr>
              <w:pStyle w:val="naisc"/>
              <w:spacing w:before="0" w:after="0"/>
              <w:ind w:firstLine="720"/>
              <w:rPr>
                <w:sz w:val="22"/>
                <w:szCs w:val="22"/>
              </w:rPr>
            </w:pPr>
          </w:p>
        </w:tc>
        <w:tc>
          <w:tcPr>
            <w:tcW w:w="3479" w:type="dxa"/>
            <w:tcBorders>
              <w:top w:val="single" w:sz="6" w:space="0" w:color="000000"/>
              <w:left w:val="single" w:sz="6" w:space="0" w:color="000000"/>
              <w:bottom w:val="single" w:sz="6" w:space="0" w:color="000000"/>
              <w:right w:val="single" w:sz="6" w:space="0" w:color="000000"/>
            </w:tcBorders>
            <w:hideMark/>
          </w:tcPr>
          <w:p w14:paraId="2DE7D349" w14:textId="77777777" w:rsidR="006D664B" w:rsidRPr="001950C0" w:rsidRDefault="006D664B">
            <w:pPr>
              <w:pStyle w:val="naisc"/>
              <w:spacing w:before="0" w:after="0"/>
              <w:ind w:firstLine="720"/>
              <w:rPr>
                <w:sz w:val="22"/>
                <w:szCs w:val="22"/>
              </w:rPr>
            </w:pPr>
          </w:p>
        </w:tc>
        <w:tc>
          <w:tcPr>
            <w:tcW w:w="2462" w:type="dxa"/>
            <w:tcBorders>
              <w:top w:val="single" w:sz="6" w:space="0" w:color="000000"/>
              <w:left w:val="single" w:sz="6" w:space="0" w:color="000000"/>
              <w:bottom w:val="single" w:sz="6" w:space="0" w:color="000000"/>
              <w:right w:val="single" w:sz="6" w:space="0" w:color="000000"/>
            </w:tcBorders>
            <w:hideMark/>
          </w:tcPr>
          <w:p w14:paraId="31A17315" w14:textId="77777777" w:rsidR="006D664B" w:rsidRPr="001950C0" w:rsidRDefault="006D664B">
            <w:pPr>
              <w:pStyle w:val="naisc"/>
              <w:spacing w:before="0" w:after="0"/>
              <w:ind w:firstLine="720"/>
              <w:rPr>
                <w:sz w:val="22"/>
                <w:szCs w:val="22"/>
              </w:rPr>
            </w:pPr>
          </w:p>
        </w:tc>
        <w:tc>
          <w:tcPr>
            <w:tcW w:w="2396" w:type="dxa"/>
            <w:tcBorders>
              <w:top w:val="single" w:sz="4" w:space="0" w:color="auto"/>
              <w:left w:val="single" w:sz="4" w:space="0" w:color="auto"/>
              <w:bottom w:val="single" w:sz="4" w:space="0" w:color="auto"/>
              <w:right w:val="single" w:sz="4" w:space="0" w:color="auto"/>
            </w:tcBorders>
            <w:hideMark/>
          </w:tcPr>
          <w:p w14:paraId="19C8C51F" w14:textId="77777777" w:rsidR="006D664B" w:rsidRPr="001950C0" w:rsidRDefault="006D664B">
            <w:pPr>
              <w:jc w:val="center"/>
              <w:rPr>
                <w:sz w:val="22"/>
                <w:szCs w:val="22"/>
              </w:rPr>
            </w:pPr>
          </w:p>
        </w:tc>
        <w:tc>
          <w:tcPr>
            <w:tcW w:w="1871" w:type="dxa"/>
            <w:tcBorders>
              <w:top w:val="single" w:sz="4" w:space="0" w:color="auto"/>
              <w:left w:val="single" w:sz="4" w:space="0" w:color="auto"/>
              <w:bottom w:val="single" w:sz="4" w:space="0" w:color="auto"/>
              <w:right w:val="single" w:sz="4" w:space="0" w:color="auto"/>
            </w:tcBorders>
            <w:hideMark/>
          </w:tcPr>
          <w:p w14:paraId="463EFD98" w14:textId="77777777" w:rsidR="006D664B" w:rsidRPr="001950C0" w:rsidRDefault="006D664B">
            <w:pPr>
              <w:jc w:val="center"/>
              <w:rPr>
                <w:sz w:val="22"/>
                <w:szCs w:val="22"/>
              </w:rPr>
            </w:pPr>
          </w:p>
        </w:tc>
      </w:tr>
    </w:tbl>
    <w:p w14:paraId="2BB1384C" w14:textId="77777777" w:rsidR="006D664B" w:rsidRPr="001950C0" w:rsidRDefault="006D664B" w:rsidP="006D664B">
      <w:pPr>
        <w:pStyle w:val="naisf"/>
        <w:spacing w:before="0" w:after="0"/>
        <w:ind w:firstLine="0"/>
        <w:rPr>
          <w:sz w:val="22"/>
          <w:szCs w:val="22"/>
        </w:rPr>
      </w:pPr>
    </w:p>
    <w:p w14:paraId="48C97A2D" w14:textId="77777777" w:rsidR="006D664B" w:rsidRPr="001950C0" w:rsidRDefault="006D664B" w:rsidP="006D664B">
      <w:pPr>
        <w:pStyle w:val="naisf"/>
        <w:spacing w:before="0" w:after="0"/>
        <w:ind w:firstLine="0"/>
        <w:jc w:val="center"/>
        <w:rPr>
          <w:b/>
          <w:sz w:val="22"/>
          <w:szCs w:val="22"/>
        </w:rPr>
      </w:pPr>
      <w:r w:rsidRPr="001950C0">
        <w:rPr>
          <w:b/>
          <w:sz w:val="22"/>
          <w:szCs w:val="22"/>
        </w:rPr>
        <w:t>II. Jautājumi, par kuriem saskaņošanā vienošanās ir panākta</w:t>
      </w:r>
    </w:p>
    <w:p w14:paraId="7460DD85" w14:textId="77777777" w:rsidR="006D664B" w:rsidRPr="001950C0" w:rsidRDefault="006D664B" w:rsidP="006D664B">
      <w:pPr>
        <w:pStyle w:val="naisf"/>
        <w:spacing w:before="0" w:after="0"/>
        <w:ind w:firstLine="720"/>
        <w:rPr>
          <w:sz w:val="22"/>
          <w:szCs w:val="22"/>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78"/>
        <w:gridCol w:w="7654"/>
        <w:gridCol w:w="2126"/>
        <w:gridCol w:w="2526"/>
      </w:tblGrid>
      <w:tr w:rsidR="001950C0" w14:paraId="7871C411" w14:textId="77777777" w:rsidTr="00B070CF">
        <w:tc>
          <w:tcPr>
            <w:tcW w:w="708" w:type="dxa"/>
            <w:tcBorders>
              <w:top w:val="single" w:sz="6" w:space="0" w:color="000000"/>
              <w:left w:val="single" w:sz="6" w:space="0" w:color="000000"/>
              <w:bottom w:val="single" w:sz="6" w:space="0" w:color="000000"/>
              <w:right w:val="single" w:sz="6" w:space="0" w:color="000000"/>
            </w:tcBorders>
            <w:vAlign w:val="center"/>
            <w:hideMark/>
          </w:tcPr>
          <w:p w14:paraId="431F3AF7" w14:textId="77777777" w:rsidR="006D664B" w:rsidRPr="001950C0" w:rsidRDefault="006D664B">
            <w:pPr>
              <w:pStyle w:val="naisc"/>
              <w:spacing w:before="0" w:after="0"/>
              <w:rPr>
                <w:sz w:val="22"/>
                <w:szCs w:val="22"/>
              </w:rPr>
            </w:pPr>
            <w:r w:rsidRPr="001950C0">
              <w:rPr>
                <w:sz w:val="22"/>
                <w:szCs w:val="22"/>
              </w:rPr>
              <w:t>Nr. p. k.</w:t>
            </w:r>
          </w:p>
        </w:tc>
        <w:tc>
          <w:tcPr>
            <w:tcW w:w="1978" w:type="dxa"/>
            <w:tcBorders>
              <w:top w:val="single" w:sz="6" w:space="0" w:color="000000"/>
              <w:left w:val="single" w:sz="6" w:space="0" w:color="000000"/>
              <w:bottom w:val="single" w:sz="6" w:space="0" w:color="000000"/>
              <w:right w:val="single" w:sz="6" w:space="0" w:color="000000"/>
            </w:tcBorders>
            <w:vAlign w:val="center"/>
            <w:hideMark/>
          </w:tcPr>
          <w:p w14:paraId="2025F51E" w14:textId="77777777" w:rsidR="006D664B" w:rsidRPr="001950C0" w:rsidRDefault="006D664B" w:rsidP="001950C0">
            <w:pPr>
              <w:pStyle w:val="naisc"/>
              <w:spacing w:before="0" w:after="0"/>
              <w:ind w:firstLine="12"/>
              <w:jc w:val="left"/>
              <w:rPr>
                <w:sz w:val="22"/>
                <w:szCs w:val="22"/>
              </w:rPr>
            </w:pPr>
            <w:r w:rsidRPr="001950C0">
              <w:rPr>
                <w:sz w:val="22"/>
                <w:szCs w:val="22"/>
              </w:rPr>
              <w:t>Saskaņošanai nosūtītā projekta redakcija (konkrēta punkta (panta) redakcija)</w:t>
            </w:r>
          </w:p>
        </w:tc>
        <w:tc>
          <w:tcPr>
            <w:tcW w:w="7654" w:type="dxa"/>
            <w:tcBorders>
              <w:top w:val="single" w:sz="6" w:space="0" w:color="000000"/>
              <w:left w:val="single" w:sz="6" w:space="0" w:color="000000"/>
              <w:bottom w:val="single" w:sz="6" w:space="0" w:color="000000"/>
              <w:right w:val="single" w:sz="6" w:space="0" w:color="000000"/>
            </w:tcBorders>
            <w:vAlign w:val="center"/>
            <w:hideMark/>
          </w:tcPr>
          <w:p w14:paraId="6B393C23" w14:textId="77777777" w:rsidR="006D664B" w:rsidRPr="001950C0" w:rsidRDefault="006D664B" w:rsidP="001950C0">
            <w:pPr>
              <w:pStyle w:val="naisc"/>
              <w:spacing w:before="0" w:after="0"/>
              <w:ind w:right="3"/>
              <w:jc w:val="left"/>
              <w:rPr>
                <w:sz w:val="22"/>
                <w:szCs w:val="22"/>
              </w:rPr>
            </w:pPr>
            <w:r w:rsidRPr="001950C0">
              <w:rPr>
                <w:sz w:val="22"/>
                <w:szCs w:val="22"/>
              </w:rPr>
              <w:t>Atzinumā norādītais ministrijas (citas institūcijas) iebildums, kā arī saskaņošanā papildus izteiktais iebildums par projekta konkrēto punktu (pantu)</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0DC50C6B" w14:textId="77777777" w:rsidR="006D664B" w:rsidRPr="001950C0" w:rsidRDefault="006D664B">
            <w:pPr>
              <w:pStyle w:val="naisc"/>
              <w:spacing w:before="0" w:after="0"/>
              <w:ind w:firstLine="21"/>
              <w:rPr>
                <w:sz w:val="22"/>
                <w:szCs w:val="22"/>
              </w:rPr>
            </w:pPr>
            <w:r w:rsidRPr="001950C0">
              <w:rPr>
                <w:sz w:val="22"/>
                <w:szCs w:val="22"/>
              </w:rPr>
              <w:t>Atbildīgās ministrijas norāde par to, ka iebildums ir ņemts vērā, vai informācija par saskaņošanā panākto alternatīvo risinājumu</w:t>
            </w:r>
          </w:p>
        </w:tc>
        <w:tc>
          <w:tcPr>
            <w:tcW w:w="2526" w:type="dxa"/>
            <w:tcBorders>
              <w:top w:val="single" w:sz="4" w:space="0" w:color="auto"/>
              <w:left w:val="single" w:sz="4" w:space="0" w:color="auto"/>
              <w:bottom w:val="single" w:sz="4" w:space="0" w:color="auto"/>
              <w:right w:val="single" w:sz="4" w:space="0" w:color="auto"/>
            </w:tcBorders>
            <w:vAlign w:val="center"/>
            <w:hideMark/>
          </w:tcPr>
          <w:p w14:paraId="5B7A2888" w14:textId="77777777" w:rsidR="006D664B" w:rsidRPr="001950C0" w:rsidRDefault="006D664B">
            <w:pPr>
              <w:jc w:val="center"/>
              <w:rPr>
                <w:sz w:val="22"/>
                <w:szCs w:val="22"/>
              </w:rPr>
            </w:pPr>
            <w:r w:rsidRPr="001950C0">
              <w:rPr>
                <w:sz w:val="22"/>
                <w:szCs w:val="22"/>
              </w:rPr>
              <w:t>Projekta attiecīgā punkta (panta) galīgā redakcija</w:t>
            </w:r>
          </w:p>
        </w:tc>
      </w:tr>
      <w:tr w:rsidR="00DB6F83" w14:paraId="334D56FA" w14:textId="77777777" w:rsidTr="00B070CF">
        <w:tc>
          <w:tcPr>
            <w:tcW w:w="708" w:type="dxa"/>
            <w:tcBorders>
              <w:top w:val="single" w:sz="6" w:space="0" w:color="000000"/>
              <w:left w:val="single" w:sz="6" w:space="0" w:color="000000"/>
              <w:bottom w:val="single" w:sz="6" w:space="0" w:color="000000"/>
              <w:right w:val="single" w:sz="6" w:space="0" w:color="000000"/>
            </w:tcBorders>
            <w:vAlign w:val="center"/>
          </w:tcPr>
          <w:p w14:paraId="3F7BB823" w14:textId="77777777" w:rsidR="00DB6F83" w:rsidRPr="001950C0" w:rsidRDefault="001F6A1B">
            <w:pPr>
              <w:pStyle w:val="naisc"/>
              <w:spacing w:before="0" w:after="0"/>
              <w:rPr>
                <w:sz w:val="22"/>
                <w:szCs w:val="22"/>
              </w:rPr>
            </w:pPr>
            <w:r>
              <w:rPr>
                <w:sz w:val="22"/>
                <w:szCs w:val="22"/>
              </w:rPr>
              <w:t>1.</w:t>
            </w:r>
          </w:p>
        </w:tc>
        <w:tc>
          <w:tcPr>
            <w:tcW w:w="1978" w:type="dxa"/>
            <w:tcBorders>
              <w:top w:val="single" w:sz="6" w:space="0" w:color="000000"/>
              <w:left w:val="single" w:sz="6" w:space="0" w:color="000000"/>
              <w:bottom w:val="single" w:sz="6" w:space="0" w:color="000000"/>
              <w:right w:val="single" w:sz="6" w:space="0" w:color="000000"/>
            </w:tcBorders>
            <w:vAlign w:val="center"/>
          </w:tcPr>
          <w:p w14:paraId="0853E937" w14:textId="77777777" w:rsidR="00DB6F83" w:rsidRPr="001950C0" w:rsidRDefault="00DB6F83" w:rsidP="001950C0">
            <w:pPr>
              <w:pStyle w:val="naisc"/>
              <w:spacing w:before="0" w:after="0"/>
              <w:ind w:firstLine="12"/>
              <w:jc w:val="left"/>
              <w:rPr>
                <w:sz w:val="22"/>
                <w:szCs w:val="22"/>
              </w:rPr>
            </w:pPr>
          </w:p>
        </w:tc>
        <w:tc>
          <w:tcPr>
            <w:tcW w:w="7654" w:type="dxa"/>
            <w:tcBorders>
              <w:top w:val="single" w:sz="6" w:space="0" w:color="000000"/>
              <w:left w:val="single" w:sz="6" w:space="0" w:color="000000"/>
              <w:bottom w:val="single" w:sz="6" w:space="0" w:color="000000"/>
              <w:right w:val="single" w:sz="6" w:space="0" w:color="000000"/>
            </w:tcBorders>
            <w:vAlign w:val="center"/>
          </w:tcPr>
          <w:p w14:paraId="162695EF" w14:textId="77777777" w:rsidR="00DB6F83" w:rsidRDefault="001F6A1B" w:rsidP="001F6A1B">
            <w:pPr>
              <w:pStyle w:val="naisc"/>
              <w:spacing w:before="0" w:after="0"/>
              <w:ind w:right="3"/>
              <w:rPr>
                <w:b/>
                <w:sz w:val="22"/>
                <w:szCs w:val="22"/>
              </w:rPr>
            </w:pPr>
            <w:r>
              <w:rPr>
                <w:b/>
                <w:sz w:val="22"/>
                <w:szCs w:val="22"/>
              </w:rPr>
              <w:t>Vides aizsardzības un reģionālās attīstības ministrija</w:t>
            </w:r>
          </w:p>
          <w:p w14:paraId="6152B914" w14:textId="77777777" w:rsidR="001F6A1B" w:rsidRDefault="001F6A1B" w:rsidP="001F6A1B">
            <w:pPr>
              <w:pStyle w:val="naisc"/>
              <w:spacing w:before="0" w:after="0"/>
              <w:ind w:right="3"/>
              <w:jc w:val="left"/>
              <w:rPr>
                <w:sz w:val="22"/>
                <w:szCs w:val="22"/>
              </w:rPr>
            </w:pPr>
            <w:r>
              <w:rPr>
                <w:sz w:val="22"/>
                <w:szCs w:val="22"/>
              </w:rPr>
              <w:t>(12.03.2018. vēstule Nr. 1-14/2234)</w:t>
            </w:r>
          </w:p>
          <w:p w14:paraId="3D932A81" w14:textId="77777777" w:rsidR="001F6A1B" w:rsidRPr="001F6A1B" w:rsidRDefault="001F6A1B" w:rsidP="001F6A1B">
            <w:pPr>
              <w:pStyle w:val="naisc"/>
              <w:spacing w:before="0" w:after="0"/>
              <w:ind w:right="3"/>
              <w:jc w:val="both"/>
              <w:rPr>
                <w:sz w:val="22"/>
                <w:szCs w:val="22"/>
              </w:rPr>
            </w:pPr>
            <w:r>
              <w:rPr>
                <w:sz w:val="22"/>
                <w:szCs w:val="22"/>
              </w:rPr>
              <w:t>Saskaņā ar Oficiālās elektroniskās adreses likuma 5. panta pirmās daļas trešajā punktā noteikto, oficiālās elektroniskās adreses (turpmāk – e-adrese) izmantošana rezerves karavīram ir obligāta, informācija par iesaukšanu uz kārtējām vai pārbaudes militārajām mācībām ir nosūtāma, izmantojot tikai e-adresi, nesaglabājot alternatīvas saziņas kanālus – sūtīšanu pa pastu ierakstītā vēstulē vai izsniedzot pavēsti personīgi pret parakstu. Ministrijas ieskatā šādu kanālu saglabāšanai nav pamatojuma, jo e-adrese nodrošinās drošu un kvalitatīvu elektronisko saziņu</w:t>
            </w:r>
            <w:r w:rsidR="008B4228">
              <w:rPr>
                <w:sz w:val="22"/>
                <w:szCs w:val="22"/>
              </w:rPr>
              <w:t xml:space="preserve"> </w:t>
            </w:r>
            <w:r>
              <w:rPr>
                <w:sz w:val="22"/>
                <w:szCs w:val="22"/>
              </w:rPr>
              <w:t xml:space="preserve">un elektronisko dokumentu apriti starp valsts iestādēm un privātpersonām, adresāta sasniedzamība </w:t>
            </w:r>
            <w:r>
              <w:rPr>
                <w:sz w:val="22"/>
                <w:szCs w:val="22"/>
              </w:rPr>
              <w:lastRenderedPageBreak/>
              <w:t>elektroniskajā vidē tiks nodrošināta atbilstoši Oficiālās elektroniskās adreses likuma 6. pantā norādītajiem identifikatoriem, savukārt, Oficiālās elektroniskās adreses likuma 8. panta ceturtā daļa nosaka e-adreses</w:t>
            </w:r>
            <w:r w:rsidR="00FF4031">
              <w:rPr>
                <w:sz w:val="22"/>
                <w:szCs w:val="22"/>
              </w:rPr>
              <w:t xml:space="preserve"> </w:t>
            </w:r>
            <w:r>
              <w:rPr>
                <w:sz w:val="22"/>
                <w:szCs w:val="22"/>
              </w:rPr>
              <w:t>kataloga informācijas piekļūšanas nosacījumus.</w:t>
            </w:r>
          </w:p>
        </w:tc>
        <w:tc>
          <w:tcPr>
            <w:tcW w:w="2126" w:type="dxa"/>
            <w:tcBorders>
              <w:top w:val="single" w:sz="6" w:space="0" w:color="000000"/>
              <w:left w:val="single" w:sz="6" w:space="0" w:color="000000"/>
              <w:bottom w:val="single" w:sz="6" w:space="0" w:color="000000"/>
              <w:right w:val="single" w:sz="6" w:space="0" w:color="000000"/>
            </w:tcBorders>
            <w:vAlign w:val="center"/>
          </w:tcPr>
          <w:p w14:paraId="51D26277" w14:textId="77777777" w:rsidR="00DB6F83" w:rsidRPr="00FB378C" w:rsidRDefault="006D71FD">
            <w:pPr>
              <w:pStyle w:val="naisc"/>
              <w:spacing w:before="0" w:after="0"/>
              <w:ind w:firstLine="21"/>
              <w:rPr>
                <w:sz w:val="22"/>
                <w:szCs w:val="22"/>
              </w:rPr>
            </w:pPr>
            <w:r w:rsidRPr="00FB378C">
              <w:rPr>
                <w:sz w:val="22"/>
                <w:szCs w:val="22"/>
              </w:rPr>
              <w:lastRenderedPageBreak/>
              <w:t>Panākta vienošanās, ka iebildumā minētais regulējums tiek virzīts apstiprināšanai atsevišķa projekta veidā.</w:t>
            </w:r>
          </w:p>
        </w:tc>
        <w:tc>
          <w:tcPr>
            <w:tcW w:w="2526" w:type="dxa"/>
            <w:tcBorders>
              <w:top w:val="single" w:sz="4" w:space="0" w:color="auto"/>
              <w:left w:val="single" w:sz="4" w:space="0" w:color="auto"/>
              <w:bottom w:val="single" w:sz="4" w:space="0" w:color="auto"/>
              <w:right w:val="single" w:sz="4" w:space="0" w:color="auto"/>
            </w:tcBorders>
            <w:vAlign w:val="center"/>
          </w:tcPr>
          <w:p w14:paraId="0F1853A3" w14:textId="77777777" w:rsidR="00DB6F83" w:rsidRPr="001950C0" w:rsidRDefault="00DB6F83">
            <w:pPr>
              <w:jc w:val="center"/>
              <w:rPr>
                <w:sz w:val="22"/>
                <w:szCs w:val="22"/>
              </w:rPr>
            </w:pPr>
          </w:p>
        </w:tc>
      </w:tr>
      <w:tr w:rsidR="00DB6F83" w14:paraId="1AB1F2E4" w14:textId="77777777" w:rsidTr="00B070CF">
        <w:tc>
          <w:tcPr>
            <w:tcW w:w="708" w:type="dxa"/>
            <w:tcBorders>
              <w:top w:val="single" w:sz="6" w:space="0" w:color="000000"/>
              <w:left w:val="single" w:sz="6" w:space="0" w:color="000000"/>
              <w:bottom w:val="single" w:sz="6" w:space="0" w:color="000000"/>
              <w:right w:val="single" w:sz="6" w:space="0" w:color="000000"/>
            </w:tcBorders>
            <w:vAlign w:val="center"/>
          </w:tcPr>
          <w:p w14:paraId="390E8897" w14:textId="77777777" w:rsidR="00DB6F83" w:rsidRPr="001950C0" w:rsidRDefault="001F6A1B">
            <w:pPr>
              <w:pStyle w:val="naisc"/>
              <w:spacing w:before="0" w:after="0"/>
              <w:rPr>
                <w:sz w:val="22"/>
                <w:szCs w:val="22"/>
              </w:rPr>
            </w:pPr>
            <w:r>
              <w:rPr>
                <w:sz w:val="22"/>
                <w:szCs w:val="22"/>
              </w:rPr>
              <w:t>2.</w:t>
            </w:r>
          </w:p>
        </w:tc>
        <w:tc>
          <w:tcPr>
            <w:tcW w:w="1978" w:type="dxa"/>
            <w:tcBorders>
              <w:top w:val="single" w:sz="6" w:space="0" w:color="000000"/>
              <w:left w:val="single" w:sz="6" w:space="0" w:color="000000"/>
              <w:bottom w:val="single" w:sz="6" w:space="0" w:color="000000"/>
              <w:right w:val="single" w:sz="6" w:space="0" w:color="000000"/>
            </w:tcBorders>
            <w:vAlign w:val="center"/>
          </w:tcPr>
          <w:p w14:paraId="7D9AE58A" w14:textId="77777777" w:rsidR="00B140C9" w:rsidRDefault="007F72BF" w:rsidP="00B140C9">
            <w:pPr>
              <w:pStyle w:val="naisc"/>
              <w:spacing w:before="0" w:after="0"/>
              <w:ind w:firstLine="12"/>
              <w:jc w:val="both"/>
              <w:rPr>
                <w:sz w:val="22"/>
                <w:szCs w:val="22"/>
              </w:rPr>
            </w:pPr>
            <w:r>
              <w:rPr>
                <w:sz w:val="22"/>
                <w:szCs w:val="22"/>
              </w:rPr>
              <w:t xml:space="preserve">2. </w:t>
            </w:r>
            <w:r w:rsidR="00B140C9">
              <w:rPr>
                <w:sz w:val="22"/>
                <w:szCs w:val="22"/>
              </w:rPr>
              <w:t>Papildināt noteikumus ar 24</w:t>
            </w:r>
            <w:r w:rsidR="00B140C9" w:rsidRPr="00B140C9">
              <w:rPr>
                <w:sz w:val="22"/>
                <w:szCs w:val="22"/>
                <w:vertAlign w:val="superscript"/>
              </w:rPr>
              <w:t>1</w:t>
            </w:r>
            <w:r w:rsidR="00B140C9">
              <w:rPr>
                <w:sz w:val="22"/>
                <w:szCs w:val="22"/>
              </w:rPr>
              <w:t>. punktu šādā redakcijā:</w:t>
            </w:r>
          </w:p>
          <w:p w14:paraId="3A64D36C" w14:textId="77777777" w:rsidR="00DB6F83" w:rsidRPr="001950C0" w:rsidRDefault="00B140C9" w:rsidP="00B140C9">
            <w:pPr>
              <w:pStyle w:val="naisc"/>
              <w:spacing w:before="0" w:after="0"/>
              <w:ind w:firstLine="12"/>
              <w:jc w:val="both"/>
              <w:rPr>
                <w:sz w:val="22"/>
                <w:szCs w:val="22"/>
              </w:rPr>
            </w:pPr>
            <w:r>
              <w:rPr>
                <w:sz w:val="22"/>
                <w:szCs w:val="22"/>
              </w:rPr>
              <w:t>“24</w:t>
            </w:r>
            <w:r w:rsidRPr="00B140C9">
              <w:rPr>
                <w:sz w:val="22"/>
                <w:szCs w:val="22"/>
                <w:vertAlign w:val="superscript"/>
              </w:rPr>
              <w:t>1</w:t>
            </w:r>
            <w:r>
              <w:rPr>
                <w:sz w:val="22"/>
                <w:szCs w:val="22"/>
              </w:rPr>
              <w:t xml:space="preserve">. </w:t>
            </w:r>
            <w:r w:rsidR="007F72BF">
              <w:rPr>
                <w:sz w:val="22"/>
                <w:szCs w:val="22"/>
              </w:rPr>
              <w:t>Darba devējs, pie kura strādā</w:t>
            </w:r>
            <w:r>
              <w:rPr>
                <w:sz w:val="22"/>
                <w:szCs w:val="22"/>
              </w:rPr>
              <w:t xml:space="preserve"> uz ,militārajām mācībām iesaucamais rezerves karavīrs, atbrīvo attiecīgo darbinieku no darba pienākumu pildīšanas uz militāro mācību laiku saskaņā ar Militārā dienesta likumā noteikto.”. </w:t>
            </w:r>
            <w:r w:rsidR="007F72BF">
              <w:rPr>
                <w:sz w:val="22"/>
                <w:szCs w:val="22"/>
              </w:rPr>
              <w:t xml:space="preserve"> </w:t>
            </w:r>
          </w:p>
        </w:tc>
        <w:tc>
          <w:tcPr>
            <w:tcW w:w="7654" w:type="dxa"/>
            <w:tcBorders>
              <w:top w:val="single" w:sz="6" w:space="0" w:color="000000"/>
              <w:left w:val="single" w:sz="6" w:space="0" w:color="000000"/>
              <w:bottom w:val="single" w:sz="6" w:space="0" w:color="000000"/>
              <w:right w:val="single" w:sz="6" w:space="0" w:color="000000"/>
            </w:tcBorders>
            <w:vAlign w:val="center"/>
          </w:tcPr>
          <w:p w14:paraId="490FAC7A" w14:textId="77777777" w:rsidR="00800A6D" w:rsidRPr="001950C0" w:rsidRDefault="00800A6D" w:rsidP="00800A6D">
            <w:pPr>
              <w:pStyle w:val="naisc"/>
              <w:spacing w:before="0" w:after="0"/>
              <w:rPr>
                <w:sz w:val="22"/>
                <w:szCs w:val="22"/>
              </w:rPr>
            </w:pPr>
            <w:r w:rsidRPr="001950C0">
              <w:rPr>
                <w:b/>
                <w:sz w:val="22"/>
                <w:szCs w:val="22"/>
              </w:rPr>
              <w:t>Tieslietu ministrija</w:t>
            </w:r>
          </w:p>
          <w:p w14:paraId="7958A0C7" w14:textId="77777777" w:rsidR="00800A6D" w:rsidRPr="001950C0" w:rsidRDefault="00800A6D" w:rsidP="00800A6D">
            <w:pPr>
              <w:pStyle w:val="naisc"/>
              <w:spacing w:before="0" w:after="0"/>
              <w:jc w:val="both"/>
              <w:rPr>
                <w:sz w:val="22"/>
                <w:szCs w:val="22"/>
              </w:rPr>
            </w:pPr>
            <w:r w:rsidRPr="001950C0">
              <w:rPr>
                <w:sz w:val="22"/>
                <w:szCs w:val="22"/>
              </w:rPr>
              <w:t>(</w:t>
            </w:r>
            <w:r>
              <w:rPr>
                <w:sz w:val="22"/>
                <w:szCs w:val="22"/>
              </w:rPr>
              <w:t>12.03</w:t>
            </w:r>
            <w:r w:rsidRPr="001950C0">
              <w:rPr>
                <w:sz w:val="22"/>
                <w:szCs w:val="22"/>
              </w:rPr>
              <w:t>.2018. vēstule</w:t>
            </w:r>
            <w:r>
              <w:rPr>
                <w:sz w:val="22"/>
                <w:szCs w:val="22"/>
              </w:rPr>
              <w:t xml:space="preserve"> Nr. 1-9.1/291</w:t>
            </w:r>
            <w:r w:rsidRPr="001950C0">
              <w:rPr>
                <w:sz w:val="22"/>
                <w:szCs w:val="22"/>
              </w:rPr>
              <w:t>)</w:t>
            </w:r>
          </w:p>
          <w:p w14:paraId="581CF80A" w14:textId="77777777" w:rsidR="00800A6D" w:rsidRDefault="00800A6D" w:rsidP="00800A6D">
            <w:pPr>
              <w:pStyle w:val="naisc"/>
              <w:spacing w:before="0" w:after="0"/>
              <w:ind w:right="3"/>
              <w:jc w:val="both"/>
              <w:rPr>
                <w:sz w:val="22"/>
                <w:szCs w:val="22"/>
              </w:rPr>
            </w:pPr>
            <w:r>
              <w:rPr>
                <w:sz w:val="22"/>
                <w:szCs w:val="22"/>
              </w:rPr>
              <w:t>Projekta 1. un 2. punktā noteiktais regulējums neatbilst Militārā dienesta likuma 64. panta pirmajā un otrajā daļā noteiktajam pilnvarojumam, tādēļ šos grozījumus nepieciešams precizēt vai svītrot. Vēršam uzmanību, ka likuma pilnvarojums neparedz ar Ministru kabineta noteikumiem veidot darba devējam saistošu regulējumu, piemēram, par atvaļinājuma dienas piešķiršanu rezerves karavīram.</w:t>
            </w:r>
          </w:p>
          <w:p w14:paraId="6A647A50" w14:textId="77777777" w:rsidR="00DB6F83" w:rsidRPr="00B140C9" w:rsidRDefault="00800A6D" w:rsidP="00800A6D">
            <w:pPr>
              <w:pStyle w:val="Heading1"/>
              <w:rPr>
                <w:rFonts w:ascii="Times New Roman" w:hAnsi="Times New Roman" w:cs="Times New Roman"/>
                <w:sz w:val="24"/>
                <w:szCs w:val="24"/>
              </w:rPr>
            </w:pPr>
            <w:r w:rsidRPr="00B140C9">
              <w:rPr>
                <w:rFonts w:ascii="Times New Roman" w:hAnsi="Times New Roman" w:cs="Times New Roman"/>
                <w:color w:val="auto"/>
                <w:sz w:val="24"/>
                <w:szCs w:val="24"/>
              </w:rPr>
              <w:t>Turklāt, projekta 2. punktā darba devējam paredzētais regulējums ir informatīvs, bez juridiskas noslodzes, tādēļ tā iekļaušana projektā nav atbalstāma arī minētā nosacījuma dēļ.</w:t>
            </w:r>
          </w:p>
        </w:tc>
        <w:tc>
          <w:tcPr>
            <w:tcW w:w="2126" w:type="dxa"/>
            <w:tcBorders>
              <w:top w:val="single" w:sz="6" w:space="0" w:color="000000"/>
              <w:left w:val="single" w:sz="6" w:space="0" w:color="000000"/>
              <w:bottom w:val="single" w:sz="6" w:space="0" w:color="000000"/>
              <w:right w:val="single" w:sz="6" w:space="0" w:color="000000"/>
            </w:tcBorders>
            <w:vAlign w:val="center"/>
          </w:tcPr>
          <w:p w14:paraId="2BB5315F" w14:textId="77777777" w:rsidR="00DB6F83" w:rsidRPr="00800A6D" w:rsidRDefault="00800A6D" w:rsidP="00800A6D">
            <w:pPr>
              <w:pStyle w:val="naisc"/>
              <w:spacing w:before="0" w:after="0"/>
              <w:rPr>
                <w:b/>
                <w:sz w:val="22"/>
                <w:szCs w:val="22"/>
              </w:rPr>
            </w:pPr>
            <w:r>
              <w:rPr>
                <w:b/>
                <w:sz w:val="22"/>
                <w:szCs w:val="22"/>
              </w:rPr>
              <w:t>Ņemts vērā</w:t>
            </w:r>
          </w:p>
        </w:tc>
        <w:tc>
          <w:tcPr>
            <w:tcW w:w="2526" w:type="dxa"/>
            <w:tcBorders>
              <w:top w:val="single" w:sz="4" w:space="0" w:color="auto"/>
              <w:left w:val="single" w:sz="4" w:space="0" w:color="auto"/>
              <w:bottom w:val="single" w:sz="4" w:space="0" w:color="auto"/>
              <w:right w:val="single" w:sz="4" w:space="0" w:color="auto"/>
            </w:tcBorders>
            <w:vAlign w:val="center"/>
          </w:tcPr>
          <w:p w14:paraId="6133C8F9" w14:textId="77777777" w:rsidR="00DB6F83" w:rsidRPr="00800A6D" w:rsidRDefault="00B140C9" w:rsidP="00B140C9">
            <w:pPr>
              <w:jc w:val="center"/>
              <w:rPr>
                <w:sz w:val="22"/>
                <w:szCs w:val="22"/>
              </w:rPr>
            </w:pPr>
            <w:r>
              <w:rPr>
                <w:sz w:val="22"/>
                <w:szCs w:val="22"/>
              </w:rPr>
              <w:t>Punkts</w:t>
            </w:r>
            <w:r w:rsidR="00800A6D" w:rsidRPr="00800A6D">
              <w:rPr>
                <w:sz w:val="22"/>
                <w:szCs w:val="22"/>
              </w:rPr>
              <w:t xml:space="preserve"> svītrots</w:t>
            </w:r>
          </w:p>
        </w:tc>
      </w:tr>
      <w:tr w:rsidR="00DB6F83" w14:paraId="7796A046" w14:textId="77777777" w:rsidTr="00800A6D">
        <w:trPr>
          <w:trHeight w:val="482"/>
        </w:trPr>
        <w:tc>
          <w:tcPr>
            <w:tcW w:w="708" w:type="dxa"/>
            <w:tcBorders>
              <w:top w:val="single" w:sz="6" w:space="0" w:color="000000"/>
              <w:left w:val="single" w:sz="6" w:space="0" w:color="000000"/>
              <w:bottom w:val="single" w:sz="6" w:space="0" w:color="000000"/>
              <w:right w:val="single" w:sz="6" w:space="0" w:color="000000"/>
            </w:tcBorders>
            <w:vAlign w:val="center"/>
          </w:tcPr>
          <w:p w14:paraId="37BFE706" w14:textId="77777777" w:rsidR="00DB6F83" w:rsidRPr="001950C0" w:rsidRDefault="001F6A1B">
            <w:pPr>
              <w:pStyle w:val="naisc"/>
              <w:spacing w:before="0" w:after="0"/>
              <w:rPr>
                <w:sz w:val="22"/>
                <w:szCs w:val="22"/>
              </w:rPr>
            </w:pPr>
            <w:r>
              <w:rPr>
                <w:sz w:val="22"/>
                <w:szCs w:val="22"/>
              </w:rPr>
              <w:t>3.</w:t>
            </w:r>
          </w:p>
        </w:tc>
        <w:tc>
          <w:tcPr>
            <w:tcW w:w="1978" w:type="dxa"/>
            <w:tcBorders>
              <w:top w:val="single" w:sz="6" w:space="0" w:color="000000"/>
              <w:left w:val="single" w:sz="6" w:space="0" w:color="000000"/>
              <w:bottom w:val="single" w:sz="6" w:space="0" w:color="000000"/>
              <w:right w:val="single" w:sz="6" w:space="0" w:color="000000"/>
            </w:tcBorders>
            <w:vAlign w:val="center"/>
          </w:tcPr>
          <w:p w14:paraId="580EB4FC" w14:textId="77777777" w:rsidR="00DB6F83" w:rsidRPr="001950C0" w:rsidRDefault="00800A6D" w:rsidP="009768DE">
            <w:pPr>
              <w:pStyle w:val="naisc"/>
              <w:spacing w:before="0" w:after="0"/>
              <w:ind w:firstLine="12"/>
              <w:jc w:val="both"/>
              <w:rPr>
                <w:sz w:val="22"/>
                <w:szCs w:val="22"/>
              </w:rPr>
            </w:pPr>
            <w:r>
              <w:rPr>
                <w:sz w:val="22"/>
                <w:szCs w:val="22"/>
              </w:rPr>
              <w:t>Noteikumu projekta anotācijas IV sadaļas 1. punkts</w:t>
            </w:r>
          </w:p>
        </w:tc>
        <w:tc>
          <w:tcPr>
            <w:tcW w:w="7654" w:type="dxa"/>
            <w:tcBorders>
              <w:top w:val="single" w:sz="6" w:space="0" w:color="000000"/>
              <w:left w:val="single" w:sz="6" w:space="0" w:color="000000"/>
              <w:bottom w:val="single" w:sz="6" w:space="0" w:color="000000"/>
              <w:right w:val="single" w:sz="6" w:space="0" w:color="000000"/>
            </w:tcBorders>
            <w:vAlign w:val="center"/>
          </w:tcPr>
          <w:p w14:paraId="4741FF4A" w14:textId="77777777" w:rsidR="00DB6F83" w:rsidRPr="001950C0" w:rsidRDefault="00DB6F83" w:rsidP="00DB6F83">
            <w:pPr>
              <w:pStyle w:val="naisc"/>
              <w:spacing w:before="0" w:after="0"/>
              <w:rPr>
                <w:sz w:val="22"/>
                <w:szCs w:val="22"/>
              </w:rPr>
            </w:pPr>
            <w:r w:rsidRPr="001950C0">
              <w:rPr>
                <w:b/>
                <w:sz w:val="22"/>
                <w:szCs w:val="22"/>
              </w:rPr>
              <w:t>Tieslietu ministrija</w:t>
            </w:r>
          </w:p>
          <w:p w14:paraId="49EB8842" w14:textId="77777777" w:rsidR="00DB6F83" w:rsidRPr="001950C0" w:rsidRDefault="00DB6F83" w:rsidP="00DB6F83">
            <w:pPr>
              <w:pStyle w:val="naisc"/>
              <w:spacing w:before="0" w:after="0"/>
              <w:jc w:val="both"/>
              <w:rPr>
                <w:sz w:val="22"/>
                <w:szCs w:val="22"/>
              </w:rPr>
            </w:pPr>
            <w:r w:rsidRPr="001950C0">
              <w:rPr>
                <w:sz w:val="22"/>
                <w:szCs w:val="22"/>
              </w:rPr>
              <w:t>(</w:t>
            </w:r>
            <w:r>
              <w:rPr>
                <w:sz w:val="22"/>
                <w:szCs w:val="22"/>
              </w:rPr>
              <w:t>12.03</w:t>
            </w:r>
            <w:r w:rsidRPr="001950C0">
              <w:rPr>
                <w:sz w:val="22"/>
                <w:szCs w:val="22"/>
              </w:rPr>
              <w:t>.2018. vēstule</w:t>
            </w:r>
            <w:r>
              <w:rPr>
                <w:sz w:val="22"/>
                <w:szCs w:val="22"/>
              </w:rPr>
              <w:t xml:space="preserve"> Nr. 1-9.1/291</w:t>
            </w:r>
            <w:r w:rsidRPr="001950C0">
              <w:rPr>
                <w:sz w:val="22"/>
                <w:szCs w:val="22"/>
              </w:rPr>
              <w:t>)</w:t>
            </w:r>
          </w:p>
          <w:p w14:paraId="6BD725AA" w14:textId="77777777" w:rsidR="009768DE" w:rsidRPr="001950C0" w:rsidRDefault="009768DE" w:rsidP="002C7260">
            <w:pPr>
              <w:pStyle w:val="naisc"/>
              <w:spacing w:before="0" w:after="0"/>
              <w:ind w:right="3"/>
              <w:jc w:val="both"/>
              <w:rPr>
                <w:sz w:val="22"/>
                <w:szCs w:val="22"/>
              </w:rPr>
            </w:pPr>
            <w:r>
              <w:rPr>
                <w:sz w:val="22"/>
                <w:szCs w:val="22"/>
              </w:rPr>
              <w:t>Projekta anotācijas IV sadaļas 1. punktu nepieciešams preci</w:t>
            </w:r>
            <w:r w:rsidR="002C7260">
              <w:rPr>
                <w:sz w:val="22"/>
                <w:szCs w:val="22"/>
              </w:rPr>
              <w:t>zēt, jo ministru kabineta notei</w:t>
            </w:r>
            <w:r>
              <w:rPr>
                <w:sz w:val="22"/>
                <w:szCs w:val="22"/>
              </w:rPr>
              <w:t xml:space="preserve">kumu pieņemšana būs iespējama pēc atbilstošiem likuma grozījumiem, kas paredz likuma normas norādes aizstāšanu Ministru kabineta noteikumos. Tādējādi anotācijā nevar rakstīt, ka likumprojekti un Ministru kabineta noteikumu projekti tiek </w:t>
            </w:r>
            <w:r w:rsidR="002C7260">
              <w:rPr>
                <w:sz w:val="22"/>
                <w:szCs w:val="22"/>
              </w:rPr>
              <w:t>v</w:t>
            </w:r>
            <w:r>
              <w:rPr>
                <w:sz w:val="22"/>
                <w:szCs w:val="22"/>
              </w:rPr>
              <w:t xml:space="preserve">irzīti </w:t>
            </w:r>
            <w:r w:rsidR="002C7260">
              <w:rPr>
                <w:sz w:val="22"/>
                <w:szCs w:val="22"/>
              </w:rPr>
              <w:t>apstiprināša</w:t>
            </w:r>
            <w:r>
              <w:rPr>
                <w:sz w:val="22"/>
                <w:szCs w:val="22"/>
              </w:rPr>
              <w:t>nai kopā.</w:t>
            </w:r>
          </w:p>
        </w:tc>
        <w:tc>
          <w:tcPr>
            <w:tcW w:w="2126" w:type="dxa"/>
            <w:tcBorders>
              <w:top w:val="single" w:sz="6" w:space="0" w:color="000000"/>
              <w:left w:val="single" w:sz="6" w:space="0" w:color="000000"/>
              <w:bottom w:val="single" w:sz="6" w:space="0" w:color="000000"/>
              <w:right w:val="single" w:sz="6" w:space="0" w:color="000000"/>
            </w:tcBorders>
            <w:vAlign w:val="center"/>
          </w:tcPr>
          <w:p w14:paraId="37CCD4DB" w14:textId="77777777" w:rsidR="00DB6F83" w:rsidRPr="001950C0" w:rsidRDefault="009768DE">
            <w:pPr>
              <w:pStyle w:val="naisc"/>
              <w:spacing w:before="0" w:after="0"/>
              <w:ind w:firstLine="21"/>
              <w:rPr>
                <w:sz w:val="22"/>
                <w:szCs w:val="22"/>
              </w:rPr>
            </w:pPr>
            <w:r w:rsidRPr="001950C0">
              <w:rPr>
                <w:b/>
                <w:sz w:val="22"/>
                <w:szCs w:val="22"/>
              </w:rPr>
              <w:t>Ņemts vērā</w:t>
            </w:r>
          </w:p>
        </w:tc>
        <w:tc>
          <w:tcPr>
            <w:tcW w:w="2526" w:type="dxa"/>
            <w:tcBorders>
              <w:top w:val="single" w:sz="4" w:space="0" w:color="auto"/>
              <w:left w:val="single" w:sz="4" w:space="0" w:color="auto"/>
              <w:bottom w:val="single" w:sz="4" w:space="0" w:color="auto"/>
              <w:right w:val="single" w:sz="4" w:space="0" w:color="auto"/>
            </w:tcBorders>
            <w:vAlign w:val="center"/>
          </w:tcPr>
          <w:p w14:paraId="480EB731" w14:textId="77777777" w:rsidR="00DB6F83" w:rsidRPr="001950C0" w:rsidRDefault="00800A6D" w:rsidP="009768DE">
            <w:pPr>
              <w:jc w:val="both"/>
              <w:rPr>
                <w:sz w:val="22"/>
                <w:szCs w:val="22"/>
              </w:rPr>
            </w:pPr>
            <w:r>
              <w:rPr>
                <w:sz w:val="22"/>
                <w:szCs w:val="22"/>
              </w:rPr>
              <w:t>Noteikumu projekta anotācijas IV sadaļas 1. punkts</w:t>
            </w:r>
          </w:p>
        </w:tc>
      </w:tr>
      <w:tr w:rsidR="001950C0" w14:paraId="00F44E0A" w14:textId="77777777" w:rsidTr="00B070CF">
        <w:trPr>
          <w:trHeight w:val="556"/>
        </w:trPr>
        <w:tc>
          <w:tcPr>
            <w:tcW w:w="708" w:type="dxa"/>
            <w:tcBorders>
              <w:top w:val="single" w:sz="6" w:space="0" w:color="000000"/>
              <w:left w:val="single" w:sz="6" w:space="0" w:color="000000"/>
              <w:bottom w:val="single" w:sz="6" w:space="0" w:color="000000"/>
              <w:right w:val="single" w:sz="6" w:space="0" w:color="000000"/>
            </w:tcBorders>
            <w:hideMark/>
          </w:tcPr>
          <w:p w14:paraId="688F9696" w14:textId="77777777" w:rsidR="006D664B" w:rsidRPr="001950C0" w:rsidRDefault="001F6A1B">
            <w:pPr>
              <w:pStyle w:val="naisc"/>
              <w:spacing w:before="0" w:after="0"/>
              <w:rPr>
                <w:sz w:val="22"/>
                <w:szCs w:val="22"/>
              </w:rPr>
            </w:pPr>
            <w:r>
              <w:rPr>
                <w:sz w:val="22"/>
                <w:szCs w:val="22"/>
              </w:rPr>
              <w:t>4.</w:t>
            </w:r>
          </w:p>
        </w:tc>
        <w:tc>
          <w:tcPr>
            <w:tcW w:w="1978" w:type="dxa"/>
            <w:tcBorders>
              <w:top w:val="single" w:sz="6" w:space="0" w:color="000000"/>
              <w:left w:val="single" w:sz="6" w:space="0" w:color="000000"/>
              <w:bottom w:val="single" w:sz="6" w:space="0" w:color="000000"/>
              <w:right w:val="single" w:sz="6" w:space="0" w:color="000000"/>
            </w:tcBorders>
            <w:hideMark/>
          </w:tcPr>
          <w:p w14:paraId="6790EDC1" w14:textId="77777777" w:rsidR="00B070CF" w:rsidRPr="004E68A7" w:rsidRDefault="00B3244E" w:rsidP="00B3244E">
            <w:pPr>
              <w:pStyle w:val="naisf"/>
              <w:tabs>
                <w:tab w:val="left" w:pos="209"/>
                <w:tab w:val="left" w:pos="851"/>
              </w:tabs>
              <w:spacing w:before="0" w:after="0"/>
              <w:ind w:firstLine="0"/>
            </w:pPr>
            <w:r>
              <w:t>1. </w:t>
            </w:r>
            <w:r w:rsidR="00B070CF" w:rsidRPr="004E68A7">
              <w:t xml:space="preserve">Izteikt 24. punkta otro </w:t>
            </w:r>
            <w:r w:rsidR="00B070CF" w:rsidRPr="004E68A7">
              <w:lastRenderedPageBreak/>
              <w:t>teikumu šādā redakcijā:</w:t>
            </w:r>
          </w:p>
          <w:p w14:paraId="3DFDE938" w14:textId="77777777" w:rsidR="006D664B" w:rsidRPr="001950C0" w:rsidRDefault="00B070CF" w:rsidP="00B070CF">
            <w:pPr>
              <w:pStyle w:val="naisc"/>
              <w:spacing w:before="0" w:after="0"/>
              <w:ind w:firstLine="21"/>
              <w:jc w:val="both"/>
              <w:rPr>
                <w:sz w:val="22"/>
                <w:szCs w:val="22"/>
              </w:rPr>
            </w:pPr>
            <w:r w:rsidRPr="004E68A7">
              <w:t>“Darba devējs pirms pavēstē norādītā laika, kad darbiniekam jāierodas uz militārajām mācībām, piešķir darbiniekam ne mazāk kā vienu bezalgas atvaļinājuma dienu.”.</w:t>
            </w:r>
          </w:p>
        </w:tc>
        <w:tc>
          <w:tcPr>
            <w:tcW w:w="7654" w:type="dxa"/>
            <w:tcBorders>
              <w:top w:val="single" w:sz="6" w:space="0" w:color="000000"/>
              <w:left w:val="single" w:sz="6" w:space="0" w:color="000000"/>
              <w:bottom w:val="single" w:sz="6" w:space="0" w:color="000000"/>
              <w:right w:val="single" w:sz="6" w:space="0" w:color="000000"/>
            </w:tcBorders>
            <w:hideMark/>
          </w:tcPr>
          <w:p w14:paraId="50E8D698" w14:textId="77777777" w:rsidR="006603B5" w:rsidRPr="001950C0" w:rsidRDefault="006603B5" w:rsidP="00B070CF">
            <w:pPr>
              <w:pStyle w:val="naisc"/>
              <w:spacing w:before="0" w:after="0"/>
              <w:rPr>
                <w:sz w:val="22"/>
                <w:szCs w:val="22"/>
              </w:rPr>
            </w:pPr>
            <w:r w:rsidRPr="001950C0">
              <w:rPr>
                <w:b/>
                <w:sz w:val="22"/>
                <w:szCs w:val="22"/>
              </w:rPr>
              <w:lastRenderedPageBreak/>
              <w:t>Tieslietu ministrija</w:t>
            </w:r>
          </w:p>
          <w:p w14:paraId="0F7D697A" w14:textId="77777777" w:rsidR="006D664B" w:rsidRPr="001950C0" w:rsidRDefault="006603B5" w:rsidP="006603B5">
            <w:pPr>
              <w:pStyle w:val="naisc"/>
              <w:spacing w:before="0" w:after="0"/>
              <w:jc w:val="both"/>
              <w:rPr>
                <w:sz w:val="22"/>
                <w:szCs w:val="22"/>
              </w:rPr>
            </w:pPr>
            <w:r w:rsidRPr="001950C0">
              <w:rPr>
                <w:sz w:val="22"/>
                <w:szCs w:val="22"/>
              </w:rPr>
              <w:t>(</w:t>
            </w:r>
            <w:r w:rsidR="00B070CF">
              <w:rPr>
                <w:sz w:val="22"/>
                <w:szCs w:val="22"/>
              </w:rPr>
              <w:t>18.06</w:t>
            </w:r>
            <w:r w:rsidRPr="001950C0">
              <w:rPr>
                <w:sz w:val="22"/>
                <w:szCs w:val="22"/>
              </w:rPr>
              <w:t xml:space="preserve">.2018. </w:t>
            </w:r>
            <w:r w:rsidR="00B070CF">
              <w:rPr>
                <w:sz w:val="22"/>
                <w:szCs w:val="22"/>
              </w:rPr>
              <w:t xml:space="preserve">e-pasta </w:t>
            </w:r>
            <w:r w:rsidRPr="001950C0">
              <w:rPr>
                <w:sz w:val="22"/>
                <w:szCs w:val="22"/>
              </w:rPr>
              <w:t>vēstule)</w:t>
            </w:r>
          </w:p>
          <w:p w14:paraId="59442225" w14:textId="77777777" w:rsidR="007E0A2B" w:rsidRPr="001950C0" w:rsidRDefault="00B3244E" w:rsidP="006603B5">
            <w:pPr>
              <w:pStyle w:val="naisc"/>
              <w:spacing w:before="0" w:after="0"/>
              <w:jc w:val="both"/>
              <w:rPr>
                <w:sz w:val="22"/>
                <w:szCs w:val="22"/>
              </w:rPr>
            </w:pPr>
            <w:r>
              <w:lastRenderedPageBreak/>
              <w:t>Projekta 1. punktā paredzētais regulējums neatbilst Militārā dienesta likuma 64. panta pirmajā un otrajā daļā noteiktajam pilnvarojumam. Līdz ar to projekta 1. punkts precizējams vai svītrojams. Vēršam uzmanību, ka likumā noteiktais pilnvarojums neparedz ar Ministru kabineta noteikumiem veidot darba devējam saistošu regulējumu, piemēram, par atvaļinājuma dienas piešķiršanu rezerves karavīram. Izziņā par atzinumos izteiktajiem iebildumiem norādīts, ka "Aizsardzības ministrija ir veikusi tikai redakcionāla rakstura uzlabojumus tiesību normā, tās tvērums un saturs nav mainīts. Tiesību norma, kas jau ir spēkā esoša, ietver sevī šādu regulējumu." Tomēr minētais skaidrojums nekādā veidā nepamato esošā vai paredzētā regulējuma atbilstību likumā noteiktajam pilnvarojumam.</w:t>
            </w:r>
          </w:p>
        </w:tc>
        <w:tc>
          <w:tcPr>
            <w:tcW w:w="2126" w:type="dxa"/>
            <w:tcBorders>
              <w:top w:val="single" w:sz="6" w:space="0" w:color="000000"/>
              <w:left w:val="single" w:sz="6" w:space="0" w:color="000000"/>
              <w:bottom w:val="single" w:sz="6" w:space="0" w:color="000000"/>
              <w:right w:val="single" w:sz="6" w:space="0" w:color="000000"/>
            </w:tcBorders>
            <w:hideMark/>
          </w:tcPr>
          <w:p w14:paraId="25DEC175" w14:textId="77777777" w:rsidR="006D664B" w:rsidRPr="001950C0" w:rsidRDefault="007E0A2B" w:rsidP="00B070CF">
            <w:pPr>
              <w:pStyle w:val="naisc"/>
              <w:spacing w:before="0" w:after="0"/>
              <w:rPr>
                <w:b/>
                <w:sz w:val="22"/>
                <w:szCs w:val="22"/>
              </w:rPr>
            </w:pPr>
            <w:r w:rsidRPr="001950C0">
              <w:rPr>
                <w:b/>
                <w:sz w:val="22"/>
                <w:szCs w:val="22"/>
              </w:rPr>
              <w:lastRenderedPageBreak/>
              <w:t>Ņemts vērā</w:t>
            </w:r>
          </w:p>
        </w:tc>
        <w:tc>
          <w:tcPr>
            <w:tcW w:w="2526" w:type="dxa"/>
            <w:tcBorders>
              <w:top w:val="single" w:sz="4" w:space="0" w:color="auto"/>
              <w:left w:val="single" w:sz="4" w:space="0" w:color="auto"/>
              <w:bottom w:val="single" w:sz="4" w:space="0" w:color="auto"/>
              <w:right w:val="single" w:sz="4" w:space="0" w:color="auto"/>
            </w:tcBorders>
            <w:hideMark/>
          </w:tcPr>
          <w:p w14:paraId="6DB05B13" w14:textId="77777777" w:rsidR="00B070CF" w:rsidRPr="00467675" w:rsidRDefault="00B070CF" w:rsidP="00B070CF">
            <w:pPr>
              <w:pStyle w:val="naisf"/>
              <w:numPr>
                <w:ilvl w:val="0"/>
                <w:numId w:val="2"/>
              </w:numPr>
              <w:tabs>
                <w:tab w:val="left" w:pos="206"/>
                <w:tab w:val="left" w:pos="360"/>
              </w:tabs>
              <w:spacing w:before="0" w:after="0"/>
              <w:ind w:left="-103" w:firstLine="0"/>
            </w:pPr>
            <w:r w:rsidRPr="00467675">
              <w:t>Izteikt 24. punktu šādā redakcijā:</w:t>
            </w:r>
          </w:p>
          <w:p w14:paraId="21A2E33D" w14:textId="77777777" w:rsidR="006D664B" w:rsidRPr="001950C0" w:rsidRDefault="00B070CF" w:rsidP="00B070CF">
            <w:pPr>
              <w:tabs>
                <w:tab w:val="left" w:pos="360"/>
              </w:tabs>
              <w:ind w:left="-103"/>
              <w:jc w:val="both"/>
              <w:rPr>
                <w:sz w:val="22"/>
                <w:szCs w:val="22"/>
              </w:rPr>
            </w:pPr>
            <w:r w:rsidRPr="00467675">
              <w:lastRenderedPageBreak/>
              <w:t>“Darba devējs, pie kura strādā uz kārtējām vai pārbaudes militārajām mācībām iesaucamais rezerves karavīrs, atbrīvo attiecīgo darbinieku no darba pienākumu veikšanas uz veselības pārbaudes laiku un iesaukšanas pavēstē norādīto militāro mācību laiku.”.</w:t>
            </w:r>
          </w:p>
        </w:tc>
      </w:tr>
      <w:tr w:rsidR="00B3244E" w14:paraId="4E2F464C" w14:textId="77777777" w:rsidTr="00B070CF">
        <w:trPr>
          <w:trHeight w:val="556"/>
        </w:trPr>
        <w:tc>
          <w:tcPr>
            <w:tcW w:w="708" w:type="dxa"/>
            <w:tcBorders>
              <w:top w:val="single" w:sz="6" w:space="0" w:color="000000"/>
              <w:left w:val="single" w:sz="6" w:space="0" w:color="000000"/>
              <w:bottom w:val="single" w:sz="6" w:space="0" w:color="000000"/>
              <w:right w:val="single" w:sz="6" w:space="0" w:color="000000"/>
            </w:tcBorders>
          </w:tcPr>
          <w:p w14:paraId="376295EC" w14:textId="77777777" w:rsidR="00B3244E" w:rsidRPr="001950C0" w:rsidRDefault="001F6A1B">
            <w:pPr>
              <w:pStyle w:val="naisc"/>
              <w:spacing w:before="0" w:after="0"/>
              <w:rPr>
                <w:sz w:val="22"/>
                <w:szCs w:val="22"/>
              </w:rPr>
            </w:pPr>
            <w:r>
              <w:rPr>
                <w:sz w:val="22"/>
                <w:szCs w:val="22"/>
              </w:rPr>
              <w:lastRenderedPageBreak/>
              <w:t>5.</w:t>
            </w:r>
          </w:p>
        </w:tc>
        <w:tc>
          <w:tcPr>
            <w:tcW w:w="1978" w:type="dxa"/>
            <w:tcBorders>
              <w:top w:val="single" w:sz="6" w:space="0" w:color="000000"/>
              <w:left w:val="single" w:sz="6" w:space="0" w:color="000000"/>
              <w:bottom w:val="single" w:sz="6" w:space="0" w:color="000000"/>
              <w:right w:val="single" w:sz="6" w:space="0" w:color="000000"/>
            </w:tcBorders>
          </w:tcPr>
          <w:p w14:paraId="5C1E52BB" w14:textId="77777777" w:rsidR="00B3244E" w:rsidRDefault="00C6128E" w:rsidP="00B3244E">
            <w:pPr>
              <w:pStyle w:val="naisf"/>
              <w:tabs>
                <w:tab w:val="left" w:pos="209"/>
                <w:tab w:val="left" w:pos="851"/>
              </w:tabs>
              <w:spacing w:before="0" w:after="0"/>
              <w:ind w:firstLine="0"/>
            </w:pPr>
            <w:r w:rsidRPr="00984006">
              <w:t>Noteikumu projekta anotācijas I</w:t>
            </w:r>
            <w:r>
              <w:t>V</w:t>
            </w:r>
            <w:r w:rsidRPr="00984006">
              <w:t xml:space="preserve"> sadaļas </w:t>
            </w:r>
            <w:r>
              <w:t>1</w:t>
            </w:r>
            <w:r w:rsidRPr="00984006">
              <w:t>.</w:t>
            </w:r>
            <w:r>
              <w:t xml:space="preserve"> </w:t>
            </w:r>
            <w:r w:rsidRPr="00984006">
              <w:t>punkts</w:t>
            </w:r>
            <w:r>
              <w:t>.</w:t>
            </w:r>
          </w:p>
        </w:tc>
        <w:tc>
          <w:tcPr>
            <w:tcW w:w="7654" w:type="dxa"/>
            <w:tcBorders>
              <w:top w:val="single" w:sz="6" w:space="0" w:color="000000"/>
              <w:left w:val="single" w:sz="6" w:space="0" w:color="000000"/>
              <w:bottom w:val="single" w:sz="6" w:space="0" w:color="000000"/>
              <w:right w:val="single" w:sz="6" w:space="0" w:color="000000"/>
            </w:tcBorders>
          </w:tcPr>
          <w:p w14:paraId="1258A6A1" w14:textId="77777777" w:rsidR="00B3244E" w:rsidRPr="001950C0" w:rsidRDefault="00B3244E" w:rsidP="00B3244E">
            <w:pPr>
              <w:pStyle w:val="naisc"/>
              <w:spacing w:before="0" w:after="0"/>
              <w:rPr>
                <w:sz w:val="22"/>
                <w:szCs w:val="22"/>
              </w:rPr>
            </w:pPr>
            <w:r w:rsidRPr="001950C0">
              <w:rPr>
                <w:b/>
                <w:sz w:val="22"/>
                <w:szCs w:val="22"/>
              </w:rPr>
              <w:t>Tieslietu ministrija</w:t>
            </w:r>
          </w:p>
          <w:p w14:paraId="6DFD2808" w14:textId="77777777" w:rsidR="00B3244E" w:rsidRPr="001950C0" w:rsidRDefault="00B3244E" w:rsidP="00B3244E">
            <w:pPr>
              <w:pStyle w:val="naisc"/>
              <w:spacing w:before="0" w:after="0"/>
              <w:jc w:val="both"/>
              <w:rPr>
                <w:sz w:val="22"/>
                <w:szCs w:val="22"/>
              </w:rPr>
            </w:pPr>
            <w:r w:rsidRPr="001950C0">
              <w:rPr>
                <w:sz w:val="22"/>
                <w:szCs w:val="22"/>
              </w:rPr>
              <w:t>(</w:t>
            </w:r>
            <w:r>
              <w:rPr>
                <w:sz w:val="22"/>
                <w:szCs w:val="22"/>
              </w:rPr>
              <w:t>18.06</w:t>
            </w:r>
            <w:r w:rsidRPr="001950C0">
              <w:rPr>
                <w:sz w:val="22"/>
                <w:szCs w:val="22"/>
              </w:rPr>
              <w:t xml:space="preserve">.2018. </w:t>
            </w:r>
            <w:r>
              <w:rPr>
                <w:sz w:val="22"/>
                <w:szCs w:val="22"/>
              </w:rPr>
              <w:t xml:space="preserve">e-pasta </w:t>
            </w:r>
            <w:r w:rsidRPr="001950C0">
              <w:rPr>
                <w:sz w:val="22"/>
                <w:szCs w:val="22"/>
              </w:rPr>
              <w:t>vēstule)</w:t>
            </w:r>
          </w:p>
          <w:p w14:paraId="23F5A7EE" w14:textId="77777777" w:rsidR="00B3244E" w:rsidRDefault="00B3244E" w:rsidP="00B3244E">
            <w:pPr>
              <w:jc w:val="both"/>
            </w:pPr>
            <w:r>
              <w:t>Valsts iestāžu juridisko dienestu vadītāju 2010. gada 12. marta sanāksmes protokola Nr. 2 1. § 8. punktā norādīts ieteikums iesniegt likumprojektā paredzētos noteikumu projektus izsludināšanai Valsts sekretāru sanāksmē, kad likumprojekts Saeimā izskatīts otrajā lasījumā. Kad likumprojektu izskata trešajā lasījumā – noteikumu projektu izskata Ministru kabineta sēdē.</w:t>
            </w:r>
          </w:p>
          <w:p w14:paraId="22381407" w14:textId="77777777" w:rsidR="00B3244E" w:rsidRPr="001950C0" w:rsidRDefault="00B3244E" w:rsidP="00B3244E">
            <w:pPr>
              <w:pStyle w:val="naisc"/>
              <w:spacing w:before="0" w:after="0"/>
              <w:jc w:val="both"/>
              <w:rPr>
                <w:b/>
                <w:sz w:val="22"/>
                <w:szCs w:val="22"/>
              </w:rPr>
            </w:pPr>
            <w:r>
              <w:t>Līdz ar to šobrīd nav iespējams pilnvērtīgi izvērtēt projekta atbilstību Militārā dienesta likumam un tajā paredzētajiem grozījumiem. Tāpat aicinām pievērst uzmanību šajā protokolā ieteiktajai projekta virzībai, kas atšķiras no projekta anotācijas IV sadaļas 1. punktā norādītās.</w:t>
            </w:r>
          </w:p>
        </w:tc>
        <w:tc>
          <w:tcPr>
            <w:tcW w:w="2126" w:type="dxa"/>
            <w:tcBorders>
              <w:top w:val="single" w:sz="6" w:space="0" w:color="000000"/>
              <w:left w:val="single" w:sz="6" w:space="0" w:color="000000"/>
              <w:bottom w:val="single" w:sz="6" w:space="0" w:color="000000"/>
              <w:right w:val="single" w:sz="6" w:space="0" w:color="000000"/>
            </w:tcBorders>
          </w:tcPr>
          <w:p w14:paraId="5C651DB8" w14:textId="77777777" w:rsidR="00B3244E" w:rsidRPr="001950C0" w:rsidRDefault="001F6A1B" w:rsidP="00B070CF">
            <w:pPr>
              <w:pStyle w:val="naisc"/>
              <w:spacing w:before="0" w:after="0"/>
              <w:rPr>
                <w:b/>
                <w:sz w:val="22"/>
                <w:szCs w:val="22"/>
              </w:rPr>
            </w:pPr>
            <w:r w:rsidRPr="001950C0">
              <w:rPr>
                <w:b/>
                <w:sz w:val="22"/>
                <w:szCs w:val="22"/>
              </w:rPr>
              <w:t>Ņemts vērā</w:t>
            </w:r>
          </w:p>
        </w:tc>
        <w:tc>
          <w:tcPr>
            <w:tcW w:w="2526" w:type="dxa"/>
            <w:tcBorders>
              <w:top w:val="single" w:sz="4" w:space="0" w:color="auto"/>
              <w:left w:val="single" w:sz="4" w:space="0" w:color="auto"/>
              <w:bottom w:val="single" w:sz="4" w:space="0" w:color="auto"/>
              <w:right w:val="single" w:sz="4" w:space="0" w:color="auto"/>
            </w:tcBorders>
          </w:tcPr>
          <w:p w14:paraId="2E31F922" w14:textId="77777777" w:rsidR="00B3244E" w:rsidRPr="00467675" w:rsidRDefault="00C6128E" w:rsidP="00C6128E">
            <w:pPr>
              <w:pStyle w:val="naisf"/>
              <w:tabs>
                <w:tab w:val="left" w:pos="206"/>
                <w:tab w:val="left" w:pos="360"/>
              </w:tabs>
              <w:spacing w:before="0" w:after="0"/>
              <w:ind w:left="-103" w:firstLine="0"/>
            </w:pPr>
            <w:r w:rsidRPr="00984006">
              <w:t>Noteikumu projekta anotācijas I</w:t>
            </w:r>
            <w:r>
              <w:t>V</w:t>
            </w:r>
            <w:r w:rsidRPr="00984006">
              <w:t xml:space="preserve"> sadaļas </w:t>
            </w:r>
            <w:r>
              <w:t>1</w:t>
            </w:r>
            <w:r w:rsidRPr="00984006">
              <w:t>.</w:t>
            </w:r>
            <w:r>
              <w:t xml:space="preserve"> </w:t>
            </w:r>
            <w:r w:rsidRPr="00984006">
              <w:t>punkts</w:t>
            </w:r>
            <w:r>
              <w:t>.</w:t>
            </w:r>
          </w:p>
        </w:tc>
      </w:tr>
    </w:tbl>
    <w:p w14:paraId="06A8AD40" w14:textId="77777777" w:rsidR="001950C0" w:rsidRDefault="001950C0" w:rsidP="00817140">
      <w:pPr>
        <w:pStyle w:val="naisf"/>
        <w:spacing w:before="0" w:after="0"/>
        <w:ind w:firstLine="0"/>
      </w:pPr>
    </w:p>
    <w:p w14:paraId="100B2959" w14:textId="77777777" w:rsidR="00817140" w:rsidRPr="001950C0" w:rsidRDefault="00817140" w:rsidP="00817140">
      <w:pPr>
        <w:pStyle w:val="naisf"/>
        <w:spacing w:before="0" w:after="0"/>
        <w:ind w:firstLine="0"/>
        <w:rPr>
          <w:sz w:val="22"/>
          <w:szCs w:val="22"/>
        </w:rPr>
      </w:pPr>
      <w:r w:rsidRPr="001950C0">
        <w:rPr>
          <w:sz w:val="22"/>
          <w:szCs w:val="22"/>
        </w:rPr>
        <w:t>Atbildīgā amatpersona: Aizsardzības ministrijas Juridiskā departamenta Privāto tiesību nodaļas vadītājas vietniece I.Gulbe</w:t>
      </w:r>
    </w:p>
    <w:p w14:paraId="173DFE8C" w14:textId="77777777" w:rsidR="00D4743F" w:rsidRDefault="00D4743F" w:rsidP="00817140">
      <w:pPr>
        <w:pStyle w:val="naisf"/>
        <w:spacing w:before="0" w:after="0"/>
        <w:ind w:firstLine="0"/>
        <w:rPr>
          <w:sz w:val="20"/>
          <w:szCs w:val="20"/>
        </w:rPr>
      </w:pPr>
    </w:p>
    <w:p w14:paraId="405AF1B7" w14:textId="77777777" w:rsidR="001950C0" w:rsidRPr="00D4743F" w:rsidRDefault="001950C0" w:rsidP="00817140">
      <w:pPr>
        <w:pStyle w:val="naisf"/>
        <w:spacing w:before="0" w:after="0"/>
        <w:ind w:firstLine="0"/>
        <w:rPr>
          <w:sz w:val="20"/>
          <w:szCs w:val="20"/>
        </w:rPr>
      </w:pPr>
      <w:r w:rsidRPr="00D4743F">
        <w:rPr>
          <w:sz w:val="20"/>
          <w:szCs w:val="20"/>
        </w:rPr>
        <w:t>Ieva Gulbe, 67335127</w:t>
      </w:r>
    </w:p>
    <w:p w14:paraId="7BF7BD70" w14:textId="77777777" w:rsidR="001950C0" w:rsidRPr="001950C0" w:rsidRDefault="00EF6308" w:rsidP="00817140">
      <w:pPr>
        <w:pStyle w:val="naisf"/>
        <w:spacing w:before="0" w:after="0"/>
        <w:ind w:firstLine="0"/>
        <w:rPr>
          <w:sz w:val="22"/>
          <w:szCs w:val="22"/>
        </w:rPr>
      </w:pPr>
      <w:hyperlink r:id="rId7" w:history="1">
        <w:r w:rsidR="001950C0" w:rsidRPr="00D4743F">
          <w:rPr>
            <w:rStyle w:val="Hyperlink"/>
            <w:sz w:val="20"/>
            <w:szCs w:val="20"/>
          </w:rPr>
          <w:t>Ieva.Gulbe@mod.gov.lv</w:t>
        </w:r>
      </w:hyperlink>
    </w:p>
    <w:sectPr w:rsidR="001950C0" w:rsidRPr="001950C0" w:rsidSect="006D664B">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1966" w14:textId="77777777" w:rsidR="001950C0" w:rsidRDefault="001950C0" w:rsidP="001950C0">
      <w:r>
        <w:separator/>
      </w:r>
    </w:p>
  </w:endnote>
  <w:endnote w:type="continuationSeparator" w:id="0">
    <w:p w14:paraId="5F0F127B" w14:textId="77777777" w:rsidR="001950C0" w:rsidRDefault="001950C0" w:rsidP="0019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9B5A" w14:textId="77777777" w:rsidR="001950C0" w:rsidRDefault="00F9430D">
    <w:pPr>
      <w:pStyle w:val="Footer"/>
    </w:pPr>
    <w:r>
      <w:t>AIMizz_</w:t>
    </w:r>
    <w:r w:rsidR="00FB378C">
      <w:t>3107</w:t>
    </w:r>
    <w:r w:rsidR="001950C0">
      <w:t>19_Groz_MK</w:t>
    </w:r>
    <w:r w:rsidR="00C6128E">
      <w:t>779</w:t>
    </w:r>
    <w:r w:rsidR="001950C0">
      <w:t>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B0BD" w14:textId="77777777" w:rsidR="001950C0" w:rsidRDefault="001950C0" w:rsidP="001950C0">
      <w:r>
        <w:separator/>
      </w:r>
    </w:p>
  </w:footnote>
  <w:footnote w:type="continuationSeparator" w:id="0">
    <w:p w14:paraId="06AB1FA6" w14:textId="77777777" w:rsidR="001950C0" w:rsidRDefault="001950C0" w:rsidP="0019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694040"/>
      <w:docPartObj>
        <w:docPartGallery w:val="Page Numbers (Top of Page)"/>
        <w:docPartUnique/>
      </w:docPartObj>
    </w:sdtPr>
    <w:sdtEndPr>
      <w:rPr>
        <w:noProof/>
      </w:rPr>
    </w:sdtEndPr>
    <w:sdtContent>
      <w:p w14:paraId="4E60CCEA" w14:textId="77777777" w:rsidR="00EF6308" w:rsidRDefault="00EF6308">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72A21C20" w14:textId="77777777" w:rsidR="00EF6308" w:rsidRDefault="00EF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205B"/>
    <w:multiLevelType w:val="hybridMultilevel"/>
    <w:tmpl w:val="D9FE6BE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506064"/>
    <w:multiLevelType w:val="hybridMultilevel"/>
    <w:tmpl w:val="27E269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2E7F22"/>
    <w:multiLevelType w:val="hybridMultilevel"/>
    <w:tmpl w:val="B6AEB3EC"/>
    <w:lvl w:ilvl="0" w:tplc="5F92BD60">
      <w:start w:val="1"/>
      <w:numFmt w:val="decimal"/>
      <w:lvlText w:val="%1."/>
      <w:lvlJc w:val="left"/>
      <w:pPr>
        <w:ind w:left="285" w:hanging="360"/>
      </w:pPr>
      <w:rPr>
        <w:rFonts w:hint="default"/>
      </w:rPr>
    </w:lvl>
    <w:lvl w:ilvl="1" w:tplc="04260019" w:tentative="1">
      <w:start w:val="1"/>
      <w:numFmt w:val="lowerLetter"/>
      <w:lvlText w:val="%2."/>
      <w:lvlJc w:val="left"/>
      <w:pPr>
        <w:ind w:left="1005" w:hanging="360"/>
      </w:pPr>
    </w:lvl>
    <w:lvl w:ilvl="2" w:tplc="0426001B" w:tentative="1">
      <w:start w:val="1"/>
      <w:numFmt w:val="lowerRoman"/>
      <w:lvlText w:val="%3."/>
      <w:lvlJc w:val="right"/>
      <w:pPr>
        <w:ind w:left="1725" w:hanging="180"/>
      </w:pPr>
    </w:lvl>
    <w:lvl w:ilvl="3" w:tplc="0426000F" w:tentative="1">
      <w:start w:val="1"/>
      <w:numFmt w:val="decimal"/>
      <w:lvlText w:val="%4."/>
      <w:lvlJc w:val="left"/>
      <w:pPr>
        <w:ind w:left="2445" w:hanging="360"/>
      </w:pPr>
    </w:lvl>
    <w:lvl w:ilvl="4" w:tplc="04260019" w:tentative="1">
      <w:start w:val="1"/>
      <w:numFmt w:val="lowerLetter"/>
      <w:lvlText w:val="%5."/>
      <w:lvlJc w:val="left"/>
      <w:pPr>
        <w:ind w:left="3165" w:hanging="360"/>
      </w:pPr>
    </w:lvl>
    <w:lvl w:ilvl="5" w:tplc="0426001B" w:tentative="1">
      <w:start w:val="1"/>
      <w:numFmt w:val="lowerRoman"/>
      <w:lvlText w:val="%6."/>
      <w:lvlJc w:val="right"/>
      <w:pPr>
        <w:ind w:left="3885" w:hanging="180"/>
      </w:pPr>
    </w:lvl>
    <w:lvl w:ilvl="6" w:tplc="0426000F" w:tentative="1">
      <w:start w:val="1"/>
      <w:numFmt w:val="decimal"/>
      <w:lvlText w:val="%7."/>
      <w:lvlJc w:val="left"/>
      <w:pPr>
        <w:ind w:left="4605" w:hanging="360"/>
      </w:pPr>
    </w:lvl>
    <w:lvl w:ilvl="7" w:tplc="04260019" w:tentative="1">
      <w:start w:val="1"/>
      <w:numFmt w:val="lowerLetter"/>
      <w:lvlText w:val="%8."/>
      <w:lvlJc w:val="left"/>
      <w:pPr>
        <w:ind w:left="5325" w:hanging="360"/>
      </w:pPr>
    </w:lvl>
    <w:lvl w:ilvl="8" w:tplc="0426001B" w:tentative="1">
      <w:start w:val="1"/>
      <w:numFmt w:val="lowerRoman"/>
      <w:lvlText w:val="%9."/>
      <w:lvlJc w:val="right"/>
      <w:pPr>
        <w:ind w:left="60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B"/>
    <w:rsid w:val="000F542F"/>
    <w:rsid w:val="001339FD"/>
    <w:rsid w:val="001950C0"/>
    <w:rsid w:val="001F6A1B"/>
    <w:rsid w:val="00291605"/>
    <w:rsid w:val="002C7260"/>
    <w:rsid w:val="003C1F7A"/>
    <w:rsid w:val="006603B5"/>
    <w:rsid w:val="006D664B"/>
    <w:rsid w:val="006D71FD"/>
    <w:rsid w:val="007E0A2B"/>
    <w:rsid w:val="007F72BF"/>
    <w:rsid w:val="00800A6D"/>
    <w:rsid w:val="00817140"/>
    <w:rsid w:val="00855A79"/>
    <w:rsid w:val="008B4228"/>
    <w:rsid w:val="009115DB"/>
    <w:rsid w:val="009768DE"/>
    <w:rsid w:val="00A30849"/>
    <w:rsid w:val="00B070CF"/>
    <w:rsid w:val="00B140C9"/>
    <w:rsid w:val="00B3244E"/>
    <w:rsid w:val="00C6128E"/>
    <w:rsid w:val="00CD5DF8"/>
    <w:rsid w:val="00D11888"/>
    <w:rsid w:val="00D4743F"/>
    <w:rsid w:val="00DB6F83"/>
    <w:rsid w:val="00EF6308"/>
    <w:rsid w:val="00F268B6"/>
    <w:rsid w:val="00F9430D"/>
    <w:rsid w:val="00FB378C"/>
    <w:rsid w:val="00FF4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DE0B"/>
  <w15:chartTrackingRefBased/>
  <w15:docId w15:val="{14795D5D-DAA5-4E89-BD24-A9BC5124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4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800A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64B"/>
    <w:pPr>
      <w:spacing w:before="100" w:beforeAutospacing="1" w:after="100" w:afterAutospacing="1"/>
    </w:pPr>
  </w:style>
  <w:style w:type="paragraph" w:customStyle="1" w:styleId="naisf">
    <w:name w:val="naisf"/>
    <w:basedOn w:val="Normal"/>
    <w:rsid w:val="006D664B"/>
    <w:pPr>
      <w:spacing w:before="75" w:after="75"/>
      <w:ind w:firstLine="375"/>
      <w:jc w:val="both"/>
    </w:pPr>
  </w:style>
  <w:style w:type="paragraph" w:customStyle="1" w:styleId="naisnod">
    <w:name w:val="naisnod"/>
    <w:basedOn w:val="Normal"/>
    <w:uiPriority w:val="99"/>
    <w:rsid w:val="006D664B"/>
    <w:pPr>
      <w:spacing w:before="150" w:after="150"/>
      <w:jc w:val="center"/>
    </w:pPr>
    <w:rPr>
      <w:b/>
      <w:bCs/>
    </w:rPr>
  </w:style>
  <w:style w:type="paragraph" w:customStyle="1" w:styleId="naiskr">
    <w:name w:val="naiskr"/>
    <w:basedOn w:val="Normal"/>
    <w:uiPriority w:val="99"/>
    <w:rsid w:val="006D664B"/>
    <w:pPr>
      <w:spacing w:before="75" w:after="75"/>
    </w:pPr>
  </w:style>
  <w:style w:type="paragraph" w:customStyle="1" w:styleId="naisc">
    <w:name w:val="naisc"/>
    <w:basedOn w:val="Normal"/>
    <w:uiPriority w:val="99"/>
    <w:rsid w:val="006D664B"/>
    <w:pPr>
      <w:spacing w:before="75" w:after="75"/>
      <w:jc w:val="center"/>
    </w:pPr>
  </w:style>
  <w:style w:type="paragraph" w:styleId="Header">
    <w:name w:val="header"/>
    <w:basedOn w:val="Normal"/>
    <w:link w:val="HeaderChar"/>
    <w:uiPriority w:val="99"/>
    <w:unhideWhenUsed/>
    <w:rsid w:val="001950C0"/>
    <w:pPr>
      <w:tabs>
        <w:tab w:val="center" w:pos="4153"/>
        <w:tab w:val="right" w:pos="8306"/>
      </w:tabs>
    </w:pPr>
  </w:style>
  <w:style w:type="character" w:customStyle="1" w:styleId="HeaderChar">
    <w:name w:val="Header Char"/>
    <w:basedOn w:val="DefaultParagraphFont"/>
    <w:link w:val="Header"/>
    <w:uiPriority w:val="99"/>
    <w:rsid w:val="001950C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950C0"/>
    <w:pPr>
      <w:tabs>
        <w:tab w:val="center" w:pos="4153"/>
        <w:tab w:val="right" w:pos="8306"/>
      </w:tabs>
    </w:pPr>
  </w:style>
  <w:style w:type="character" w:customStyle="1" w:styleId="FooterChar">
    <w:name w:val="Footer Char"/>
    <w:basedOn w:val="DefaultParagraphFont"/>
    <w:link w:val="Footer"/>
    <w:uiPriority w:val="99"/>
    <w:rsid w:val="001950C0"/>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950C0"/>
    <w:rPr>
      <w:color w:val="0563C1" w:themeColor="hyperlink"/>
      <w:u w:val="single"/>
    </w:rPr>
  </w:style>
  <w:style w:type="paragraph" w:styleId="BalloonText">
    <w:name w:val="Balloon Text"/>
    <w:basedOn w:val="Normal"/>
    <w:link w:val="BalloonTextChar"/>
    <w:uiPriority w:val="99"/>
    <w:semiHidden/>
    <w:unhideWhenUsed/>
    <w:rsid w:val="0019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0C0"/>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800A6D"/>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Gulbe@mo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4019</Words>
  <Characters>2291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Gulbe</dc:creator>
  <cp:keywords/>
  <dc:description/>
  <cp:lastModifiedBy>Irēna Kalna</cp:lastModifiedBy>
  <cp:revision>4</cp:revision>
  <cp:lastPrinted>2019-06-12T11:24:00Z</cp:lastPrinted>
  <dcterms:created xsi:type="dcterms:W3CDTF">2019-07-31T16:38:00Z</dcterms:created>
  <dcterms:modified xsi:type="dcterms:W3CDTF">2019-08-12T12:01:00Z</dcterms:modified>
</cp:coreProperties>
</file>