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C622" w14:textId="77777777" w:rsidR="00BC6E70"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Grozījumi Ministru kabineta 2016. gada</w:t>
      </w:r>
      <w:r w:rsidR="005630E5">
        <w:rPr>
          <w:rFonts w:ascii="Times New Roman" w:eastAsia="Times New Roman" w:hAnsi="Times New Roman"/>
          <w:b/>
          <w:sz w:val="24"/>
          <w:szCs w:val="24"/>
          <w:lang w:eastAsia="lv-LV"/>
        </w:rPr>
        <w:t xml:space="preserve"> 9. augusta noteikumos Nr. 534 “</w:t>
      </w:r>
      <w:r w:rsidRPr="0057709B">
        <w:rPr>
          <w:rFonts w:ascii="Times New Roman" w:eastAsia="Times New Roman" w:hAnsi="Times New Roman"/>
          <w:b/>
          <w:sz w:val="24"/>
          <w:szCs w:val="24"/>
          <w:lang w:eastAsia="lv-LV"/>
        </w:rPr>
        <w:t xml:space="preserve">Darbības programmas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Izaugsme un nodarbinātība</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 xml:space="preserve"> 4.2.1. specifiskā atbalsta mērķa </w:t>
      </w:r>
      <w:r w:rsidR="005630E5">
        <w:rPr>
          <w:rFonts w:ascii="Times New Roman" w:eastAsia="Times New Roman" w:hAnsi="Times New Roman"/>
          <w:b/>
          <w:sz w:val="24"/>
          <w:szCs w:val="24"/>
          <w:lang w:eastAsia="lv-LV"/>
        </w:rPr>
        <w:t>“</w:t>
      </w:r>
      <w:r w:rsidRPr="0057709B">
        <w:rPr>
          <w:rFonts w:ascii="Times New Roman" w:eastAsia="Times New Roman" w:hAnsi="Times New Roman"/>
          <w:b/>
          <w:sz w:val="24"/>
          <w:szCs w:val="24"/>
          <w:lang w:eastAsia="lv-LV"/>
        </w:rPr>
        <w:t>Veicināt energoefektivitātes paaugstināšanu valsts un dzīvojamās ēkās</w:t>
      </w:r>
      <w:r w:rsidR="005630E5">
        <w:rPr>
          <w:rFonts w:ascii="Times New Roman" w:eastAsia="Times New Roman" w:hAnsi="Times New Roman"/>
          <w:b/>
          <w:sz w:val="24"/>
          <w:szCs w:val="24"/>
          <w:lang w:eastAsia="lv-LV"/>
        </w:rPr>
        <w:t>” 4.2.1.2. pasākuma “</w:t>
      </w:r>
      <w:r w:rsidRPr="0057709B">
        <w:rPr>
          <w:rFonts w:ascii="Times New Roman" w:eastAsia="Times New Roman" w:hAnsi="Times New Roman"/>
          <w:b/>
          <w:sz w:val="24"/>
          <w:szCs w:val="24"/>
          <w:lang w:eastAsia="lv-LV"/>
        </w:rPr>
        <w:t>Veicināt energoefektivitātes paaugstināšanu valsts ēkās" pirmās projektu iesniegumu atlas</w:t>
      </w:r>
      <w:r>
        <w:rPr>
          <w:rFonts w:ascii="Times New Roman" w:eastAsia="Times New Roman" w:hAnsi="Times New Roman"/>
          <w:b/>
          <w:sz w:val="24"/>
          <w:szCs w:val="24"/>
          <w:lang w:eastAsia="lv-LV"/>
        </w:rPr>
        <w:t>es kārtas īstenošanas noteikumi</w:t>
      </w:r>
      <w:r w:rsidR="005630E5">
        <w:rPr>
          <w:rFonts w:ascii="Times New Roman" w:eastAsia="Times New Roman" w:hAnsi="Times New Roman"/>
          <w:b/>
          <w:sz w:val="24"/>
          <w:szCs w:val="24"/>
          <w:lang w:eastAsia="lv-LV"/>
        </w:rPr>
        <w:t>””</w:t>
      </w:r>
    </w:p>
    <w:p w14:paraId="593DF8E2" w14:textId="76920CD9" w:rsidR="009A312E"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sākotnējās ietekmes novērtējuma ziņojums (anotācija)</w:t>
      </w:r>
    </w:p>
    <w:p w14:paraId="5AB69B0D" w14:textId="4F05332B" w:rsidR="00D93934" w:rsidRDefault="00D93934" w:rsidP="00206EAD">
      <w:pPr>
        <w:spacing w:after="0" w:line="240" w:lineRule="auto"/>
        <w:contextualSpacing/>
        <w:rPr>
          <w:rFonts w:ascii="Times New Roman" w:eastAsia="Times New Roman" w:hAnsi="Times New Roman"/>
          <w:b/>
          <w:sz w:val="24"/>
          <w:szCs w:val="24"/>
          <w:lang w:eastAsia="lv-LV"/>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2805"/>
        <w:gridCol w:w="6551"/>
      </w:tblGrid>
      <w:tr w:rsidR="007741A5" w:rsidRPr="00BD0514" w14:paraId="5EAA3A1E" w14:textId="77777777" w:rsidTr="00E05486">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6EF1FF8" w14:textId="43906B94" w:rsidR="007741A5" w:rsidRPr="00BD0514" w:rsidRDefault="007741A5" w:rsidP="00206EAD">
            <w:pPr>
              <w:spacing w:after="0" w:line="240" w:lineRule="auto"/>
              <w:contextualSpacing/>
              <w:jc w:val="center"/>
              <w:rPr>
                <w:rFonts w:ascii="Times New Roman" w:eastAsia="Times New Roman" w:hAnsi="Times New Roman"/>
                <w:b/>
                <w:bCs/>
                <w:sz w:val="24"/>
                <w:szCs w:val="24"/>
                <w:lang w:eastAsia="lv-LV"/>
              </w:rPr>
            </w:pPr>
            <w:r w:rsidRPr="007741A5">
              <w:rPr>
                <w:rFonts w:ascii="Times New Roman" w:eastAsia="Times New Roman" w:hAnsi="Times New Roman"/>
                <w:b/>
                <w:bCs/>
                <w:sz w:val="24"/>
                <w:szCs w:val="24"/>
                <w:lang w:eastAsia="lv-LV"/>
              </w:rPr>
              <w:t>Tiesību akta projekta anotācijas kopsavilkums</w:t>
            </w:r>
          </w:p>
        </w:tc>
      </w:tr>
      <w:tr w:rsidR="007741A5" w:rsidRPr="00BD0514" w14:paraId="3BD284B9" w14:textId="77777777" w:rsidTr="007741A5">
        <w:trPr>
          <w:trHeight w:val="467"/>
        </w:trPr>
        <w:tc>
          <w:tcPr>
            <w:tcW w:w="280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E2CF639" w14:textId="363AA4E5" w:rsidR="007741A5" w:rsidRPr="00BD0514" w:rsidRDefault="007741A5" w:rsidP="00206EAD">
            <w:pPr>
              <w:spacing w:after="0" w:line="240" w:lineRule="auto"/>
              <w:contextualSpacing/>
              <w:rPr>
                <w:rFonts w:ascii="Times New Roman" w:eastAsia="Times New Roman" w:hAnsi="Times New Roman"/>
                <w:sz w:val="24"/>
                <w:szCs w:val="24"/>
                <w:lang w:eastAsia="lv-LV"/>
              </w:rPr>
            </w:pPr>
            <w:r w:rsidRPr="007741A5">
              <w:rPr>
                <w:rFonts w:ascii="Times New Roman" w:eastAsia="Times New Roman" w:hAnsi="Times New Roman"/>
                <w:sz w:val="24"/>
                <w:szCs w:val="24"/>
                <w:lang w:eastAsia="lv-LV"/>
              </w:rPr>
              <w:t>Mērķis, risinājums un projekta spēkā stāšanās laiks (500 zīmes bez atstarpēm)</w:t>
            </w:r>
          </w:p>
        </w:tc>
        <w:tc>
          <w:tcPr>
            <w:tcW w:w="6551" w:type="dxa"/>
            <w:tcBorders>
              <w:top w:val="thickThinLargeGap" w:sz="6" w:space="0" w:color="C0C0C0"/>
              <w:left w:val="thickThinLargeGap" w:sz="6" w:space="0" w:color="C0C0C0"/>
              <w:bottom w:val="thickThinLargeGap" w:sz="6" w:space="0" w:color="C0C0C0"/>
              <w:right w:val="thickThinLargeGap" w:sz="6" w:space="0" w:color="C0C0C0"/>
            </w:tcBorders>
          </w:tcPr>
          <w:p w14:paraId="6774C339" w14:textId="093EE849" w:rsidR="007741A5" w:rsidRDefault="00B26BAE" w:rsidP="00343886">
            <w:pPr>
              <w:spacing w:after="0" w:line="240" w:lineRule="auto"/>
              <w:ind w:left="132" w:right="202"/>
              <w:contextualSpacing/>
              <w:jc w:val="both"/>
              <w:rPr>
                <w:rFonts w:ascii="Times New Roman" w:hAnsi="Times New Roman"/>
                <w:sz w:val="24"/>
                <w:szCs w:val="24"/>
              </w:rPr>
            </w:pPr>
            <w:r w:rsidRPr="008B7F6D">
              <w:rPr>
                <w:rFonts w:ascii="Times New Roman" w:eastAsia="Times New Roman" w:hAnsi="Times New Roman"/>
                <w:iCs/>
                <w:sz w:val="24"/>
                <w:szCs w:val="24"/>
                <w:lang w:eastAsia="lv-LV"/>
              </w:rPr>
              <w:t>Ekonomikas ministrijas ierosin</w:t>
            </w:r>
            <w:r w:rsidR="001425B6">
              <w:rPr>
                <w:rFonts w:ascii="Times New Roman" w:eastAsia="Times New Roman" w:hAnsi="Times New Roman"/>
                <w:iCs/>
                <w:sz w:val="24"/>
                <w:szCs w:val="24"/>
                <w:lang w:eastAsia="lv-LV"/>
              </w:rPr>
              <w:t>a</w:t>
            </w:r>
            <w:r w:rsidRPr="008B7F6D">
              <w:rPr>
                <w:rFonts w:ascii="Times New Roman" w:eastAsia="Times New Roman" w:hAnsi="Times New Roman"/>
                <w:iCs/>
                <w:sz w:val="24"/>
                <w:szCs w:val="24"/>
                <w:lang w:eastAsia="lv-LV"/>
              </w:rPr>
              <w:t xml:space="preserve"> </w:t>
            </w:r>
            <w:r w:rsidR="001425B6">
              <w:rPr>
                <w:rFonts w:ascii="Times New Roman" w:eastAsia="Times New Roman" w:hAnsi="Times New Roman"/>
                <w:iCs/>
                <w:sz w:val="24"/>
                <w:szCs w:val="24"/>
                <w:lang w:eastAsia="lv-LV"/>
              </w:rPr>
              <w:t xml:space="preserve">veikt </w:t>
            </w:r>
            <w:r w:rsidRPr="008B7F6D">
              <w:rPr>
                <w:rFonts w:ascii="Times New Roman" w:eastAsia="Times New Roman" w:hAnsi="Times New Roman"/>
                <w:iCs/>
                <w:sz w:val="24"/>
                <w:szCs w:val="24"/>
                <w:lang w:eastAsia="lv-LV"/>
              </w:rPr>
              <w:t xml:space="preserve">grozījumus </w:t>
            </w:r>
            <w:r>
              <w:t xml:space="preserve"> </w:t>
            </w:r>
            <w:r w:rsidRPr="00B26BAE">
              <w:rPr>
                <w:rFonts w:ascii="Times New Roman" w:hAnsi="Times New Roman"/>
                <w:sz w:val="24"/>
                <w:szCs w:val="24"/>
              </w:rPr>
              <w:t>Ministru kabineta 2016. gada 9. augusta noteikum</w:t>
            </w:r>
            <w:r>
              <w:rPr>
                <w:rFonts w:ascii="Times New Roman" w:hAnsi="Times New Roman"/>
                <w:sz w:val="24"/>
                <w:szCs w:val="24"/>
              </w:rPr>
              <w:t>os</w:t>
            </w:r>
            <w:r w:rsidRPr="00B26BAE">
              <w:rPr>
                <w:rFonts w:ascii="Times New Roman" w:hAnsi="Times New Roman"/>
                <w:sz w:val="24"/>
                <w:szCs w:val="24"/>
              </w:rPr>
              <w:t xml:space="preserve">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Pr>
                <w:rFonts w:ascii="Times New Roman" w:hAnsi="Times New Roman"/>
                <w:sz w:val="24"/>
                <w:szCs w:val="24"/>
              </w:rPr>
              <w:t xml:space="preserve">” </w:t>
            </w:r>
            <w:r w:rsidRPr="008B7F6D">
              <w:rPr>
                <w:rFonts w:ascii="Times New Roman" w:hAnsi="Times New Roman"/>
                <w:sz w:val="24"/>
                <w:szCs w:val="24"/>
              </w:rPr>
              <w:t xml:space="preserve">(turpmāk – </w:t>
            </w:r>
            <w:r>
              <w:rPr>
                <w:rFonts w:ascii="Times New Roman" w:hAnsi="Times New Roman"/>
                <w:sz w:val="24"/>
                <w:szCs w:val="24"/>
              </w:rPr>
              <w:t>Noteikumu projekts</w:t>
            </w:r>
            <w:r w:rsidRPr="008B7F6D">
              <w:rPr>
                <w:rFonts w:ascii="Times New Roman" w:hAnsi="Times New Roman"/>
                <w:sz w:val="24"/>
                <w:szCs w:val="24"/>
              </w:rPr>
              <w:t>)</w:t>
            </w:r>
            <w:r w:rsidR="00180199">
              <w:rPr>
                <w:rFonts w:ascii="Times New Roman" w:hAnsi="Times New Roman"/>
                <w:sz w:val="24"/>
                <w:szCs w:val="24"/>
              </w:rPr>
              <w:t>, lai</w:t>
            </w:r>
            <w:r w:rsidR="008D2D7A" w:rsidRPr="008E517F">
              <w:t xml:space="preserve"> </w:t>
            </w:r>
            <w:r w:rsidR="001425B6">
              <w:rPr>
                <w:rFonts w:ascii="Times New Roman" w:hAnsi="Times New Roman"/>
                <w:sz w:val="24"/>
                <w:szCs w:val="24"/>
              </w:rPr>
              <w:t>sekmētu</w:t>
            </w:r>
            <w:r w:rsidR="001425B6" w:rsidRPr="00964DD2">
              <w:rPr>
                <w:rFonts w:ascii="Times New Roman" w:hAnsi="Times New Roman"/>
                <w:sz w:val="24"/>
                <w:szCs w:val="24"/>
              </w:rPr>
              <w:t xml:space="preserve"> </w:t>
            </w:r>
            <w:r w:rsidR="00180199" w:rsidRPr="00B26BAE">
              <w:rPr>
                <w:rFonts w:ascii="Times New Roman" w:hAnsi="Times New Roman"/>
                <w:sz w:val="24"/>
                <w:szCs w:val="24"/>
              </w:rPr>
              <w:t>4.2.1.2.</w:t>
            </w:r>
            <w:r w:rsidR="00180199">
              <w:rPr>
                <w:rFonts w:ascii="Times New Roman" w:hAnsi="Times New Roman"/>
                <w:sz w:val="24"/>
                <w:szCs w:val="24"/>
              </w:rPr>
              <w:t> </w:t>
            </w:r>
            <w:r w:rsidR="00180199" w:rsidRPr="00B26BAE">
              <w:rPr>
                <w:rFonts w:ascii="Times New Roman" w:hAnsi="Times New Roman"/>
                <w:sz w:val="24"/>
                <w:szCs w:val="24"/>
              </w:rPr>
              <w:t xml:space="preserve">pasākuma "Veicināt energoefektivitātes paaugstināšanu valsts ēkās" pirmā projektu iesniegumu atlases </w:t>
            </w:r>
            <w:r w:rsidR="001425B6" w:rsidRPr="00B26BAE">
              <w:rPr>
                <w:rFonts w:ascii="Times New Roman" w:hAnsi="Times New Roman"/>
                <w:sz w:val="24"/>
                <w:szCs w:val="24"/>
              </w:rPr>
              <w:t>kārt</w:t>
            </w:r>
            <w:r w:rsidR="001425B6">
              <w:rPr>
                <w:rFonts w:ascii="Times New Roman" w:hAnsi="Times New Roman"/>
                <w:sz w:val="24"/>
                <w:szCs w:val="24"/>
              </w:rPr>
              <w:t>as</w:t>
            </w:r>
            <w:r w:rsidR="001425B6" w:rsidRPr="00B26BAE">
              <w:rPr>
                <w:rFonts w:ascii="Times New Roman" w:hAnsi="Times New Roman"/>
                <w:sz w:val="24"/>
                <w:szCs w:val="24"/>
              </w:rPr>
              <w:t xml:space="preserve"> </w:t>
            </w:r>
            <w:r w:rsidR="00180199">
              <w:rPr>
                <w:rFonts w:ascii="Times New Roman" w:hAnsi="Times New Roman"/>
                <w:sz w:val="24"/>
                <w:szCs w:val="24"/>
              </w:rPr>
              <w:t xml:space="preserve">(turpmāk – 4.2.1.2. pasākuma pirmā atlases kārta) </w:t>
            </w:r>
            <w:r w:rsidR="008D2D7A" w:rsidRPr="00964DD2">
              <w:rPr>
                <w:rFonts w:ascii="Times New Roman" w:hAnsi="Times New Roman"/>
                <w:sz w:val="24"/>
                <w:szCs w:val="24"/>
              </w:rPr>
              <w:t>pieejamā</w:t>
            </w:r>
            <w:r w:rsidR="00180199">
              <w:rPr>
                <w:rFonts w:ascii="Times New Roman" w:hAnsi="Times New Roman"/>
                <w:sz w:val="24"/>
                <w:szCs w:val="24"/>
              </w:rPr>
              <w:t xml:space="preserve"> </w:t>
            </w:r>
            <w:r w:rsidR="00180199" w:rsidRPr="00180199">
              <w:rPr>
                <w:rFonts w:ascii="Times New Roman" w:hAnsi="Times New Roman"/>
                <w:sz w:val="24"/>
                <w:szCs w:val="24"/>
              </w:rPr>
              <w:t>kopēj</w:t>
            </w:r>
            <w:r w:rsidR="00180199">
              <w:rPr>
                <w:rFonts w:ascii="Times New Roman" w:hAnsi="Times New Roman"/>
                <w:sz w:val="24"/>
                <w:szCs w:val="24"/>
              </w:rPr>
              <w:t>ā</w:t>
            </w:r>
            <w:r w:rsidR="00180199" w:rsidRPr="00180199">
              <w:rPr>
                <w:rFonts w:ascii="Times New Roman" w:hAnsi="Times New Roman"/>
                <w:sz w:val="24"/>
                <w:szCs w:val="24"/>
              </w:rPr>
              <w:t xml:space="preserve"> publisk</w:t>
            </w:r>
            <w:r w:rsidR="00180199">
              <w:rPr>
                <w:rFonts w:ascii="Times New Roman" w:hAnsi="Times New Roman"/>
                <w:sz w:val="24"/>
                <w:szCs w:val="24"/>
              </w:rPr>
              <w:t xml:space="preserve">ā </w:t>
            </w:r>
            <w:r w:rsidR="008D2D7A" w:rsidRPr="00964DD2">
              <w:rPr>
                <w:rFonts w:ascii="Times New Roman" w:hAnsi="Times New Roman"/>
                <w:sz w:val="24"/>
                <w:szCs w:val="24"/>
              </w:rPr>
              <w:t>finansējuma apguvi</w:t>
            </w:r>
            <w:r w:rsidR="008D2D7A">
              <w:rPr>
                <w:rFonts w:ascii="Times New Roman" w:hAnsi="Times New Roman"/>
                <w:sz w:val="24"/>
                <w:szCs w:val="24"/>
              </w:rPr>
              <w:t xml:space="preserve"> un</w:t>
            </w:r>
            <w:r>
              <w:t xml:space="preserve"> </w:t>
            </w:r>
            <w:r w:rsidRPr="00B26BAE">
              <w:rPr>
                <w:rFonts w:ascii="Times New Roman" w:hAnsi="Times New Roman"/>
                <w:sz w:val="24"/>
                <w:szCs w:val="24"/>
              </w:rPr>
              <w:t>Eiropas Parlamenta un Padomes 2012/27/ES (2012. gada 25. oktobris) par energoefektivitāti, ar ko groza Direktīvas 2009/125/EK un 2010/30/ES un atceļ Direktīvas 2004/8/EK un 2006/32/EK</w:t>
            </w:r>
            <w:r w:rsidR="008D2D7A" w:rsidRPr="00964DD2">
              <w:rPr>
                <w:rFonts w:ascii="Times New Roman" w:hAnsi="Times New Roman"/>
                <w:sz w:val="24"/>
                <w:szCs w:val="24"/>
              </w:rPr>
              <w:t xml:space="preserve">3. panta un 5. panta 1. punkta </w:t>
            </w:r>
            <w:r>
              <w:rPr>
                <w:rFonts w:ascii="Times New Roman" w:hAnsi="Times New Roman"/>
                <w:sz w:val="24"/>
                <w:szCs w:val="24"/>
              </w:rPr>
              <w:t xml:space="preserve">(turpmāk – Direktīva </w:t>
            </w:r>
            <w:r w:rsidRPr="00964DD2">
              <w:rPr>
                <w:rFonts w:ascii="Times New Roman" w:hAnsi="Times New Roman"/>
                <w:sz w:val="24"/>
                <w:szCs w:val="24"/>
              </w:rPr>
              <w:t>2012/27ES</w:t>
            </w:r>
            <w:r>
              <w:rPr>
                <w:rFonts w:ascii="Times New Roman" w:hAnsi="Times New Roman"/>
                <w:sz w:val="24"/>
                <w:szCs w:val="24"/>
              </w:rPr>
              <w:t xml:space="preserve">) </w:t>
            </w:r>
            <w:r w:rsidR="008D2D7A" w:rsidRPr="00964DD2">
              <w:rPr>
                <w:rFonts w:ascii="Times New Roman" w:hAnsi="Times New Roman"/>
                <w:sz w:val="24"/>
                <w:szCs w:val="24"/>
              </w:rPr>
              <w:t>prasību izpild</w:t>
            </w:r>
            <w:r>
              <w:rPr>
                <w:rFonts w:ascii="Times New Roman" w:hAnsi="Times New Roman"/>
                <w:sz w:val="24"/>
                <w:szCs w:val="24"/>
              </w:rPr>
              <w:t>i</w:t>
            </w:r>
            <w:r w:rsidR="008D2D7A" w:rsidRPr="00964DD2">
              <w:rPr>
                <w:rFonts w:ascii="Times New Roman" w:hAnsi="Times New Roman"/>
                <w:sz w:val="24"/>
                <w:szCs w:val="24"/>
              </w:rPr>
              <w:t xml:space="preserve"> (katru gadu 3% valsts īpašumā esošo un izmantoto ēku platībās jāīsteno energoefektivitātes paaugstināšanas pasākumi)</w:t>
            </w:r>
            <w:r>
              <w:rPr>
                <w:rFonts w:ascii="Times New Roman" w:hAnsi="Times New Roman"/>
                <w:sz w:val="24"/>
                <w:szCs w:val="24"/>
              </w:rPr>
              <w:t>.</w:t>
            </w:r>
            <w:r w:rsidR="008D2D7A">
              <w:rPr>
                <w:rFonts w:ascii="Times New Roman" w:hAnsi="Times New Roman"/>
                <w:sz w:val="24"/>
                <w:szCs w:val="24"/>
              </w:rPr>
              <w:t xml:space="preserve"> </w:t>
            </w:r>
          </w:p>
          <w:p w14:paraId="0D099D04" w14:textId="5BF94A9B" w:rsidR="009A74A1" w:rsidRDefault="009A74A1" w:rsidP="00343886">
            <w:pPr>
              <w:spacing w:after="0" w:line="240" w:lineRule="auto"/>
              <w:ind w:left="132" w:right="202"/>
              <w:contextualSpacing/>
              <w:jc w:val="both"/>
              <w:rPr>
                <w:rFonts w:ascii="Times New Roman" w:hAnsi="Times New Roman"/>
                <w:iCs/>
                <w:sz w:val="24"/>
                <w:szCs w:val="24"/>
                <w:lang w:eastAsia="lv-LV"/>
              </w:rPr>
            </w:pPr>
          </w:p>
          <w:p w14:paraId="4A15A664" w14:textId="77777777" w:rsidR="009A74A1" w:rsidRPr="008B7F6D" w:rsidRDefault="009A74A1" w:rsidP="009A74A1">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Noteikumu projekts</w:t>
            </w:r>
            <w:r w:rsidRPr="008B7F6D">
              <w:rPr>
                <w:rFonts w:ascii="Times New Roman" w:eastAsia="Times New Roman" w:hAnsi="Times New Roman"/>
                <w:iCs/>
                <w:sz w:val="24"/>
                <w:szCs w:val="24"/>
                <w:lang w:eastAsia="lv-LV"/>
              </w:rPr>
              <w:t xml:space="preserve"> paredz:</w:t>
            </w:r>
          </w:p>
          <w:p w14:paraId="5E1072D6" w14:textId="366F5DD1" w:rsidR="00076569" w:rsidRDefault="00180199" w:rsidP="00B26BAE">
            <w:pPr>
              <w:pStyle w:val="ListParagraph"/>
              <w:numPr>
                <w:ilvl w:val="0"/>
                <w:numId w:val="8"/>
              </w:numPr>
              <w:spacing w:after="0" w:line="240" w:lineRule="auto"/>
              <w:ind w:right="202"/>
              <w:jc w:val="both"/>
              <w:rPr>
                <w:rFonts w:ascii="Times New Roman" w:hAnsi="Times New Roman"/>
                <w:iCs/>
                <w:sz w:val="24"/>
                <w:szCs w:val="24"/>
                <w:lang w:eastAsia="lv-LV"/>
              </w:rPr>
            </w:pPr>
            <w:r>
              <w:rPr>
                <w:rFonts w:ascii="Times New Roman" w:hAnsi="Times New Roman"/>
                <w:iCs/>
                <w:sz w:val="24"/>
                <w:szCs w:val="24"/>
                <w:lang w:eastAsia="lv-LV"/>
              </w:rPr>
              <w:t>a</w:t>
            </w:r>
            <w:r w:rsidR="00B26BAE">
              <w:rPr>
                <w:rFonts w:ascii="Times New Roman" w:hAnsi="Times New Roman"/>
                <w:iCs/>
                <w:sz w:val="24"/>
                <w:szCs w:val="24"/>
                <w:lang w:eastAsia="lv-LV"/>
              </w:rPr>
              <w:t>tteikšanos no finansējuma sadalījuma starp ministrijām</w:t>
            </w:r>
            <w:r w:rsidR="00F47948">
              <w:rPr>
                <w:rFonts w:ascii="Times New Roman" w:hAnsi="Times New Roman"/>
                <w:iCs/>
                <w:sz w:val="24"/>
                <w:szCs w:val="24"/>
                <w:lang w:eastAsia="lv-LV"/>
              </w:rPr>
              <w:t xml:space="preserve"> (turpmāk – kvotas)</w:t>
            </w:r>
            <w:r w:rsidR="00B26BAE">
              <w:rPr>
                <w:rFonts w:ascii="Times New Roman" w:hAnsi="Times New Roman"/>
                <w:iCs/>
                <w:sz w:val="24"/>
                <w:szCs w:val="24"/>
                <w:lang w:eastAsia="lv-LV"/>
              </w:rPr>
              <w:t>, nosakot Ekonomikas ministriju</w:t>
            </w:r>
            <w:r w:rsidR="00B26BAE">
              <w:t xml:space="preserve"> </w:t>
            </w:r>
            <w:r w:rsidR="00B26BAE" w:rsidRPr="00B26BAE">
              <w:rPr>
                <w:rFonts w:ascii="Times New Roman" w:hAnsi="Times New Roman"/>
                <w:iCs/>
                <w:sz w:val="24"/>
                <w:szCs w:val="24"/>
                <w:lang w:eastAsia="lv-LV"/>
              </w:rPr>
              <w:t xml:space="preserve">kā atbildīgo par visu </w:t>
            </w:r>
            <w:r>
              <w:rPr>
                <w:rFonts w:ascii="Times New Roman" w:hAnsi="Times New Roman"/>
                <w:sz w:val="24"/>
                <w:szCs w:val="24"/>
              </w:rPr>
              <w:t xml:space="preserve">4.2.1.2. pasākuma pirmās </w:t>
            </w:r>
            <w:r w:rsidR="00B26BAE" w:rsidRPr="00B26BAE">
              <w:rPr>
                <w:rFonts w:ascii="Times New Roman" w:hAnsi="Times New Roman"/>
                <w:iCs/>
                <w:sz w:val="24"/>
                <w:szCs w:val="24"/>
                <w:lang w:eastAsia="lv-LV"/>
              </w:rPr>
              <w:t>atlases kārta</w:t>
            </w:r>
            <w:r>
              <w:rPr>
                <w:rFonts w:ascii="Times New Roman" w:hAnsi="Times New Roman"/>
                <w:iCs/>
                <w:sz w:val="24"/>
                <w:szCs w:val="24"/>
                <w:lang w:eastAsia="lv-LV"/>
              </w:rPr>
              <w:t>s kopējo</w:t>
            </w:r>
            <w:r w:rsidR="00B26BAE" w:rsidRPr="00B26BAE">
              <w:rPr>
                <w:rFonts w:ascii="Times New Roman" w:hAnsi="Times New Roman"/>
                <w:iCs/>
                <w:sz w:val="24"/>
                <w:szCs w:val="24"/>
                <w:lang w:eastAsia="lv-LV"/>
              </w:rPr>
              <w:t xml:space="preserve"> publiskā finansējuma sadalījumu</w:t>
            </w:r>
            <w:r>
              <w:rPr>
                <w:rFonts w:ascii="Times New Roman" w:hAnsi="Times New Roman"/>
                <w:iCs/>
                <w:sz w:val="24"/>
                <w:szCs w:val="24"/>
                <w:lang w:eastAsia="lv-LV"/>
              </w:rPr>
              <w:t>;</w:t>
            </w:r>
          </w:p>
          <w:p w14:paraId="11C72E02" w14:textId="6CB01D22" w:rsidR="007E7545" w:rsidRDefault="00180199" w:rsidP="00076569">
            <w:pPr>
              <w:pStyle w:val="ListParagraph"/>
              <w:numPr>
                <w:ilvl w:val="0"/>
                <w:numId w:val="8"/>
              </w:numPr>
              <w:spacing w:after="0" w:line="240" w:lineRule="auto"/>
              <w:ind w:right="202"/>
              <w:jc w:val="both"/>
              <w:rPr>
                <w:rFonts w:ascii="Times New Roman" w:hAnsi="Times New Roman"/>
                <w:iCs/>
                <w:sz w:val="24"/>
                <w:szCs w:val="24"/>
                <w:lang w:eastAsia="lv-LV"/>
              </w:rPr>
            </w:pPr>
            <w:r w:rsidRPr="00BF12F0">
              <w:rPr>
                <w:rFonts w:ascii="Times New Roman" w:hAnsi="Times New Roman"/>
                <w:iCs/>
                <w:sz w:val="24"/>
                <w:szCs w:val="24"/>
                <w:lang w:eastAsia="lv-LV"/>
              </w:rPr>
              <w:t>m</w:t>
            </w:r>
            <w:r w:rsidR="002D40A6" w:rsidRPr="00BF12F0">
              <w:rPr>
                <w:rFonts w:ascii="Times New Roman" w:hAnsi="Times New Roman"/>
                <w:iCs/>
                <w:sz w:val="24"/>
                <w:szCs w:val="24"/>
                <w:lang w:eastAsia="lv-LV"/>
              </w:rPr>
              <w:t>ainīt apliecinājumu saņemšanas kārtību</w:t>
            </w:r>
            <w:r w:rsidRPr="00BF12F0">
              <w:rPr>
                <w:rFonts w:ascii="Times New Roman" w:hAnsi="Times New Roman"/>
                <w:iCs/>
                <w:sz w:val="24"/>
                <w:szCs w:val="24"/>
                <w:lang w:eastAsia="lv-LV"/>
              </w:rPr>
              <w:t>;</w:t>
            </w:r>
          </w:p>
          <w:p w14:paraId="3E3FD506" w14:textId="3B5A89CD" w:rsidR="00F478CE" w:rsidRPr="00BF12F0" w:rsidRDefault="00F478CE" w:rsidP="00BF12F0">
            <w:pPr>
              <w:pStyle w:val="ListParagraph"/>
              <w:numPr>
                <w:ilvl w:val="0"/>
                <w:numId w:val="8"/>
              </w:numPr>
              <w:spacing w:after="0" w:line="240" w:lineRule="auto"/>
              <w:ind w:right="202"/>
              <w:jc w:val="both"/>
              <w:rPr>
                <w:rFonts w:ascii="Times New Roman" w:hAnsi="Times New Roman"/>
                <w:iCs/>
                <w:sz w:val="24"/>
                <w:szCs w:val="24"/>
                <w:lang w:eastAsia="lv-LV"/>
              </w:rPr>
            </w:pPr>
            <w:r w:rsidRPr="00BF12F0">
              <w:rPr>
                <w:rFonts w:ascii="Times New Roman" w:hAnsi="Times New Roman"/>
                <w:iCs/>
                <w:sz w:val="24"/>
                <w:szCs w:val="24"/>
                <w:lang w:eastAsia="lv-LV"/>
              </w:rPr>
              <w:t>projektu iesniedzējiem</w:t>
            </w:r>
            <w:r w:rsidR="00076569" w:rsidRPr="00BF12F0">
              <w:rPr>
                <w:rFonts w:ascii="Times New Roman" w:hAnsi="Times New Roman"/>
                <w:iCs/>
                <w:sz w:val="24"/>
                <w:szCs w:val="24"/>
                <w:lang w:eastAsia="lv-LV"/>
              </w:rPr>
              <w:t xml:space="preserve"> nesūtīt</w:t>
            </w:r>
            <w:r w:rsidRPr="00BF12F0">
              <w:rPr>
                <w:rFonts w:ascii="Times New Roman" w:hAnsi="Times New Roman"/>
                <w:iCs/>
                <w:sz w:val="24"/>
                <w:szCs w:val="24"/>
                <w:lang w:eastAsia="lv-LV"/>
              </w:rPr>
              <w:t xml:space="preserve"> uzaicinājumu </w:t>
            </w:r>
            <w:r w:rsidR="00076569" w:rsidRPr="00BF12F0">
              <w:rPr>
                <w:rFonts w:ascii="Times New Roman" w:hAnsi="Times New Roman"/>
                <w:iCs/>
                <w:sz w:val="24"/>
                <w:szCs w:val="24"/>
                <w:lang w:eastAsia="lv-LV"/>
              </w:rPr>
              <w:t>iesniegt projekta iesniegumu</w:t>
            </w:r>
            <w:r w:rsidRPr="00BF12F0">
              <w:rPr>
                <w:rFonts w:ascii="Times New Roman" w:hAnsi="Times New Roman"/>
                <w:iCs/>
                <w:sz w:val="24"/>
                <w:szCs w:val="24"/>
                <w:lang w:eastAsia="lv-LV"/>
              </w:rPr>
              <w:t>.</w:t>
            </w:r>
          </w:p>
          <w:p w14:paraId="2DEEC399" w14:textId="6C77B797" w:rsidR="009A74A1" w:rsidRPr="00BD0514" w:rsidRDefault="009A74A1" w:rsidP="0004780E">
            <w:pPr>
              <w:spacing w:after="0" w:line="240" w:lineRule="auto"/>
              <w:ind w:right="202"/>
              <w:contextualSpacing/>
              <w:jc w:val="both"/>
              <w:rPr>
                <w:rFonts w:ascii="Times New Roman" w:eastAsia="Times New Roman" w:hAnsi="Times New Roman"/>
                <w:iCs/>
                <w:sz w:val="24"/>
                <w:szCs w:val="24"/>
                <w:lang w:eastAsia="lv-LV"/>
              </w:rPr>
            </w:pPr>
            <w:r w:rsidRPr="008B7F6D">
              <w:rPr>
                <w:rFonts w:ascii="Times New Roman" w:eastAsia="Times New Roman" w:hAnsi="Times New Roman"/>
                <w:iCs/>
                <w:sz w:val="24"/>
                <w:szCs w:val="24"/>
                <w:lang w:eastAsia="lv-LV"/>
              </w:rPr>
              <w:t xml:space="preserve">Noteikumu projekts stāsies spēkā </w:t>
            </w:r>
            <w:r>
              <w:rPr>
                <w:rFonts w:ascii="Times New Roman" w:eastAsia="Times New Roman" w:hAnsi="Times New Roman"/>
                <w:iCs/>
                <w:sz w:val="24"/>
                <w:szCs w:val="24"/>
                <w:lang w:eastAsia="lv-LV"/>
              </w:rPr>
              <w:t>pēc tā publicēšanas Latvijas Vēstnesī.</w:t>
            </w:r>
          </w:p>
        </w:tc>
      </w:tr>
    </w:tbl>
    <w:p w14:paraId="3981DC74" w14:textId="135F2656" w:rsidR="009A312E" w:rsidRPr="000028E2" w:rsidRDefault="009A312E" w:rsidP="00206EAD">
      <w:pPr>
        <w:spacing w:after="0" w:line="240" w:lineRule="auto"/>
        <w:contextualSpacing/>
        <w:rPr>
          <w:rFonts w:ascii="Times New Roman" w:eastAsia="Times New Roman" w:hAnsi="Times New Roman"/>
          <w:b/>
          <w:sz w:val="18"/>
          <w:szCs w:val="18"/>
          <w:lang w:eastAsia="lv-LV"/>
        </w:rPr>
      </w:pPr>
    </w:p>
    <w:tbl>
      <w:tblPr>
        <w:tblW w:w="10005"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793"/>
        <w:gridCol w:w="8212"/>
      </w:tblGrid>
      <w:tr w:rsidR="009A312E" w:rsidRPr="008B78B2" w14:paraId="1D03D1D7" w14:textId="77777777" w:rsidTr="0004780E">
        <w:tc>
          <w:tcPr>
            <w:tcW w:w="1000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58D02FB1" w:rsidR="009A312E" w:rsidRPr="008B78B2"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9A312E" w:rsidRPr="008B78B2" w14:paraId="30C2187F" w14:textId="77777777" w:rsidTr="0004780E">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 Pamatojums</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3C9E63" w14:textId="207C770F" w:rsidR="001425B6" w:rsidRDefault="001425B6" w:rsidP="001425B6">
            <w:pPr>
              <w:spacing w:after="0" w:line="240" w:lineRule="auto"/>
              <w:ind w:left="72"/>
              <w:contextualSpacing/>
              <w:jc w:val="both"/>
              <w:rPr>
                <w:rFonts w:ascii="Times New Roman" w:hAnsi="Times New Roman"/>
                <w:sz w:val="24"/>
                <w:szCs w:val="24"/>
              </w:rPr>
            </w:pPr>
            <w:r>
              <w:rPr>
                <w:rFonts w:ascii="Times New Roman" w:hAnsi="Times New Roman"/>
                <w:sz w:val="24"/>
                <w:szCs w:val="24"/>
              </w:rPr>
              <w:t xml:space="preserve">1. </w:t>
            </w:r>
            <w:r w:rsidR="009A312E" w:rsidRPr="00843637">
              <w:rPr>
                <w:rFonts w:ascii="Times New Roman" w:hAnsi="Times New Roman"/>
                <w:sz w:val="24"/>
                <w:szCs w:val="24"/>
              </w:rPr>
              <w:t>Eiropas Savienības struktūrfondu un Kohēzijas fonda 2014.</w:t>
            </w:r>
            <w:r w:rsidR="009A312E">
              <w:rPr>
                <w:rFonts w:ascii="Times New Roman" w:hAnsi="Times New Roman"/>
                <w:sz w:val="24"/>
                <w:szCs w:val="24"/>
              </w:rPr>
              <w:t> </w:t>
            </w:r>
            <w:r w:rsidR="009A312E" w:rsidRPr="00843637">
              <w:rPr>
                <w:rFonts w:ascii="Times New Roman" w:hAnsi="Times New Roman"/>
                <w:sz w:val="24"/>
                <w:szCs w:val="24"/>
              </w:rPr>
              <w:t>-</w:t>
            </w:r>
            <w:r w:rsidR="009A312E">
              <w:rPr>
                <w:rFonts w:ascii="Times New Roman" w:hAnsi="Times New Roman"/>
                <w:sz w:val="24"/>
                <w:szCs w:val="24"/>
              </w:rPr>
              <w:t> </w:t>
            </w:r>
            <w:r w:rsidR="009A312E" w:rsidRPr="00843637">
              <w:rPr>
                <w:rFonts w:ascii="Times New Roman" w:hAnsi="Times New Roman"/>
                <w:sz w:val="24"/>
                <w:szCs w:val="24"/>
              </w:rPr>
              <w:t>2020.</w:t>
            </w:r>
            <w:r w:rsidR="009A312E">
              <w:rPr>
                <w:rFonts w:ascii="Times New Roman" w:hAnsi="Times New Roman"/>
                <w:sz w:val="24"/>
                <w:szCs w:val="24"/>
              </w:rPr>
              <w:t xml:space="preserve"> </w:t>
            </w:r>
            <w:r w:rsidR="009A312E" w:rsidRPr="00843637">
              <w:rPr>
                <w:rFonts w:ascii="Times New Roman" w:hAnsi="Times New Roman"/>
                <w:sz w:val="24"/>
                <w:szCs w:val="24"/>
              </w:rPr>
              <w:t>gada plānošanas perioda vadības likuma 20.</w:t>
            </w:r>
            <w:r w:rsidR="009A312E">
              <w:rPr>
                <w:rFonts w:ascii="Times New Roman" w:hAnsi="Times New Roman"/>
                <w:sz w:val="24"/>
                <w:szCs w:val="24"/>
              </w:rPr>
              <w:t> </w:t>
            </w:r>
            <w:r w:rsidR="009A312E" w:rsidRPr="00843637">
              <w:rPr>
                <w:rFonts w:ascii="Times New Roman" w:hAnsi="Times New Roman"/>
                <w:sz w:val="24"/>
                <w:szCs w:val="24"/>
              </w:rPr>
              <w:t>panta 6. un 13.</w:t>
            </w:r>
            <w:r w:rsidR="009A312E">
              <w:rPr>
                <w:rFonts w:ascii="Times New Roman" w:hAnsi="Times New Roman"/>
                <w:sz w:val="24"/>
                <w:szCs w:val="24"/>
              </w:rPr>
              <w:t> </w:t>
            </w:r>
            <w:r w:rsidR="005630E5">
              <w:rPr>
                <w:rFonts w:ascii="Times New Roman" w:hAnsi="Times New Roman"/>
                <w:sz w:val="24"/>
                <w:szCs w:val="24"/>
              </w:rPr>
              <w:t>punkts</w:t>
            </w:r>
            <w:r w:rsidR="009A312E" w:rsidRPr="008B78B2">
              <w:rPr>
                <w:rFonts w:ascii="Times New Roman" w:hAnsi="Times New Roman"/>
                <w:sz w:val="24"/>
                <w:szCs w:val="24"/>
              </w:rPr>
              <w:t>.</w:t>
            </w:r>
            <w:r>
              <w:rPr>
                <w:rFonts w:ascii="Times New Roman" w:hAnsi="Times New Roman"/>
                <w:sz w:val="24"/>
                <w:szCs w:val="24"/>
              </w:rPr>
              <w:t xml:space="preserve"> </w:t>
            </w:r>
          </w:p>
          <w:p w14:paraId="61F0417B" w14:textId="4037BA94" w:rsidR="00B1637E" w:rsidRDefault="00B1637E" w:rsidP="001425B6">
            <w:pPr>
              <w:spacing w:after="0" w:line="240" w:lineRule="auto"/>
              <w:ind w:left="72"/>
              <w:contextualSpacing/>
              <w:jc w:val="both"/>
              <w:rPr>
                <w:rFonts w:ascii="Times New Roman" w:hAnsi="Times New Roman"/>
                <w:sz w:val="24"/>
                <w:szCs w:val="24"/>
              </w:rPr>
            </w:pPr>
            <w:r>
              <w:rPr>
                <w:rFonts w:ascii="Times New Roman" w:hAnsi="Times New Roman"/>
                <w:sz w:val="24"/>
                <w:szCs w:val="24"/>
              </w:rPr>
              <w:t xml:space="preserve">2. Latvijas Republikas Ministru kabineta 2019.gada 10.septembrī sēdes protokols Nr.39, </w:t>
            </w:r>
            <w:bookmarkStart w:id="0" w:name="1"/>
            <w:r>
              <w:rPr>
                <w:rFonts w:ascii="Times New Roman" w:hAnsi="Times New Roman"/>
                <w:sz w:val="24"/>
                <w:szCs w:val="24"/>
              </w:rPr>
              <w:t>26</w:t>
            </w:r>
            <w:r w:rsidRPr="00B1637E">
              <w:rPr>
                <w:rFonts w:ascii="Times New Roman" w:hAnsi="Times New Roman"/>
                <w:sz w:val="24"/>
                <w:szCs w:val="24"/>
              </w:rPr>
              <w:t>.§</w:t>
            </w:r>
            <w:bookmarkEnd w:id="0"/>
            <w:r>
              <w:rPr>
                <w:rFonts w:ascii="Times New Roman" w:hAnsi="Times New Roman"/>
                <w:sz w:val="24"/>
                <w:szCs w:val="24"/>
              </w:rPr>
              <w:t xml:space="preserve"> punkts Nr.2</w:t>
            </w:r>
          </w:p>
          <w:p w14:paraId="2F858813" w14:textId="67F34806" w:rsidR="001425B6" w:rsidRPr="008B78B2" w:rsidRDefault="001425B6" w:rsidP="004B320A">
            <w:pPr>
              <w:spacing w:after="0" w:line="240" w:lineRule="auto"/>
              <w:ind w:left="72"/>
              <w:contextualSpacing/>
              <w:jc w:val="both"/>
              <w:rPr>
                <w:rFonts w:ascii="Times New Roman" w:hAnsi="Times New Roman"/>
                <w:sz w:val="24"/>
                <w:szCs w:val="24"/>
              </w:rPr>
            </w:pPr>
          </w:p>
        </w:tc>
      </w:tr>
      <w:tr w:rsidR="009A312E" w:rsidRPr="008B78B2" w14:paraId="4870D352" w14:textId="77777777" w:rsidTr="0004780E">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2C4B0D" w14:textId="3633AB7E" w:rsidR="009A312E" w:rsidRPr="00274E36"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2. Pašreizējā situācija un problēmas, kuru </w:t>
            </w:r>
            <w:r w:rsidRPr="008B78B2">
              <w:rPr>
                <w:rFonts w:ascii="Times New Roman" w:eastAsia="Times New Roman" w:hAnsi="Times New Roman"/>
                <w:sz w:val="24"/>
                <w:szCs w:val="24"/>
                <w:lang w:eastAsia="lv-LV"/>
              </w:rPr>
              <w:lastRenderedPageBreak/>
              <w:t>risināšanai tiesību akta projekts izstrādāts, tiesiskā regulējuma mērķis un būtība</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6D11085D" w14:textId="44D5A13E" w:rsidR="00F47948" w:rsidRDefault="00CD02CB" w:rsidP="0004780E">
            <w:pPr>
              <w:spacing w:after="0" w:line="240" w:lineRule="auto"/>
              <w:ind w:left="55" w:right="35"/>
              <w:contextualSpacing/>
              <w:jc w:val="both"/>
              <w:rPr>
                <w:rFonts w:ascii="Times New Roman" w:hAnsi="Times New Roman"/>
                <w:sz w:val="24"/>
                <w:szCs w:val="24"/>
              </w:rPr>
            </w:pPr>
            <w:r w:rsidRPr="00CD02CB">
              <w:rPr>
                <w:rFonts w:ascii="Times New Roman" w:hAnsi="Times New Roman"/>
                <w:sz w:val="24"/>
                <w:szCs w:val="24"/>
              </w:rPr>
              <w:lastRenderedPageBreak/>
              <w:t>Ministru kabinets</w:t>
            </w:r>
            <w:r>
              <w:rPr>
                <w:rFonts w:ascii="Times New Roman" w:hAnsi="Times New Roman"/>
                <w:sz w:val="24"/>
                <w:szCs w:val="24"/>
              </w:rPr>
              <w:t xml:space="preserve"> 2019.</w:t>
            </w:r>
            <w:r w:rsidR="00F0668F">
              <w:rPr>
                <w:rFonts w:ascii="Times New Roman" w:hAnsi="Times New Roman"/>
                <w:sz w:val="24"/>
                <w:szCs w:val="24"/>
              </w:rPr>
              <w:t> </w:t>
            </w:r>
            <w:r>
              <w:rPr>
                <w:rFonts w:ascii="Times New Roman" w:hAnsi="Times New Roman"/>
                <w:sz w:val="24"/>
                <w:szCs w:val="24"/>
              </w:rPr>
              <w:t>gada</w:t>
            </w:r>
            <w:r w:rsidRPr="00CD02CB">
              <w:rPr>
                <w:rFonts w:ascii="Times New Roman" w:hAnsi="Times New Roman"/>
                <w:sz w:val="24"/>
                <w:szCs w:val="24"/>
              </w:rPr>
              <w:t xml:space="preserve"> 10. septembra sēdē pieņēma lēmumu konceptuāli mainīt kārtību, kādā tiek sniegts ES fondu atbalsts energoefektivitātes paaugstināšanai </w:t>
            </w:r>
            <w:r w:rsidR="007E7545" w:rsidRPr="007E7545">
              <w:rPr>
                <w:rFonts w:ascii="Times New Roman" w:hAnsi="Times New Roman"/>
                <w:sz w:val="24"/>
                <w:szCs w:val="24"/>
              </w:rPr>
              <w:t>4.2.1.2. pasākuma pirmā</w:t>
            </w:r>
            <w:r w:rsidR="007E7545">
              <w:rPr>
                <w:rFonts w:ascii="Times New Roman" w:hAnsi="Times New Roman"/>
                <w:sz w:val="24"/>
                <w:szCs w:val="24"/>
              </w:rPr>
              <w:t>s</w:t>
            </w:r>
            <w:r w:rsidR="007E7545" w:rsidRPr="007E7545">
              <w:rPr>
                <w:rFonts w:ascii="Times New Roman" w:hAnsi="Times New Roman"/>
                <w:sz w:val="24"/>
                <w:szCs w:val="24"/>
              </w:rPr>
              <w:t xml:space="preserve"> atlases kārta</w:t>
            </w:r>
            <w:r w:rsidR="007E7545">
              <w:rPr>
                <w:rFonts w:ascii="Times New Roman" w:hAnsi="Times New Roman"/>
                <w:sz w:val="24"/>
                <w:szCs w:val="24"/>
              </w:rPr>
              <w:t>s ietvaros</w:t>
            </w:r>
            <w:r w:rsidR="007E7545" w:rsidRPr="007E7545" w:rsidDel="007E7545">
              <w:rPr>
                <w:rFonts w:ascii="Times New Roman" w:hAnsi="Times New Roman"/>
                <w:sz w:val="24"/>
                <w:szCs w:val="24"/>
              </w:rPr>
              <w:t xml:space="preserve"> </w:t>
            </w:r>
            <w:r w:rsidR="007E7545">
              <w:rPr>
                <w:rFonts w:ascii="Times New Roman" w:hAnsi="Times New Roman"/>
                <w:sz w:val="24"/>
                <w:szCs w:val="24"/>
              </w:rPr>
              <w:t>(skatīt i</w:t>
            </w:r>
            <w:r w:rsidR="007E7545" w:rsidRPr="007E7545">
              <w:rPr>
                <w:rFonts w:ascii="Times New Roman" w:hAnsi="Times New Roman"/>
                <w:sz w:val="24"/>
                <w:szCs w:val="24"/>
              </w:rPr>
              <w:t>nformatīv</w:t>
            </w:r>
            <w:r w:rsidR="007E7545">
              <w:rPr>
                <w:rFonts w:ascii="Times New Roman" w:hAnsi="Times New Roman"/>
                <w:sz w:val="24"/>
                <w:szCs w:val="24"/>
              </w:rPr>
              <w:t>o</w:t>
            </w:r>
            <w:r w:rsidR="007E7545" w:rsidRPr="007E7545">
              <w:rPr>
                <w:rFonts w:ascii="Times New Roman" w:hAnsi="Times New Roman"/>
                <w:sz w:val="24"/>
                <w:szCs w:val="24"/>
              </w:rPr>
              <w:t xml:space="preserve"> </w:t>
            </w:r>
            <w:r w:rsidR="007E7545" w:rsidRPr="007E7545">
              <w:rPr>
                <w:rFonts w:ascii="Times New Roman" w:hAnsi="Times New Roman"/>
                <w:sz w:val="24"/>
                <w:szCs w:val="24"/>
              </w:rPr>
              <w:lastRenderedPageBreak/>
              <w:t>ziņojum</w:t>
            </w:r>
            <w:r w:rsidR="007E7545">
              <w:rPr>
                <w:rFonts w:ascii="Times New Roman" w:hAnsi="Times New Roman"/>
                <w:sz w:val="24"/>
                <w:szCs w:val="24"/>
              </w:rPr>
              <w:t>u</w:t>
            </w:r>
            <w:r w:rsidR="007E7545" w:rsidRPr="007E7545">
              <w:rPr>
                <w:rFonts w:ascii="Times New Roman" w:hAnsi="Times New Roman"/>
                <w:sz w:val="24"/>
                <w:szCs w:val="24"/>
              </w:rPr>
              <w:t xml:space="preserve"> "Par darbības programmas "Izaugsme un nodarbinātība" 4.2.1.2.pasākuma "Veicināt energoefektivitātes paaugstināšanu valsts ēkās" pirmās un otrās projektu iesniegumu atlases kārtas īstenošanas progresu" </w:t>
            </w:r>
            <w:r w:rsidR="007E7545">
              <w:rPr>
                <w:rFonts w:ascii="Times New Roman" w:hAnsi="Times New Roman"/>
                <w:sz w:val="24"/>
                <w:szCs w:val="24"/>
              </w:rPr>
              <w:t xml:space="preserve">un no tā izrietošo Ministru kabineta sēdes </w:t>
            </w:r>
            <w:proofErr w:type="spellStart"/>
            <w:r w:rsidR="007E7545">
              <w:rPr>
                <w:rFonts w:ascii="Times New Roman" w:hAnsi="Times New Roman"/>
                <w:sz w:val="24"/>
                <w:szCs w:val="24"/>
              </w:rPr>
              <w:t>protokollēmumu</w:t>
            </w:r>
            <w:proofErr w:type="spellEnd"/>
            <w:r w:rsidR="007E7545">
              <w:rPr>
                <w:rFonts w:ascii="Times New Roman" w:hAnsi="Times New Roman"/>
                <w:sz w:val="24"/>
                <w:szCs w:val="24"/>
              </w:rPr>
              <w:t xml:space="preserve"> (</w:t>
            </w:r>
            <w:r w:rsidR="007E7545" w:rsidRPr="007E7545">
              <w:rPr>
                <w:rFonts w:ascii="Times New Roman" w:hAnsi="Times New Roman"/>
                <w:sz w:val="24"/>
                <w:szCs w:val="24"/>
              </w:rPr>
              <w:t>TA-1598</w:t>
            </w:r>
            <w:r w:rsidR="007E7545">
              <w:rPr>
                <w:rFonts w:ascii="Times New Roman" w:hAnsi="Times New Roman"/>
                <w:sz w:val="24"/>
                <w:szCs w:val="24"/>
              </w:rPr>
              <w:t>))</w:t>
            </w:r>
            <w:r w:rsidRPr="00CD02CB">
              <w:rPr>
                <w:rFonts w:ascii="Times New Roman" w:hAnsi="Times New Roman"/>
                <w:sz w:val="24"/>
                <w:szCs w:val="24"/>
              </w:rPr>
              <w:t>.</w:t>
            </w:r>
            <w:r>
              <w:rPr>
                <w:rFonts w:ascii="Times New Roman" w:hAnsi="Times New Roman"/>
                <w:sz w:val="24"/>
                <w:szCs w:val="24"/>
              </w:rPr>
              <w:t xml:space="preserve"> </w:t>
            </w:r>
            <w:r w:rsidR="008D2D7A">
              <w:rPr>
                <w:rFonts w:ascii="Times New Roman" w:hAnsi="Times New Roman"/>
                <w:sz w:val="24"/>
                <w:szCs w:val="24"/>
              </w:rPr>
              <w:t xml:space="preserve">Saskaņā ar </w:t>
            </w:r>
            <w:r w:rsidR="008D2D7A" w:rsidRPr="00CD02CB">
              <w:rPr>
                <w:rFonts w:ascii="Times New Roman" w:hAnsi="Times New Roman"/>
                <w:sz w:val="24"/>
                <w:szCs w:val="24"/>
              </w:rPr>
              <w:t>sniegto</w:t>
            </w:r>
            <w:r w:rsidR="008D2D7A" w:rsidRPr="00737BCA">
              <w:rPr>
                <w:rFonts w:ascii="Times New Roman" w:hAnsi="Times New Roman"/>
                <w:color w:val="FF0000"/>
                <w:sz w:val="24"/>
                <w:szCs w:val="24"/>
              </w:rPr>
              <w:t xml:space="preserve"> </w:t>
            </w:r>
            <w:r w:rsidR="008D2D7A">
              <w:rPr>
                <w:rFonts w:ascii="Times New Roman" w:hAnsi="Times New Roman"/>
                <w:sz w:val="24"/>
                <w:szCs w:val="24"/>
              </w:rPr>
              <w:t xml:space="preserve">informāciju </w:t>
            </w:r>
            <w:r w:rsidR="007E7545">
              <w:rPr>
                <w:rFonts w:ascii="Times New Roman" w:hAnsi="Times New Roman"/>
                <w:sz w:val="24"/>
                <w:szCs w:val="24"/>
              </w:rPr>
              <w:t>i</w:t>
            </w:r>
            <w:r w:rsidR="008D2D7A">
              <w:rPr>
                <w:rFonts w:ascii="Times New Roman" w:hAnsi="Times New Roman"/>
                <w:sz w:val="24"/>
                <w:szCs w:val="24"/>
              </w:rPr>
              <w:t xml:space="preserve">nformatīvajā ziņojumā </w:t>
            </w:r>
            <w:r w:rsidR="007E7545" w:rsidRPr="007E7545">
              <w:rPr>
                <w:rFonts w:ascii="Times New Roman" w:hAnsi="Times New Roman"/>
                <w:sz w:val="24"/>
                <w:szCs w:val="24"/>
              </w:rPr>
              <w:t>"</w:t>
            </w:r>
            <w:r w:rsidR="008D2D7A">
              <w:rPr>
                <w:rFonts w:ascii="Times New Roman" w:hAnsi="Times New Roman"/>
                <w:sz w:val="24"/>
                <w:szCs w:val="24"/>
              </w:rPr>
              <w:t xml:space="preserve">Par darbības programmas </w:t>
            </w:r>
            <w:r w:rsidR="007E7545" w:rsidRPr="007E7545">
              <w:rPr>
                <w:rFonts w:ascii="Times New Roman" w:hAnsi="Times New Roman"/>
                <w:sz w:val="24"/>
                <w:szCs w:val="24"/>
              </w:rPr>
              <w:t>"</w:t>
            </w:r>
            <w:r w:rsidR="008D2D7A">
              <w:rPr>
                <w:rFonts w:ascii="Times New Roman" w:hAnsi="Times New Roman"/>
                <w:sz w:val="24"/>
                <w:szCs w:val="24"/>
              </w:rPr>
              <w:t>Izaugsme un nodarbinātība</w:t>
            </w:r>
            <w:r w:rsidR="007E7545" w:rsidRPr="007E7545">
              <w:rPr>
                <w:rFonts w:ascii="Times New Roman" w:hAnsi="Times New Roman"/>
                <w:sz w:val="24"/>
                <w:szCs w:val="24"/>
              </w:rPr>
              <w:t>"</w:t>
            </w:r>
            <w:r w:rsidR="007E7545">
              <w:rPr>
                <w:rFonts w:ascii="Times New Roman" w:hAnsi="Times New Roman"/>
                <w:sz w:val="24"/>
                <w:szCs w:val="24"/>
              </w:rPr>
              <w:t xml:space="preserve"> </w:t>
            </w:r>
            <w:r w:rsidR="008D2D7A">
              <w:rPr>
                <w:rFonts w:ascii="Times New Roman" w:hAnsi="Times New Roman"/>
                <w:sz w:val="24"/>
                <w:szCs w:val="24"/>
              </w:rPr>
              <w:t xml:space="preserve">4.2.1.2. pasākuma </w:t>
            </w:r>
            <w:r w:rsidR="007E7545" w:rsidRPr="007E7545">
              <w:rPr>
                <w:rFonts w:ascii="Times New Roman" w:hAnsi="Times New Roman"/>
                <w:sz w:val="24"/>
                <w:szCs w:val="24"/>
              </w:rPr>
              <w:t>"</w:t>
            </w:r>
            <w:r w:rsidR="008D2D7A">
              <w:rPr>
                <w:rFonts w:ascii="Times New Roman" w:hAnsi="Times New Roman"/>
                <w:sz w:val="24"/>
                <w:szCs w:val="24"/>
              </w:rPr>
              <w:t>Veicināt energoefektivitātes paaugstināšanu valsts ēkās</w:t>
            </w:r>
            <w:r w:rsidR="007E7545" w:rsidRPr="007E7545">
              <w:rPr>
                <w:rFonts w:ascii="Times New Roman" w:hAnsi="Times New Roman"/>
                <w:sz w:val="24"/>
                <w:szCs w:val="24"/>
              </w:rPr>
              <w:t>"</w:t>
            </w:r>
            <w:r w:rsidR="008D2D7A">
              <w:rPr>
                <w:rFonts w:ascii="Times New Roman" w:hAnsi="Times New Roman"/>
                <w:sz w:val="24"/>
                <w:szCs w:val="24"/>
              </w:rPr>
              <w:t xml:space="preserve"> pirmās un otrās projektu iesniegumu atlases kārtas īstenošanas progresu</w:t>
            </w:r>
            <w:r w:rsidR="00F0668F" w:rsidRPr="007E7545">
              <w:rPr>
                <w:rFonts w:ascii="Times New Roman" w:hAnsi="Times New Roman"/>
                <w:sz w:val="24"/>
                <w:szCs w:val="24"/>
              </w:rPr>
              <w:t>""</w:t>
            </w:r>
            <w:r w:rsidR="008D2D7A">
              <w:rPr>
                <w:rFonts w:ascii="Times New Roman" w:hAnsi="Times New Roman"/>
                <w:sz w:val="24"/>
                <w:szCs w:val="24"/>
              </w:rPr>
              <w:t xml:space="preserve"> l</w:t>
            </w:r>
            <w:r w:rsidR="008D2D7A" w:rsidRPr="00511272">
              <w:rPr>
                <w:rFonts w:ascii="Times New Roman" w:hAnsi="Times New Roman"/>
                <w:sz w:val="24"/>
                <w:szCs w:val="24"/>
              </w:rPr>
              <w:t xml:space="preserve">īdz 2019. gada </w:t>
            </w:r>
            <w:r w:rsidR="008D2D7A">
              <w:rPr>
                <w:rFonts w:ascii="Times New Roman" w:hAnsi="Times New Roman"/>
                <w:sz w:val="24"/>
                <w:szCs w:val="24"/>
              </w:rPr>
              <w:t>1.</w:t>
            </w:r>
            <w:r w:rsidR="00F0668F">
              <w:rPr>
                <w:rFonts w:ascii="Times New Roman" w:hAnsi="Times New Roman"/>
                <w:sz w:val="24"/>
                <w:szCs w:val="24"/>
              </w:rPr>
              <w:t> </w:t>
            </w:r>
            <w:r w:rsidR="008D2D7A">
              <w:rPr>
                <w:rFonts w:ascii="Times New Roman" w:hAnsi="Times New Roman"/>
                <w:sz w:val="24"/>
                <w:szCs w:val="24"/>
              </w:rPr>
              <w:t>augustam</w:t>
            </w:r>
            <w:r w:rsidR="008D2D7A" w:rsidRPr="00511272">
              <w:rPr>
                <w:rFonts w:ascii="Times New Roman" w:hAnsi="Times New Roman"/>
                <w:sz w:val="24"/>
                <w:szCs w:val="24"/>
              </w:rPr>
              <w:t xml:space="preserve"> Centrālā finanšu un līgumu aģentūrā</w:t>
            </w:r>
            <w:r w:rsidR="003D7F51">
              <w:rPr>
                <w:rFonts w:ascii="Times New Roman" w:hAnsi="Times New Roman"/>
                <w:sz w:val="24"/>
                <w:szCs w:val="24"/>
              </w:rPr>
              <w:t xml:space="preserve"> (turpmāk – CFLA)</w:t>
            </w:r>
            <w:r w:rsidR="008D2D7A" w:rsidRPr="00511272">
              <w:rPr>
                <w:rFonts w:ascii="Times New Roman" w:hAnsi="Times New Roman"/>
                <w:sz w:val="24"/>
                <w:szCs w:val="24"/>
              </w:rPr>
              <w:t xml:space="preserve"> </w:t>
            </w:r>
            <w:r w:rsidR="00F0668F" w:rsidRPr="00F0668F">
              <w:rPr>
                <w:rFonts w:ascii="Times New Roman" w:hAnsi="Times New Roman"/>
                <w:sz w:val="24"/>
                <w:szCs w:val="24"/>
              </w:rPr>
              <w:t>4.2.1.2.</w:t>
            </w:r>
            <w:r w:rsidR="00F0668F">
              <w:rPr>
                <w:rFonts w:ascii="Times New Roman" w:hAnsi="Times New Roman"/>
                <w:sz w:val="24"/>
                <w:szCs w:val="24"/>
              </w:rPr>
              <w:t> </w:t>
            </w:r>
            <w:r w:rsidR="00F0668F" w:rsidRPr="00F0668F">
              <w:rPr>
                <w:rFonts w:ascii="Times New Roman" w:hAnsi="Times New Roman"/>
                <w:sz w:val="24"/>
                <w:szCs w:val="24"/>
              </w:rPr>
              <w:t xml:space="preserve">pasākuma pirmās atlases kārtas ietvaros </w:t>
            </w:r>
            <w:r w:rsidR="002330E4" w:rsidRPr="00511272">
              <w:rPr>
                <w:rFonts w:ascii="Times New Roman" w:hAnsi="Times New Roman"/>
                <w:sz w:val="24"/>
                <w:szCs w:val="24"/>
              </w:rPr>
              <w:t>iesniegt</w:t>
            </w:r>
            <w:r w:rsidR="002330E4">
              <w:rPr>
                <w:rFonts w:ascii="Times New Roman" w:hAnsi="Times New Roman"/>
                <w:sz w:val="24"/>
                <w:szCs w:val="24"/>
              </w:rPr>
              <w:t>s</w:t>
            </w:r>
            <w:r w:rsidR="00F0668F">
              <w:rPr>
                <w:rFonts w:ascii="Times New Roman" w:hAnsi="Times New Roman"/>
                <w:sz w:val="24"/>
                <w:szCs w:val="24"/>
              </w:rPr>
              <w:t>1</w:t>
            </w:r>
            <w:r w:rsidR="002330E4">
              <w:rPr>
                <w:rFonts w:ascii="Times New Roman" w:hAnsi="Times New Roman"/>
                <w:sz w:val="24"/>
                <w:szCs w:val="24"/>
              </w:rPr>
              <w:t>01</w:t>
            </w:r>
            <w:r w:rsidR="00F0668F" w:rsidRPr="00511272">
              <w:rPr>
                <w:rFonts w:ascii="Times New Roman" w:hAnsi="Times New Roman"/>
                <w:sz w:val="24"/>
                <w:szCs w:val="24"/>
              </w:rPr>
              <w:t xml:space="preserve"> </w:t>
            </w:r>
            <w:r w:rsidR="008D2D7A" w:rsidRPr="00511272">
              <w:rPr>
                <w:rFonts w:ascii="Times New Roman" w:hAnsi="Times New Roman"/>
                <w:sz w:val="24"/>
                <w:szCs w:val="24"/>
              </w:rPr>
              <w:t>projektu iesniegum</w:t>
            </w:r>
            <w:r w:rsidR="002330E4">
              <w:rPr>
                <w:rFonts w:ascii="Times New Roman" w:hAnsi="Times New Roman"/>
                <w:sz w:val="24"/>
                <w:szCs w:val="24"/>
              </w:rPr>
              <w:t>s no 120 plānotajiem.</w:t>
            </w:r>
            <w:r w:rsidR="00F0668F">
              <w:rPr>
                <w:rFonts w:ascii="Times New Roman" w:hAnsi="Times New Roman"/>
                <w:sz w:val="24"/>
                <w:szCs w:val="24"/>
              </w:rPr>
              <w:t xml:space="preserve"> </w:t>
            </w:r>
            <w:r w:rsidR="002330E4">
              <w:rPr>
                <w:rFonts w:ascii="Times New Roman" w:hAnsi="Times New Roman"/>
                <w:sz w:val="24"/>
                <w:szCs w:val="24"/>
              </w:rPr>
              <w:t>Noslēgts līgums/vienošanās ir ar</w:t>
            </w:r>
            <w:r w:rsidR="008D2D7A" w:rsidRPr="00E6769A">
              <w:rPr>
                <w:rFonts w:ascii="Times New Roman" w:hAnsi="Times New Roman"/>
                <w:sz w:val="24"/>
                <w:szCs w:val="24"/>
              </w:rPr>
              <w:t xml:space="preserve"> </w:t>
            </w:r>
            <w:r w:rsidR="008D2D7A">
              <w:rPr>
                <w:rFonts w:ascii="Times New Roman" w:hAnsi="Times New Roman"/>
                <w:sz w:val="24"/>
                <w:szCs w:val="24"/>
              </w:rPr>
              <w:t>70</w:t>
            </w:r>
            <w:r w:rsidR="008D2D7A" w:rsidRPr="00E6769A">
              <w:rPr>
                <w:rFonts w:ascii="Times New Roman" w:hAnsi="Times New Roman"/>
                <w:sz w:val="24"/>
                <w:szCs w:val="24"/>
              </w:rPr>
              <w:t xml:space="preserve"> </w:t>
            </w:r>
            <w:r w:rsidR="002330E4" w:rsidRPr="00E6769A">
              <w:rPr>
                <w:rFonts w:ascii="Times New Roman" w:hAnsi="Times New Roman"/>
                <w:sz w:val="24"/>
                <w:szCs w:val="24"/>
              </w:rPr>
              <w:t>projekt</w:t>
            </w:r>
            <w:r w:rsidR="002330E4">
              <w:rPr>
                <w:rFonts w:ascii="Times New Roman" w:hAnsi="Times New Roman"/>
                <w:sz w:val="24"/>
                <w:szCs w:val="24"/>
              </w:rPr>
              <w:t xml:space="preserve">a iesniedzējiem </w:t>
            </w:r>
            <w:r w:rsidR="008D2D7A" w:rsidRPr="00E6769A">
              <w:rPr>
                <w:rFonts w:ascii="Times New Roman" w:hAnsi="Times New Roman"/>
                <w:sz w:val="24"/>
                <w:szCs w:val="24"/>
              </w:rPr>
              <w:t xml:space="preserve">par kopējo publisko finansējumu </w:t>
            </w:r>
            <w:r w:rsidR="002330E4">
              <w:rPr>
                <w:rFonts w:ascii="Times New Roman" w:hAnsi="Times New Roman"/>
                <w:sz w:val="24"/>
                <w:szCs w:val="24"/>
              </w:rPr>
              <w:t>42 387 075</w:t>
            </w:r>
            <w:r w:rsidR="008D2D7A" w:rsidRPr="00E6769A">
              <w:rPr>
                <w:rFonts w:ascii="Times New Roman" w:hAnsi="Times New Roman"/>
                <w:sz w:val="24"/>
                <w:szCs w:val="24"/>
              </w:rPr>
              <w:t xml:space="preserve"> EUR, </w:t>
            </w:r>
            <w:r w:rsidR="002330E4">
              <w:rPr>
                <w:rFonts w:ascii="Times New Roman" w:hAnsi="Times New Roman"/>
                <w:sz w:val="24"/>
                <w:szCs w:val="24"/>
              </w:rPr>
              <w:t>savukārt pabeigta ir tikai</w:t>
            </w:r>
            <w:r w:rsidR="008D2D7A" w:rsidRPr="00E6769A">
              <w:rPr>
                <w:rFonts w:ascii="Times New Roman" w:hAnsi="Times New Roman"/>
                <w:sz w:val="24"/>
                <w:szCs w:val="24"/>
              </w:rPr>
              <w:t xml:space="preserve"> </w:t>
            </w:r>
            <w:r w:rsidR="008D2D7A">
              <w:rPr>
                <w:rFonts w:ascii="Times New Roman" w:hAnsi="Times New Roman"/>
                <w:sz w:val="24"/>
                <w:szCs w:val="24"/>
              </w:rPr>
              <w:t>14</w:t>
            </w:r>
            <w:r w:rsidR="008D2D7A" w:rsidRPr="00E6769A">
              <w:rPr>
                <w:rFonts w:ascii="Times New Roman" w:hAnsi="Times New Roman"/>
                <w:sz w:val="24"/>
                <w:szCs w:val="24"/>
              </w:rPr>
              <w:t xml:space="preserve"> </w:t>
            </w:r>
            <w:r w:rsidR="002330E4" w:rsidRPr="00E6769A">
              <w:rPr>
                <w:rFonts w:ascii="Times New Roman" w:hAnsi="Times New Roman"/>
                <w:sz w:val="24"/>
                <w:szCs w:val="24"/>
              </w:rPr>
              <w:t>projekt</w:t>
            </w:r>
            <w:r w:rsidR="002330E4">
              <w:rPr>
                <w:rFonts w:ascii="Times New Roman" w:hAnsi="Times New Roman"/>
                <w:sz w:val="24"/>
                <w:szCs w:val="24"/>
              </w:rPr>
              <w:t>u īstenošana</w:t>
            </w:r>
            <w:r w:rsidR="002330E4" w:rsidRPr="00E6769A">
              <w:rPr>
                <w:rFonts w:ascii="Times New Roman" w:hAnsi="Times New Roman"/>
                <w:sz w:val="24"/>
                <w:szCs w:val="24"/>
              </w:rPr>
              <w:t xml:space="preserve"> </w:t>
            </w:r>
            <w:r w:rsidR="008D2D7A" w:rsidRPr="00E6769A">
              <w:rPr>
                <w:rFonts w:ascii="Times New Roman" w:hAnsi="Times New Roman"/>
                <w:sz w:val="24"/>
                <w:szCs w:val="24"/>
              </w:rPr>
              <w:t>par kopējo publisko finansējumu</w:t>
            </w:r>
            <w:r w:rsidR="008D2D7A">
              <w:rPr>
                <w:rFonts w:ascii="Times New Roman" w:hAnsi="Times New Roman"/>
                <w:sz w:val="24"/>
                <w:szCs w:val="24"/>
              </w:rPr>
              <w:t xml:space="preserve"> 6 560 560</w:t>
            </w:r>
            <w:r w:rsidR="008D2D7A" w:rsidRPr="00E6769A">
              <w:rPr>
                <w:rFonts w:ascii="Times New Roman" w:hAnsi="Times New Roman"/>
                <w:sz w:val="24"/>
                <w:szCs w:val="24"/>
              </w:rPr>
              <w:t xml:space="preserve"> EUR</w:t>
            </w:r>
            <w:r w:rsidR="008D2D7A" w:rsidRPr="00511272">
              <w:rPr>
                <w:rFonts w:ascii="Times New Roman" w:hAnsi="Times New Roman"/>
                <w:sz w:val="24"/>
                <w:szCs w:val="24"/>
              </w:rPr>
              <w:t xml:space="preserve">. </w:t>
            </w:r>
            <w:r w:rsidR="00126451">
              <w:rPr>
                <w:rFonts w:ascii="Times New Roman" w:hAnsi="Times New Roman"/>
                <w:sz w:val="24"/>
                <w:szCs w:val="24"/>
              </w:rPr>
              <w:t xml:space="preserve"> </w:t>
            </w:r>
          </w:p>
          <w:p w14:paraId="2072DD2F" w14:textId="7AC7C03D" w:rsidR="00876556" w:rsidRDefault="009C25F4" w:rsidP="00876556">
            <w:pPr>
              <w:spacing w:after="240" w:line="240" w:lineRule="auto"/>
              <w:jc w:val="both"/>
              <w:rPr>
                <w:rFonts w:ascii="Times New Roman" w:hAnsi="Times New Roman"/>
                <w:sz w:val="24"/>
                <w:szCs w:val="24"/>
              </w:rPr>
            </w:pPr>
            <w:r w:rsidRPr="00F478CE">
              <w:rPr>
                <w:rFonts w:ascii="Times New Roman" w:hAnsi="Times New Roman"/>
                <w:sz w:val="24"/>
                <w:szCs w:val="24"/>
              </w:rPr>
              <w:t xml:space="preserve">4.2.1.2. pasākuma </w:t>
            </w:r>
            <w:r w:rsidR="00F47948">
              <w:rPr>
                <w:rFonts w:ascii="Times New Roman" w:hAnsi="Times New Roman"/>
                <w:sz w:val="24"/>
                <w:szCs w:val="24"/>
              </w:rPr>
              <w:t xml:space="preserve">pirmās </w:t>
            </w:r>
            <w:r w:rsidRPr="00F478CE">
              <w:rPr>
                <w:rFonts w:ascii="Times New Roman" w:hAnsi="Times New Roman"/>
                <w:sz w:val="24"/>
                <w:szCs w:val="24"/>
              </w:rPr>
              <w:t xml:space="preserve">atlases kārtas </w:t>
            </w:r>
            <w:r w:rsidR="00F47948">
              <w:rPr>
                <w:rFonts w:ascii="Times New Roman" w:hAnsi="Times New Roman"/>
                <w:sz w:val="24"/>
                <w:szCs w:val="24"/>
              </w:rPr>
              <w:t xml:space="preserve">ietvaros </w:t>
            </w:r>
            <w:r w:rsidRPr="00F478CE">
              <w:rPr>
                <w:rFonts w:ascii="Times New Roman" w:hAnsi="Times New Roman"/>
                <w:sz w:val="24"/>
                <w:szCs w:val="24"/>
              </w:rPr>
              <w:t xml:space="preserve">neiesniegtie projekta pieteikumi jāiesniedz līdz šī gada 31. decembrim un jāīsteno 48 mēnešu laikā, bet ne vēlāk kā līdz 2022.gada 31. oktobrim. </w:t>
            </w:r>
            <w:r w:rsidR="008F69BB" w:rsidRPr="00F478CE">
              <w:rPr>
                <w:rFonts w:ascii="Times New Roman" w:hAnsi="Times New Roman"/>
                <w:sz w:val="24"/>
                <w:szCs w:val="24"/>
              </w:rPr>
              <w:t xml:space="preserve">Lai veicinātu 4.2.1.2. pasākumam </w:t>
            </w:r>
            <w:r w:rsidR="00F47948">
              <w:rPr>
                <w:rFonts w:ascii="Times New Roman" w:hAnsi="Times New Roman"/>
                <w:sz w:val="24"/>
                <w:szCs w:val="24"/>
              </w:rPr>
              <w:t xml:space="preserve">pirmās atlases kārtas </w:t>
            </w:r>
            <w:r w:rsidR="008F69BB" w:rsidRPr="00F478CE">
              <w:rPr>
                <w:rFonts w:ascii="Times New Roman" w:hAnsi="Times New Roman"/>
                <w:sz w:val="24"/>
                <w:szCs w:val="24"/>
              </w:rPr>
              <w:t xml:space="preserve">pieejamā </w:t>
            </w:r>
            <w:r w:rsidR="00F47948">
              <w:rPr>
                <w:rFonts w:ascii="Times New Roman" w:hAnsi="Times New Roman"/>
                <w:sz w:val="24"/>
                <w:szCs w:val="24"/>
              </w:rPr>
              <w:t xml:space="preserve">kopējā publiskā </w:t>
            </w:r>
            <w:r w:rsidR="008F69BB" w:rsidRPr="00F478CE">
              <w:rPr>
                <w:rFonts w:ascii="Times New Roman" w:hAnsi="Times New Roman"/>
                <w:sz w:val="24"/>
                <w:szCs w:val="24"/>
              </w:rPr>
              <w:t xml:space="preserve">finansējuma straujāku apguvi, līdz šim ir veikti virkne uzlabojumi </w:t>
            </w:r>
            <w:r w:rsidR="00F47948" w:rsidRPr="00F47948">
              <w:rPr>
                <w:rFonts w:ascii="Times New Roman" w:hAnsi="Times New Roman"/>
                <w:sz w:val="24"/>
                <w:szCs w:val="24"/>
              </w:rPr>
              <w:t xml:space="preserve">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w:t>
            </w:r>
            <w:r w:rsidR="00F47948">
              <w:rPr>
                <w:rFonts w:ascii="Times New Roman" w:hAnsi="Times New Roman"/>
                <w:sz w:val="24"/>
                <w:szCs w:val="24"/>
              </w:rPr>
              <w:t>(turpmāk – MK not</w:t>
            </w:r>
            <w:r w:rsidR="00C9264F">
              <w:rPr>
                <w:rFonts w:ascii="Times New Roman" w:hAnsi="Times New Roman"/>
                <w:sz w:val="24"/>
                <w:szCs w:val="24"/>
              </w:rPr>
              <w:t>eikumi</w:t>
            </w:r>
            <w:r w:rsidR="00F47948">
              <w:rPr>
                <w:rFonts w:ascii="Times New Roman" w:hAnsi="Times New Roman"/>
                <w:sz w:val="24"/>
                <w:szCs w:val="24"/>
              </w:rPr>
              <w:t xml:space="preserve"> Nr. 534)</w:t>
            </w:r>
            <w:r w:rsidR="008F69BB" w:rsidRPr="00F478CE">
              <w:rPr>
                <w:rFonts w:ascii="Times New Roman" w:hAnsi="Times New Roman"/>
                <w:sz w:val="24"/>
                <w:szCs w:val="24"/>
              </w:rPr>
              <w:t xml:space="preserve">, dodot iespēju projektu iesniedzējiem vienkāršotā kārtībā palielināt projekta attiecināmo izmaksu apjomu arī pēc līguma noslēgšanas par projekta īstenošanu, kā arī atvieglojot un paātrinot uzaicinājuma nosūtīšanas procesu. Ir veikti vairākkārtēji grozījumi </w:t>
            </w:r>
            <w:r w:rsidR="00F47948">
              <w:rPr>
                <w:rFonts w:ascii="Times New Roman" w:hAnsi="Times New Roman"/>
                <w:sz w:val="24"/>
                <w:szCs w:val="24"/>
              </w:rPr>
              <w:t>MK not. Nr. 534</w:t>
            </w:r>
            <w:r w:rsidR="0004780E">
              <w:rPr>
                <w:rFonts w:ascii="Times New Roman" w:hAnsi="Times New Roman"/>
                <w:sz w:val="24"/>
                <w:szCs w:val="24"/>
              </w:rPr>
              <w:t xml:space="preserve"> </w:t>
            </w:r>
            <w:r w:rsidR="008F69BB" w:rsidRPr="00F478CE">
              <w:rPr>
                <w:rFonts w:ascii="Times New Roman" w:hAnsi="Times New Roman"/>
                <w:sz w:val="24"/>
                <w:szCs w:val="24"/>
              </w:rPr>
              <w:t>ar mērķi atvieglot projektu īstenošanu. Neskatoties uz veiktiem grozījumiem un atvieglo</w:t>
            </w:r>
            <w:r w:rsidR="00F47948">
              <w:rPr>
                <w:rFonts w:ascii="Times New Roman" w:hAnsi="Times New Roman"/>
                <w:sz w:val="24"/>
                <w:szCs w:val="24"/>
              </w:rPr>
              <w:t>tajiem</w:t>
            </w:r>
            <w:r w:rsidR="008F69BB" w:rsidRPr="00F478CE">
              <w:rPr>
                <w:rFonts w:ascii="Times New Roman" w:hAnsi="Times New Roman"/>
                <w:sz w:val="24"/>
                <w:szCs w:val="24"/>
              </w:rPr>
              <w:t xml:space="preserve"> proces</w:t>
            </w:r>
            <w:r w:rsidR="00F47948">
              <w:rPr>
                <w:rFonts w:ascii="Times New Roman" w:hAnsi="Times New Roman"/>
                <w:sz w:val="24"/>
                <w:szCs w:val="24"/>
              </w:rPr>
              <w:t>iem</w:t>
            </w:r>
            <w:r w:rsidR="008F69BB" w:rsidRPr="00F478CE">
              <w:rPr>
                <w:rFonts w:ascii="Times New Roman" w:hAnsi="Times New Roman"/>
                <w:sz w:val="24"/>
                <w:szCs w:val="24"/>
              </w:rPr>
              <w:t>, pēc izvērtētās informācijas</w:t>
            </w:r>
            <w:r w:rsidR="001F1613" w:rsidRPr="00F478CE">
              <w:rPr>
                <w:rFonts w:ascii="Times New Roman" w:hAnsi="Times New Roman"/>
                <w:sz w:val="24"/>
                <w:szCs w:val="24"/>
              </w:rPr>
              <w:t xml:space="preserve"> </w:t>
            </w:r>
            <w:r w:rsidR="00CC2F2E" w:rsidRPr="00F478CE">
              <w:rPr>
                <w:rFonts w:ascii="Times New Roman" w:hAnsi="Times New Roman"/>
                <w:sz w:val="24"/>
                <w:szCs w:val="24"/>
              </w:rPr>
              <w:t>uz 2019.</w:t>
            </w:r>
            <w:r w:rsidR="00F47948">
              <w:rPr>
                <w:rFonts w:ascii="Times New Roman" w:hAnsi="Times New Roman"/>
                <w:sz w:val="24"/>
                <w:szCs w:val="24"/>
              </w:rPr>
              <w:t> </w:t>
            </w:r>
            <w:r w:rsidR="00CC2F2E" w:rsidRPr="00F478CE">
              <w:rPr>
                <w:rFonts w:ascii="Times New Roman" w:hAnsi="Times New Roman"/>
                <w:sz w:val="24"/>
                <w:szCs w:val="24"/>
              </w:rPr>
              <w:t>gada 1.</w:t>
            </w:r>
            <w:r w:rsidR="00F47948">
              <w:rPr>
                <w:rFonts w:ascii="Times New Roman" w:hAnsi="Times New Roman"/>
                <w:sz w:val="24"/>
                <w:szCs w:val="24"/>
              </w:rPr>
              <w:t> </w:t>
            </w:r>
            <w:r w:rsidR="00CC2F2E" w:rsidRPr="00F478CE">
              <w:rPr>
                <w:rFonts w:ascii="Times New Roman" w:hAnsi="Times New Roman"/>
                <w:sz w:val="24"/>
                <w:szCs w:val="24"/>
              </w:rPr>
              <w:t>augustu</w:t>
            </w:r>
            <w:r w:rsidR="001F1613" w:rsidRPr="00F478CE">
              <w:rPr>
                <w:rFonts w:ascii="Times New Roman" w:hAnsi="Times New Roman"/>
                <w:sz w:val="24"/>
                <w:szCs w:val="24"/>
              </w:rPr>
              <w:t xml:space="preserve"> 7 ministrijas vēl nav iesniegušas projekta pieteikumus 100% apmērā par visām ēkām, ko plānots atjaunot 4.2.1.2. pasākuma pirmās atlases kārtas ietvaros</w:t>
            </w:r>
            <w:r w:rsidR="008F69BB" w:rsidRPr="00F478CE">
              <w:rPr>
                <w:rFonts w:ascii="Times New Roman" w:hAnsi="Times New Roman"/>
                <w:sz w:val="24"/>
                <w:szCs w:val="24"/>
              </w:rPr>
              <w:t>. Tāpat arī ir identificēts, ka CFLA ir iesniegti projekti par ēkām, kuras tikai iespējams tiks atjaunotas trūkstošā finansējuma dēļ, tādā veidā rezervējot piešķirtās kvotas apmēru</w:t>
            </w:r>
            <w:r w:rsidR="00F47948">
              <w:rPr>
                <w:rFonts w:ascii="Times New Roman" w:hAnsi="Times New Roman"/>
                <w:sz w:val="24"/>
                <w:szCs w:val="24"/>
              </w:rPr>
              <w:t>, savukārt</w:t>
            </w:r>
            <w:r w:rsidR="008F69BB" w:rsidRPr="00F478CE">
              <w:rPr>
                <w:rFonts w:ascii="Times New Roman" w:hAnsi="Times New Roman"/>
                <w:sz w:val="24"/>
                <w:szCs w:val="24"/>
              </w:rPr>
              <w:t xml:space="preserve"> ministrijas</w:t>
            </w:r>
            <w:r w:rsidR="00F47948">
              <w:rPr>
                <w:rFonts w:ascii="Times New Roman" w:hAnsi="Times New Roman"/>
                <w:sz w:val="24"/>
                <w:szCs w:val="24"/>
              </w:rPr>
              <w:t>,</w:t>
            </w:r>
            <w:r w:rsidR="008F69BB" w:rsidRPr="00F478CE">
              <w:rPr>
                <w:rFonts w:ascii="Times New Roman" w:hAnsi="Times New Roman"/>
                <w:sz w:val="24"/>
                <w:szCs w:val="24"/>
              </w:rPr>
              <w:t xml:space="preserve"> kurām ir publiskā finansējuma atlikumus</w:t>
            </w:r>
            <w:r w:rsidR="00F47948">
              <w:rPr>
                <w:rFonts w:ascii="Times New Roman" w:hAnsi="Times New Roman"/>
                <w:sz w:val="24"/>
                <w:szCs w:val="24"/>
              </w:rPr>
              <w:t xml:space="preserve"> kvotas ietvaros,</w:t>
            </w:r>
            <w:r w:rsidR="008F69BB" w:rsidRPr="00F478CE">
              <w:rPr>
                <w:rFonts w:ascii="Times New Roman" w:hAnsi="Times New Roman"/>
                <w:sz w:val="24"/>
                <w:szCs w:val="24"/>
              </w:rPr>
              <w:t xml:space="preserve"> šobrīd</w:t>
            </w:r>
            <w:r w:rsidR="00F47948">
              <w:rPr>
                <w:rFonts w:ascii="Times New Roman" w:hAnsi="Times New Roman"/>
                <w:sz w:val="24"/>
                <w:szCs w:val="24"/>
              </w:rPr>
              <w:t xml:space="preserve"> to</w:t>
            </w:r>
            <w:r w:rsidR="008F69BB" w:rsidRPr="00F478CE">
              <w:rPr>
                <w:rFonts w:ascii="Times New Roman" w:hAnsi="Times New Roman"/>
                <w:sz w:val="24"/>
                <w:szCs w:val="24"/>
              </w:rPr>
              <w:t xml:space="preserve"> nekur nenovirza. Pēc pieejamās informācijas uz 2019.</w:t>
            </w:r>
            <w:r w:rsidR="00CB255C">
              <w:rPr>
                <w:rFonts w:ascii="Times New Roman" w:hAnsi="Times New Roman"/>
                <w:sz w:val="24"/>
                <w:szCs w:val="24"/>
              </w:rPr>
              <w:t> </w:t>
            </w:r>
            <w:r w:rsidR="008F69BB" w:rsidRPr="00F478CE">
              <w:rPr>
                <w:rFonts w:ascii="Times New Roman" w:hAnsi="Times New Roman"/>
                <w:sz w:val="24"/>
                <w:szCs w:val="24"/>
              </w:rPr>
              <w:t>gada 1.</w:t>
            </w:r>
            <w:r w:rsidR="00CB255C">
              <w:rPr>
                <w:rFonts w:ascii="Times New Roman" w:hAnsi="Times New Roman"/>
                <w:sz w:val="24"/>
                <w:szCs w:val="24"/>
              </w:rPr>
              <w:t> </w:t>
            </w:r>
            <w:r w:rsidR="008F69BB" w:rsidRPr="00F478CE">
              <w:rPr>
                <w:rFonts w:ascii="Times New Roman" w:hAnsi="Times New Roman"/>
                <w:sz w:val="24"/>
                <w:szCs w:val="24"/>
              </w:rPr>
              <w:t>augustu kopēj</w:t>
            </w:r>
            <w:r w:rsidR="00CB255C">
              <w:rPr>
                <w:rFonts w:ascii="Times New Roman" w:hAnsi="Times New Roman"/>
                <w:sz w:val="24"/>
                <w:szCs w:val="24"/>
              </w:rPr>
              <w:t xml:space="preserve">ā pieejamā </w:t>
            </w:r>
            <w:r w:rsidR="008F69BB" w:rsidRPr="00F478CE">
              <w:rPr>
                <w:rFonts w:ascii="Times New Roman" w:hAnsi="Times New Roman"/>
                <w:sz w:val="24"/>
                <w:szCs w:val="24"/>
              </w:rPr>
              <w:t xml:space="preserve">publiskā finansējuma 4.2.1.2. pirmās atlases kārtā atlikums pēc visu projekta </w:t>
            </w:r>
            <w:r w:rsidR="00CB255C">
              <w:rPr>
                <w:rFonts w:ascii="Times New Roman" w:hAnsi="Times New Roman"/>
                <w:sz w:val="24"/>
                <w:szCs w:val="24"/>
              </w:rPr>
              <w:t>iesniegumu</w:t>
            </w:r>
            <w:r w:rsidR="008F69BB" w:rsidRPr="00F478CE">
              <w:rPr>
                <w:rFonts w:ascii="Times New Roman" w:hAnsi="Times New Roman"/>
                <w:sz w:val="24"/>
                <w:szCs w:val="24"/>
              </w:rPr>
              <w:t xml:space="preserve"> iesniegšanas CFLA veidos 4 418 805</w:t>
            </w:r>
            <w:r w:rsidR="008F69BB" w:rsidRPr="00F478CE">
              <w:rPr>
                <w:rFonts w:ascii="Times New Roman" w:hAnsi="Times New Roman"/>
                <w:i/>
                <w:iCs/>
                <w:sz w:val="24"/>
                <w:szCs w:val="24"/>
              </w:rPr>
              <w:t>euro</w:t>
            </w:r>
            <w:r w:rsidR="00CB255C">
              <w:rPr>
                <w:rFonts w:ascii="Times New Roman" w:hAnsi="Times New Roman"/>
                <w:sz w:val="24"/>
                <w:szCs w:val="24"/>
              </w:rPr>
              <w:t xml:space="preserve"> (pieņemot, ka </w:t>
            </w:r>
            <w:r w:rsidR="00676CC6">
              <w:rPr>
                <w:rFonts w:ascii="Times New Roman" w:hAnsi="Times New Roman"/>
                <w:sz w:val="24"/>
                <w:szCs w:val="24"/>
              </w:rPr>
              <w:t xml:space="preserve">liela daļa no </w:t>
            </w:r>
            <w:r w:rsidR="00CB255C">
              <w:rPr>
                <w:rFonts w:ascii="Times New Roman" w:hAnsi="Times New Roman"/>
                <w:sz w:val="24"/>
                <w:szCs w:val="24"/>
              </w:rPr>
              <w:t>ministrij</w:t>
            </w:r>
            <w:r w:rsidR="00676CC6">
              <w:rPr>
                <w:rFonts w:ascii="Times New Roman" w:hAnsi="Times New Roman"/>
                <w:sz w:val="24"/>
                <w:szCs w:val="24"/>
              </w:rPr>
              <w:t>ām</w:t>
            </w:r>
            <w:r w:rsidR="00CB255C">
              <w:rPr>
                <w:rFonts w:ascii="Times New Roman" w:hAnsi="Times New Roman"/>
                <w:sz w:val="24"/>
                <w:szCs w:val="24"/>
              </w:rPr>
              <w:t xml:space="preserve"> līdz šim ierastai praksei</w:t>
            </w:r>
            <w:r w:rsidR="00676CC6">
              <w:rPr>
                <w:rFonts w:ascii="Times New Roman" w:hAnsi="Times New Roman"/>
                <w:sz w:val="24"/>
                <w:szCs w:val="24"/>
              </w:rPr>
              <w:t xml:space="preserve"> nepalielina jau iesniegtajiem projektu iesniegumiem finansējumu)</w:t>
            </w:r>
            <w:r w:rsidR="0004780E">
              <w:rPr>
                <w:rFonts w:ascii="Times New Roman" w:hAnsi="Times New Roman"/>
                <w:sz w:val="24"/>
                <w:szCs w:val="24"/>
              </w:rPr>
              <w:t>.</w:t>
            </w:r>
            <w:r w:rsidR="008F69BB" w:rsidRPr="00F478CE">
              <w:rPr>
                <w:rFonts w:ascii="Times New Roman" w:hAnsi="Times New Roman"/>
                <w:sz w:val="24"/>
                <w:szCs w:val="24"/>
              </w:rPr>
              <w:t xml:space="preserve"> Ņ</w:t>
            </w:r>
            <w:r w:rsidR="00CC2F2E" w:rsidRPr="00F478CE">
              <w:rPr>
                <w:rFonts w:ascii="Times New Roman" w:hAnsi="Times New Roman"/>
                <w:sz w:val="24"/>
                <w:szCs w:val="24"/>
              </w:rPr>
              <w:t>emot vērā</w:t>
            </w:r>
            <w:r w:rsidR="000010B9" w:rsidRPr="00F478CE">
              <w:rPr>
                <w:rFonts w:ascii="Times New Roman" w:hAnsi="Times New Roman"/>
                <w:sz w:val="24"/>
                <w:szCs w:val="24"/>
              </w:rPr>
              <w:t xml:space="preserve"> minēto un,</w:t>
            </w:r>
            <w:r w:rsidR="00CC2F2E" w:rsidRPr="00F478CE">
              <w:rPr>
                <w:rFonts w:ascii="Times New Roman" w:hAnsi="Times New Roman"/>
                <w:sz w:val="24"/>
                <w:szCs w:val="24"/>
              </w:rPr>
              <w:t xml:space="preserve"> ka vidēji nepieciešami 3 gadi no projekta pieteikuma iesniegšanas CFLA līdz ēkas nodošanai ekspluatācijā</w:t>
            </w:r>
            <w:r w:rsidR="001F1613" w:rsidRPr="00F478CE">
              <w:rPr>
                <w:rFonts w:ascii="Times New Roman" w:hAnsi="Times New Roman"/>
                <w:sz w:val="24"/>
                <w:szCs w:val="24"/>
              </w:rPr>
              <w:t>, pastāv risks, ka liela daļa no projektiem netiks īstenoti vai arī vēlāk tiks atsaukti nepietiekama finansējuma</w:t>
            </w:r>
            <w:r w:rsidR="00CB255C">
              <w:rPr>
                <w:rFonts w:ascii="Times New Roman" w:hAnsi="Times New Roman"/>
                <w:sz w:val="24"/>
                <w:szCs w:val="24"/>
              </w:rPr>
              <w:t>,</w:t>
            </w:r>
            <w:r w:rsidR="001F1613" w:rsidRPr="00F478CE">
              <w:rPr>
                <w:rFonts w:ascii="Times New Roman" w:hAnsi="Times New Roman"/>
                <w:sz w:val="24"/>
                <w:szCs w:val="24"/>
              </w:rPr>
              <w:t xml:space="preserve"> vai rādītāju neizpildes dēļ</w:t>
            </w:r>
            <w:r w:rsidR="00CB255C">
              <w:rPr>
                <w:rFonts w:ascii="Times New Roman" w:hAnsi="Times New Roman"/>
                <w:sz w:val="24"/>
                <w:szCs w:val="24"/>
              </w:rPr>
              <w:t>, līdz ar to</w:t>
            </w:r>
            <w:r w:rsidR="00466D1F">
              <w:rPr>
                <w:rFonts w:ascii="Times New Roman" w:hAnsi="Times New Roman"/>
                <w:sz w:val="24"/>
                <w:szCs w:val="24"/>
              </w:rPr>
              <w:t xml:space="preserve"> publiskā finansējuma</w:t>
            </w:r>
            <w:r w:rsidR="00CB255C">
              <w:rPr>
                <w:rFonts w:ascii="Times New Roman" w:hAnsi="Times New Roman"/>
                <w:sz w:val="24"/>
                <w:szCs w:val="24"/>
              </w:rPr>
              <w:t xml:space="preserve"> atlikums paredzams vēl lielākā apmērā</w:t>
            </w:r>
            <w:r w:rsidR="00876556">
              <w:rPr>
                <w:rFonts w:ascii="Times New Roman" w:hAnsi="Times New Roman"/>
                <w:sz w:val="24"/>
                <w:szCs w:val="24"/>
              </w:rPr>
              <w:t xml:space="preserve">. </w:t>
            </w:r>
          </w:p>
          <w:p w14:paraId="5CC033F3" w14:textId="5A501E53" w:rsidR="00876556" w:rsidRPr="008B7F6D" w:rsidRDefault="00033F47" w:rsidP="0004780E">
            <w:pPr>
              <w:spacing w:after="240" w:line="240" w:lineRule="auto"/>
              <w:jc w:val="both"/>
              <w:rPr>
                <w:rFonts w:ascii="Times New Roman" w:hAnsi="Times New Roman"/>
                <w:sz w:val="24"/>
                <w:szCs w:val="24"/>
              </w:rPr>
            </w:pPr>
            <w:r>
              <w:rPr>
                <w:rFonts w:ascii="Times New Roman" w:hAnsi="Times New Roman"/>
                <w:sz w:val="24"/>
                <w:szCs w:val="24"/>
              </w:rPr>
              <w:t>Ņemot vērā</w:t>
            </w:r>
            <w:r w:rsidR="00B431F1">
              <w:rPr>
                <w:rFonts w:ascii="Times New Roman" w:hAnsi="Times New Roman"/>
                <w:sz w:val="24"/>
                <w:szCs w:val="24"/>
              </w:rPr>
              <w:t xml:space="preserve"> minēto, </w:t>
            </w:r>
            <w:r w:rsidR="00466D1F">
              <w:rPr>
                <w:rFonts w:ascii="Times New Roman" w:hAnsi="Times New Roman"/>
                <w:sz w:val="24"/>
                <w:szCs w:val="24"/>
              </w:rPr>
              <w:t xml:space="preserve"> pastāv risks</w:t>
            </w:r>
            <w:r>
              <w:rPr>
                <w:rFonts w:ascii="Times New Roman" w:hAnsi="Times New Roman"/>
                <w:sz w:val="24"/>
                <w:szCs w:val="24"/>
              </w:rPr>
              <w:t xml:space="preserve"> nenodrošin</w:t>
            </w:r>
            <w:r w:rsidR="00466D1F">
              <w:rPr>
                <w:rFonts w:ascii="Times New Roman" w:hAnsi="Times New Roman"/>
                <w:sz w:val="24"/>
                <w:szCs w:val="24"/>
              </w:rPr>
              <w:t>āt publiskā</w:t>
            </w:r>
            <w:r>
              <w:rPr>
                <w:rFonts w:ascii="Times New Roman" w:hAnsi="Times New Roman"/>
                <w:sz w:val="24"/>
                <w:szCs w:val="24"/>
              </w:rPr>
              <w:t xml:space="preserve"> finansējuma apguvi, </w:t>
            </w:r>
            <w:r w:rsidR="00876556">
              <w:rPr>
                <w:rFonts w:ascii="Times New Roman" w:hAnsi="Times New Roman"/>
                <w:sz w:val="24"/>
                <w:szCs w:val="24"/>
              </w:rPr>
              <w:t>Noteikumu</w:t>
            </w:r>
            <w:r w:rsidR="00876556" w:rsidRPr="008B7F6D">
              <w:rPr>
                <w:rFonts w:ascii="Times New Roman" w:hAnsi="Times New Roman"/>
                <w:sz w:val="24"/>
                <w:szCs w:val="24"/>
              </w:rPr>
              <w:t xml:space="preserve"> projekts paredz šādas izmaiņas</w:t>
            </w:r>
            <w:r w:rsidR="00876556">
              <w:rPr>
                <w:rFonts w:ascii="Times New Roman" w:hAnsi="Times New Roman"/>
                <w:sz w:val="24"/>
                <w:szCs w:val="24"/>
              </w:rPr>
              <w:t xml:space="preserve"> </w:t>
            </w:r>
            <w:r w:rsidR="00876556" w:rsidRPr="008B7F6D">
              <w:rPr>
                <w:rFonts w:ascii="Times New Roman" w:hAnsi="Times New Roman"/>
                <w:sz w:val="24"/>
                <w:szCs w:val="24"/>
              </w:rPr>
              <w:t>MK noteikumos Nr. </w:t>
            </w:r>
            <w:r w:rsidR="00876556">
              <w:rPr>
                <w:rFonts w:ascii="Times New Roman" w:hAnsi="Times New Roman"/>
                <w:sz w:val="24"/>
                <w:szCs w:val="24"/>
              </w:rPr>
              <w:t>534</w:t>
            </w:r>
            <w:r w:rsidR="00876556" w:rsidRPr="008B7F6D">
              <w:rPr>
                <w:rFonts w:ascii="Times New Roman" w:hAnsi="Times New Roman"/>
                <w:sz w:val="24"/>
                <w:szCs w:val="24"/>
              </w:rPr>
              <w:t>:</w:t>
            </w:r>
          </w:p>
          <w:p w14:paraId="1ADA9FEA" w14:textId="77777777" w:rsidR="008D2D7A" w:rsidRDefault="008D2D7A" w:rsidP="007B576C">
            <w:pPr>
              <w:spacing w:after="0" w:line="240" w:lineRule="auto"/>
              <w:ind w:right="35"/>
              <w:contextualSpacing/>
              <w:jc w:val="both"/>
              <w:rPr>
                <w:rFonts w:ascii="Times New Roman" w:hAnsi="Times New Roman"/>
                <w:sz w:val="24"/>
                <w:szCs w:val="24"/>
              </w:rPr>
            </w:pPr>
          </w:p>
          <w:p w14:paraId="50358D41" w14:textId="7F4394E9" w:rsidR="008D2D7A" w:rsidRPr="00E40809" w:rsidRDefault="008D2D7A" w:rsidP="008D2D7A">
            <w:pPr>
              <w:pStyle w:val="ListParagraph"/>
              <w:numPr>
                <w:ilvl w:val="0"/>
                <w:numId w:val="6"/>
              </w:numPr>
              <w:spacing w:after="0" w:line="240" w:lineRule="auto"/>
              <w:ind w:left="55" w:right="35" w:hanging="76"/>
              <w:jc w:val="both"/>
              <w:rPr>
                <w:rFonts w:ascii="Times New Roman" w:hAnsi="Times New Roman"/>
                <w:sz w:val="24"/>
                <w:szCs w:val="24"/>
              </w:rPr>
            </w:pPr>
            <w:r>
              <w:rPr>
                <w:rFonts w:ascii="Times New Roman" w:hAnsi="Times New Roman"/>
                <w:b/>
                <w:i/>
                <w:sz w:val="24"/>
                <w:szCs w:val="24"/>
                <w:u w:val="single"/>
              </w:rPr>
              <w:t>Precizēt MK noteikumu Nr.</w:t>
            </w:r>
            <w:r w:rsidR="00876556">
              <w:rPr>
                <w:rFonts w:ascii="Times New Roman" w:hAnsi="Times New Roman"/>
                <w:b/>
                <w:i/>
                <w:sz w:val="24"/>
                <w:szCs w:val="24"/>
                <w:u w:val="single"/>
              </w:rPr>
              <w:t> </w:t>
            </w:r>
            <w:r>
              <w:rPr>
                <w:rFonts w:ascii="Times New Roman" w:hAnsi="Times New Roman"/>
                <w:b/>
                <w:i/>
                <w:sz w:val="24"/>
                <w:szCs w:val="24"/>
                <w:u w:val="single"/>
              </w:rPr>
              <w:t>534 1.</w:t>
            </w:r>
            <w:r w:rsidR="00876556">
              <w:rPr>
                <w:rFonts w:ascii="Times New Roman" w:hAnsi="Times New Roman"/>
                <w:b/>
                <w:i/>
                <w:sz w:val="24"/>
                <w:szCs w:val="24"/>
                <w:u w:val="single"/>
              </w:rPr>
              <w:t> </w:t>
            </w:r>
            <w:r>
              <w:rPr>
                <w:rFonts w:ascii="Times New Roman" w:hAnsi="Times New Roman"/>
                <w:b/>
                <w:i/>
                <w:sz w:val="24"/>
                <w:szCs w:val="24"/>
                <w:u w:val="single"/>
              </w:rPr>
              <w:t>pielikumu, neparedzot kvotu sadalījumu.</w:t>
            </w:r>
          </w:p>
          <w:p w14:paraId="1791E4DB" w14:textId="19C34EA1" w:rsidR="0031019E" w:rsidRDefault="008D2D7A" w:rsidP="00511C14">
            <w:pPr>
              <w:spacing w:after="0"/>
              <w:contextualSpacing/>
              <w:jc w:val="both"/>
              <w:rPr>
                <w:rFonts w:ascii="Times New Roman" w:hAnsi="Times New Roman"/>
                <w:sz w:val="24"/>
                <w:szCs w:val="24"/>
              </w:rPr>
            </w:pPr>
            <w:r>
              <w:rPr>
                <w:rFonts w:ascii="Times New Roman" w:hAnsi="Times New Roman"/>
                <w:sz w:val="24"/>
                <w:szCs w:val="24"/>
              </w:rPr>
              <w:t xml:space="preserve"> </w:t>
            </w:r>
            <w:r w:rsidRPr="0059104A">
              <w:rPr>
                <w:rFonts w:ascii="Times New Roman" w:hAnsi="Times New Roman"/>
                <w:sz w:val="24"/>
                <w:szCs w:val="24"/>
              </w:rPr>
              <w:t xml:space="preserve">MK </w:t>
            </w:r>
            <w:r w:rsidR="00C9264F" w:rsidRPr="0059104A">
              <w:rPr>
                <w:rFonts w:ascii="Times New Roman" w:hAnsi="Times New Roman"/>
                <w:sz w:val="24"/>
                <w:szCs w:val="24"/>
              </w:rPr>
              <w:t>noteikum</w:t>
            </w:r>
            <w:r w:rsidR="00C9264F">
              <w:rPr>
                <w:rFonts w:ascii="Times New Roman" w:hAnsi="Times New Roman"/>
                <w:sz w:val="24"/>
                <w:szCs w:val="24"/>
              </w:rPr>
              <w:t>u</w:t>
            </w:r>
            <w:r w:rsidR="00C9264F" w:rsidRPr="0059104A">
              <w:rPr>
                <w:rFonts w:ascii="Times New Roman" w:hAnsi="Times New Roman"/>
                <w:sz w:val="24"/>
                <w:szCs w:val="24"/>
              </w:rPr>
              <w:t xml:space="preserve"> </w:t>
            </w:r>
            <w:r w:rsidRPr="0059104A">
              <w:rPr>
                <w:rFonts w:ascii="Times New Roman" w:hAnsi="Times New Roman"/>
                <w:sz w:val="24"/>
                <w:szCs w:val="24"/>
              </w:rPr>
              <w:t>Nr. 534</w:t>
            </w:r>
            <w:r>
              <w:rPr>
                <w:rFonts w:ascii="Times New Roman" w:hAnsi="Times New Roman"/>
                <w:sz w:val="24"/>
                <w:szCs w:val="24"/>
              </w:rPr>
              <w:t xml:space="preserve"> 1.</w:t>
            </w:r>
            <w:r w:rsidR="00C9264F">
              <w:rPr>
                <w:rFonts w:ascii="Times New Roman" w:hAnsi="Times New Roman"/>
                <w:sz w:val="24"/>
                <w:szCs w:val="24"/>
              </w:rPr>
              <w:t> </w:t>
            </w:r>
            <w:r>
              <w:rPr>
                <w:rFonts w:ascii="Times New Roman" w:hAnsi="Times New Roman"/>
                <w:sz w:val="24"/>
                <w:szCs w:val="24"/>
              </w:rPr>
              <w:t>pielikumā</w:t>
            </w:r>
            <w:r w:rsidRPr="0059104A">
              <w:rPr>
                <w:rFonts w:ascii="Times New Roman" w:hAnsi="Times New Roman"/>
                <w:sz w:val="24"/>
                <w:szCs w:val="24"/>
              </w:rPr>
              <w:t xml:space="preserve"> ir </w:t>
            </w:r>
            <w:r>
              <w:rPr>
                <w:rFonts w:ascii="Times New Roman" w:hAnsi="Times New Roman"/>
                <w:sz w:val="24"/>
                <w:szCs w:val="24"/>
              </w:rPr>
              <w:t xml:space="preserve">noteikts kvotu sadalījums pa resoriem. Lai nodrošinātu </w:t>
            </w:r>
            <w:r w:rsidRPr="00964DD2">
              <w:rPr>
                <w:rFonts w:ascii="Times New Roman" w:hAnsi="Times New Roman"/>
                <w:sz w:val="24"/>
                <w:szCs w:val="24"/>
              </w:rPr>
              <w:t xml:space="preserve">pieejamā </w:t>
            </w:r>
            <w:r w:rsidR="00C9264F">
              <w:rPr>
                <w:rFonts w:ascii="Times New Roman" w:hAnsi="Times New Roman"/>
                <w:sz w:val="24"/>
                <w:szCs w:val="24"/>
              </w:rPr>
              <w:t xml:space="preserve">kopējā publiskā </w:t>
            </w:r>
            <w:r w:rsidRPr="00964DD2">
              <w:rPr>
                <w:rFonts w:ascii="Times New Roman" w:hAnsi="Times New Roman"/>
                <w:sz w:val="24"/>
                <w:szCs w:val="24"/>
              </w:rPr>
              <w:t>finansējuma apguvi</w:t>
            </w:r>
            <w:r>
              <w:rPr>
                <w:rFonts w:ascii="Times New Roman" w:hAnsi="Times New Roman"/>
                <w:sz w:val="24"/>
                <w:szCs w:val="24"/>
              </w:rPr>
              <w:t xml:space="preserve"> un Direktīvas </w:t>
            </w:r>
            <w:r w:rsidRPr="00964DD2">
              <w:rPr>
                <w:rFonts w:ascii="Times New Roman" w:hAnsi="Times New Roman"/>
                <w:sz w:val="24"/>
                <w:szCs w:val="24"/>
              </w:rPr>
              <w:t>2012/27ES</w:t>
            </w:r>
            <w:r>
              <w:rPr>
                <w:rFonts w:ascii="Times New Roman" w:hAnsi="Times New Roman"/>
                <w:sz w:val="24"/>
                <w:szCs w:val="24"/>
              </w:rPr>
              <w:t xml:space="preserve"> prasību izpildi, </w:t>
            </w:r>
            <w:r w:rsidR="00771FE3">
              <w:rPr>
                <w:rFonts w:ascii="Times New Roman" w:hAnsi="Times New Roman"/>
                <w:sz w:val="24"/>
                <w:szCs w:val="24"/>
              </w:rPr>
              <w:t>Ekonomikas m</w:t>
            </w:r>
            <w:r>
              <w:rPr>
                <w:rFonts w:ascii="Times New Roman" w:hAnsi="Times New Roman"/>
                <w:sz w:val="24"/>
                <w:szCs w:val="24"/>
              </w:rPr>
              <w:t>inistrija ierosina neparedzēt kvotu sadalījumu</w:t>
            </w:r>
            <w:r w:rsidR="00771FE3">
              <w:rPr>
                <w:rFonts w:ascii="Times New Roman" w:hAnsi="Times New Roman"/>
                <w:sz w:val="24"/>
                <w:szCs w:val="24"/>
              </w:rPr>
              <w:t xml:space="preserve"> starp </w:t>
            </w:r>
            <w:r w:rsidR="00771FE3">
              <w:rPr>
                <w:rFonts w:ascii="Times New Roman" w:hAnsi="Times New Roman"/>
                <w:sz w:val="24"/>
                <w:szCs w:val="24"/>
              </w:rPr>
              <w:lastRenderedPageBreak/>
              <w:t>ministrijām</w:t>
            </w:r>
            <w:r>
              <w:rPr>
                <w:rFonts w:ascii="Times New Roman" w:hAnsi="Times New Roman"/>
                <w:sz w:val="24"/>
                <w:szCs w:val="24"/>
              </w:rPr>
              <w:t xml:space="preserve"> un nozīmēt</w:t>
            </w:r>
            <w:r w:rsidR="00771FE3">
              <w:rPr>
                <w:rFonts w:ascii="Times New Roman" w:hAnsi="Times New Roman"/>
                <w:sz w:val="24"/>
                <w:szCs w:val="24"/>
              </w:rPr>
              <w:t xml:space="preserve"> </w:t>
            </w:r>
            <w:r w:rsidR="00F75CEA">
              <w:rPr>
                <w:rFonts w:ascii="Times New Roman" w:hAnsi="Times New Roman"/>
                <w:sz w:val="24"/>
                <w:szCs w:val="24"/>
              </w:rPr>
              <w:t>E</w:t>
            </w:r>
            <w:r w:rsidR="00771FE3">
              <w:rPr>
                <w:rFonts w:ascii="Times New Roman" w:hAnsi="Times New Roman"/>
                <w:sz w:val="24"/>
                <w:szCs w:val="24"/>
              </w:rPr>
              <w:t>konomikas m</w:t>
            </w:r>
            <w:r>
              <w:rPr>
                <w:rFonts w:ascii="Times New Roman" w:hAnsi="Times New Roman"/>
                <w:sz w:val="24"/>
                <w:szCs w:val="24"/>
              </w:rPr>
              <w:t xml:space="preserve">inistriju kā atbildīgo par visu </w:t>
            </w:r>
            <w:bookmarkStart w:id="1" w:name="_Hlk19700167"/>
            <w:r w:rsidR="00C9264F" w:rsidRPr="00F478CE">
              <w:rPr>
                <w:rFonts w:ascii="Times New Roman" w:hAnsi="Times New Roman"/>
                <w:sz w:val="24"/>
                <w:szCs w:val="24"/>
              </w:rPr>
              <w:t xml:space="preserve">4.2.1.2. </w:t>
            </w:r>
            <w:r w:rsidR="004C1198">
              <w:rPr>
                <w:rFonts w:ascii="Times New Roman" w:hAnsi="Times New Roman"/>
                <w:sz w:val="24"/>
                <w:szCs w:val="24"/>
              </w:rPr>
              <w:t xml:space="preserve">pasākuma </w:t>
            </w:r>
            <w:r w:rsidR="00C9264F" w:rsidRPr="00F478CE">
              <w:rPr>
                <w:rFonts w:ascii="Times New Roman" w:hAnsi="Times New Roman"/>
                <w:sz w:val="24"/>
                <w:szCs w:val="24"/>
              </w:rPr>
              <w:t xml:space="preserve">pirmās </w:t>
            </w:r>
            <w:r>
              <w:rPr>
                <w:rFonts w:ascii="Times New Roman" w:hAnsi="Times New Roman"/>
                <w:sz w:val="24"/>
                <w:szCs w:val="24"/>
              </w:rPr>
              <w:t xml:space="preserve">atlases kārtai </w:t>
            </w:r>
            <w:r w:rsidR="00C9264F">
              <w:rPr>
                <w:rFonts w:ascii="Times New Roman" w:hAnsi="Times New Roman"/>
                <w:sz w:val="24"/>
                <w:szCs w:val="24"/>
              </w:rPr>
              <w:t xml:space="preserve">kopējā </w:t>
            </w:r>
            <w:r>
              <w:rPr>
                <w:rFonts w:ascii="Times New Roman" w:hAnsi="Times New Roman"/>
                <w:sz w:val="24"/>
                <w:szCs w:val="24"/>
              </w:rPr>
              <w:t>publiskā finansējuma sadalījumu</w:t>
            </w:r>
            <w:bookmarkEnd w:id="1"/>
            <w:r w:rsidR="00771FE3">
              <w:rPr>
                <w:rFonts w:ascii="Times New Roman" w:hAnsi="Times New Roman"/>
                <w:sz w:val="24"/>
                <w:szCs w:val="24"/>
              </w:rPr>
              <w:t>.</w:t>
            </w:r>
            <w:r w:rsidR="00771FE3" w:rsidRPr="00771FE3">
              <w:rPr>
                <w:rFonts w:ascii="Times New Roman" w:hAnsi="Times New Roman"/>
                <w:sz w:val="24"/>
                <w:szCs w:val="24"/>
              </w:rPr>
              <w:t xml:space="preserve"> Ekonomikas ministrija, kā atbildīgā par visu atlases kārtai publiskā finansējuma</w:t>
            </w:r>
            <w:r w:rsidR="00771FE3">
              <w:rPr>
                <w:rFonts w:ascii="Times New Roman" w:hAnsi="Times New Roman"/>
                <w:sz w:val="24"/>
                <w:szCs w:val="24"/>
              </w:rPr>
              <w:t xml:space="preserve"> </w:t>
            </w:r>
            <w:r w:rsidR="00771FE3" w:rsidRPr="00771FE3">
              <w:rPr>
                <w:rFonts w:ascii="Times New Roman" w:hAnsi="Times New Roman"/>
                <w:sz w:val="24"/>
                <w:szCs w:val="24"/>
              </w:rPr>
              <w:t>sadalījumu, regulāri sekos Kohēzijas politikas fondu vadības informācijas sistēmā iesniegtiem projektu iesniegumiem un atjaunos</w:t>
            </w:r>
            <w:r w:rsidR="004C1198">
              <w:rPr>
                <w:rFonts w:ascii="Times New Roman" w:hAnsi="Times New Roman"/>
                <w:sz w:val="24"/>
                <w:szCs w:val="24"/>
              </w:rPr>
              <w:t xml:space="preserve"> </w:t>
            </w:r>
            <w:r w:rsidR="004C1198" w:rsidRPr="004C1198">
              <w:rPr>
                <w:rFonts w:ascii="Times New Roman" w:hAnsi="Times New Roman"/>
                <w:sz w:val="24"/>
                <w:szCs w:val="24"/>
              </w:rPr>
              <w:t xml:space="preserve">sarakstu ar ministriju un to padotības iestāžu īpašumā un lietošanā esošajām valsts ēkām, kurās 4.2.1.2. </w:t>
            </w:r>
            <w:r w:rsidR="004C1198">
              <w:rPr>
                <w:rFonts w:ascii="Times New Roman" w:hAnsi="Times New Roman"/>
                <w:sz w:val="24"/>
                <w:szCs w:val="24"/>
              </w:rPr>
              <w:t xml:space="preserve">pasākuma </w:t>
            </w:r>
            <w:r w:rsidR="004C1198" w:rsidRPr="00F478CE">
              <w:rPr>
                <w:rFonts w:ascii="Times New Roman" w:hAnsi="Times New Roman"/>
                <w:sz w:val="24"/>
                <w:szCs w:val="24"/>
              </w:rPr>
              <w:t xml:space="preserve">pirmās </w:t>
            </w:r>
            <w:r w:rsidR="004C1198">
              <w:rPr>
                <w:rFonts w:ascii="Times New Roman" w:hAnsi="Times New Roman"/>
                <w:sz w:val="24"/>
                <w:szCs w:val="24"/>
              </w:rPr>
              <w:t>atlases kārtas</w:t>
            </w:r>
            <w:r w:rsidR="004C1198" w:rsidRPr="004C1198">
              <w:rPr>
                <w:rFonts w:ascii="Times New Roman" w:hAnsi="Times New Roman"/>
                <w:sz w:val="24"/>
                <w:szCs w:val="24"/>
              </w:rPr>
              <w:t xml:space="preserve"> ietvaros plānots īstenot energoefektivitātes paaugstināšanas pasākumus (turpmāk - prioritārais valsts ēku saraksts</w:t>
            </w:r>
            <w:r w:rsidR="00924920">
              <w:rPr>
                <w:rFonts w:ascii="Times New Roman" w:hAnsi="Times New Roman"/>
                <w:sz w:val="24"/>
                <w:szCs w:val="24"/>
              </w:rPr>
              <w:t xml:space="preserve">), kas publicēts Ekonomikas ministrijas mājaslapā </w:t>
            </w:r>
            <w:r w:rsidR="00237940">
              <w:rPr>
                <w:rFonts w:ascii="Times New Roman" w:hAnsi="Times New Roman"/>
                <w:sz w:val="24"/>
                <w:szCs w:val="24"/>
              </w:rPr>
              <w:t xml:space="preserve">(skatīt </w:t>
            </w:r>
            <w:hyperlink r:id="rId8" w:history="1">
              <w:r w:rsidR="00237940" w:rsidRPr="00872994">
                <w:rPr>
                  <w:rStyle w:val="Hyperlink"/>
                  <w:rFonts w:ascii="Times New Roman" w:hAnsi="Times New Roman"/>
                  <w:sz w:val="24"/>
                  <w:szCs w:val="24"/>
                </w:rPr>
                <w:t>https://www.em.gov.lv/lv/es_fondi/atbalsta_pasakumi_2014_2020/energetika_un_energoefektivitate/veicinat_energoefektivitates_paaugstinasanu_valsts_ekas_/</w:t>
              </w:r>
            </w:hyperlink>
            <w:r w:rsidR="00237940">
              <w:rPr>
                <w:rFonts w:ascii="Times New Roman" w:hAnsi="Times New Roman"/>
                <w:sz w:val="24"/>
                <w:szCs w:val="24"/>
              </w:rPr>
              <w:t xml:space="preserve"> ) </w:t>
            </w:r>
            <w:r w:rsidR="00511C14">
              <w:rPr>
                <w:rFonts w:ascii="Times New Roman" w:hAnsi="Times New Roman"/>
                <w:sz w:val="24"/>
                <w:szCs w:val="24"/>
              </w:rPr>
              <w:t>un, kurā</w:t>
            </w:r>
            <w:r w:rsidR="00771FE3" w:rsidRPr="00771FE3">
              <w:rPr>
                <w:rFonts w:ascii="Times New Roman" w:hAnsi="Times New Roman"/>
                <w:sz w:val="24"/>
                <w:szCs w:val="24"/>
              </w:rPr>
              <w:t xml:space="preserve"> būs atspoguļota aktuālā informācija par</w:t>
            </w:r>
            <w:r w:rsidR="00511C14">
              <w:rPr>
                <w:rFonts w:ascii="Times New Roman" w:hAnsi="Times New Roman"/>
                <w:sz w:val="24"/>
                <w:szCs w:val="24"/>
              </w:rPr>
              <w:t xml:space="preserve"> atlikušo</w:t>
            </w:r>
            <w:r w:rsidR="00771FE3" w:rsidRPr="00771FE3">
              <w:rPr>
                <w:rFonts w:ascii="Times New Roman" w:hAnsi="Times New Roman"/>
                <w:sz w:val="24"/>
                <w:szCs w:val="24"/>
              </w:rPr>
              <w:t xml:space="preserve"> pieejamo</w:t>
            </w:r>
            <w:r w:rsidR="00511C14">
              <w:rPr>
                <w:rFonts w:ascii="Times New Roman" w:hAnsi="Times New Roman"/>
                <w:sz w:val="24"/>
                <w:szCs w:val="24"/>
              </w:rPr>
              <w:t xml:space="preserve"> kopējo</w:t>
            </w:r>
            <w:r w:rsidR="00771FE3" w:rsidRPr="00771FE3">
              <w:rPr>
                <w:rFonts w:ascii="Times New Roman" w:hAnsi="Times New Roman"/>
                <w:sz w:val="24"/>
                <w:szCs w:val="24"/>
              </w:rPr>
              <w:t xml:space="preserve"> publisko finansējumu.</w:t>
            </w:r>
            <w:r w:rsidR="00771FE3" w:rsidRPr="003D6131">
              <w:rPr>
                <w:rFonts w:ascii="Times New Roman" w:hAnsi="Times New Roman"/>
                <w:sz w:val="24"/>
                <w:szCs w:val="24"/>
              </w:rPr>
              <w:t xml:space="preserve"> </w:t>
            </w:r>
          </w:p>
          <w:p w14:paraId="17A57F74" w14:textId="0CCD5B19" w:rsidR="0031019E" w:rsidRDefault="00511C14" w:rsidP="004B320A">
            <w:pPr>
              <w:spacing w:after="0"/>
              <w:contextualSpacing/>
              <w:jc w:val="both"/>
              <w:rPr>
                <w:rFonts w:ascii="Times New Roman" w:hAnsi="Times New Roman"/>
                <w:sz w:val="24"/>
                <w:szCs w:val="24"/>
              </w:rPr>
            </w:pPr>
            <w:r>
              <w:rPr>
                <w:rFonts w:ascii="Times New Roman" w:hAnsi="Times New Roman"/>
                <w:sz w:val="24"/>
                <w:szCs w:val="24"/>
              </w:rPr>
              <w:t>Prioritārajā valsts ēku sarakstā</w:t>
            </w:r>
            <w:r w:rsidR="0031019E">
              <w:rPr>
                <w:rFonts w:ascii="Times New Roman" w:hAnsi="Times New Roman"/>
                <w:sz w:val="24"/>
                <w:szCs w:val="24"/>
              </w:rPr>
              <w:t xml:space="preserve"> tiks apspoguļots iesniegto projektu iesniegumu publiskais finansējums, kā arī tiks aktualizēta informācija, ja tiks veikti grozījumi</w:t>
            </w:r>
            <w:r>
              <w:rPr>
                <w:rFonts w:ascii="Times New Roman" w:hAnsi="Times New Roman"/>
                <w:sz w:val="24"/>
                <w:szCs w:val="24"/>
              </w:rPr>
              <w:t xml:space="preserve"> jau noslēgtajos līgumos/vienošanās ar CFLA</w:t>
            </w:r>
            <w:r w:rsidR="0031019E">
              <w:rPr>
                <w:rFonts w:ascii="Times New Roman" w:hAnsi="Times New Roman"/>
                <w:sz w:val="24"/>
                <w:szCs w:val="24"/>
              </w:rPr>
              <w:t xml:space="preserve">, </w:t>
            </w:r>
            <w:r>
              <w:rPr>
                <w:rFonts w:ascii="Times New Roman" w:hAnsi="Times New Roman"/>
                <w:sz w:val="24"/>
                <w:szCs w:val="24"/>
              </w:rPr>
              <w:t xml:space="preserve">paredzot </w:t>
            </w:r>
            <w:r w:rsidR="0031019E">
              <w:rPr>
                <w:rFonts w:ascii="Times New Roman" w:hAnsi="Times New Roman"/>
                <w:sz w:val="24"/>
                <w:szCs w:val="24"/>
              </w:rPr>
              <w:t>attiecināmo izmaksu palielināšan</w:t>
            </w:r>
            <w:r>
              <w:rPr>
                <w:rFonts w:ascii="Times New Roman" w:hAnsi="Times New Roman"/>
                <w:sz w:val="24"/>
                <w:szCs w:val="24"/>
              </w:rPr>
              <w:t>u</w:t>
            </w:r>
            <w:r w:rsidR="0031019E">
              <w:rPr>
                <w:rFonts w:ascii="Times New Roman" w:hAnsi="Times New Roman"/>
                <w:sz w:val="24"/>
                <w:szCs w:val="24"/>
              </w:rPr>
              <w:t xml:space="preserve"> vai samazināšan</w:t>
            </w:r>
            <w:r>
              <w:rPr>
                <w:rFonts w:ascii="Times New Roman" w:hAnsi="Times New Roman"/>
                <w:sz w:val="24"/>
                <w:szCs w:val="24"/>
              </w:rPr>
              <w:t>u</w:t>
            </w:r>
            <w:r w:rsidR="0031019E">
              <w:rPr>
                <w:rFonts w:ascii="Times New Roman" w:hAnsi="Times New Roman"/>
                <w:sz w:val="24"/>
                <w:szCs w:val="24"/>
              </w:rPr>
              <w:t xml:space="preserve">, pēc kā </w:t>
            </w:r>
            <w:r>
              <w:rPr>
                <w:rFonts w:ascii="Times New Roman" w:hAnsi="Times New Roman"/>
                <w:sz w:val="24"/>
                <w:szCs w:val="24"/>
              </w:rPr>
              <w:t xml:space="preserve">projekta iesniedzēji </w:t>
            </w:r>
            <w:r w:rsidR="0031019E">
              <w:rPr>
                <w:rFonts w:ascii="Times New Roman" w:hAnsi="Times New Roman"/>
                <w:sz w:val="24"/>
                <w:szCs w:val="24"/>
              </w:rPr>
              <w:t xml:space="preserve">varēs redzēt </w:t>
            </w:r>
            <w:r w:rsidRPr="00F478CE">
              <w:rPr>
                <w:rFonts w:ascii="Times New Roman" w:hAnsi="Times New Roman"/>
                <w:sz w:val="24"/>
                <w:szCs w:val="24"/>
              </w:rPr>
              <w:t xml:space="preserve">4.2.1.2. </w:t>
            </w:r>
            <w:r>
              <w:rPr>
                <w:rFonts w:ascii="Times New Roman" w:hAnsi="Times New Roman"/>
                <w:sz w:val="24"/>
                <w:szCs w:val="24"/>
              </w:rPr>
              <w:t xml:space="preserve">pasākuma </w:t>
            </w:r>
            <w:r w:rsidRPr="00F478CE">
              <w:rPr>
                <w:rFonts w:ascii="Times New Roman" w:hAnsi="Times New Roman"/>
                <w:sz w:val="24"/>
                <w:szCs w:val="24"/>
              </w:rPr>
              <w:t xml:space="preserve">pirmās </w:t>
            </w:r>
            <w:r>
              <w:rPr>
                <w:rFonts w:ascii="Times New Roman" w:hAnsi="Times New Roman"/>
                <w:sz w:val="24"/>
                <w:szCs w:val="24"/>
              </w:rPr>
              <w:t xml:space="preserve">atlases kārtai kopējā </w:t>
            </w:r>
            <w:r w:rsidR="00233A56">
              <w:rPr>
                <w:rFonts w:ascii="Times New Roman" w:hAnsi="Times New Roman"/>
                <w:sz w:val="24"/>
                <w:szCs w:val="24"/>
              </w:rPr>
              <w:t xml:space="preserve">publiskā finansējuma </w:t>
            </w:r>
            <w:r w:rsidR="0031019E">
              <w:rPr>
                <w:rFonts w:ascii="Times New Roman" w:hAnsi="Times New Roman"/>
                <w:sz w:val="24"/>
                <w:szCs w:val="24"/>
              </w:rPr>
              <w:t>atlikumu</w:t>
            </w:r>
            <w:r w:rsidR="00233A56">
              <w:rPr>
                <w:rFonts w:ascii="Times New Roman" w:hAnsi="Times New Roman"/>
                <w:sz w:val="24"/>
                <w:szCs w:val="24"/>
              </w:rPr>
              <w:t xml:space="preserve"> uz kuru </w:t>
            </w:r>
            <w:r w:rsidR="004127AE">
              <w:rPr>
                <w:rFonts w:ascii="Times New Roman" w:hAnsi="Times New Roman"/>
                <w:sz w:val="24"/>
                <w:szCs w:val="24"/>
              </w:rPr>
              <w:t xml:space="preserve">vēl </w:t>
            </w:r>
            <w:r w:rsidR="00233A56">
              <w:rPr>
                <w:rFonts w:ascii="Times New Roman" w:hAnsi="Times New Roman"/>
                <w:sz w:val="24"/>
                <w:szCs w:val="24"/>
              </w:rPr>
              <w:t>var pieteikties vai prasīt sadārdzinājuma gadījum</w:t>
            </w:r>
            <w:r w:rsidR="0004780E">
              <w:rPr>
                <w:rFonts w:ascii="Times New Roman" w:hAnsi="Times New Roman"/>
                <w:sz w:val="24"/>
                <w:szCs w:val="24"/>
              </w:rPr>
              <w:t>ā</w:t>
            </w:r>
            <w:r w:rsidR="00233A56">
              <w:rPr>
                <w:rFonts w:ascii="Times New Roman" w:hAnsi="Times New Roman"/>
                <w:sz w:val="24"/>
                <w:szCs w:val="24"/>
              </w:rPr>
              <w:t xml:space="preserve"> papildus finansējumu </w:t>
            </w:r>
            <w:r w:rsidR="004127AE">
              <w:rPr>
                <w:rFonts w:ascii="Times New Roman" w:hAnsi="Times New Roman"/>
                <w:sz w:val="24"/>
                <w:szCs w:val="24"/>
              </w:rPr>
              <w:t>(</w:t>
            </w:r>
            <w:r w:rsidR="00233A56">
              <w:rPr>
                <w:rFonts w:ascii="Times New Roman" w:hAnsi="Times New Roman"/>
                <w:sz w:val="24"/>
                <w:szCs w:val="24"/>
              </w:rPr>
              <w:t>jau iesniegtie un vērtēšanas procesā esošie projektu iesniedzēji</w:t>
            </w:r>
            <w:r w:rsidR="004127AE">
              <w:rPr>
                <w:rFonts w:ascii="Times New Roman" w:hAnsi="Times New Roman"/>
                <w:sz w:val="24"/>
                <w:szCs w:val="24"/>
              </w:rPr>
              <w:t>)</w:t>
            </w:r>
            <w:r w:rsidR="00233A56">
              <w:rPr>
                <w:rFonts w:ascii="Times New Roman" w:hAnsi="Times New Roman"/>
                <w:sz w:val="24"/>
                <w:szCs w:val="24"/>
              </w:rPr>
              <w:t>.</w:t>
            </w:r>
          </w:p>
          <w:p w14:paraId="127FBA0D" w14:textId="70316D2C" w:rsidR="0031019E" w:rsidRPr="003D6131" w:rsidRDefault="004127AE" w:rsidP="00771FE3">
            <w:pPr>
              <w:spacing w:after="0"/>
              <w:contextualSpacing/>
              <w:jc w:val="both"/>
              <w:rPr>
                <w:rFonts w:ascii="Times New Roman" w:hAnsi="Times New Roman"/>
                <w:sz w:val="24"/>
                <w:szCs w:val="24"/>
              </w:rPr>
            </w:pPr>
            <w:r>
              <w:rPr>
                <w:rFonts w:ascii="Times New Roman" w:hAnsi="Times New Roman"/>
                <w:sz w:val="24"/>
                <w:szCs w:val="24"/>
              </w:rPr>
              <w:t xml:space="preserve">Ēkām, kuras līdz šim bijušas iekļautas prioritārajā valsts ēku sarakstā un līdz šim nav iesniegušas projekta iesniegumu CFLA,  joprojām tiek atspoguļotas sarakstā, bet tām vairs netiks </w:t>
            </w:r>
            <w:r w:rsidR="00233A56">
              <w:rPr>
                <w:rFonts w:ascii="Times New Roman" w:hAnsi="Times New Roman"/>
                <w:sz w:val="24"/>
                <w:szCs w:val="24"/>
              </w:rPr>
              <w:t xml:space="preserve">norādīts </w:t>
            </w:r>
            <w:r>
              <w:rPr>
                <w:rFonts w:ascii="Times New Roman" w:hAnsi="Times New Roman"/>
                <w:sz w:val="24"/>
                <w:szCs w:val="24"/>
              </w:rPr>
              <w:t>nepieciešamais</w:t>
            </w:r>
            <w:r w:rsidR="00233A56">
              <w:rPr>
                <w:rFonts w:ascii="Times New Roman" w:hAnsi="Times New Roman"/>
                <w:sz w:val="24"/>
                <w:szCs w:val="24"/>
              </w:rPr>
              <w:t xml:space="preserve"> pieejamais publiskais finansējums. Katrs projekta iesniedzējs pats izvērtē</w:t>
            </w:r>
            <w:r>
              <w:rPr>
                <w:rFonts w:ascii="Times New Roman" w:hAnsi="Times New Roman"/>
                <w:sz w:val="24"/>
                <w:szCs w:val="24"/>
              </w:rPr>
              <w:t>s, kāds</w:t>
            </w:r>
            <w:r w:rsidR="00233A56">
              <w:rPr>
                <w:rFonts w:ascii="Times New Roman" w:hAnsi="Times New Roman"/>
                <w:sz w:val="24"/>
                <w:szCs w:val="24"/>
              </w:rPr>
              <w:t xml:space="preserve"> finansējum</w:t>
            </w:r>
            <w:r>
              <w:rPr>
                <w:rFonts w:ascii="Times New Roman" w:hAnsi="Times New Roman"/>
                <w:sz w:val="24"/>
                <w:szCs w:val="24"/>
              </w:rPr>
              <w:t xml:space="preserve">a apmērs </w:t>
            </w:r>
            <w:r w:rsidR="00233A56">
              <w:rPr>
                <w:rFonts w:ascii="Times New Roman" w:hAnsi="Times New Roman"/>
                <w:sz w:val="24"/>
                <w:szCs w:val="24"/>
              </w:rPr>
              <w:t>nepieciešam</w:t>
            </w:r>
            <w:r>
              <w:rPr>
                <w:rFonts w:ascii="Times New Roman" w:hAnsi="Times New Roman"/>
                <w:sz w:val="24"/>
                <w:szCs w:val="24"/>
              </w:rPr>
              <w:t>s</w:t>
            </w:r>
            <w:r w:rsidR="00233A56">
              <w:rPr>
                <w:rFonts w:ascii="Times New Roman" w:hAnsi="Times New Roman"/>
                <w:sz w:val="24"/>
                <w:szCs w:val="24"/>
              </w:rPr>
              <w:t xml:space="preserve"> energoefektivitātes pasākumu īstenošanai</w:t>
            </w:r>
            <w:r>
              <w:rPr>
                <w:rFonts w:ascii="Times New Roman" w:hAnsi="Times New Roman"/>
                <w:sz w:val="24"/>
                <w:szCs w:val="24"/>
              </w:rPr>
              <w:t>, to norādot projekta iesniegumā</w:t>
            </w:r>
            <w:r w:rsidR="00F91319">
              <w:rPr>
                <w:rFonts w:ascii="Times New Roman" w:hAnsi="Times New Roman"/>
                <w:sz w:val="24"/>
                <w:szCs w:val="24"/>
              </w:rPr>
              <w:t>. Ekonomikas ministrija regulāri</w:t>
            </w:r>
            <w:r w:rsidR="00233A56">
              <w:rPr>
                <w:rFonts w:ascii="Times New Roman" w:hAnsi="Times New Roman"/>
                <w:sz w:val="24"/>
                <w:szCs w:val="24"/>
              </w:rPr>
              <w:t xml:space="preserve"> </w:t>
            </w:r>
            <w:r w:rsidR="00F91319">
              <w:rPr>
                <w:rFonts w:ascii="Times New Roman" w:hAnsi="Times New Roman"/>
                <w:sz w:val="24"/>
                <w:szCs w:val="24"/>
              </w:rPr>
              <w:t>sekos līdzi iesniegtiem projektu iesniegumiem CFLA un aktualizēs informāciju</w:t>
            </w:r>
            <w:r>
              <w:rPr>
                <w:rFonts w:ascii="Times New Roman" w:hAnsi="Times New Roman"/>
                <w:sz w:val="24"/>
                <w:szCs w:val="24"/>
              </w:rPr>
              <w:t xml:space="preserve"> prioritārajā valsts ēku sarakstā</w:t>
            </w:r>
            <w:r w:rsidR="00F91319">
              <w:rPr>
                <w:rFonts w:ascii="Times New Roman" w:hAnsi="Times New Roman"/>
                <w:sz w:val="24"/>
                <w:szCs w:val="24"/>
              </w:rPr>
              <w:t xml:space="preserve">, </w:t>
            </w:r>
            <w:r>
              <w:rPr>
                <w:rFonts w:ascii="Times New Roman" w:hAnsi="Times New Roman"/>
                <w:sz w:val="24"/>
                <w:szCs w:val="24"/>
              </w:rPr>
              <w:t xml:space="preserve">norādot </w:t>
            </w:r>
            <w:r w:rsidR="000D7798">
              <w:rPr>
                <w:rFonts w:ascii="Times New Roman" w:hAnsi="Times New Roman"/>
                <w:sz w:val="24"/>
                <w:szCs w:val="24"/>
              </w:rPr>
              <w:t>ēkām</w:t>
            </w:r>
            <w:r>
              <w:rPr>
                <w:rFonts w:ascii="Times New Roman" w:hAnsi="Times New Roman"/>
                <w:sz w:val="24"/>
                <w:szCs w:val="24"/>
              </w:rPr>
              <w:t xml:space="preserve"> nepieciešamo publiskā finansējuma apmēru attiecināmo izmaksu segšanai. Šāda pieeja nodrošinās aktuālas informācijas pieejamību visiem projekta iesniedzējiem.  Papildus vēršam uzmanību, ka </w:t>
            </w:r>
            <w:r w:rsidRPr="00F478CE">
              <w:rPr>
                <w:rFonts w:ascii="Times New Roman" w:hAnsi="Times New Roman"/>
                <w:sz w:val="24"/>
                <w:szCs w:val="24"/>
              </w:rPr>
              <w:t xml:space="preserve">4.2.1.2. </w:t>
            </w:r>
            <w:r>
              <w:rPr>
                <w:rFonts w:ascii="Times New Roman" w:hAnsi="Times New Roman"/>
                <w:sz w:val="24"/>
                <w:szCs w:val="24"/>
              </w:rPr>
              <w:t xml:space="preserve">pasākuma </w:t>
            </w:r>
            <w:r w:rsidRPr="00F478CE">
              <w:rPr>
                <w:rFonts w:ascii="Times New Roman" w:hAnsi="Times New Roman"/>
                <w:sz w:val="24"/>
                <w:szCs w:val="24"/>
              </w:rPr>
              <w:t xml:space="preserve">pirmās </w:t>
            </w:r>
            <w:r>
              <w:rPr>
                <w:rFonts w:ascii="Times New Roman" w:hAnsi="Times New Roman"/>
                <w:sz w:val="24"/>
                <w:szCs w:val="24"/>
              </w:rPr>
              <w:t>atlases kārtas ietvaros var tikt atjaunotas tikai tās ēkas, kas iekļautas prioritārajā valsts ēku sarakstā. Ja pēc ministriju ieskatiem prioritārajā valsts ēku sarakstā nepieciešams iekļaut vēl kādu ēku, kas līdz šim tur nav bijusi, jo</w:t>
            </w:r>
            <w:r w:rsidR="00876556">
              <w:rPr>
                <w:rFonts w:ascii="Times New Roman" w:hAnsi="Times New Roman"/>
                <w:sz w:val="24"/>
                <w:szCs w:val="24"/>
              </w:rPr>
              <w:t xml:space="preserve"> līdz šim tas</w:t>
            </w:r>
            <w:r>
              <w:rPr>
                <w:rFonts w:ascii="Times New Roman" w:hAnsi="Times New Roman"/>
                <w:sz w:val="24"/>
                <w:szCs w:val="24"/>
              </w:rPr>
              <w:t xml:space="preserve"> kvotas ierobežojumu dēļ nebija iespējams, saraksts </w:t>
            </w:r>
            <w:r w:rsidR="00876556">
              <w:rPr>
                <w:rFonts w:ascii="Times New Roman" w:hAnsi="Times New Roman"/>
                <w:sz w:val="24"/>
                <w:szCs w:val="24"/>
              </w:rPr>
              <w:t xml:space="preserve">var tikt </w:t>
            </w:r>
            <w:r>
              <w:rPr>
                <w:rFonts w:ascii="Times New Roman" w:hAnsi="Times New Roman"/>
                <w:sz w:val="24"/>
                <w:szCs w:val="24"/>
              </w:rPr>
              <w:t xml:space="preserve">papildināts par to informējot </w:t>
            </w:r>
            <w:r w:rsidR="00876556">
              <w:rPr>
                <w:rFonts w:ascii="Times New Roman" w:hAnsi="Times New Roman"/>
                <w:sz w:val="24"/>
                <w:szCs w:val="24"/>
              </w:rPr>
              <w:t>Ekonomikas ministriju.</w:t>
            </w:r>
          </w:p>
          <w:p w14:paraId="365D4821" w14:textId="0430361F" w:rsidR="009C25F4" w:rsidRPr="00E40809" w:rsidRDefault="008D2D7A" w:rsidP="009C25F4">
            <w:pPr>
              <w:pStyle w:val="ListParagraph"/>
              <w:numPr>
                <w:ilvl w:val="0"/>
                <w:numId w:val="6"/>
              </w:numPr>
              <w:spacing w:after="0" w:line="240" w:lineRule="auto"/>
              <w:ind w:left="55" w:right="35" w:hanging="76"/>
              <w:jc w:val="both"/>
              <w:rPr>
                <w:rFonts w:ascii="Times New Roman" w:hAnsi="Times New Roman"/>
                <w:sz w:val="24"/>
                <w:szCs w:val="24"/>
              </w:rPr>
            </w:pPr>
            <w:r>
              <w:rPr>
                <w:rFonts w:ascii="Times New Roman" w:hAnsi="Times New Roman"/>
                <w:sz w:val="24"/>
                <w:szCs w:val="24"/>
              </w:rPr>
              <w:t xml:space="preserve">  </w:t>
            </w:r>
            <w:r w:rsidR="009C25F4">
              <w:rPr>
                <w:rFonts w:ascii="Times New Roman" w:hAnsi="Times New Roman"/>
                <w:b/>
                <w:i/>
                <w:sz w:val="24"/>
                <w:szCs w:val="24"/>
                <w:u w:val="single"/>
              </w:rPr>
              <w:t>Mainīt apliecinājumu saņemšanas kārtību.</w:t>
            </w:r>
          </w:p>
          <w:p w14:paraId="3A4BAE7A" w14:textId="5C161B91" w:rsidR="007E7BF0" w:rsidRDefault="00502CCD" w:rsidP="00771FE3">
            <w:pPr>
              <w:spacing w:after="0" w:line="240" w:lineRule="auto"/>
              <w:ind w:left="55" w:right="35"/>
              <w:contextualSpacing/>
              <w:jc w:val="both"/>
              <w:rPr>
                <w:rFonts w:ascii="Times New Roman" w:hAnsi="Times New Roman"/>
                <w:sz w:val="24"/>
                <w:szCs w:val="24"/>
              </w:rPr>
            </w:pPr>
            <w:r>
              <w:rPr>
                <w:rFonts w:ascii="Times New Roman" w:hAnsi="Times New Roman"/>
                <w:sz w:val="24"/>
                <w:szCs w:val="24"/>
              </w:rPr>
              <w:t>Saskaņā ar MK noteikumiem Nr.</w:t>
            </w:r>
            <w:r w:rsidR="00876556">
              <w:rPr>
                <w:rFonts w:ascii="Times New Roman" w:hAnsi="Times New Roman"/>
                <w:sz w:val="24"/>
                <w:szCs w:val="24"/>
              </w:rPr>
              <w:t> </w:t>
            </w:r>
            <w:r>
              <w:rPr>
                <w:rFonts w:ascii="Times New Roman" w:hAnsi="Times New Roman"/>
                <w:sz w:val="24"/>
                <w:szCs w:val="24"/>
              </w:rPr>
              <w:t>534, šobrīd projekta iesniedzējs saņem apliecinājumu no ministrijas</w:t>
            </w:r>
            <w:r w:rsidR="007E7BF0">
              <w:rPr>
                <w:rFonts w:ascii="Times New Roman" w:hAnsi="Times New Roman"/>
                <w:sz w:val="24"/>
                <w:szCs w:val="24"/>
              </w:rPr>
              <w:t xml:space="preserve"> par atļauju īstenot projektu, kurā tiek norādīta informācija par projekta attiecināmām un neattiecināmām izmaksām</w:t>
            </w:r>
            <w:r w:rsidR="00876556">
              <w:rPr>
                <w:rFonts w:ascii="Times New Roman" w:hAnsi="Times New Roman"/>
                <w:sz w:val="24"/>
                <w:szCs w:val="24"/>
              </w:rPr>
              <w:t>,</w:t>
            </w:r>
            <w:r w:rsidR="007E7BF0">
              <w:rPr>
                <w:rFonts w:ascii="Times New Roman" w:hAnsi="Times New Roman"/>
                <w:sz w:val="24"/>
                <w:szCs w:val="24"/>
              </w:rPr>
              <w:t xml:space="preserve"> un izmaksu segšanas avot</w:t>
            </w:r>
            <w:r w:rsidR="00876556">
              <w:rPr>
                <w:rFonts w:ascii="Times New Roman" w:hAnsi="Times New Roman"/>
                <w:sz w:val="24"/>
                <w:szCs w:val="24"/>
              </w:rPr>
              <w:t>iem</w:t>
            </w:r>
            <w:r w:rsidR="007E7BF0">
              <w:rPr>
                <w:rFonts w:ascii="Times New Roman" w:hAnsi="Times New Roman"/>
                <w:sz w:val="24"/>
                <w:szCs w:val="24"/>
              </w:rPr>
              <w:t xml:space="preserve">. Pēc grozījumu veikšanas </w:t>
            </w:r>
            <w:r w:rsidR="00876556">
              <w:rPr>
                <w:rFonts w:ascii="Times New Roman" w:hAnsi="Times New Roman"/>
                <w:sz w:val="24"/>
                <w:szCs w:val="24"/>
              </w:rPr>
              <w:t xml:space="preserve">MK noteikumos Nr. 534 </w:t>
            </w:r>
            <w:r w:rsidR="007E7BF0">
              <w:rPr>
                <w:rFonts w:ascii="Times New Roman" w:hAnsi="Times New Roman"/>
                <w:sz w:val="24"/>
                <w:szCs w:val="24"/>
              </w:rPr>
              <w:t>tiek mainīta apliecinājumu saņemšanas kārtība</w:t>
            </w:r>
            <w:r w:rsidR="00876556">
              <w:rPr>
                <w:rFonts w:ascii="Times New Roman" w:hAnsi="Times New Roman"/>
                <w:sz w:val="24"/>
                <w:szCs w:val="24"/>
              </w:rPr>
              <w:t>, paredzot trīs situācijas</w:t>
            </w:r>
            <w:r w:rsidR="00953059">
              <w:rPr>
                <w:rFonts w:ascii="Times New Roman" w:hAnsi="Times New Roman"/>
                <w:sz w:val="24"/>
                <w:szCs w:val="24"/>
              </w:rPr>
              <w:t>:</w:t>
            </w:r>
          </w:p>
          <w:p w14:paraId="73B600A1" w14:textId="77777777" w:rsidR="007E7BF0" w:rsidRDefault="007E7BF0" w:rsidP="007E7BF0">
            <w:pPr>
              <w:pStyle w:val="ListParagraph"/>
              <w:numPr>
                <w:ilvl w:val="0"/>
                <w:numId w:val="7"/>
              </w:numPr>
              <w:spacing w:after="0" w:line="240" w:lineRule="auto"/>
              <w:ind w:right="35"/>
              <w:jc w:val="both"/>
              <w:rPr>
                <w:rFonts w:ascii="Times New Roman" w:hAnsi="Times New Roman"/>
                <w:sz w:val="24"/>
                <w:szCs w:val="24"/>
              </w:rPr>
            </w:pPr>
            <w:r>
              <w:rPr>
                <w:rFonts w:ascii="Times New Roman" w:hAnsi="Times New Roman"/>
                <w:sz w:val="24"/>
                <w:szCs w:val="24"/>
              </w:rPr>
              <w:t>Ja projekta ietvaros paredzētas tikai attiecināmās izmaksas, apliecinājums nav nepieciešams.</w:t>
            </w:r>
          </w:p>
          <w:p w14:paraId="51EDCB98" w14:textId="5CBEBCD5" w:rsidR="00502CCD" w:rsidRPr="00F478CE" w:rsidRDefault="007E7BF0" w:rsidP="007E7BF0">
            <w:pPr>
              <w:pStyle w:val="ListParagraph"/>
              <w:numPr>
                <w:ilvl w:val="0"/>
                <w:numId w:val="7"/>
              </w:numPr>
              <w:spacing w:after="0" w:line="240" w:lineRule="auto"/>
              <w:ind w:right="35"/>
              <w:jc w:val="both"/>
              <w:rPr>
                <w:rFonts w:ascii="Times New Roman" w:hAnsi="Times New Roman"/>
                <w:sz w:val="24"/>
                <w:szCs w:val="24"/>
              </w:rPr>
            </w:pPr>
            <w:r>
              <w:rPr>
                <w:rFonts w:ascii="Times New Roman" w:hAnsi="Times New Roman"/>
                <w:sz w:val="24"/>
                <w:szCs w:val="24"/>
              </w:rPr>
              <w:t xml:space="preserve">Ja projekta ietvaros </w:t>
            </w:r>
            <w:r w:rsidR="00876556">
              <w:rPr>
                <w:rFonts w:ascii="Times New Roman" w:hAnsi="Times New Roman"/>
                <w:sz w:val="24"/>
                <w:szCs w:val="24"/>
              </w:rPr>
              <w:t xml:space="preserve">papildu attiecināmajām izmaksām tiek </w:t>
            </w:r>
            <w:r>
              <w:rPr>
                <w:rFonts w:ascii="Times New Roman" w:hAnsi="Times New Roman"/>
                <w:sz w:val="24"/>
                <w:szCs w:val="24"/>
              </w:rPr>
              <w:t>paredzētas</w:t>
            </w:r>
            <w:r w:rsidR="00876556">
              <w:rPr>
                <w:rFonts w:ascii="Times New Roman" w:hAnsi="Times New Roman"/>
                <w:sz w:val="24"/>
                <w:szCs w:val="24"/>
              </w:rPr>
              <w:t xml:space="preserve"> arī </w:t>
            </w:r>
            <w:r>
              <w:rPr>
                <w:rFonts w:ascii="Times New Roman" w:hAnsi="Times New Roman"/>
                <w:sz w:val="24"/>
                <w:szCs w:val="24"/>
              </w:rPr>
              <w:t xml:space="preserve"> neattiecināmās izmaksas, </w:t>
            </w:r>
            <w:r w:rsidR="00A40B3F">
              <w:rPr>
                <w:rFonts w:ascii="Times New Roman" w:hAnsi="Times New Roman"/>
                <w:sz w:val="24"/>
                <w:szCs w:val="24"/>
              </w:rPr>
              <w:t>tad</w:t>
            </w:r>
            <w:r>
              <w:rPr>
                <w:rFonts w:ascii="Times New Roman" w:hAnsi="Times New Roman"/>
                <w:sz w:val="24"/>
                <w:szCs w:val="24"/>
              </w:rPr>
              <w:t xml:space="preserve"> projekta iesniedzējam </w:t>
            </w:r>
            <w:r w:rsidR="00BF6F5B">
              <w:rPr>
                <w:rFonts w:ascii="Times New Roman" w:hAnsi="Times New Roman"/>
                <w:sz w:val="24"/>
                <w:szCs w:val="24"/>
              </w:rPr>
              <w:t xml:space="preserve">nepieciešams saņemt </w:t>
            </w:r>
            <w:r w:rsidR="00BF6F5B">
              <w:rPr>
                <w:rFonts w:ascii="Times New Roman" w:hAnsi="Times New Roman"/>
                <w:sz w:val="24"/>
                <w:szCs w:val="24"/>
              </w:rPr>
              <w:lastRenderedPageBreak/>
              <w:t xml:space="preserve">apliecinājumu par </w:t>
            </w:r>
            <w:r w:rsidR="00AF7A46" w:rsidRPr="00821D2B">
              <w:rPr>
                <w:rFonts w:ascii="Times New Roman" w:eastAsia="Times New Roman" w:hAnsi="Times New Roman"/>
                <w:sz w:val="24"/>
                <w:szCs w:val="24"/>
                <w:lang w:eastAsia="lv-LV"/>
              </w:rPr>
              <w:t>atļauju īstenot projektu</w:t>
            </w:r>
            <w:r w:rsidR="00AF7A46">
              <w:rPr>
                <w:rFonts w:ascii="Times New Roman" w:eastAsia="Times New Roman" w:hAnsi="Times New Roman"/>
                <w:sz w:val="24"/>
                <w:szCs w:val="24"/>
                <w:lang w:eastAsia="lv-LV"/>
              </w:rPr>
              <w:t xml:space="preserve"> no</w:t>
            </w:r>
            <w:r w:rsidR="00AF7A46" w:rsidRPr="00821D2B">
              <w:rPr>
                <w:rFonts w:ascii="Times New Roman" w:eastAsia="Times New Roman" w:hAnsi="Times New Roman"/>
                <w:sz w:val="24"/>
                <w:szCs w:val="24"/>
                <w:lang w:eastAsia="lv-LV"/>
              </w:rPr>
              <w:t xml:space="preserve"> </w:t>
            </w:r>
            <w:r w:rsidR="00AF7A46">
              <w:rPr>
                <w:rFonts w:ascii="Times New Roman" w:eastAsia="Times New Roman" w:hAnsi="Times New Roman"/>
                <w:sz w:val="24"/>
                <w:szCs w:val="24"/>
                <w:lang w:eastAsia="lv-LV"/>
              </w:rPr>
              <w:t xml:space="preserve">ministrijas, </w:t>
            </w:r>
            <w:r w:rsidR="004B320A">
              <w:rPr>
                <w:rFonts w:ascii="Times New Roman" w:eastAsia="Times New Roman" w:hAnsi="Times New Roman"/>
                <w:sz w:val="24"/>
                <w:szCs w:val="24"/>
                <w:lang w:eastAsia="lv-LV"/>
              </w:rPr>
              <w:t>(</w:t>
            </w:r>
            <w:r w:rsidR="00AF7A46">
              <w:rPr>
                <w:rFonts w:ascii="Times New Roman" w:eastAsia="Times New Roman" w:hAnsi="Times New Roman"/>
                <w:sz w:val="24"/>
                <w:szCs w:val="24"/>
                <w:lang w:eastAsia="lv-LV"/>
              </w:rPr>
              <w:t xml:space="preserve">kuras </w:t>
            </w:r>
            <w:r w:rsidR="00A40B3F">
              <w:rPr>
                <w:rFonts w:ascii="Times New Roman" w:eastAsia="Times New Roman" w:hAnsi="Times New Roman"/>
                <w:sz w:val="24"/>
                <w:szCs w:val="24"/>
                <w:lang w:eastAsia="lv-LV"/>
              </w:rPr>
              <w:t>padotībā</w:t>
            </w:r>
            <w:r w:rsidR="00AF7A46">
              <w:rPr>
                <w:rFonts w:ascii="Times New Roman" w:eastAsia="Times New Roman" w:hAnsi="Times New Roman"/>
                <w:sz w:val="24"/>
                <w:szCs w:val="24"/>
                <w:lang w:eastAsia="lv-LV"/>
              </w:rPr>
              <w:t xml:space="preserve"> tas atrodas</w:t>
            </w:r>
            <w:r w:rsidR="004B320A">
              <w:rPr>
                <w:rFonts w:ascii="Times New Roman" w:eastAsia="Times New Roman" w:hAnsi="Times New Roman"/>
                <w:sz w:val="24"/>
                <w:szCs w:val="24"/>
                <w:lang w:eastAsia="lv-LV"/>
              </w:rPr>
              <w:t>), kurā norādīta informācija par neattiecināmo izmaksu segšanas avotiem</w:t>
            </w:r>
          </w:p>
          <w:p w14:paraId="7D2DE294" w14:textId="13A29C6A" w:rsidR="00540C80" w:rsidRPr="00F478CE" w:rsidRDefault="00AD61EA" w:rsidP="007E7BF0">
            <w:pPr>
              <w:pStyle w:val="ListParagraph"/>
              <w:numPr>
                <w:ilvl w:val="0"/>
                <w:numId w:val="7"/>
              </w:numPr>
              <w:spacing w:after="0" w:line="240" w:lineRule="auto"/>
              <w:ind w:right="35"/>
              <w:jc w:val="both"/>
              <w:rPr>
                <w:rFonts w:ascii="Times New Roman" w:hAnsi="Times New Roman"/>
                <w:sz w:val="24"/>
                <w:szCs w:val="24"/>
              </w:rPr>
            </w:pPr>
            <w:r>
              <w:rPr>
                <w:rFonts w:ascii="Times New Roman" w:eastAsia="Times New Roman" w:hAnsi="Times New Roman"/>
                <w:sz w:val="24"/>
                <w:szCs w:val="24"/>
                <w:lang w:eastAsia="lv-LV"/>
              </w:rPr>
              <w:t>Gadījumā</w:t>
            </w:r>
            <w:r w:rsidR="004B320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j</w:t>
            </w:r>
            <w:r w:rsidR="00953059">
              <w:rPr>
                <w:rFonts w:ascii="Times New Roman" w:eastAsia="Times New Roman" w:hAnsi="Times New Roman"/>
                <w:sz w:val="24"/>
                <w:szCs w:val="24"/>
                <w:lang w:eastAsia="lv-LV"/>
              </w:rPr>
              <w:t xml:space="preserve">a palielinās projekta attiecināmās izmaksas pēc projekta iesnieguma iesniegšanas </w:t>
            </w:r>
            <w:r w:rsidR="004B320A">
              <w:rPr>
                <w:rFonts w:ascii="Times New Roman" w:eastAsia="Times New Roman" w:hAnsi="Times New Roman"/>
                <w:sz w:val="24"/>
                <w:szCs w:val="24"/>
                <w:lang w:eastAsia="lv-LV"/>
              </w:rPr>
              <w:t>CFLA</w:t>
            </w:r>
            <w:r w:rsidR="00953059">
              <w:rPr>
                <w:rFonts w:ascii="Times New Roman" w:eastAsia="Times New Roman" w:hAnsi="Times New Roman"/>
                <w:sz w:val="24"/>
                <w:szCs w:val="24"/>
                <w:lang w:eastAsia="lv-LV"/>
              </w:rPr>
              <w:t xml:space="preserve"> līdz projekta apstiprināšanai nosacījumu izpildes laikā, ja projekta apstiprināts ar nosacījumu, vai pēc vienošanās</w:t>
            </w:r>
            <w:r w:rsidR="004B320A">
              <w:rPr>
                <w:rFonts w:ascii="Times New Roman" w:eastAsia="Times New Roman" w:hAnsi="Times New Roman"/>
                <w:sz w:val="24"/>
                <w:szCs w:val="24"/>
                <w:lang w:eastAsia="lv-LV"/>
              </w:rPr>
              <w:t>/</w:t>
            </w:r>
            <w:r w:rsidR="00953059">
              <w:rPr>
                <w:rFonts w:ascii="Times New Roman" w:eastAsia="Times New Roman" w:hAnsi="Times New Roman"/>
                <w:sz w:val="24"/>
                <w:szCs w:val="24"/>
                <w:lang w:eastAsia="lv-LV"/>
              </w:rPr>
              <w:t xml:space="preserve">līguma noslēgšanas ar </w:t>
            </w:r>
            <w:r w:rsidR="004B320A">
              <w:rPr>
                <w:rFonts w:ascii="Times New Roman" w:eastAsia="Times New Roman" w:hAnsi="Times New Roman"/>
                <w:sz w:val="24"/>
                <w:szCs w:val="24"/>
                <w:lang w:eastAsia="lv-LV"/>
              </w:rPr>
              <w:t>CFLA</w:t>
            </w:r>
            <w:r w:rsidR="00953059">
              <w:rPr>
                <w:rFonts w:ascii="Times New Roman" w:eastAsia="Times New Roman" w:hAnsi="Times New Roman"/>
                <w:sz w:val="24"/>
                <w:szCs w:val="24"/>
                <w:lang w:eastAsia="lv-LV"/>
              </w:rPr>
              <w:t>,</w:t>
            </w:r>
            <w:r w:rsidR="00D37B14">
              <w:rPr>
                <w:rFonts w:ascii="Times New Roman" w:eastAsia="Times New Roman" w:hAnsi="Times New Roman"/>
                <w:sz w:val="24"/>
                <w:szCs w:val="24"/>
                <w:lang w:eastAsia="lv-LV"/>
              </w:rPr>
              <w:t xml:space="preserve"> tad</w:t>
            </w:r>
            <w:r w:rsidR="00953059">
              <w:rPr>
                <w:rFonts w:ascii="Times New Roman" w:eastAsia="Times New Roman" w:hAnsi="Times New Roman"/>
                <w:sz w:val="24"/>
                <w:szCs w:val="24"/>
                <w:lang w:eastAsia="lv-LV"/>
              </w:rPr>
              <w:t xml:space="preserve"> finansējuma saņēmējs </w:t>
            </w:r>
            <w:r w:rsidR="004B320A">
              <w:rPr>
                <w:rFonts w:ascii="Times New Roman" w:eastAsia="Times New Roman" w:hAnsi="Times New Roman"/>
                <w:sz w:val="24"/>
                <w:szCs w:val="24"/>
                <w:lang w:eastAsia="lv-LV"/>
              </w:rPr>
              <w:t>CFLA</w:t>
            </w:r>
            <w:r w:rsidR="00953059">
              <w:rPr>
                <w:rFonts w:ascii="Times New Roman" w:eastAsia="Times New Roman" w:hAnsi="Times New Roman"/>
                <w:sz w:val="24"/>
                <w:szCs w:val="24"/>
                <w:lang w:eastAsia="lv-LV"/>
              </w:rPr>
              <w:t xml:space="preserve"> iesniedz Ekonomikas ministrijas apstiprinājumu par projekta attiecināmo izmaksu palielināšanu.</w:t>
            </w:r>
          </w:p>
          <w:p w14:paraId="76A2F1BD" w14:textId="41653BB3" w:rsidR="00AD61EA" w:rsidRPr="00F478CE" w:rsidRDefault="00540C80" w:rsidP="00F478CE">
            <w:pPr>
              <w:spacing w:after="0" w:line="240" w:lineRule="auto"/>
              <w:ind w:left="55" w:right="35"/>
              <w:jc w:val="both"/>
              <w:rPr>
                <w:rFonts w:ascii="Times New Roman" w:hAnsi="Times New Roman"/>
                <w:sz w:val="24"/>
                <w:szCs w:val="24"/>
              </w:rPr>
            </w:pPr>
            <w:r>
              <w:rPr>
                <w:rFonts w:ascii="Times New Roman" w:eastAsia="Times New Roman" w:hAnsi="Times New Roman"/>
                <w:sz w:val="24"/>
                <w:szCs w:val="24"/>
                <w:lang w:eastAsia="lv-LV"/>
              </w:rPr>
              <w:t xml:space="preserve">Mainot apliecinājumu saņemšanas kārtību, </w:t>
            </w:r>
            <w:r w:rsidR="004B320A">
              <w:rPr>
                <w:rFonts w:ascii="Times New Roman" w:eastAsia="Times New Roman" w:hAnsi="Times New Roman"/>
                <w:sz w:val="24"/>
                <w:szCs w:val="24"/>
                <w:lang w:eastAsia="lv-LV"/>
              </w:rPr>
              <w:t xml:space="preserve">tiks </w:t>
            </w:r>
            <w:r>
              <w:rPr>
                <w:rFonts w:ascii="Times New Roman" w:eastAsia="Times New Roman" w:hAnsi="Times New Roman"/>
                <w:sz w:val="24"/>
                <w:szCs w:val="24"/>
                <w:lang w:eastAsia="lv-LV"/>
              </w:rPr>
              <w:t>paātrinā</w:t>
            </w:r>
            <w:r w:rsidR="00A40B3F">
              <w:rPr>
                <w:rFonts w:ascii="Times New Roman" w:eastAsia="Times New Roman" w:hAnsi="Times New Roman"/>
                <w:sz w:val="24"/>
                <w:szCs w:val="24"/>
                <w:lang w:eastAsia="lv-LV"/>
              </w:rPr>
              <w:t>ta</w:t>
            </w:r>
            <w:r>
              <w:rPr>
                <w:rFonts w:ascii="Times New Roman" w:eastAsia="Times New Roman" w:hAnsi="Times New Roman"/>
                <w:sz w:val="24"/>
                <w:szCs w:val="24"/>
                <w:lang w:eastAsia="lv-LV"/>
              </w:rPr>
              <w:t xml:space="preserve"> projektu </w:t>
            </w:r>
            <w:r w:rsidR="002D40A6">
              <w:rPr>
                <w:rFonts w:ascii="Times New Roman" w:eastAsia="Times New Roman" w:hAnsi="Times New Roman"/>
                <w:sz w:val="24"/>
                <w:szCs w:val="24"/>
                <w:lang w:eastAsia="lv-LV"/>
              </w:rPr>
              <w:t>iesniegumu iesniegšan</w:t>
            </w:r>
            <w:r w:rsidR="004B320A">
              <w:rPr>
                <w:rFonts w:ascii="Times New Roman" w:eastAsia="Times New Roman" w:hAnsi="Times New Roman"/>
                <w:sz w:val="24"/>
                <w:szCs w:val="24"/>
                <w:lang w:eastAsia="lv-LV"/>
              </w:rPr>
              <w:t>a</w:t>
            </w:r>
            <w:r w:rsidR="002D40A6">
              <w:rPr>
                <w:rFonts w:ascii="Times New Roman" w:eastAsia="Times New Roman" w:hAnsi="Times New Roman"/>
                <w:sz w:val="24"/>
                <w:szCs w:val="24"/>
                <w:lang w:eastAsia="lv-LV"/>
              </w:rPr>
              <w:t xml:space="preserve"> CFLA, jo attiecināmo izmaksu </w:t>
            </w:r>
            <w:r w:rsidR="004B320A">
              <w:rPr>
                <w:rFonts w:ascii="Times New Roman" w:eastAsia="Times New Roman" w:hAnsi="Times New Roman"/>
                <w:sz w:val="24"/>
                <w:szCs w:val="24"/>
                <w:lang w:eastAsia="lv-LV"/>
              </w:rPr>
              <w:t xml:space="preserve">izmaiņu </w:t>
            </w:r>
            <w:r w:rsidR="002D40A6">
              <w:rPr>
                <w:rFonts w:ascii="Times New Roman" w:eastAsia="Times New Roman" w:hAnsi="Times New Roman"/>
                <w:sz w:val="24"/>
                <w:szCs w:val="24"/>
                <w:lang w:eastAsia="lv-LV"/>
              </w:rPr>
              <w:t xml:space="preserve">gadījumā nebūs </w:t>
            </w:r>
            <w:r w:rsidR="004B320A">
              <w:rPr>
                <w:rFonts w:ascii="Times New Roman" w:eastAsia="Times New Roman" w:hAnsi="Times New Roman"/>
                <w:sz w:val="24"/>
                <w:szCs w:val="24"/>
                <w:lang w:eastAsia="lv-LV"/>
              </w:rPr>
              <w:t>nepieciešams</w:t>
            </w:r>
            <w:r w:rsidR="002D40A6">
              <w:rPr>
                <w:rFonts w:ascii="Times New Roman" w:eastAsia="Times New Roman" w:hAnsi="Times New Roman"/>
                <w:sz w:val="24"/>
                <w:szCs w:val="24"/>
                <w:lang w:eastAsia="lv-LV"/>
              </w:rPr>
              <w:t xml:space="preserve"> saskaņojums no attiecīgā resora.</w:t>
            </w:r>
          </w:p>
          <w:p w14:paraId="571AFE8C" w14:textId="3B8D9CD3" w:rsidR="00AF7A46" w:rsidRDefault="00AF7A46" w:rsidP="00AF7A46">
            <w:pPr>
              <w:spacing w:after="0" w:line="240" w:lineRule="auto"/>
              <w:ind w:right="35"/>
              <w:jc w:val="both"/>
              <w:rPr>
                <w:rFonts w:ascii="Times New Roman" w:hAnsi="Times New Roman"/>
                <w:sz w:val="24"/>
                <w:szCs w:val="24"/>
              </w:rPr>
            </w:pPr>
          </w:p>
          <w:p w14:paraId="7597B396" w14:textId="7429929E" w:rsidR="00AF7A46" w:rsidRPr="00E40809" w:rsidRDefault="00AF7A46" w:rsidP="00AF7A46">
            <w:pPr>
              <w:pStyle w:val="ListParagraph"/>
              <w:numPr>
                <w:ilvl w:val="0"/>
                <w:numId w:val="6"/>
              </w:numPr>
              <w:spacing w:after="0" w:line="240" w:lineRule="auto"/>
              <w:ind w:left="55" w:right="35" w:hanging="76"/>
              <w:jc w:val="both"/>
              <w:rPr>
                <w:rFonts w:ascii="Times New Roman" w:hAnsi="Times New Roman"/>
                <w:sz w:val="24"/>
                <w:szCs w:val="24"/>
              </w:rPr>
            </w:pPr>
            <w:r w:rsidRPr="00F478CE">
              <w:rPr>
                <w:rFonts w:ascii="Times New Roman" w:hAnsi="Times New Roman"/>
                <w:b/>
                <w:i/>
                <w:sz w:val="24"/>
                <w:szCs w:val="24"/>
                <w:u w:val="single"/>
              </w:rPr>
              <w:t xml:space="preserve">  </w:t>
            </w:r>
            <w:r w:rsidR="003D7F51">
              <w:rPr>
                <w:rFonts w:ascii="Times New Roman" w:hAnsi="Times New Roman"/>
                <w:b/>
                <w:i/>
                <w:sz w:val="24"/>
                <w:szCs w:val="24"/>
                <w:u w:val="single"/>
              </w:rPr>
              <w:t xml:space="preserve">Noteikt, ka projekta iesniedzēji </w:t>
            </w:r>
            <w:r w:rsidR="004B320A">
              <w:rPr>
                <w:rFonts w:ascii="Times New Roman" w:hAnsi="Times New Roman"/>
                <w:b/>
                <w:i/>
                <w:sz w:val="24"/>
                <w:szCs w:val="24"/>
                <w:u w:val="single"/>
              </w:rPr>
              <w:t>vairs netiek aicināti iesniegt projekta iesniegumu</w:t>
            </w:r>
            <w:r>
              <w:rPr>
                <w:rFonts w:ascii="Times New Roman" w:hAnsi="Times New Roman"/>
                <w:b/>
                <w:i/>
                <w:sz w:val="24"/>
                <w:szCs w:val="24"/>
                <w:u w:val="single"/>
              </w:rPr>
              <w:t>.</w:t>
            </w:r>
          </w:p>
          <w:p w14:paraId="42C60D57" w14:textId="77777777" w:rsidR="00AF7A46" w:rsidRPr="00F478CE" w:rsidRDefault="00AF7A46" w:rsidP="00F478CE">
            <w:pPr>
              <w:spacing w:after="0" w:line="240" w:lineRule="auto"/>
              <w:ind w:right="35"/>
              <w:jc w:val="both"/>
              <w:rPr>
                <w:rFonts w:ascii="Times New Roman" w:hAnsi="Times New Roman"/>
                <w:sz w:val="24"/>
                <w:szCs w:val="24"/>
              </w:rPr>
            </w:pPr>
          </w:p>
          <w:p w14:paraId="4079A1B2" w14:textId="08046D6C" w:rsidR="00C250E3" w:rsidRDefault="00A40B3F" w:rsidP="00F478CE">
            <w:pPr>
              <w:spacing w:after="0" w:line="240" w:lineRule="auto"/>
              <w:ind w:left="55" w:right="35"/>
              <w:contextualSpacing/>
              <w:jc w:val="both"/>
              <w:rPr>
                <w:rFonts w:ascii="Times New Roman" w:hAnsi="Times New Roman"/>
                <w:sz w:val="24"/>
                <w:szCs w:val="24"/>
              </w:rPr>
            </w:pPr>
            <w:r>
              <w:rPr>
                <w:rFonts w:ascii="Times New Roman" w:hAnsi="Times New Roman"/>
                <w:sz w:val="24"/>
                <w:szCs w:val="24"/>
              </w:rPr>
              <w:t>E</w:t>
            </w:r>
            <w:r w:rsidR="003D7F51">
              <w:rPr>
                <w:rFonts w:ascii="Times New Roman" w:hAnsi="Times New Roman"/>
                <w:sz w:val="24"/>
                <w:szCs w:val="24"/>
              </w:rPr>
              <w:t>sošā kārtība</w:t>
            </w:r>
            <w:r w:rsidR="004B320A">
              <w:rPr>
                <w:rFonts w:ascii="Times New Roman" w:hAnsi="Times New Roman"/>
                <w:sz w:val="24"/>
                <w:szCs w:val="24"/>
              </w:rPr>
              <w:t xml:space="preserve"> paredz</w:t>
            </w:r>
            <w:r w:rsidR="003D7F51">
              <w:rPr>
                <w:rFonts w:ascii="Times New Roman" w:hAnsi="Times New Roman"/>
                <w:sz w:val="24"/>
                <w:szCs w:val="24"/>
              </w:rPr>
              <w:t xml:space="preserve">, ka </w:t>
            </w:r>
            <w:r w:rsidR="003D7F51" w:rsidRPr="00F478CE">
              <w:rPr>
                <w:rFonts w:ascii="Times New Roman" w:hAnsi="Times New Roman"/>
                <w:sz w:val="24"/>
                <w:szCs w:val="24"/>
              </w:rPr>
              <w:t>attiecīgais resors informē</w:t>
            </w:r>
            <w:r w:rsidR="002C310B" w:rsidRPr="00F478CE">
              <w:rPr>
                <w:rFonts w:ascii="Times New Roman" w:hAnsi="Times New Roman"/>
                <w:sz w:val="24"/>
                <w:szCs w:val="24"/>
              </w:rPr>
              <w:t xml:space="preserve"> CFLA par uzaicinājuma nosūtīšanu projekta iesniedzējam</w:t>
            </w:r>
            <w:r w:rsidR="004B320A">
              <w:rPr>
                <w:rFonts w:ascii="Times New Roman" w:hAnsi="Times New Roman"/>
                <w:sz w:val="24"/>
                <w:szCs w:val="24"/>
              </w:rPr>
              <w:t xml:space="preserve"> uz kā pamata</w:t>
            </w:r>
            <w:r w:rsidR="008E0D93" w:rsidRPr="00F478CE">
              <w:rPr>
                <w:rFonts w:ascii="Times New Roman" w:hAnsi="Times New Roman"/>
                <w:sz w:val="24"/>
                <w:szCs w:val="24"/>
              </w:rPr>
              <w:t xml:space="preserve"> CFLA </w:t>
            </w:r>
            <w:proofErr w:type="spellStart"/>
            <w:r w:rsidR="00731083">
              <w:rPr>
                <w:rFonts w:ascii="Times New Roman" w:hAnsi="Times New Roman"/>
                <w:sz w:val="24"/>
                <w:szCs w:val="24"/>
              </w:rPr>
              <w:t>no</w:t>
            </w:r>
            <w:r w:rsidR="008E0D93" w:rsidRPr="00F478CE">
              <w:rPr>
                <w:rFonts w:ascii="Times New Roman" w:hAnsi="Times New Roman"/>
                <w:sz w:val="24"/>
                <w:szCs w:val="24"/>
              </w:rPr>
              <w:t>sūta</w:t>
            </w:r>
            <w:proofErr w:type="spellEnd"/>
            <w:r w:rsidR="008E0D93" w:rsidRPr="00F478CE">
              <w:rPr>
                <w:rFonts w:ascii="Times New Roman" w:hAnsi="Times New Roman"/>
                <w:sz w:val="24"/>
                <w:szCs w:val="24"/>
              </w:rPr>
              <w:t xml:space="preserve"> uzaicinājumu projekta iesniedzējam</w:t>
            </w:r>
            <w:r w:rsidR="002C310B" w:rsidRPr="00F478CE">
              <w:rPr>
                <w:rFonts w:ascii="Times New Roman" w:hAnsi="Times New Roman"/>
                <w:sz w:val="24"/>
                <w:szCs w:val="24"/>
              </w:rPr>
              <w:t>.</w:t>
            </w:r>
            <w:r w:rsidR="004B320A">
              <w:rPr>
                <w:rFonts w:ascii="Times New Roman" w:hAnsi="Times New Roman"/>
                <w:sz w:val="24"/>
                <w:szCs w:val="24"/>
              </w:rPr>
              <w:t xml:space="preserve"> Ņemot vērā, ka grozījumi </w:t>
            </w:r>
            <w:r w:rsidR="004B320A" w:rsidRPr="004B320A">
              <w:rPr>
                <w:rFonts w:ascii="Times New Roman" w:hAnsi="Times New Roman"/>
                <w:sz w:val="24"/>
                <w:szCs w:val="24"/>
              </w:rPr>
              <w:t>MK noteikum</w:t>
            </w:r>
            <w:r w:rsidR="004B320A">
              <w:rPr>
                <w:rFonts w:ascii="Times New Roman" w:hAnsi="Times New Roman"/>
                <w:sz w:val="24"/>
                <w:szCs w:val="24"/>
              </w:rPr>
              <w:t>os</w:t>
            </w:r>
            <w:r w:rsidR="004B320A" w:rsidRPr="004B320A">
              <w:rPr>
                <w:rFonts w:ascii="Times New Roman" w:hAnsi="Times New Roman"/>
                <w:sz w:val="24"/>
                <w:szCs w:val="24"/>
              </w:rPr>
              <w:t xml:space="preserve"> Nr.</w:t>
            </w:r>
            <w:r w:rsidR="00C250E3">
              <w:rPr>
                <w:rFonts w:ascii="Times New Roman" w:hAnsi="Times New Roman"/>
                <w:sz w:val="24"/>
                <w:szCs w:val="24"/>
              </w:rPr>
              <w:t> </w:t>
            </w:r>
            <w:r w:rsidR="004B320A" w:rsidRPr="004B320A">
              <w:rPr>
                <w:rFonts w:ascii="Times New Roman" w:hAnsi="Times New Roman"/>
                <w:sz w:val="24"/>
                <w:szCs w:val="24"/>
              </w:rPr>
              <w:t>534</w:t>
            </w:r>
            <w:r w:rsidR="002C310B" w:rsidRPr="00F478CE">
              <w:rPr>
                <w:rFonts w:ascii="Times New Roman" w:hAnsi="Times New Roman"/>
                <w:sz w:val="24"/>
                <w:szCs w:val="24"/>
              </w:rPr>
              <w:t xml:space="preserve"> </w:t>
            </w:r>
            <w:r w:rsidR="00003482" w:rsidRPr="00F478CE">
              <w:rPr>
                <w:rFonts w:ascii="Times New Roman" w:hAnsi="Times New Roman"/>
                <w:sz w:val="24"/>
                <w:szCs w:val="24"/>
              </w:rPr>
              <w:t xml:space="preserve">vairs </w:t>
            </w:r>
            <w:r w:rsidR="004B320A">
              <w:rPr>
                <w:rFonts w:ascii="Times New Roman" w:hAnsi="Times New Roman"/>
                <w:sz w:val="24"/>
                <w:szCs w:val="24"/>
              </w:rPr>
              <w:t>ne</w:t>
            </w:r>
            <w:r w:rsidR="00003482" w:rsidRPr="00F478CE">
              <w:rPr>
                <w:rFonts w:ascii="Times New Roman" w:hAnsi="Times New Roman"/>
                <w:sz w:val="24"/>
                <w:szCs w:val="24"/>
              </w:rPr>
              <w:t>paredzēs kvotu sadalījum</w:t>
            </w:r>
            <w:r w:rsidR="00C250E3">
              <w:rPr>
                <w:rFonts w:ascii="Times New Roman" w:hAnsi="Times New Roman"/>
                <w:sz w:val="24"/>
                <w:szCs w:val="24"/>
              </w:rPr>
              <w:t>u</w:t>
            </w:r>
            <w:r w:rsidR="00003482" w:rsidRPr="00F478CE">
              <w:rPr>
                <w:rFonts w:ascii="Times New Roman" w:hAnsi="Times New Roman"/>
                <w:sz w:val="24"/>
                <w:szCs w:val="24"/>
              </w:rPr>
              <w:t xml:space="preserve"> pa resoriem, </w:t>
            </w:r>
            <w:r w:rsidR="008E0D93" w:rsidRPr="00F478CE">
              <w:rPr>
                <w:rFonts w:ascii="Times New Roman" w:hAnsi="Times New Roman"/>
                <w:sz w:val="24"/>
                <w:szCs w:val="24"/>
              </w:rPr>
              <w:t>CFLA netiks sūtīta informācija par nepieciešamību uzaicināt projekta iesniedzēju</w:t>
            </w:r>
            <w:r w:rsidR="004B320A">
              <w:rPr>
                <w:rFonts w:ascii="Times New Roman" w:hAnsi="Times New Roman"/>
                <w:sz w:val="24"/>
                <w:szCs w:val="24"/>
              </w:rPr>
              <w:t>, līdz ar to</w:t>
            </w:r>
            <w:r w:rsidR="008E0D93" w:rsidRPr="00F478CE">
              <w:rPr>
                <w:rFonts w:ascii="Times New Roman" w:hAnsi="Times New Roman"/>
                <w:sz w:val="24"/>
                <w:szCs w:val="24"/>
              </w:rPr>
              <w:t xml:space="preserve"> </w:t>
            </w:r>
            <w:r w:rsidR="00003482" w:rsidRPr="00F478CE">
              <w:rPr>
                <w:rFonts w:ascii="Times New Roman" w:hAnsi="Times New Roman"/>
                <w:sz w:val="24"/>
                <w:szCs w:val="24"/>
              </w:rPr>
              <w:t>projekta iesniedzējam neti</w:t>
            </w:r>
            <w:r w:rsidR="00C250E3">
              <w:rPr>
                <w:rFonts w:ascii="Times New Roman" w:hAnsi="Times New Roman"/>
                <w:sz w:val="24"/>
                <w:szCs w:val="24"/>
              </w:rPr>
              <w:t>ks</w:t>
            </w:r>
            <w:r w:rsidR="00003482" w:rsidRPr="00F478CE">
              <w:rPr>
                <w:rFonts w:ascii="Times New Roman" w:hAnsi="Times New Roman"/>
                <w:sz w:val="24"/>
                <w:szCs w:val="24"/>
              </w:rPr>
              <w:t xml:space="preserve"> sūtīts uzaicinājums. </w:t>
            </w:r>
          </w:p>
          <w:p w14:paraId="3EEA0E7C" w14:textId="3E6C0E64" w:rsidR="003947E8" w:rsidRDefault="004B320A" w:rsidP="0004780E">
            <w:pPr>
              <w:spacing w:after="0" w:line="240" w:lineRule="auto"/>
              <w:ind w:left="55" w:right="35"/>
              <w:contextualSpacing/>
              <w:jc w:val="both"/>
              <w:rPr>
                <w:rFonts w:ascii="Times New Roman" w:hAnsi="Times New Roman"/>
                <w:sz w:val="24"/>
                <w:szCs w:val="24"/>
              </w:rPr>
            </w:pPr>
            <w:r>
              <w:rPr>
                <w:rFonts w:ascii="Times New Roman" w:hAnsi="Times New Roman"/>
                <w:sz w:val="24"/>
                <w:szCs w:val="24"/>
              </w:rPr>
              <w:t>Prioritārajā valsts ēku sarakstā</w:t>
            </w:r>
            <w:r w:rsidR="00493624" w:rsidRPr="00254102">
              <w:rPr>
                <w:rFonts w:ascii="Times New Roman" w:hAnsi="Times New Roman"/>
                <w:sz w:val="24"/>
                <w:szCs w:val="24"/>
              </w:rPr>
              <w:t xml:space="preserve"> </w:t>
            </w:r>
            <w:r w:rsidR="00493624">
              <w:rPr>
                <w:rFonts w:ascii="Times New Roman" w:hAnsi="Times New Roman"/>
                <w:sz w:val="24"/>
                <w:szCs w:val="24"/>
              </w:rPr>
              <w:t>katram</w:t>
            </w:r>
            <w:r w:rsidR="00493624" w:rsidRPr="00254102">
              <w:rPr>
                <w:rFonts w:ascii="Times New Roman" w:hAnsi="Times New Roman"/>
                <w:sz w:val="24"/>
                <w:szCs w:val="24"/>
              </w:rPr>
              <w:t xml:space="preserve"> </w:t>
            </w:r>
            <w:r w:rsidR="00493624">
              <w:rPr>
                <w:rFonts w:ascii="Times New Roman" w:hAnsi="Times New Roman"/>
                <w:sz w:val="24"/>
                <w:szCs w:val="24"/>
              </w:rPr>
              <w:t>ir noteikts</w:t>
            </w:r>
            <w:r w:rsidR="00493624" w:rsidRPr="00254102">
              <w:rPr>
                <w:rFonts w:ascii="Times New Roman" w:hAnsi="Times New Roman"/>
                <w:sz w:val="24"/>
                <w:szCs w:val="24"/>
              </w:rPr>
              <w:t xml:space="preserve"> </w:t>
            </w:r>
            <w:r w:rsidR="00C37984">
              <w:rPr>
                <w:rFonts w:ascii="Times New Roman" w:hAnsi="Times New Roman"/>
                <w:sz w:val="24"/>
                <w:szCs w:val="24"/>
              </w:rPr>
              <w:t xml:space="preserve">projekta iesnieguma </w:t>
            </w:r>
            <w:r w:rsidR="00493624" w:rsidRPr="00254102">
              <w:rPr>
                <w:rFonts w:ascii="Times New Roman" w:hAnsi="Times New Roman"/>
                <w:sz w:val="24"/>
                <w:szCs w:val="24"/>
              </w:rPr>
              <w:t>iesniegšanas gala termiņ</w:t>
            </w:r>
            <w:r w:rsidR="00493624">
              <w:rPr>
                <w:rFonts w:ascii="Times New Roman" w:hAnsi="Times New Roman"/>
                <w:sz w:val="24"/>
                <w:szCs w:val="24"/>
              </w:rPr>
              <w:t>š</w:t>
            </w:r>
            <w:r w:rsidR="00493624" w:rsidRPr="00254102">
              <w:rPr>
                <w:rFonts w:ascii="Times New Roman" w:hAnsi="Times New Roman"/>
                <w:sz w:val="24"/>
                <w:szCs w:val="24"/>
              </w:rPr>
              <w:t xml:space="preserve"> </w:t>
            </w:r>
            <w:r w:rsidR="00493624">
              <w:rPr>
                <w:rFonts w:ascii="Times New Roman" w:hAnsi="Times New Roman"/>
                <w:sz w:val="24"/>
                <w:szCs w:val="24"/>
              </w:rPr>
              <w:t>CFLA</w:t>
            </w:r>
            <w:r w:rsidR="00493624" w:rsidRPr="00254102">
              <w:rPr>
                <w:rFonts w:ascii="Times New Roman" w:hAnsi="Times New Roman"/>
                <w:sz w:val="24"/>
                <w:szCs w:val="24"/>
              </w:rPr>
              <w:t>.</w:t>
            </w:r>
            <w:r w:rsidR="00493624">
              <w:rPr>
                <w:rFonts w:ascii="Times New Roman" w:hAnsi="Times New Roman"/>
                <w:sz w:val="24"/>
                <w:szCs w:val="24"/>
              </w:rPr>
              <w:t xml:space="preserve"> Turpmāk v</w:t>
            </w:r>
            <w:r w:rsidR="00003482" w:rsidRPr="00F478CE">
              <w:rPr>
                <w:rFonts w:ascii="Times New Roman" w:hAnsi="Times New Roman"/>
                <w:sz w:val="24"/>
                <w:szCs w:val="24"/>
              </w:rPr>
              <w:t>isiem projektu iesniedzējiem</w:t>
            </w:r>
            <w:r w:rsidR="008E0D93" w:rsidRPr="00F478CE">
              <w:rPr>
                <w:rFonts w:ascii="Times New Roman" w:hAnsi="Times New Roman"/>
                <w:sz w:val="24"/>
                <w:szCs w:val="24"/>
              </w:rPr>
              <w:t>, kuri vēl nav iesnieguši projekta iesniegumus,</w:t>
            </w:r>
            <w:r w:rsidR="00003482" w:rsidRPr="00F478CE">
              <w:rPr>
                <w:rFonts w:ascii="Times New Roman" w:hAnsi="Times New Roman"/>
                <w:sz w:val="24"/>
                <w:szCs w:val="24"/>
              </w:rPr>
              <w:t xml:space="preserve"> tiks noteikts viens iesniegšanas termiņš </w:t>
            </w:r>
            <w:r w:rsidR="00C250E3">
              <w:rPr>
                <w:rFonts w:ascii="Times New Roman" w:hAnsi="Times New Roman"/>
                <w:sz w:val="24"/>
                <w:szCs w:val="24"/>
              </w:rPr>
              <w:t xml:space="preserve">- </w:t>
            </w:r>
            <w:r w:rsidR="00003482" w:rsidRPr="00F478CE">
              <w:rPr>
                <w:rFonts w:ascii="Times New Roman" w:hAnsi="Times New Roman"/>
                <w:sz w:val="24"/>
                <w:szCs w:val="24"/>
              </w:rPr>
              <w:t>2019.</w:t>
            </w:r>
            <w:r w:rsidR="00C37984">
              <w:rPr>
                <w:rFonts w:ascii="Times New Roman" w:hAnsi="Times New Roman"/>
                <w:sz w:val="24"/>
                <w:szCs w:val="24"/>
              </w:rPr>
              <w:t> </w:t>
            </w:r>
            <w:r w:rsidR="00003482" w:rsidRPr="00F478CE">
              <w:rPr>
                <w:rFonts w:ascii="Times New Roman" w:hAnsi="Times New Roman"/>
                <w:sz w:val="24"/>
                <w:szCs w:val="24"/>
              </w:rPr>
              <w:t>gada 31.</w:t>
            </w:r>
            <w:r w:rsidR="00C37984">
              <w:rPr>
                <w:rFonts w:ascii="Times New Roman" w:hAnsi="Times New Roman"/>
                <w:sz w:val="24"/>
                <w:szCs w:val="24"/>
              </w:rPr>
              <w:t> </w:t>
            </w:r>
            <w:r w:rsidR="00003482" w:rsidRPr="00F478CE">
              <w:rPr>
                <w:rFonts w:ascii="Times New Roman" w:hAnsi="Times New Roman"/>
                <w:sz w:val="24"/>
                <w:szCs w:val="24"/>
              </w:rPr>
              <w:t>decembri</w:t>
            </w:r>
            <w:r w:rsidR="00C250E3">
              <w:rPr>
                <w:rFonts w:ascii="Times New Roman" w:hAnsi="Times New Roman"/>
                <w:sz w:val="24"/>
                <w:szCs w:val="24"/>
              </w:rPr>
              <w:t>s</w:t>
            </w:r>
            <w:r w:rsidR="00C37984">
              <w:rPr>
                <w:rFonts w:ascii="Times New Roman" w:hAnsi="Times New Roman"/>
                <w:sz w:val="24"/>
                <w:szCs w:val="24"/>
              </w:rPr>
              <w:t>. Līdz ar to visi projekta iesniedzēji, kas iekļauti prioritārajā valsts ēku sarakstā</w:t>
            </w:r>
            <w:r w:rsidR="00C250E3">
              <w:rPr>
                <w:rFonts w:ascii="Times New Roman" w:hAnsi="Times New Roman"/>
                <w:sz w:val="24"/>
                <w:szCs w:val="24"/>
              </w:rPr>
              <w:t>, var bez uzaicinājuma iesniegt projekta</w:t>
            </w:r>
            <w:r w:rsidR="003947E8">
              <w:rPr>
                <w:rFonts w:ascii="Times New Roman" w:hAnsi="Times New Roman"/>
                <w:sz w:val="24"/>
                <w:szCs w:val="24"/>
              </w:rPr>
              <w:t xml:space="preserve"> iesniegumu CFLA</w:t>
            </w:r>
            <w:r w:rsidR="00003482" w:rsidRPr="00F478CE">
              <w:rPr>
                <w:rFonts w:ascii="Times New Roman" w:hAnsi="Times New Roman"/>
                <w:sz w:val="24"/>
                <w:szCs w:val="24"/>
              </w:rPr>
              <w:t xml:space="preserve">. </w:t>
            </w:r>
            <w:r w:rsidR="008E0D93" w:rsidRPr="00F478CE">
              <w:rPr>
                <w:rFonts w:ascii="Times New Roman" w:hAnsi="Times New Roman"/>
                <w:sz w:val="24"/>
                <w:szCs w:val="24"/>
              </w:rPr>
              <w:t>Nosakot vienu iesniegšanas termiņu</w:t>
            </w:r>
            <w:r w:rsidR="000D7798">
              <w:rPr>
                <w:rFonts w:ascii="Times New Roman" w:hAnsi="Times New Roman"/>
                <w:sz w:val="24"/>
                <w:szCs w:val="24"/>
              </w:rPr>
              <w:t>,</w:t>
            </w:r>
            <w:r w:rsidR="008E0D93" w:rsidRPr="00F478CE">
              <w:rPr>
                <w:rFonts w:ascii="Times New Roman" w:hAnsi="Times New Roman"/>
                <w:sz w:val="24"/>
                <w:szCs w:val="24"/>
              </w:rPr>
              <w:t xml:space="preserve"> papildus nav nepieciešams kontrolēt projektu iesniegumu iesniegšanas termiņu, kas atvieglo</w:t>
            </w:r>
            <w:r w:rsidR="003947E8">
              <w:rPr>
                <w:rFonts w:ascii="Times New Roman" w:hAnsi="Times New Roman"/>
                <w:sz w:val="24"/>
                <w:szCs w:val="24"/>
              </w:rPr>
              <w:t>tu</w:t>
            </w:r>
            <w:r w:rsidR="008E0D93" w:rsidRPr="00F478CE">
              <w:rPr>
                <w:rFonts w:ascii="Times New Roman" w:hAnsi="Times New Roman"/>
                <w:sz w:val="24"/>
                <w:szCs w:val="24"/>
              </w:rPr>
              <w:t xml:space="preserve"> procesu un neradī</w:t>
            </w:r>
            <w:r w:rsidR="003947E8">
              <w:rPr>
                <w:rFonts w:ascii="Times New Roman" w:hAnsi="Times New Roman"/>
                <w:sz w:val="24"/>
                <w:szCs w:val="24"/>
              </w:rPr>
              <w:t>tu</w:t>
            </w:r>
            <w:r w:rsidR="00C37984">
              <w:rPr>
                <w:rFonts w:ascii="Times New Roman" w:hAnsi="Times New Roman"/>
                <w:sz w:val="24"/>
                <w:szCs w:val="24"/>
              </w:rPr>
              <w:t xml:space="preserve"> lieku</w:t>
            </w:r>
            <w:r w:rsidR="008E0D93" w:rsidRPr="00F478CE">
              <w:rPr>
                <w:rFonts w:ascii="Times New Roman" w:hAnsi="Times New Roman"/>
                <w:sz w:val="24"/>
                <w:szCs w:val="24"/>
              </w:rPr>
              <w:t xml:space="preserve"> administratīvo slogu. </w:t>
            </w:r>
            <w:r w:rsidR="00F75CEA">
              <w:rPr>
                <w:rFonts w:ascii="Times New Roman" w:hAnsi="Times New Roman"/>
                <w:sz w:val="24"/>
                <w:szCs w:val="24"/>
              </w:rPr>
              <w:t>Visi iepriekš CFLA nosūtītie uzaicinājumi projektu iesniedzējiem par projekta iesnieguma iesniegšanu zaudē spēku.</w:t>
            </w:r>
          </w:p>
          <w:p w14:paraId="3CDBCC03" w14:textId="2CE67D96" w:rsidR="00F75CEA" w:rsidRDefault="00540C80" w:rsidP="003947E8">
            <w:pPr>
              <w:spacing w:after="0" w:line="240" w:lineRule="auto"/>
              <w:ind w:left="55" w:right="35"/>
              <w:contextualSpacing/>
              <w:jc w:val="both"/>
              <w:rPr>
                <w:rFonts w:ascii="Times New Roman" w:hAnsi="Times New Roman"/>
                <w:sz w:val="24"/>
                <w:szCs w:val="24"/>
              </w:rPr>
            </w:pPr>
            <w:r>
              <w:rPr>
                <w:rFonts w:ascii="Times New Roman" w:hAnsi="Times New Roman"/>
                <w:sz w:val="24"/>
                <w:szCs w:val="24"/>
              </w:rPr>
              <w:t xml:space="preserve">Ņemot vērā minēto, </w:t>
            </w:r>
            <w:r w:rsidR="00F478CE">
              <w:rPr>
                <w:rFonts w:ascii="Times New Roman" w:hAnsi="Times New Roman"/>
                <w:sz w:val="24"/>
                <w:szCs w:val="24"/>
              </w:rPr>
              <w:t xml:space="preserve">papildus </w:t>
            </w:r>
            <w:r>
              <w:rPr>
                <w:rFonts w:ascii="Times New Roman" w:hAnsi="Times New Roman"/>
                <w:sz w:val="24"/>
                <w:szCs w:val="24"/>
              </w:rPr>
              <w:t>nepieciešams veikt grozījumus MK noteikumu Nr.</w:t>
            </w:r>
            <w:r w:rsidR="003947E8">
              <w:rPr>
                <w:rFonts w:ascii="Times New Roman" w:hAnsi="Times New Roman"/>
                <w:sz w:val="24"/>
                <w:szCs w:val="24"/>
              </w:rPr>
              <w:t xml:space="preserve"> </w:t>
            </w:r>
            <w:r>
              <w:rPr>
                <w:rFonts w:ascii="Times New Roman" w:hAnsi="Times New Roman"/>
                <w:sz w:val="24"/>
                <w:szCs w:val="24"/>
              </w:rPr>
              <w:t>534, 1.</w:t>
            </w:r>
            <w:r w:rsidR="003947E8">
              <w:rPr>
                <w:rFonts w:ascii="Times New Roman" w:hAnsi="Times New Roman"/>
                <w:sz w:val="24"/>
                <w:szCs w:val="24"/>
              </w:rPr>
              <w:t> </w:t>
            </w:r>
            <w:r>
              <w:rPr>
                <w:rFonts w:ascii="Times New Roman" w:hAnsi="Times New Roman"/>
                <w:sz w:val="24"/>
                <w:szCs w:val="24"/>
              </w:rPr>
              <w:t>pielikumā</w:t>
            </w:r>
            <w:r w:rsidR="003947E8">
              <w:rPr>
                <w:rFonts w:ascii="Times New Roman" w:hAnsi="Times New Roman"/>
                <w:sz w:val="24"/>
                <w:szCs w:val="24"/>
              </w:rPr>
              <w:t>,</w:t>
            </w:r>
            <w:r>
              <w:rPr>
                <w:rFonts w:ascii="Times New Roman" w:hAnsi="Times New Roman"/>
                <w:sz w:val="24"/>
                <w:szCs w:val="24"/>
              </w:rPr>
              <w:t xml:space="preserve"> neparedzot resoriem pieejamā publiskā finansējuma maksimālo apmēru attiecināmo izmaksu segšanai. Nepieciešams noteikt, ka Ekonomikas ministrija nodrošina</w:t>
            </w:r>
            <w:r w:rsidR="003947E8">
              <w:rPr>
                <w:rFonts w:ascii="Times New Roman" w:hAnsi="Times New Roman"/>
                <w:sz w:val="24"/>
                <w:szCs w:val="24"/>
              </w:rPr>
              <w:t xml:space="preserve"> un kontrolē p</w:t>
            </w:r>
            <w:r w:rsidR="003947E8" w:rsidRPr="003947E8">
              <w:rPr>
                <w:rFonts w:ascii="Times New Roman" w:hAnsi="Times New Roman"/>
                <w:sz w:val="24"/>
                <w:szCs w:val="24"/>
              </w:rPr>
              <w:t>ieejam</w:t>
            </w:r>
            <w:r w:rsidR="003947E8">
              <w:rPr>
                <w:rFonts w:ascii="Times New Roman" w:hAnsi="Times New Roman"/>
                <w:sz w:val="24"/>
                <w:szCs w:val="24"/>
              </w:rPr>
              <w:t>ā</w:t>
            </w:r>
            <w:r w:rsidR="003947E8" w:rsidRPr="003947E8">
              <w:rPr>
                <w:rFonts w:ascii="Times New Roman" w:hAnsi="Times New Roman"/>
                <w:sz w:val="24"/>
                <w:szCs w:val="24"/>
              </w:rPr>
              <w:t xml:space="preserve"> kopēj</w:t>
            </w:r>
            <w:r w:rsidR="003947E8">
              <w:rPr>
                <w:rFonts w:ascii="Times New Roman" w:hAnsi="Times New Roman"/>
                <w:sz w:val="24"/>
                <w:szCs w:val="24"/>
              </w:rPr>
              <w:t>ā</w:t>
            </w:r>
            <w:r w:rsidR="003947E8" w:rsidRPr="003947E8">
              <w:rPr>
                <w:rFonts w:ascii="Times New Roman" w:hAnsi="Times New Roman"/>
                <w:sz w:val="24"/>
                <w:szCs w:val="24"/>
              </w:rPr>
              <w:t xml:space="preserve"> publisk</w:t>
            </w:r>
            <w:r w:rsidR="003947E8">
              <w:rPr>
                <w:rFonts w:ascii="Times New Roman" w:hAnsi="Times New Roman"/>
                <w:sz w:val="24"/>
                <w:szCs w:val="24"/>
              </w:rPr>
              <w:t>ā</w:t>
            </w:r>
            <w:r w:rsidR="003947E8" w:rsidRPr="003947E8">
              <w:rPr>
                <w:rFonts w:ascii="Times New Roman" w:hAnsi="Times New Roman"/>
                <w:sz w:val="24"/>
                <w:szCs w:val="24"/>
              </w:rPr>
              <w:t xml:space="preserve"> finansējum</w:t>
            </w:r>
            <w:r w:rsidR="003947E8">
              <w:rPr>
                <w:rFonts w:ascii="Times New Roman" w:hAnsi="Times New Roman"/>
                <w:sz w:val="24"/>
                <w:szCs w:val="24"/>
              </w:rPr>
              <w:t>a</w:t>
            </w:r>
            <w:r>
              <w:rPr>
                <w:rFonts w:ascii="Times New Roman" w:hAnsi="Times New Roman"/>
                <w:sz w:val="24"/>
                <w:szCs w:val="24"/>
              </w:rPr>
              <w:t xml:space="preserve"> </w:t>
            </w:r>
            <w:r w:rsidR="003947E8">
              <w:rPr>
                <w:rFonts w:ascii="Times New Roman" w:hAnsi="Times New Roman"/>
                <w:sz w:val="24"/>
                <w:szCs w:val="24"/>
              </w:rPr>
              <w:t>ne</w:t>
            </w:r>
            <w:r>
              <w:rPr>
                <w:rFonts w:ascii="Times New Roman" w:hAnsi="Times New Roman"/>
                <w:sz w:val="24"/>
                <w:szCs w:val="24"/>
              </w:rPr>
              <w:t>pārsnieg</w:t>
            </w:r>
            <w:r w:rsidR="003947E8">
              <w:rPr>
                <w:rFonts w:ascii="Times New Roman" w:hAnsi="Times New Roman"/>
                <w:sz w:val="24"/>
                <w:szCs w:val="24"/>
              </w:rPr>
              <w:t>šanu</w:t>
            </w:r>
            <w:r>
              <w:rPr>
                <w:rFonts w:ascii="Times New Roman" w:hAnsi="Times New Roman"/>
                <w:sz w:val="24"/>
                <w:szCs w:val="24"/>
              </w:rPr>
              <w:t>, nevis</w:t>
            </w:r>
            <w:r w:rsidR="00F478CE">
              <w:rPr>
                <w:rFonts w:ascii="Times New Roman" w:hAnsi="Times New Roman"/>
                <w:sz w:val="24"/>
                <w:szCs w:val="24"/>
              </w:rPr>
              <w:t xml:space="preserve"> šobrīd</w:t>
            </w:r>
            <w:r w:rsidR="003947E8">
              <w:rPr>
                <w:rFonts w:ascii="Times New Roman" w:hAnsi="Times New Roman"/>
                <w:sz w:val="24"/>
                <w:szCs w:val="24"/>
              </w:rPr>
              <w:t xml:space="preserve"> </w:t>
            </w:r>
            <w:r w:rsidR="003947E8" w:rsidRPr="004B320A">
              <w:rPr>
                <w:rFonts w:ascii="Times New Roman" w:hAnsi="Times New Roman"/>
                <w:sz w:val="24"/>
                <w:szCs w:val="24"/>
              </w:rPr>
              <w:t>MK noteikum</w:t>
            </w:r>
            <w:r w:rsidR="003947E8">
              <w:rPr>
                <w:rFonts w:ascii="Times New Roman" w:hAnsi="Times New Roman"/>
                <w:sz w:val="24"/>
                <w:szCs w:val="24"/>
              </w:rPr>
              <w:t>u</w:t>
            </w:r>
            <w:r w:rsidR="003947E8" w:rsidRPr="004B320A">
              <w:rPr>
                <w:rFonts w:ascii="Times New Roman" w:hAnsi="Times New Roman"/>
                <w:sz w:val="24"/>
                <w:szCs w:val="24"/>
              </w:rPr>
              <w:t xml:space="preserve"> Nr.</w:t>
            </w:r>
            <w:r w:rsidR="003947E8">
              <w:rPr>
                <w:rFonts w:ascii="Times New Roman" w:hAnsi="Times New Roman"/>
                <w:sz w:val="24"/>
                <w:szCs w:val="24"/>
              </w:rPr>
              <w:t> </w:t>
            </w:r>
            <w:r w:rsidR="003947E8" w:rsidRPr="004B320A">
              <w:rPr>
                <w:rFonts w:ascii="Times New Roman" w:hAnsi="Times New Roman"/>
                <w:sz w:val="24"/>
                <w:szCs w:val="24"/>
              </w:rPr>
              <w:t>534</w:t>
            </w:r>
            <w:r>
              <w:rPr>
                <w:rFonts w:ascii="Times New Roman" w:hAnsi="Times New Roman"/>
                <w:sz w:val="24"/>
                <w:szCs w:val="24"/>
              </w:rPr>
              <w:t xml:space="preserve"> 1.</w:t>
            </w:r>
            <w:r w:rsidR="003947E8">
              <w:rPr>
                <w:rFonts w:ascii="Times New Roman" w:hAnsi="Times New Roman"/>
                <w:sz w:val="24"/>
                <w:szCs w:val="24"/>
              </w:rPr>
              <w:t> </w:t>
            </w:r>
            <w:r>
              <w:rPr>
                <w:rFonts w:ascii="Times New Roman" w:hAnsi="Times New Roman"/>
                <w:sz w:val="24"/>
                <w:szCs w:val="24"/>
              </w:rPr>
              <w:t>pielikumā minētie resori.</w:t>
            </w:r>
          </w:p>
          <w:p w14:paraId="718EC204" w14:textId="77777777" w:rsidR="003947E8" w:rsidRDefault="003947E8" w:rsidP="003947E8">
            <w:pPr>
              <w:spacing w:after="0" w:line="240" w:lineRule="auto"/>
              <w:ind w:left="55" w:right="35"/>
              <w:contextualSpacing/>
              <w:jc w:val="both"/>
              <w:rPr>
                <w:rFonts w:ascii="Times New Roman" w:hAnsi="Times New Roman"/>
                <w:sz w:val="24"/>
                <w:szCs w:val="24"/>
              </w:rPr>
            </w:pPr>
          </w:p>
          <w:p w14:paraId="2B35C26F" w14:textId="4C988163" w:rsidR="001D7B32" w:rsidRPr="008D2D7A" w:rsidRDefault="003947E8" w:rsidP="008D2D7A">
            <w:pPr>
              <w:spacing w:after="0" w:line="240" w:lineRule="auto"/>
              <w:ind w:right="35"/>
              <w:contextualSpacing/>
              <w:jc w:val="both"/>
              <w:rPr>
                <w:rFonts w:ascii="Times New Roman" w:hAnsi="Times New Roman"/>
                <w:sz w:val="24"/>
                <w:szCs w:val="24"/>
              </w:rPr>
            </w:pPr>
            <w:r>
              <w:rPr>
                <w:rFonts w:ascii="Times New Roman" w:hAnsi="Times New Roman"/>
                <w:sz w:val="24"/>
                <w:szCs w:val="24"/>
              </w:rPr>
              <w:t xml:space="preserve">Papildus </w:t>
            </w:r>
            <w:r w:rsidR="008D2D7A">
              <w:rPr>
                <w:rFonts w:ascii="Times New Roman" w:hAnsi="Times New Roman"/>
                <w:sz w:val="24"/>
                <w:szCs w:val="24"/>
              </w:rPr>
              <w:t>veikti tehniski precizējum</w:t>
            </w:r>
            <w:r>
              <w:rPr>
                <w:rFonts w:ascii="Times New Roman" w:hAnsi="Times New Roman"/>
                <w:sz w:val="24"/>
                <w:szCs w:val="24"/>
              </w:rPr>
              <w:t>i arī</w:t>
            </w:r>
            <w:r w:rsidR="008D2D7A">
              <w:rPr>
                <w:rFonts w:ascii="Times New Roman" w:hAnsi="Times New Roman"/>
                <w:sz w:val="24"/>
                <w:szCs w:val="24"/>
              </w:rPr>
              <w:t xml:space="preserve"> citos MK noteikumu </w:t>
            </w:r>
            <w:r w:rsidRPr="004B320A">
              <w:rPr>
                <w:rFonts w:ascii="Times New Roman" w:hAnsi="Times New Roman"/>
                <w:sz w:val="24"/>
                <w:szCs w:val="24"/>
              </w:rPr>
              <w:t>Nr.</w:t>
            </w:r>
            <w:r>
              <w:rPr>
                <w:rFonts w:ascii="Times New Roman" w:hAnsi="Times New Roman"/>
                <w:sz w:val="24"/>
                <w:szCs w:val="24"/>
              </w:rPr>
              <w:t> </w:t>
            </w:r>
            <w:r w:rsidRPr="004B320A">
              <w:rPr>
                <w:rFonts w:ascii="Times New Roman" w:hAnsi="Times New Roman"/>
                <w:sz w:val="24"/>
                <w:szCs w:val="24"/>
              </w:rPr>
              <w:t>534</w:t>
            </w:r>
            <w:r>
              <w:rPr>
                <w:rFonts w:ascii="Times New Roman" w:hAnsi="Times New Roman"/>
                <w:sz w:val="24"/>
                <w:szCs w:val="24"/>
              </w:rPr>
              <w:t xml:space="preserve"> </w:t>
            </w:r>
            <w:r w:rsidR="008D2D7A">
              <w:rPr>
                <w:rFonts w:ascii="Times New Roman" w:hAnsi="Times New Roman"/>
                <w:sz w:val="24"/>
                <w:szCs w:val="24"/>
              </w:rPr>
              <w:t>punktos.</w:t>
            </w:r>
          </w:p>
        </w:tc>
      </w:tr>
      <w:tr w:rsidR="009A312E" w:rsidRPr="00BD0514" w14:paraId="5FB32C22" w14:textId="77777777" w:rsidTr="0004780E">
        <w:trPr>
          <w:trHeight w:val="36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6909925A" w:rsidR="009A312E" w:rsidRPr="00012D1F" w:rsidRDefault="009A312E" w:rsidP="00206EAD">
            <w:pPr>
              <w:spacing w:after="0" w:line="240" w:lineRule="auto"/>
              <w:contextualSpacing/>
              <w:rPr>
                <w:rFonts w:ascii="Times New Roman" w:eastAsia="Times New Roman" w:hAnsi="Times New Roman"/>
                <w:sz w:val="24"/>
                <w:szCs w:val="24"/>
                <w:lang w:eastAsia="lv-LV"/>
              </w:rPr>
            </w:pPr>
            <w:r w:rsidRPr="00012D1F">
              <w:rPr>
                <w:rFonts w:ascii="Times New Roman" w:eastAsia="Times New Roman" w:hAnsi="Times New Roman"/>
                <w:sz w:val="24"/>
                <w:szCs w:val="24"/>
                <w:lang w:eastAsia="lv-LV"/>
              </w:rPr>
              <w:lastRenderedPageBreak/>
              <w:t>3. Projekta izstrādē iesaistītās institūcijas</w:t>
            </w:r>
            <w:r w:rsidR="004F4E38" w:rsidRPr="00012D1F">
              <w:rPr>
                <w:rFonts w:ascii="Times New Roman" w:eastAsia="Times New Roman" w:hAnsi="Times New Roman"/>
                <w:sz w:val="24"/>
                <w:szCs w:val="24"/>
                <w:lang w:eastAsia="lv-LV"/>
              </w:rPr>
              <w:t xml:space="preserve"> un </w:t>
            </w:r>
            <w:r w:rsidR="001A4868" w:rsidRPr="00012D1F">
              <w:rPr>
                <w:rFonts w:ascii="Times New Roman" w:hAnsi="Times New Roman"/>
                <w:sz w:val="24"/>
                <w:szCs w:val="24"/>
              </w:rPr>
              <w:t>publiskas personas kapitālsabiedrības</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9A312E" w:rsidRPr="00BD0514" w:rsidRDefault="00EB67CA" w:rsidP="00012D1F">
            <w:pPr>
              <w:spacing w:after="0" w:line="240" w:lineRule="auto"/>
              <w:contextualSpacing/>
              <w:jc w:val="both"/>
              <w:rPr>
                <w:rFonts w:ascii="Times New Roman" w:hAnsi="Times New Roman"/>
                <w:color w:val="000000"/>
                <w:sz w:val="24"/>
                <w:szCs w:val="24"/>
              </w:rPr>
            </w:pPr>
            <w:r w:rsidRPr="00BD0514">
              <w:rPr>
                <w:rFonts w:ascii="Times New Roman" w:hAnsi="Times New Roman"/>
                <w:color w:val="000000"/>
                <w:sz w:val="24"/>
                <w:szCs w:val="24"/>
              </w:rPr>
              <w:t>Ekonomikas ministrija</w:t>
            </w:r>
          </w:p>
        </w:tc>
      </w:tr>
      <w:tr w:rsidR="009A312E" w:rsidRPr="00BD0514" w14:paraId="51FE2A99" w14:textId="77777777" w:rsidTr="0004780E">
        <w:trPr>
          <w:trHeight w:val="20"/>
        </w:trPr>
        <w:tc>
          <w:tcPr>
            <w:tcW w:w="179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9A312E" w:rsidRPr="00BD0514" w:rsidRDefault="009A312E"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 4. Cita informācija</w:t>
            </w:r>
          </w:p>
        </w:tc>
        <w:tc>
          <w:tcPr>
            <w:tcW w:w="82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A312E" w:rsidRPr="00BD0514" w:rsidRDefault="009A312E" w:rsidP="00012D1F">
            <w:pPr>
              <w:spacing w:after="0" w:line="240" w:lineRule="auto"/>
              <w:contextualSpacing/>
              <w:jc w:val="both"/>
              <w:rPr>
                <w:rFonts w:ascii="Times New Roman" w:hAnsi="Times New Roman"/>
                <w:sz w:val="24"/>
                <w:szCs w:val="24"/>
              </w:rPr>
            </w:pPr>
            <w:r w:rsidRPr="00BD0514">
              <w:rPr>
                <w:rFonts w:ascii="Times New Roman" w:hAnsi="Times New Roman"/>
                <w:sz w:val="24"/>
                <w:szCs w:val="24"/>
              </w:rPr>
              <w:t>Nav</w:t>
            </w:r>
          </w:p>
        </w:tc>
      </w:tr>
    </w:tbl>
    <w:p w14:paraId="1EB51B7B" w14:textId="77777777" w:rsidR="009A312E" w:rsidRPr="00BD0514" w:rsidRDefault="009A312E"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BD0514" w:rsidRPr="00BD0514" w14:paraId="454E9067" w14:textId="77777777" w:rsidTr="00E05486">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C58CA1E" w14:textId="77777777" w:rsidR="00BD0514" w:rsidRPr="00BD0514" w:rsidRDefault="00BD0514" w:rsidP="00206EAD">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 Tiesību akta projekta ietekme uz sabiedrību, tautsaimniecības attīstību un administratīvo slogu</w:t>
            </w:r>
          </w:p>
        </w:tc>
      </w:tr>
      <w:tr w:rsidR="00BD0514" w:rsidRPr="00BD0514" w14:paraId="2FE17A85" w14:textId="77777777" w:rsidTr="00E05486">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069F66"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lastRenderedPageBreak/>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031E000C"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Sabiedrības mērķgrupas,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F486BB" w14:textId="77777777" w:rsidR="00BD0514" w:rsidRPr="00BD0514"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BD0514">
              <w:rPr>
                <w:rFonts w:ascii="Times New Roman" w:eastAsia="Times New Roman" w:hAnsi="Times New Roman"/>
                <w:iCs/>
                <w:sz w:val="24"/>
                <w:szCs w:val="24"/>
                <w:lang w:eastAsia="lv-LV"/>
              </w:rPr>
              <w:t>Valsts ēku īpašnieki un lietotāji.</w:t>
            </w:r>
          </w:p>
        </w:tc>
      </w:tr>
      <w:tr w:rsidR="00BD0514" w:rsidRPr="00BD0514" w14:paraId="2A5D2287" w14:textId="77777777" w:rsidTr="00E05486">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260ED7"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1435BB" w14:textId="77777777" w:rsidR="00BD0514" w:rsidRPr="00BD0514" w:rsidRDefault="00BD0514" w:rsidP="00206EAD">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01090C" w14:textId="6954A511" w:rsidR="00BD0514" w:rsidRDefault="000A7DC0" w:rsidP="00111ABB">
            <w:pPr>
              <w:spacing w:after="0" w:line="240" w:lineRule="auto"/>
              <w:ind w:left="59"/>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BD0514" w:rsidRPr="00BD0514">
              <w:rPr>
                <w:rFonts w:ascii="Times New Roman" w:eastAsia="Times New Roman" w:hAnsi="Times New Roman"/>
                <w:iCs/>
                <w:sz w:val="24"/>
                <w:szCs w:val="24"/>
                <w:lang w:eastAsia="lv-LV"/>
              </w:rPr>
              <w:t>rojekts neparedz ietekmi uz administratīvo slogu un tautsaimniecību.</w:t>
            </w:r>
          </w:p>
          <w:p w14:paraId="70528FA2" w14:textId="1655E8FB" w:rsidR="00520759" w:rsidRPr="006E441A" w:rsidRDefault="00BF0D13" w:rsidP="006E441A">
            <w:pPr>
              <w:spacing w:after="0" w:line="240" w:lineRule="auto"/>
              <w:ind w:left="95"/>
              <w:contextualSpacing/>
              <w:jc w:val="both"/>
              <w:rPr>
                <w:rFonts w:ascii="Times New Roman" w:hAnsi="Times New Roman"/>
                <w:sz w:val="24"/>
                <w:szCs w:val="24"/>
              </w:rPr>
            </w:pPr>
            <w:r>
              <w:rPr>
                <w:rFonts w:ascii="Times New Roman" w:hAnsi="Times New Roman"/>
                <w:sz w:val="24"/>
                <w:szCs w:val="24"/>
              </w:rPr>
              <w:t>N</w:t>
            </w:r>
            <w:r w:rsidR="00520759" w:rsidRPr="00140353">
              <w:rPr>
                <w:rFonts w:ascii="Times New Roman" w:hAnsi="Times New Roman"/>
                <w:sz w:val="24"/>
                <w:szCs w:val="24"/>
              </w:rPr>
              <w:t>av identificēts administratīvā sloga palielinājums ne potenciālajiem finansējuma saņēmējiem, ne fondu vadībā iesaistītajām institūcijām.</w:t>
            </w:r>
          </w:p>
        </w:tc>
      </w:tr>
      <w:tr w:rsidR="00BD0514" w:rsidRPr="008B78B2" w14:paraId="33907C77"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026571"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0FA7612"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905818" w14:textId="6F4D6327" w:rsidR="00BD0514" w:rsidRPr="008B78B2" w:rsidRDefault="004F4E38" w:rsidP="003D48E4">
            <w:pPr>
              <w:spacing w:after="0" w:line="240" w:lineRule="auto"/>
              <w:ind w:left="59"/>
              <w:contextualSpacing/>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P</w:t>
            </w:r>
            <w:r w:rsidR="00BD0514" w:rsidRPr="008B78B2">
              <w:rPr>
                <w:rFonts w:ascii="Times New Roman" w:eastAsia="Times New Roman" w:hAnsi="Times New Roman"/>
                <w:color w:val="000000"/>
                <w:sz w:val="24"/>
                <w:szCs w:val="24"/>
                <w:lang w:eastAsia="lv-LV"/>
              </w:rPr>
              <w:t>rojekts š</w:t>
            </w:r>
            <w:r w:rsidR="00BD0514">
              <w:rPr>
                <w:rFonts w:ascii="Times New Roman" w:eastAsia="Times New Roman" w:hAnsi="Times New Roman"/>
                <w:color w:val="000000"/>
                <w:sz w:val="24"/>
                <w:szCs w:val="24"/>
                <w:lang w:eastAsia="lv-LV"/>
              </w:rPr>
              <w:t>o jomu neskar.</w:t>
            </w:r>
          </w:p>
        </w:tc>
      </w:tr>
      <w:tr w:rsidR="00F62D5E" w:rsidRPr="008B78B2" w14:paraId="4A01497B" w14:textId="77777777" w:rsidTr="00E05486">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tcPr>
          <w:p w14:paraId="2181EC95" w14:textId="753E0754" w:rsidR="00F62D5E" w:rsidRPr="008B78B2" w:rsidRDefault="00F62D5E" w:rsidP="00206EAD">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tcPr>
          <w:p w14:paraId="105DE540" w14:textId="1C3D7D53" w:rsidR="00F62D5E" w:rsidRPr="008B78B2" w:rsidRDefault="00107948"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tbilstības </w:t>
            </w:r>
            <w:r w:rsidRPr="008B78B2">
              <w:rPr>
                <w:rFonts w:ascii="Times New Roman" w:eastAsia="Times New Roman" w:hAnsi="Times New Roman"/>
                <w:sz w:val="24"/>
                <w:szCs w:val="24"/>
                <w:lang w:eastAsia="lv-LV"/>
              </w:rPr>
              <w:t>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tcPr>
          <w:p w14:paraId="7D3088E9" w14:textId="3F51C063" w:rsidR="00F62D5E" w:rsidRDefault="004F4E38" w:rsidP="003D48E4">
            <w:pPr>
              <w:spacing w:after="0" w:line="240" w:lineRule="auto"/>
              <w:ind w:left="59"/>
              <w:contextualSpacing/>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Pr="008B78B2">
              <w:rPr>
                <w:rFonts w:ascii="Times New Roman" w:eastAsia="Times New Roman" w:hAnsi="Times New Roman"/>
                <w:color w:val="000000"/>
                <w:sz w:val="24"/>
                <w:szCs w:val="24"/>
                <w:lang w:eastAsia="lv-LV"/>
              </w:rPr>
              <w:t>rojekts š</w:t>
            </w:r>
            <w:r>
              <w:rPr>
                <w:rFonts w:ascii="Times New Roman" w:eastAsia="Times New Roman" w:hAnsi="Times New Roman"/>
                <w:color w:val="000000"/>
                <w:sz w:val="24"/>
                <w:szCs w:val="24"/>
                <w:lang w:eastAsia="lv-LV"/>
              </w:rPr>
              <w:t>o jomu neskar.</w:t>
            </w:r>
          </w:p>
        </w:tc>
      </w:tr>
      <w:tr w:rsidR="00BD0514" w:rsidRPr="008B78B2" w14:paraId="05A3E7A3" w14:textId="77777777" w:rsidTr="00E05486">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03C2B6" w14:textId="06E1B12E" w:rsidR="00BD0514" w:rsidRPr="008B78B2" w:rsidRDefault="00875120" w:rsidP="00206EAD">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BD0514" w:rsidRPr="008B78B2">
              <w:rPr>
                <w:rFonts w:ascii="Times New Roman" w:eastAsia="Times New Roman" w:hAnsi="Times New Roman"/>
                <w:sz w:val="24"/>
                <w:szCs w:val="24"/>
                <w:lang w:eastAsia="lv-LV"/>
              </w:rPr>
              <w:t>.</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51A605"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5AE8DB" w14:textId="77777777" w:rsidR="00BD0514" w:rsidRPr="008B78B2" w:rsidRDefault="00BD0514" w:rsidP="003D48E4">
            <w:pPr>
              <w:spacing w:after="0" w:line="240" w:lineRule="auto"/>
              <w:ind w:left="59"/>
              <w:contextualSpacing/>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p w14:paraId="5CCA36B2" w14:textId="77777777" w:rsidR="00351C4F" w:rsidRDefault="00351C4F"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BD0514" w14:paraId="396280A9" w14:textId="77777777" w:rsidTr="00E05486">
        <w:tc>
          <w:tcPr>
            <w:tcW w:w="935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D48B55E" w14:textId="620AD642" w:rsidR="00BD0514" w:rsidRPr="00BD0514" w:rsidRDefault="00BD0514" w:rsidP="00206EAD">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III. Tiesību akta projekta ietekme uz valsts budžetu un pašvaldību budžetiem</w:t>
            </w:r>
          </w:p>
        </w:tc>
      </w:tr>
      <w:tr w:rsidR="00BD0514" w:rsidRPr="00BD0514" w14:paraId="1C9F0E94" w14:textId="77777777" w:rsidTr="00E05486">
        <w:tc>
          <w:tcPr>
            <w:tcW w:w="93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1BEEA4" w14:textId="0ED91758" w:rsidR="00BD0514" w:rsidRPr="00BD0514" w:rsidRDefault="00BD0514" w:rsidP="00206EAD">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7BFA1607" w14:textId="77777777" w:rsidR="00BD0514" w:rsidRDefault="00BD0514" w:rsidP="00206EAD">
      <w:pPr>
        <w:spacing w:after="0" w:line="240" w:lineRule="auto"/>
        <w:contextualSpacing/>
        <w:rPr>
          <w:rFonts w:ascii="Times New Roman" w:eastAsia="Arial Unicode MS" w:hAnsi="Times New Roman"/>
          <w:b/>
          <w:sz w:val="24"/>
          <w:szCs w:val="2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356"/>
      </w:tblGrid>
      <w:tr w:rsidR="00BD0514" w:rsidRPr="00BD0514" w14:paraId="5137FA0A" w14:textId="77777777" w:rsidTr="00140353">
        <w:tc>
          <w:tcPr>
            <w:tcW w:w="9356" w:type="dxa"/>
            <w:vAlign w:val="center"/>
            <w:hideMark/>
          </w:tcPr>
          <w:p w14:paraId="67CD7CC2" w14:textId="14925963" w:rsidR="00BD0514" w:rsidRPr="00BD0514" w:rsidRDefault="00BD0514" w:rsidP="00206EAD">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IV. Tiesību akta projekta ietekme uz spēkā esošo tiesību normu sistēmu</w:t>
            </w:r>
          </w:p>
        </w:tc>
      </w:tr>
      <w:tr w:rsidR="00BD0514" w:rsidRPr="00BD0514" w14:paraId="0FBD3215" w14:textId="77777777" w:rsidTr="00140353">
        <w:tc>
          <w:tcPr>
            <w:tcW w:w="9356" w:type="dxa"/>
            <w:vAlign w:val="center"/>
          </w:tcPr>
          <w:p w14:paraId="22E3944E" w14:textId="08E7196B" w:rsidR="00BD0514" w:rsidRPr="00BD0514" w:rsidRDefault="00BD0514" w:rsidP="00206EAD">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442C0520" w14:textId="77777777" w:rsidR="00BD0514" w:rsidRDefault="00BD0514" w:rsidP="00206EAD">
      <w:pPr>
        <w:spacing w:after="0" w:line="240" w:lineRule="auto"/>
        <w:contextualSpacing/>
        <w:rPr>
          <w:rFonts w:ascii="Times New Roman" w:eastAsia="Arial Unicode MS" w:hAnsi="Times New Roman"/>
          <w:b/>
          <w:sz w:val="24"/>
          <w:szCs w:val="24"/>
        </w:rPr>
      </w:pPr>
    </w:p>
    <w:p w14:paraId="016B4068" w14:textId="77777777" w:rsidR="00647573" w:rsidRDefault="00647573"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647573" w:rsidRPr="008B78B2" w14:paraId="03D03EB6"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A99A809" w14:textId="1808D21B" w:rsidR="00647573" w:rsidRPr="008B78B2" w:rsidRDefault="00647573" w:rsidP="001E5EF3">
            <w:pPr>
              <w:spacing w:after="0" w:line="240" w:lineRule="auto"/>
              <w:contextualSpacing/>
              <w:jc w:val="center"/>
              <w:rPr>
                <w:rFonts w:ascii="Times New Roman" w:eastAsia="Times New Roman" w:hAnsi="Times New Roman"/>
                <w:b/>
                <w:sz w:val="24"/>
                <w:szCs w:val="24"/>
                <w:lang w:eastAsia="lv-LV"/>
              </w:rPr>
            </w:pPr>
            <w:r w:rsidRPr="00BD0514">
              <w:rPr>
                <w:rFonts w:ascii="Times New Roman" w:eastAsia="Times New Roman" w:hAnsi="Times New Roman"/>
                <w:b/>
                <w:bCs/>
                <w:sz w:val="24"/>
                <w:szCs w:val="24"/>
                <w:lang w:eastAsia="lv-LV"/>
              </w:rPr>
              <w:t>V. Tiesību akta projekta atbilstība Latvijas Republikas starptautiskajām saistībām</w:t>
            </w:r>
          </w:p>
        </w:tc>
      </w:tr>
      <w:tr w:rsidR="00647573" w:rsidRPr="008B78B2" w14:paraId="54C5364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026CA2"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0E7C9C" w14:textId="5DB922CD"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647573">
              <w:rPr>
                <w:rFonts w:ascii="Times New Roman" w:hAnsi="Times New Roman"/>
                <w:sz w:val="24"/>
                <w:szCs w:val="24"/>
              </w:rPr>
              <w:t>Citas starptautiskās saistības</w:t>
            </w:r>
            <w:r w:rsidRPr="00647573">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DCF4CE1" w14:textId="4575ACD3" w:rsidR="00647573" w:rsidRPr="008B78B2" w:rsidRDefault="00647573" w:rsidP="001E5EF3">
            <w:pPr>
              <w:spacing w:after="0" w:line="240" w:lineRule="auto"/>
              <w:ind w:left="124" w:right="142"/>
              <w:contextualSpacing/>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p>
        </w:tc>
      </w:tr>
      <w:tr w:rsidR="00647573" w:rsidRPr="008B78B2" w14:paraId="0806A755"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CBFC970"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49F9565" w14:textId="693BC5AE" w:rsidR="00647573" w:rsidRPr="00BD0514" w:rsidRDefault="00647573" w:rsidP="001E5EF3">
            <w:pPr>
              <w:spacing w:after="0" w:line="240" w:lineRule="auto"/>
              <w:contextualSpacing/>
              <w:rPr>
                <w:rFonts w:ascii="Times New Roman" w:hAnsi="Times New Roman"/>
                <w:sz w:val="24"/>
                <w:szCs w:val="24"/>
              </w:rPr>
            </w:pPr>
            <w:r w:rsidRPr="00647573">
              <w:rPr>
                <w:rFonts w:ascii="Times New Roman" w:hAnsi="Times New Roman"/>
                <w:sz w:val="24"/>
                <w:szCs w:val="24"/>
              </w:rPr>
              <w:t>Citas starptautiskās saistības</w:t>
            </w:r>
            <w:r w:rsidRPr="00647573">
              <w:rPr>
                <w:rFonts w:ascii="Times New Roman" w:hAnsi="Times New Roman"/>
                <w:sz w:val="24"/>
                <w:szCs w:val="24"/>
              </w:rPr>
              <w:tab/>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09331704" w14:textId="4E73E3EF" w:rsidR="00647573" w:rsidRPr="00BD0514" w:rsidRDefault="00647573" w:rsidP="001E5EF3">
            <w:pPr>
              <w:spacing w:after="0" w:line="240" w:lineRule="auto"/>
              <w:ind w:left="142" w:right="142"/>
              <w:contextualSpacing/>
              <w:rPr>
                <w:rFonts w:ascii="Times New Roman" w:hAnsi="Times New Roman"/>
                <w:sz w:val="24"/>
                <w:szCs w:val="24"/>
              </w:rPr>
            </w:pPr>
            <w:r w:rsidRPr="008B78B2">
              <w:rPr>
                <w:rFonts w:ascii="Times New Roman" w:eastAsia="Times New Roman" w:hAnsi="Times New Roman"/>
                <w:iCs/>
                <w:sz w:val="24"/>
                <w:szCs w:val="24"/>
                <w:lang w:eastAsia="lv-LV"/>
              </w:rPr>
              <w:t>Nav</w:t>
            </w:r>
          </w:p>
        </w:tc>
      </w:tr>
      <w:tr w:rsidR="00647573" w:rsidRPr="008B78B2" w14:paraId="225CF88E"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0DC396A"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B935879" w14:textId="77777777" w:rsidR="00647573" w:rsidRPr="008B78B2" w:rsidRDefault="00647573" w:rsidP="001E5EF3">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7EB5DFF0" w14:textId="7216D594" w:rsidR="00647573" w:rsidRPr="008B78B2" w:rsidRDefault="0043519D" w:rsidP="0043519D">
            <w:pPr>
              <w:spacing w:after="0" w:line="240" w:lineRule="auto"/>
              <w:ind w:left="142" w:right="142"/>
              <w:contextualSpacing/>
              <w:rPr>
                <w:rFonts w:ascii="Times New Roman" w:eastAsia="Times New Roman" w:hAnsi="Times New Roman"/>
                <w:sz w:val="24"/>
                <w:szCs w:val="24"/>
                <w:lang w:eastAsia="lv-LV"/>
              </w:rPr>
            </w:pPr>
            <w:r w:rsidRPr="0043519D">
              <w:rPr>
                <w:rFonts w:ascii="Times New Roman" w:eastAsia="Times New Roman" w:hAnsi="Times New Roman"/>
                <w:iCs/>
                <w:sz w:val="24"/>
                <w:szCs w:val="24"/>
                <w:lang w:eastAsia="lv-LV"/>
              </w:rPr>
              <w:t>Eiropas Parlamenta un Padomes 2</w:t>
            </w:r>
            <w:r>
              <w:rPr>
                <w:rFonts w:ascii="Times New Roman" w:eastAsia="Times New Roman" w:hAnsi="Times New Roman"/>
                <w:iCs/>
                <w:sz w:val="24"/>
                <w:szCs w:val="24"/>
                <w:lang w:eastAsia="lv-LV"/>
              </w:rPr>
              <w:t>012. gada 25. oktobra Direktīva</w:t>
            </w:r>
            <w:r w:rsidRPr="0043519D">
              <w:rPr>
                <w:rFonts w:ascii="Times New Roman" w:eastAsia="Times New Roman" w:hAnsi="Times New Roman"/>
                <w:iCs/>
                <w:sz w:val="24"/>
                <w:szCs w:val="24"/>
                <w:lang w:eastAsia="lv-LV"/>
              </w:rPr>
              <w:t xml:space="preserve"> 2012/27/ES par energoefektivitāti, ar ko groza Direktīvas 2009/125/EK un 2010/30/ES un atceļ Direktīvas 2004/8/EK un 2006/32/EK (turpmāk – Direktīva 2012/27/ES)</w:t>
            </w:r>
            <w:r>
              <w:rPr>
                <w:rFonts w:ascii="Times New Roman" w:eastAsia="Times New Roman" w:hAnsi="Times New Roman"/>
                <w:iCs/>
                <w:sz w:val="24"/>
                <w:szCs w:val="24"/>
                <w:lang w:eastAsia="lv-LV"/>
              </w:rPr>
              <w:t xml:space="preserve"> ir pārņemta ar Energoefektivitātes likumu, bet ar 4.2.1.2.</w:t>
            </w:r>
            <w:r w:rsidR="00EA732E">
              <w:rPr>
                <w:rFonts w:ascii="Times New Roman" w:eastAsia="Times New Roman" w:hAnsi="Times New Roman"/>
                <w:iCs/>
                <w:sz w:val="24"/>
                <w:szCs w:val="24"/>
                <w:lang w:eastAsia="lv-LV"/>
              </w:rPr>
              <w:t> </w:t>
            </w:r>
            <w:r>
              <w:rPr>
                <w:rFonts w:ascii="Times New Roman" w:eastAsia="Times New Roman" w:hAnsi="Times New Roman"/>
                <w:iCs/>
                <w:sz w:val="24"/>
                <w:szCs w:val="24"/>
                <w:lang w:eastAsia="lv-LV"/>
              </w:rPr>
              <w:t>pasākuma pieejamo finansējumu tiek sniegts ieguldījums Direktīvas 2012/27/ES noteikto mērķu sasniegšanā.</w:t>
            </w:r>
          </w:p>
        </w:tc>
      </w:tr>
    </w:tbl>
    <w:p w14:paraId="36E5DDCB" w14:textId="77777777" w:rsidR="00BD0514" w:rsidRDefault="00BD0514" w:rsidP="00206EAD">
      <w:pPr>
        <w:spacing w:after="0" w:line="240" w:lineRule="auto"/>
        <w:contextualSpacing/>
        <w:rPr>
          <w:rFonts w:ascii="Times New Roman" w:eastAsia="Arial Unicode MS" w:hAnsi="Times New Roman"/>
          <w:b/>
          <w:sz w:val="24"/>
          <w:szCs w:val="24"/>
        </w:rPr>
      </w:pPr>
    </w:p>
    <w:p w14:paraId="106D426A" w14:textId="77777777" w:rsidR="00647573" w:rsidRDefault="00647573" w:rsidP="00206EAD">
      <w:pPr>
        <w:spacing w:after="0" w:line="240" w:lineRule="auto"/>
        <w:contextualSpacing/>
        <w:rPr>
          <w:rFonts w:ascii="Times New Roman" w:eastAsia="Arial Unicode MS" w:hAnsi="Times New Roman"/>
          <w:b/>
          <w:sz w:val="24"/>
          <w:szCs w:val="24"/>
        </w:rPr>
      </w:pPr>
    </w:p>
    <w:tbl>
      <w:tblPr>
        <w:tblW w:w="932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395"/>
        <w:gridCol w:w="2977"/>
        <w:gridCol w:w="5954"/>
      </w:tblGrid>
      <w:tr w:rsidR="009A312E" w:rsidRPr="008B78B2" w14:paraId="051EE9BB" w14:textId="77777777" w:rsidTr="00887336">
        <w:trPr>
          <w:jc w:val="center"/>
        </w:trPr>
        <w:tc>
          <w:tcPr>
            <w:tcW w:w="932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216CA38F" w:rsidR="009A312E" w:rsidRPr="008B78B2" w:rsidRDefault="009A312E" w:rsidP="00206EAD">
            <w:pPr>
              <w:spacing w:after="0" w:line="240" w:lineRule="auto"/>
              <w:ind w:left="124" w:right="142"/>
              <w:contextualSpacing/>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w:t>
            </w:r>
            <w:r w:rsidRPr="008B78B2">
              <w:rPr>
                <w:rFonts w:ascii="Times New Roman" w:eastAsia="Times New Roman" w:hAnsi="Times New Roman"/>
                <w:iCs/>
                <w:sz w:val="24"/>
                <w:szCs w:val="24"/>
                <w:lang w:eastAsia="lv-LV"/>
              </w:rPr>
              <w:t xml:space="preserve">oteikumu projekts un tā anotācija </w:t>
            </w:r>
            <w:r w:rsidR="00A40B3F">
              <w:rPr>
                <w:rFonts w:ascii="Times New Roman" w:eastAsia="Times New Roman" w:hAnsi="Times New Roman"/>
                <w:iCs/>
                <w:sz w:val="24"/>
                <w:szCs w:val="24"/>
                <w:lang w:eastAsia="lv-LV"/>
              </w:rPr>
              <w:t>ir</w:t>
            </w:r>
            <w:r w:rsidR="00A40B3F" w:rsidRPr="008B78B2">
              <w:rPr>
                <w:rFonts w:ascii="Times New Roman" w:eastAsia="Times New Roman" w:hAnsi="Times New Roman"/>
                <w:iCs/>
                <w:sz w:val="24"/>
                <w:szCs w:val="24"/>
                <w:lang w:eastAsia="lv-LV"/>
              </w:rPr>
              <w:t xml:space="preserve"> </w:t>
            </w:r>
            <w:r w:rsidRPr="008B78B2">
              <w:rPr>
                <w:rFonts w:ascii="Times New Roman" w:eastAsia="Times New Roman" w:hAnsi="Times New Roman"/>
                <w:iCs/>
                <w:sz w:val="24"/>
                <w:szCs w:val="24"/>
                <w:lang w:eastAsia="lv-LV"/>
              </w:rPr>
              <w:t xml:space="preserve">ievietota </w:t>
            </w:r>
            <w:r w:rsidR="00EA732E">
              <w:rPr>
                <w:rFonts w:ascii="Times New Roman" w:eastAsia="Times New Roman" w:hAnsi="Times New Roman"/>
                <w:iCs/>
                <w:sz w:val="24"/>
                <w:szCs w:val="24"/>
                <w:lang w:eastAsia="lv-LV"/>
              </w:rPr>
              <w:t>Ekonomikas m</w:t>
            </w:r>
            <w:r w:rsidR="009160BD">
              <w:rPr>
                <w:rFonts w:ascii="Times New Roman" w:eastAsia="Times New Roman" w:hAnsi="Times New Roman"/>
                <w:iCs/>
                <w:sz w:val="24"/>
                <w:szCs w:val="24"/>
                <w:lang w:eastAsia="lv-LV"/>
              </w:rPr>
              <w:t>inistrijas</w:t>
            </w:r>
            <w:r w:rsidR="009160BD"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tīmekļa vietnē</w:t>
            </w:r>
            <w:r w:rsidRPr="008B78B2">
              <w:rPr>
                <w:rFonts w:ascii="Times New Roman" w:eastAsia="Times New Roman" w:hAnsi="Times New Roman"/>
                <w:iCs/>
                <w:sz w:val="24"/>
                <w:szCs w:val="24"/>
                <w:lang w:eastAsia="lv-LV"/>
              </w:rPr>
              <w:t>.</w:t>
            </w:r>
          </w:p>
        </w:tc>
      </w:tr>
      <w:tr w:rsidR="00BD0514" w:rsidRPr="008B78B2" w14:paraId="2F9C45F7" w14:textId="77777777" w:rsidTr="00887336">
        <w:trPr>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BD0514" w:rsidRPr="00BD0514" w:rsidRDefault="00BD0514" w:rsidP="00206EAD">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 projekta izstrādē</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13F21B4" w14:textId="77777777" w:rsidR="00B603E9" w:rsidRPr="00B603E9" w:rsidRDefault="00B603E9" w:rsidP="00B603E9">
            <w:pPr>
              <w:spacing w:after="0" w:line="240" w:lineRule="auto"/>
              <w:ind w:left="124" w:right="142"/>
              <w:contextualSpacing/>
              <w:jc w:val="both"/>
              <w:rPr>
                <w:rFonts w:ascii="Times New Roman" w:eastAsia="Times New Roman" w:hAnsi="Times New Roman"/>
                <w:iCs/>
                <w:sz w:val="24"/>
                <w:szCs w:val="24"/>
                <w:lang w:eastAsia="lv-LV"/>
              </w:rPr>
            </w:pPr>
            <w:r w:rsidRPr="00B603E9">
              <w:rPr>
                <w:rFonts w:ascii="Times New Roman" w:eastAsia="Times New Roman" w:hAnsi="Times New Roman"/>
                <w:iCs/>
                <w:sz w:val="24"/>
                <w:szCs w:val="24"/>
                <w:lang w:eastAsia="lv-LV"/>
              </w:rPr>
              <w:t>Noteikumu projekts tika ievietots sabiedrības apspriešanai:</w:t>
            </w:r>
          </w:p>
          <w:p w14:paraId="7DFCCE34" w14:textId="77777777" w:rsidR="00B603E9" w:rsidRPr="00B603E9" w:rsidRDefault="00B603E9" w:rsidP="00B603E9">
            <w:pPr>
              <w:spacing w:after="0" w:line="240" w:lineRule="auto"/>
              <w:ind w:left="124" w:right="142"/>
              <w:contextualSpacing/>
              <w:jc w:val="both"/>
              <w:rPr>
                <w:rFonts w:ascii="Times New Roman" w:eastAsia="Times New Roman" w:hAnsi="Times New Roman"/>
                <w:iCs/>
                <w:sz w:val="24"/>
                <w:szCs w:val="24"/>
                <w:lang w:eastAsia="lv-LV"/>
              </w:rPr>
            </w:pPr>
            <w:r w:rsidRPr="00B603E9">
              <w:rPr>
                <w:rFonts w:ascii="Times New Roman" w:eastAsia="Times New Roman" w:hAnsi="Times New Roman"/>
                <w:iCs/>
                <w:sz w:val="24"/>
                <w:szCs w:val="24"/>
                <w:lang w:eastAsia="lv-LV"/>
              </w:rPr>
              <w:t>1) Ekonomikas ministrijas tīmekļvietnē:</w:t>
            </w:r>
          </w:p>
          <w:p w14:paraId="667F9C98" w14:textId="77777777" w:rsidR="00B603E9" w:rsidRDefault="00B603E9" w:rsidP="00B603E9">
            <w:pPr>
              <w:ind w:left="136" w:right="132"/>
              <w:contextualSpacing/>
              <w:jc w:val="both"/>
            </w:pPr>
            <w:hyperlink r:id="rId9" w:history="1">
              <w:r>
                <w:rPr>
                  <w:rStyle w:val="Hyperlink"/>
                </w:rPr>
                <w:t>https://em.gov.lv/lv/Ministrija/sabiedribas_lidzdaliba/diskusiju_dokumenti/</w:t>
              </w:r>
            </w:hyperlink>
          </w:p>
          <w:p w14:paraId="48A76F3A" w14:textId="77777777" w:rsidR="00B603E9" w:rsidRPr="00B603E9" w:rsidRDefault="00B603E9" w:rsidP="00B603E9">
            <w:pPr>
              <w:spacing w:after="0" w:line="240" w:lineRule="auto"/>
              <w:ind w:left="124" w:right="142"/>
              <w:contextualSpacing/>
              <w:jc w:val="both"/>
              <w:rPr>
                <w:rFonts w:ascii="Times New Roman" w:eastAsia="Times New Roman" w:hAnsi="Times New Roman"/>
                <w:iCs/>
                <w:sz w:val="24"/>
                <w:szCs w:val="24"/>
                <w:lang w:eastAsia="lv-LV"/>
              </w:rPr>
            </w:pPr>
            <w:r w:rsidRPr="00B603E9">
              <w:rPr>
                <w:rFonts w:ascii="Times New Roman" w:eastAsia="Times New Roman" w:hAnsi="Times New Roman"/>
                <w:iCs/>
                <w:sz w:val="24"/>
                <w:szCs w:val="24"/>
                <w:lang w:eastAsia="lv-LV"/>
              </w:rPr>
              <w:lastRenderedPageBreak/>
              <w:t>2) Ministru kabineta tīmekļvietnē:</w:t>
            </w:r>
          </w:p>
          <w:p w14:paraId="62ECC05B" w14:textId="278E153D" w:rsidR="00BD0514" w:rsidRPr="00BD0514" w:rsidRDefault="00B603E9" w:rsidP="00B603E9">
            <w:pPr>
              <w:spacing w:after="0" w:line="240" w:lineRule="auto"/>
              <w:ind w:left="142" w:right="142"/>
              <w:contextualSpacing/>
              <w:rPr>
                <w:rFonts w:ascii="Times New Roman" w:hAnsi="Times New Roman"/>
                <w:sz w:val="24"/>
                <w:szCs w:val="24"/>
              </w:rPr>
            </w:pPr>
            <w:hyperlink r:id="rId10" w:history="1">
              <w:r>
                <w:rPr>
                  <w:rStyle w:val="Hyperlink"/>
                  <w:rFonts w:eastAsia="Times New Roman"/>
                </w:rPr>
                <w:t>https://www.mk.gov.lv/content/ministru-kabineta-diskusiju-dokumenti</w:t>
              </w:r>
            </w:hyperlink>
          </w:p>
        </w:tc>
      </w:tr>
      <w:tr w:rsidR="00BD0514" w:rsidRPr="008B78B2" w14:paraId="1D285C1F" w14:textId="77777777" w:rsidTr="00887336">
        <w:trPr>
          <w:trHeight w:val="72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BD0514" w:rsidRPr="008B78B2" w:rsidRDefault="00BD0514"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BD0514" w:rsidRPr="00BD0514" w:rsidRDefault="00BD0514" w:rsidP="00206EAD">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līdzdalības rezultāti</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4E6639FF" w:rsidR="00BD0514" w:rsidRPr="00BD0514" w:rsidRDefault="00424A1E" w:rsidP="00206EAD">
            <w:pPr>
              <w:spacing w:after="0" w:line="240" w:lineRule="auto"/>
              <w:ind w:right="142"/>
              <w:contextualSpacing/>
              <w:jc w:val="both"/>
              <w:rPr>
                <w:rFonts w:ascii="Times New Roman" w:hAnsi="Times New Roman"/>
                <w:sz w:val="24"/>
                <w:szCs w:val="24"/>
              </w:rPr>
            </w:pPr>
            <w:r>
              <w:rPr>
                <w:rFonts w:ascii="Times New Roman" w:hAnsi="Times New Roman"/>
                <w:sz w:val="24"/>
                <w:szCs w:val="24"/>
              </w:rPr>
              <w:t>Saņemtas vēstules 2019.gada 12.septembrī Nr.5.1-24/21 no Finanšu ministrijas un 2</w:t>
            </w:r>
            <w:bookmarkStart w:id="2" w:name="_GoBack"/>
            <w:bookmarkEnd w:id="2"/>
            <w:r>
              <w:rPr>
                <w:rFonts w:ascii="Times New Roman" w:hAnsi="Times New Roman"/>
                <w:sz w:val="24"/>
                <w:szCs w:val="24"/>
              </w:rPr>
              <w:t xml:space="preserve">019.gada 13.septembrī Nr. 1-10/3345 no Tieslietu ministrijas </w:t>
            </w:r>
            <w:r w:rsidR="00FB786F">
              <w:rPr>
                <w:rFonts w:ascii="Times New Roman" w:hAnsi="Times New Roman"/>
                <w:sz w:val="24"/>
                <w:szCs w:val="24"/>
              </w:rPr>
              <w:t>ar ierosinājumiem.</w:t>
            </w:r>
          </w:p>
        </w:tc>
      </w:tr>
      <w:tr w:rsidR="009A312E" w:rsidRPr="008B78B2" w14:paraId="3C8DBE9C" w14:textId="77777777" w:rsidTr="00887336">
        <w:trPr>
          <w:trHeight w:val="366"/>
          <w:jc w:val="center"/>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9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109765CD" w:rsidR="009A312E" w:rsidRPr="008B78B2" w:rsidRDefault="00FE5887" w:rsidP="00206EAD">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 xml:space="preserve"> </w:t>
            </w:r>
            <w:r w:rsidR="009A312E" w:rsidRPr="008B78B2">
              <w:rPr>
                <w:rFonts w:ascii="Times New Roman" w:eastAsia="Times New Roman" w:hAnsi="Times New Roman"/>
                <w:iCs/>
                <w:sz w:val="24"/>
                <w:szCs w:val="24"/>
                <w:lang w:eastAsia="lv-LV"/>
              </w:rPr>
              <w:t>Nav</w:t>
            </w:r>
          </w:p>
        </w:tc>
      </w:tr>
    </w:tbl>
    <w:p w14:paraId="24D64682" w14:textId="77777777" w:rsidR="009A312E" w:rsidRPr="00BD0514" w:rsidRDefault="009A312E" w:rsidP="00206EAD">
      <w:pPr>
        <w:tabs>
          <w:tab w:val="left" w:pos="7655"/>
        </w:tabs>
        <w:spacing w:after="0" w:line="240" w:lineRule="auto"/>
        <w:contextualSpacing/>
        <w:jc w:val="both"/>
        <w:rPr>
          <w:rFonts w:ascii="Times New Roman" w:hAnsi="Times New Roman"/>
          <w:bCs/>
          <w:sz w:val="24"/>
          <w:szCs w:val="24"/>
        </w:rPr>
      </w:pPr>
    </w:p>
    <w:p w14:paraId="176B2A4C" w14:textId="77777777" w:rsidR="00BD0514" w:rsidRPr="00090BDF" w:rsidRDefault="00BD0514" w:rsidP="00206EAD">
      <w:pPr>
        <w:tabs>
          <w:tab w:val="left" w:pos="7655"/>
        </w:tabs>
        <w:spacing w:after="0" w:line="240" w:lineRule="auto"/>
        <w:contextualSpacing/>
        <w:jc w:val="both"/>
        <w:rPr>
          <w:rFonts w:ascii="Times New Roman" w:hAnsi="Times New Roman"/>
          <w:bCs/>
          <w:sz w:val="4"/>
          <w:szCs w:val="4"/>
        </w:rPr>
      </w:pPr>
    </w:p>
    <w:tbl>
      <w:tblPr>
        <w:tblW w:w="9296" w:type="dxa"/>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5"/>
        <w:gridCol w:w="3686"/>
        <w:gridCol w:w="5185"/>
      </w:tblGrid>
      <w:tr w:rsidR="009A312E" w:rsidRPr="008B78B2" w14:paraId="166C01FC" w14:textId="77777777" w:rsidTr="00BD0514">
        <w:trPr>
          <w:jc w:val="center"/>
        </w:trPr>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206EAD">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BD0514">
        <w:trPr>
          <w:trHeight w:val="558"/>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176878B9" w:rsidR="00111ABB" w:rsidRPr="008B78B2" w:rsidRDefault="00131C33" w:rsidP="004506E2">
            <w:pPr>
              <w:tabs>
                <w:tab w:val="left" w:pos="3922"/>
              </w:tabs>
              <w:spacing w:after="0" w:line="240" w:lineRule="auto"/>
              <w:ind w:left="95"/>
              <w:contextualSpacing/>
              <w:jc w:val="both"/>
              <w:rPr>
                <w:rFonts w:ascii="Times New Roman" w:hAnsi="Times New Roman"/>
                <w:sz w:val="24"/>
                <w:szCs w:val="24"/>
              </w:rPr>
            </w:pPr>
            <w:r>
              <w:rPr>
                <w:rFonts w:ascii="Times New Roman" w:eastAsia="Times New Roman" w:hAnsi="Times New Roman"/>
                <w:iCs/>
                <w:sz w:val="24"/>
                <w:szCs w:val="24"/>
                <w:lang w:eastAsia="lv-LV"/>
              </w:rPr>
              <w:t>Noteikumu p</w:t>
            </w:r>
            <w:r w:rsidR="00111ABB" w:rsidRPr="00BD0514">
              <w:rPr>
                <w:rFonts w:ascii="Times New Roman" w:eastAsia="Times New Roman" w:hAnsi="Times New Roman"/>
                <w:iCs/>
                <w:sz w:val="24"/>
                <w:szCs w:val="24"/>
                <w:lang w:eastAsia="lv-LV"/>
              </w:rPr>
              <w:t xml:space="preserve">rojekta īstenošanu nodrošinās </w:t>
            </w:r>
            <w:r w:rsidR="00735F4E">
              <w:rPr>
                <w:rFonts w:ascii="Times New Roman" w:hAnsi="Times New Roman"/>
                <w:sz w:val="24"/>
                <w:szCs w:val="24"/>
              </w:rPr>
              <w:t>Ekonomikas ministrija</w:t>
            </w:r>
            <w:r w:rsidR="00735F4E" w:rsidRPr="008C53EF">
              <w:rPr>
                <w:rFonts w:ascii="Times New Roman" w:hAnsi="Times New Roman"/>
                <w:sz w:val="24"/>
                <w:szCs w:val="24"/>
              </w:rPr>
              <w:t xml:space="preserve"> </w:t>
            </w:r>
            <w:r w:rsidR="009A312E" w:rsidRPr="008C53EF">
              <w:rPr>
                <w:rFonts w:ascii="Times New Roman" w:hAnsi="Times New Roman"/>
                <w:sz w:val="24"/>
                <w:szCs w:val="24"/>
              </w:rPr>
              <w:t>kā atbildīgā iestāde</w:t>
            </w:r>
            <w:r w:rsidR="00A16A76">
              <w:rPr>
                <w:rFonts w:ascii="Times New Roman" w:hAnsi="Times New Roman"/>
                <w:sz w:val="24"/>
                <w:szCs w:val="24"/>
              </w:rPr>
              <w:t>, kā arī</w:t>
            </w:r>
            <w:r w:rsidR="0080306D">
              <w:rPr>
                <w:rFonts w:ascii="Times New Roman" w:hAnsi="Times New Roman"/>
                <w:sz w:val="24"/>
                <w:szCs w:val="24"/>
              </w:rPr>
              <w:t xml:space="preserve"> </w:t>
            </w:r>
            <w:r w:rsidR="009A312E" w:rsidRPr="008C53EF">
              <w:rPr>
                <w:rFonts w:ascii="Times New Roman" w:hAnsi="Times New Roman"/>
                <w:sz w:val="24"/>
                <w:szCs w:val="24"/>
              </w:rPr>
              <w:t>Ce</w:t>
            </w:r>
            <w:r w:rsidR="009A312E">
              <w:rPr>
                <w:rFonts w:ascii="Times New Roman" w:hAnsi="Times New Roman"/>
                <w:sz w:val="24"/>
                <w:szCs w:val="24"/>
              </w:rPr>
              <w:t>ntrālā</w:t>
            </w:r>
            <w:r w:rsidR="009A312E" w:rsidRPr="008C53EF">
              <w:rPr>
                <w:rFonts w:ascii="Times New Roman" w:hAnsi="Times New Roman"/>
                <w:sz w:val="24"/>
                <w:szCs w:val="24"/>
              </w:rPr>
              <w:t xml:space="preserve"> finanšu un līgumu aģentūr</w:t>
            </w:r>
            <w:r w:rsidR="009A312E">
              <w:rPr>
                <w:rFonts w:ascii="Times New Roman" w:hAnsi="Times New Roman"/>
                <w:sz w:val="24"/>
                <w:szCs w:val="24"/>
              </w:rPr>
              <w:t>a</w:t>
            </w:r>
            <w:r w:rsidR="009A312E" w:rsidRPr="008C53EF">
              <w:rPr>
                <w:rFonts w:ascii="Times New Roman" w:hAnsi="Times New Roman"/>
                <w:sz w:val="24"/>
                <w:szCs w:val="24"/>
              </w:rPr>
              <w:t xml:space="preserve"> kā sadarbības iestāde</w:t>
            </w:r>
            <w:r w:rsidR="00A16A76">
              <w:rPr>
                <w:rFonts w:ascii="Times New Roman" w:hAnsi="Times New Roman"/>
                <w:sz w:val="24"/>
                <w:szCs w:val="24"/>
              </w:rPr>
              <w:t xml:space="preserve">, kas </w:t>
            </w:r>
            <w:r w:rsidR="00A16A76" w:rsidRPr="00140353">
              <w:rPr>
                <w:rFonts w:ascii="Times New Roman" w:hAnsi="Times New Roman"/>
                <w:sz w:val="24"/>
                <w:szCs w:val="24"/>
              </w:rPr>
              <w:t>nodrošinās</w:t>
            </w:r>
            <w:r w:rsidR="004506E2">
              <w:rPr>
                <w:rFonts w:ascii="Times New Roman" w:hAnsi="Times New Roman"/>
                <w:sz w:val="24"/>
                <w:szCs w:val="24"/>
              </w:rPr>
              <w:t xml:space="preserve"> i</w:t>
            </w:r>
            <w:r w:rsidR="005D67BB" w:rsidRPr="00140353">
              <w:rPr>
                <w:rFonts w:ascii="Times New Roman" w:hAnsi="Times New Roman"/>
                <w:sz w:val="24"/>
                <w:szCs w:val="24"/>
              </w:rPr>
              <w:t>esniegto projektu iesniegumu pieņemšanu un vērtēšanu</w:t>
            </w:r>
            <w:r w:rsidR="001E41B1">
              <w:rPr>
                <w:rFonts w:ascii="Times New Roman" w:hAnsi="Times New Roman"/>
                <w:sz w:val="24"/>
                <w:szCs w:val="24"/>
              </w:rPr>
              <w:t>.</w:t>
            </w:r>
          </w:p>
        </w:tc>
      </w:tr>
      <w:tr w:rsidR="009A312E" w:rsidRPr="008B78B2" w14:paraId="678718AA" w14:textId="77777777" w:rsidTr="00140353">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1CC053" w14:textId="41197F1C" w:rsidR="00140353" w:rsidRDefault="00140353" w:rsidP="0080306D">
            <w:pPr>
              <w:spacing w:after="0" w:line="240" w:lineRule="auto"/>
              <w:ind w:left="95"/>
              <w:contextualSpacing/>
              <w:jc w:val="both"/>
              <w:rPr>
                <w:rFonts w:ascii="Times New Roman" w:hAnsi="Times New Roman"/>
                <w:sz w:val="24"/>
                <w:szCs w:val="24"/>
              </w:rPr>
            </w:pPr>
            <w:r w:rsidRPr="00140353">
              <w:rPr>
                <w:rFonts w:ascii="Times New Roman" w:hAnsi="Times New Roman"/>
                <w:sz w:val="24"/>
                <w:szCs w:val="24"/>
              </w:rPr>
              <w:t>Nav plānota jaunu institūciju izveide, esošu institūciju likvidācija vai reorganizācija.</w:t>
            </w:r>
          </w:p>
          <w:p w14:paraId="0A93EA10" w14:textId="0E706E2B" w:rsidR="009A312E" w:rsidRPr="008B78B2" w:rsidRDefault="009160BD" w:rsidP="005D67BB">
            <w:pPr>
              <w:spacing w:after="0" w:line="240" w:lineRule="auto"/>
              <w:ind w:left="95"/>
              <w:contextualSpacing/>
              <w:jc w:val="both"/>
              <w:rPr>
                <w:rFonts w:ascii="Times New Roman" w:hAnsi="Times New Roman"/>
                <w:sz w:val="24"/>
                <w:szCs w:val="24"/>
              </w:rPr>
            </w:pPr>
            <w:r w:rsidRPr="009160BD">
              <w:rPr>
                <w:rFonts w:ascii="Times New Roman" w:hAnsi="Times New Roman"/>
                <w:sz w:val="24"/>
                <w:szCs w:val="24"/>
              </w:rPr>
              <w:t>Noteikumu projekts tiks realizēts esošo cilvēkresursu ietvaros.</w:t>
            </w:r>
          </w:p>
        </w:tc>
      </w:tr>
      <w:tr w:rsidR="009A312E" w:rsidRPr="008B78B2" w14:paraId="17DEEA33" w14:textId="77777777" w:rsidTr="00BD0514">
        <w:trPr>
          <w:jc w:val="center"/>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206EAD">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8B78B2" w:rsidRDefault="009A312E" w:rsidP="0080306D">
            <w:pPr>
              <w:spacing w:after="0" w:line="240" w:lineRule="auto"/>
              <w:ind w:left="95"/>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p>
        </w:tc>
      </w:tr>
    </w:tbl>
    <w:p w14:paraId="3D718903" w14:textId="77777777" w:rsidR="0080306D" w:rsidRDefault="0080306D" w:rsidP="00206EAD">
      <w:pPr>
        <w:spacing w:after="0" w:line="240" w:lineRule="auto"/>
        <w:contextualSpacing/>
        <w:rPr>
          <w:rFonts w:ascii="Times New Roman" w:eastAsia="Times New Roman" w:hAnsi="Times New Roman"/>
          <w:sz w:val="24"/>
          <w:szCs w:val="24"/>
        </w:rPr>
      </w:pPr>
    </w:p>
    <w:p w14:paraId="2C498F28" w14:textId="77777777" w:rsidR="0080306D" w:rsidRDefault="0080306D" w:rsidP="00206EAD">
      <w:pPr>
        <w:spacing w:after="0" w:line="240" w:lineRule="auto"/>
        <w:contextualSpacing/>
        <w:rPr>
          <w:rFonts w:ascii="Times New Roman" w:eastAsia="Times New Roman" w:hAnsi="Times New Roman"/>
          <w:sz w:val="24"/>
          <w:szCs w:val="24"/>
        </w:rPr>
      </w:pPr>
    </w:p>
    <w:p w14:paraId="5BB844E6" w14:textId="6D4F6437" w:rsidR="002119B7" w:rsidRPr="001C267B" w:rsidRDefault="002119B7" w:rsidP="001A4868">
      <w:pPr>
        <w:tabs>
          <w:tab w:val="left" w:pos="7230"/>
        </w:tabs>
        <w:spacing w:after="0" w:line="240" w:lineRule="auto"/>
        <w:contextualSpacing/>
        <w:rPr>
          <w:rFonts w:ascii="Times New Roman" w:eastAsia="Times New Roman" w:hAnsi="Times New Roman"/>
          <w:sz w:val="24"/>
          <w:szCs w:val="24"/>
        </w:rPr>
      </w:pPr>
      <w:r w:rsidRPr="001C267B">
        <w:rPr>
          <w:rFonts w:ascii="Times New Roman" w:eastAsia="Times New Roman" w:hAnsi="Times New Roman"/>
          <w:sz w:val="24"/>
          <w:szCs w:val="24"/>
        </w:rPr>
        <w:t>Ekonomikas ministrs</w:t>
      </w:r>
      <w:r w:rsidRPr="001C267B">
        <w:rPr>
          <w:rFonts w:ascii="Times New Roman" w:eastAsia="Times New Roman" w:hAnsi="Times New Roman"/>
          <w:sz w:val="24"/>
          <w:szCs w:val="24"/>
        </w:rPr>
        <w:tab/>
      </w:r>
      <w:proofErr w:type="spellStart"/>
      <w:r w:rsidRPr="001C267B">
        <w:rPr>
          <w:rFonts w:ascii="Times New Roman" w:eastAsia="Times New Roman" w:hAnsi="Times New Roman"/>
          <w:sz w:val="24"/>
          <w:szCs w:val="24"/>
        </w:rPr>
        <w:t>R.Nemiro</w:t>
      </w:r>
      <w:proofErr w:type="spellEnd"/>
    </w:p>
    <w:p w14:paraId="1E444487" w14:textId="77777777" w:rsidR="0080306D" w:rsidRDefault="0080306D" w:rsidP="00206EAD">
      <w:pPr>
        <w:tabs>
          <w:tab w:val="right" w:pos="9071"/>
        </w:tabs>
        <w:spacing w:after="0" w:line="240" w:lineRule="auto"/>
        <w:contextualSpacing/>
        <w:jc w:val="both"/>
        <w:rPr>
          <w:rFonts w:ascii="Times New Roman" w:hAnsi="Times New Roman"/>
          <w:color w:val="000000"/>
          <w:sz w:val="24"/>
          <w:szCs w:val="24"/>
        </w:rPr>
      </w:pPr>
    </w:p>
    <w:p w14:paraId="4423A158" w14:textId="77777777" w:rsidR="0080306D" w:rsidRDefault="0080306D" w:rsidP="00206EAD">
      <w:pPr>
        <w:tabs>
          <w:tab w:val="right" w:pos="9071"/>
        </w:tabs>
        <w:spacing w:after="0" w:line="240" w:lineRule="auto"/>
        <w:contextualSpacing/>
        <w:jc w:val="both"/>
        <w:rPr>
          <w:rFonts w:ascii="Times New Roman" w:hAnsi="Times New Roman"/>
          <w:color w:val="000000"/>
          <w:sz w:val="24"/>
          <w:szCs w:val="24"/>
        </w:rPr>
      </w:pPr>
    </w:p>
    <w:p w14:paraId="69F49116" w14:textId="3C05C356" w:rsidR="00E75668" w:rsidRPr="001C267B" w:rsidRDefault="009A312E" w:rsidP="00206EAD">
      <w:pPr>
        <w:tabs>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Vīza:</w:t>
      </w:r>
    </w:p>
    <w:p w14:paraId="4FDF8EF9" w14:textId="759B82C4" w:rsidR="009A312E" w:rsidRPr="001C267B" w:rsidRDefault="009A312E" w:rsidP="001A4868">
      <w:pPr>
        <w:tabs>
          <w:tab w:val="left" w:pos="7230"/>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Valsts sekretār</w:t>
      </w:r>
      <w:r w:rsidR="002119B7" w:rsidRPr="001C267B">
        <w:rPr>
          <w:rFonts w:ascii="Times New Roman" w:hAnsi="Times New Roman"/>
          <w:color w:val="000000"/>
          <w:sz w:val="24"/>
          <w:szCs w:val="24"/>
        </w:rPr>
        <w:t>s</w:t>
      </w:r>
      <w:r w:rsidR="002119B7" w:rsidRPr="001C267B">
        <w:rPr>
          <w:rFonts w:ascii="Times New Roman" w:hAnsi="Times New Roman"/>
          <w:color w:val="000000"/>
          <w:sz w:val="24"/>
          <w:szCs w:val="24"/>
        </w:rPr>
        <w:tab/>
      </w:r>
      <w:proofErr w:type="spellStart"/>
      <w:r w:rsidR="002119B7" w:rsidRPr="001C267B">
        <w:rPr>
          <w:rFonts w:ascii="Times New Roman" w:eastAsia="Times New Roman" w:hAnsi="Times New Roman"/>
          <w:sz w:val="24"/>
          <w:szCs w:val="24"/>
        </w:rPr>
        <w:t>Ē.Eglītis</w:t>
      </w:r>
      <w:proofErr w:type="spellEnd"/>
    </w:p>
    <w:p w14:paraId="7FDF69A2" w14:textId="77777777" w:rsidR="0080306D" w:rsidRDefault="0080306D" w:rsidP="00206EAD">
      <w:pPr>
        <w:widowControl w:val="0"/>
        <w:spacing w:after="0" w:line="240" w:lineRule="auto"/>
        <w:contextualSpacing/>
        <w:jc w:val="both"/>
        <w:rPr>
          <w:rFonts w:ascii="Times New Roman" w:eastAsia="Times New Roman" w:hAnsi="Times New Roman"/>
          <w:sz w:val="20"/>
          <w:szCs w:val="20"/>
        </w:rPr>
      </w:pPr>
    </w:p>
    <w:p w14:paraId="2BE47FEC" w14:textId="77777777" w:rsidR="0080306D" w:rsidRDefault="0080306D" w:rsidP="00206EAD">
      <w:pPr>
        <w:widowControl w:val="0"/>
        <w:spacing w:after="0" w:line="240" w:lineRule="auto"/>
        <w:contextualSpacing/>
        <w:jc w:val="both"/>
        <w:rPr>
          <w:rFonts w:ascii="Times New Roman" w:eastAsia="Times New Roman" w:hAnsi="Times New Roman"/>
          <w:sz w:val="20"/>
          <w:szCs w:val="20"/>
        </w:rPr>
      </w:pPr>
    </w:p>
    <w:p w14:paraId="0D09EA6E" w14:textId="77777777" w:rsidR="0080306D" w:rsidRDefault="0080306D" w:rsidP="00206EAD">
      <w:pPr>
        <w:widowControl w:val="0"/>
        <w:spacing w:after="0" w:line="240" w:lineRule="auto"/>
        <w:contextualSpacing/>
        <w:jc w:val="both"/>
        <w:rPr>
          <w:rFonts w:ascii="Times New Roman" w:eastAsia="Times New Roman" w:hAnsi="Times New Roman"/>
          <w:sz w:val="20"/>
          <w:szCs w:val="20"/>
        </w:rPr>
      </w:pPr>
    </w:p>
    <w:p w14:paraId="2FF7C9A8" w14:textId="4C04E7BF" w:rsidR="009A312E" w:rsidRPr="001C267B" w:rsidRDefault="00B8208A" w:rsidP="00206EAD">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Soļonova</w:t>
      </w:r>
      <w:r w:rsidR="00464264" w:rsidRPr="001C267B">
        <w:rPr>
          <w:rFonts w:ascii="Times New Roman" w:eastAsia="Times New Roman" w:hAnsi="Times New Roman"/>
          <w:sz w:val="20"/>
          <w:szCs w:val="20"/>
        </w:rPr>
        <w:t xml:space="preserve">, </w:t>
      </w:r>
      <w:r w:rsidR="009A312E" w:rsidRPr="001C267B">
        <w:rPr>
          <w:rFonts w:ascii="Times New Roman" w:eastAsia="Times New Roman" w:hAnsi="Times New Roman"/>
          <w:sz w:val="20"/>
          <w:szCs w:val="20"/>
        </w:rPr>
        <w:t>670131</w:t>
      </w:r>
      <w:r w:rsidR="003D3BB6" w:rsidRPr="001C267B">
        <w:rPr>
          <w:rFonts w:ascii="Times New Roman" w:eastAsia="Times New Roman" w:hAnsi="Times New Roman"/>
          <w:sz w:val="20"/>
          <w:szCs w:val="20"/>
        </w:rPr>
        <w:t>7</w:t>
      </w:r>
      <w:r w:rsidR="009A312E" w:rsidRPr="001C267B">
        <w:rPr>
          <w:rFonts w:ascii="Times New Roman" w:eastAsia="Times New Roman" w:hAnsi="Times New Roman"/>
          <w:sz w:val="20"/>
          <w:szCs w:val="20"/>
        </w:rPr>
        <w:t>1</w:t>
      </w:r>
    </w:p>
    <w:p w14:paraId="5000099F" w14:textId="317C55ED" w:rsidR="009A312E" w:rsidRPr="001C267B" w:rsidRDefault="00B8208A" w:rsidP="00206EAD">
      <w:pPr>
        <w:widowControl w:val="0"/>
        <w:spacing w:after="0" w:line="240" w:lineRule="auto"/>
        <w:contextualSpacing/>
        <w:jc w:val="both"/>
        <w:rPr>
          <w:rFonts w:ascii="Times New Roman" w:hAnsi="Times New Roman"/>
          <w:sz w:val="20"/>
          <w:szCs w:val="20"/>
        </w:rPr>
      </w:pPr>
      <w:r>
        <w:rPr>
          <w:rFonts w:ascii="Times New Roman" w:eastAsia="Times New Roman" w:hAnsi="Times New Roman"/>
          <w:sz w:val="20"/>
          <w:szCs w:val="20"/>
        </w:rPr>
        <w:t>Vita.Solonova</w:t>
      </w:r>
      <w:r w:rsidR="009A312E" w:rsidRPr="001C267B">
        <w:rPr>
          <w:rFonts w:ascii="Times New Roman" w:eastAsia="Times New Roman" w:hAnsi="Times New Roman"/>
          <w:sz w:val="20"/>
          <w:szCs w:val="20"/>
        </w:rPr>
        <w:t>@em.gov.lv</w:t>
      </w:r>
    </w:p>
    <w:sectPr w:rsidR="009A312E" w:rsidRPr="001C267B" w:rsidSect="0024287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F3E2" w14:textId="77777777" w:rsidR="00A40FDB" w:rsidRDefault="00A40FDB">
      <w:pPr>
        <w:spacing w:after="0" w:line="240" w:lineRule="auto"/>
      </w:pPr>
      <w:r>
        <w:separator/>
      </w:r>
    </w:p>
  </w:endnote>
  <w:endnote w:type="continuationSeparator" w:id="0">
    <w:p w14:paraId="5FB2E7B3" w14:textId="77777777" w:rsidR="00A40FDB" w:rsidRDefault="00A4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DFA3" w14:textId="77777777" w:rsidR="00F81884" w:rsidRDefault="00F81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5E328013" w:rsidR="00A53057" w:rsidRPr="00A019E4" w:rsidRDefault="007B3495" w:rsidP="00A019E4">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04780E">
      <w:rPr>
        <w:rFonts w:ascii="Times New Roman" w:eastAsia="Times New Roman" w:hAnsi="Times New Roman"/>
        <w:noProof/>
        <w:sz w:val="20"/>
        <w:szCs w:val="20"/>
        <w:lang w:eastAsia="lv-LV"/>
      </w:rPr>
      <w:t>EMAnot_12092019_Groz534_Iveta.docx</w:t>
    </w:r>
    <w:r w:rsidRPr="007563C2">
      <w:rPr>
        <w:rFonts w:ascii="Times New Roman" w:eastAsia="Times New Roman" w:hAnsi="Times New Roman"/>
        <w:noProof/>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06AB23F1" w:rsidR="00A53057" w:rsidRPr="002973CD" w:rsidRDefault="007B3495" w:rsidP="00242877">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04780E">
      <w:rPr>
        <w:rFonts w:ascii="Times New Roman" w:eastAsia="Times New Roman" w:hAnsi="Times New Roman"/>
        <w:noProof/>
        <w:sz w:val="20"/>
        <w:szCs w:val="20"/>
        <w:lang w:eastAsia="lv-LV"/>
      </w:rPr>
      <w:t>EMAnot_12092019_Groz534_Iveta.docx</w:t>
    </w:r>
    <w:r w:rsidRPr="007563C2">
      <w:rPr>
        <w:rFonts w:ascii="Times New Roman" w:eastAsia="Times New Roman" w:hAnsi="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6DAE" w14:textId="77777777" w:rsidR="00A40FDB" w:rsidRDefault="00A40FDB">
      <w:pPr>
        <w:spacing w:after="0" w:line="240" w:lineRule="auto"/>
      </w:pPr>
      <w:r>
        <w:separator/>
      </w:r>
    </w:p>
  </w:footnote>
  <w:footnote w:type="continuationSeparator" w:id="0">
    <w:p w14:paraId="72F64C51" w14:textId="77777777" w:rsidR="00A40FDB" w:rsidRDefault="00A4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7694" w14:textId="77777777" w:rsidR="00F81884" w:rsidRDefault="00F81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34342724" w:rsidR="00A53057" w:rsidRPr="00D85DEC" w:rsidRDefault="007B3495">
    <w:pPr>
      <w:pStyle w:val="Header"/>
      <w:jc w:val="center"/>
      <w:rPr>
        <w:rFonts w:ascii="Times New Roman" w:hAnsi="Times New Roman"/>
        <w:sz w:val="20"/>
        <w:szCs w:val="20"/>
      </w:rPr>
    </w:pPr>
    <w:r w:rsidRPr="00D85DEC">
      <w:rPr>
        <w:rFonts w:ascii="Times New Roman" w:hAnsi="Times New Roman"/>
        <w:sz w:val="20"/>
        <w:szCs w:val="20"/>
      </w:rPr>
      <w:fldChar w:fldCharType="begin"/>
    </w:r>
    <w:r w:rsidRPr="00D85DEC">
      <w:rPr>
        <w:rFonts w:ascii="Times New Roman" w:hAnsi="Times New Roman"/>
        <w:sz w:val="20"/>
        <w:szCs w:val="20"/>
      </w:rPr>
      <w:instrText xml:space="preserve"> PAGE   \* MERGEFORMAT </w:instrText>
    </w:r>
    <w:r w:rsidRPr="00D85DEC">
      <w:rPr>
        <w:rFonts w:ascii="Times New Roman" w:hAnsi="Times New Roman"/>
        <w:sz w:val="20"/>
        <w:szCs w:val="20"/>
      </w:rPr>
      <w:fldChar w:fldCharType="separate"/>
    </w:r>
    <w:r w:rsidR="0038201E">
      <w:rPr>
        <w:rFonts w:ascii="Times New Roman" w:hAnsi="Times New Roman"/>
        <w:noProof/>
        <w:sz w:val="20"/>
        <w:szCs w:val="20"/>
      </w:rPr>
      <w:t>5</w:t>
    </w:r>
    <w:r w:rsidRPr="00D85DEC">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D95D" w14:textId="77777777" w:rsidR="00F81884" w:rsidRDefault="00F81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2269B0"/>
    <w:multiLevelType w:val="hybridMultilevel"/>
    <w:tmpl w:val="12409B98"/>
    <w:lvl w:ilvl="0" w:tplc="996EBF46">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 w15:restartNumberingAfterBreak="0">
    <w:nsid w:val="4DD94DCF"/>
    <w:multiLevelType w:val="hybridMultilevel"/>
    <w:tmpl w:val="AFE8C9BC"/>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4"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1E53FCE"/>
    <w:multiLevelType w:val="hybridMultilevel"/>
    <w:tmpl w:val="A9187830"/>
    <w:lvl w:ilvl="0" w:tplc="D2C2DD34">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6"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7"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6"/>
  </w:num>
  <w:num w:numId="3">
    <w:abstractNumId w:val="3"/>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0B9"/>
    <w:rsid w:val="00003482"/>
    <w:rsid w:val="000066B5"/>
    <w:rsid w:val="00006DC5"/>
    <w:rsid w:val="00012D1F"/>
    <w:rsid w:val="000318AE"/>
    <w:rsid w:val="0003239E"/>
    <w:rsid w:val="00033F47"/>
    <w:rsid w:val="00037FF4"/>
    <w:rsid w:val="0004420B"/>
    <w:rsid w:val="00044274"/>
    <w:rsid w:val="0004780E"/>
    <w:rsid w:val="00076569"/>
    <w:rsid w:val="000A088D"/>
    <w:rsid w:val="000A7DC0"/>
    <w:rsid w:val="000B4FA8"/>
    <w:rsid w:val="000C521E"/>
    <w:rsid w:val="000C59D0"/>
    <w:rsid w:val="000C5ACC"/>
    <w:rsid w:val="000D34F7"/>
    <w:rsid w:val="000D7798"/>
    <w:rsid w:val="000E5AA6"/>
    <w:rsid w:val="000F72AE"/>
    <w:rsid w:val="001019E7"/>
    <w:rsid w:val="00101DB2"/>
    <w:rsid w:val="0010496B"/>
    <w:rsid w:val="00107948"/>
    <w:rsid w:val="00111ABB"/>
    <w:rsid w:val="00115BD6"/>
    <w:rsid w:val="00115D54"/>
    <w:rsid w:val="001243B9"/>
    <w:rsid w:val="00126451"/>
    <w:rsid w:val="001305B9"/>
    <w:rsid w:val="001312A1"/>
    <w:rsid w:val="00131C33"/>
    <w:rsid w:val="00140353"/>
    <w:rsid w:val="0014091D"/>
    <w:rsid w:val="00140EB5"/>
    <w:rsid w:val="001425B6"/>
    <w:rsid w:val="0015517D"/>
    <w:rsid w:val="00163EA5"/>
    <w:rsid w:val="00164527"/>
    <w:rsid w:val="00164E69"/>
    <w:rsid w:val="00180199"/>
    <w:rsid w:val="00184CA5"/>
    <w:rsid w:val="0019514D"/>
    <w:rsid w:val="00196785"/>
    <w:rsid w:val="001A4868"/>
    <w:rsid w:val="001A67CD"/>
    <w:rsid w:val="001A6DE0"/>
    <w:rsid w:val="001C267B"/>
    <w:rsid w:val="001C4BBF"/>
    <w:rsid w:val="001D209B"/>
    <w:rsid w:val="001D2690"/>
    <w:rsid w:val="001D7B32"/>
    <w:rsid w:val="001E41B1"/>
    <w:rsid w:val="001F1613"/>
    <w:rsid w:val="001F1B7D"/>
    <w:rsid w:val="001F2173"/>
    <w:rsid w:val="001F44B8"/>
    <w:rsid w:val="001F7F8F"/>
    <w:rsid w:val="00206EAD"/>
    <w:rsid w:val="002119B7"/>
    <w:rsid w:val="002171C9"/>
    <w:rsid w:val="00230D7C"/>
    <w:rsid w:val="002319EF"/>
    <w:rsid w:val="002330E4"/>
    <w:rsid w:val="00233A56"/>
    <w:rsid w:val="00237940"/>
    <w:rsid w:val="00244FFB"/>
    <w:rsid w:val="002733DE"/>
    <w:rsid w:val="00276DA9"/>
    <w:rsid w:val="0028557B"/>
    <w:rsid w:val="002A1C23"/>
    <w:rsid w:val="002B07E8"/>
    <w:rsid w:val="002B28B8"/>
    <w:rsid w:val="002C310B"/>
    <w:rsid w:val="002C4F05"/>
    <w:rsid w:val="002C7342"/>
    <w:rsid w:val="002D2667"/>
    <w:rsid w:val="002D40A6"/>
    <w:rsid w:val="002E1F44"/>
    <w:rsid w:val="002E5DDE"/>
    <w:rsid w:val="002F0D29"/>
    <w:rsid w:val="002F10D3"/>
    <w:rsid w:val="0031019E"/>
    <w:rsid w:val="003123AC"/>
    <w:rsid w:val="0033012F"/>
    <w:rsid w:val="0033091B"/>
    <w:rsid w:val="00331E0B"/>
    <w:rsid w:val="00336720"/>
    <w:rsid w:val="00336B4E"/>
    <w:rsid w:val="00343886"/>
    <w:rsid w:val="00351C4F"/>
    <w:rsid w:val="0038201E"/>
    <w:rsid w:val="00390E8D"/>
    <w:rsid w:val="003947E8"/>
    <w:rsid w:val="00397AC2"/>
    <w:rsid w:val="00397E12"/>
    <w:rsid w:val="003A0953"/>
    <w:rsid w:val="003B101B"/>
    <w:rsid w:val="003B7949"/>
    <w:rsid w:val="003D205C"/>
    <w:rsid w:val="003D3BB6"/>
    <w:rsid w:val="003D48E4"/>
    <w:rsid w:val="003D6131"/>
    <w:rsid w:val="003D7F51"/>
    <w:rsid w:val="003E1F77"/>
    <w:rsid w:val="00405E29"/>
    <w:rsid w:val="0041103E"/>
    <w:rsid w:val="004127AE"/>
    <w:rsid w:val="0042491D"/>
    <w:rsid w:val="00424A1E"/>
    <w:rsid w:val="00425F83"/>
    <w:rsid w:val="00434F5C"/>
    <w:rsid w:val="0043519D"/>
    <w:rsid w:val="00443CD3"/>
    <w:rsid w:val="004506E2"/>
    <w:rsid w:val="00454921"/>
    <w:rsid w:val="00460FE5"/>
    <w:rsid w:val="00464264"/>
    <w:rsid w:val="00466D1F"/>
    <w:rsid w:val="004763A8"/>
    <w:rsid w:val="0049163F"/>
    <w:rsid w:val="00493624"/>
    <w:rsid w:val="004B11BD"/>
    <w:rsid w:val="004B320A"/>
    <w:rsid w:val="004C1198"/>
    <w:rsid w:val="004C44CD"/>
    <w:rsid w:val="004C6777"/>
    <w:rsid w:val="004E0FE2"/>
    <w:rsid w:val="004F4E38"/>
    <w:rsid w:val="00502CCD"/>
    <w:rsid w:val="0050427E"/>
    <w:rsid w:val="00510C6C"/>
    <w:rsid w:val="00511272"/>
    <w:rsid w:val="00511C14"/>
    <w:rsid w:val="00520759"/>
    <w:rsid w:val="005208FF"/>
    <w:rsid w:val="005313D3"/>
    <w:rsid w:val="00536D5A"/>
    <w:rsid w:val="00537C69"/>
    <w:rsid w:val="00540C80"/>
    <w:rsid w:val="00541371"/>
    <w:rsid w:val="005439AB"/>
    <w:rsid w:val="00551783"/>
    <w:rsid w:val="00560866"/>
    <w:rsid w:val="005630E5"/>
    <w:rsid w:val="00563992"/>
    <w:rsid w:val="0056492C"/>
    <w:rsid w:val="00587678"/>
    <w:rsid w:val="0059104A"/>
    <w:rsid w:val="005A0A82"/>
    <w:rsid w:val="005A1673"/>
    <w:rsid w:val="005A729F"/>
    <w:rsid w:val="005B5BEB"/>
    <w:rsid w:val="005C1C05"/>
    <w:rsid w:val="005D0C9D"/>
    <w:rsid w:val="005D67BB"/>
    <w:rsid w:val="005E1B08"/>
    <w:rsid w:val="005E272D"/>
    <w:rsid w:val="00601F28"/>
    <w:rsid w:val="00605F9E"/>
    <w:rsid w:val="00606264"/>
    <w:rsid w:val="0062632F"/>
    <w:rsid w:val="00627107"/>
    <w:rsid w:val="006272F2"/>
    <w:rsid w:val="00636C56"/>
    <w:rsid w:val="006452B4"/>
    <w:rsid w:val="006460D7"/>
    <w:rsid w:val="00647573"/>
    <w:rsid w:val="00666251"/>
    <w:rsid w:val="00667785"/>
    <w:rsid w:val="006723B8"/>
    <w:rsid w:val="00676665"/>
    <w:rsid w:val="00676CC6"/>
    <w:rsid w:val="006810E0"/>
    <w:rsid w:val="006876EB"/>
    <w:rsid w:val="006A30B4"/>
    <w:rsid w:val="006B3E89"/>
    <w:rsid w:val="006D3730"/>
    <w:rsid w:val="006D5F4A"/>
    <w:rsid w:val="006D7ED9"/>
    <w:rsid w:val="006E1CC9"/>
    <w:rsid w:val="006E441A"/>
    <w:rsid w:val="0070163B"/>
    <w:rsid w:val="007106C6"/>
    <w:rsid w:val="00724959"/>
    <w:rsid w:val="00731083"/>
    <w:rsid w:val="00735F4E"/>
    <w:rsid w:val="0074295E"/>
    <w:rsid w:val="007448C4"/>
    <w:rsid w:val="00744E9C"/>
    <w:rsid w:val="00745E27"/>
    <w:rsid w:val="00763090"/>
    <w:rsid w:val="00771FE3"/>
    <w:rsid w:val="0077382C"/>
    <w:rsid w:val="007741A5"/>
    <w:rsid w:val="00774772"/>
    <w:rsid w:val="00777603"/>
    <w:rsid w:val="007A108E"/>
    <w:rsid w:val="007B3495"/>
    <w:rsid w:val="007B576C"/>
    <w:rsid w:val="007C3465"/>
    <w:rsid w:val="007E400F"/>
    <w:rsid w:val="007E4D02"/>
    <w:rsid w:val="007E7545"/>
    <w:rsid w:val="007E7BF0"/>
    <w:rsid w:val="007F2113"/>
    <w:rsid w:val="00800451"/>
    <w:rsid w:val="0080306D"/>
    <w:rsid w:val="00807582"/>
    <w:rsid w:val="00817E08"/>
    <w:rsid w:val="00830EA0"/>
    <w:rsid w:val="00850193"/>
    <w:rsid w:val="00861701"/>
    <w:rsid w:val="00863703"/>
    <w:rsid w:val="00875120"/>
    <w:rsid w:val="00876556"/>
    <w:rsid w:val="00887336"/>
    <w:rsid w:val="008B23A8"/>
    <w:rsid w:val="008B5ED6"/>
    <w:rsid w:val="008C4C6D"/>
    <w:rsid w:val="008D2D7A"/>
    <w:rsid w:val="008E0D93"/>
    <w:rsid w:val="008E2658"/>
    <w:rsid w:val="008E2908"/>
    <w:rsid w:val="008F1587"/>
    <w:rsid w:val="008F257A"/>
    <w:rsid w:val="008F4556"/>
    <w:rsid w:val="008F69BB"/>
    <w:rsid w:val="008F7393"/>
    <w:rsid w:val="00900322"/>
    <w:rsid w:val="0090361D"/>
    <w:rsid w:val="00904C5C"/>
    <w:rsid w:val="00915852"/>
    <w:rsid w:val="009160BD"/>
    <w:rsid w:val="00924920"/>
    <w:rsid w:val="00927E8B"/>
    <w:rsid w:val="00932B86"/>
    <w:rsid w:val="0093538D"/>
    <w:rsid w:val="009423B4"/>
    <w:rsid w:val="009440D7"/>
    <w:rsid w:val="00953059"/>
    <w:rsid w:val="00956ABE"/>
    <w:rsid w:val="00966B6C"/>
    <w:rsid w:val="00977F6C"/>
    <w:rsid w:val="009A312E"/>
    <w:rsid w:val="009A74A1"/>
    <w:rsid w:val="009B68F6"/>
    <w:rsid w:val="009C25F4"/>
    <w:rsid w:val="009F13DA"/>
    <w:rsid w:val="009F5B84"/>
    <w:rsid w:val="00A01391"/>
    <w:rsid w:val="00A0576B"/>
    <w:rsid w:val="00A133DF"/>
    <w:rsid w:val="00A1429A"/>
    <w:rsid w:val="00A16A76"/>
    <w:rsid w:val="00A2056B"/>
    <w:rsid w:val="00A2193A"/>
    <w:rsid w:val="00A21DE2"/>
    <w:rsid w:val="00A2526D"/>
    <w:rsid w:val="00A35D4B"/>
    <w:rsid w:val="00A40B3F"/>
    <w:rsid w:val="00A40FDB"/>
    <w:rsid w:val="00A44DBD"/>
    <w:rsid w:val="00A476A2"/>
    <w:rsid w:val="00A6259F"/>
    <w:rsid w:val="00A67EE3"/>
    <w:rsid w:val="00A8267E"/>
    <w:rsid w:val="00AA7956"/>
    <w:rsid w:val="00AB0B37"/>
    <w:rsid w:val="00AB2C1B"/>
    <w:rsid w:val="00AB40C4"/>
    <w:rsid w:val="00AC0047"/>
    <w:rsid w:val="00AC2698"/>
    <w:rsid w:val="00AC3BF5"/>
    <w:rsid w:val="00AD0CA3"/>
    <w:rsid w:val="00AD1367"/>
    <w:rsid w:val="00AD61EA"/>
    <w:rsid w:val="00AE10A7"/>
    <w:rsid w:val="00AE43E0"/>
    <w:rsid w:val="00AE75A0"/>
    <w:rsid w:val="00AF7A46"/>
    <w:rsid w:val="00B0201C"/>
    <w:rsid w:val="00B04DF4"/>
    <w:rsid w:val="00B07BB3"/>
    <w:rsid w:val="00B1637E"/>
    <w:rsid w:val="00B2343F"/>
    <w:rsid w:val="00B26BAE"/>
    <w:rsid w:val="00B27579"/>
    <w:rsid w:val="00B32CA1"/>
    <w:rsid w:val="00B33F0A"/>
    <w:rsid w:val="00B34BC4"/>
    <w:rsid w:val="00B4109B"/>
    <w:rsid w:val="00B43025"/>
    <w:rsid w:val="00B431F1"/>
    <w:rsid w:val="00B43FE4"/>
    <w:rsid w:val="00B57DDB"/>
    <w:rsid w:val="00B603E9"/>
    <w:rsid w:val="00B7178A"/>
    <w:rsid w:val="00B742CC"/>
    <w:rsid w:val="00B749C9"/>
    <w:rsid w:val="00B7752B"/>
    <w:rsid w:val="00B8037C"/>
    <w:rsid w:val="00B8208A"/>
    <w:rsid w:val="00B85C61"/>
    <w:rsid w:val="00B94698"/>
    <w:rsid w:val="00BA075C"/>
    <w:rsid w:val="00BB3056"/>
    <w:rsid w:val="00BC1915"/>
    <w:rsid w:val="00BC6E70"/>
    <w:rsid w:val="00BD0514"/>
    <w:rsid w:val="00BE4388"/>
    <w:rsid w:val="00BF0D13"/>
    <w:rsid w:val="00BF12F0"/>
    <w:rsid w:val="00BF332A"/>
    <w:rsid w:val="00BF6F5B"/>
    <w:rsid w:val="00C0237E"/>
    <w:rsid w:val="00C03A89"/>
    <w:rsid w:val="00C074FB"/>
    <w:rsid w:val="00C1009E"/>
    <w:rsid w:val="00C113C2"/>
    <w:rsid w:val="00C250E3"/>
    <w:rsid w:val="00C37984"/>
    <w:rsid w:val="00C430D3"/>
    <w:rsid w:val="00C4560B"/>
    <w:rsid w:val="00C46A7D"/>
    <w:rsid w:val="00C54C20"/>
    <w:rsid w:val="00C6181C"/>
    <w:rsid w:val="00C63B0C"/>
    <w:rsid w:val="00C67E4B"/>
    <w:rsid w:val="00C9264F"/>
    <w:rsid w:val="00C96EA1"/>
    <w:rsid w:val="00CA115C"/>
    <w:rsid w:val="00CA6220"/>
    <w:rsid w:val="00CA7A80"/>
    <w:rsid w:val="00CB166C"/>
    <w:rsid w:val="00CB255C"/>
    <w:rsid w:val="00CB2925"/>
    <w:rsid w:val="00CC1287"/>
    <w:rsid w:val="00CC2F2E"/>
    <w:rsid w:val="00CC6E1B"/>
    <w:rsid w:val="00CD02CB"/>
    <w:rsid w:val="00CD38CB"/>
    <w:rsid w:val="00CD79A3"/>
    <w:rsid w:val="00CE1E1D"/>
    <w:rsid w:val="00CE388A"/>
    <w:rsid w:val="00CE3D70"/>
    <w:rsid w:val="00D16ABD"/>
    <w:rsid w:val="00D347D6"/>
    <w:rsid w:val="00D37B14"/>
    <w:rsid w:val="00D37D96"/>
    <w:rsid w:val="00D50785"/>
    <w:rsid w:val="00D61012"/>
    <w:rsid w:val="00D644C0"/>
    <w:rsid w:val="00D67976"/>
    <w:rsid w:val="00D747D8"/>
    <w:rsid w:val="00D85DEC"/>
    <w:rsid w:val="00D868C2"/>
    <w:rsid w:val="00D93934"/>
    <w:rsid w:val="00DA0543"/>
    <w:rsid w:val="00DC7C4C"/>
    <w:rsid w:val="00DD11B5"/>
    <w:rsid w:val="00DD2519"/>
    <w:rsid w:val="00DD365A"/>
    <w:rsid w:val="00DD7C9C"/>
    <w:rsid w:val="00DE6A5D"/>
    <w:rsid w:val="00DF1FB1"/>
    <w:rsid w:val="00DF62F1"/>
    <w:rsid w:val="00E04395"/>
    <w:rsid w:val="00E05676"/>
    <w:rsid w:val="00E11998"/>
    <w:rsid w:val="00E3578E"/>
    <w:rsid w:val="00E40809"/>
    <w:rsid w:val="00E4106B"/>
    <w:rsid w:val="00E42C2F"/>
    <w:rsid w:val="00E4408F"/>
    <w:rsid w:val="00E46954"/>
    <w:rsid w:val="00E4756D"/>
    <w:rsid w:val="00E562CC"/>
    <w:rsid w:val="00E624D4"/>
    <w:rsid w:val="00E66395"/>
    <w:rsid w:val="00E6704D"/>
    <w:rsid w:val="00E6769A"/>
    <w:rsid w:val="00E71FDE"/>
    <w:rsid w:val="00E75668"/>
    <w:rsid w:val="00E8334F"/>
    <w:rsid w:val="00E86AA4"/>
    <w:rsid w:val="00E8770C"/>
    <w:rsid w:val="00E92DCA"/>
    <w:rsid w:val="00EA10BA"/>
    <w:rsid w:val="00EA732E"/>
    <w:rsid w:val="00EB0365"/>
    <w:rsid w:val="00EB67CA"/>
    <w:rsid w:val="00EB7215"/>
    <w:rsid w:val="00EE7C8B"/>
    <w:rsid w:val="00EF7E86"/>
    <w:rsid w:val="00F0668F"/>
    <w:rsid w:val="00F11E6B"/>
    <w:rsid w:val="00F15E45"/>
    <w:rsid w:val="00F214BB"/>
    <w:rsid w:val="00F21A78"/>
    <w:rsid w:val="00F26676"/>
    <w:rsid w:val="00F3309E"/>
    <w:rsid w:val="00F40204"/>
    <w:rsid w:val="00F409D8"/>
    <w:rsid w:val="00F478CE"/>
    <w:rsid w:val="00F47948"/>
    <w:rsid w:val="00F528C9"/>
    <w:rsid w:val="00F54548"/>
    <w:rsid w:val="00F55331"/>
    <w:rsid w:val="00F628CC"/>
    <w:rsid w:val="00F62D5E"/>
    <w:rsid w:val="00F644F3"/>
    <w:rsid w:val="00F648C4"/>
    <w:rsid w:val="00F75CEA"/>
    <w:rsid w:val="00F76002"/>
    <w:rsid w:val="00F81884"/>
    <w:rsid w:val="00F838D5"/>
    <w:rsid w:val="00F845E2"/>
    <w:rsid w:val="00F91319"/>
    <w:rsid w:val="00F95DE1"/>
    <w:rsid w:val="00FA328A"/>
    <w:rsid w:val="00FA4B15"/>
    <w:rsid w:val="00FB6F01"/>
    <w:rsid w:val="00FB786F"/>
    <w:rsid w:val="00FC2CF1"/>
    <w:rsid w:val="00FC61E2"/>
    <w:rsid w:val="00FC7E42"/>
    <w:rsid w:val="00FD68CD"/>
    <w:rsid w:val="00FE0684"/>
    <w:rsid w:val="00FE5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basedOn w:val="Normal"/>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character" w:styleId="FollowedHyperlink">
    <w:name w:val="FollowedHyperlink"/>
    <w:basedOn w:val="DefaultParagraphFont"/>
    <w:uiPriority w:val="99"/>
    <w:semiHidden/>
    <w:unhideWhenUsed/>
    <w:rsid w:val="003D6131"/>
    <w:rPr>
      <w:color w:val="954F72" w:themeColor="followedHyperlink"/>
      <w:u w:val="single"/>
    </w:rPr>
  </w:style>
  <w:style w:type="character" w:styleId="UnresolvedMention">
    <w:name w:val="Unresolved Mention"/>
    <w:basedOn w:val="DefaultParagraphFont"/>
    <w:uiPriority w:val="99"/>
    <w:semiHidden/>
    <w:unhideWhenUsed/>
    <w:rsid w:val="004C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es_fondi/atbalsta_pasakumi_2014_2020/energetika_un_energoefektivitate/veicinat_energoefektivitates_paaugstinasanu_valsts_ekas_/"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em.gov.lv/lv/Ministrija/sabiedribas_lidzdaliba/diskusiju_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7340-3EB2-4882-B75A-86B14823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9871</Words>
  <Characters>5627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 (anotācija)</dc:title>
  <dc:subject>MK noteikumu projekta anotācija</dc:subject>
  <dc:creator>Vita Soļonova</dc:creator>
  <cp:keywords/>
  <dc:description>67013171, Vita.Solonova@em.gov.lv</dc:description>
  <cp:lastModifiedBy>Iveta Muceniece</cp:lastModifiedBy>
  <cp:revision>5</cp:revision>
  <cp:lastPrinted>2019-09-18T12:11:00Z</cp:lastPrinted>
  <dcterms:created xsi:type="dcterms:W3CDTF">2019-09-23T08:32:00Z</dcterms:created>
  <dcterms:modified xsi:type="dcterms:W3CDTF">2019-09-23T12:51:00Z</dcterms:modified>
</cp:coreProperties>
</file>