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56D6FF" w14:textId="77777777" w:rsidR="001C4923" w:rsidRPr="00864EB1" w:rsidRDefault="001C4923" w:rsidP="001C4923">
      <w:pPr>
        <w:pStyle w:val="naislab"/>
        <w:spacing w:before="0" w:after="0"/>
        <w:jc w:val="center"/>
        <w:rPr>
          <w:b/>
          <w:sz w:val="28"/>
          <w:szCs w:val="28"/>
        </w:rPr>
      </w:pPr>
      <w:bookmarkStart w:id="0" w:name="_GoBack"/>
      <w:bookmarkEnd w:id="0"/>
      <w:r w:rsidRPr="00864EB1">
        <w:rPr>
          <w:b/>
          <w:sz w:val="28"/>
          <w:szCs w:val="28"/>
        </w:rPr>
        <w:t>Izziņa par atzinumos sniegtajiem iebildumiem</w:t>
      </w:r>
    </w:p>
    <w:p w14:paraId="2682CB08" w14:textId="77777777" w:rsidR="001C4923" w:rsidRPr="008A36C9" w:rsidRDefault="001C4923" w:rsidP="001C4923">
      <w:pPr>
        <w:pStyle w:val="naisf"/>
        <w:spacing w:before="0" w:after="0"/>
        <w:ind w:firstLine="720"/>
      </w:pPr>
    </w:p>
    <w:tbl>
      <w:tblPr>
        <w:tblW w:w="0" w:type="auto"/>
        <w:jc w:val="center"/>
        <w:tblLook w:val="00A0" w:firstRow="1" w:lastRow="0" w:firstColumn="1" w:lastColumn="0" w:noHBand="0" w:noVBand="0"/>
      </w:tblPr>
      <w:tblGrid>
        <w:gridCol w:w="10188"/>
      </w:tblGrid>
      <w:tr w:rsidR="001C4923" w:rsidRPr="00712B66" w14:paraId="4357B5B1" w14:textId="77777777" w:rsidTr="00BD1B21">
        <w:trPr>
          <w:jc w:val="center"/>
        </w:trPr>
        <w:tc>
          <w:tcPr>
            <w:tcW w:w="10188" w:type="dxa"/>
            <w:tcBorders>
              <w:bottom w:val="single" w:sz="6" w:space="0" w:color="000000"/>
            </w:tcBorders>
          </w:tcPr>
          <w:p w14:paraId="02B3B5F2" w14:textId="2B5E97E9" w:rsidR="001C4923" w:rsidRPr="00712B66" w:rsidRDefault="001C4923" w:rsidP="00BD1B21">
            <w:pPr>
              <w:ind w:firstLine="720"/>
              <w:jc w:val="center"/>
            </w:pPr>
            <w:r>
              <w:t xml:space="preserve">Ministru kabineta noteikumu projekts </w:t>
            </w:r>
            <w:r w:rsidR="008D5E41">
              <w:t>"</w:t>
            </w:r>
            <w:r w:rsidR="00E206AE" w:rsidRPr="00E206AE">
              <w:t>Grozījumi Ministru kabineta 2016. gad</w:t>
            </w:r>
            <w:r w:rsidR="00E206AE">
              <w:t xml:space="preserve">a 15. marta noteikumos Nr. 160 </w:t>
            </w:r>
            <w:r w:rsidR="008D5E41">
              <w:t>"</w:t>
            </w:r>
            <w:r w:rsidR="00E206AE">
              <w:t xml:space="preserve">Darbības programmas </w:t>
            </w:r>
            <w:r w:rsidR="008D5E41">
              <w:t>"</w:t>
            </w:r>
            <w:r w:rsidR="00E206AE">
              <w:t>Izaugsme un nodarbinātība</w:t>
            </w:r>
            <w:r w:rsidR="008D5E41">
              <w:t>"</w:t>
            </w:r>
            <w:r w:rsidR="00E206AE" w:rsidRPr="00E206AE">
              <w:t xml:space="preserve"> 4.</w:t>
            </w:r>
            <w:r w:rsidR="00E206AE">
              <w:t xml:space="preserve">2.1. specifiskā atbalsta mērķa </w:t>
            </w:r>
            <w:r w:rsidR="008D5E41">
              <w:t>"</w:t>
            </w:r>
            <w:r w:rsidR="00E206AE" w:rsidRPr="00E206AE">
              <w:t>Veicināt energoefektivitātes paaugstin</w:t>
            </w:r>
            <w:r w:rsidR="00E206AE">
              <w:t>āšanu valsts un dzīvojamās ēkās</w:t>
            </w:r>
            <w:r w:rsidR="008D5E41">
              <w:t>"</w:t>
            </w:r>
            <w:r w:rsidR="00E206AE" w:rsidRPr="00E206AE">
              <w:t xml:space="preserve"> 4.2.1.1. specifiskā atbalsta mērķa</w:t>
            </w:r>
            <w:r w:rsidR="00E206AE">
              <w:t xml:space="preserve"> pasākuma </w:t>
            </w:r>
            <w:r w:rsidR="008D5E41">
              <w:t>"</w:t>
            </w:r>
            <w:r w:rsidR="00E206AE" w:rsidRPr="00E206AE">
              <w:t>Veicināt energoefektivitātes</w:t>
            </w:r>
            <w:r w:rsidR="00E206AE">
              <w:t xml:space="preserve"> paaugstināšanu dzīvojamās ēkās</w:t>
            </w:r>
            <w:r w:rsidR="008D5E41">
              <w:t>"</w:t>
            </w:r>
            <w:r w:rsidR="00E206AE">
              <w:t xml:space="preserve"> īstenošanas noteikumi</w:t>
            </w:r>
            <w:r w:rsidR="008D5E41">
              <w:t>""</w:t>
            </w:r>
          </w:p>
        </w:tc>
      </w:tr>
    </w:tbl>
    <w:p w14:paraId="16E22AA9" w14:textId="77777777" w:rsidR="001C4923" w:rsidRPr="00712B66" w:rsidRDefault="001C4923" w:rsidP="001C4923">
      <w:pPr>
        <w:pStyle w:val="naisc"/>
        <w:spacing w:before="0" w:after="0"/>
        <w:ind w:firstLine="1080"/>
      </w:pPr>
      <w:r w:rsidRPr="00712B66">
        <w:t>(dokumenta veids un nosaukums)</w:t>
      </w:r>
    </w:p>
    <w:p w14:paraId="7D8B5A53" w14:textId="77777777" w:rsidR="001C4923" w:rsidRPr="00712B66" w:rsidRDefault="001C4923" w:rsidP="001C4923">
      <w:pPr>
        <w:pStyle w:val="naisf"/>
        <w:spacing w:before="0" w:after="0"/>
        <w:ind w:firstLine="720"/>
      </w:pPr>
    </w:p>
    <w:p w14:paraId="6615268C" w14:textId="77777777" w:rsidR="001C4923" w:rsidRPr="00712B66" w:rsidRDefault="001C4923" w:rsidP="001C4923">
      <w:pPr>
        <w:pStyle w:val="naisf"/>
        <w:spacing w:before="0" w:after="0"/>
        <w:ind w:firstLine="0"/>
      </w:pPr>
    </w:p>
    <w:p w14:paraId="5474C790" w14:textId="77777777" w:rsidR="001C4923" w:rsidRPr="000F5C24" w:rsidRDefault="001C4923" w:rsidP="001C4923">
      <w:pPr>
        <w:pStyle w:val="naisf"/>
        <w:spacing w:before="0" w:after="0"/>
        <w:ind w:firstLine="0"/>
        <w:rPr>
          <w:b/>
        </w:rPr>
      </w:pPr>
      <w:r w:rsidRPr="00712B66">
        <w:rPr>
          <w:b/>
        </w:rPr>
        <w:t xml:space="preserve">Informācija </w:t>
      </w:r>
      <w:r w:rsidRPr="000F5C24">
        <w:rPr>
          <w:b/>
        </w:rPr>
        <w:t xml:space="preserve">par </w:t>
      </w:r>
      <w:proofErr w:type="spellStart"/>
      <w:r w:rsidRPr="000F5C24">
        <w:rPr>
          <w:b/>
        </w:rPr>
        <w:t>starpministriju</w:t>
      </w:r>
      <w:proofErr w:type="spellEnd"/>
      <w:r w:rsidRPr="000F5C24">
        <w:rPr>
          <w:b/>
        </w:rPr>
        <w:t xml:space="preserve"> (starpinstitūciju) sanāksmi vai elektronisko saskaņošanu</w:t>
      </w:r>
    </w:p>
    <w:p w14:paraId="1F18BF13" w14:textId="77777777" w:rsidR="001C4923" w:rsidRPr="000F5C24" w:rsidRDefault="001C4923" w:rsidP="001C4923">
      <w:pPr>
        <w:pStyle w:val="naisf"/>
        <w:spacing w:before="0" w:after="0"/>
        <w:ind w:firstLine="0"/>
        <w:rPr>
          <w:b/>
        </w:rPr>
      </w:pPr>
    </w:p>
    <w:tbl>
      <w:tblPr>
        <w:tblW w:w="14312" w:type="dxa"/>
        <w:tblLook w:val="00A0" w:firstRow="1" w:lastRow="0" w:firstColumn="1" w:lastColumn="0" w:noHBand="0" w:noVBand="0"/>
      </w:tblPr>
      <w:tblGrid>
        <w:gridCol w:w="6345"/>
        <w:gridCol w:w="7967"/>
      </w:tblGrid>
      <w:tr w:rsidR="000F5C24" w:rsidRPr="000F5C24" w14:paraId="36011162" w14:textId="77777777" w:rsidTr="00BD1B21">
        <w:tc>
          <w:tcPr>
            <w:tcW w:w="6345" w:type="dxa"/>
          </w:tcPr>
          <w:p w14:paraId="1366F4A0" w14:textId="77777777" w:rsidR="001C4923" w:rsidRPr="000F5C24" w:rsidRDefault="001C4923" w:rsidP="00BD1B21">
            <w:pPr>
              <w:pStyle w:val="naisf"/>
              <w:spacing w:before="0" w:after="0"/>
              <w:ind w:firstLine="0"/>
            </w:pPr>
            <w:r w:rsidRPr="000F5C24">
              <w:t xml:space="preserve">Datums: </w:t>
            </w:r>
          </w:p>
        </w:tc>
        <w:tc>
          <w:tcPr>
            <w:tcW w:w="7967" w:type="dxa"/>
          </w:tcPr>
          <w:p w14:paraId="6FC364DB" w14:textId="5FD17A70" w:rsidR="001C4923" w:rsidRPr="000F5C24" w:rsidRDefault="00777EE4" w:rsidP="0088699C">
            <w:pPr>
              <w:pStyle w:val="NormalWeb"/>
              <w:spacing w:before="0" w:beforeAutospacing="0" w:after="0" w:afterAutospacing="0"/>
            </w:pPr>
            <w:r>
              <w:t>1</w:t>
            </w:r>
            <w:r w:rsidR="00350AE6">
              <w:t>2</w:t>
            </w:r>
            <w:r w:rsidR="00F47CC9">
              <w:t>.0</w:t>
            </w:r>
            <w:r w:rsidR="003C1C97">
              <w:t>6</w:t>
            </w:r>
            <w:r w:rsidR="00F47CC9">
              <w:t>.2019.</w:t>
            </w:r>
            <w:r w:rsidR="006F17B0">
              <w:t xml:space="preserve">, </w:t>
            </w:r>
            <w:r w:rsidR="00C440C5">
              <w:t>0</w:t>
            </w:r>
            <w:r w:rsidR="00AB06BC">
              <w:t>4</w:t>
            </w:r>
            <w:r w:rsidR="006F17B0">
              <w:t>.07.2019.</w:t>
            </w:r>
            <w:r w:rsidR="00F9647D">
              <w:t xml:space="preserve">, </w:t>
            </w:r>
            <w:r w:rsidR="008E4004">
              <w:t>2</w:t>
            </w:r>
            <w:r w:rsidR="000F5BA6">
              <w:t>4</w:t>
            </w:r>
            <w:r w:rsidR="00F9647D">
              <w:t>.07.2019.</w:t>
            </w:r>
          </w:p>
        </w:tc>
      </w:tr>
      <w:tr w:rsidR="000F5C24" w:rsidRPr="000F5C24" w14:paraId="7A9D8325" w14:textId="77777777" w:rsidTr="00BD1B21">
        <w:tc>
          <w:tcPr>
            <w:tcW w:w="6345" w:type="dxa"/>
          </w:tcPr>
          <w:p w14:paraId="62049EC3" w14:textId="77777777" w:rsidR="001C4923" w:rsidRPr="000F5C24" w:rsidRDefault="001C4923" w:rsidP="00BD1B21">
            <w:pPr>
              <w:pStyle w:val="naisf"/>
              <w:spacing w:before="0" w:after="0"/>
              <w:ind w:firstLine="0"/>
            </w:pPr>
          </w:p>
        </w:tc>
        <w:tc>
          <w:tcPr>
            <w:tcW w:w="7967" w:type="dxa"/>
          </w:tcPr>
          <w:p w14:paraId="664B8796" w14:textId="77777777" w:rsidR="001C4923" w:rsidRPr="000F5C24" w:rsidRDefault="001C4923" w:rsidP="00BD1B21">
            <w:pPr>
              <w:pStyle w:val="NormalWeb"/>
              <w:spacing w:before="0" w:beforeAutospacing="0" w:after="0" w:afterAutospacing="0"/>
              <w:ind w:firstLine="720"/>
            </w:pPr>
          </w:p>
        </w:tc>
      </w:tr>
      <w:tr w:rsidR="001C4923" w:rsidRPr="000F5C24" w14:paraId="6547412E" w14:textId="77777777" w:rsidTr="00BD1B21">
        <w:tc>
          <w:tcPr>
            <w:tcW w:w="6345" w:type="dxa"/>
          </w:tcPr>
          <w:p w14:paraId="07BD13BD" w14:textId="77777777" w:rsidR="001C4923" w:rsidRPr="000F5C24" w:rsidRDefault="001C4923" w:rsidP="00BD1B21">
            <w:pPr>
              <w:pStyle w:val="naiskr"/>
              <w:spacing w:before="0" w:after="0"/>
              <w:jc w:val="both"/>
            </w:pPr>
            <w:r w:rsidRPr="000F5C24">
              <w:t>Saskaņošanas dalībnieki</w:t>
            </w:r>
          </w:p>
        </w:tc>
        <w:tc>
          <w:tcPr>
            <w:tcW w:w="7967" w:type="dxa"/>
          </w:tcPr>
          <w:p w14:paraId="7BAADF59" w14:textId="715AD3F0" w:rsidR="001C4923" w:rsidRPr="000F5C24" w:rsidRDefault="00E206AE" w:rsidP="00BD1B21">
            <w:pPr>
              <w:pStyle w:val="NormalWeb"/>
              <w:spacing w:before="0" w:beforeAutospacing="0" w:after="0" w:afterAutospacing="0"/>
              <w:ind w:right="29"/>
              <w:jc w:val="both"/>
            </w:pPr>
            <w:r w:rsidRPr="000F5C24">
              <w:t>Tieslietu ministrija, Finanšu ministrija, Labklājības ministrija, Veselības ministrija, Vides aizsardzības un reģionālās attīstības ministrija, Latvijas Pašvaldību savienība,</w:t>
            </w:r>
            <w:r w:rsidR="0038178A" w:rsidRPr="000F5C24">
              <w:t xml:space="preserve"> Latvijas Brīvo arodbiedrību savienība</w:t>
            </w:r>
          </w:p>
        </w:tc>
      </w:tr>
    </w:tbl>
    <w:p w14:paraId="799C789E" w14:textId="77777777" w:rsidR="001C4923" w:rsidRPr="000F5C24" w:rsidRDefault="001C4923" w:rsidP="001C4923">
      <w:pPr>
        <w:jc w:val="both"/>
      </w:pPr>
    </w:p>
    <w:tbl>
      <w:tblPr>
        <w:tblW w:w="16115" w:type="dxa"/>
        <w:tblLook w:val="00A0" w:firstRow="1" w:lastRow="0" w:firstColumn="1" w:lastColumn="0" w:noHBand="0" w:noVBand="0"/>
      </w:tblPr>
      <w:tblGrid>
        <w:gridCol w:w="6237"/>
        <w:gridCol w:w="8148"/>
        <w:gridCol w:w="1730"/>
      </w:tblGrid>
      <w:tr w:rsidR="006B13BF" w:rsidRPr="006B13BF" w14:paraId="6EA77BC5" w14:textId="77777777" w:rsidTr="000F5C24">
        <w:trPr>
          <w:trHeight w:val="285"/>
        </w:trPr>
        <w:tc>
          <w:tcPr>
            <w:tcW w:w="6237" w:type="dxa"/>
          </w:tcPr>
          <w:p w14:paraId="02CC4FB8" w14:textId="77777777" w:rsidR="001C4923" w:rsidRPr="006B13BF" w:rsidRDefault="001C4923" w:rsidP="00BD1B21">
            <w:pPr>
              <w:pStyle w:val="naiskr"/>
              <w:spacing w:before="0" w:after="0"/>
              <w:jc w:val="both"/>
              <w:rPr>
                <w:color w:val="FF0000"/>
              </w:rPr>
            </w:pPr>
            <w:r w:rsidRPr="000F5C24">
              <w:t>Saskaņošanas dalībnieki izskatīja šādu ministriju (citu institūciju) iebildumus</w:t>
            </w:r>
          </w:p>
        </w:tc>
        <w:tc>
          <w:tcPr>
            <w:tcW w:w="9878" w:type="dxa"/>
            <w:gridSpan w:val="2"/>
          </w:tcPr>
          <w:p w14:paraId="731B054E" w14:textId="7C20C286" w:rsidR="001C4923" w:rsidRPr="006B13BF" w:rsidRDefault="000F5C24" w:rsidP="000F5C24">
            <w:pPr>
              <w:pStyle w:val="NormalWeb"/>
              <w:spacing w:before="0" w:beforeAutospacing="0" w:after="0" w:afterAutospacing="0"/>
              <w:ind w:right="29" w:firstLine="39"/>
              <w:jc w:val="both"/>
              <w:rPr>
                <w:color w:val="FF0000"/>
              </w:rPr>
            </w:pPr>
            <w:r w:rsidRPr="000F5C24">
              <w:t>Tieslietu ministrija, Finanšu ministrija</w:t>
            </w:r>
          </w:p>
        </w:tc>
      </w:tr>
      <w:tr w:rsidR="006B13BF" w:rsidRPr="006B13BF" w14:paraId="1239A2E4" w14:textId="77777777" w:rsidTr="000F5C24">
        <w:trPr>
          <w:gridAfter w:val="1"/>
          <w:wAfter w:w="1732" w:type="dxa"/>
          <w:trHeight w:val="465"/>
        </w:trPr>
        <w:tc>
          <w:tcPr>
            <w:tcW w:w="14383" w:type="dxa"/>
            <w:gridSpan w:val="2"/>
          </w:tcPr>
          <w:p w14:paraId="2A441DD8" w14:textId="77777777" w:rsidR="001C4923" w:rsidRPr="000F5C24" w:rsidRDefault="001C4923" w:rsidP="00BD1B21">
            <w:pPr>
              <w:pStyle w:val="naisc"/>
              <w:spacing w:before="0" w:after="0"/>
              <w:jc w:val="left"/>
            </w:pPr>
          </w:p>
        </w:tc>
      </w:tr>
      <w:tr w:rsidR="006B13BF" w:rsidRPr="006B13BF" w14:paraId="1D6987D3" w14:textId="77777777" w:rsidTr="000F5C24">
        <w:trPr>
          <w:gridAfter w:val="1"/>
          <w:wAfter w:w="1730" w:type="dxa"/>
        </w:trPr>
        <w:tc>
          <w:tcPr>
            <w:tcW w:w="6237" w:type="dxa"/>
          </w:tcPr>
          <w:p w14:paraId="482AB9E1" w14:textId="77777777" w:rsidR="001C4923" w:rsidRPr="000F5C24" w:rsidRDefault="001C4923" w:rsidP="00BD1B21">
            <w:pPr>
              <w:pStyle w:val="naiskr"/>
              <w:spacing w:before="0" w:after="0"/>
            </w:pPr>
            <w:r w:rsidRPr="000F5C24">
              <w:t>Ministrijas (citas institūcijas), kuras nav ieradušās uz sanāksmi vai kuras nav atbildējušas uz uzaicinājumu piedalīties elektroniskajā saskaņošanā</w:t>
            </w:r>
          </w:p>
        </w:tc>
        <w:tc>
          <w:tcPr>
            <w:tcW w:w="8148" w:type="dxa"/>
          </w:tcPr>
          <w:p w14:paraId="2A29B74B" w14:textId="77777777" w:rsidR="001C4923" w:rsidRPr="000F5C24" w:rsidRDefault="00932A43" w:rsidP="00BD1B21">
            <w:pPr>
              <w:pStyle w:val="naiskr"/>
              <w:spacing w:before="0" w:after="0"/>
              <w:ind w:left="244"/>
              <w:jc w:val="both"/>
            </w:pPr>
            <w:r w:rsidRPr="000F5C24">
              <w:t>Nav.</w:t>
            </w:r>
          </w:p>
        </w:tc>
      </w:tr>
    </w:tbl>
    <w:p w14:paraId="748C5961" w14:textId="77777777" w:rsidR="001C4923" w:rsidRPr="00712B66" w:rsidRDefault="001C4923" w:rsidP="001C4923">
      <w:pPr>
        <w:pStyle w:val="naisf"/>
        <w:spacing w:before="0" w:after="0"/>
        <w:ind w:firstLine="720"/>
      </w:pPr>
    </w:p>
    <w:p w14:paraId="474DD320" w14:textId="15C6D521" w:rsidR="001C4923" w:rsidRDefault="001C4923" w:rsidP="001C4923">
      <w:pPr>
        <w:pStyle w:val="naisf"/>
        <w:spacing w:before="0" w:after="0"/>
        <w:ind w:firstLine="0"/>
        <w:jc w:val="center"/>
        <w:rPr>
          <w:b/>
        </w:rPr>
      </w:pPr>
      <w:r w:rsidRPr="00712B66">
        <w:rPr>
          <w:b/>
        </w:rPr>
        <w:t>II. Jautājumi, par kuriem saskaņošanā vienošan</w:t>
      </w:r>
      <w:r>
        <w:rPr>
          <w:b/>
        </w:rPr>
        <w:t>ā</w:t>
      </w:r>
      <w:r w:rsidRPr="00712B66">
        <w:rPr>
          <w:b/>
        </w:rPr>
        <w:t>s ir panākta</w:t>
      </w:r>
    </w:p>
    <w:p w14:paraId="07EB2111" w14:textId="626046FD" w:rsidR="00D67795" w:rsidRDefault="00D67795" w:rsidP="001C4923">
      <w:pPr>
        <w:pStyle w:val="naisf"/>
        <w:spacing w:before="0" w:after="0"/>
        <w:ind w:firstLine="0"/>
        <w:jc w:val="center"/>
        <w:rPr>
          <w:b/>
        </w:rPr>
      </w:pPr>
    </w:p>
    <w:tbl>
      <w:tblPr>
        <w:tblpPr w:leftFromText="180" w:rightFromText="180" w:vertAnchor="text" w:tblpX="-24" w:tblpY="1"/>
        <w:tblOverlap w:val="never"/>
        <w:tblW w:w="14734" w:type="dxa"/>
        <w:tblBorders>
          <w:top w:val="single" w:sz="4" w:space="0" w:color="auto"/>
          <w:left w:val="single" w:sz="4" w:space="0" w:color="auto"/>
          <w:bottom w:val="single" w:sz="4" w:space="0" w:color="auto"/>
          <w:right w:val="single" w:sz="4" w:space="0" w:color="auto"/>
        </w:tblBorders>
        <w:tblLayout w:type="fixed"/>
        <w:tblLook w:val="00A0" w:firstRow="1" w:lastRow="0" w:firstColumn="1" w:lastColumn="0" w:noHBand="0" w:noVBand="0"/>
      </w:tblPr>
      <w:tblGrid>
        <w:gridCol w:w="716"/>
        <w:gridCol w:w="3086"/>
        <w:gridCol w:w="3987"/>
        <w:gridCol w:w="3827"/>
        <w:gridCol w:w="3118"/>
      </w:tblGrid>
      <w:tr w:rsidR="00D67795" w:rsidRPr="00CC4FF7" w14:paraId="277FE77F" w14:textId="77777777" w:rsidTr="00463A48">
        <w:tc>
          <w:tcPr>
            <w:tcW w:w="716" w:type="dxa"/>
            <w:tcBorders>
              <w:top w:val="single" w:sz="6" w:space="0" w:color="000000"/>
              <w:left w:val="single" w:sz="6" w:space="0" w:color="000000"/>
              <w:bottom w:val="single" w:sz="6" w:space="0" w:color="000000"/>
              <w:right w:val="single" w:sz="6" w:space="0" w:color="000000"/>
            </w:tcBorders>
            <w:vAlign w:val="center"/>
          </w:tcPr>
          <w:p w14:paraId="15B98BE9" w14:textId="77777777" w:rsidR="00D67795" w:rsidRPr="00CC4FF7" w:rsidRDefault="00D67795" w:rsidP="00BD1B21">
            <w:pPr>
              <w:pStyle w:val="naisc"/>
              <w:spacing w:before="0" w:after="0"/>
              <w:rPr>
                <w:sz w:val="22"/>
                <w:szCs w:val="22"/>
              </w:rPr>
            </w:pPr>
            <w:r w:rsidRPr="00CC4FF7">
              <w:rPr>
                <w:sz w:val="22"/>
                <w:szCs w:val="22"/>
              </w:rPr>
              <w:t>Nr. p.k.</w:t>
            </w:r>
          </w:p>
        </w:tc>
        <w:tc>
          <w:tcPr>
            <w:tcW w:w="3086" w:type="dxa"/>
            <w:tcBorders>
              <w:top w:val="single" w:sz="6" w:space="0" w:color="000000"/>
              <w:left w:val="single" w:sz="6" w:space="0" w:color="000000"/>
              <w:bottom w:val="single" w:sz="6" w:space="0" w:color="000000"/>
              <w:right w:val="single" w:sz="6" w:space="0" w:color="000000"/>
            </w:tcBorders>
            <w:vAlign w:val="center"/>
          </w:tcPr>
          <w:p w14:paraId="0A391ED9" w14:textId="77777777" w:rsidR="00D67795" w:rsidRPr="00CC4FF7" w:rsidRDefault="00D67795" w:rsidP="00BD1B21">
            <w:pPr>
              <w:pStyle w:val="naisc"/>
              <w:spacing w:before="0" w:after="0"/>
              <w:ind w:firstLine="12"/>
              <w:rPr>
                <w:sz w:val="22"/>
                <w:szCs w:val="22"/>
              </w:rPr>
            </w:pPr>
            <w:r w:rsidRPr="00CC4FF7">
              <w:rPr>
                <w:sz w:val="22"/>
                <w:szCs w:val="22"/>
              </w:rPr>
              <w:t>Saskaņošanai nosūtītā projekta redakcija (konkrēta punkta (panta) redakcija)</w:t>
            </w:r>
          </w:p>
        </w:tc>
        <w:tc>
          <w:tcPr>
            <w:tcW w:w="3987" w:type="dxa"/>
            <w:tcBorders>
              <w:top w:val="single" w:sz="6" w:space="0" w:color="000000"/>
              <w:left w:val="single" w:sz="6" w:space="0" w:color="000000"/>
              <w:bottom w:val="single" w:sz="6" w:space="0" w:color="000000"/>
              <w:right w:val="single" w:sz="6" w:space="0" w:color="000000"/>
            </w:tcBorders>
            <w:vAlign w:val="center"/>
          </w:tcPr>
          <w:p w14:paraId="4C611CF5" w14:textId="77777777" w:rsidR="00D67795" w:rsidRPr="00CC4FF7" w:rsidRDefault="00D67795" w:rsidP="00BD1B21">
            <w:pPr>
              <w:pStyle w:val="naisc"/>
              <w:spacing w:before="0" w:after="0"/>
              <w:ind w:right="3"/>
              <w:rPr>
                <w:sz w:val="22"/>
                <w:szCs w:val="22"/>
              </w:rPr>
            </w:pPr>
            <w:r w:rsidRPr="00CC4FF7">
              <w:rPr>
                <w:sz w:val="22"/>
                <w:szCs w:val="22"/>
              </w:rPr>
              <w:t>Atzinumā norādītais ministrijas (citas institūcijas) iebildums, kā arī saskaņošanā papildus izteiktais iebildums par projekta konkrēto punktu (pantu)</w:t>
            </w:r>
          </w:p>
        </w:tc>
        <w:tc>
          <w:tcPr>
            <w:tcW w:w="3827" w:type="dxa"/>
            <w:tcBorders>
              <w:top w:val="single" w:sz="6" w:space="0" w:color="000000"/>
              <w:left w:val="single" w:sz="6" w:space="0" w:color="000000"/>
              <w:bottom w:val="single" w:sz="6" w:space="0" w:color="000000"/>
              <w:right w:val="single" w:sz="6" w:space="0" w:color="000000"/>
            </w:tcBorders>
            <w:vAlign w:val="center"/>
          </w:tcPr>
          <w:p w14:paraId="44A0D0B3" w14:textId="77777777" w:rsidR="00D67795" w:rsidRPr="00CC4FF7" w:rsidRDefault="00D67795" w:rsidP="00BD1B21">
            <w:pPr>
              <w:pStyle w:val="naisc"/>
              <w:spacing w:before="0" w:after="0"/>
              <w:ind w:firstLine="21"/>
              <w:rPr>
                <w:sz w:val="22"/>
                <w:szCs w:val="22"/>
              </w:rPr>
            </w:pPr>
            <w:r w:rsidRPr="00CC4FF7">
              <w:rPr>
                <w:sz w:val="22"/>
                <w:szCs w:val="22"/>
              </w:rPr>
              <w:t>Atbildīgās ministrijas norāde par to, ka iebildums ir ņemts vērā, vai informācija par saskaņošanā panākto alternatīvo risinājumu</w:t>
            </w:r>
          </w:p>
        </w:tc>
        <w:tc>
          <w:tcPr>
            <w:tcW w:w="3118" w:type="dxa"/>
            <w:tcBorders>
              <w:top w:val="single" w:sz="4" w:space="0" w:color="auto"/>
              <w:left w:val="single" w:sz="4" w:space="0" w:color="auto"/>
              <w:bottom w:val="single" w:sz="4" w:space="0" w:color="auto"/>
            </w:tcBorders>
            <w:vAlign w:val="center"/>
          </w:tcPr>
          <w:p w14:paraId="687339DE" w14:textId="77777777" w:rsidR="00D67795" w:rsidRPr="00CC4FF7" w:rsidRDefault="00D67795" w:rsidP="00BD1B21">
            <w:pPr>
              <w:jc w:val="center"/>
              <w:rPr>
                <w:sz w:val="22"/>
                <w:szCs w:val="22"/>
              </w:rPr>
            </w:pPr>
            <w:r w:rsidRPr="00CC4FF7">
              <w:rPr>
                <w:sz w:val="22"/>
                <w:szCs w:val="22"/>
              </w:rPr>
              <w:t>Projekta attiecīgā punkta (panta) galīgā redakcija</w:t>
            </w:r>
          </w:p>
        </w:tc>
      </w:tr>
      <w:tr w:rsidR="00D67795" w:rsidRPr="00CC4FF7" w14:paraId="2C001296" w14:textId="77777777" w:rsidTr="00463A48">
        <w:tc>
          <w:tcPr>
            <w:tcW w:w="716" w:type="dxa"/>
            <w:tcBorders>
              <w:top w:val="single" w:sz="6" w:space="0" w:color="000000"/>
              <w:left w:val="single" w:sz="6" w:space="0" w:color="000000"/>
              <w:bottom w:val="single" w:sz="6" w:space="0" w:color="000000"/>
              <w:right w:val="single" w:sz="6" w:space="0" w:color="000000"/>
            </w:tcBorders>
          </w:tcPr>
          <w:p w14:paraId="70E0B18D" w14:textId="77777777" w:rsidR="00D67795" w:rsidRPr="00CC4FF7" w:rsidRDefault="00D67795" w:rsidP="00BD1B21">
            <w:pPr>
              <w:pStyle w:val="naisc"/>
              <w:spacing w:before="0" w:after="0"/>
              <w:rPr>
                <w:sz w:val="22"/>
                <w:szCs w:val="22"/>
              </w:rPr>
            </w:pPr>
            <w:r w:rsidRPr="00CC4FF7">
              <w:rPr>
                <w:sz w:val="22"/>
                <w:szCs w:val="22"/>
              </w:rPr>
              <w:t>1</w:t>
            </w:r>
          </w:p>
        </w:tc>
        <w:tc>
          <w:tcPr>
            <w:tcW w:w="3086" w:type="dxa"/>
            <w:tcBorders>
              <w:top w:val="single" w:sz="6" w:space="0" w:color="000000"/>
              <w:left w:val="single" w:sz="6" w:space="0" w:color="000000"/>
              <w:bottom w:val="single" w:sz="4" w:space="0" w:color="auto"/>
              <w:right w:val="single" w:sz="6" w:space="0" w:color="000000"/>
            </w:tcBorders>
          </w:tcPr>
          <w:p w14:paraId="770853D3" w14:textId="77777777" w:rsidR="00D67795" w:rsidRPr="00CC4FF7" w:rsidRDefault="00D67795" w:rsidP="00BD1B21">
            <w:pPr>
              <w:pStyle w:val="naisc"/>
              <w:spacing w:before="0" w:after="0"/>
              <w:rPr>
                <w:sz w:val="22"/>
                <w:szCs w:val="22"/>
              </w:rPr>
            </w:pPr>
            <w:r w:rsidRPr="00CC4FF7">
              <w:rPr>
                <w:sz w:val="22"/>
                <w:szCs w:val="22"/>
              </w:rPr>
              <w:t>2</w:t>
            </w:r>
          </w:p>
        </w:tc>
        <w:tc>
          <w:tcPr>
            <w:tcW w:w="3987" w:type="dxa"/>
            <w:tcBorders>
              <w:top w:val="single" w:sz="6" w:space="0" w:color="000000"/>
              <w:left w:val="single" w:sz="6" w:space="0" w:color="000000"/>
              <w:bottom w:val="single" w:sz="6" w:space="0" w:color="000000"/>
              <w:right w:val="single" w:sz="6" w:space="0" w:color="000000"/>
            </w:tcBorders>
          </w:tcPr>
          <w:p w14:paraId="1584AB2F" w14:textId="77777777" w:rsidR="00D67795" w:rsidRPr="00CC4FF7" w:rsidRDefault="00D67795" w:rsidP="00BD1B21">
            <w:pPr>
              <w:pStyle w:val="naisc"/>
              <w:spacing w:before="0" w:after="0"/>
              <w:rPr>
                <w:sz w:val="22"/>
                <w:szCs w:val="22"/>
              </w:rPr>
            </w:pPr>
            <w:r w:rsidRPr="00CC4FF7">
              <w:rPr>
                <w:sz w:val="22"/>
                <w:szCs w:val="22"/>
              </w:rPr>
              <w:t>3</w:t>
            </w:r>
          </w:p>
        </w:tc>
        <w:tc>
          <w:tcPr>
            <w:tcW w:w="3827" w:type="dxa"/>
            <w:tcBorders>
              <w:top w:val="single" w:sz="6" w:space="0" w:color="000000"/>
              <w:left w:val="single" w:sz="6" w:space="0" w:color="000000"/>
              <w:bottom w:val="single" w:sz="6" w:space="0" w:color="000000"/>
              <w:right w:val="single" w:sz="6" w:space="0" w:color="000000"/>
            </w:tcBorders>
          </w:tcPr>
          <w:p w14:paraId="1DA7E259" w14:textId="77777777" w:rsidR="00D67795" w:rsidRPr="00CC4FF7" w:rsidRDefault="00D67795" w:rsidP="00BD1B21">
            <w:pPr>
              <w:pStyle w:val="naisc"/>
              <w:spacing w:before="0" w:after="0"/>
              <w:rPr>
                <w:sz w:val="22"/>
                <w:szCs w:val="22"/>
              </w:rPr>
            </w:pPr>
            <w:r w:rsidRPr="00CC4FF7">
              <w:rPr>
                <w:sz w:val="22"/>
                <w:szCs w:val="22"/>
              </w:rPr>
              <w:t>4</w:t>
            </w:r>
          </w:p>
        </w:tc>
        <w:tc>
          <w:tcPr>
            <w:tcW w:w="3118" w:type="dxa"/>
            <w:tcBorders>
              <w:top w:val="single" w:sz="4" w:space="0" w:color="auto"/>
              <w:left w:val="single" w:sz="4" w:space="0" w:color="auto"/>
              <w:bottom w:val="single" w:sz="4" w:space="0" w:color="auto"/>
            </w:tcBorders>
          </w:tcPr>
          <w:p w14:paraId="4CA3339E" w14:textId="77777777" w:rsidR="00D67795" w:rsidRPr="00CC4FF7" w:rsidRDefault="00D67795" w:rsidP="00BD1B21">
            <w:pPr>
              <w:jc w:val="center"/>
              <w:rPr>
                <w:sz w:val="22"/>
                <w:szCs w:val="22"/>
              </w:rPr>
            </w:pPr>
            <w:r w:rsidRPr="00CC4FF7">
              <w:rPr>
                <w:sz w:val="22"/>
                <w:szCs w:val="22"/>
              </w:rPr>
              <w:t>5</w:t>
            </w:r>
          </w:p>
        </w:tc>
      </w:tr>
      <w:tr w:rsidR="00370EB0" w:rsidRPr="00CC4FF7" w14:paraId="1249AAE9" w14:textId="77777777" w:rsidTr="00463A48">
        <w:tc>
          <w:tcPr>
            <w:tcW w:w="716" w:type="dxa"/>
            <w:tcBorders>
              <w:left w:val="single" w:sz="6" w:space="0" w:color="000000"/>
              <w:bottom w:val="single" w:sz="4" w:space="0" w:color="000000"/>
              <w:right w:val="single" w:sz="4" w:space="0" w:color="auto"/>
            </w:tcBorders>
          </w:tcPr>
          <w:p w14:paraId="44866D23" w14:textId="77777777" w:rsidR="00370EB0" w:rsidRPr="00CC4FF7" w:rsidRDefault="00370EB0" w:rsidP="00BA11CC">
            <w:pPr>
              <w:pStyle w:val="ListParagraph"/>
              <w:numPr>
                <w:ilvl w:val="0"/>
                <w:numId w:val="1"/>
              </w:numPr>
              <w:spacing w:after="0" w:line="240" w:lineRule="auto"/>
              <w:ind w:left="357" w:hanging="357"/>
              <w:rPr>
                <w:rFonts w:ascii="Times New Roman" w:hAnsi="Times New Roman"/>
              </w:rPr>
            </w:pPr>
          </w:p>
        </w:tc>
        <w:tc>
          <w:tcPr>
            <w:tcW w:w="3086" w:type="dxa"/>
            <w:tcBorders>
              <w:top w:val="single" w:sz="4" w:space="0" w:color="auto"/>
              <w:left w:val="single" w:sz="4" w:space="0" w:color="auto"/>
              <w:bottom w:val="single" w:sz="4" w:space="0" w:color="000000"/>
              <w:right w:val="single" w:sz="4" w:space="0" w:color="auto"/>
            </w:tcBorders>
          </w:tcPr>
          <w:p w14:paraId="7415A989" w14:textId="05FC6390" w:rsidR="00370EB0" w:rsidRPr="00D56C33" w:rsidRDefault="00370EB0" w:rsidP="00BA11CC">
            <w:pPr>
              <w:pStyle w:val="naisc"/>
              <w:spacing w:before="0" w:after="0"/>
              <w:jc w:val="both"/>
              <w:rPr>
                <w:b/>
              </w:rPr>
            </w:pPr>
            <w:r w:rsidRPr="00D56C33">
              <w:rPr>
                <w:b/>
              </w:rPr>
              <w:t>Noteikumu projekts</w:t>
            </w:r>
          </w:p>
        </w:tc>
        <w:tc>
          <w:tcPr>
            <w:tcW w:w="3987" w:type="dxa"/>
            <w:tcBorders>
              <w:left w:val="single" w:sz="4" w:space="0" w:color="auto"/>
              <w:bottom w:val="single" w:sz="4" w:space="0" w:color="000000"/>
              <w:right w:val="single" w:sz="6" w:space="0" w:color="000000"/>
            </w:tcBorders>
          </w:tcPr>
          <w:p w14:paraId="7C0B1C32" w14:textId="39B95DD6" w:rsidR="00370EB0" w:rsidRPr="00D56C33" w:rsidRDefault="00370EB0" w:rsidP="00370EB0">
            <w:pPr>
              <w:pStyle w:val="naisc"/>
              <w:spacing w:before="0" w:after="0"/>
              <w:jc w:val="both"/>
              <w:rPr>
                <w:b/>
              </w:rPr>
            </w:pPr>
            <w:r w:rsidRPr="00D56C33">
              <w:rPr>
                <w:b/>
              </w:rPr>
              <w:t xml:space="preserve">Finanšu ministrijas </w:t>
            </w:r>
            <w:r>
              <w:rPr>
                <w:b/>
              </w:rPr>
              <w:t>19</w:t>
            </w:r>
            <w:r w:rsidRPr="00D56C33">
              <w:rPr>
                <w:b/>
              </w:rPr>
              <w:t>.0</w:t>
            </w:r>
            <w:r>
              <w:rPr>
                <w:b/>
              </w:rPr>
              <w:t>6</w:t>
            </w:r>
            <w:r w:rsidRPr="00D56C33">
              <w:rPr>
                <w:b/>
              </w:rPr>
              <w:t xml:space="preserve">.2019. </w:t>
            </w:r>
            <w:r>
              <w:rPr>
                <w:b/>
              </w:rPr>
              <w:t>1</w:t>
            </w:r>
            <w:r w:rsidRPr="00D56C33">
              <w:rPr>
                <w:b/>
              </w:rPr>
              <w:t>.iebildums:</w:t>
            </w:r>
          </w:p>
          <w:p w14:paraId="7E15D418" w14:textId="44A22D0D" w:rsidR="00370EB0" w:rsidRPr="00D56C33" w:rsidRDefault="00370EB0" w:rsidP="00370EB0">
            <w:pPr>
              <w:pStyle w:val="naisc"/>
              <w:spacing w:before="0" w:after="0"/>
              <w:jc w:val="both"/>
              <w:rPr>
                <w:b/>
              </w:rPr>
            </w:pPr>
            <w:r w:rsidRPr="00571ED2">
              <w:rPr>
                <w:bCs/>
              </w:rPr>
              <w:t>“</w:t>
            </w:r>
            <w:r w:rsidRPr="00370EB0">
              <w:rPr>
                <w:bCs/>
              </w:rPr>
              <w:t xml:space="preserve">Lūdzam sniegt skaidrojumu, kādam specifiskā atbalsta mērķim vai pasākumam EM plāno novirzīt Eiropas Reģionālā attīstības fonda (turpmāk – ERAF) finansējumu 8 506 683 euro apmērā, kas iepriekš tika paredzēts </w:t>
            </w:r>
            <w:proofErr w:type="spellStart"/>
            <w:r w:rsidRPr="00370EB0">
              <w:rPr>
                <w:bCs/>
              </w:rPr>
              <w:t>energoservisa</w:t>
            </w:r>
            <w:proofErr w:type="spellEnd"/>
            <w:r w:rsidRPr="00370EB0">
              <w:rPr>
                <w:bCs/>
              </w:rPr>
              <w:t xml:space="preserve"> kompāniju atbalsta pasākuma izstrādei. Vēršam uzmanību, ka EM 2018.gada 11.decembra vēstulē Nr.2.4-4/2018/5379 norādījusi, ka minētais finansējums tiks novirzīts 4.2.1.1.pasākuma “Veicināt energoefektivitātes paaugstināšanu dzīvojamās ēkās” īstenošanai. Tāpat norādām, ka saskaņā ar Ministru kabineta 2019.gada 23.aprīļa sēdes </w:t>
            </w:r>
            <w:proofErr w:type="spellStart"/>
            <w:r w:rsidRPr="00370EB0">
              <w:rPr>
                <w:bCs/>
              </w:rPr>
              <w:t>protokollēmuma</w:t>
            </w:r>
            <w:proofErr w:type="spellEnd"/>
            <w:r w:rsidRPr="00370EB0">
              <w:rPr>
                <w:bCs/>
              </w:rPr>
              <w:t xml:space="preserve"> Nr.21 23.§ 6.punktu līdz š.g. 1.jūlijam nozaru ministrijām jāiesniedz FM priekšlikumi par snieguma rezerves un ERAF finansējuma atlikumu izmantošanu</w:t>
            </w:r>
            <w:r>
              <w:rPr>
                <w:bCs/>
              </w:rPr>
              <w:t>.”</w:t>
            </w:r>
          </w:p>
        </w:tc>
        <w:tc>
          <w:tcPr>
            <w:tcW w:w="3827" w:type="dxa"/>
            <w:tcBorders>
              <w:left w:val="single" w:sz="6" w:space="0" w:color="000000"/>
              <w:bottom w:val="single" w:sz="4" w:space="0" w:color="000000"/>
              <w:right w:val="single" w:sz="6" w:space="0" w:color="000000"/>
            </w:tcBorders>
          </w:tcPr>
          <w:p w14:paraId="670E6DA4" w14:textId="77777777" w:rsidR="00370EB0" w:rsidRDefault="00370EB0" w:rsidP="00BA11CC">
            <w:pPr>
              <w:pStyle w:val="naisc"/>
              <w:spacing w:before="0" w:after="0"/>
              <w:rPr>
                <w:b/>
              </w:rPr>
            </w:pPr>
            <w:r>
              <w:rPr>
                <w:b/>
              </w:rPr>
              <w:t>Ņemts vērā</w:t>
            </w:r>
          </w:p>
          <w:p w14:paraId="6F94F319" w14:textId="53B736FA" w:rsidR="00013903" w:rsidRDefault="00013903" w:rsidP="00013903">
            <w:pPr>
              <w:pStyle w:val="naisc"/>
              <w:spacing w:before="0" w:after="0"/>
              <w:jc w:val="both"/>
              <w:rPr>
                <w:bCs/>
              </w:rPr>
            </w:pPr>
            <w:r>
              <w:rPr>
                <w:bCs/>
              </w:rPr>
              <w:t xml:space="preserve">Skaidrojams, ka š.g. 28.jūnijā </w:t>
            </w:r>
            <w:r w:rsidRPr="00E167F2">
              <w:rPr>
                <w:bCs/>
              </w:rPr>
              <w:t>Ekonomikas ministrija</w:t>
            </w:r>
            <w:r>
              <w:rPr>
                <w:bCs/>
              </w:rPr>
              <w:t>,</w:t>
            </w:r>
            <w:r w:rsidRPr="00E167F2">
              <w:rPr>
                <w:bCs/>
              </w:rPr>
              <w:t xml:space="preserve"> atbilstoši Ministru kabineta 2019.gada 23.aprīļa uzdevumam, </w:t>
            </w:r>
            <w:r>
              <w:rPr>
                <w:bCs/>
              </w:rPr>
              <w:t xml:space="preserve">ir nosūtījusi </w:t>
            </w:r>
            <w:r w:rsidR="00892372" w:rsidRPr="00E167F2">
              <w:rPr>
                <w:bCs/>
              </w:rPr>
              <w:t xml:space="preserve"> Finanšu ministrijai</w:t>
            </w:r>
            <w:r w:rsidR="00892372">
              <w:rPr>
                <w:bCs/>
              </w:rPr>
              <w:t xml:space="preserve"> </w:t>
            </w:r>
            <w:r>
              <w:rPr>
                <w:bCs/>
              </w:rPr>
              <w:t xml:space="preserve">vēstuli </w:t>
            </w:r>
            <w:r w:rsidRPr="00013903">
              <w:rPr>
                <w:bCs/>
              </w:rPr>
              <w:t>Nr. 3.7-5/2019/3479</w:t>
            </w:r>
            <w:r>
              <w:rPr>
                <w:bCs/>
              </w:rPr>
              <w:t>, sniedzot</w:t>
            </w:r>
            <w:r w:rsidRPr="00E167F2">
              <w:rPr>
                <w:bCs/>
              </w:rPr>
              <w:t xml:space="preserve"> priekšlikumu</w:t>
            </w:r>
            <w:r>
              <w:rPr>
                <w:bCs/>
              </w:rPr>
              <w:t>s</w:t>
            </w:r>
            <w:r w:rsidRPr="00E167F2">
              <w:rPr>
                <w:bCs/>
              </w:rPr>
              <w:t xml:space="preserve"> snieguma ietvara rezerves finansējuma </w:t>
            </w:r>
            <w:r>
              <w:rPr>
                <w:bCs/>
              </w:rPr>
              <w:t xml:space="preserve">izmantošanai, kā arī </w:t>
            </w:r>
            <w:r w:rsidRPr="00E167F2">
              <w:rPr>
                <w:bCs/>
              </w:rPr>
              <w:t>pieejamā finansējuma atlikumu tālākai izmantošanai</w:t>
            </w:r>
            <w:r>
              <w:rPr>
                <w:bCs/>
              </w:rPr>
              <w:t xml:space="preserve">. Ekonomikas ministrija sniedz priekšlikumu </w:t>
            </w:r>
            <w:r>
              <w:t xml:space="preserve"> </w:t>
            </w:r>
            <w:r w:rsidRPr="00013903">
              <w:rPr>
                <w:bCs/>
              </w:rPr>
              <w:t>finansējumu 8 506 683 euro apmērā</w:t>
            </w:r>
            <w:r>
              <w:rPr>
                <w:bCs/>
              </w:rPr>
              <w:t xml:space="preserve"> novirzīt </w:t>
            </w:r>
            <w:r w:rsidR="00513B08">
              <w:t xml:space="preserve"> </w:t>
            </w:r>
            <w:r w:rsidR="00513B08" w:rsidRPr="00513B08">
              <w:rPr>
                <w:bCs/>
              </w:rPr>
              <w:t>4.2.1.2. pasākuma "Veicināt energoefektivitātes paaugstināšanu valsts ēkās"</w:t>
            </w:r>
            <w:r w:rsidR="00513B08">
              <w:rPr>
                <w:bCs/>
              </w:rPr>
              <w:t xml:space="preserve"> īstenošanai,</w:t>
            </w:r>
            <w:r w:rsidR="00513B08" w:rsidRPr="00370EB0">
              <w:rPr>
                <w:bCs/>
              </w:rPr>
              <w:t xml:space="preserve"> kur ir identificētas investīciju vajadzības. </w:t>
            </w:r>
            <w:r w:rsidR="00513B08">
              <w:rPr>
                <w:bCs/>
              </w:rPr>
              <w:t xml:space="preserve"> </w:t>
            </w:r>
          </w:p>
          <w:p w14:paraId="6E2ED6E8" w14:textId="28C4318A" w:rsidR="00370EB0" w:rsidRDefault="00370EB0" w:rsidP="00892372">
            <w:pPr>
              <w:pStyle w:val="naisc"/>
              <w:spacing w:before="0" w:after="0"/>
              <w:jc w:val="both"/>
              <w:rPr>
                <w:bCs/>
              </w:rPr>
            </w:pPr>
            <w:r w:rsidRPr="00370EB0">
              <w:rPr>
                <w:bCs/>
              </w:rPr>
              <w:t>Savukārt 4.2.1.1.pasākuma ietvaros</w:t>
            </w:r>
            <w:r w:rsidR="00513B08">
              <w:rPr>
                <w:bCs/>
              </w:rPr>
              <w:t xml:space="preserve"> snieguma rezerv</w:t>
            </w:r>
            <w:r w:rsidR="00892372">
              <w:rPr>
                <w:bCs/>
              </w:rPr>
              <w:t>i</w:t>
            </w:r>
            <w:r w:rsidRPr="00370EB0">
              <w:rPr>
                <w:bCs/>
              </w:rPr>
              <w:t xml:space="preserve"> </w:t>
            </w:r>
            <w:r w:rsidR="00513B08">
              <w:rPr>
                <w:bCs/>
              </w:rPr>
              <w:t>(</w:t>
            </w:r>
            <w:r w:rsidRPr="00370EB0">
              <w:rPr>
                <w:bCs/>
              </w:rPr>
              <w:t>ERAF un valsts budžeta summa</w:t>
            </w:r>
            <w:r w:rsidR="00513B08">
              <w:rPr>
                <w:bCs/>
              </w:rPr>
              <w:t xml:space="preserve">) </w:t>
            </w:r>
            <w:r w:rsidRPr="00370EB0">
              <w:rPr>
                <w:bCs/>
              </w:rPr>
              <w:t>13 421 594 euro</w:t>
            </w:r>
            <w:r w:rsidR="00892372">
              <w:rPr>
                <w:bCs/>
              </w:rPr>
              <w:t xml:space="preserve"> apmērā</w:t>
            </w:r>
            <w:r w:rsidR="00513B08">
              <w:rPr>
                <w:bCs/>
              </w:rPr>
              <w:t xml:space="preserve"> būtu nepieciešams </w:t>
            </w:r>
            <w:r w:rsidRPr="00370EB0">
              <w:rPr>
                <w:bCs/>
              </w:rPr>
              <w:t>izmantot</w:t>
            </w:r>
            <w:r w:rsidR="00892372">
              <w:rPr>
                <w:bCs/>
              </w:rPr>
              <w:t xml:space="preserve"> šī </w:t>
            </w:r>
            <w:r w:rsidRPr="00370EB0">
              <w:rPr>
                <w:bCs/>
              </w:rPr>
              <w:t xml:space="preserve">pasākuma </w:t>
            </w:r>
            <w:r w:rsidR="00513B08">
              <w:rPr>
                <w:bCs/>
              </w:rPr>
              <w:t>projektu īstenošanai</w:t>
            </w:r>
            <w:r w:rsidRPr="00370EB0">
              <w:rPr>
                <w:bCs/>
              </w:rPr>
              <w:t xml:space="preserve">. </w:t>
            </w:r>
            <w:r w:rsidR="00513B08">
              <w:rPr>
                <w:bCs/>
              </w:rPr>
              <w:t>Snieguma r</w:t>
            </w:r>
            <w:r w:rsidRPr="00370EB0">
              <w:rPr>
                <w:bCs/>
              </w:rPr>
              <w:t xml:space="preserve">ezerves izmantošana 4.2.1.1. pasākuma ietvaros </w:t>
            </w:r>
            <w:r>
              <w:rPr>
                <w:bCs/>
              </w:rPr>
              <w:t>ļ</w:t>
            </w:r>
            <w:r w:rsidRPr="00370EB0">
              <w:rPr>
                <w:bCs/>
              </w:rPr>
              <w:t>aus Altum pagarināt projektu iesniegšanas termiņu</w:t>
            </w:r>
            <w:r w:rsidR="00892372">
              <w:rPr>
                <w:bCs/>
              </w:rPr>
              <w:t>,</w:t>
            </w:r>
            <w:r w:rsidRPr="00370EB0">
              <w:rPr>
                <w:bCs/>
              </w:rPr>
              <w:t xml:space="preserve"> kā arī nodrošinās, ka tiek sasniegti DP noteiktie rādītāji.</w:t>
            </w:r>
          </w:p>
          <w:p w14:paraId="502B0543" w14:textId="77777777" w:rsidR="00E167F2" w:rsidRDefault="00E167F2" w:rsidP="00370EB0">
            <w:pPr>
              <w:pStyle w:val="naisc"/>
              <w:spacing w:before="0" w:after="0"/>
              <w:jc w:val="left"/>
              <w:rPr>
                <w:bCs/>
              </w:rPr>
            </w:pPr>
          </w:p>
          <w:p w14:paraId="26768924" w14:textId="03833EEE" w:rsidR="00E167F2" w:rsidRPr="00370EB0" w:rsidRDefault="00E167F2" w:rsidP="00370EB0">
            <w:pPr>
              <w:pStyle w:val="naisc"/>
              <w:spacing w:before="0" w:after="0"/>
              <w:jc w:val="left"/>
              <w:rPr>
                <w:bCs/>
              </w:rPr>
            </w:pPr>
          </w:p>
        </w:tc>
        <w:tc>
          <w:tcPr>
            <w:tcW w:w="3118" w:type="dxa"/>
            <w:tcBorders>
              <w:top w:val="single" w:sz="4" w:space="0" w:color="auto"/>
              <w:left w:val="single" w:sz="4" w:space="0" w:color="auto"/>
              <w:bottom w:val="single" w:sz="4" w:space="0" w:color="000000"/>
            </w:tcBorders>
          </w:tcPr>
          <w:p w14:paraId="2C77FDA0" w14:textId="77777777" w:rsidR="00370EB0" w:rsidRPr="00D56C33" w:rsidRDefault="00370EB0" w:rsidP="007C2656">
            <w:pPr>
              <w:jc w:val="both"/>
              <w:rPr>
                <w:b/>
              </w:rPr>
            </w:pPr>
          </w:p>
        </w:tc>
      </w:tr>
      <w:tr w:rsidR="00981263" w:rsidRPr="00CC4FF7" w14:paraId="11977955" w14:textId="77777777" w:rsidTr="00463A48">
        <w:tc>
          <w:tcPr>
            <w:tcW w:w="716" w:type="dxa"/>
            <w:tcBorders>
              <w:left w:val="single" w:sz="6" w:space="0" w:color="000000"/>
              <w:bottom w:val="single" w:sz="4" w:space="0" w:color="000000"/>
              <w:right w:val="single" w:sz="4" w:space="0" w:color="auto"/>
            </w:tcBorders>
          </w:tcPr>
          <w:p w14:paraId="3044D19A" w14:textId="77777777" w:rsidR="00981263" w:rsidRPr="00CC4FF7" w:rsidRDefault="00981263" w:rsidP="00BA11CC">
            <w:pPr>
              <w:pStyle w:val="ListParagraph"/>
              <w:numPr>
                <w:ilvl w:val="0"/>
                <w:numId w:val="1"/>
              </w:numPr>
              <w:spacing w:after="0" w:line="240" w:lineRule="auto"/>
              <w:ind w:left="357" w:hanging="357"/>
              <w:rPr>
                <w:rFonts w:ascii="Times New Roman" w:hAnsi="Times New Roman"/>
              </w:rPr>
            </w:pPr>
          </w:p>
        </w:tc>
        <w:tc>
          <w:tcPr>
            <w:tcW w:w="3086" w:type="dxa"/>
            <w:tcBorders>
              <w:top w:val="single" w:sz="4" w:space="0" w:color="auto"/>
              <w:left w:val="single" w:sz="4" w:space="0" w:color="auto"/>
              <w:bottom w:val="single" w:sz="4" w:space="0" w:color="000000"/>
              <w:right w:val="single" w:sz="4" w:space="0" w:color="auto"/>
            </w:tcBorders>
          </w:tcPr>
          <w:p w14:paraId="5B29BCA9" w14:textId="65C5C20B" w:rsidR="00981263" w:rsidRPr="00D56C33" w:rsidRDefault="00981263" w:rsidP="00BA11CC">
            <w:pPr>
              <w:pStyle w:val="naisc"/>
              <w:spacing w:before="0" w:after="0"/>
              <w:jc w:val="both"/>
              <w:rPr>
                <w:b/>
              </w:rPr>
            </w:pPr>
            <w:r w:rsidRPr="00D56C33">
              <w:rPr>
                <w:b/>
              </w:rPr>
              <w:t>Noteikumu projekts</w:t>
            </w:r>
          </w:p>
        </w:tc>
        <w:tc>
          <w:tcPr>
            <w:tcW w:w="3987" w:type="dxa"/>
            <w:tcBorders>
              <w:left w:val="single" w:sz="4" w:space="0" w:color="auto"/>
              <w:bottom w:val="single" w:sz="4" w:space="0" w:color="000000"/>
              <w:right w:val="single" w:sz="6" w:space="0" w:color="000000"/>
            </w:tcBorders>
          </w:tcPr>
          <w:p w14:paraId="05CD4441" w14:textId="233A9F1A" w:rsidR="00981263" w:rsidRPr="00D56C33" w:rsidRDefault="00981263" w:rsidP="00981263">
            <w:pPr>
              <w:pStyle w:val="naisc"/>
              <w:spacing w:before="0" w:after="0"/>
              <w:jc w:val="both"/>
              <w:rPr>
                <w:b/>
              </w:rPr>
            </w:pPr>
            <w:r w:rsidRPr="00D56C33">
              <w:rPr>
                <w:b/>
              </w:rPr>
              <w:t xml:space="preserve">Ekonomikas ministrijas </w:t>
            </w:r>
            <w:r>
              <w:rPr>
                <w:b/>
              </w:rPr>
              <w:t>0</w:t>
            </w:r>
            <w:r w:rsidR="0053536A">
              <w:rPr>
                <w:b/>
              </w:rPr>
              <w:t>5</w:t>
            </w:r>
            <w:r w:rsidRPr="00D56C33">
              <w:rPr>
                <w:b/>
              </w:rPr>
              <w:t>.0</w:t>
            </w:r>
            <w:r>
              <w:rPr>
                <w:b/>
              </w:rPr>
              <w:t>6</w:t>
            </w:r>
            <w:r w:rsidRPr="00D56C33">
              <w:rPr>
                <w:b/>
              </w:rPr>
              <w:t>.2019. priekšlikums:</w:t>
            </w:r>
          </w:p>
          <w:p w14:paraId="6B3796AE" w14:textId="39C691EC" w:rsidR="00981263" w:rsidRPr="00E613D7" w:rsidRDefault="00E613D7" w:rsidP="00631C52">
            <w:pPr>
              <w:pStyle w:val="naisc"/>
              <w:spacing w:before="0" w:after="0"/>
              <w:jc w:val="both"/>
            </w:pPr>
            <w:r w:rsidRPr="00E613D7">
              <w:t xml:space="preserve">Ņemot vērā Ekonomikas ministrijas </w:t>
            </w:r>
            <w:r w:rsidR="00090318">
              <w:t xml:space="preserve"> </w:t>
            </w:r>
            <w:r w:rsidR="00090318" w:rsidRPr="00090318">
              <w:t>24.05.2019. priekšlikum</w:t>
            </w:r>
            <w:r w:rsidR="00090318">
              <w:t xml:space="preserve">u par </w:t>
            </w:r>
            <w:r w:rsidR="00090318" w:rsidRPr="00090318">
              <w:t>10 000 000 eur</w:t>
            </w:r>
            <w:r w:rsidR="00090318">
              <w:t xml:space="preserve">o </w:t>
            </w:r>
            <w:r w:rsidR="00090318" w:rsidRPr="00090318">
              <w:t>novirzīšan</w:t>
            </w:r>
            <w:r w:rsidR="00090318">
              <w:t>u</w:t>
            </w:r>
            <w:r w:rsidR="00090318" w:rsidRPr="00090318">
              <w:t xml:space="preserve"> </w:t>
            </w:r>
            <w:r w:rsidR="0053536A" w:rsidRPr="0053536A">
              <w:t xml:space="preserve">no finanšu instrumenta uz </w:t>
            </w:r>
            <w:proofErr w:type="spellStart"/>
            <w:r w:rsidR="0053536A" w:rsidRPr="0053536A">
              <w:t>grantu</w:t>
            </w:r>
            <w:proofErr w:type="spellEnd"/>
            <w:r w:rsidR="00090318">
              <w:t xml:space="preserve">, papildus nepieciešams precizēt </w:t>
            </w:r>
            <w:r w:rsidR="00090318" w:rsidRPr="00D56C33">
              <w:t xml:space="preserve">MK noteikumu Nr. 160 </w:t>
            </w:r>
            <w:r w:rsidR="00090318" w:rsidRPr="00090318">
              <w:t>uzraudzības rādītāju sasniedzamās vērtības</w:t>
            </w:r>
            <w:r w:rsidR="006D176F">
              <w:t>.</w:t>
            </w:r>
          </w:p>
        </w:tc>
        <w:tc>
          <w:tcPr>
            <w:tcW w:w="3827" w:type="dxa"/>
            <w:tcBorders>
              <w:left w:val="single" w:sz="6" w:space="0" w:color="000000"/>
              <w:bottom w:val="single" w:sz="4" w:space="0" w:color="000000"/>
              <w:right w:val="single" w:sz="6" w:space="0" w:color="000000"/>
            </w:tcBorders>
          </w:tcPr>
          <w:p w14:paraId="4E9C71A5" w14:textId="77777777" w:rsidR="00981263" w:rsidRPr="00D56C33" w:rsidRDefault="00981263" w:rsidP="00BA11CC">
            <w:pPr>
              <w:pStyle w:val="naisc"/>
              <w:spacing w:before="0" w:after="0"/>
              <w:rPr>
                <w:b/>
              </w:rPr>
            </w:pPr>
          </w:p>
        </w:tc>
        <w:tc>
          <w:tcPr>
            <w:tcW w:w="3118" w:type="dxa"/>
            <w:tcBorders>
              <w:top w:val="single" w:sz="4" w:space="0" w:color="auto"/>
              <w:left w:val="single" w:sz="4" w:space="0" w:color="auto"/>
              <w:bottom w:val="single" w:sz="4" w:space="0" w:color="000000"/>
            </w:tcBorders>
          </w:tcPr>
          <w:p w14:paraId="5A31C94E" w14:textId="300721DB" w:rsidR="007C2656" w:rsidRPr="00D56C33" w:rsidRDefault="007C2656" w:rsidP="007C2656">
            <w:pPr>
              <w:jc w:val="both"/>
              <w:rPr>
                <w:b/>
              </w:rPr>
            </w:pPr>
            <w:r w:rsidRPr="00D56C33">
              <w:rPr>
                <w:b/>
              </w:rPr>
              <w:t xml:space="preserve">Noteikumu projekts papildināts ar </w:t>
            </w:r>
            <w:r>
              <w:rPr>
                <w:b/>
              </w:rPr>
              <w:t>3</w:t>
            </w:r>
            <w:r w:rsidRPr="00D56C33">
              <w:rPr>
                <w:b/>
              </w:rPr>
              <w:t>.punktu šādā redakcijā:</w:t>
            </w:r>
          </w:p>
          <w:p w14:paraId="22EE047B" w14:textId="5310FEB2" w:rsidR="007C2656" w:rsidRDefault="007C2656" w:rsidP="007C2656">
            <w:pPr>
              <w:jc w:val="both"/>
            </w:pPr>
            <w:r w:rsidRPr="00D56C33">
              <w:t>“</w:t>
            </w:r>
            <w:r>
              <w:t xml:space="preserve">Izteikt 5.1.5. un 5.1.6. apakšpunktu šādā redakcijā: </w:t>
            </w:r>
          </w:p>
          <w:p w14:paraId="202E98EF" w14:textId="0A6F3B39" w:rsidR="007C2656" w:rsidRDefault="00F70471" w:rsidP="007C2656">
            <w:pPr>
              <w:jc w:val="both"/>
            </w:pPr>
            <w:r>
              <w:t>“</w:t>
            </w:r>
            <w:r w:rsidR="007C2656">
              <w:t xml:space="preserve">5.1.5. vismaz 49 aizdevumi, ko sabiedrība </w:t>
            </w:r>
            <w:r>
              <w:t>“</w:t>
            </w:r>
            <w:r w:rsidR="007C2656">
              <w:t>Altum</w:t>
            </w:r>
            <w:r>
              <w:t>”</w:t>
            </w:r>
            <w:r w:rsidR="007C2656">
              <w:t xml:space="preserve"> izsniegusi ēku energoefektivitātes paaugstināšanas pasākumu īstenošanai;</w:t>
            </w:r>
          </w:p>
          <w:p w14:paraId="62C09816" w14:textId="60684841" w:rsidR="00981263" w:rsidRPr="00D56C33" w:rsidRDefault="007C2656" w:rsidP="00706B94">
            <w:pPr>
              <w:jc w:val="both"/>
              <w:rPr>
                <w:b/>
              </w:rPr>
            </w:pPr>
            <w:r>
              <w:t xml:space="preserve">5.1.6. vismaz 350 garantijas, ko sabiedrība </w:t>
            </w:r>
            <w:r w:rsidR="00F70471">
              <w:t>“</w:t>
            </w:r>
            <w:r>
              <w:t>Altum</w:t>
            </w:r>
            <w:r w:rsidR="00F70471">
              <w:t>”</w:t>
            </w:r>
            <w:r>
              <w:t xml:space="preserve"> izsniegusi, lai piesaistītu cita finansētāja finansējumu ēku energoefektivitātes paaugstināšanas pasākumu īstenošanai;</w:t>
            </w:r>
            <w:r w:rsidR="00F70471">
              <w:t>””</w:t>
            </w:r>
          </w:p>
        </w:tc>
      </w:tr>
      <w:tr w:rsidR="00571ED2" w:rsidRPr="00CC4FF7" w14:paraId="3A7C07BF" w14:textId="77777777" w:rsidTr="00463A48">
        <w:tc>
          <w:tcPr>
            <w:tcW w:w="716" w:type="dxa"/>
            <w:tcBorders>
              <w:left w:val="single" w:sz="6" w:space="0" w:color="000000"/>
              <w:bottom w:val="single" w:sz="4" w:space="0" w:color="000000"/>
              <w:right w:val="single" w:sz="4" w:space="0" w:color="auto"/>
            </w:tcBorders>
          </w:tcPr>
          <w:p w14:paraId="6325F867" w14:textId="77777777" w:rsidR="00571ED2" w:rsidRPr="00CC4FF7" w:rsidRDefault="00571ED2" w:rsidP="00BA11CC">
            <w:pPr>
              <w:pStyle w:val="ListParagraph"/>
              <w:numPr>
                <w:ilvl w:val="0"/>
                <w:numId w:val="1"/>
              </w:numPr>
              <w:spacing w:after="0" w:line="240" w:lineRule="auto"/>
              <w:ind w:left="357" w:hanging="357"/>
              <w:rPr>
                <w:rFonts w:ascii="Times New Roman" w:hAnsi="Times New Roman"/>
              </w:rPr>
            </w:pPr>
          </w:p>
        </w:tc>
        <w:tc>
          <w:tcPr>
            <w:tcW w:w="3086" w:type="dxa"/>
            <w:tcBorders>
              <w:top w:val="single" w:sz="4" w:space="0" w:color="auto"/>
              <w:left w:val="single" w:sz="4" w:space="0" w:color="auto"/>
              <w:bottom w:val="single" w:sz="4" w:space="0" w:color="000000"/>
              <w:right w:val="single" w:sz="4" w:space="0" w:color="auto"/>
            </w:tcBorders>
          </w:tcPr>
          <w:p w14:paraId="42B7769D" w14:textId="6AFBC1E6" w:rsidR="00F4063D" w:rsidRPr="00D56C33" w:rsidRDefault="00571ED2" w:rsidP="005F631F">
            <w:pPr>
              <w:jc w:val="both"/>
              <w:rPr>
                <w:b/>
              </w:rPr>
            </w:pPr>
            <w:r w:rsidRPr="00D56C33">
              <w:rPr>
                <w:b/>
              </w:rPr>
              <w:t>Noteikumu projekt</w:t>
            </w:r>
            <w:r w:rsidR="005F631F">
              <w:rPr>
                <w:b/>
              </w:rPr>
              <w:t>s</w:t>
            </w:r>
            <w:r>
              <w:rPr>
                <w:b/>
              </w:rPr>
              <w:t xml:space="preserve"> </w:t>
            </w:r>
          </w:p>
        </w:tc>
        <w:tc>
          <w:tcPr>
            <w:tcW w:w="3987" w:type="dxa"/>
            <w:tcBorders>
              <w:left w:val="single" w:sz="4" w:space="0" w:color="auto"/>
              <w:bottom w:val="single" w:sz="4" w:space="0" w:color="000000"/>
              <w:right w:val="single" w:sz="6" w:space="0" w:color="000000"/>
            </w:tcBorders>
          </w:tcPr>
          <w:p w14:paraId="6BB60ED5" w14:textId="10A08E42" w:rsidR="00571ED2" w:rsidRPr="00D56C33" w:rsidRDefault="00571ED2" w:rsidP="00571ED2">
            <w:pPr>
              <w:pStyle w:val="naisc"/>
              <w:spacing w:before="0" w:after="0"/>
              <w:jc w:val="both"/>
              <w:rPr>
                <w:b/>
              </w:rPr>
            </w:pPr>
            <w:r w:rsidRPr="00D56C33">
              <w:rPr>
                <w:b/>
              </w:rPr>
              <w:t xml:space="preserve">Finanšu ministrijas </w:t>
            </w:r>
            <w:r>
              <w:rPr>
                <w:b/>
              </w:rPr>
              <w:t>19</w:t>
            </w:r>
            <w:r w:rsidRPr="00D56C33">
              <w:rPr>
                <w:b/>
              </w:rPr>
              <w:t>.0</w:t>
            </w:r>
            <w:r>
              <w:rPr>
                <w:b/>
              </w:rPr>
              <w:t>6</w:t>
            </w:r>
            <w:r w:rsidRPr="00D56C33">
              <w:rPr>
                <w:b/>
              </w:rPr>
              <w:t xml:space="preserve">.2019. </w:t>
            </w:r>
            <w:r>
              <w:rPr>
                <w:b/>
              </w:rPr>
              <w:t>2</w:t>
            </w:r>
            <w:r w:rsidRPr="00D56C33">
              <w:rPr>
                <w:b/>
              </w:rPr>
              <w:t>.iebildums:</w:t>
            </w:r>
          </w:p>
          <w:p w14:paraId="134E2DCB" w14:textId="023E9A04" w:rsidR="00571ED2" w:rsidRPr="00571ED2" w:rsidRDefault="00571ED2" w:rsidP="00981263">
            <w:pPr>
              <w:pStyle w:val="naisc"/>
              <w:spacing w:before="0" w:after="0"/>
              <w:jc w:val="both"/>
              <w:rPr>
                <w:bCs/>
              </w:rPr>
            </w:pPr>
            <w:r w:rsidRPr="00571ED2">
              <w:rPr>
                <w:bCs/>
              </w:rPr>
              <w:t xml:space="preserve">“Anotācijas I sadaļas 2.punktā ir norādīts, ka noteikumu projekts ir izstrādāts, lai palielinātu Ministru kabineta 2016.gada 15.marta noteikumos Nr.160 “Darbības programmas “Izaugsme un nodarbinātība” 4.2.1.specifiskā atbalsta mērķa “Veicināt energoefektivitātes paaugstināšanu valsts un dzīvojamās ēkās” 4.2.1.1.specifiskā atbalsta mērķa pasākuma “Veicināt energoefektivitātes paaugstināšanu </w:t>
            </w:r>
            <w:r w:rsidRPr="00571ED2">
              <w:rPr>
                <w:bCs/>
              </w:rPr>
              <w:lastRenderedPageBreak/>
              <w:t xml:space="preserve">dzīvojamās ēkās” īstenošanas noteikumi” (turpmāk - MK noteikumi Nr. 160) noteikto </w:t>
            </w:r>
            <w:proofErr w:type="spellStart"/>
            <w:r w:rsidRPr="00571ED2">
              <w:rPr>
                <w:bCs/>
              </w:rPr>
              <w:t>granta</w:t>
            </w:r>
            <w:proofErr w:type="spellEnd"/>
            <w:r w:rsidRPr="00571ED2">
              <w:rPr>
                <w:bCs/>
              </w:rPr>
              <w:t xml:space="preserve"> apjomu, kā rezultātā tiktu nodrošināts lielāks mājsaimniecību skaits ar uzlabotu enerģijas patēriņa klasifikāciju. Turpat norādīts, ka 10 000 000 </w:t>
            </w:r>
            <w:proofErr w:type="spellStart"/>
            <w:r w:rsidRPr="00571ED2">
              <w:rPr>
                <w:bCs/>
              </w:rPr>
              <w:t>euro</w:t>
            </w:r>
            <w:proofErr w:type="spellEnd"/>
            <w:r w:rsidRPr="00571ED2">
              <w:rPr>
                <w:bCs/>
              </w:rPr>
              <w:t xml:space="preserve"> novirzīšana </w:t>
            </w:r>
            <w:proofErr w:type="spellStart"/>
            <w:r w:rsidRPr="00571ED2">
              <w:rPr>
                <w:bCs/>
              </w:rPr>
              <w:t>grantu</w:t>
            </w:r>
            <w:proofErr w:type="spellEnd"/>
            <w:r w:rsidRPr="00571ED2">
              <w:rPr>
                <w:bCs/>
              </w:rPr>
              <w:t xml:space="preserve"> instrumenta īstenošanai nodrošinās iespēju papildus sniegt </w:t>
            </w:r>
            <w:proofErr w:type="spellStart"/>
            <w:r w:rsidRPr="00571ED2">
              <w:rPr>
                <w:bCs/>
              </w:rPr>
              <w:t>grantu</w:t>
            </w:r>
            <w:proofErr w:type="spellEnd"/>
            <w:r w:rsidRPr="00571ED2">
              <w:rPr>
                <w:bCs/>
              </w:rPr>
              <w:t xml:space="preserve"> aptuveni 50 ēkām energoefektivitātes uzlabošanai. Ņemot vērā iepriekš minēto, lūdzam palielināt MK noteikumu Nr.160 5.1.1.apakšpunktā noteikto rādītāju (atbalstīto mājsaimniecību skaits).</w:t>
            </w:r>
            <w:r>
              <w:rPr>
                <w:bCs/>
              </w:rPr>
              <w:t>”</w:t>
            </w:r>
          </w:p>
        </w:tc>
        <w:tc>
          <w:tcPr>
            <w:tcW w:w="3827" w:type="dxa"/>
            <w:tcBorders>
              <w:left w:val="single" w:sz="6" w:space="0" w:color="000000"/>
              <w:bottom w:val="single" w:sz="4" w:space="0" w:color="000000"/>
              <w:right w:val="single" w:sz="6" w:space="0" w:color="000000"/>
            </w:tcBorders>
          </w:tcPr>
          <w:p w14:paraId="393F8689" w14:textId="44FDAE35" w:rsidR="00571ED2" w:rsidRPr="00D56C33" w:rsidRDefault="00571ED2" w:rsidP="00BA11CC">
            <w:pPr>
              <w:pStyle w:val="naisc"/>
              <w:spacing w:before="0" w:after="0"/>
              <w:rPr>
                <w:b/>
              </w:rPr>
            </w:pPr>
            <w:r>
              <w:rPr>
                <w:b/>
              </w:rPr>
              <w:lastRenderedPageBreak/>
              <w:t>Ņemts vērā</w:t>
            </w:r>
          </w:p>
        </w:tc>
        <w:tc>
          <w:tcPr>
            <w:tcW w:w="3118" w:type="dxa"/>
            <w:tcBorders>
              <w:top w:val="single" w:sz="4" w:space="0" w:color="auto"/>
              <w:left w:val="single" w:sz="4" w:space="0" w:color="auto"/>
              <w:bottom w:val="single" w:sz="4" w:space="0" w:color="000000"/>
            </w:tcBorders>
          </w:tcPr>
          <w:p w14:paraId="57B32921" w14:textId="77777777" w:rsidR="005F631F" w:rsidRDefault="005F631F" w:rsidP="00571ED2">
            <w:pPr>
              <w:jc w:val="both"/>
              <w:rPr>
                <w:b/>
              </w:rPr>
            </w:pPr>
            <w:r w:rsidRPr="005F631F">
              <w:rPr>
                <w:b/>
              </w:rPr>
              <w:t>Noteikumu projekts papildināts ar 3.punktu šādā redakcijā:</w:t>
            </w:r>
          </w:p>
          <w:p w14:paraId="7A74CBF7" w14:textId="42747DB1" w:rsidR="00571ED2" w:rsidRDefault="00571ED2" w:rsidP="00571ED2">
            <w:pPr>
              <w:jc w:val="both"/>
            </w:pPr>
            <w:r w:rsidRPr="00D56C33">
              <w:t>“</w:t>
            </w:r>
            <w:r>
              <w:t xml:space="preserve">Izteikt 5.1.1.apakšpunktu šādā redakcijā: </w:t>
            </w:r>
          </w:p>
          <w:p w14:paraId="03B5BEEA" w14:textId="67A1D119" w:rsidR="00571ED2" w:rsidRPr="00D56C33" w:rsidRDefault="00571ED2" w:rsidP="005F631F">
            <w:pPr>
              <w:jc w:val="both"/>
            </w:pPr>
            <w:r>
              <w:t xml:space="preserve">“5.1.1.  </w:t>
            </w:r>
            <w:r w:rsidRPr="00F80A9F">
              <w:t>līdz 2023. gada 31. decembrim – 16 186 mājsaimniecības ar uzlabotu enerģijas patēriņa klasifikāciju</w:t>
            </w:r>
            <w:r>
              <w:t>;</w:t>
            </w:r>
            <w:r w:rsidR="005F631F">
              <w:t>”;</w:t>
            </w:r>
          </w:p>
          <w:p w14:paraId="6DAFC978" w14:textId="77777777" w:rsidR="00571ED2" w:rsidRDefault="00571ED2" w:rsidP="007C2656">
            <w:pPr>
              <w:jc w:val="both"/>
              <w:rPr>
                <w:b/>
              </w:rPr>
            </w:pPr>
          </w:p>
          <w:p w14:paraId="5518FBAD" w14:textId="0BD0F868" w:rsidR="00981670" w:rsidRPr="00D56C33" w:rsidRDefault="00981670" w:rsidP="007C2656">
            <w:pPr>
              <w:jc w:val="both"/>
              <w:rPr>
                <w:b/>
              </w:rPr>
            </w:pPr>
            <w:r w:rsidRPr="00780B5D">
              <w:rPr>
                <w:b/>
              </w:rPr>
              <w:t xml:space="preserve">Precizēts Anotācijas I sadaļas “Tiesību akta projekta izstrādes </w:t>
            </w:r>
            <w:r w:rsidRPr="00780B5D">
              <w:rPr>
                <w:b/>
              </w:rPr>
              <w:lastRenderedPageBreak/>
              <w:t>nepieciešamība” 2. punkts “Pašreizējā situācija un problēmas, kuru risināšanai tiesību akta projekts izstrādāts, tiesiskā regulējuma mērķis un būtība”</w:t>
            </w:r>
            <w:r>
              <w:rPr>
                <w:b/>
              </w:rPr>
              <w:t>.</w:t>
            </w:r>
          </w:p>
        </w:tc>
      </w:tr>
      <w:tr w:rsidR="00BA11CC" w:rsidRPr="00CC4FF7" w14:paraId="36932C12" w14:textId="77777777" w:rsidTr="00463A48">
        <w:tc>
          <w:tcPr>
            <w:tcW w:w="716" w:type="dxa"/>
            <w:tcBorders>
              <w:left w:val="single" w:sz="6" w:space="0" w:color="000000"/>
              <w:bottom w:val="single" w:sz="4" w:space="0" w:color="000000"/>
              <w:right w:val="single" w:sz="4" w:space="0" w:color="auto"/>
            </w:tcBorders>
          </w:tcPr>
          <w:p w14:paraId="6057B38C" w14:textId="77777777" w:rsidR="00BA11CC" w:rsidRPr="00CC4FF7" w:rsidRDefault="00BA11CC" w:rsidP="00BA11CC">
            <w:pPr>
              <w:pStyle w:val="ListParagraph"/>
              <w:numPr>
                <w:ilvl w:val="0"/>
                <w:numId w:val="1"/>
              </w:numPr>
              <w:spacing w:after="0" w:line="240" w:lineRule="auto"/>
              <w:ind w:left="357" w:hanging="357"/>
              <w:rPr>
                <w:rFonts w:ascii="Times New Roman" w:hAnsi="Times New Roman"/>
              </w:rPr>
            </w:pPr>
          </w:p>
        </w:tc>
        <w:tc>
          <w:tcPr>
            <w:tcW w:w="3086" w:type="dxa"/>
            <w:tcBorders>
              <w:top w:val="single" w:sz="4" w:space="0" w:color="auto"/>
              <w:left w:val="single" w:sz="4" w:space="0" w:color="auto"/>
              <w:bottom w:val="single" w:sz="4" w:space="0" w:color="000000"/>
              <w:right w:val="single" w:sz="4" w:space="0" w:color="auto"/>
            </w:tcBorders>
          </w:tcPr>
          <w:p w14:paraId="3FBB683E" w14:textId="1B238D5E" w:rsidR="00BA11CC" w:rsidRPr="00D56C33" w:rsidRDefault="00BA11CC" w:rsidP="00BA11CC">
            <w:pPr>
              <w:pStyle w:val="naisc"/>
              <w:spacing w:before="0" w:after="0"/>
              <w:jc w:val="both"/>
              <w:rPr>
                <w:b/>
              </w:rPr>
            </w:pPr>
            <w:r w:rsidRPr="00D56C33">
              <w:rPr>
                <w:b/>
              </w:rPr>
              <w:t>Noteikumu projekta 3.punkts:</w:t>
            </w:r>
          </w:p>
          <w:p w14:paraId="39AA5B72" w14:textId="77777777" w:rsidR="00BA11CC" w:rsidRDefault="00BA11CC" w:rsidP="00BA11CC">
            <w:pPr>
              <w:pStyle w:val="naisc"/>
              <w:spacing w:before="0" w:after="0"/>
              <w:jc w:val="both"/>
            </w:pPr>
            <w:r w:rsidRPr="00D56C33">
              <w:t>“3.</w:t>
            </w:r>
            <w:r w:rsidRPr="00D56C33">
              <w:tab/>
              <w:t>Izteikt 9. un 10. punktu šādā redakcijā:</w:t>
            </w:r>
          </w:p>
          <w:p w14:paraId="305C1258" w14:textId="7283B8DF" w:rsidR="00837787" w:rsidRDefault="00BA11CC" w:rsidP="00BA11CC">
            <w:pPr>
              <w:pStyle w:val="naisc"/>
              <w:spacing w:before="0" w:after="0"/>
              <w:jc w:val="both"/>
            </w:pPr>
            <w:r w:rsidRPr="00D56C33">
              <w:t xml:space="preserve">"9. Pasākuma plānotais kopējais attiecināmais finansējums ir 176 470 595 euro, tai skaitā Eiropas Reģionālās attīstības fonda finansējums – 150 000 000 euro un valsts budžeta līdzfinansējums – 26 470 595 euro, paredzot iznākuma rādītāju un finanšu rādītāju plānojumu atbilstoši šo noteikumu 5. punktā minētajam apjomam. </w:t>
            </w:r>
            <w:r w:rsidRPr="00D56C33">
              <w:lastRenderedPageBreak/>
              <w:t>Maksimālais attiecināmais Eiropas Reģionālās attīstības fonda finansējuma apmērs ir 85 % no plānotā kopējā attiecināmā finansējuma, tai skaitā:</w:t>
            </w:r>
          </w:p>
          <w:p w14:paraId="5BBC6C66" w14:textId="66EECEE3" w:rsidR="00837787" w:rsidRDefault="00BA11CC" w:rsidP="00BA11CC">
            <w:pPr>
              <w:pStyle w:val="naisc"/>
              <w:spacing w:before="0" w:after="0"/>
              <w:jc w:val="both"/>
            </w:pPr>
            <w:r w:rsidRPr="00D56C33">
              <w:t xml:space="preserve">9.1. </w:t>
            </w:r>
            <w:proofErr w:type="spellStart"/>
            <w:r w:rsidRPr="00D56C33">
              <w:t>grantu</w:t>
            </w:r>
            <w:proofErr w:type="spellEnd"/>
            <w:r w:rsidRPr="00D56C33">
              <w:t xml:space="preserve"> un "</w:t>
            </w:r>
            <w:proofErr w:type="spellStart"/>
            <w:r w:rsidRPr="00D56C33">
              <w:t>Altum</w:t>
            </w:r>
            <w:proofErr w:type="spellEnd"/>
            <w:r w:rsidRPr="00D56C33">
              <w:t>" projekta vadības un īstenošanas, kā arī konsultatīvā atbalsta izmaksām plānotais kopējais attiecināmais finansējums ir 144 458 772 euro, ieskaitot Eiropas Reģionālās attīstības fonda finansējumu – 122 894 000 euro un valsts budžeta finansējumu – 21 564 772 euro;</w:t>
            </w:r>
          </w:p>
          <w:p w14:paraId="3DEDD1AB" w14:textId="4D30DF2E" w:rsidR="00837787" w:rsidRPr="00D56C33" w:rsidRDefault="00BA11CC" w:rsidP="00BA11CC">
            <w:pPr>
              <w:pStyle w:val="naisc"/>
              <w:spacing w:before="0" w:after="0"/>
              <w:jc w:val="both"/>
            </w:pPr>
            <w:r w:rsidRPr="00D56C33">
              <w:t>9.2. finanšu instrumentam, tai skaitā aizdevumu, garantiju un finanšu instrumenta pārvaldības izmaksām plānotais kopējais attiecināmais finansējums ir 32 011 823 euro, ieskaitot Eiropas Reģionālās attīstības fonda finansējumu – 27 106 000 euro un valsts budžeta līdzfinansējumu – 4 905 823 euro.</w:t>
            </w:r>
          </w:p>
          <w:p w14:paraId="08759EBC" w14:textId="6791532D" w:rsidR="00BA11CC" w:rsidRPr="00D56C33" w:rsidRDefault="00BA11CC" w:rsidP="00BA11CC">
            <w:pPr>
              <w:pStyle w:val="naisc"/>
              <w:spacing w:before="0" w:after="0"/>
              <w:jc w:val="both"/>
            </w:pPr>
            <w:r w:rsidRPr="00D56C33">
              <w:t xml:space="preserve">10. Pieejamais kopējais attiecināmais finansējums </w:t>
            </w:r>
            <w:r w:rsidRPr="00D56C33">
              <w:lastRenderedPageBreak/>
              <w:t>līgumam par projekta īstenošanu un finansēšanas nolīgumam ir 162 439 650 euro, ieskaitot Eiropas Reģionālās attīstības fonda finansējumu – 138 073 858 euro un valsts budžeta finansējumu – 24 365 792 euro, tai skaitā:</w:t>
            </w:r>
          </w:p>
          <w:p w14:paraId="68C8AFD2" w14:textId="42583E1E" w:rsidR="00BA11CC" w:rsidRPr="00D56C33" w:rsidRDefault="00BA11CC" w:rsidP="00BA11CC">
            <w:pPr>
              <w:pStyle w:val="naisc"/>
              <w:spacing w:before="0" w:after="0"/>
              <w:jc w:val="both"/>
            </w:pPr>
            <w:r w:rsidRPr="00D56C33">
              <w:t xml:space="preserve">10.1. </w:t>
            </w:r>
            <w:proofErr w:type="spellStart"/>
            <w:r w:rsidRPr="00D56C33">
              <w:t>grantu</w:t>
            </w:r>
            <w:proofErr w:type="spellEnd"/>
            <w:r w:rsidRPr="00D56C33">
              <w:t xml:space="preserve"> un "</w:t>
            </w:r>
            <w:proofErr w:type="spellStart"/>
            <w:r w:rsidRPr="00D56C33">
              <w:t>Altum</w:t>
            </w:r>
            <w:proofErr w:type="spellEnd"/>
            <w:r w:rsidRPr="00D56C33">
              <w:t>" projekta vadības un īstenošanas, kā arī konsultatīvā atbalsta izmaksām pieejamais kopējais attiecināmais finansējums ir 132 348 536 euro, ieskaitot Eiropas Reģionālās attīstības fonda finansējumu – 112 573 858 euro un valsts budžeta līdzfinansējumu – 19 774 678 euro;</w:t>
            </w:r>
          </w:p>
          <w:p w14:paraId="1F8FEDD5" w14:textId="760DF54F" w:rsidR="00BA11CC" w:rsidRPr="00D56C33" w:rsidRDefault="00BA11CC" w:rsidP="00BA11CC">
            <w:pPr>
              <w:pStyle w:val="naisc"/>
              <w:spacing w:before="0" w:after="0"/>
              <w:jc w:val="both"/>
              <w:rPr>
                <w:b/>
              </w:rPr>
            </w:pPr>
            <w:r w:rsidRPr="00D56C33">
              <w:t xml:space="preserve">10.2. finanšu instrumentam, tai skaitā aizdevumu, garantiju un finanšu instrumentu pārvaldības izmaksām pieejamais kopējais attiecināmais finansējums ir 30 091 114 euro, ieskaitot Eiropas Reģionālās attīstības fonda finansējumu – 25 500 000 </w:t>
            </w:r>
            <w:r w:rsidRPr="00D56C33">
              <w:lastRenderedPageBreak/>
              <w:t>euro un valsts budžeta finansējumu – 4 591 114 euro."</w:t>
            </w:r>
          </w:p>
        </w:tc>
        <w:tc>
          <w:tcPr>
            <w:tcW w:w="3987" w:type="dxa"/>
            <w:tcBorders>
              <w:left w:val="single" w:sz="4" w:space="0" w:color="auto"/>
              <w:bottom w:val="single" w:sz="4" w:space="0" w:color="000000"/>
              <w:right w:val="single" w:sz="6" w:space="0" w:color="000000"/>
            </w:tcBorders>
          </w:tcPr>
          <w:p w14:paraId="369711D8" w14:textId="77777777" w:rsidR="00631C52" w:rsidRPr="00D56C33" w:rsidRDefault="00631C52" w:rsidP="00631C52">
            <w:pPr>
              <w:pStyle w:val="naisc"/>
              <w:spacing w:before="0" w:after="0"/>
              <w:jc w:val="both"/>
              <w:rPr>
                <w:b/>
              </w:rPr>
            </w:pPr>
            <w:r w:rsidRPr="00D56C33">
              <w:rPr>
                <w:b/>
              </w:rPr>
              <w:lastRenderedPageBreak/>
              <w:t>Finanšu ministrijas 03.04.2019. 1.iebildums:</w:t>
            </w:r>
          </w:p>
          <w:p w14:paraId="5C945C17" w14:textId="77777777" w:rsidR="00631C52" w:rsidRDefault="00631C52" w:rsidP="00631C52">
            <w:pPr>
              <w:widowControl w:val="0"/>
              <w:tabs>
                <w:tab w:val="left" w:pos="993"/>
              </w:tabs>
              <w:ind w:right="3"/>
              <w:jc w:val="both"/>
            </w:pPr>
            <w:r w:rsidRPr="00D56C33">
              <w:t xml:space="preserve">“Ņemot vērā, ka noteikumu projekts paredz palielināt 4.2.1.1.pasākumam “Veicināt energoefektivitātes paaugstināšanu dzīvojamās ēkās” īstenošanas noteikumi” pieejamā finansējuma apmēru par to finansējuma daļu, kas iepriekš bija paredzēts ESKO kompāniju atbalstam, lūdzam atbilstoši darbības programmas “Izaugsme un nodarbinātība” tabulā Nr.2.4.5. (5) “ERAF kopējie un specifiskie iznākuma rādītāji” palielināt arī Ministru kabineta 2016.gada 15.marta noteikumos Nr.160 “Darbības programmas “Izaugsme un </w:t>
            </w:r>
            <w:r w:rsidRPr="00D56C33">
              <w:lastRenderedPageBreak/>
              <w:t xml:space="preserve">nodarbinātība” 4.2.1.specifiskā atbalsta mērķa “Veicināt energoefektivitātes paaugstināšanu valsts un dzīvojamās ēkās” 4.2.1.1.specifiskā atbalsta mērķa pasākuma “Veicināt energoefektivitātes paaugstināšanu dzīvojamās ēkās” īstenošanas noteikumi” (turpmāk – MK noteikumi Nr.160) 5.punktā noteiktos rādītājus “no atjaunojamiem energoresursiem ražotā </w:t>
            </w:r>
            <w:proofErr w:type="spellStart"/>
            <w:r w:rsidRPr="00D56C33">
              <w:t>papildjauda</w:t>
            </w:r>
            <w:proofErr w:type="spellEnd"/>
            <w:r w:rsidRPr="00D56C33">
              <w:t>” un “aprēķinātais siltumnīcefekta gāzu samazinājums gadā”. Tāpat lūdzam izvērtēt iespēju palielināt rādītāju “aizdevumi, ko sabiedrība “Altum” izsniegusi ēku energoefektivitātes paaugstināšanas pasākumu īstenošanai” un “garantijas, ko sabiedrība “Altum” izsniegusi, lai piesaistītu cita finansētāja finansējumu ēku energoefektivitātes paaugstināšanas pasākumu īstenošanai” vērtības.”</w:t>
            </w:r>
          </w:p>
          <w:p w14:paraId="3A3F8A5A" w14:textId="77777777" w:rsidR="00631C52" w:rsidRDefault="00631C52" w:rsidP="00BA11CC">
            <w:pPr>
              <w:pStyle w:val="naisc"/>
              <w:spacing w:before="0" w:after="0"/>
              <w:jc w:val="both"/>
              <w:rPr>
                <w:b/>
              </w:rPr>
            </w:pPr>
          </w:p>
          <w:p w14:paraId="00382B7C" w14:textId="429DC947" w:rsidR="00BA11CC" w:rsidRPr="00D56C33" w:rsidRDefault="00BA11CC" w:rsidP="00BA11CC">
            <w:pPr>
              <w:pStyle w:val="naisc"/>
              <w:spacing w:before="0" w:after="0"/>
              <w:jc w:val="both"/>
              <w:rPr>
                <w:b/>
              </w:rPr>
            </w:pPr>
            <w:r w:rsidRPr="00D56C33">
              <w:rPr>
                <w:b/>
              </w:rPr>
              <w:t>Finanšu ministrijas 03.04.2019. 3.iebildums:</w:t>
            </w:r>
          </w:p>
          <w:p w14:paraId="0EBC06DD" w14:textId="2BA50303" w:rsidR="00BA11CC" w:rsidRPr="00D56C33" w:rsidRDefault="00BA11CC" w:rsidP="00BA11CC">
            <w:pPr>
              <w:ind w:right="3"/>
              <w:jc w:val="both"/>
            </w:pPr>
            <w:r w:rsidRPr="00D56C33">
              <w:t xml:space="preserve">“Lūdzam samazināt noteikumu projekta trešajā punktā pieejamo valsts budžeta un kopējo finansējumu par 6 euro, nosakot valsts budžeta līdzfinansējumu 26 470 589 euro apmērā. Ievērojot ERAF līdzfinansējuma likmi 85% apmērā, </w:t>
            </w:r>
            <w:r w:rsidRPr="00D56C33">
              <w:lastRenderedPageBreak/>
              <w:t xml:space="preserve">lūdzam noteikt atbilstošu ERAF un valsts budžeta finansējuma proporciju plānotajam un pieejamajam </w:t>
            </w:r>
            <w:proofErr w:type="spellStart"/>
            <w:r w:rsidRPr="00D56C33">
              <w:t>granta</w:t>
            </w:r>
            <w:proofErr w:type="spellEnd"/>
            <w:r w:rsidRPr="00D56C33">
              <w:t xml:space="preserve"> un finanšu instrumenta finansējumam. Ņemot vērā, ka Altum maksājumu pieprasījumos ir attiecināti arī privātā finansējuma izdevumi (Valsts kases aizdevums, kas paredzēts MK noteikumu Nr.160 71.8.1.2.apakšpunktā), lūdzam izvērtēt iespēju papildināt ar šo informāciju arī MK noteikumu Nr.160 9. un 10.punktu, jo privātā finansējuma izdevumi ir deklarējami Eiropas Komisijai, līdz ar to tie rada ietekmi uz līdzfinansējuma likmēm.”</w:t>
            </w:r>
          </w:p>
          <w:p w14:paraId="3A900E56" w14:textId="77777777" w:rsidR="00BA11CC" w:rsidRDefault="00BA11CC" w:rsidP="00BA11CC">
            <w:pPr>
              <w:widowControl w:val="0"/>
              <w:tabs>
                <w:tab w:val="left" w:pos="993"/>
              </w:tabs>
              <w:ind w:right="3"/>
              <w:jc w:val="both"/>
            </w:pPr>
          </w:p>
          <w:p w14:paraId="6E0C0752" w14:textId="77777777" w:rsidR="00BA11CC" w:rsidRPr="00D56C33" w:rsidRDefault="00BA11CC" w:rsidP="00BA11CC">
            <w:pPr>
              <w:pStyle w:val="naisc"/>
              <w:spacing w:before="0" w:after="0"/>
              <w:jc w:val="both"/>
              <w:rPr>
                <w:b/>
              </w:rPr>
            </w:pPr>
            <w:r w:rsidRPr="00D56C33">
              <w:rPr>
                <w:b/>
              </w:rPr>
              <w:t>Ekonomikas ministrijas 24.05.2019. priekšlikums:</w:t>
            </w:r>
          </w:p>
          <w:p w14:paraId="5AF7DC3C" w14:textId="73E29D2D" w:rsidR="00F57CEA" w:rsidRDefault="00BA11CC" w:rsidP="00631C52">
            <w:pPr>
              <w:jc w:val="both"/>
            </w:pPr>
            <w:r w:rsidRPr="00D56C33">
              <w:t xml:space="preserve">“Šī brīža MK noteikumu Nr. 160 redakcijā noteikts, ka kopējais  attiecināmais finansējuma apmērs </w:t>
            </w:r>
            <w:proofErr w:type="spellStart"/>
            <w:r w:rsidRPr="00D56C33">
              <w:t>grantu</w:t>
            </w:r>
            <w:proofErr w:type="spellEnd"/>
            <w:r w:rsidRPr="00D56C33">
              <w:t xml:space="preserve"> un </w:t>
            </w:r>
            <w:r w:rsidR="00F57CEA">
              <w:t xml:space="preserve"> akciju sabiedrības “Attīstības finanšu institūcija Altum” (turpmāk – </w:t>
            </w:r>
            <w:r w:rsidR="00F57CEA" w:rsidRPr="00E97657">
              <w:t>Altum</w:t>
            </w:r>
            <w:r w:rsidR="00F57CEA">
              <w:t xml:space="preserve">) </w:t>
            </w:r>
            <w:r w:rsidRPr="00D56C33">
              <w:t xml:space="preserve">projekta vadības un īstenošanas, kā arī konsultatīvā atbalsta izmaksām ir 134 450 909 </w:t>
            </w:r>
            <w:r w:rsidRPr="00D56C33">
              <w:rPr>
                <w:i/>
              </w:rPr>
              <w:t>euro</w:t>
            </w:r>
            <w:r w:rsidRPr="00D56C33">
              <w:t>, ieskaitot</w:t>
            </w:r>
            <w:r w:rsidR="00631C52">
              <w:t xml:space="preserve"> ERAF</w:t>
            </w:r>
            <w:r w:rsidR="00F57CEA">
              <w:t xml:space="preserve"> finansējumu</w:t>
            </w:r>
            <w:r w:rsidRPr="00D56C33">
              <w:t xml:space="preserve"> 114 387 317 </w:t>
            </w:r>
            <w:r w:rsidRPr="00D56C33">
              <w:rPr>
                <w:i/>
              </w:rPr>
              <w:t>euro</w:t>
            </w:r>
            <w:r w:rsidRPr="00D56C33">
              <w:t xml:space="preserve"> </w:t>
            </w:r>
            <w:r w:rsidR="00F57CEA">
              <w:t xml:space="preserve"> apmērā </w:t>
            </w:r>
            <w:r w:rsidRPr="00D56C33">
              <w:t xml:space="preserve">un valsts budžeta finansējumu 20 063 592 </w:t>
            </w:r>
            <w:r w:rsidRPr="00D56C33">
              <w:rPr>
                <w:i/>
              </w:rPr>
              <w:t>euro</w:t>
            </w:r>
            <w:r w:rsidR="00F57CEA">
              <w:rPr>
                <w:i/>
              </w:rPr>
              <w:t xml:space="preserve"> apmērā</w:t>
            </w:r>
            <w:r w:rsidRPr="00D56C33">
              <w:t>.</w:t>
            </w:r>
          </w:p>
          <w:p w14:paraId="744A536A" w14:textId="2E20EF11" w:rsidR="00631C52" w:rsidRDefault="00BA11CC" w:rsidP="00631C52">
            <w:pPr>
              <w:jc w:val="both"/>
            </w:pPr>
            <w:r w:rsidRPr="00D56C33">
              <w:t xml:space="preserve">Vienlaikus kopējais attiecināmais ERAF finansējuma apmērs finanšu </w:t>
            </w:r>
            <w:r w:rsidRPr="00D56C33">
              <w:lastRenderedPageBreak/>
              <w:t xml:space="preserve">instrumentam, tai skaitā aizdevumu, garantiju un finanšu instrumenta pārvaldības izmaksām ir 32 011 823 </w:t>
            </w:r>
            <w:r w:rsidRPr="00D56C33">
              <w:rPr>
                <w:i/>
              </w:rPr>
              <w:t>euro</w:t>
            </w:r>
            <w:r w:rsidR="00F57CEA">
              <w:t xml:space="preserve"> (</w:t>
            </w:r>
            <w:r w:rsidR="00631C52">
              <w:t>ERAF</w:t>
            </w:r>
            <w:r w:rsidRPr="00D56C33">
              <w:t xml:space="preserve"> finansējum</w:t>
            </w:r>
            <w:r w:rsidR="00F57CEA">
              <w:t>s</w:t>
            </w:r>
            <w:r w:rsidRPr="00D56C33">
              <w:t xml:space="preserve"> 27 106 000 </w:t>
            </w:r>
            <w:r w:rsidRPr="00D56C33">
              <w:rPr>
                <w:i/>
              </w:rPr>
              <w:t>euro</w:t>
            </w:r>
            <w:r w:rsidRPr="00D56C33">
              <w:t xml:space="preserve"> un valsts budžeta līdzfinansējum</w:t>
            </w:r>
            <w:r w:rsidR="00F57CEA">
              <w:t xml:space="preserve">s </w:t>
            </w:r>
            <w:r w:rsidRPr="00D56C33">
              <w:t xml:space="preserve">4 905 823 </w:t>
            </w:r>
            <w:r w:rsidRPr="00D56C33">
              <w:rPr>
                <w:i/>
              </w:rPr>
              <w:t>euro</w:t>
            </w:r>
            <w:r w:rsidR="00F57CEA">
              <w:rPr>
                <w:i/>
              </w:rPr>
              <w:t>)</w:t>
            </w:r>
            <w:r w:rsidRPr="00D56C33">
              <w:t xml:space="preserve">, kas nozīmē, ka proporcija starp finansējuma apmēru </w:t>
            </w:r>
            <w:proofErr w:type="spellStart"/>
            <w:r w:rsidRPr="00D56C33">
              <w:t>grantu</w:t>
            </w:r>
            <w:proofErr w:type="spellEnd"/>
            <w:r w:rsidRPr="00D56C33">
              <w:t xml:space="preserve"> un finanšu instrumenta atbalstam attiecīgi ir 80,77%  un 19,23% no kopējā attiecināmā finansējuma.</w:t>
            </w:r>
          </w:p>
          <w:p w14:paraId="12040109" w14:textId="48ABCE3D" w:rsidR="00316221" w:rsidRPr="00980AD5" w:rsidRDefault="00316221" w:rsidP="00316221">
            <w:pPr>
              <w:ind w:firstLine="540"/>
              <w:jc w:val="both"/>
            </w:pPr>
            <w:r>
              <w:t xml:space="preserve">Informējam, ka līdz 2019.gada 23.maijam </w:t>
            </w:r>
            <w:r w:rsidRPr="00980AD5">
              <w:t xml:space="preserve">Altum </w:t>
            </w:r>
            <w:r>
              <w:t>d</w:t>
            </w:r>
            <w:r w:rsidRPr="00626E3D">
              <w:t>arbības programmas "Izaugsme un nodarbinātība" 4.2.1. specifiskā atbalsta mērķa "Veicināt energoefektivitātes paaugstināšanu valsts un dzīvojamās ēkās" 4.2.1.1. specifiskā atbalsta mērķa pasākuma "Veicināt energoefektivitātes paaugstināšanu dzīvojamās ēkās"</w:t>
            </w:r>
            <w:r>
              <w:t xml:space="preserve"> (turpmāk – 4.2.1.1. pasākums)</w:t>
            </w:r>
            <w:r w:rsidRPr="00626E3D">
              <w:t xml:space="preserve"> </w:t>
            </w:r>
            <w:r>
              <w:t xml:space="preserve">ietvaros </w:t>
            </w:r>
            <w:r w:rsidRPr="00980AD5">
              <w:t>ir apstiprināj</w:t>
            </w:r>
            <w:r>
              <w:t>usi</w:t>
            </w:r>
            <w:r w:rsidRPr="00980AD5">
              <w:t xml:space="preserve"> 16 aizdevumus 3</w:t>
            </w:r>
            <w:r>
              <w:t>,</w:t>
            </w:r>
            <w:r w:rsidRPr="00980AD5">
              <w:t xml:space="preserve">09 milj. </w:t>
            </w:r>
            <w:r w:rsidRPr="00EF59F1">
              <w:rPr>
                <w:i/>
              </w:rPr>
              <w:t>euro</w:t>
            </w:r>
            <w:r>
              <w:rPr>
                <w:i/>
              </w:rPr>
              <w:t xml:space="preserve"> </w:t>
            </w:r>
            <w:r w:rsidRPr="00EF59F1">
              <w:t>apmērā</w:t>
            </w:r>
            <w:r w:rsidRPr="00980AD5">
              <w:t xml:space="preserve"> un izsnie</w:t>
            </w:r>
            <w:r>
              <w:t>gusi</w:t>
            </w:r>
            <w:r w:rsidRPr="00980AD5">
              <w:t xml:space="preserve"> 111 garantijas 18</w:t>
            </w:r>
            <w:r>
              <w:t>,</w:t>
            </w:r>
            <w:r w:rsidRPr="00980AD5">
              <w:t xml:space="preserve">20 milj. </w:t>
            </w:r>
            <w:r w:rsidRPr="00EF59F1">
              <w:rPr>
                <w:i/>
              </w:rPr>
              <w:t>euro</w:t>
            </w:r>
            <w:r>
              <w:t xml:space="preserve"> apmērā. </w:t>
            </w:r>
            <w:r w:rsidRPr="00980AD5">
              <w:t xml:space="preserve"> </w:t>
            </w:r>
            <w:r>
              <w:t>Tika secināts, ka a</w:t>
            </w:r>
            <w:r w:rsidRPr="00980AD5">
              <w:t>izdevumus izmanto 10</w:t>
            </w:r>
            <w:r>
              <w:t>,</w:t>
            </w:r>
            <w:r w:rsidRPr="00980AD5">
              <w:t xml:space="preserve">3% no </w:t>
            </w:r>
            <w:proofErr w:type="spellStart"/>
            <w:r w:rsidRPr="00980AD5">
              <w:t>Altum</w:t>
            </w:r>
            <w:proofErr w:type="spellEnd"/>
            <w:r w:rsidRPr="00980AD5">
              <w:t xml:space="preserve"> apstiprinātajiem </w:t>
            </w:r>
            <w:proofErr w:type="spellStart"/>
            <w:r w:rsidRPr="00980AD5">
              <w:t>grantu</w:t>
            </w:r>
            <w:proofErr w:type="spellEnd"/>
            <w:r w:rsidRPr="00980AD5">
              <w:t xml:space="preserve"> saņēmējiem un garantijas </w:t>
            </w:r>
            <w:r>
              <w:t>–</w:t>
            </w:r>
            <w:r w:rsidRPr="00980AD5">
              <w:t xml:space="preserve"> 71</w:t>
            </w:r>
            <w:r>
              <w:t>,</w:t>
            </w:r>
            <w:r w:rsidRPr="00980AD5">
              <w:t xml:space="preserve">2%. Kopējais rezervētais finansējums finanšu instrumenta </w:t>
            </w:r>
            <w:r>
              <w:t>atbalstam</w:t>
            </w:r>
            <w:r w:rsidRPr="00980AD5">
              <w:t xml:space="preserve"> </w:t>
            </w:r>
            <w:r>
              <w:t xml:space="preserve">uz 2019.gada </w:t>
            </w:r>
            <w:r w:rsidRPr="00980AD5">
              <w:t>23.</w:t>
            </w:r>
            <w:r>
              <w:t>maiju</w:t>
            </w:r>
            <w:r w:rsidRPr="00980AD5">
              <w:t xml:space="preserve"> sasniedza 4 milj. </w:t>
            </w:r>
            <w:r w:rsidRPr="00EF59F1">
              <w:rPr>
                <w:i/>
              </w:rPr>
              <w:t>euro</w:t>
            </w:r>
            <w:r w:rsidRPr="00980AD5">
              <w:t xml:space="preserve">. Altum </w:t>
            </w:r>
            <w:r w:rsidRPr="00980AD5">
              <w:lastRenderedPageBreak/>
              <w:t>prognozē, ka saglabājoties pašreizējam pieprasījumam</w:t>
            </w:r>
            <w:r>
              <w:t>,</w:t>
            </w:r>
            <w:r w:rsidRPr="00980AD5">
              <w:t xml:space="preserve"> līdz 4.2.1.1. pasākuma</w:t>
            </w:r>
            <w:r>
              <w:t xml:space="preserve"> atbalsta sniegšanas</w:t>
            </w:r>
            <w:r w:rsidRPr="00980AD5">
              <w:t xml:space="preserve"> beigām</w:t>
            </w:r>
            <w:r>
              <w:t>,</w:t>
            </w:r>
            <w:r w:rsidRPr="00980AD5">
              <w:t xml:space="preserve"> finanšu instrumenta </w:t>
            </w:r>
            <w:r>
              <w:t>īstenošanai</w:t>
            </w:r>
            <w:r w:rsidRPr="00980AD5">
              <w:t xml:space="preserve"> izmantotā publiskā finansējuma apjoms sasniegs </w:t>
            </w:r>
            <w:r w:rsidR="00BF6C17">
              <w:t>20</w:t>
            </w:r>
            <w:r w:rsidRPr="00980AD5">
              <w:t xml:space="preserve"> 091 114 </w:t>
            </w:r>
            <w:r w:rsidRPr="00D660F0">
              <w:rPr>
                <w:i/>
              </w:rPr>
              <w:t>euro</w:t>
            </w:r>
            <w:r>
              <w:t xml:space="preserve">, kas ir aptuveni </w:t>
            </w:r>
            <w:r w:rsidR="00BF6C17">
              <w:t>par trešdaļu</w:t>
            </w:r>
            <w:r>
              <w:t xml:space="preserve"> mazāk kā šobrīd plānots un norādīts MK noteikumos Nr. 160. Līdz ar to, lai nodrošinātu pēc iespējas lielāku skaitu daudzdzīvokļu ēku atjaunošanu, nepieciešams pārdalīt daļu finansējuma no </w:t>
            </w:r>
            <w:r w:rsidRPr="0018344B">
              <w:t>finanšu instrumenta</w:t>
            </w:r>
            <w:r>
              <w:t xml:space="preserve"> uz </w:t>
            </w:r>
            <w:proofErr w:type="spellStart"/>
            <w:r>
              <w:t>grantu</w:t>
            </w:r>
            <w:proofErr w:type="spellEnd"/>
            <w:r>
              <w:t>.</w:t>
            </w:r>
          </w:p>
          <w:p w14:paraId="7B184CF4" w14:textId="4D76B8A5" w:rsidR="00BA11CC" w:rsidRPr="00D56C33" w:rsidRDefault="00316221" w:rsidP="00837787">
            <w:pPr>
              <w:pStyle w:val="naisc"/>
              <w:spacing w:before="0" w:after="0"/>
              <w:jc w:val="both"/>
            </w:pPr>
            <w:r>
              <w:t xml:space="preserve">Ņemot vērā, ka uz 2019.gada </w:t>
            </w:r>
            <w:r w:rsidRPr="00980AD5">
              <w:t>23.</w:t>
            </w:r>
            <w:r>
              <w:t>maiju</w:t>
            </w:r>
            <w:r w:rsidRPr="00980AD5">
              <w:t xml:space="preserve"> Altum ir iesniegti 525 projekti par 94 milj. </w:t>
            </w:r>
            <w:r w:rsidRPr="00D660F0">
              <w:rPr>
                <w:i/>
              </w:rPr>
              <w:t>euro</w:t>
            </w:r>
            <w:r>
              <w:rPr>
                <w:i/>
              </w:rPr>
              <w:t xml:space="preserve"> </w:t>
            </w:r>
            <w:r w:rsidRPr="00947A66">
              <w:t>(grant</w:t>
            </w:r>
            <w:r>
              <w:t>s</w:t>
            </w:r>
            <w:r w:rsidRPr="00947A66">
              <w:t>), kas</w:t>
            </w:r>
            <w:r w:rsidRPr="00980AD5">
              <w:t xml:space="preserve"> </w:t>
            </w:r>
            <w:r>
              <w:t>rezervē</w:t>
            </w:r>
            <w:r w:rsidRPr="00980AD5">
              <w:t xml:space="preserve"> 80% no </w:t>
            </w:r>
            <w:proofErr w:type="spellStart"/>
            <w:r w:rsidRPr="00980AD5">
              <w:t>grantiem</w:t>
            </w:r>
            <w:proofErr w:type="spellEnd"/>
            <w:r w:rsidRPr="00980AD5">
              <w:t xml:space="preserve"> pieejamā finansējuma</w:t>
            </w:r>
            <w:r>
              <w:t xml:space="preserve">, </w:t>
            </w:r>
            <w:r w:rsidRPr="00980AD5">
              <w:t>1</w:t>
            </w:r>
            <w:r w:rsidR="00BF6C17">
              <w:t>0</w:t>
            </w:r>
            <w:r w:rsidRPr="00980AD5">
              <w:t xml:space="preserve"> 000 000 </w:t>
            </w:r>
            <w:proofErr w:type="spellStart"/>
            <w:r w:rsidRPr="00D660F0">
              <w:rPr>
                <w:i/>
              </w:rPr>
              <w:t>euro</w:t>
            </w:r>
            <w:proofErr w:type="spellEnd"/>
            <w:r w:rsidRPr="00980AD5">
              <w:t xml:space="preserve"> novirzī</w:t>
            </w:r>
            <w:r>
              <w:t>šana</w:t>
            </w:r>
            <w:r w:rsidRPr="00980AD5">
              <w:t xml:space="preserve"> </w:t>
            </w:r>
            <w:proofErr w:type="spellStart"/>
            <w:r w:rsidRPr="00980AD5">
              <w:t>grantu</w:t>
            </w:r>
            <w:proofErr w:type="spellEnd"/>
            <w:r w:rsidRPr="00980AD5">
              <w:t xml:space="preserve"> instrumenta </w:t>
            </w:r>
            <w:r>
              <w:t>īstenošanai</w:t>
            </w:r>
            <w:r w:rsidRPr="00980AD5" w:rsidDel="00473FEC">
              <w:t xml:space="preserve"> </w:t>
            </w:r>
            <w:r w:rsidRPr="00980AD5">
              <w:t xml:space="preserve">nodrošinās iespēju papildus sniegt </w:t>
            </w:r>
            <w:proofErr w:type="spellStart"/>
            <w:r>
              <w:t>grantu</w:t>
            </w:r>
            <w:proofErr w:type="spellEnd"/>
            <w:r w:rsidRPr="00980AD5">
              <w:t xml:space="preserve"> </w:t>
            </w:r>
            <w:r>
              <w:t xml:space="preserve">aptuveni </w:t>
            </w:r>
            <w:r w:rsidR="00BF6C17">
              <w:t>5</w:t>
            </w:r>
            <w:r w:rsidRPr="00980AD5">
              <w:t xml:space="preserve">0 </w:t>
            </w:r>
            <w:r>
              <w:t xml:space="preserve">ēkām </w:t>
            </w:r>
            <w:r w:rsidRPr="00980AD5">
              <w:t>energoefektivitātes uzlabošana</w:t>
            </w:r>
            <w:r>
              <w:t>i.</w:t>
            </w:r>
          </w:p>
        </w:tc>
        <w:tc>
          <w:tcPr>
            <w:tcW w:w="3827" w:type="dxa"/>
            <w:tcBorders>
              <w:left w:val="single" w:sz="6" w:space="0" w:color="000000"/>
              <w:bottom w:val="single" w:sz="4" w:space="0" w:color="000000"/>
              <w:right w:val="single" w:sz="6" w:space="0" w:color="000000"/>
            </w:tcBorders>
          </w:tcPr>
          <w:p w14:paraId="27E6BB85" w14:textId="59B4AC84" w:rsidR="00BA11CC" w:rsidRPr="00D56C33" w:rsidRDefault="00BA11CC" w:rsidP="00BA11CC">
            <w:pPr>
              <w:pStyle w:val="naisc"/>
              <w:spacing w:before="0" w:after="0"/>
              <w:rPr>
                <w:b/>
              </w:rPr>
            </w:pPr>
            <w:r w:rsidRPr="00D56C33">
              <w:rPr>
                <w:b/>
              </w:rPr>
              <w:lastRenderedPageBreak/>
              <w:t>Netiek ņemts vērā</w:t>
            </w:r>
          </w:p>
          <w:p w14:paraId="37843648" w14:textId="1EBF9FC7" w:rsidR="00BA11CC" w:rsidRDefault="00BA11CC" w:rsidP="00BA11CC">
            <w:pPr>
              <w:pStyle w:val="naisc"/>
              <w:spacing w:before="0" w:after="0"/>
              <w:jc w:val="both"/>
            </w:pPr>
            <w:r w:rsidRPr="00463A48">
              <w:t xml:space="preserve">Ņemot vērā, ka Ekonomikas ministrijas priekšlikums pārdalīt ESKO kompānijām paredzēto finansējumu tiek atsaukts, </w:t>
            </w:r>
            <w:r w:rsidR="00631C52">
              <w:t xml:space="preserve">Finanšu ministrijas </w:t>
            </w:r>
            <w:r w:rsidRPr="00463A48">
              <w:t>izteikt</w:t>
            </w:r>
            <w:r w:rsidR="00631C52">
              <w:t>ais 1. un 3.</w:t>
            </w:r>
            <w:r w:rsidRPr="00463A48">
              <w:t xml:space="preserve"> iebildum</w:t>
            </w:r>
            <w:r w:rsidR="00631C52">
              <w:t>s</w:t>
            </w:r>
            <w:r w:rsidRPr="00463A48">
              <w:t xml:space="preserve"> vairs nav aktuāls</w:t>
            </w:r>
            <w:r w:rsidR="00631C52">
              <w:t>.</w:t>
            </w:r>
          </w:p>
          <w:p w14:paraId="72347EF8" w14:textId="77777777" w:rsidR="00BA11CC" w:rsidRDefault="00BA11CC" w:rsidP="00BA11CC">
            <w:pPr>
              <w:pStyle w:val="naisc"/>
              <w:spacing w:before="0" w:after="0"/>
              <w:jc w:val="both"/>
            </w:pPr>
          </w:p>
          <w:p w14:paraId="64A4D866" w14:textId="6BF599CA" w:rsidR="00BA11CC" w:rsidRDefault="00BA11CC" w:rsidP="00BA11CC">
            <w:pPr>
              <w:pStyle w:val="naisc"/>
              <w:spacing w:before="0" w:after="0"/>
              <w:jc w:val="both"/>
              <w:rPr>
                <w:b/>
              </w:rPr>
            </w:pPr>
          </w:p>
          <w:p w14:paraId="4819CCA6" w14:textId="20CCD64C" w:rsidR="00BA11CC" w:rsidRDefault="00BA11CC" w:rsidP="00BA11CC">
            <w:pPr>
              <w:pStyle w:val="naisc"/>
              <w:spacing w:before="0" w:after="0"/>
              <w:jc w:val="both"/>
              <w:rPr>
                <w:b/>
              </w:rPr>
            </w:pPr>
          </w:p>
          <w:p w14:paraId="6D45DADA" w14:textId="2BE9D4B5" w:rsidR="00BA11CC" w:rsidRDefault="00BA11CC" w:rsidP="00BA11CC">
            <w:pPr>
              <w:pStyle w:val="naisc"/>
              <w:spacing w:before="0" w:after="0"/>
              <w:jc w:val="both"/>
              <w:rPr>
                <w:b/>
              </w:rPr>
            </w:pPr>
          </w:p>
          <w:p w14:paraId="4491F2CE" w14:textId="2E1C9484" w:rsidR="00BA11CC" w:rsidRDefault="00BA11CC" w:rsidP="00BA11CC">
            <w:pPr>
              <w:pStyle w:val="naisc"/>
              <w:spacing w:before="0" w:after="0"/>
              <w:jc w:val="both"/>
              <w:rPr>
                <w:b/>
              </w:rPr>
            </w:pPr>
          </w:p>
          <w:p w14:paraId="197A50F7" w14:textId="0480D260" w:rsidR="00BA11CC" w:rsidRDefault="00BA11CC" w:rsidP="00BA11CC">
            <w:pPr>
              <w:pStyle w:val="naisc"/>
              <w:spacing w:before="0" w:after="0"/>
              <w:jc w:val="both"/>
              <w:rPr>
                <w:b/>
              </w:rPr>
            </w:pPr>
          </w:p>
          <w:p w14:paraId="5D135AA8" w14:textId="4A89B832" w:rsidR="00BA11CC" w:rsidRDefault="00BA11CC" w:rsidP="00BA11CC">
            <w:pPr>
              <w:pStyle w:val="naisc"/>
              <w:spacing w:before="0" w:after="0"/>
              <w:jc w:val="both"/>
              <w:rPr>
                <w:b/>
              </w:rPr>
            </w:pPr>
          </w:p>
          <w:p w14:paraId="206C35DA" w14:textId="725A9DF2" w:rsidR="00BA11CC" w:rsidRDefault="00BA11CC" w:rsidP="00BA11CC">
            <w:pPr>
              <w:pStyle w:val="naisc"/>
              <w:spacing w:before="0" w:after="0"/>
              <w:jc w:val="both"/>
              <w:rPr>
                <w:b/>
              </w:rPr>
            </w:pPr>
          </w:p>
          <w:p w14:paraId="196A3E22" w14:textId="77777777" w:rsidR="00BA11CC" w:rsidRDefault="00BA11CC" w:rsidP="00BA11CC">
            <w:pPr>
              <w:pStyle w:val="naisc"/>
              <w:spacing w:before="0" w:after="0"/>
              <w:jc w:val="both"/>
              <w:rPr>
                <w:b/>
              </w:rPr>
            </w:pPr>
          </w:p>
          <w:p w14:paraId="03C62471" w14:textId="77777777" w:rsidR="00BA11CC" w:rsidRDefault="00BA11CC" w:rsidP="00BA11CC">
            <w:pPr>
              <w:pStyle w:val="naisc"/>
              <w:spacing w:before="0" w:after="0"/>
              <w:jc w:val="both"/>
              <w:rPr>
                <w:b/>
              </w:rPr>
            </w:pPr>
          </w:p>
          <w:p w14:paraId="7A644BF7" w14:textId="77777777" w:rsidR="00BA11CC" w:rsidRDefault="00BA11CC" w:rsidP="00BA11CC">
            <w:pPr>
              <w:pStyle w:val="naisc"/>
              <w:spacing w:before="0" w:after="0"/>
              <w:rPr>
                <w:b/>
              </w:rPr>
            </w:pPr>
          </w:p>
          <w:p w14:paraId="7E37073F" w14:textId="77777777" w:rsidR="00BA11CC" w:rsidRDefault="00BA11CC" w:rsidP="00BA11CC">
            <w:pPr>
              <w:pStyle w:val="naisc"/>
              <w:spacing w:before="0" w:after="0"/>
              <w:rPr>
                <w:b/>
              </w:rPr>
            </w:pPr>
          </w:p>
          <w:p w14:paraId="372F2931" w14:textId="77777777" w:rsidR="00BA11CC" w:rsidRDefault="00BA11CC" w:rsidP="00BA11CC">
            <w:pPr>
              <w:pStyle w:val="naisc"/>
              <w:spacing w:before="0" w:after="0"/>
              <w:rPr>
                <w:b/>
              </w:rPr>
            </w:pPr>
          </w:p>
          <w:p w14:paraId="2D1BC29B" w14:textId="77777777" w:rsidR="00BA11CC" w:rsidRDefault="00BA11CC" w:rsidP="00BA11CC">
            <w:pPr>
              <w:pStyle w:val="naisc"/>
              <w:spacing w:before="0" w:after="0"/>
              <w:rPr>
                <w:b/>
              </w:rPr>
            </w:pPr>
          </w:p>
          <w:p w14:paraId="76035DD0" w14:textId="77777777" w:rsidR="00BA11CC" w:rsidRDefault="00BA11CC" w:rsidP="00BA11CC">
            <w:pPr>
              <w:pStyle w:val="naisc"/>
              <w:spacing w:before="0" w:after="0"/>
              <w:rPr>
                <w:b/>
              </w:rPr>
            </w:pPr>
          </w:p>
          <w:p w14:paraId="10E4A95E" w14:textId="77777777" w:rsidR="00BA11CC" w:rsidRDefault="00BA11CC" w:rsidP="00BA11CC">
            <w:pPr>
              <w:pStyle w:val="naisc"/>
              <w:spacing w:before="0" w:after="0"/>
              <w:rPr>
                <w:b/>
              </w:rPr>
            </w:pPr>
          </w:p>
          <w:p w14:paraId="1B7BE559" w14:textId="77777777" w:rsidR="00BA11CC" w:rsidRDefault="00BA11CC" w:rsidP="00BA11CC">
            <w:pPr>
              <w:pStyle w:val="naisc"/>
              <w:spacing w:before="0" w:after="0"/>
              <w:rPr>
                <w:b/>
              </w:rPr>
            </w:pPr>
          </w:p>
          <w:p w14:paraId="3A5A1156" w14:textId="77777777" w:rsidR="00BA11CC" w:rsidRDefault="00BA11CC" w:rsidP="00BA11CC">
            <w:pPr>
              <w:pStyle w:val="naisc"/>
              <w:spacing w:before="0" w:after="0"/>
              <w:rPr>
                <w:b/>
              </w:rPr>
            </w:pPr>
          </w:p>
          <w:p w14:paraId="40801E8C" w14:textId="77777777" w:rsidR="00BA11CC" w:rsidRDefault="00BA11CC" w:rsidP="00BA11CC">
            <w:pPr>
              <w:pStyle w:val="naisc"/>
              <w:spacing w:before="0" w:after="0"/>
              <w:rPr>
                <w:b/>
              </w:rPr>
            </w:pPr>
          </w:p>
          <w:p w14:paraId="221A2814" w14:textId="230EA469" w:rsidR="00BA11CC" w:rsidRPr="00D56C33" w:rsidRDefault="00BA11CC" w:rsidP="00463A48">
            <w:pPr>
              <w:pStyle w:val="naisc"/>
              <w:spacing w:before="0" w:after="0"/>
              <w:jc w:val="both"/>
              <w:rPr>
                <w:b/>
              </w:rPr>
            </w:pPr>
          </w:p>
        </w:tc>
        <w:tc>
          <w:tcPr>
            <w:tcW w:w="3118" w:type="dxa"/>
            <w:tcBorders>
              <w:top w:val="single" w:sz="4" w:space="0" w:color="auto"/>
              <w:left w:val="single" w:sz="4" w:space="0" w:color="auto"/>
              <w:bottom w:val="single" w:sz="4" w:space="0" w:color="000000"/>
            </w:tcBorders>
          </w:tcPr>
          <w:p w14:paraId="3F578518" w14:textId="1CAAA8A0" w:rsidR="00BA11CC" w:rsidRPr="00D56C33" w:rsidRDefault="00BA11CC" w:rsidP="00BA11CC">
            <w:pPr>
              <w:jc w:val="both"/>
              <w:rPr>
                <w:b/>
              </w:rPr>
            </w:pPr>
            <w:r w:rsidRPr="00D56C33">
              <w:rPr>
                <w:b/>
              </w:rPr>
              <w:lastRenderedPageBreak/>
              <w:t xml:space="preserve">Noteikumu projekta </w:t>
            </w:r>
            <w:r w:rsidR="007C2656">
              <w:rPr>
                <w:b/>
              </w:rPr>
              <w:t>4</w:t>
            </w:r>
            <w:r w:rsidRPr="00D56C33">
              <w:rPr>
                <w:b/>
              </w:rPr>
              <w:t>.punkts izteikts šādā redakcijā:</w:t>
            </w:r>
          </w:p>
          <w:p w14:paraId="1B99B9E5" w14:textId="77777777" w:rsidR="00BA11CC" w:rsidRPr="00D56C33" w:rsidRDefault="00BA11CC" w:rsidP="00BA11CC">
            <w:pPr>
              <w:jc w:val="both"/>
            </w:pPr>
            <w:r w:rsidRPr="00D56C33">
              <w:t>“Izteikt 9. un 10. punktu šādā redakcijā:</w:t>
            </w:r>
          </w:p>
          <w:p w14:paraId="737D474D" w14:textId="6DA8B710" w:rsidR="00BA11CC" w:rsidRPr="00D56C33" w:rsidRDefault="00BA11CC" w:rsidP="00463A48">
            <w:pPr>
              <w:jc w:val="both"/>
              <w:rPr>
                <w:shd w:val="clear" w:color="auto" w:fill="FFFFFF"/>
              </w:rPr>
            </w:pPr>
            <w:r w:rsidRPr="00D56C33">
              <w:t>“</w:t>
            </w:r>
            <w:r w:rsidRPr="00D56C33">
              <w:rPr>
                <w:shd w:val="clear" w:color="auto" w:fill="FFFFFF"/>
              </w:rPr>
              <w:t>9. Pasākuma plānotais kopējais attiecināmais finansējums ir 166 462 732 </w:t>
            </w:r>
            <w:r w:rsidRPr="00D56C33">
              <w:rPr>
                <w:i/>
                <w:shd w:val="clear" w:color="auto" w:fill="FFFFFF"/>
              </w:rPr>
              <w:t>euro</w:t>
            </w:r>
            <w:r w:rsidRPr="00D56C33">
              <w:rPr>
                <w:shd w:val="clear" w:color="auto" w:fill="FFFFFF"/>
              </w:rPr>
              <w:t>, tai skaitā Eiropas Reģionālās attīstības fonda finansējums – 141 493 317 </w:t>
            </w:r>
            <w:r w:rsidRPr="00D56C33">
              <w:rPr>
                <w:i/>
                <w:shd w:val="clear" w:color="auto" w:fill="FFFFFF"/>
              </w:rPr>
              <w:t>euro</w:t>
            </w:r>
            <w:r w:rsidRPr="00D56C33">
              <w:rPr>
                <w:shd w:val="clear" w:color="auto" w:fill="FFFFFF"/>
              </w:rPr>
              <w:t xml:space="preserve"> un valsts budžeta līdzfinansējums – 24 969 415 </w:t>
            </w:r>
            <w:r w:rsidRPr="00D56C33">
              <w:rPr>
                <w:i/>
                <w:shd w:val="clear" w:color="auto" w:fill="FFFFFF"/>
              </w:rPr>
              <w:t>euro</w:t>
            </w:r>
            <w:r w:rsidRPr="00D56C33">
              <w:rPr>
                <w:shd w:val="clear" w:color="auto" w:fill="FFFFFF"/>
              </w:rPr>
              <w:t>, paredzot iznākuma rādītāju un finanšu rādītāju plānojumu atbilstoši šo noteikumu </w:t>
            </w:r>
            <w:r w:rsidR="00101C70">
              <w:t>5. </w:t>
            </w:r>
            <w:r w:rsidRPr="00D56C33">
              <w:rPr>
                <w:shd w:val="clear" w:color="auto" w:fill="FFFFFF"/>
              </w:rPr>
              <w:t xml:space="preserve">punktā </w:t>
            </w:r>
            <w:r w:rsidRPr="00D56C33">
              <w:rPr>
                <w:shd w:val="clear" w:color="auto" w:fill="FFFFFF"/>
              </w:rPr>
              <w:lastRenderedPageBreak/>
              <w:t>minētajam apjomam. Maksimālais attiecināmais Eiropas Reģionālās attīstības fonda finansējuma apmērs ir 85 % no plānotā kopējā attiecināmā finansējuma, tai skaitā:</w:t>
            </w:r>
          </w:p>
          <w:p w14:paraId="28254F42" w14:textId="66B0326A" w:rsidR="00BA11CC" w:rsidRPr="00D56C33" w:rsidRDefault="00BA11CC" w:rsidP="00463A48">
            <w:pPr>
              <w:jc w:val="both"/>
              <w:rPr>
                <w:shd w:val="clear" w:color="auto" w:fill="FFFFFF"/>
              </w:rPr>
            </w:pPr>
            <w:r w:rsidRPr="00D56C33">
              <w:rPr>
                <w:shd w:val="clear" w:color="auto" w:fill="FFFFFF"/>
              </w:rPr>
              <w:t>9.1. </w:t>
            </w:r>
            <w:proofErr w:type="spellStart"/>
            <w:r w:rsidRPr="00D56C33">
              <w:rPr>
                <w:shd w:val="clear" w:color="auto" w:fill="FFFFFF"/>
              </w:rPr>
              <w:t>grantu</w:t>
            </w:r>
            <w:proofErr w:type="spellEnd"/>
            <w:r w:rsidRPr="00D56C33">
              <w:rPr>
                <w:shd w:val="clear" w:color="auto" w:fill="FFFFFF"/>
              </w:rPr>
              <w:t xml:space="preserve"> un "</w:t>
            </w:r>
            <w:proofErr w:type="spellStart"/>
            <w:r w:rsidRPr="00D56C33">
              <w:rPr>
                <w:shd w:val="clear" w:color="auto" w:fill="FFFFFF"/>
              </w:rPr>
              <w:t>Altum</w:t>
            </w:r>
            <w:proofErr w:type="spellEnd"/>
            <w:r w:rsidRPr="00D56C33">
              <w:rPr>
                <w:shd w:val="clear" w:color="auto" w:fill="FFFFFF"/>
              </w:rPr>
              <w:t>" projekta vadības un īstenošanas, kā arī konsultatīvā atbalsta izmaksām plānotais kopējais attiecināmais finansējums ir 14</w:t>
            </w:r>
            <w:r w:rsidR="00BF6C17">
              <w:rPr>
                <w:shd w:val="clear" w:color="auto" w:fill="FFFFFF"/>
              </w:rPr>
              <w:t>4</w:t>
            </w:r>
            <w:r w:rsidRPr="00D56C33">
              <w:rPr>
                <w:shd w:val="clear" w:color="auto" w:fill="FFFFFF"/>
              </w:rPr>
              <w:t> 450 909 </w:t>
            </w:r>
            <w:r w:rsidRPr="00D56C33">
              <w:rPr>
                <w:i/>
                <w:shd w:val="clear" w:color="auto" w:fill="FFFFFF"/>
              </w:rPr>
              <w:t>euro</w:t>
            </w:r>
            <w:r w:rsidRPr="00D56C33">
              <w:rPr>
                <w:shd w:val="clear" w:color="auto" w:fill="FFFFFF"/>
              </w:rPr>
              <w:t>, ieskaitot Eiropas Reģionālās attīstības fonda finansējumu – 12</w:t>
            </w:r>
            <w:r w:rsidR="00BF6C17">
              <w:rPr>
                <w:shd w:val="clear" w:color="auto" w:fill="FFFFFF"/>
              </w:rPr>
              <w:t>2</w:t>
            </w:r>
            <w:r w:rsidRPr="00D56C33">
              <w:rPr>
                <w:shd w:val="clear" w:color="auto" w:fill="FFFFFF"/>
              </w:rPr>
              <w:t xml:space="preserve"> </w:t>
            </w:r>
            <w:r w:rsidR="00BF6C17">
              <w:rPr>
                <w:shd w:val="clear" w:color="auto" w:fill="FFFFFF"/>
              </w:rPr>
              <w:t>78</w:t>
            </w:r>
            <w:r w:rsidRPr="00D56C33">
              <w:rPr>
                <w:shd w:val="clear" w:color="auto" w:fill="FFFFFF"/>
              </w:rPr>
              <w:t xml:space="preserve">3 273 </w:t>
            </w:r>
            <w:r w:rsidRPr="00D56C33">
              <w:rPr>
                <w:i/>
                <w:shd w:val="clear" w:color="auto" w:fill="FFFFFF"/>
              </w:rPr>
              <w:t>euro</w:t>
            </w:r>
            <w:r w:rsidRPr="00D56C33">
              <w:rPr>
                <w:shd w:val="clear" w:color="auto" w:fill="FFFFFF"/>
              </w:rPr>
              <w:t> un valsts budžeta finansējumu – 2</w:t>
            </w:r>
            <w:r w:rsidR="00BF6C17">
              <w:rPr>
                <w:shd w:val="clear" w:color="auto" w:fill="FFFFFF"/>
              </w:rPr>
              <w:t>1</w:t>
            </w:r>
            <w:r w:rsidRPr="00D56C33">
              <w:rPr>
                <w:shd w:val="clear" w:color="auto" w:fill="FFFFFF"/>
              </w:rPr>
              <w:t xml:space="preserve"> </w:t>
            </w:r>
            <w:r w:rsidR="00BF6C17">
              <w:rPr>
                <w:shd w:val="clear" w:color="auto" w:fill="FFFFFF"/>
              </w:rPr>
              <w:t>66</w:t>
            </w:r>
            <w:r w:rsidRPr="00D56C33">
              <w:rPr>
                <w:shd w:val="clear" w:color="auto" w:fill="FFFFFF"/>
              </w:rPr>
              <w:t xml:space="preserve">7 636 </w:t>
            </w:r>
            <w:r w:rsidRPr="00D56C33">
              <w:rPr>
                <w:i/>
                <w:shd w:val="clear" w:color="auto" w:fill="FFFFFF"/>
              </w:rPr>
              <w:t>euro</w:t>
            </w:r>
            <w:r w:rsidRPr="00D56C33">
              <w:rPr>
                <w:shd w:val="clear" w:color="auto" w:fill="FFFFFF"/>
              </w:rPr>
              <w:t>;</w:t>
            </w:r>
          </w:p>
          <w:p w14:paraId="3A5E5B3D" w14:textId="4F53FD10" w:rsidR="00BA11CC" w:rsidRPr="00D56C33" w:rsidRDefault="00BA11CC" w:rsidP="00463A48">
            <w:pPr>
              <w:jc w:val="both"/>
              <w:rPr>
                <w:shd w:val="clear" w:color="auto" w:fill="FFFFFF"/>
              </w:rPr>
            </w:pPr>
            <w:r w:rsidRPr="00D56C33">
              <w:rPr>
                <w:shd w:val="clear" w:color="auto" w:fill="FFFFFF"/>
              </w:rPr>
              <w:t xml:space="preserve">9.2. finanšu instrumentam, tai skaitā aizdevumu, garantiju un finanšu instrumenta pārvaldības izmaksām plānotais kopējais attiecināmais finansējums ir </w:t>
            </w:r>
            <w:r w:rsidR="00BF6C17">
              <w:rPr>
                <w:shd w:val="clear" w:color="auto" w:fill="FFFFFF"/>
              </w:rPr>
              <w:t>22</w:t>
            </w:r>
            <w:r w:rsidRPr="00D56C33">
              <w:rPr>
                <w:shd w:val="clear" w:color="auto" w:fill="FFFFFF"/>
              </w:rPr>
              <w:t xml:space="preserve"> 011 823 </w:t>
            </w:r>
            <w:r w:rsidRPr="00D56C33">
              <w:rPr>
                <w:i/>
                <w:shd w:val="clear" w:color="auto" w:fill="FFFFFF"/>
              </w:rPr>
              <w:t>euro</w:t>
            </w:r>
            <w:r w:rsidRPr="00D56C33">
              <w:rPr>
                <w:shd w:val="clear" w:color="auto" w:fill="FFFFFF"/>
              </w:rPr>
              <w:t>, ieskaitot Eiropas Reģionālās attīstības fonda finansējumu – 1</w:t>
            </w:r>
            <w:r w:rsidR="00BF6C17">
              <w:rPr>
                <w:shd w:val="clear" w:color="auto" w:fill="FFFFFF"/>
              </w:rPr>
              <w:t>8</w:t>
            </w:r>
            <w:r w:rsidRPr="00D56C33">
              <w:rPr>
                <w:shd w:val="clear" w:color="auto" w:fill="FFFFFF"/>
              </w:rPr>
              <w:t xml:space="preserve"> </w:t>
            </w:r>
            <w:r w:rsidR="00BF6C17">
              <w:rPr>
                <w:shd w:val="clear" w:color="auto" w:fill="FFFFFF"/>
              </w:rPr>
              <w:t>71</w:t>
            </w:r>
            <w:r w:rsidRPr="00D56C33">
              <w:rPr>
                <w:shd w:val="clear" w:color="auto" w:fill="FFFFFF"/>
              </w:rPr>
              <w:t>0 050 </w:t>
            </w:r>
            <w:r w:rsidRPr="00D56C33">
              <w:rPr>
                <w:i/>
                <w:shd w:val="clear" w:color="auto" w:fill="FFFFFF"/>
              </w:rPr>
              <w:t>euro</w:t>
            </w:r>
            <w:r w:rsidRPr="00D56C33">
              <w:rPr>
                <w:shd w:val="clear" w:color="auto" w:fill="FFFFFF"/>
              </w:rPr>
              <w:t xml:space="preserve"> un valsts budžeta līdzfinansējumu – </w:t>
            </w:r>
            <w:r w:rsidR="00BF6C17">
              <w:rPr>
                <w:shd w:val="clear" w:color="auto" w:fill="FFFFFF"/>
              </w:rPr>
              <w:t>3</w:t>
            </w:r>
            <w:r w:rsidRPr="00D56C33">
              <w:rPr>
                <w:shd w:val="clear" w:color="auto" w:fill="FFFFFF"/>
              </w:rPr>
              <w:t xml:space="preserve"> </w:t>
            </w:r>
            <w:r w:rsidR="00BF6C17">
              <w:rPr>
                <w:shd w:val="clear" w:color="auto" w:fill="FFFFFF"/>
              </w:rPr>
              <w:t>30</w:t>
            </w:r>
            <w:r w:rsidRPr="00D56C33">
              <w:rPr>
                <w:shd w:val="clear" w:color="auto" w:fill="FFFFFF"/>
              </w:rPr>
              <w:t>1 773 </w:t>
            </w:r>
            <w:r w:rsidRPr="00D56C33">
              <w:rPr>
                <w:i/>
                <w:shd w:val="clear" w:color="auto" w:fill="FFFFFF"/>
              </w:rPr>
              <w:t>euro</w:t>
            </w:r>
            <w:r w:rsidRPr="00D56C33">
              <w:rPr>
                <w:shd w:val="clear" w:color="auto" w:fill="FFFFFF"/>
              </w:rPr>
              <w:t>.</w:t>
            </w:r>
          </w:p>
          <w:p w14:paraId="50DEF8D8" w14:textId="3C602E3F" w:rsidR="00BA11CC" w:rsidRPr="00D56C33" w:rsidRDefault="00BA11CC" w:rsidP="00463A48">
            <w:pPr>
              <w:jc w:val="both"/>
              <w:rPr>
                <w:shd w:val="clear" w:color="auto" w:fill="FFFFFF"/>
              </w:rPr>
            </w:pPr>
            <w:r w:rsidRPr="00D56C33">
              <w:rPr>
                <w:shd w:val="clear" w:color="auto" w:fill="FFFFFF"/>
              </w:rPr>
              <w:lastRenderedPageBreak/>
              <w:t xml:space="preserve">10. Pieejamais kopējais attiecināmais finansējums līgumam par projekta īstenošanu un finansēšanas nolīgumam ir 153 041 138 </w:t>
            </w:r>
            <w:r w:rsidRPr="00D56C33">
              <w:rPr>
                <w:i/>
                <w:shd w:val="clear" w:color="auto" w:fill="FFFFFF"/>
              </w:rPr>
              <w:t>euro</w:t>
            </w:r>
            <w:r w:rsidRPr="00D56C33">
              <w:rPr>
                <w:shd w:val="clear" w:color="auto" w:fill="FFFFFF"/>
              </w:rPr>
              <w:t xml:space="preserve">, ieskaitot Eiropas Reģionālās attīstības fonda finansējumu – 130 084 962 </w:t>
            </w:r>
            <w:r w:rsidRPr="00D56C33">
              <w:rPr>
                <w:i/>
                <w:shd w:val="clear" w:color="auto" w:fill="FFFFFF"/>
              </w:rPr>
              <w:t>euro</w:t>
            </w:r>
            <w:r w:rsidRPr="00D56C33">
              <w:rPr>
                <w:shd w:val="clear" w:color="auto" w:fill="FFFFFF"/>
              </w:rPr>
              <w:t xml:space="preserve"> un valsts budžeta finansējumu – 22 956 176 </w:t>
            </w:r>
            <w:r w:rsidRPr="00D56C33">
              <w:rPr>
                <w:i/>
                <w:shd w:val="clear" w:color="auto" w:fill="FFFFFF"/>
              </w:rPr>
              <w:t>euro</w:t>
            </w:r>
            <w:r w:rsidRPr="00D56C33">
              <w:rPr>
                <w:shd w:val="clear" w:color="auto" w:fill="FFFFFF"/>
              </w:rPr>
              <w:t>, tai skaitā:</w:t>
            </w:r>
          </w:p>
          <w:p w14:paraId="14FD4D77" w14:textId="7A170F80" w:rsidR="00BA11CC" w:rsidRPr="00D56C33" w:rsidRDefault="00BA11CC" w:rsidP="00463A48">
            <w:pPr>
              <w:jc w:val="both"/>
              <w:rPr>
                <w:shd w:val="clear" w:color="auto" w:fill="FFFFFF"/>
              </w:rPr>
            </w:pPr>
            <w:r w:rsidRPr="00D56C33">
              <w:rPr>
                <w:shd w:val="clear" w:color="auto" w:fill="FFFFFF"/>
              </w:rPr>
              <w:t xml:space="preserve">10.1. </w:t>
            </w:r>
            <w:proofErr w:type="spellStart"/>
            <w:r w:rsidRPr="00D56C33">
              <w:rPr>
                <w:shd w:val="clear" w:color="auto" w:fill="FFFFFF"/>
              </w:rPr>
              <w:t>grantu</w:t>
            </w:r>
            <w:proofErr w:type="spellEnd"/>
            <w:r w:rsidRPr="00D56C33">
              <w:rPr>
                <w:shd w:val="clear" w:color="auto" w:fill="FFFFFF"/>
              </w:rPr>
              <w:t xml:space="preserve"> un "</w:t>
            </w:r>
            <w:proofErr w:type="spellStart"/>
            <w:r w:rsidRPr="00D56C33">
              <w:rPr>
                <w:shd w:val="clear" w:color="auto" w:fill="FFFFFF"/>
              </w:rPr>
              <w:t>Altum</w:t>
            </w:r>
            <w:proofErr w:type="spellEnd"/>
            <w:r w:rsidRPr="00D56C33">
              <w:rPr>
                <w:shd w:val="clear" w:color="auto" w:fill="FFFFFF"/>
              </w:rPr>
              <w:t>" projekta vadības un īstenošanas, kā arī konsultatīvā atbalsta izmaksām pieejamais kopējais attiecināmais finansējums ir 13</w:t>
            </w:r>
            <w:r w:rsidR="00BF6C17">
              <w:rPr>
                <w:shd w:val="clear" w:color="auto" w:fill="FFFFFF"/>
              </w:rPr>
              <w:t>2</w:t>
            </w:r>
            <w:r w:rsidRPr="00D56C33">
              <w:rPr>
                <w:shd w:val="clear" w:color="auto" w:fill="FFFFFF"/>
              </w:rPr>
              <w:t xml:space="preserve"> 950 024 </w:t>
            </w:r>
            <w:r w:rsidRPr="00D56C33">
              <w:rPr>
                <w:i/>
                <w:shd w:val="clear" w:color="auto" w:fill="FFFFFF"/>
              </w:rPr>
              <w:t>euro</w:t>
            </w:r>
            <w:r w:rsidRPr="00D56C33">
              <w:rPr>
                <w:shd w:val="clear" w:color="auto" w:fill="FFFFFF"/>
              </w:rPr>
              <w:t>, ieskaitot Eiropas Reģionālās attīstības fonda finansējumu – 11</w:t>
            </w:r>
            <w:r w:rsidR="00BF6C17">
              <w:rPr>
                <w:shd w:val="clear" w:color="auto" w:fill="FFFFFF"/>
              </w:rPr>
              <w:t>3</w:t>
            </w:r>
            <w:r w:rsidRPr="00D56C33">
              <w:rPr>
                <w:shd w:val="clear" w:color="auto" w:fill="FFFFFF"/>
              </w:rPr>
              <w:t xml:space="preserve"> </w:t>
            </w:r>
            <w:r w:rsidR="009B1BF2">
              <w:rPr>
                <w:shd w:val="clear" w:color="auto" w:fill="FFFFFF"/>
              </w:rPr>
              <w:t>007</w:t>
            </w:r>
            <w:r w:rsidRPr="00D56C33">
              <w:rPr>
                <w:shd w:val="clear" w:color="auto" w:fill="FFFFFF"/>
              </w:rPr>
              <w:t xml:space="preserve"> 520 </w:t>
            </w:r>
            <w:r w:rsidRPr="00D56C33">
              <w:rPr>
                <w:i/>
                <w:shd w:val="clear" w:color="auto" w:fill="FFFFFF"/>
              </w:rPr>
              <w:t>euro</w:t>
            </w:r>
            <w:r w:rsidRPr="00D56C33">
              <w:rPr>
                <w:shd w:val="clear" w:color="auto" w:fill="FFFFFF"/>
              </w:rPr>
              <w:t xml:space="preserve"> un valsts budžeta līdzfinansējumu – </w:t>
            </w:r>
            <w:r w:rsidR="00BF6C17">
              <w:rPr>
                <w:shd w:val="clear" w:color="auto" w:fill="FFFFFF"/>
              </w:rPr>
              <w:t>19</w:t>
            </w:r>
            <w:r w:rsidRPr="00D56C33">
              <w:rPr>
                <w:shd w:val="clear" w:color="auto" w:fill="FFFFFF"/>
              </w:rPr>
              <w:t xml:space="preserve"> 9</w:t>
            </w:r>
            <w:r w:rsidR="00BF6C17">
              <w:rPr>
                <w:shd w:val="clear" w:color="auto" w:fill="FFFFFF"/>
              </w:rPr>
              <w:t>4</w:t>
            </w:r>
            <w:r w:rsidRPr="00D56C33">
              <w:rPr>
                <w:shd w:val="clear" w:color="auto" w:fill="FFFFFF"/>
              </w:rPr>
              <w:t xml:space="preserve">2 504 </w:t>
            </w:r>
            <w:r w:rsidRPr="00D56C33">
              <w:rPr>
                <w:i/>
                <w:shd w:val="clear" w:color="auto" w:fill="FFFFFF"/>
              </w:rPr>
              <w:t>euro</w:t>
            </w:r>
            <w:r w:rsidRPr="00D56C33">
              <w:rPr>
                <w:shd w:val="clear" w:color="auto" w:fill="FFFFFF"/>
              </w:rPr>
              <w:t>;</w:t>
            </w:r>
          </w:p>
          <w:p w14:paraId="54917D49" w14:textId="50923FDC" w:rsidR="00BA11CC" w:rsidRPr="00487013" w:rsidRDefault="00BA11CC" w:rsidP="00463A48">
            <w:pPr>
              <w:jc w:val="both"/>
            </w:pPr>
            <w:r w:rsidRPr="00D56C33">
              <w:rPr>
                <w:shd w:val="clear" w:color="auto" w:fill="FFFFFF"/>
              </w:rPr>
              <w:t xml:space="preserve">10.2. finanšu instrumentam, tai skaitā aizdevumu, garantiju un finanšu instrumentu pārvaldības izmaksām pieejamais kopējais attiecināmais finansējums ir </w:t>
            </w:r>
            <w:r w:rsidR="00BF6C17">
              <w:rPr>
                <w:shd w:val="clear" w:color="auto" w:fill="FFFFFF"/>
              </w:rPr>
              <w:t>20</w:t>
            </w:r>
            <w:r w:rsidRPr="00D56C33">
              <w:rPr>
                <w:shd w:val="clear" w:color="auto" w:fill="FFFFFF"/>
              </w:rPr>
              <w:t xml:space="preserve"> 091 114 </w:t>
            </w:r>
            <w:r w:rsidRPr="00D56C33">
              <w:rPr>
                <w:i/>
                <w:shd w:val="clear" w:color="auto" w:fill="FFFFFF"/>
              </w:rPr>
              <w:t>euro</w:t>
            </w:r>
            <w:r w:rsidRPr="00D56C33">
              <w:rPr>
                <w:shd w:val="clear" w:color="auto" w:fill="FFFFFF"/>
              </w:rPr>
              <w:t>, ieskaitot Eiropas Reģionālās attīstības fonda finansējumu – 1</w:t>
            </w:r>
            <w:r w:rsidR="00BF6C17">
              <w:rPr>
                <w:shd w:val="clear" w:color="auto" w:fill="FFFFFF"/>
              </w:rPr>
              <w:t>7</w:t>
            </w:r>
            <w:r w:rsidRPr="00D56C33">
              <w:rPr>
                <w:shd w:val="clear" w:color="auto" w:fill="FFFFFF"/>
              </w:rPr>
              <w:t xml:space="preserve"> </w:t>
            </w:r>
            <w:r w:rsidR="00BF6C17">
              <w:rPr>
                <w:shd w:val="clear" w:color="auto" w:fill="FFFFFF"/>
              </w:rPr>
              <w:t>07</w:t>
            </w:r>
            <w:r w:rsidRPr="00D56C33">
              <w:rPr>
                <w:shd w:val="clear" w:color="auto" w:fill="FFFFFF"/>
              </w:rPr>
              <w:t xml:space="preserve">7 </w:t>
            </w:r>
            <w:r w:rsidRPr="00D56C33">
              <w:rPr>
                <w:shd w:val="clear" w:color="auto" w:fill="FFFFFF"/>
              </w:rPr>
              <w:lastRenderedPageBreak/>
              <w:t>447 </w:t>
            </w:r>
            <w:r w:rsidRPr="00D56C33">
              <w:rPr>
                <w:i/>
                <w:shd w:val="clear" w:color="auto" w:fill="FFFFFF"/>
              </w:rPr>
              <w:t>euro</w:t>
            </w:r>
            <w:r w:rsidRPr="00D56C33">
              <w:rPr>
                <w:shd w:val="clear" w:color="auto" w:fill="FFFFFF"/>
              </w:rPr>
              <w:t xml:space="preserve"> un valsts budžeta finansējumu – </w:t>
            </w:r>
            <w:r w:rsidR="00BF6C17">
              <w:rPr>
                <w:shd w:val="clear" w:color="auto" w:fill="FFFFFF"/>
              </w:rPr>
              <w:t>3</w:t>
            </w:r>
            <w:r w:rsidRPr="00D56C33">
              <w:rPr>
                <w:shd w:val="clear" w:color="auto" w:fill="FFFFFF"/>
              </w:rPr>
              <w:t xml:space="preserve"> </w:t>
            </w:r>
            <w:r w:rsidR="00BF6C17">
              <w:rPr>
                <w:shd w:val="clear" w:color="auto" w:fill="FFFFFF"/>
              </w:rPr>
              <w:t>01</w:t>
            </w:r>
            <w:r w:rsidRPr="00D56C33">
              <w:rPr>
                <w:shd w:val="clear" w:color="auto" w:fill="FFFFFF"/>
              </w:rPr>
              <w:t>3 667 </w:t>
            </w:r>
            <w:r w:rsidRPr="00D56C33">
              <w:rPr>
                <w:i/>
                <w:shd w:val="clear" w:color="auto" w:fill="FFFFFF"/>
              </w:rPr>
              <w:t>euro</w:t>
            </w:r>
            <w:r w:rsidRPr="00D56C33">
              <w:rPr>
                <w:shd w:val="clear" w:color="auto" w:fill="FFFFFF"/>
              </w:rPr>
              <w:t>.</w:t>
            </w:r>
            <w:r>
              <w:t>””</w:t>
            </w:r>
          </w:p>
          <w:p w14:paraId="608056EA" w14:textId="1C328021" w:rsidR="00BA11CC" w:rsidRPr="00D56C33" w:rsidRDefault="00BA11CC" w:rsidP="00BA11CC">
            <w:pPr>
              <w:jc w:val="both"/>
              <w:rPr>
                <w:b/>
              </w:rPr>
            </w:pPr>
          </w:p>
        </w:tc>
      </w:tr>
      <w:tr w:rsidR="00571ED2" w:rsidRPr="00CC4FF7" w14:paraId="6E91D669" w14:textId="77777777" w:rsidTr="00BA11CC">
        <w:tc>
          <w:tcPr>
            <w:tcW w:w="716" w:type="dxa"/>
            <w:tcBorders>
              <w:left w:val="single" w:sz="6" w:space="0" w:color="000000"/>
              <w:bottom w:val="single" w:sz="4" w:space="0" w:color="000000"/>
              <w:right w:val="single" w:sz="4" w:space="0" w:color="auto"/>
            </w:tcBorders>
          </w:tcPr>
          <w:p w14:paraId="3AF3EE21" w14:textId="77777777" w:rsidR="00571ED2" w:rsidRPr="00CC4FF7" w:rsidRDefault="00571ED2" w:rsidP="00101C70">
            <w:pPr>
              <w:pStyle w:val="ListParagraph"/>
              <w:numPr>
                <w:ilvl w:val="0"/>
                <w:numId w:val="1"/>
              </w:numPr>
              <w:spacing w:after="0" w:line="240" w:lineRule="auto"/>
              <w:ind w:left="357" w:hanging="357"/>
              <w:rPr>
                <w:rFonts w:ascii="Times New Roman" w:hAnsi="Times New Roman"/>
              </w:rPr>
            </w:pPr>
          </w:p>
        </w:tc>
        <w:tc>
          <w:tcPr>
            <w:tcW w:w="3086" w:type="dxa"/>
            <w:tcBorders>
              <w:top w:val="single" w:sz="4" w:space="0" w:color="auto"/>
              <w:left w:val="single" w:sz="4" w:space="0" w:color="auto"/>
              <w:bottom w:val="single" w:sz="4" w:space="0" w:color="000000"/>
              <w:right w:val="single" w:sz="4" w:space="0" w:color="auto"/>
            </w:tcBorders>
          </w:tcPr>
          <w:p w14:paraId="4B0900E7" w14:textId="77777777" w:rsidR="00571ED2" w:rsidRDefault="00571ED2" w:rsidP="00101C70">
            <w:pPr>
              <w:pStyle w:val="naisc"/>
              <w:spacing w:before="0" w:after="0"/>
              <w:jc w:val="both"/>
              <w:rPr>
                <w:b/>
              </w:rPr>
            </w:pPr>
            <w:r w:rsidRPr="00D56C33">
              <w:rPr>
                <w:b/>
              </w:rPr>
              <w:t xml:space="preserve">Noteikumu projekta </w:t>
            </w:r>
            <w:r>
              <w:rPr>
                <w:b/>
              </w:rPr>
              <w:t>4</w:t>
            </w:r>
            <w:r w:rsidRPr="00D56C33">
              <w:rPr>
                <w:b/>
              </w:rPr>
              <w:t>.punkts</w:t>
            </w:r>
            <w:r w:rsidR="00BB17D1">
              <w:rPr>
                <w:b/>
              </w:rPr>
              <w:t>:</w:t>
            </w:r>
          </w:p>
          <w:p w14:paraId="20C8E1A0" w14:textId="77777777" w:rsidR="00BB17D1" w:rsidRPr="00D56C33" w:rsidRDefault="00BB17D1" w:rsidP="00BB17D1">
            <w:pPr>
              <w:jc w:val="both"/>
            </w:pPr>
            <w:r w:rsidRPr="00D56C33">
              <w:t>“Izteikt 9. un 10. punktu šādā redakcijā:</w:t>
            </w:r>
          </w:p>
          <w:p w14:paraId="55848580" w14:textId="77777777" w:rsidR="00BB17D1" w:rsidRPr="00DD323D" w:rsidRDefault="00BB17D1" w:rsidP="00BB17D1">
            <w:pPr>
              <w:jc w:val="both"/>
            </w:pPr>
            <w:r w:rsidRPr="00D56C33">
              <w:t>“</w:t>
            </w:r>
            <w:r w:rsidRPr="00DD323D">
              <w:t xml:space="preserve">9. Pasākuma plānotais kopējais attiecināmais finansējums ir 166 462 732 euro, tai skaitā Eiropas Reģionālās attīstības fonda finansējums – 141 493 </w:t>
            </w:r>
            <w:r w:rsidRPr="00DD323D">
              <w:lastRenderedPageBreak/>
              <w:t>317 euro un valsts budžeta līdzfinansējums – 24 969 415 euro, paredzot iznākuma rādītāju un finanšu rādītāju plānojumu atbilstoši šo noteikumu </w:t>
            </w:r>
            <w:r>
              <w:t>5. </w:t>
            </w:r>
            <w:r w:rsidRPr="00DD323D">
              <w:t>punktā minētajam apjomam. Maksimālais attiecināmais Eiropas Reģionālās attīstības fonda finansējuma apmērs ir 85 % no plānotā kopējā attiecināmā finansējuma, tai skaitā:</w:t>
            </w:r>
          </w:p>
          <w:p w14:paraId="58025930" w14:textId="77777777" w:rsidR="00BB17D1" w:rsidRPr="00DD323D" w:rsidRDefault="00BB17D1" w:rsidP="00BB17D1">
            <w:pPr>
              <w:jc w:val="both"/>
            </w:pPr>
            <w:r w:rsidRPr="00DD323D">
              <w:t>9.1. </w:t>
            </w:r>
            <w:proofErr w:type="spellStart"/>
            <w:r w:rsidRPr="00DD323D">
              <w:t>grantu</w:t>
            </w:r>
            <w:proofErr w:type="spellEnd"/>
            <w:r w:rsidRPr="00DD323D">
              <w:t xml:space="preserve"> un "</w:t>
            </w:r>
            <w:proofErr w:type="spellStart"/>
            <w:r w:rsidRPr="00DD323D">
              <w:t>Altum</w:t>
            </w:r>
            <w:proofErr w:type="spellEnd"/>
            <w:r w:rsidRPr="00DD323D">
              <w:t>" projekta vadības un īstenošanas, kā arī konsultatīvā atbalsta izmaksām plānotais kopējais attiecināmais finansējums ir 144 450 909 euro, ieskaitot Eiropas Reģionālās attīstības fonda finansējumu – 122 783 273 euro un valsts budžeta finansējumu – 21 667 636 euro;</w:t>
            </w:r>
          </w:p>
          <w:p w14:paraId="6D247089" w14:textId="77777777" w:rsidR="00BB17D1" w:rsidRPr="00DD323D" w:rsidRDefault="00BB17D1" w:rsidP="00BB17D1">
            <w:pPr>
              <w:jc w:val="both"/>
            </w:pPr>
            <w:r w:rsidRPr="00DD323D">
              <w:t xml:space="preserve">9.2. finanšu instrumentam, tai skaitā aizdevumu, garantiju un finanšu instrumenta pārvaldības izmaksām plānotais kopējais attiecināmais finansējums ir 22 011 823 euro, ieskaitot </w:t>
            </w:r>
            <w:r w:rsidRPr="00DD323D">
              <w:lastRenderedPageBreak/>
              <w:t>Eiropas Reģionālās attīstības fonda finansējumu – 18 710 050 euro un valsts budžeta līdzfinansējumu – 3 301 773 euro.</w:t>
            </w:r>
          </w:p>
          <w:p w14:paraId="29FE1967" w14:textId="77777777" w:rsidR="00BB17D1" w:rsidRPr="00DD323D" w:rsidRDefault="00BB17D1" w:rsidP="00BB17D1">
            <w:pPr>
              <w:jc w:val="both"/>
            </w:pPr>
            <w:r w:rsidRPr="00DD323D">
              <w:t>10. Pieejamais kopējais attiecināmais finansējums līgumam par projekta īstenošanu un finansēšanas nolīgumam ir 153 041 138 euro, ieskaitot Eiropas Reģionālās attīstības fonda finansējumu – 130 084 962 euro un valsts budžeta finansējumu – 22 956 176 euro, tai skaitā:</w:t>
            </w:r>
          </w:p>
          <w:p w14:paraId="142151F9" w14:textId="6CB3C191" w:rsidR="00BB17D1" w:rsidRPr="00DD323D" w:rsidRDefault="00BB17D1" w:rsidP="00BB17D1">
            <w:pPr>
              <w:jc w:val="both"/>
            </w:pPr>
            <w:r w:rsidRPr="00DD323D">
              <w:t xml:space="preserve">10.1. </w:t>
            </w:r>
            <w:proofErr w:type="spellStart"/>
            <w:r w:rsidRPr="00DD323D">
              <w:t>grantu</w:t>
            </w:r>
            <w:proofErr w:type="spellEnd"/>
            <w:r w:rsidRPr="00DD323D">
              <w:t xml:space="preserve"> un "</w:t>
            </w:r>
            <w:proofErr w:type="spellStart"/>
            <w:r w:rsidRPr="00DD323D">
              <w:t>Altum</w:t>
            </w:r>
            <w:proofErr w:type="spellEnd"/>
            <w:r w:rsidRPr="00DD323D">
              <w:t>" projekta vadības un īstenošanas, kā arī konsultatīvā atbalsta izmaksām pieejamais kopējais attiecināmais finansējums ir 132 950 024 euro, ieskaitot Eiropas Reģionālās attīstības fonda finansējumu – 113 007 520 euro un valsts budžeta līdzfinansējumu – 19 942 504 euro;</w:t>
            </w:r>
          </w:p>
          <w:p w14:paraId="4715D0E9" w14:textId="59859160" w:rsidR="003C5A3F" w:rsidRPr="00DD323D" w:rsidRDefault="003C5A3F" w:rsidP="00DD323D">
            <w:pPr>
              <w:jc w:val="both"/>
            </w:pPr>
          </w:p>
          <w:p w14:paraId="3B033B76" w14:textId="1BA8C334" w:rsidR="00BB17D1" w:rsidRPr="00D56C33" w:rsidRDefault="00BB17D1" w:rsidP="00706B94">
            <w:pPr>
              <w:jc w:val="both"/>
              <w:rPr>
                <w:b/>
              </w:rPr>
            </w:pPr>
            <w:r w:rsidRPr="00DD323D">
              <w:t xml:space="preserve">10.2. finanšu instrumentam, tai skaitā aizdevumu, </w:t>
            </w:r>
            <w:r w:rsidRPr="00DD323D">
              <w:lastRenderedPageBreak/>
              <w:t>garantiju un finanšu instrumentu pārvaldības izmaksām pieejamais kopējais attiecināmais finansējums ir 20 091 114 euro, ieskaitot Eiropas Reģionālās attīstības fonda finansējumu – 17 077 447 euro un valsts budžeta finansējumu – 3 013 667 euro.</w:t>
            </w:r>
            <w:r>
              <w:t>””</w:t>
            </w:r>
          </w:p>
        </w:tc>
        <w:tc>
          <w:tcPr>
            <w:tcW w:w="3987" w:type="dxa"/>
            <w:tcBorders>
              <w:left w:val="single" w:sz="4" w:space="0" w:color="auto"/>
              <w:bottom w:val="single" w:sz="4" w:space="0" w:color="000000"/>
              <w:right w:val="single" w:sz="6" w:space="0" w:color="000000"/>
            </w:tcBorders>
          </w:tcPr>
          <w:p w14:paraId="503620D7" w14:textId="7FC55AE4" w:rsidR="00571ED2" w:rsidRPr="00D56C33" w:rsidRDefault="00571ED2" w:rsidP="00571ED2">
            <w:pPr>
              <w:pStyle w:val="naisc"/>
              <w:spacing w:before="0" w:after="0"/>
              <w:jc w:val="both"/>
              <w:rPr>
                <w:b/>
              </w:rPr>
            </w:pPr>
            <w:r w:rsidRPr="00D56C33">
              <w:rPr>
                <w:b/>
              </w:rPr>
              <w:lastRenderedPageBreak/>
              <w:t xml:space="preserve">Finanšu ministrijas </w:t>
            </w:r>
            <w:r>
              <w:rPr>
                <w:b/>
              </w:rPr>
              <w:t>19</w:t>
            </w:r>
            <w:r w:rsidRPr="00D56C33">
              <w:rPr>
                <w:b/>
              </w:rPr>
              <w:t>.0</w:t>
            </w:r>
            <w:r>
              <w:rPr>
                <w:b/>
              </w:rPr>
              <w:t>6</w:t>
            </w:r>
            <w:r w:rsidRPr="00D56C33">
              <w:rPr>
                <w:b/>
              </w:rPr>
              <w:t xml:space="preserve">.2019. </w:t>
            </w:r>
            <w:r>
              <w:rPr>
                <w:b/>
              </w:rPr>
              <w:t>3</w:t>
            </w:r>
            <w:r w:rsidRPr="00D56C33">
              <w:rPr>
                <w:b/>
              </w:rPr>
              <w:t>.iebildums:</w:t>
            </w:r>
          </w:p>
          <w:p w14:paraId="2F0F0901" w14:textId="77777777" w:rsidR="00571ED2" w:rsidRPr="00571ED2" w:rsidRDefault="00571ED2" w:rsidP="00571ED2">
            <w:pPr>
              <w:pStyle w:val="naisc"/>
              <w:jc w:val="both"/>
              <w:rPr>
                <w:bCs/>
              </w:rPr>
            </w:pPr>
            <w:r>
              <w:rPr>
                <w:bCs/>
              </w:rPr>
              <w:t>“</w:t>
            </w:r>
            <w:r w:rsidRPr="00571ED2">
              <w:rPr>
                <w:bCs/>
              </w:rPr>
              <w:t xml:space="preserve">Veicot 10 000 000 euro finansējuma pārdali no finanšu instrumentiem uz </w:t>
            </w:r>
            <w:proofErr w:type="spellStart"/>
            <w:r w:rsidRPr="00571ED2">
              <w:rPr>
                <w:bCs/>
              </w:rPr>
              <w:t>grantu</w:t>
            </w:r>
            <w:proofErr w:type="spellEnd"/>
            <w:r w:rsidRPr="00571ED2">
              <w:rPr>
                <w:bCs/>
              </w:rPr>
              <w:t xml:space="preserve">, netika ievērots precīzs ERAF un valsts budžeta finansējuma sadalījums starp MK noteikumu Nr.160 9.punktā un tā apakšpunktos noteikto finansējumu, proti, valsts budžeta finansējuma pārdales gadījumā no </w:t>
            </w:r>
            <w:r w:rsidRPr="00571ED2">
              <w:rPr>
                <w:bCs/>
              </w:rPr>
              <w:lastRenderedPageBreak/>
              <w:t xml:space="preserve">finanšu instrumentiem tika atņemti 1 604 050 </w:t>
            </w:r>
            <w:proofErr w:type="spellStart"/>
            <w:r w:rsidRPr="00571ED2">
              <w:rPr>
                <w:bCs/>
              </w:rPr>
              <w:t>euro</w:t>
            </w:r>
            <w:proofErr w:type="spellEnd"/>
            <w:r w:rsidRPr="00571ED2">
              <w:rPr>
                <w:bCs/>
              </w:rPr>
              <w:t xml:space="preserve">, bet </w:t>
            </w:r>
            <w:proofErr w:type="spellStart"/>
            <w:r w:rsidRPr="00571ED2">
              <w:rPr>
                <w:bCs/>
              </w:rPr>
              <w:t>grantam</w:t>
            </w:r>
            <w:proofErr w:type="spellEnd"/>
            <w:r w:rsidRPr="00571ED2">
              <w:rPr>
                <w:bCs/>
              </w:rPr>
              <w:t xml:space="preserve"> tika piešķirti 1 604 044 euro, līdzīgi ar ERAF finansējuma pārdali. Šāda situācija ir arī ar MK noteikumu Nr.160 10.punktu un tā apakšpunktiem. Lūdzam veicot finansējuma pārdali ievērot, lai plānotais kopējais attiecināmais finansējums un pieejamais kopējais attiecināmais finansējums līguma slēgšanai sadalījumā pa finansējuma avotiem sakristu ar </w:t>
            </w:r>
            <w:proofErr w:type="spellStart"/>
            <w:r w:rsidRPr="00571ED2">
              <w:rPr>
                <w:bCs/>
              </w:rPr>
              <w:t>grantam</w:t>
            </w:r>
            <w:proofErr w:type="spellEnd"/>
            <w:r w:rsidRPr="00571ED2">
              <w:rPr>
                <w:bCs/>
              </w:rPr>
              <w:t xml:space="preserve"> un finanšu instrumentiem noteikto finansējuma apmēru.</w:t>
            </w:r>
          </w:p>
          <w:p w14:paraId="060CDEAF" w14:textId="28CCC193" w:rsidR="00571ED2" w:rsidRPr="00D56C33" w:rsidRDefault="00571ED2" w:rsidP="00571ED2">
            <w:pPr>
              <w:pStyle w:val="naisc"/>
              <w:spacing w:before="0" w:after="0"/>
              <w:jc w:val="both"/>
              <w:rPr>
                <w:b/>
              </w:rPr>
            </w:pPr>
            <w:r w:rsidRPr="00571ED2">
              <w:rPr>
                <w:bCs/>
              </w:rPr>
              <w:t>Papildus vēršam uzmanību, ka nav ņemts vērā FM 2019.gada 3.aprīļa atzinuma Nr.12/A-21/1571 3.iebildums. Vēršam uzmanību, ka ERAF līdzfinansējuma likme ir 85%, ņemot vērā, ka pasākumam piešķirtais ERAF līdzfinansējums ir 141 493 317 euro, tad valsts budžeta līdzfinansējumam jābūt 24 696 409 euro (15%) jeb par 6 euro mazāk nekā šobrīd nosaka MK noteikumu Nr.160 9.punkts.</w:t>
            </w:r>
            <w:r>
              <w:rPr>
                <w:bCs/>
              </w:rPr>
              <w:t>”</w:t>
            </w:r>
          </w:p>
        </w:tc>
        <w:tc>
          <w:tcPr>
            <w:tcW w:w="3827" w:type="dxa"/>
            <w:tcBorders>
              <w:left w:val="single" w:sz="6" w:space="0" w:color="000000"/>
              <w:bottom w:val="single" w:sz="4" w:space="0" w:color="000000"/>
              <w:right w:val="single" w:sz="6" w:space="0" w:color="000000"/>
            </w:tcBorders>
          </w:tcPr>
          <w:p w14:paraId="36C7979F" w14:textId="335CDA9C" w:rsidR="00571ED2" w:rsidRPr="00D56C33" w:rsidRDefault="00571ED2" w:rsidP="00101C70">
            <w:pPr>
              <w:pStyle w:val="naisc"/>
              <w:spacing w:before="0" w:after="0"/>
              <w:rPr>
                <w:b/>
              </w:rPr>
            </w:pPr>
            <w:r>
              <w:rPr>
                <w:b/>
              </w:rPr>
              <w:lastRenderedPageBreak/>
              <w:t>Ņemts vērā</w:t>
            </w:r>
          </w:p>
        </w:tc>
        <w:tc>
          <w:tcPr>
            <w:tcW w:w="3118" w:type="dxa"/>
            <w:tcBorders>
              <w:top w:val="single" w:sz="4" w:space="0" w:color="auto"/>
              <w:left w:val="single" w:sz="4" w:space="0" w:color="auto"/>
              <w:bottom w:val="single" w:sz="4" w:space="0" w:color="000000"/>
            </w:tcBorders>
          </w:tcPr>
          <w:p w14:paraId="652EE7DA" w14:textId="5A6151CF" w:rsidR="00571ED2" w:rsidRPr="00571ED2" w:rsidRDefault="00571ED2" w:rsidP="00571ED2">
            <w:pPr>
              <w:jc w:val="both"/>
              <w:rPr>
                <w:b/>
              </w:rPr>
            </w:pPr>
            <w:r w:rsidRPr="00571ED2">
              <w:rPr>
                <w:b/>
              </w:rPr>
              <w:t xml:space="preserve">Noteikumu projekta </w:t>
            </w:r>
            <w:r w:rsidR="005F631F">
              <w:rPr>
                <w:b/>
              </w:rPr>
              <w:t>5</w:t>
            </w:r>
            <w:r w:rsidRPr="00571ED2">
              <w:rPr>
                <w:b/>
              </w:rPr>
              <w:t>.punkts izteikts šādā redakcijā:</w:t>
            </w:r>
          </w:p>
          <w:p w14:paraId="53819340" w14:textId="77777777" w:rsidR="00571ED2" w:rsidRPr="00571ED2" w:rsidRDefault="00571ED2" w:rsidP="00571ED2">
            <w:pPr>
              <w:jc w:val="both"/>
              <w:rPr>
                <w:bCs/>
              </w:rPr>
            </w:pPr>
            <w:r w:rsidRPr="00571ED2">
              <w:rPr>
                <w:bCs/>
              </w:rPr>
              <w:t>“Izteikt 9. un 10. punktu šādā redakcijā:</w:t>
            </w:r>
          </w:p>
          <w:p w14:paraId="2CFADE29" w14:textId="77777777" w:rsidR="00571ED2" w:rsidRPr="00571ED2" w:rsidRDefault="00571ED2" w:rsidP="00571ED2">
            <w:pPr>
              <w:jc w:val="both"/>
              <w:rPr>
                <w:bCs/>
              </w:rPr>
            </w:pPr>
            <w:r w:rsidRPr="00571ED2">
              <w:rPr>
                <w:bCs/>
              </w:rPr>
              <w:t xml:space="preserve">“9. Pasākuma plānotais kopējais attiecināmais finansējums ir 166 462 726 euro, tai skaitā Eiropas Reģionālās attīstības fonda </w:t>
            </w:r>
            <w:r w:rsidRPr="00571ED2">
              <w:rPr>
                <w:bCs/>
              </w:rPr>
              <w:lastRenderedPageBreak/>
              <w:t>finansējums – 141 493 317 euro un valsts budžeta līdzfinansējums – 24 969 409 euro, paredzot iznākuma rādītāju un finanšu rādītāju plānojumu atbilstoši šo noteikumu 5. punktā minētajam apjomam. Maksimālais attiecināmais Eiropas Reģionālās attīstības fonda finansējuma apmērs ir 85 % no plānotā kopējā attiecināmā finansējuma, tai skaitā:</w:t>
            </w:r>
          </w:p>
          <w:p w14:paraId="2F29918E" w14:textId="77777777" w:rsidR="00571ED2" w:rsidRPr="00571ED2" w:rsidRDefault="00571ED2" w:rsidP="00571ED2">
            <w:pPr>
              <w:jc w:val="both"/>
              <w:rPr>
                <w:bCs/>
              </w:rPr>
            </w:pPr>
            <w:r w:rsidRPr="00571ED2">
              <w:rPr>
                <w:bCs/>
              </w:rPr>
              <w:t xml:space="preserve">9.1. </w:t>
            </w:r>
            <w:proofErr w:type="spellStart"/>
            <w:r w:rsidRPr="00571ED2">
              <w:rPr>
                <w:bCs/>
              </w:rPr>
              <w:t>grantu</w:t>
            </w:r>
            <w:proofErr w:type="spellEnd"/>
            <w:r w:rsidRPr="00571ED2">
              <w:rPr>
                <w:bCs/>
              </w:rPr>
              <w:t xml:space="preserve"> un "</w:t>
            </w:r>
            <w:proofErr w:type="spellStart"/>
            <w:r w:rsidRPr="00571ED2">
              <w:rPr>
                <w:bCs/>
              </w:rPr>
              <w:t>Altum</w:t>
            </w:r>
            <w:proofErr w:type="spellEnd"/>
            <w:r w:rsidRPr="00571ED2">
              <w:rPr>
                <w:bCs/>
              </w:rPr>
              <w:t>" projekta vadības un īstenošanas, kā arī konsultatīvā atbalsta izmaksām plānotais kopējais attiecināmais finansējums ir 144 450 903 euro, ieskaitot Eiropas Reģionālās attīstības fonda finansējumu – 122 783 267 euro un valsts budžeta finansējumu – 21 667 636 euro;</w:t>
            </w:r>
          </w:p>
          <w:p w14:paraId="68C1B313" w14:textId="77777777" w:rsidR="00571ED2" w:rsidRPr="00571ED2" w:rsidRDefault="00571ED2" w:rsidP="00571ED2">
            <w:pPr>
              <w:jc w:val="both"/>
              <w:rPr>
                <w:bCs/>
              </w:rPr>
            </w:pPr>
            <w:r w:rsidRPr="00571ED2">
              <w:rPr>
                <w:bCs/>
              </w:rPr>
              <w:t xml:space="preserve">9.2. finanšu instrumentam, tai skaitā aizdevumu, garantiju un finanšu instrumenta pārvaldības izmaksām plānotais kopējais attiecināmais finansējums ir </w:t>
            </w:r>
            <w:r w:rsidRPr="00571ED2">
              <w:rPr>
                <w:bCs/>
              </w:rPr>
              <w:lastRenderedPageBreak/>
              <w:t>22 011 823 euro, ieskaitot Eiropas Reģionālās attīstības fonda finansējumu – 18 710 050 euro un valsts budžeta līdzfinansējumu – 3 301 773 euro.</w:t>
            </w:r>
          </w:p>
          <w:p w14:paraId="69FFCC79" w14:textId="77777777" w:rsidR="00571ED2" w:rsidRPr="00571ED2" w:rsidRDefault="00571ED2" w:rsidP="00571ED2">
            <w:pPr>
              <w:jc w:val="both"/>
              <w:rPr>
                <w:bCs/>
              </w:rPr>
            </w:pPr>
            <w:r w:rsidRPr="00571ED2">
              <w:rPr>
                <w:bCs/>
              </w:rPr>
              <w:t>10. Pieejamais kopējais attiecināmais finansējums līgumam par projekta īstenošanu un finansēšanas nolīgumam ir 153 041 132 euro, ieskaitot Eiropas Reģionālās attīstības fonda finansējumu – 130 084 962 euro un valsts budžeta finansējumu – 22 956 170 euro, tai skaitā:</w:t>
            </w:r>
          </w:p>
          <w:p w14:paraId="15541F5E" w14:textId="7490ECDE" w:rsidR="00571ED2" w:rsidRPr="00571ED2" w:rsidRDefault="00571ED2" w:rsidP="00571ED2">
            <w:pPr>
              <w:jc w:val="both"/>
              <w:rPr>
                <w:bCs/>
              </w:rPr>
            </w:pPr>
            <w:r w:rsidRPr="00571ED2">
              <w:rPr>
                <w:bCs/>
              </w:rPr>
              <w:t xml:space="preserve">10.1. </w:t>
            </w:r>
            <w:proofErr w:type="spellStart"/>
            <w:r w:rsidRPr="00571ED2">
              <w:rPr>
                <w:bCs/>
              </w:rPr>
              <w:t>grantu</w:t>
            </w:r>
            <w:proofErr w:type="spellEnd"/>
            <w:r w:rsidRPr="00571ED2">
              <w:rPr>
                <w:bCs/>
              </w:rPr>
              <w:t xml:space="preserve"> un "</w:t>
            </w:r>
            <w:proofErr w:type="spellStart"/>
            <w:r w:rsidRPr="00571ED2">
              <w:rPr>
                <w:bCs/>
              </w:rPr>
              <w:t>Altum</w:t>
            </w:r>
            <w:proofErr w:type="spellEnd"/>
            <w:r w:rsidRPr="00571ED2">
              <w:rPr>
                <w:bCs/>
              </w:rPr>
              <w:t>" projekta vadības un īstenošanas, kā arī konsultatīvā atbalsta izmaksām pieejamais kopējais attiecināmais finansējums ir 132 950 020 euro, ieskaitot Eiropas Reģionālās attīstības fonda finansējumu – 113 007 5</w:t>
            </w:r>
            <w:r w:rsidR="00DA0934">
              <w:rPr>
                <w:bCs/>
              </w:rPr>
              <w:t>17</w:t>
            </w:r>
            <w:r w:rsidRPr="00571ED2">
              <w:rPr>
                <w:bCs/>
              </w:rPr>
              <w:t xml:space="preserve"> euro un valsts budžeta līdzfinansējumu – 19 942 503 euro;</w:t>
            </w:r>
          </w:p>
          <w:p w14:paraId="22108382" w14:textId="574411B8" w:rsidR="00571ED2" w:rsidRPr="00D56C33" w:rsidRDefault="00571ED2" w:rsidP="00571ED2">
            <w:pPr>
              <w:jc w:val="both"/>
              <w:rPr>
                <w:b/>
              </w:rPr>
            </w:pPr>
            <w:r w:rsidRPr="00571ED2">
              <w:rPr>
                <w:bCs/>
              </w:rPr>
              <w:t xml:space="preserve">10.2. finanšu instrumentam, tai skaitā aizdevumu, garantiju un finanšu instrumentu </w:t>
            </w:r>
            <w:r w:rsidRPr="00571ED2">
              <w:rPr>
                <w:bCs/>
              </w:rPr>
              <w:lastRenderedPageBreak/>
              <w:t>pārvaldības izmaksām pieejamais kopējais attiecināmais finansējums ir 20 091 112 euro, ieskaitot Eiropas Reģionālās attīstības fonda finansējumu – 17 077 445 euro un valsts budžeta finansējumu – 3 013 667 euro.””</w:t>
            </w:r>
          </w:p>
        </w:tc>
      </w:tr>
      <w:tr w:rsidR="00101C70" w:rsidRPr="00CC4FF7" w14:paraId="0BD09E47" w14:textId="77777777" w:rsidTr="00BA11CC">
        <w:tc>
          <w:tcPr>
            <w:tcW w:w="716" w:type="dxa"/>
            <w:tcBorders>
              <w:left w:val="single" w:sz="6" w:space="0" w:color="000000"/>
              <w:bottom w:val="single" w:sz="4" w:space="0" w:color="000000"/>
              <w:right w:val="single" w:sz="4" w:space="0" w:color="auto"/>
            </w:tcBorders>
          </w:tcPr>
          <w:p w14:paraId="247358CF" w14:textId="77777777" w:rsidR="00101C70" w:rsidRPr="00CC4FF7" w:rsidRDefault="00101C70" w:rsidP="00101C70">
            <w:pPr>
              <w:pStyle w:val="ListParagraph"/>
              <w:numPr>
                <w:ilvl w:val="0"/>
                <w:numId w:val="1"/>
              </w:numPr>
              <w:spacing w:after="0" w:line="240" w:lineRule="auto"/>
              <w:ind w:left="357" w:hanging="357"/>
              <w:rPr>
                <w:rFonts w:ascii="Times New Roman" w:hAnsi="Times New Roman"/>
              </w:rPr>
            </w:pPr>
          </w:p>
        </w:tc>
        <w:tc>
          <w:tcPr>
            <w:tcW w:w="3086" w:type="dxa"/>
            <w:tcBorders>
              <w:top w:val="single" w:sz="4" w:space="0" w:color="auto"/>
              <w:left w:val="single" w:sz="4" w:space="0" w:color="auto"/>
              <w:bottom w:val="single" w:sz="4" w:space="0" w:color="000000"/>
              <w:right w:val="single" w:sz="4" w:space="0" w:color="auto"/>
            </w:tcBorders>
          </w:tcPr>
          <w:p w14:paraId="7822C8B9" w14:textId="330B2AF3" w:rsidR="00101C70" w:rsidRPr="00D56C33" w:rsidRDefault="00101C70" w:rsidP="00101C70">
            <w:pPr>
              <w:pStyle w:val="naisc"/>
              <w:spacing w:before="0" w:after="0"/>
              <w:jc w:val="both"/>
              <w:rPr>
                <w:b/>
              </w:rPr>
            </w:pPr>
            <w:r w:rsidRPr="00D56C33">
              <w:rPr>
                <w:b/>
              </w:rPr>
              <w:t>Noteikumu projekts</w:t>
            </w:r>
          </w:p>
        </w:tc>
        <w:tc>
          <w:tcPr>
            <w:tcW w:w="3987" w:type="dxa"/>
            <w:tcBorders>
              <w:left w:val="single" w:sz="4" w:space="0" w:color="auto"/>
              <w:bottom w:val="single" w:sz="4" w:space="0" w:color="000000"/>
              <w:right w:val="single" w:sz="6" w:space="0" w:color="000000"/>
            </w:tcBorders>
          </w:tcPr>
          <w:p w14:paraId="4E7B6958" w14:textId="77777777" w:rsidR="00101C70" w:rsidRPr="00D56C33" w:rsidRDefault="00101C70" w:rsidP="00101C70">
            <w:pPr>
              <w:pStyle w:val="naisc"/>
              <w:spacing w:before="0" w:after="0"/>
              <w:jc w:val="both"/>
              <w:rPr>
                <w:b/>
              </w:rPr>
            </w:pPr>
            <w:r w:rsidRPr="00D56C33">
              <w:rPr>
                <w:b/>
              </w:rPr>
              <w:t>Ekonomikas ministrijas 24.05.2019. priekšlikums:</w:t>
            </w:r>
          </w:p>
          <w:p w14:paraId="6F85303B" w14:textId="025EFDD6" w:rsidR="00101C70" w:rsidRPr="00D56C33" w:rsidRDefault="00101C70" w:rsidP="00C56DDF">
            <w:pPr>
              <w:pStyle w:val="Heading2"/>
              <w:spacing w:line="240" w:lineRule="auto"/>
              <w:jc w:val="both"/>
              <w:rPr>
                <w:i w:val="0"/>
              </w:rPr>
            </w:pPr>
            <w:r w:rsidRPr="00D56C33">
              <w:rPr>
                <w:i w:val="0"/>
              </w:rPr>
              <w:t>Šī brīža MK noteikumu Nr. 160 redakcijā noteikts, ka no 2018. gada 1. janvāra pilnvarotajai personai jāiesniedz pieteikums par energoefektivitātes paaugstināšanas pasākumu tehnisko</w:t>
            </w:r>
            <w:r w:rsidRPr="00D56C33">
              <w:t xml:space="preserve"> </w:t>
            </w:r>
            <w:r w:rsidRPr="00D56C33">
              <w:rPr>
                <w:i w:val="0"/>
              </w:rPr>
              <w:t xml:space="preserve">dokumentāciju </w:t>
            </w:r>
            <w:r w:rsidRPr="00D56C33">
              <w:rPr>
                <w:b/>
                <w:i w:val="0"/>
              </w:rPr>
              <w:t>vai</w:t>
            </w:r>
            <w:r w:rsidRPr="00D56C33">
              <w:rPr>
                <w:i w:val="0"/>
              </w:rPr>
              <w:t xml:space="preserve"> AS "Attīstības finanšu institūcija </w:t>
            </w:r>
            <w:proofErr w:type="spellStart"/>
            <w:r w:rsidRPr="00D56C33">
              <w:rPr>
                <w:i w:val="0"/>
              </w:rPr>
              <w:t>Altum</w:t>
            </w:r>
            <w:proofErr w:type="spellEnd"/>
            <w:r w:rsidRPr="00D56C33">
              <w:rPr>
                <w:i w:val="0"/>
              </w:rPr>
              <w:t xml:space="preserve">" (turpmāk – </w:t>
            </w:r>
            <w:proofErr w:type="spellStart"/>
            <w:r w:rsidRPr="00D56C33">
              <w:rPr>
                <w:i w:val="0"/>
              </w:rPr>
              <w:t>Altum</w:t>
            </w:r>
            <w:proofErr w:type="spellEnd"/>
            <w:r w:rsidRPr="00D56C33">
              <w:rPr>
                <w:i w:val="0"/>
              </w:rPr>
              <w:t xml:space="preserve">) </w:t>
            </w:r>
            <w:proofErr w:type="spellStart"/>
            <w:r w:rsidRPr="00D56C33">
              <w:rPr>
                <w:i w:val="0"/>
              </w:rPr>
              <w:t>granta</w:t>
            </w:r>
            <w:proofErr w:type="spellEnd"/>
            <w:r w:rsidRPr="00D56C33">
              <w:rPr>
                <w:i w:val="0"/>
              </w:rPr>
              <w:t xml:space="preserve"> pieteikums. Līdz ar to rodas neskaidrības, vai abiem pieteikumiem jābūt iesniegtiem no 2018. gada 1. janvāra, vai arī vienam no noteiktajiem.</w:t>
            </w:r>
          </w:p>
          <w:p w14:paraId="63982A69" w14:textId="77777777" w:rsidR="00101C70" w:rsidRPr="00D56C33" w:rsidRDefault="00101C70" w:rsidP="00C56DDF">
            <w:pPr>
              <w:pStyle w:val="Heading2"/>
              <w:spacing w:line="240" w:lineRule="auto"/>
              <w:jc w:val="both"/>
              <w:rPr>
                <w:i w:val="0"/>
              </w:rPr>
            </w:pPr>
            <w:r w:rsidRPr="00D56C33">
              <w:rPr>
                <w:i w:val="0"/>
              </w:rPr>
              <w:t xml:space="preserve">Vēršam uzmanību, ka MK noteikumos Nr. 160 noteikts, ka tehniskās dokumentācijas sagatavošanas izmaksas ir attiecināmas no 2017. gada 1. janvāra. Tikai tad, kad pilnvarotā persona par tehnisko dokumentāciju saņēmusi pozitīvu atzinumu no Altum, </w:t>
            </w:r>
            <w:r w:rsidRPr="00D56C33">
              <w:rPr>
                <w:i w:val="0"/>
              </w:rPr>
              <w:lastRenderedPageBreak/>
              <w:t xml:space="preserve">saskaņā ar MK noteikumiem Nr. 160, jāiesniedz </w:t>
            </w:r>
            <w:proofErr w:type="spellStart"/>
            <w:r w:rsidRPr="00D56C33">
              <w:rPr>
                <w:i w:val="0"/>
              </w:rPr>
              <w:t>granta</w:t>
            </w:r>
            <w:proofErr w:type="spellEnd"/>
            <w:r w:rsidRPr="00D56C33">
              <w:rPr>
                <w:i w:val="0"/>
              </w:rPr>
              <w:t xml:space="preserve"> pieteikums.</w:t>
            </w:r>
          </w:p>
          <w:p w14:paraId="5F9FFC66" w14:textId="77777777" w:rsidR="00101C70" w:rsidRPr="00D56C33" w:rsidRDefault="00101C70" w:rsidP="00C56DDF">
            <w:pPr>
              <w:pStyle w:val="Heading2"/>
              <w:spacing w:line="240" w:lineRule="auto"/>
              <w:jc w:val="both"/>
              <w:rPr>
                <w:i w:val="0"/>
              </w:rPr>
            </w:pPr>
            <w:r w:rsidRPr="00D56C33">
              <w:rPr>
                <w:i w:val="0"/>
              </w:rPr>
              <w:t xml:space="preserve">Pamatojoties uz iepriekš minēto, izriet, ka tikai </w:t>
            </w:r>
            <w:proofErr w:type="spellStart"/>
            <w:r w:rsidRPr="00D56C33">
              <w:rPr>
                <w:i w:val="0"/>
              </w:rPr>
              <w:t>granta</w:t>
            </w:r>
            <w:proofErr w:type="spellEnd"/>
            <w:r w:rsidRPr="00D56C33">
              <w:rPr>
                <w:i w:val="0"/>
              </w:rPr>
              <w:t xml:space="preserve"> pieteikumam jābūt iesniegtam sākot ar 2018. gada 1. janvāri. Ņemot vērā, ka tehniskās dokumentācijas sagatavošanas izmaksas tiek attiecinātas no 2017. gada 1. janvāra un nepieciešamais laiks  tehniskās dokumentācijas sagatavošanai un saskaņošanai vidēji ilgst no 8 mēnešiem līdz pat gadam (vai pat ilgāk), pieteikums, lai saņemtu pozitīvu atzinumu no Altum par energoefektivitātes paaugstināšanas pasākumu tehnisko dokumentāciju, var tikt iesniegts pirms 2018. gada 1. janvāra. </w:t>
            </w:r>
          </w:p>
          <w:p w14:paraId="697B6501" w14:textId="113CAAED" w:rsidR="00101C70" w:rsidRPr="00D56C33" w:rsidRDefault="00101C70" w:rsidP="00C56DDF">
            <w:pPr>
              <w:pStyle w:val="Heading2"/>
              <w:spacing w:line="240" w:lineRule="auto"/>
              <w:jc w:val="both"/>
              <w:rPr>
                <w:b/>
              </w:rPr>
            </w:pPr>
            <w:r w:rsidRPr="00D56C33">
              <w:rPr>
                <w:i w:val="0"/>
              </w:rPr>
              <w:t>Papildus informējam, ka neviena pilnvarotā persona nav izmantojusi iespēju izmaksas attiecināt ņemot vērā noteikto iesniegšanas datumu MK noteikumu Nr.160 39. punktā noteiktajam pieteikumam tehniskās dokumentācijas izvērtēšanai.</w:t>
            </w:r>
          </w:p>
        </w:tc>
        <w:tc>
          <w:tcPr>
            <w:tcW w:w="3827" w:type="dxa"/>
            <w:tcBorders>
              <w:left w:val="single" w:sz="6" w:space="0" w:color="000000"/>
              <w:bottom w:val="single" w:sz="4" w:space="0" w:color="000000"/>
              <w:right w:val="single" w:sz="6" w:space="0" w:color="000000"/>
            </w:tcBorders>
          </w:tcPr>
          <w:p w14:paraId="3DDEC4AF" w14:textId="77777777" w:rsidR="00101C70" w:rsidRPr="00D56C33" w:rsidRDefault="00101C70" w:rsidP="00101C70">
            <w:pPr>
              <w:pStyle w:val="naisc"/>
              <w:spacing w:before="0" w:after="0"/>
              <w:rPr>
                <w:b/>
              </w:rPr>
            </w:pPr>
          </w:p>
        </w:tc>
        <w:tc>
          <w:tcPr>
            <w:tcW w:w="3118" w:type="dxa"/>
            <w:tcBorders>
              <w:top w:val="single" w:sz="4" w:space="0" w:color="auto"/>
              <w:left w:val="single" w:sz="4" w:space="0" w:color="auto"/>
              <w:bottom w:val="single" w:sz="4" w:space="0" w:color="000000"/>
            </w:tcBorders>
          </w:tcPr>
          <w:p w14:paraId="2C9D9611" w14:textId="05A19DAF" w:rsidR="00101C70" w:rsidRPr="00D56C33" w:rsidRDefault="00101C70" w:rsidP="00101C70">
            <w:pPr>
              <w:jc w:val="both"/>
              <w:rPr>
                <w:b/>
              </w:rPr>
            </w:pPr>
            <w:r w:rsidRPr="00D56C33">
              <w:rPr>
                <w:b/>
              </w:rPr>
              <w:t xml:space="preserve">Noteikumu projekts papildināts ar </w:t>
            </w:r>
            <w:r w:rsidR="0044629C">
              <w:rPr>
                <w:b/>
              </w:rPr>
              <w:t>6</w:t>
            </w:r>
            <w:r w:rsidRPr="00D56C33">
              <w:rPr>
                <w:b/>
              </w:rPr>
              <w:t>.punktu šādā redakcijā:</w:t>
            </w:r>
          </w:p>
          <w:p w14:paraId="3492E4C4" w14:textId="1465A6B1" w:rsidR="00101C70" w:rsidRPr="00D56C33" w:rsidRDefault="00F70471" w:rsidP="00101C70">
            <w:pPr>
              <w:jc w:val="both"/>
            </w:pPr>
            <w:r>
              <w:t>“</w:t>
            </w:r>
            <w:r w:rsidR="00101C70" w:rsidRPr="00D56C33">
              <w:t xml:space="preserve">Svītrot 33.1 un 88. punktā skaitli un vārdu </w:t>
            </w:r>
            <w:r>
              <w:t>“</w:t>
            </w:r>
            <w:r w:rsidR="00101C70" w:rsidRPr="00D56C33">
              <w:t>39. vai</w:t>
            </w:r>
            <w:r>
              <w:t>”</w:t>
            </w:r>
            <w:r w:rsidR="00101C70" w:rsidRPr="00D56C33">
              <w:t>.</w:t>
            </w:r>
            <w:r>
              <w:t>”</w:t>
            </w:r>
          </w:p>
          <w:p w14:paraId="262C47F1" w14:textId="77777777" w:rsidR="00101C70" w:rsidRPr="00D56C33" w:rsidRDefault="00101C70" w:rsidP="00101C70">
            <w:pPr>
              <w:jc w:val="both"/>
              <w:rPr>
                <w:b/>
              </w:rPr>
            </w:pPr>
          </w:p>
        </w:tc>
      </w:tr>
      <w:tr w:rsidR="00101C70" w:rsidRPr="00CC4FF7" w14:paraId="0D48B938" w14:textId="77777777" w:rsidTr="00BA11CC">
        <w:tc>
          <w:tcPr>
            <w:tcW w:w="716" w:type="dxa"/>
            <w:tcBorders>
              <w:left w:val="single" w:sz="6" w:space="0" w:color="000000"/>
              <w:bottom w:val="single" w:sz="4" w:space="0" w:color="000000"/>
              <w:right w:val="single" w:sz="4" w:space="0" w:color="auto"/>
            </w:tcBorders>
          </w:tcPr>
          <w:p w14:paraId="16B6CB34" w14:textId="77777777" w:rsidR="00101C70" w:rsidRPr="00CC4FF7" w:rsidRDefault="00101C70" w:rsidP="00101C70">
            <w:pPr>
              <w:pStyle w:val="ListParagraph"/>
              <w:numPr>
                <w:ilvl w:val="0"/>
                <w:numId w:val="1"/>
              </w:numPr>
              <w:spacing w:after="0" w:line="240" w:lineRule="auto"/>
              <w:ind w:left="357" w:hanging="357"/>
              <w:rPr>
                <w:rFonts w:ascii="Times New Roman" w:hAnsi="Times New Roman"/>
              </w:rPr>
            </w:pPr>
          </w:p>
        </w:tc>
        <w:tc>
          <w:tcPr>
            <w:tcW w:w="3086" w:type="dxa"/>
            <w:tcBorders>
              <w:top w:val="single" w:sz="4" w:space="0" w:color="auto"/>
              <w:left w:val="single" w:sz="4" w:space="0" w:color="auto"/>
              <w:bottom w:val="single" w:sz="4" w:space="0" w:color="000000"/>
              <w:right w:val="single" w:sz="4" w:space="0" w:color="auto"/>
            </w:tcBorders>
          </w:tcPr>
          <w:p w14:paraId="7D9E43A8" w14:textId="57EB1846" w:rsidR="00101C70" w:rsidRPr="00D56C33" w:rsidRDefault="00101C70" w:rsidP="00101C70">
            <w:pPr>
              <w:pStyle w:val="naisc"/>
              <w:spacing w:before="0" w:after="0"/>
              <w:jc w:val="both"/>
              <w:rPr>
                <w:b/>
              </w:rPr>
            </w:pPr>
            <w:r w:rsidRPr="00D56C33">
              <w:rPr>
                <w:b/>
              </w:rPr>
              <w:t>Noteikumu projekt</w:t>
            </w:r>
            <w:r>
              <w:rPr>
                <w:b/>
              </w:rPr>
              <w:t>s</w:t>
            </w:r>
            <w:r w:rsidRPr="00D56C33">
              <w:rPr>
                <w:b/>
              </w:rPr>
              <w:t xml:space="preserve"> </w:t>
            </w:r>
          </w:p>
        </w:tc>
        <w:tc>
          <w:tcPr>
            <w:tcW w:w="3987" w:type="dxa"/>
            <w:tcBorders>
              <w:left w:val="single" w:sz="4" w:space="0" w:color="auto"/>
              <w:bottom w:val="single" w:sz="4" w:space="0" w:color="000000"/>
              <w:right w:val="single" w:sz="6" w:space="0" w:color="000000"/>
            </w:tcBorders>
          </w:tcPr>
          <w:p w14:paraId="710F2765" w14:textId="77777777" w:rsidR="00101C70" w:rsidRPr="00D56C33" w:rsidRDefault="00101C70" w:rsidP="00101C70">
            <w:pPr>
              <w:pStyle w:val="naisc"/>
              <w:spacing w:before="0" w:after="0"/>
              <w:jc w:val="both"/>
              <w:rPr>
                <w:b/>
              </w:rPr>
            </w:pPr>
            <w:r w:rsidRPr="00D56C33">
              <w:rPr>
                <w:b/>
              </w:rPr>
              <w:t>Finanšu ministrijas 03.04.2019. 2.iebildums:</w:t>
            </w:r>
          </w:p>
          <w:p w14:paraId="6D673218" w14:textId="77777777" w:rsidR="00101C70" w:rsidRPr="00D56C33" w:rsidRDefault="00101C70" w:rsidP="00101C70">
            <w:pPr>
              <w:pStyle w:val="naisc"/>
              <w:spacing w:before="0" w:after="0"/>
              <w:ind w:right="3"/>
              <w:jc w:val="both"/>
            </w:pPr>
            <w:r w:rsidRPr="00D56C33">
              <w:t>“Ņemot vērā MK noteikumu projekta 2.punktā ietvertos grozījumus, lūdzam atbilstoši veikt grozījumus arī MK noteikumu Nr.160 39.4.apakšpunktā.”</w:t>
            </w:r>
          </w:p>
          <w:p w14:paraId="3B9685F5" w14:textId="77777777" w:rsidR="00101C70" w:rsidRPr="00D56C33" w:rsidRDefault="00101C70" w:rsidP="00101C70">
            <w:pPr>
              <w:pStyle w:val="naisc"/>
              <w:spacing w:before="0" w:after="0"/>
              <w:jc w:val="both"/>
              <w:rPr>
                <w:b/>
              </w:rPr>
            </w:pPr>
          </w:p>
        </w:tc>
        <w:tc>
          <w:tcPr>
            <w:tcW w:w="3827" w:type="dxa"/>
            <w:tcBorders>
              <w:left w:val="single" w:sz="6" w:space="0" w:color="000000"/>
              <w:bottom w:val="single" w:sz="4" w:space="0" w:color="000000"/>
              <w:right w:val="single" w:sz="6" w:space="0" w:color="000000"/>
            </w:tcBorders>
          </w:tcPr>
          <w:p w14:paraId="189DE0A6" w14:textId="2AF9ABD8" w:rsidR="00101C70" w:rsidRPr="00D56C33" w:rsidRDefault="00101C70" w:rsidP="00C56DDF">
            <w:pPr>
              <w:pStyle w:val="naisc"/>
              <w:spacing w:before="0" w:after="0"/>
              <w:rPr>
                <w:b/>
              </w:rPr>
            </w:pPr>
            <w:r w:rsidRPr="00D56C33">
              <w:rPr>
                <w:b/>
              </w:rPr>
              <w:lastRenderedPageBreak/>
              <w:t>Ņemts vērā</w:t>
            </w:r>
          </w:p>
        </w:tc>
        <w:tc>
          <w:tcPr>
            <w:tcW w:w="3118" w:type="dxa"/>
            <w:tcBorders>
              <w:top w:val="single" w:sz="4" w:space="0" w:color="auto"/>
              <w:left w:val="single" w:sz="4" w:space="0" w:color="auto"/>
              <w:bottom w:val="single" w:sz="4" w:space="0" w:color="000000"/>
            </w:tcBorders>
          </w:tcPr>
          <w:p w14:paraId="47425150" w14:textId="3D45E83C" w:rsidR="00101C70" w:rsidRPr="00D56C33" w:rsidRDefault="00101C70" w:rsidP="00101C70">
            <w:pPr>
              <w:jc w:val="both"/>
              <w:rPr>
                <w:b/>
              </w:rPr>
            </w:pPr>
            <w:r w:rsidRPr="00D56C33">
              <w:rPr>
                <w:b/>
              </w:rPr>
              <w:t xml:space="preserve">Noteikumu projekts papildināts ar </w:t>
            </w:r>
            <w:r w:rsidR="000721B7">
              <w:rPr>
                <w:b/>
              </w:rPr>
              <w:t>6</w:t>
            </w:r>
            <w:r w:rsidRPr="00D56C33">
              <w:rPr>
                <w:b/>
              </w:rPr>
              <w:t>.punktu šādā redakcijā:</w:t>
            </w:r>
          </w:p>
          <w:p w14:paraId="56364DB7" w14:textId="77777777" w:rsidR="00101C70" w:rsidRPr="00D56C33" w:rsidRDefault="00101C70" w:rsidP="00101C70">
            <w:pPr>
              <w:pStyle w:val="naisc"/>
              <w:spacing w:before="0" w:after="0"/>
              <w:jc w:val="both"/>
            </w:pPr>
            <w:r w:rsidRPr="00D56C33">
              <w:t>“Izteikt 39.4. apakšpunktu šādā redakcijā:</w:t>
            </w:r>
          </w:p>
          <w:p w14:paraId="7BBFEF35" w14:textId="7C5055A5" w:rsidR="00101C70" w:rsidRPr="00D56C33" w:rsidRDefault="00101C70" w:rsidP="00101C70">
            <w:pPr>
              <w:jc w:val="both"/>
            </w:pPr>
            <w:r w:rsidRPr="00D56C33">
              <w:lastRenderedPageBreak/>
              <w:t xml:space="preserve">“39.4. </w:t>
            </w:r>
            <w:proofErr w:type="spellStart"/>
            <w:r w:rsidRPr="00D56C33">
              <w:t>būvspeciālistu</w:t>
            </w:r>
            <w:proofErr w:type="spellEnd"/>
            <w:r w:rsidRPr="00D56C33">
              <w:t xml:space="preserve"> sagatavotu būvprojektu vai ēkas fasādes apliecinājuma karti un darba organizācijas projektu saskaņā ar II un III grupas ēku atjaunošanas vai vienkāršotās atjaunošanas nosacījumiem atbilstoši ēku būvnoteikumiem;””</w:t>
            </w:r>
          </w:p>
        </w:tc>
      </w:tr>
      <w:tr w:rsidR="00101C70" w:rsidRPr="00CC4FF7" w14:paraId="7BF03C0F" w14:textId="77777777" w:rsidTr="00C56DDF">
        <w:tc>
          <w:tcPr>
            <w:tcW w:w="716" w:type="dxa"/>
            <w:tcBorders>
              <w:left w:val="single" w:sz="6" w:space="0" w:color="000000"/>
              <w:bottom w:val="single" w:sz="4" w:space="0" w:color="000000"/>
              <w:right w:val="single" w:sz="4" w:space="0" w:color="auto"/>
            </w:tcBorders>
          </w:tcPr>
          <w:p w14:paraId="4F0C2DB2" w14:textId="77777777" w:rsidR="00101C70" w:rsidRPr="00CC4FF7" w:rsidRDefault="00101C70" w:rsidP="00101C70">
            <w:pPr>
              <w:pStyle w:val="ListParagraph"/>
              <w:numPr>
                <w:ilvl w:val="0"/>
                <w:numId w:val="1"/>
              </w:numPr>
              <w:spacing w:after="0" w:line="240" w:lineRule="auto"/>
              <w:ind w:left="357" w:hanging="357"/>
              <w:rPr>
                <w:rFonts w:ascii="Times New Roman" w:hAnsi="Times New Roman"/>
              </w:rPr>
            </w:pPr>
          </w:p>
        </w:tc>
        <w:tc>
          <w:tcPr>
            <w:tcW w:w="3086" w:type="dxa"/>
            <w:tcBorders>
              <w:top w:val="single" w:sz="4" w:space="0" w:color="auto"/>
              <w:left w:val="single" w:sz="4" w:space="0" w:color="auto"/>
              <w:bottom w:val="single" w:sz="4" w:space="0" w:color="000000"/>
              <w:right w:val="single" w:sz="4" w:space="0" w:color="auto"/>
            </w:tcBorders>
          </w:tcPr>
          <w:p w14:paraId="2141DDDB" w14:textId="77777777" w:rsidR="00101C70" w:rsidRPr="00D56C33" w:rsidRDefault="00101C70" w:rsidP="00101C70">
            <w:pPr>
              <w:pStyle w:val="naisc"/>
              <w:spacing w:before="0" w:after="0"/>
              <w:jc w:val="both"/>
              <w:rPr>
                <w:b/>
              </w:rPr>
            </w:pPr>
            <w:r w:rsidRPr="00D56C33">
              <w:rPr>
                <w:b/>
              </w:rPr>
              <w:t>Noteikumu projekta 5. un 6.punkts:</w:t>
            </w:r>
          </w:p>
          <w:p w14:paraId="76E8EC61" w14:textId="77777777" w:rsidR="00101C70" w:rsidRPr="00D56C33" w:rsidRDefault="00101C70" w:rsidP="00101C70">
            <w:pPr>
              <w:pStyle w:val="naisc"/>
              <w:jc w:val="both"/>
            </w:pPr>
            <w:r w:rsidRPr="00D56C33">
              <w:t>“5.</w:t>
            </w:r>
            <w:r w:rsidRPr="00D56C33">
              <w:tab/>
              <w:t>Izteikt 41. punkta ievaddaļu šādā redakcijā:</w:t>
            </w:r>
          </w:p>
          <w:p w14:paraId="60C12C90" w14:textId="77777777" w:rsidR="00101C70" w:rsidRPr="00D56C33" w:rsidRDefault="00101C70" w:rsidP="00101C70">
            <w:pPr>
              <w:pStyle w:val="naisc"/>
              <w:spacing w:before="0" w:after="0"/>
              <w:jc w:val="both"/>
            </w:pPr>
            <w:r w:rsidRPr="00D56C33">
              <w:t xml:space="preserve">“41. Dzīvokļu īpašnieku pilnvarotā persona vai energoefektivitātes pakalpojuma sniedzējs (ja energoefektivitātes paaugstināšanas pasākumu īstenošanai dzīvokļu īpašnieki tādu ir izvēlējušies), kā pasūtītāju izvēlas būvkomersantu, </w:t>
            </w:r>
            <w:proofErr w:type="spellStart"/>
            <w:r w:rsidRPr="00D56C33">
              <w:t>autoruzraugu</w:t>
            </w:r>
            <w:proofErr w:type="spellEnd"/>
            <w:r w:rsidRPr="00D56C33">
              <w:t>, būvuzraugu un citus piegādātājus atbilstoši sabiedrības "Altum" norādījumiem piegādātāju atlases veikšanas jomā, ievērojot šādus nosacījumus:””</w:t>
            </w:r>
          </w:p>
          <w:p w14:paraId="6DD77CBB" w14:textId="77777777" w:rsidR="00101C70" w:rsidRPr="00D56C33" w:rsidRDefault="00101C70" w:rsidP="00101C70">
            <w:pPr>
              <w:pStyle w:val="naisc"/>
              <w:jc w:val="both"/>
            </w:pPr>
          </w:p>
          <w:p w14:paraId="7ED90BC3" w14:textId="77777777" w:rsidR="00101C70" w:rsidRPr="00D56C33" w:rsidRDefault="00101C70" w:rsidP="00101C70">
            <w:pPr>
              <w:pStyle w:val="naisc"/>
              <w:jc w:val="both"/>
            </w:pPr>
            <w:r w:rsidRPr="00D56C33">
              <w:lastRenderedPageBreak/>
              <w:t>“6.</w:t>
            </w:r>
            <w:r w:rsidRPr="00D56C33">
              <w:tab/>
              <w:t>Papildināt noteikumus ar 41.</w:t>
            </w:r>
            <w:r w:rsidRPr="00C56DDF">
              <w:rPr>
                <w:vertAlign w:val="superscript"/>
              </w:rPr>
              <w:t>1</w:t>
            </w:r>
            <w:r w:rsidRPr="00D56C33">
              <w:t xml:space="preserve"> punktu šādā redakcijā:</w:t>
            </w:r>
          </w:p>
          <w:p w14:paraId="67A54587" w14:textId="2C5F934D" w:rsidR="00101C70" w:rsidRPr="00D56C33" w:rsidRDefault="00E3019A" w:rsidP="00101C70">
            <w:pPr>
              <w:pStyle w:val="naisc"/>
              <w:spacing w:before="0" w:after="0"/>
              <w:jc w:val="both"/>
            </w:pPr>
            <w:r>
              <w:t>“</w:t>
            </w:r>
            <w:r w:rsidR="00101C70" w:rsidRPr="00D56C33">
              <w:t>41.</w:t>
            </w:r>
            <w:r w:rsidR="00101C70" w:rsidRPr="00C56DDF">
              <w:rPr>
                <w:vertAlign w:val="superscript"/>
              </w:rPr>
              <w:t>1</w:t>
            </w:r>
            <w:r w:rsidR="00101C70" w:rsidRPr="00D56C33">
              <w:t xml:space="preserve"> Ja dzīvokļu īpašnieku pilnvarotā persona vai energoefektivitātes pakalpojuma sniedzējs (ja energoefektivitātes paaugstināšanas pasākumu īstenošanai dzīvokļu īpašnieki tādu ir izvēlējušies), nav Publisko iepirkumu likuma subjekts, tam nepiemēro normatīvo regulējumu par pasūtītāja finansētiem projektiem.””</w:t>
            </w:r>
          </w:p>
          <w:p w14:paraId="4A693877" w14:textId="77777777" w:rsidR="00101C70" w:rsidRPr="00D56C33" w:rsidRDefault="00101C70" w:rsidP="00101C70">
            <w:pPr>
              <w:pStyle w:val="naisc"/>
              <w:spacing w:before="0" w:after="0"/>
              <w:jc w:val="both"/>
              <w:rPr>
                <w:b/>
              </w:rPr>
            </w:pPr>
          </w:p>
        </w:tc>
        <w:tc>
          <w:tcPr>
            <w:tcW w:w="3987" w:type="dxa"/>
            <w:tcBorders>
              <w:left w:val="single" w:sz="4" w:space="0" w:color="auto"/>
              <w:bottom w:val="single" w:sz="4" w:space="0" w:color="000000"/>
              <w:right w:val="single" w:sz="6" w:space="0" w:color="000000"/>
            </w:tcBorders>
          </w:tcPr>
          <w:p w14:paraId="41A800B3" w14:textId="77777777" w:rsidR="00101C70" w:rsidRPr="00D56C33" w:rsidRDefault="00101C70" w:rsidP="00101C70">
            <w:pPr>
              <w:pStyle w:val="naisc"/>
              <w:spacing w:before="0" w:after="0"/>
              <w:jc w:val="both"/>
              <w:rPr>
                <w:b/>
              </w:rPr>
            </w:pPr>
            <w:r w:rsidRPr="00D56C33">
              <w:rPr>
                <w:b/>
              </w:rPr>
              <w:lastRenderedPageBreak/>
              <w:t>Finanšu ministrijas 03.04.2019. 5.iebildums:</w:t>
            </w:r>
          </w:p>
          <w:p w14:paraId="4A5EBFCD" w14:textId="284C4A6E" w:rsidR="005D4CE7" w:rsidRPr="00D56C33" w:rsidRDefault="00101C70" w:rsidP="00463A48">
            <w:pPr>
              <w:jc w:val="both"/>
            </w:pPr>
            <w:r w:rsidRPr="00D56C33">
              <w:t xml:space="preserve">“Ar grozījumiem tiek paredzēts noteikt, ka visiem arī Publisko iepirkumu likuma (turpmāk – PIL) subjektiem izvēloties būvkomersantu, </w:t>
            </w:r>
            <w:proofErr w:type="spellStart"/>
            <w:r w:rsidRPr="00D56C33">
              <w:t>autoruzraugu</w:t>
            </w:r>
            <w:proofErr w:type="spellEnd"/>
            <w:r w:rsidRPr="00D56C33">
              <w:t xml:space="preserve">, būvuzraugu un citus piegādātājus tas jādara atbilstoši “Altum” norādījumiem. Ņemot vērā, ka PIL subjektiem PIL ir piemērojams obligāti, lūdzam no noteikumu projekta svītrot 5. un 6.punktu. Ja ir nepieciešams noteikt, ka PIL subjekti izvēloties būvkomersantu, </w:t>
            </w:r>
            <w:proofErr w:type="spellStart"/>
            <w:r w:rsidRPr="00D56C33">
              <w:t>autoruzraugu</w:t>
            </w:r>
            <w:proofErr w:type="spellEnd"/>
            <w:r w:rsidRPr="00D56C33">
              <w:t xml:space="preserve">, būvuzraugu un citus piegādātājus ņem vērā nosacījumu, ka pasākumu īstenošanas izmaksas atbilst sabiedrības “Altum” noteiktajām vidējām tirgus cenām, šāds nosacījums ir nosakāms atsevišķā punktā, anotācijā precīzi izskaidrojot, ka PIL subjektiem ir saistošs gan PIL regulējums, gan arī </w:t>
            </w:r>
            <w:r w:rsidRPr="00D56C33">
              <w:lastRenderedPageBreak/>
              <w:t>sabiedrības “Altum” noteiktajās vidējās tirgus cenas.</w:t>
            </w:r>
          </w:p>
          <w:p w14:paraId="652FBA34" w14:textId="72703B57" w:rsidR="00101C70" w:rsidRPr="00D56C33" w:rsidRDefault="005D4CE7" w:rsidP="00463A48">
            <w:pPr>
              <w:jc w:val="both"/>
            </w:pPr>
            <w:r w:rsidRPr="00C56DDF">
              <w:t>Papildus aicinām izvērtēt, vai pilnvaroto personu pienākums ievērot sabiedrības “Altum” noteiktas vidējās tirgus cenās nav starp sabiedrības “Altum” un pilnvaroto personu savstarpēji noslēgtā līgumā, nevis MK noteikumu Nr.160 iekļaujamais regulējums.</w:t>
            </w:r>
          </w:p>
          <w:p w14:paraId="73073B4C" w14:textId="77777777" w:rsidR="00101C70" w:rsidRPr="00D56C33" w:rsidRDefault="00101C70" w:rsidP="00C56DDF">
            <w:pPr>
              <w:jc w:val="both"/>
            </w:pPr>
            <w:r w:rsidRPr="00D56C33">
              <w:t>Vienlaikus lūdzam precizēt anotācijas I sadaļas 2.punkta 2.apakšsadaļā “Noteikt, ka visām dzīvokļu īpašnieku pilnvarotām personām un energoefektivitātes pakalpojuma sniedzējiem pasūtītājs jāizvēlas, nodrošinot interešu konfliktu neesamību un izmaksu atbilstību vidējām tirgus cenām” noteikto.”</w:t>
            </w:r>
          </w:p>
        </w:tc>
        <w:tc>
          <w:tcPr>
            <w:tcW w:w="3827" w:type="dxa"/>
            <w:tcBorders>
              <w:left w:val="single" w:sz="6" w:space="0" w:color="000000"/>
              <w:bottom w:val="single" w:sz="4" w:space="0" w:color="000000"/>
              <w:right w:val="single" w:sz="6" w:space="0" w:color="000000"/>
            </w:tcBorders>
          </w:tcPr>
          <w:p w14:paraId="777ACDB7" w14:textId="25676EFE" w:rsidR="00101C70" w:rsidRPr="00D56C33" w:rsidRDefault="00101C70" w:rsidP="00C56DDF">
            <w:pPr>
              <w:pStyle w:val="naisc"/>
              <w:spacing w:before="0" w:after="0"/>
              <w:rPr>
                <w:b/>
              </w:rPr>
            </w:pPr>
            <w:r>
              <w:rPr>
                <w:b/>
              </w:rPr>
              <w:lastRenderedPageBreak/>
              <w:t>Daļēji ņ</w:t>
            </w:r>
            <w:r w:rsidRPr="00D56C33">
              <w:rPr>
                <w:b/>
              </w:rPr>
              <w:t>emts vērā</w:t>
            </w:r>
          </w:p>
          <w:p w14:paraId="59FB208B" w14:textId="05E1B226" w:rsidR="00D777AF" w:rsidRDefault="00101C70" w:rsidP="00101C70">
            <w:pPr>
              <w:pStyle w:val="naisc"/>
              <w:spacing w:before="0" w:after="0"/>
              <w:jc w:val="both"/>
            </w:pPr>
            <w:r w:rsidRPr="00D56C33">
              <w:t xml:space="preserve">Skaidrojam, ka ar grozījumiem tiek paredzēts skaidri noteikt, ka, gan tiem, kas ir PIL subjekti, gan tiem, kas nav PIL subjekti, izvēloties būvkomersantu, </w:t>
            </w:r>
            <w:proofErr w:type="spellStart"/>
            <w:r w:rsidRPr="00D56C33">
              <w:t>autoruzraugu</w:t>
            </w:r>
            <w:proofErr w:type="spellEnd"/>
            <w:r w:rsidRPr="00D56C33">
              <w:t>, būvuzraugu un citus piegādātājus, jāievēro interešu konfliktu neesamība un jānodrošina izmaksu atbilstība vidējām tirgus cenām</w:t>
            </w:r>
            <w:r w:rsidR="00E3019A">
              <w:t xml:space="preserve">. Papildus vēršam uzmanību, ka </w:t>
            </w:r>
            <w:r w:rsidR="00E3019A" w:rsidRPr="00D56C33">
              <w:t xml:space="preserve"> PIL subjektiem </w:t>
            </w:r>
            <w:r w:rsidR="00E3019A" w:rsidRPr="00C56DDF">
              <w:rPr>
                <w:u w:val="single"/>
              </w:rPr>
              <w:t>PIL ir piemērojams obligāti</w:t>
            </w:r>
            <w:r w:rsidR="00E3019A">
              <w:t>, līdz ar</w:t>
            </w:r>
            <w:r w:rsidR="00D777AF">
              <w:t xml:space="preserve"> to</w:t>
            </w:r>
          </w:p>
          <w:p w14:paraId="2FB9D5A3" w14:textId="431D32CF" w:rsidR="00101C70" w:rsidRPr="00D56C33" w:rsidRDefault="00D777AF" w:rsidP="00C56DDF">
            <w:pPr>
              <w:pStyle w:val="naisc"/>
              <w:spacing w:before="0" w:after="0"/>
              <w:jc w:val="both"/>
            </w:pPr>
            <w:r>
              <w:t>PIL regulējums ir saistošs</w:t>
            </w:r>
            <w:r w:rsidRPr="00D777AF">
              <w:t xml:space="preserve"> arī tad, ja tas neti</w:t>
            </w:r>
            <w:r>
              <w:t>ek</w:t>
            </w:r>
            <w:r w:rsidRPr="00D777AF">
              <w:t xml:space="preserve"> iekļauts noteikumos.</w:t>
            </w:r>
            <w:r>
              <w:t xml:space="preserve">  Papildus skaidrojums par PIL subjektiem sniegts Anotācijā.</w:t>
            </w:r>
            <w:r w:rsidR="0099144D">
              <w:t xml:space="preserve"> Skaidrākai izpratnei, veikti precizējumi Noteikumu projektā.</w:t>
            </w:r>
          </w:p>
          <w:p w14:paraId="53E9C912" w14:textId="77777777" w:rsidR="00101C70" w:rsidRPr="00D56C33" w:rsidRDefault="00101C70" w:rsidP="00101C70">
            <w:pPr>
              <w:pStyle w:val="naisc"/>
              <w:spacing w:before="0" w:after="0"/>
              <w:jc w:val="both"/>
            </w:pPr>
          </w:p>
          <w:p w14:paraId="05AEAE56" w14:textId="3B2CAB0A" w:rsidR="00101C70" w:rsidRPr="00D56C33" w:rsidRDefault="00101C70" w:rsidP="00101C70">
            <w:pPr>
              <w:pStyle w:val="naisc"/>
              <w:spacing w:before="0" w:after="0"/>
              <w:jc w:val="both"/>
            </w:pPr>
            <w:r w:rsidRPr="00D56C33">
              <w:t xml:space="preserve">Papildus informējam, ka  pilnvaroto personu pienākums ievērot Altum </w:t>
            </w:r>
            <w:r w:rsidR="00646D7F" w:rsidRPr="00D56C33">
              <w:t>noteikt</w:t>
            </w:r>
            <w:r w:rsidR="00646D7F">
              <w:t>ās</w:t>
            </w:r>
            <w:r w:rsidR="00646D7F" w:rsidRPr="00D56C33">
              <w:t xml:space="preserve"> </w:t>
            </w:r>
            <w:r w:rsidRPr="00D56C33">
              <w:t>vidējās tirgus cen</w:t>
            </w:r>
            <w:r w:rsidR="00646D7F">
              <w:t>a</w:t>
            </w:r>
            <w:r w:rsidRPr="00D56C33">
              <w:t xml:space="preserve">s nav </w:t>
            </w:r>
            <w:r w:rsidR="00646D7F">
              <w:t xml:space="preserve">nekur definēts starp </w:t>
            </w:r>
            <w:r w:rsidRPr="00D56C33">
              <w:t xml:space="preserve">Altum un </w:t>
            </w:r>
            <w:r w:rsidRPr="00D56C33">
              <w:lastRenderedPageBreak/>
              <w:t>pilnvaroto personu savstarpēji noslēgt</w:t>
            </w:r>
            <w:r w:rsidR="00646D7F">
              <w:t>aj</w:t>
            </w:r>
            <w:r w:rsidRPr="00D56C33">
              <w:t>ā līgumā.</w:t>
            </w:r>
          </w:p>
        </w:tc>
        <w:tc>
          <w:tcPr>
            <w:tcW w:w="3118" w:type="dxa"/>
            <w:tcBorders>
              <w:top w:val="single" w:sz="4" w:space="0" w:color="auto"/>
              <w:left w:val="single" w:sz="4" w:space="0" w:color="auto"/>
              <w:bottom w:val="single" w:sz="4" w:space="0" w:color="000000"/>
            </w:tcBorders>
          </w:tcPr>
          <w:p w14:paraId="1062A5B6" w14:textId="198B5BE0" w:rsidR="00D6454D" w:rsidRDefault="00D6454D" w:rsidP="00D6454D">
            <w:pPr>
              <w:jc w:val="both"/>
              <w:rPr>
                <w:b/>
              </w:rPr>
            </w:pPr>
            <w:bookmarkStart w:id="1" w:name="_Hlk13042863"/>
            <w:r w:rsidRPr="00D56C33">
              <w:rPr>
                <w:b/>
              </w:rPr>
              <w:lastRenderedPageBreak/>
              <w:t xml:space="preserve">Noteikumu projekta </w:t>
            </w:r>
            <w:r w:rsidR="000721B7">
              <w:rPr>
                <w:b/>
              </w:rPr>
              <w:t>8</w:t>
            </w:r>
            <w:r w:rsidRPr="00D56C33">
              <w:rPr>
                <w:b/>
              </w:rPr>
              <w:t>. </w:t>
            </w:r>
            <w:r>
              <w:rPr>
                <w:b/>
              </w:rPr>
              <w:t xml:space="preserve"> </w:t>
            </w:r>
            <w:r w:rsidR="005D4D47">
              <w:rPr>
                <w:b/>
              </w:rPr>
              <w:t xml:space="preserve">un </w:t>
            </w:r>
            <w:r w:rsidR="000721B7">
              <w:rPr>
                <w:b/>
              </w:rPr>
              <w:t>9</w:t>
            </w:r>
            <w:r w:rsidR="005D4D47">
              <w:rPr>
                <w:b/>
              </w:rPr>
              <w:t>.</w:t>
            </w:r>
            <w:r w:rsidRPr="00D56C33">
              <w:rPr>
                <w:b/>
              </w:rPr>
              <w:t>punkts izteikts šādā redakcijā:</w:t>
            </w:r>
          </w:p>
          <w:bookmarkEnd w:id="1"/>
          <w:p w14:paraId="102B7434" w14:textId="74F6212D" w:rsidR="00D6454D" w:rsidRDefault="00D6454D" w:rsidP="00101C70">
            <w:pPr>
              <w:jc w:val="both"/>
            </w:pPr>
            <w:r>
              <w:t>“</w:t>
            </w:r>
            <w:r w:rsidRPr="00D6454D">
              <w:t>Izteikt 41. punkta ievaddaļu šādā redakcijā:</w:t>
            </w:r>
          </w:p>
          <w:p w14:paraId="593B639D" w14:textId="18A534B2" w:rsidR="00D6454D" w:rsidRDefault="00D6454D" w:rsidP="00101C70">
            <w:pPr>
              <w:jc w:val="both"/>
            </w:pPr>
            <w:r>
              <w:t>“</w:t>
            </w:r>
            <w:r w:rsidRPr="00D6454D">
              <w:t>41. Dzīvokļu īpašnieku pilnvarotai personai vai energoefektivitātes pakalpojuma sniedzējam (ja energoefektivitātes paaugstināšanas pasākumu īstenošanai dzīvokļu īpašnieki tādu ir izvēlējušies), kas nav Publisko iepirkumu likuma subjekts, nepiemēro normatīvo regulējumu par pasūtītāja finansētiem projektiem. Tas izvēlas būvkomersantu,</w:t>
            </w:r>
            <w:r w:rsidR="009B1BF2">
              <w:t xml:space="preserve"> </w:t>
            </w:r>
            <w:proofErr w:type="spellStart"/>
            <w:r w:rsidRPr="00D6454D">
              <w:t>autoruzraugu</w:t>
            </w:r>
            <w:proofErr w:type="spellEnd"/>
            <w:r w:rsidRPr="00D6454D">
              <w:t xml:space="preserve">, būvuzraugu un citus piegādātājus atbilstoši sabiedrības "Altum" </w:t>
            </w:r>
            <w:r w:rsidRPr="00D6454D">
              <w:lastRenderedPageBreak/>
              <w:t>norādījumiem un ievērojot šādus nosacījumus</w:t>
            </w:r>
            <w:r>
              <w:t>”</w:t>
            </w:r>
            <w:r w:rsidR="005D4D47">
              <w:t>”;</w:t>
            </w:r>
          </w:p>
          <w:p w14:paraId="23ED05F6" w14:textId="77777777" w:rsidR="005D4D47" w:rsidRDefault="005D4D47" w:rsidP="00101C70">
            <w:pPr>
              <w:jc w:val="both"/>
            </w:pPr>
          </w:p>
          <w:p w14:paraId="0E4A1D25" w14:textId="77777777" w:rsidR="005D4D47" w:rsidRDefault="005D4D47" w:rsidP="00101C70">
            <w:pPr>
              <w:jc w:val="both"/>
            </w:pPr>
            <w:r>
              <w:t>“</w:t>
            </w:r>
            <w:r w:rsidRPr="005D4D47">
              <w:t>Papildināt noteikumus ar 41.</w:t>
            </w:r>
            <w:r w:rsidRPr="005D4D47">
              <w:rPr>
                <w:vertAlign w:val="superscript"/>
              </w:rPr>
              <w:t>1</w:t>
            </w:r>
            <w:r w:rsidRPr="005D4D47">
              <w:t xml:space="preserve"> punktu šādā redakcijā:</w:t>
            </w:r>
          </w:p>
          <w:p w14:paraId="1962BCC3" w14:textId="085583FF" w:rsidR="005D4D47" w:rsidRPr="00D6454D" w:rsidRDefault="005D4D47" w:rsidP="00101C70">
            <w:pPr>
              <w:jc w:val="both"/>
            </w:pPr>
            <w:r>
              <w:t>“</w:t>
            </w:r>
            <w:r w:rsidRPr="005D4D47">
              <w:t>41.</w:t>
            </w:r>
            <w:r w:rsidRPr="005D4D47">
              <w:rPr>
                <w:vertAlign w:val="superscript"/>
              </w:rPr>
              <w:t>1</w:t>
            </w:r>
            <w:r w:rsidRPr="005D4D47">
              <w:t xml:space="preserve"> Dzīvokļu īpašnieku pilnvarotai personai, kas ir Publisko iepirkumu likuma subjekts, piemēro normatīvo regulējumu par pasūtītāja finansētiem projektiem un šo noteikumu 41.1. un 41.2. apakšpunktos noteiktos nosacījumus.</w:t>
            </w:r>
            <w:r>
              <w:t>””</w:t>
            </w:r>
          </w:p>
        </w:tc>
      </w:tr>
      <w:tr w:rsidR="00E95932" w:rsidRPr="00CC4FF7" w14:paraId="0AD87ACB" w14:textId="77777777" w:rsidTr="00C56DDF">
        <w:tc>
          <w:tcPr>
            <w:tcW w:w="716" w:type="dxa"/>
            <w:tcBorders>
              <w:left w:val="single" w:sz="6" w:space="0" w:color="000000"/>
              <w:bottom w:val="single" w:sz="4" w:space="0" w:color="000000"/>
              <w:right w:val="single" w:sz="4" w:space="0" w:color="auto"/>
            </w:tcBorders>
          </w:tcPr>
          <w:p w14:paraId="441F8958" w14:textId="77777777" w:rsidR="00E95932" w:rsidRDefault="00E95932" w:rsidP="00E95932">
            <w:pPr>
              <w:pStyle w:val="ListParagraph"/>
              <w:numPr>
                <w:ilvl w:val="0"/>
                <w:numId w:val="1"/>
              </w:numPr>
              <w:spacing w:after="0" w:line="240" w:lineRule="auto"/>
              <w:ind w:left="357" w:hanging="357"/>
              <w:rPr>
                <w:rFonts w:ascii="Times New Roman" w:hAnsi="Times New Roman"/>
              </w:rPr>
            </w:pPr>
          </w:p>
          <w:p w14:paraId="4C186CCC" w14:textId="77777777" w:rsidR="000F5BA6" w:rsidRPr="00DC53E3" w:rsidRDefault="000F5BA6" w:rsidP="00DC53E3">
            <w:pPr>
              <w:rPr>
                <w:lang w:eastAsia="en-US"/>
              </w:rPr>
            </w:pPr>
          </w:p>
          <w:p w14:paraId="47B35C16" w14:textId="77777777" w:rsidR="000F5BA6" w:rsidRPr="00DC53E3" w:rsidRDefault="000F5BA6" w:rsidP="00DC53E3">
            <w:pPr>
              <w:rPr>
                <w:lang w:eastAsia="en-US"/>
              </w:rPr>
            </w:pPr>
          </w:p>
          <w:p w14:paraId="3013AC61" w14:textId="77777777" w:rsidR="000F5BA6" w:rsidRPr="00DC53E3" w:rsidRDefault="000F5BA6" w:rsidP="00DC53E3">
            <w:pPr>
              <w:rPr>
                <w:lang w:eastAsia="en-US"/>
              </w:rPr>
            </w:pPr>
          </w:p>
          <w:p w14:paraId="1DAFD91D" w14:textId="77777777" w:rsidR="000F5BA6" w:rsidRPr="00DC53E3" w:rsidRDefault="000F5BA6" w:rsidP="00DC53E3">
            <w:pPr>
              <w:rPr>
                <w:lang w:eastAsia="en-US"/>
              </w:rPr>
            </w:pPr>
          </w:p>
          <w:p w14:paraId="02F66EA0" w14:textId="77777777" w:rsidR="000F5BA6" w:rsidRPr="00DC53E3" w:rsidRDefault="000F5BA6" w:rsidP="00DC53E3">
            <w:pPr>
              <w:rPr>
                <w:lang w:eastAsia="en-US"/>
              </w:rPr>
            </w:pPr>
          </w:p>
          <w:p w14:paraId="3E61166A" w14:textId="77777777" w:rsidR="000F5BA6" w:rsidRPr="00DC53E3" w:rsidRDefault="000F5BA6" w:rsidP="00DC53E3">
            <w:pPr>
              <w:rPr>
                <w:lang w:eastAsia="en-US"/>
              </w:rPr>
            </w:pPr>
          </w:p>
          <w:p w14:paraId="46A63FA3" w14:textId="77777777" w:rsidR="000F5BA6" w:rsidRPr="00DC53E3" w:rsidRDefault="000F5BA6" w:rsidP="00DC53E3">
            <w:pPr>
              <w:rPr>
                <w:lang w:eastAsia="en-US"/>
              </w:rPr>
            </w:pPr>
          </w:p>
          <w:p w14:paraId="379B3C56" w14:textId="77777777" w:rsidR="000F5BA6" w:rsidRPr="00DC53E3" w:rsidRDefault="000F5BA6" w:rsidP="00DC53E3">
            <w:pPr>
              <w:rPr>
                <w:lang w:eastAsia="en-US"/>
              </w:rPr>
            </w:pPr>
          </w:p>
          <w:p w14:paraId="49E5A77F" w14:textId="77777777" w:rsidR="000F5BA6" w:rsidRPr="00DC53E3" w:rsidRDefault="000F5BA6" w:rsidP="00DC53E3">
            <w:pPr>
              <w:rPr>
                <w:lang w:eastAsia="en-US"/>
              </w:rPr>
            </w:pPr>
          </w:p>
          <w:p w14:paraId="5B04AD49" w14:textId="77777777" w:rsidR="000F5BA6" w:rsidRPr="00DC53E3" w:rsidRDefault="000F5BA6" w:rsidP="00DC53E3">
            <w:pPr>
              <w:rPr>
                <w:lang w:eastAsia="en-US"/>
              </w:rPr>
            </w:pPr>
          </w:p>
          <w:p w14:paraId="79CEFEB1" w14:textId="150DC7B6" w:rsidR="000F5BA6" w:rsidRDefault="000F5BA6" w:rsidP="000F5BA6">
            <w:pPr>
              <w:rPr>
                <w:sz w:val="22"/>
                <w:szCs w:val="22"/>
                <w:lang w:eastAsia="en-US"/>
              </w:rPr>
            </w:pPr>
          </w:p>
          <w:p w14:paraId="4CB34AE3" w14:textId="7E9009DC" w:rsidR="000F5BA6" w:rsidRDefault="000F5BA6" w:rsidP="000F5BA6">
            <w:pPr>
              <w:rPr>
                <w:sz w:val="22"/>
                <w:szCs w:val="22"/>
                <w:lang w:eastAsia="en-US"/>
              </w:rPr>
            </w:pPr>
          </w:p>
          <w:p w14:paraId="76D74810" w14:textId="77777777" w:rsidR="000F5BA6" w:rsidRPr="000F5BA6" w:rsidRDefault="000F5BA6" w:rsidP="000F5BA6">
            <w:pPr>
              <w:rPr>
                <w:sz w:val="22"/>
                <w:szCs w:val="22"/>
                <w:lang w:eastAsia="en-US"/>
              </w:rPr>
            </w:pPr>
          </w:p>
          <w:p w14:paraId="2B0F21CA" w14:textId="77777777" w:rsidR="000F5BA6" w:rsidRPr="000F5BA6" w:rsidRDefault="000F5BA6" w:rsidP="000F5BA6">
            <w:pPr>
              <w:rPr>
                <w:sz w:val="22"/>
                <w:szCs w:val="22"/>
                <w:lang w:eastAsia="en-US"/>
              </w:rPr>
            </w:pPr>
          </w:p>
          <w:p w14:paraId="3CBC5F09" w14:textId="77777777" w:rsidR="000F5BA6" w:rsidRPr="000F5BA6" w:rsidRDefault="000F5BA6" w:rsidP="000F5BA6">
            <w:pPr>
              <w:rPr>
                <w:sz w:val="22"/>
                <w:szCs w:val="22"/>
                <w:lang w:eastAsia="en-US"/>
              </w:rPr>
            </w:pPr>
          </w:p>
          <w:p w14:paraId="242F7874" w14:textId="5D78AE99" w:rsidR="000F5BA6" w:rsidRPr="00DC53E3" w:rsidRDefault="000F5BA6" w:rsidP="00DC53E3">
            <w:pPr>
              <w:rPr>
                <w:lang w:eastAsia="en-US"/>
              </w:rPr>
            </w:pPr>
          </w:p>
        </w:tc>
        <w:tc>
          <w:tcPr>
            <w:tcW w:w="3086" w:type="dxa"/>
            <w:tcBorders>
              <w:top w:val="single" w:sz="4" w:space="0" w:color="auto"/>
              <w:left w:val="single" w:sz="4" w:space="0" w:color="auto"/>
              <w:bottom w:val="single" w:sz="4" w:space="0" w:color="000000"/>
              <w:right w:val="single" w:sz="4" w:space="0" w:color="auto"/>
            </w:tcBorders>
          </w:tcPr>
          <w:p w14:paraId="0CBA0CD0" w14:textId="1ADC7C78" w:rsidR="00B26A7C" w:rsidRDefault="00B26A7C" w:rsidP="00B26A7C">
            <w:pPr>
              <w:jc w:val="both"/>
              <w:rPr>
                <w:b/>
              </w:rPr>
            </w:pPr>
            <w:r w:rsidRPr="00D56C33">
              <w:rPr>
                <w:b/>
              </w:rPr>
              <w:lastRenderedPageBreak/>
              <w:t xml:space="preserve">Noteikumu projekta </w:t>
            </w:r>
            <w:r>
              <w:rPr>
                <w:b/>
              </w:rPr>
              <w:t>8.</w:t>
            </w:r>
            <w:r w:rsidRPr="00D56C33">
              <w:rPr>
                <w:b/>
              </w:rPr>
              <w:t>punkts:</w:t>
            </w:r>
          </w:p>
          <w:p w14:paraId="588A4946" w14:textId="77777777" w:rsidR="00B26A7C" w:rsidRDefault="00B26A7C" w:rsidP="00B26A7C">
            <w:pPr>
              <w:jc w:val="both"/>
            </w:pPr>
            <w:r>
              <w:t>“</w:t>
            </w:r>
            <w:r w:rsidRPr="00D6454D">
              <w:t>Izteikt 41. punkta ievaddaļu šādā redakcijā:</w:t>
            </w:r>
          </w:p>
          <w:p w14:paraId="4C29E7BB" w14:textId="77777777" w:rsidR="00B26A7C" w:rsidRDefault="00B26A7C" w:rsidP="00B26A7C">
            <w:pPr>
              <w:jc w:val="both"/>
            </w:pPr>
            <w:r>
              <w:t>“</w:t>
            </w:r>
            <w:r w:rsidRPr="00D6454D">
              <w:t xml:space="preserve">41. Dzīvokļu īpašnieku pilnvarotai personai vai energoefektivitātes pakalpojuma sniedzējam (ja energoefektivitātes paaugstināšanas pasākumu īstenošanai dzīvokļu īpašnieki tādu ir izvēlējušies), kas nav Publisko iepirkumu likuma </w:t>
            </w:r>
            <w:r w:rsidRPr="00D6454D">
              <w:lastRenderedPageBreak/>
              <w:t>subjekts, nepiemēro normatīvo regulējumu par pasūtītāja finansētiem projektiem. Tas izvēlas būvkomersantu,</w:t>
            </w:r>
            <w:r>
              <w:t xml:space="preserve"> </w:t>
            </w:r>
            <w:proofErr w:type="spellStart"/>
            <w:r w:rsidRPr="00D6454D">
              <w:t>autoruzraugu</w:t>
            </w:r>
            <w:proofErr w:type="spellEnd"/>
            <w:r w:rsidRPr="00D6454D">
              <w:t>, būvuzraugu un citus piegādātājus atbilstoši sabiedrības "Altum" norādījumiem un ievērojot šādus nosacījumus</w:t>
            </w:r>
            <w:r>
              <w:t>””;</w:t>
            </w:r>
          </w:p>
          <w:p w14:paraId="4C2CBA6E" w14:textId="77777777" w:rsidR="00E95932" w:rsidRPr="00D56C33" w:rsidRDefault="00E95932" w:rsidP="00E95932">
            <w:pPr>
              <w:pStyle w:val="naisc"/>
              <w:spacing w:before="0" w:after="0"/>
              <w:jc w:val="both"/>
              <w:rPr>
                <w:b/>
              </w:rPr>
            </w:pPr>
          </w:p>
        </w:tc>
        <w:tc>
          <w:tcPr>
            <w:tcW w:w="3987" w:type="dxa"/>
            <w:tcBorders>
              <w:left w:val="single" w:sz="4" w:space="0" w:color="auto"/>
              <w:bottom w:val="single" w:sz="4" w:space="0" w:color="000000"/>
              <w:right w:val="single" w:sz="6" w:space="0" w:color="000000"/>
            </w:tcBorders>
          </w:tcPr>
          <w:p w14:paraId="7855D5E9" w14:textId="396F005E" w:rsidR="00E95932" w:rsidRDefault="00E95932" w:rsidP="00E95932">
            <w:pPr>
              <w:pStyle w:val="naisc"/>
              <w:spacing w:before="0" w:after="0"/>
              <w:jc w:val="both"/>
              <w:rPr>
                <w:b/>
              </w:rPr>
            </w:pPr>
            <w:r>
              <w:rPr>
                <w:b/>
              </w:rPr>
              <w:lastRenderedPageBreak/>
              <w:t>E</w:t>
            </w:r>
            <w:r w:rsidR="00706B94">
              <w:rPr>
                <w:b/>
              </w:rPr>
              <w:t>konomikas ministrijas</w:t>
            </w:r>
            <w:r>
              <w:rPr>
                <w:b/>
              </w:rPr>
              <w:t xml:space="preserve"> </w:t>
            </w:r>
            <w:r w:rsidR="004C0061">
              <w:rPr>
                <w:b/>
              </w:rPr>
              <w:t>02.07. 2019. priekšlikums:</w:t>
            </w:r>
          </w:p>
          <w:p w14:paraId="6AF8E1F4" w14:textId="1FB8FF42" w:rsidR="00E95932" w:rsidRPr="00D56C33" w:rsidRDefault="004C0061" w:rsidP="00E95932">
            <w:pPr>
              <w:pStyle w:val="naisc"/>
              <w:spacing w:before="0" w:after="0"/>
              <w:jc w:val="both"/>
              <w:rPr>
                <w:b/>
              </w:rPr>
            </w:pPr>
            <w:r>
              <w:t xml:space="preserve">Ņemot vērā </w:t>
            </w:r>
            <w:r w:rsidR="00E95932" w:rsidRPr="00952E14">
              <w:t>Eiropas Parlamenta un Padomes Regula</w:t>
            </w:r>
            <w:r w:rsidR="00E95932">
              <w:t xml:space="preserve">s (ES, Euratom) 2018/1046 (2018. gada 18. jūlijs) par finanšu noteikumiem, ko piemēro Savienības vispārējam budžetam, ar kuru groza Regulas (ES) Nr. 1296/2013, (ES) Nr. 1301/2013, (ES) Nr. 1303/2013, (ES) Nr. 1304/2013, (ES) Nr. 1309/2013, (ES) Nr. 1316/2013, (ES) Nr. 223/2014, (ES) Nr. 283/2014 un Lēmumu Nr. </w:t>
            </w:r>
            <w:r w:rsidR="00E95932">
              <w:lastRenderedPageBreak/>
              <w:t>541/2014/ES un atceļ Regulu (ES, Euratom) Nr. 966/2012 33. panta 1.punktā noteikto</w:t>
            </w:r>
            <w:r>
              <w:t>,</w:t>
            </w:r>
            <w:r w:rsidR="00E95932">
              <w:t xml:space="preserve"> saimnieciskuma, lietderības un efektivitātes princip</w:t>
            </w:r>
            <w:r>
              <w:t>i</w:t>
            </w:r>
            <w:r w:rsidR="00E95932">
              <w:t xml:space="preserve"> </w:t>
            </w:r>
            <w:r>
              <w:t>jau tiek ievēroti,</w:t>
            </w:r>
            <w:r w:rsidR="00E95932">
              <w:t xml:space="preserve"> nosakot </w:t>
            </w:r>
            <w:proofErr w:type="spellStart"/>
            <w:r w:rsidR="00E95932">
              <w:t>granta</w:t>
            </w:r>
            <w:proofErr w:type="spellEnd"/>
            <w:r w:rsidR="00E95932">
              <w:t xml:space="preserve"> intensitāti, attiecināmo un neattiecināmo izmaksu apjomu</w:t>
            </w:r>
            <w:r>
              <w:t xml:space="preserve"> </w:t>
            </w:r>
            <w:r w:rsidR="00E95932">
              <w:t xml:space="preserve">energoefektivitātes kalkulatora ietvaros saskaņā ar MK noteikumu Nr.160 53.punktu. </w:t>
            </w:r>
            <w:r>
              <w:t>Vēršam uzmanību, ka e</w:t>
            </w:r>
            <w:r w:rsidR="00E95932">
              <w:t xml:space="preserve">nergoefektivitātes kalkulators nodrošina projekta izmaksu kontroli un vienotu pieeju šo izmaksu vērtēšanai visiem projektu iesniedzējiem. EM ieskatā energoefektivitātes kalkulators nodrošina, ka projekts ir ekonomiski pamatots un ieguldītās investīcijas atmaksājas 30 gadu periodā, tāpēc projekta iesniedzējiem nebūtu jānosaka papildu izmaksu ierobežojoši nosacījumi. Līdz ar to </w:t>
            </w:r>
            <w:r>
              <w:t>Ekonomikas ministrija</w:t>
            </w:r>
            <w:r w:rsidR="00E95932">
              <w:t xml:space="preserve">, pēc saņemtā </w:t>
            </w:r>
            <w:r>
              <w:t>Finanšu ministrijas</w:t>
            </w:r>
            <w:r w:rsidR="00E95932">
              <w:t xml:space="preserve"> 19.06.</w:t>
            </w:r>
            <w:r>
              <w:t>20</w:t>
            </w:r>
            <w:r w:rsidR="00E95932">
              <w:t>19. 4. iebilduma, ne tikai ierosina svītrot MK noteikumu projekta 9.punktu, bet, lai nodrošinātu vienlīdzīgu pieeju pret visiem projekta iesniedzējiem, ierosina apvienot  MK noteikumu Nr. 160. 41.punktu ar 41.1. apakšpunktu un svītrot MK noteikumu Nr. 160. 41.2. apakšpunktu.</w:t>
            </w:r>
          </w:p>
        </w:tc>
        <w:tc>
          <w:tcPr>
            <w:tcW w:w="3827" w:type="dxa"/>
            <w:tcBorders>
              <w:left w:val="single" w:sz="6" w:space="0" w:color="000000"/>
              <w:bottom w:val="single" w:sz="4" w:space="0" w:color="000000"/>
              <w:right w:val="single" w:sz="6" w:space="0" w:color="000000"/>
            </w:tcBorders>
          </w:tcPr>
          <w:p w14:paraId="69013F3B" w14:textId="77777777" w:rsidR="00E95932" w:rsidRDefault="00E95932" w:rsidP="00E95932">
            <w:pPr>
              <w:pStyle w:val="naisc"/>
              <w:spacing w:before="0" w:after="0"/>
              <w:rPr>
                <w:b/>
              </w:rPr>
            </w:pPr>
          </w:p>
        </w:tc>
        <w:tc>
          <w:tcPr>
            <w:tcW w:w="3118" w:type="dxa"/>
            <w:tcBorders>
              <w:top w:val="single" w:sz="4" w:space="0" w:color="auto"/>
              <w:left w:val="single" w:sz="4" w:space="0" w:color="auto"/>
              <w:bottom w:val="single" w:sz="4" w:space="0" w:color="000000"/>
            </w:tcBorders>
          </w:tcPr>
          <w:p w14:paraId="739EAF05" w14:textId="77777777" w:rsidR="00E95932" w:rsidRDefault="00E95932" w:rsidP="00E95932">
            <w:pPr>
              <w:jc w:val="both"/>
              <w:rPr>
                <w:b/>
              </w:rPr>
            </w:pPr>
            <w:r w:rsidRPr="00D56C33">
              <w:rPr>
                <w:b/>
              </w:rPr>
              <w:t xml:space="preserve">Noteikumu projekta </w:t>
            </w:r>
            <w:r>
              <w:rPr>
                <w:b/>
              </w:rPr>
              <w:t>9.</w:t>
            </w:r>
            <w:r w:rsidRPr="00D56C33">
              <w:rPr>
                <w:b/>
              </w:rPr>
              <w:t>punkts izteikts šādā redakcijā:</w:t>
            </w:r>
          </w:p>
          <w:p w14:paraId="29AD44C9" w14:textId="77777777" w:rsidR="00E95932" w:rsidRDefault="00E95932" w:rsidP="00E95932">
            <w:pPr>
              <w:jc w:val="both"/>
              <w:rPr>
                <w:bCs/>
              </w:rPr>
            </w:pPr>
            <w:r w:rsidRPr="00952E14">
              <w:rPr>
                <w:bCs/>
              </w:rPr>
              <w:t>"Izteikt 41. punktu šādā redakcijā:</w:t>
            </w:r>
          </w:p>
          <w:p w14:paraId="6FE3A25B" w14:textId="77349122" w:rsidR="00E95932" w:rsidRPr="00D56C33" w:rsidRDefault="00E95932" w:rsidP="00E95932">
            <w:pPr>
              <w:jc w:val="both"/>
              <w:rPr>
                <w:b/>
              </w:rPr>
            </w:pPr>
            <w:r w:rsidRPr="00952E14">
              <w:rPr>
                <w:bCs/>
              </w:rPr>
              <w:t xml:space="preserve">"41. Dzīvokļu īpašnieku pilnvarotai personai vai energoefektivitātes pakalpojuma sniedzējam (ja energoefektivitātes paaugstināšanas pasākumu īstenošanai dzīvokļu īpašnieki tādu ir izvēlējušies), kas nav </w:t>
            </w:r>
            <w:r w:rsidRPr="00952E14">
              <w:rPr>
                <w:bCs/>
              </w:rPr>
              <w:lastRenderedPageBreak/>
              <w:t xml:space="preserve">Publisko iepirkumu likuma subjekts, nepiemēro normatīvo regulējumu par pasūtītāja finansētiem projektiem. Tas izvēlas būvkomersantu, </w:t>
            </w:r>
            <w:proofErr w:type="spellStart"/>
            <w:r w:rsidRPr="00952E14">
              <w:rPr>
                <w:bCs/>
              </w:rPr>
              <w:t>autoruzraugu</w:t>
            </w:r>
            <w:proofErr w:type="spellEnd"/>
            <w:r w:rsidRPr="00952E14">
              <w:rPr>
                <w:bCs/>
              </w:rPr>
              <w:t xml:space="preserve">, būvuzraugu un citus piegādātājus atbilstoši sabiedrības "Altum" norādījumiem un ievērojot, ka pilnvarotā persona vai energoefektivitātes pakalpojuma sniedzējs neatrodas interešu konfliktā ar piegādātāju, t.i., pilnvarotā persona vai energoefektivitātes pakalpojuma sniedzējs, tās dalībnieks (akcionārs), biedrs, padomes vai valdes loceklis, jebkuras minētās personas radinieks līdz otrajai radniecības pakāpei, laulātais vai svainis līdz pirmajai svainības pakāpei vai pilnvarotās personas prokūrists vai komercpilnvarnieks nav piegādātājs vai piegādātāja apakšuzņēmējs, kā arī pilnvarotā persona vai energoefektivitātes </w:t>
            </w:r>
            <w:r w:rsidRPr="00952E14">
              <w:rPr>
                <w:bCs/>
              </w:rPr>
              <w:lastRenderedPageBreak/>
              <w:t>pakalpojuma sniedzējs nav piegādātāja vai tā apakšuzņēmēja dalībnieks (akcionārs), biedrs, padomes vai valdes loceklis, prokūrists vai komercpilnvarnieks.";"</w:t>
            </w:r>
          </w:p>
        </w:tc>
      </w:tr>
      <w:tr w:rsidR="0027009E" w:rsidRPr="00CC4FF7" w14:paraId="7E6B6D1B" w14:textId="77777777" w:rsidTr="00C56DDF">
        <w:tc>
          <w:tcPr>
            <w:tcW w:w="716" w:type="dxa"/>
            <w:tcBorders>
              <w:left w:val="single" w:sz="6" w:space="0" w:color="000000"/>
              <w:bottom w:val="single" w:sz="4" w:space="0" w:color="000000"/>
              <w:right w:val="single" w:sz="4" w:space="0" w:color="auto"/>
            </w:tcBorders>
          </w:tcPr>
          <w:p w14:paraId="6DDC27FF" w14:textId="77777777" w:rsidR="0027009E" w:rsidRPr="00CC4FF7" w:rsidRDefault="0027009E" w:rsidP="0027009E">
            <w:pPr>
              <w:pStyle w:val="ListParagraph"/>
              <w:numPr>
                <w:ilvl w:val="0"/>
                <w:numId w:val="1"/>
              </w:numPr>
              <w:spacing w:after="0" w:line="240" w:lineRule="auto"/>
              <w:ind w:left="357" w:hanging="357"/>
              <w:rPr>
                <w:rFonts w:ascii="Times New Roman" w:hAnsi="Times New Roman"/>
              </w:rPr>
            </w:pPr>
          </w:p>
        </w:tc>
        <w:tc>
          <w:tcPr>
            <w:tcW w:w="3086" w:type="dxa"/>
            <w:tcBorders>
              <w:top w:val="single" w:sz="4" w:space="0" w:color="auto"/>
              <w:left w:val="single" w:sz="4" w:space="0" w:color="auto"/>
              <w:bottom w:val="single" w:sz="4" w:space="0" w:color="000000"/>
              <w:right w:val="single" w:sz="4" w:space="0" w:color="auto"/>
            </w:tcBorders>
          </w:tcPr>
          <w:p w14:paraId="2AD43139" w14:textId="179FC2DD" w:rsidR="0027009E" w:rsidRDefault="0027009E" w:rsidP="0027009E">
            <w:pPr>
              <w:jc w:val="both"/>
              <w:rPr>
                <w:b/>
              </w:rPr>
            </w:pPr>
            <w:r w:rsidRPr="00D56C33">
              <w:rPr>
                <w:b/>
              </w:rPr>
              <w:t xml:space="preserve">Noteikumu projekta </w:t>
            </w:r>
            <w:r>
              <w:rPr>
                <w:b/>
              </w:rPr>
              <w:t>9.</w:t>
            </w:r>
            <w:r w:rsidRPr="00D56C33">
              <w:rPr>
                <w:b/>
              </w:rPr>
              <w:t>punkts:</w:t>
            </w:r>
          </w:p>
          <w:p w14:paraId="31F753FA" w14:textId="2E3D8719" w:rsidR="0027009E" w:rsidRPr="00D56C33" w:rsidRDefault="0027009E" w:rsidP="0027009E">
            <w:pPr>
              <w:pStyle w:val="naisc"/>
              <w:spacing w:before="0" w:after="0"/>
              <w:jc w:val="both"/>
              <w:rPr>
                <w:b/>
              </w:rPr>
            </w:pPr>
            <w:r w:rsidRPr="00952E14">
              <w:rPr>
                <w:bCs/>
              </w:rPr>
              <w:t xml:space="preserve">"41. Dzīvokļu īpašnieku pilnvarotai personai vai energoefektivitātes pakalpojuma sniedzējam (ja energoefektivitātes paaugstināšanas pasākumu īstenošanai dzīvokļu īpašnieki tādu ir izvēlējušies), kas nav Publisko iepirkumu likuma subjekts, nepiemēro normatīvo regulējumu par pasūtītāja finansētiem projektiem. Tas izvēlas būvkomersantu, </w:t>
            </w:r>
            <w:proofErr w:type="spellStart"/>
            <w:r w:rsidRPr="00952E14">
              <w:rPr>
                <w:bCs/>
              </w:rPr>
              <w:t>autoruzraugu</w:t>
            </w:r>
            <w:proofErr w:type="spellEnd"/>
            <w:r w:rsidRPr="00952E14">
              <w:rPr>
                <w:bCs/>
              </w:rPr>
              <w:t xml:space="preserve">, būvuzraugu un citus piegādātājus atbilstoši sabiedrības "Altum" norādījumiem un ievērojot, ka pilnvarotā persona vai energoefektivitātes pakalpojuma sniedzējs neatrodas interešu konfliktā ar piegādātāju, t.i., pilnvarotā persona vai </w:t>
            </w:r>
            <w:r w:rsidRPr="00952E14">
              <w:rPr>
                <w:bCs/>
              </w:rPr>
              <w:lastRenderedPageBreak/>
              <w:t>energoefektivitātes pakalpojuma sniedzējs, tās dalībnieks (akcionārs), biedrs, padomes vai valdes loceklis, jebkuras minētās personas radinieks līdz otrajai radniecības pakāpei, laulātais vai svainis līdz pirmajai svainības pakāpei vai pilnvarotās personas prokūrists vai komercpilnvarnieks nav piegādātājs vai piegādātāja apakšuzņēmējs, kā arī pilnvarotā persona vai energoefektivitātes pakalpojuma sniedzējs nav piegādātāja vai tā apakšuzņēmēja dalībnieks (akcionārs), biedrs, padomes vai valdes loceklis, prokūrists vai komercpilnvarnieks."</w:t>
            </w:r>
          </w:p>
        </w:tc>
        <w:tc>
          <w:tcPr>
            <w:tcW w:w="3987" w:type="dxa"/>
            <w:tcBorders>
              <w:left w:val="single" w:sz="4" w:space="0" w:color="auto"/>
              <w:bottom w:val="single" w:sz="4" w:space="0" w:color="000000"/>
              <w:right w:val="single" w:sz="6" w:space="0" w:color="000000"/>
            </w:tcBorders>
          </w:tcPr>
          <w:p w14:paraId="5768CCF2" w14:textId="34555059" w:rsidR="0027009E" w:rsidRPr="00D56C33" w:rsidRDefault="0027009E" w:rsidP="0027009E">
            <w:pPr>
              <w:pStyle w:val="naisc"/>
              <w:spacing w:before="0" w:after="0"/>
              <w:jc w:val="both"/>
              <w:rPr>
                <w:b/>
              </w:rPr>
            </w:pPr>
            <w:r w:rsidRPr="00D56C33">
              <w:rPr>
                <w:b/>
              </w:rPr>
              <w:lastRenderedPageBreak/>
              <w:t xml:space="preserve">Finanšu ministrijas </w:t>
            </w:r>
            <w:r>
              <w:rPr>
                <w:b/>
              </w:rPr>
              <w:t>1</w:t>
            </w:r>
            <w:r w:rsidR="009C770F">
              <w:rPr>
                <w:b/>
              </w:rPr>
              <w:t>2</w:t>
            </w:r>
            <w:r w:rsidRPr="00D56C33">
              <w:rPr>
                <w:b/>
              </w:rPr>
              <w:t>.0</w:t>
            </w:r>
            <w:r>
              <w:rPr>
                <w:b/>
              </w:rPr>
              <w:t>7</w:t>
            </w:r>
            <w:r w:rsidRPr="00D56C33">
              <w:rPr>
                <w:b/>
              </w:rPr>
              <w:t>.2019. iebildums:</w:t>
            </w:r>
          </w:p>
          <w:p w14:paraId="039F8530" w14:textId="77777777" w:rsidR="0027009E" w:rsidRPr="00382E64" w:rsidRDefault="0027009E" w:rsidP="00706B94">
            <w:pPr>
              <w:jc w:val="both"/>
            </w:pPr>
            <w:r w:rsidRPr="00725D79">
              <w:t>Noteikumu projekta 9.punktā tiek paredzēts noteikt gadījumus, kad pilnvarotā persona vai energoefektivitātes pakalpojuma sniedzējs neatrodas interešu konfliktā ar piegādātāju. Lūdzam papildināt anotācijas I sadaļas “Tiesību akta projekta izstrādes nepieciešamība” 2.punktu “Pašreizējā situācija un problēmas, kuru risināšanai tiesību akta projekts izstrādāts, tiesiskā regulējuma mērķis un būtība” (turpmāk – anotācijas I sadaļas 2.punkts) ar skaidrojumu par atšķirīgu regulējumu pilnvarotām personām un energoefektivitātes pakalpojuma sniedzējiem vai precizēt noteikumu punktu, lai attiecībā uz pilnvarotām personām un energoefektivitātes pakalpojuma sniedzējiem būtu vienāds interešu konflikta regulējums.</w:t>
            </w:r>
            <w:r w:rsidRPr="00382E64">
              <w:t xml:space="preserve"> </w:t>
            </w:r>
          </w:p>
          <w:p w14:paraId="785D7ED9" w14:textId="47F8317C" w:rsidR="008B384C" w:rsidRPr="00D56C33" w:rsidRDefault="0027009E" w:rsidP="00F22FBD">
            <w:pPr>
              <w:pStyle w:val="naisc"/>
              <w:spacing w:before="0" w:after="0"/>
              <w:jc w:val="both"/>
              <w:rPr>
                <w:b/>
              </w:rPr>
            </w:pPr>
            <w:r w:rsidRPr="00382E64">
              <w:t>Saskaņā ar</w:t>
            </w:r>
            <w:r>
              <w:t xml:space="preserve"> </w:t>
            </w:r>
            <w:r w:rsidRPr="00382E64">
              <w:t xml:space="preserve">Ministru kabineta 2016.gada 15.marta noteikumos Nr.160 “Darbības programmas “Izaugsme un </w:t>
            </w:r>
            <w:r w:rsidRPr="00382E64">
              <w:lastRenderedPageBreak/>
              <w:t>nodarbinātība” 4.2.1.specifiskā atbalsta mērķa “Veicināt energoefektivitātes paaugstināšanu valsts un dzīvojamās ēkās” 4.2.1.1.specifiskā atbalsta mērķa pasākuma “Veicināt energoefektivitātes paaugstināšanu dzīvojamās ēkās” īstenošanas noteikumi”</w:t>
            </w:r>
            <w:r>
              <w:t xml:space="preserve"> (turpmāk – MK noteikumi Nr.160)</w:t>
            </w:r>
            <w:r w:rsidRPr="00382E64">
              <w:t xml:space="preserve"> 41.punktu “…</w:t>
            </w:r>
            <w:r w:rsidRPr="00382E64">
              <w:rPr>
                <w:i/>
                <w:iCs/>
              </w:rPr>
              <w:t xml:space="preserve">Tas izvēlas būvkomersantu, </w:t>
            </w:r>
            <w:proofErr w:type="spellStart"/>
            <w:r w:rsidRPr="00382E64">
              <w:rPr>
                <w:i/>
                <w:iCs/>
              </w:rPr>
              <w:t>autoruzraugu</w:t>
            </w:r>
            <w:proofErr w:type="spellEnd"/>
            <w:r w:rsidRPr="00382E64">
              <w:rPr>
                <w:i/>
                <w:iCs/>
              </w:rPr>
              <w:t xml:space="preserve">, būvuzraugu un citus piegādātājus atbilstoši sabiedrības "Altum" norādījumiem un ievērojot, ka </w:t>
            </w:r>
            <w:r w:rsidRPr="00382E64">
              <w:rPr>
                <w:i/>
                <w:iCs/>
                <w:u w:val="single"/>
              </w:rPr>
              <w:t>pilnvarotā persona vai energoefektivitātes pakalpojuma sniedzējs</w:t>
            </w:r>
            <w:r w:rsidRPr="00382E64">
              <w:rPr>
                <w:i/>
                <w:iCs/>
              </w:rPr>
              <w:t xml:space="preserve"> neatrodas interešu konfliktā ar piegādātāju, t.i., </w:t>
            </w:r>
            <w:r w:rsidRPr="00382E64">
              <w:rPr>
                <w:i/>
                <w:iCs/>
                <w:u w:val="single"/>
              </w:rPr>
              <w:t>pilnvarotā persona vai energoefektivitātes pakalpojuma sniedzējs</w:t>
            </w:r>
            <w:r w:rsidRPr="00382E64">
              <w:rPr>
                <w:i/>
                <w:iCs/>
              </w:rPr>
              <w:t xml:space="preserve">, tās dalībnieks (akcionārs), biedrs, padomes vai valdes loceklis, jebkuras minētās personas radinieks līdz otrajai radniecības pakāpei, laulātais vai svainis līdz pirmajai svainības pakāpei </w:t>
            </w:r>
            <w:r w:rsidRPr="008417E6">
              <w:rPr>
                <w:i/>
                <w:iCs/>
              </w:rPr>
              <w:t xml:space="preserve">vai </w:t>
            </w:r>
            <w:r w:rsidRPr="008417E6">
              <w:rPr>
                <w:i/>
                <w:iCs/>
                <w:u w:val="single"/>
              </w:rPr>
              <w:t>pilnvarotās personas</w:t>
            </w:r>
            <w:r w:rsidRPr="00382E64">
              <w:rPr>
                <w:i/>
                <w:iCs/>
                <w:u w:val="single"/>
              </w:rPr>
              <w:t xml:space="preserve"> </w:t>
            </w:r>
            <w:r w:rsidRPr="00382E64">
              <w:rPr>
                <w:i/>
                <w:iCs/>
              </w:rPr>
              <w:t xml:space="preserve">prokūrists vai komercpilnvarnieks nav piegādātājs vai piegādātāja apakšuzņēmējs, kā arī </w:t>
            </w:r>
            <w:r w:rsidRPr="00382E64">
              <w:rPr>
                <w:i/>
                <w:iCs/>
                <w:u w:val="single"/>
              </w:rPr>
              <w:t>pilnvarotā persona vai energoefektivitātes pakalpojuma sniedzējs</w:t>
            </w:r>
            <w:r w:rsidRPr="00382E64">
              <w:rPr>
                <w:i/>
                <w:iCs/>
              </w:rPr>
              <w:t xml:space="preserve"> nav piegādātāja vai tā apakšuzņēmēja dalībnieks (akcionārs), biedrs, padomes vai valdes loceklis, </w:t>
            </w:r>
            <w:r w:rsidRPr="00382E64">
              <w:rPr>
                <w:i/>
                <w:iCs/>
              </w:rPr>
              <w:lastRenderedPageBreak/>
              <w:t>prokūrists vai komercpilnvarnieks</w:t>
            </w:r>
            <w:r w:rsidRPr="00382E64">
              <w:t>.”. Līdz ar to šādā redakcijā tikai pilnvarotās personas prokūrists vai komercpilnvarnieks nevarēs būt piegādātājs vai piegādātāja apakšuzņēmējs, bet energoefektivitātes pakalpojuma sniedzēja prokūrists vai komercpilnvarnieks varēs būt piegādātājs vai piegādātāja apakšuzņēmējs.</w:t>
            </w:r>
          </w:p>
        </w:tc>
        <w:tc>
          <w:tcPr>
            <w:tcW w:w="3827" w:type="dxa"/>
            <w:tcBorders>
              <w:left w:val="single" w:sz="6" w:space="0" w:color="000000"/>
              <w:bottom w:val="single" w:sz="4" w:space="0" w:color="000000"/>
              <w:right w:val="single" w:sz="6" w:space="0" w:color="000000"/>
            </w:tcBorders>
          </w:tcPr>
          <w:p w14:paraId="4CE63429" w14:textId="77777777" w:rsidR="0027009E" w:rsidRDefault="0027009E" w:rsidP="0027009E">
            <w:pPr>
              <w:pStyle w:val="naisc"/>
              <w:spacing w:before="0" w:after="0"/>
              <w:rPr>
                <w:b/>
              </w:rPr>
            </w:pPr>
            <w:r>
              <w:rPr>
                <w:b/>
              </w:rPr>
              <w:lastRenderedPageBreak/>
              <w:t>Ņemts vērā</w:t>
            </w:r>
          </w:p>
          <w:p w14:paraId="6295C719" w14:textId="77777777" w:rsidR="008B384C" w:rsidRDefault="008B384C" w:rsidP="0027009E">
            <w:pPr>
              <w:pStyle w:val="naisc"/>
              <w:spacing w:before="0" w:after="0"/>
              <w:rPr>
                <w:b/>
              </w:rPr>
            </w:pPr>
          </w:p>
          <w:p w14:paraId="35D853A7" w14:textId="16571FAD" w:rsidR="008B384C" w:rsidRPr="008B384C" w:rsidRDefault="008B384C" w:rsidP="008B384C">
            <w:pPr>
              <w:pStyle w:val="naisc"/>
              <w:spacing w:before="0" w:after="0"/>
              <w:jc w:val="both"/>
              <w:rPr>
                <w:bCs/>
              </w:rPr>
            </w:pPr>
          </w:p>
        </w:tc>
        <w:tc>
          <w:tcPr>
            <w:tcW w:w="3118" w:type="dxa"/>
            <w:tcBorders>
              <w:top w:val="single" w:sz="4" w:space="0" w:color="auto"/>
              <w:left w:val="single" w:sz="4" w:space="0" w:color="auto"/>
              <w:bottom w:val="single" w:sz="4" w:space="0" w:color="000000"/>
            </w:tcBorders>
          </w:tcPr>
          <w:p w14:paraId="69E0F1EA" w14:textId="77777777" w:rsidR="0027009E" w:rsidRPr="00185B73" w:rsidRDefault="0027009E" w:rsidP="0027009E">
            <w:pPr>
              <w:jc w:val="both"/>
              <w:rPr>
                <w:b/>
              </w:rPr>
            </w:pPr>
            <w:r w:rsidRPr="0027009E">
              <w:rPr>
                <w:b/>
              </w:rPr>
              <w:t xml:space="preserve">Noteikumu projekta </w:t>
            </w:r>
            <w:r w:rsidRPr="00F6139D">
              <w:rPr>
                <w:b/>
              </w:rPr>
              <w:t>9.punkts izteikts šādā redakcijā:</w:t>
            </w:r>
          </w:p>
          <w:p w14:paraId="2B70FE34" w14:textId="6EEA4752" w:rsidR="0027009E" w:rsidRPr="00F6139D" w:rsidRDefault="0027009E" w:rsidP="00F6139D">
            <w:pPr>
              <w:jc w:val="both"/>
              <w:rPr>
                <w:bCs/>
              </w:rPr>
            </w:pPr>
            <w:r w:rsidRPr="00F6139D">
              <w:t>"</w:t>
            </w:r>
            <w:r w:rsidRPr="00F6139D">
              <w:rPr>
                <w:bCs/>
              </w:rPr>
              <w:t>Izteikt 41. punktu šādā redakcijā:</w:t>
            </w:r>
          </w:p>
          <w:p w14:paraId="0F2E64BF" w14:textId="7271EB0D" w:rsidR="008B384C" w:rsidRDefault="0027009E" w:rsidP="0027009E">
            <w:pPr>
              <w:jc w:val="both"/>
            </w:pPr>
            <w:r w:rsidRPr="00185B73">
              <w:rPr>
                <w:bCs/>
              </w:rPr>
              <w:t>"41. Dzīvokļu īpašnieku pilnvarotai</w:t>
            </w:r>
            <w:r w:rsidRPr="00F6139D">
              <w:t xml:space="preserve"> personai vai energoefektivitātes pakalpojuma sniedzējam (ja energoefektivitātes paaugstināšanas pasākumu īstenošanai dzīvokļu īpašnieki tādu ir izvēlējušies), kas nav</w:t>
            </w:r>
            <w:r>
              <w:t xml:space="preserve"> Publisko iepirkumu likuma s</w:t>
            </w:r>
            <w:r w:rsidRPr="0027009E">
              <w:t xml:space="preserve">ubjekts, nepiemēro normatīvo regulējumu par pasūtītāja finansētiem projektiem. Tas izvēlas būvkomersantu, </w:t>
            </w:r>
            <w:proofErr w:type="spellStart"/>
            <w:r w:rsidRPr="0027009E">
              <w:t>autoruzraugu</w:t>
            </w:r>
            <w:proofErr w:type="spellEnd"/>
            <w:r w:rsidRPr="0027009E">
              <w:t xml:space="preserve">, būvuzraugu un citus piegādātājus atbilstoši sabiedrības "Altum" norādījumiem un ievērojot, ka pilnvarotā persona vai energoefektivitātes pakalpojuma sniedzējs </w:t>
            </w:r>
            <w:r w:rsidRPr="0027009E">
              <w:lastRenderedPageBreak/>
              <w:t>neatrodas interešu konfliktā ar piegādātāju, t.i., pilnvarotā persona vai energoefektivitātes pakalpojuma sniedzējs, tās dalībnieks (akcionārs), biedrs, padomes vai valdes loceklis, jebkuras minētās personas radinieks līdz otrajai radniecības pakāpei, laulātais vai svainis līdz pirmajai svainības pakāpei vai pilnvarotās personas vai energoefektivitātes pakalpojuma sniedzēja prokūrists vai komercpilnvarnieks nav piegādātājs vai piegādātāja apakšuzņēmējs, kā arī pilnvarotā persona vai energoefektivitātes pakalpojuma sniedzējs nav piegādātāja vai tā apakšuzņēmēja dalībnieks (akcionārs), biedrs, padomes vai valdes loceklis, prokūrists vai komercpilnvarnieks.";</w:t>
            </w:r>
          </w:p>
          <w:p w14:paraId="64636986" w14:textId="77777777" w:rsidR="008B384C" w:rsidRDefault="008B384C" w:rsidP="0027009E">
            <w:pPr>
              <w:jc w:val="both"/>
            </w:pPr>
          </w:p>
          <w:p w14:paraId="6714BCF4" w14:textId="77777777" w:rsidR="008B384C" w:rsidRDefault="008B384C" w:rsidP="0027009E">
            <w:pPr>
              <w:jc w:val="both"/>
            </w:pPr>
          </w:p>
          <w:p w14:paraId="59040341" w14:textId="77777777" w:rsidR="008B384C" w:rsidRDefault="008B384C" w:rsidP="0027009E">
            <w:pPr>
              <w:jc w:val="both"/>
            </w:pPr>
          </w:p>
          <w:p w14:paraId="638210AA" w14:textId="77777777" w:rsidR="008B384C" w:rsidRDefault="008B384C" w:rsidP="0027009E">
            <w:pPr>
              <w:jc w:val="both"/>
            </w:pPr>
          </w:p>
          <w:p w14:paraId="433BA91F" w14:textId="77777777" w:rsidR="008B384C" w:rsidRDefault="008B384C" w:rsidP="0027009E">
            <w:pPr>
              <w:jc w:val="both"/>
            </w:pPr>
          </w:p>
          <w:p w14:paraId="72FFCC5A" w14:textId="77777777" w:rsidR="008B384C" w:rsidRDefault="008B384C" w:rsidP="0027009E">
            <w:pPr>
              <w:jc w:val="both"/>
            </w:pPr>
          </w:p>
          <w:p w14:paraId="38567BFF" w14:textId="77777777" w:rsidR="008B384C" w:rsidRDefault="008B384C" w:rsidP="0027009E">
            <w:pPr>
              <w:jc w:val="both"/>
            </w:pPr>
          </w:p>
          <w:p w14:paraId="6C0C0E1E" w14:textId="77777777" w:rsidR="008B384C" w:rsidRDefault="008B384C" w:rsidP="0027009E">
            <w:pPr>
              <w:jc w:val="both"/>
            </w:pPr>
          </w:p>
          <w:p w14:paraId="34F9504D" w14:textId="77777777" w:rsidR="008B384C" w:rsidRDefault="008B384C" w:rsidP="0027009E">
            <w:pPr>
              <w:jc w:val="both"/>
            </w:pPr>
          </w:p>
          <w:p w14:paraId="69F9DF30" w14:textId="77777777" w:rsidR="008B384C" w:rsidRDefault="008B384C" w:rsidP="0027009E">
            <w:pPr>
              <w:jc w:val="both"/>
            </w:pPr>
          </w:p>
          <w:p w14:paraId="7F6C3691" w14:textId="77777777" w:rsidR="008B384C" w:rsidRDefault="008B384C" w:rsidP="0027009E">
            <w:pPr>
              <w:jc w:val="both"/>
            </w:pPr>
          </w:p>
          <w:p w14:paraId="588A1E11" w14:textId="77777777" w:rsidR="008B384C" w:rsidRDefault="008B384C" w:rsidP="0027009E">
            <w:pPr>
              <w:jc w:val="both"/>
            </w:pPr>
          </w:p>
          <w:p w14:paraId="470DFB38" w14:textId="75765AE6" w:rsidR="008B384C" w:rsidRPr="0027009E" w:rsidRDefault="008B384C" w:rsidP="0027009E">
            <w:pPr>
              <w:jc w:val="both"/>
              <w:rPr>
                <w:b/>
              </w:rPr>
            </w:pPr>
          </w:p>
        </w:tc>
      </w:tr>
      <w:tr w:rsidR="0027009E" w:rsidRPr="00CC4FF7" w14:paraId="0DC3A58E" w14:textId="77777777" w:rsidTr="00C56DDF">
        <w:tc>
          <w:tcPr>
            <w:tcW w:w="716" w:type="dxa"/>
            <w:tcBorders>
              <w:left w:val="single" w:sz="6" w:space="0" w:color="000000"/>
              <w:bottom w:val="single" w:sz="4" w:space="0" w:color="000000"/>
              <w:right w:val="single" w:sz="4" w:space="0" w:color="auto"/>
            </w:tcBorders>
          </w:tcPr>
          <w:p w14:paraId="4E80DC75" w14:textId="77777777" w:rsidR="0027009E" w:rsidRPr="00CC4FF7" w:rsidRDefault="0027009E" w:rsidP="0027009E">
            <w:pPr>
              <w:pStyle w:val="ListParagraph"/>
              <w:numPr>
                <w:ilvl w:val="0"/>
                <w:numId w:val="1"/>
              </w:numPr>
              <w:spacing w:after="0" w:line="240" w:lineRule="auto"/>
              <w:ind w:left="357" w:hanging="357"/>
              <w:rPr>
                <w:rFonts w:ascii="Times New Roman" w:hAnsi="Times New Roman"/>
              </w:rPr>
            </w:pPr>
          </w:p>
        </w:tc>
        <w:tc>
          <w:tcPr>
            <w:tcW w:w="3086" w:type="dxa"/>
            <w:tcBorders>
              <w:top w:val="single" w:sz="4" w:space="0" w:color="auto"/>
              <w:left w:val="single" w:sz="4" w:space="0" w:color="auto"/>
              <w:bottom w:val="single" w:sz="4" w:space="0" w:color="000000"/>
              <w:right w:val="single" w:sz="4" w:space="0" w:color="auto"/>
            </w:tcBorders>
          </w:tcPr>
          <w:p w14:paraId="5B64BB80" w14:textId="35CF1306" w:rsidR="0027009E" w:rsidRPr="00D56C33" w:rsidRDefault="0027009E" w:rsidP="0027009E">
            <w:pPr>
              <w:pStyle w:val="naisc"/>
              <w:spacing w:before="0" w:after="0"/>
              <w:jc w:val="both"/>
              <w:rPr>
                <w:b/>
              </w:rPr>
            </w:pPr>
            <w:r w:rsidRPr="00D56C33">
              <w:rPr>
                <w:b/>
              </w:rPr>
              <w:t xml:space="preserve">Noteikumu projekta </w:t>
            </w:r>
            <w:r>
              <w:rPr>
                <w:b/>
              </w:rPr>
              <w:t>9</w:t>
            </w:r>
            <w:r w:rsidRPr="00D56C33">
              <w:rPr>
                <w:b/>
              </w:rPr>
              <w:t>.punkts:</w:t>
            </w:r>
          </w:p>
          <w:p w14:paraId="1B2AC520" w14:textId="77777777" w:rsidR="0027009E" w:rsidRDefault="0027009E" w:rsidP="0027009E">
            <w:pPr>
              <w:jc w:val="both"/>
            </w:pPr>
            <w:r>
              <w:t>“</w:t>
            </w:r>
            <w:r w:rsidRPr="005D4D47">
              <w:t>Papildināt noteikumus ar 41.</w:t>
            </w:r>
            <w:r w:rsidRPr="005D4D47">
              <w:rPr>
                <w:vertAlign w:val="superscript"/>
              </w:rPr>
              <w:t>1</w:t>
            </w:r>
            <w:r w:rsidRPr="005D4D47">
              <w:t xml:space="preserve"> punktu šādā redakcijā:</w:t>
            </w:r>
          </w:p>
          <w:p w14:paraId="5A81FE23" w14:textId="627AC5DD" w:rsidR="0027009E" w:rsidRPr="00615AB5" w:rsidRDefault="0027009E" w:rsidP="00706B94">
            <w:pPr>
              <w:pStyle w:val="naisc"/>
              <w:spacing w:before="0" w:after="0"/>
              <w:jc w:val="both"/>
            </w:pPr>
            <w:r>
              <w:t>“</w:t>
            </w:r>
            <w:r w:rsidRPr="005D4D47">
              <w:t>41.</w:t>
            </w:r>
            <w:r w:rsidRPr="005D4D47">
              <w:rPr>
                <w:vertAlign w:val="superscript"/>
              </w:rPr>
              <w:t>1</w:t>
            </w:r>
            <w:r w:rsidRPr="005D4D47">
              <w:t xml:space="preserve"> Dzīvokļu īpašnieku pilnvarotai personai, kas ir Publisko iepirkumu likuma subjekts, piemēro normatīvo regulējumu par pasūtītāja finansētiem projektiem un šo noteikumu 41.1. un 41.2. apakšpunktos noteiktos nosacījumus.</w:t>
            </w:r>
            <w:r>
              <w:t>””</w:t>
            </w:r>
          </w:p>
          <w:p w14:paraId="2AA1C1D9" w14:textId="77777777" w:rsidR="0027009E" w:rsidRPr="00615AB5" w:rsidRDefault="0027009E" w:rsidP="0027009E"/>
          <w:p w14:paraId="151CC052" w14:textId="77777777" w:rsidR="0027009E" w:rsidRPr="00615AB5" w:rsidRDefault="0027009E" w:rsidP="0027009E"/>
          <w:p w14:paraId="38BD8C56" w14:textId="77777777" w:rsidR="0027009E" w:rsidRPr="00615AB5" w:rsidRDefault="0027009E" w:rsidP="0027009E"/>
          <w:p w14:paraId="37D73E98" w14:textId="77777777" w:rsidR="0027009E" w:rsidRPr="00615AB5" w:rsidRDefault="0027009E" w:rsidP="0027009E"/>
          <w:p w14:paraId="4161D681" w14:textId="77777777" w:rsidR="0027009E" w:rsidRPr="00615AB5" w:rsidRDefault="0027009E" w:rsidP="0027009E"/>
          <w:p w14:paraId="76EBCD87" w14:textId="77777777" w:rsidR="0027009E" w:rsidRPr="00615AB5" w:rsidRDefault="0027009E" w:rsidP="0027009E"/>
          <w:p w14:paraId="49B8D10D" w14:textId="77777777" w:rsidR="0027009E" w:rsidRPr="00615AB5" w:rsidRDefault="0027009E" w:rsidP="0027009E"/>
          <w:p w14:paraId="6786A036" w14:textId="77777777" w:rsidR="0027009E" w:rsidRPr="00615AB5" w:rsidRDefault="0027009E" w:rsidP="0027009E"/>
          <w:p w14:paraId="1EA63563" w14:textId="77777777" w:rsidR="0027009E" w:rsidRPr="00615AB5" w:rsidRDefault="0027009E" w:rsidP="0027009E"/>
          <w:p w14:paraId="5EB598F3" w14:textId="77777777" w:rsidR="0027009E" w:rsidRPr="00615AB5" w:rsidRDefault="0027009E" w:rsidP="0027009E"/>
          <w:p w14:paraId="2387A94E" w14:textId="77777777" w:rsidR="0027009E" w:rsidRPr="00615AB5" w:rsidRDefault="0027009E" w:rsidP="0027009E"/>
          <w:p w14:paraId="35EBA645" w14:textId="77777777" w:rsidR="0027009E" w:rsidRPr="00615AB5" w:rsidRDefault="0027009E" w:rsidP="0027009E"/>
          <w:p w14:paraId="0C6F260B" w14:textId="77777777" w:rsidR="0027009E" w:rsidRPr="00615AB5" w:rsidRDefault="0027009E" w:rsidP="0027009E"/>
          <w:p w14:paraId="3EFA8651" w14:textId="77777777" w:rsidR="0027009E" w:rsidRPr="00615AB5" w:rsidRDefault="0027009E" w:rsidP="0027009E"/>
          <w:p w14:paraId="09296F16" w14:textId="77777777" w:rsidR="0027009E" w:rsidRDefault="0027009E" w:rsidP="0027009E"/>
          <w:p w14:paraId="6B6B7E6F" w14:textId="71957DFB" w:rsidR="0027009E" w:rsidRDefault="0027009E" w:rsidP="0027009E"/>
          <w:p w14:paraId="0F0EF4B5" w14:textId="77777777" w:rsidR="0027009E" w:rsidRPr="00615AB5" w:rsidRDefault="0027009E" w:rsidP="0027009E"/>
          <w:p w14:paraId="182F81DB" w14:textId="77777777" w:rsidR="0027009E" w:rsidRPr="00615AB5" w:rsidRDefault="0027009E" w:rsidP="0027009E"/>
          <w:p w14:paraId="3B8C0607" w14:textId="77777777" w:rsidR="0027009E" w:rsidRPr="00615AB5" w:rsidRDefault="0027009E" w:rsidP="0027009E"/>
          <w:p w14:paraId="40966413" w14:textId="159760DB" w:rsidR="0027009E" w:rsidRPr="00615AB5" w:rsidRDefault="0027009E" w:rsidP="0027009E"/>
        </w:tc>
        <w:tc>
          <w:tcPr>
            <w:tcW w:w="3987" w:type="dxa"/>
            <w:tcBorders>
              <w:left w:val="single" w:sz="4" w:space="0" w:color="auto"/>
              <w:bottom w:val="single" w:sz="4" w:space="0" w:color="000000"/>
              <w:right w:val="single" w:sz="6" w:space="0" w:color="000000"/>
            </w:tcBorders>
          </w:tcPr>
          <w:p w14:paraId="2EED5B58" w14:textId="77777777" w:rsidR="0027009E" w:rsidRDefault="0027009E" w:rsidP="0027009E">
            <w:pPr>
              <w:pStyle w:val="naisc"/>
              <w:spacing w:before="0" w:after="0"/>
              <w:jc w:val="both"/>
              <w:rPr>
                <w:b/>
              </w:rPr>
            </w:pPr>
            <w:r w:rsidRPr="00D56C33">
              <w:rPr>
                <w:b/>
              </w:rPr>
              <w:lastRenderedPageBreak/>
              <w:t xml:space="preserve">Finanšu ministrijas </w:t>
            </w:r>
            <w:r>
              <w:rPr>
                <w:b/>
              </w:rPr>
              <w:t>19</w:t>
            </w:r>
            <w:r w:rsidRPr="00D56C33">
              <w:rPr>
                <w:b/>
              </w:rPr>
              <w:t>.0</w:t>
            </w:r>
            <w:r>
              <w:rPr>
                <w:b/>
              </w:rPr>
              <w:t>6</w:t>
            </w:r>
            <w:r w:rsidRPr="00D56C33">
              <w:rPr>
                <w:b/>
              </w:rPr>
              <w:t xml:space="preserve">.2019. </w:t>
            </w:r>
            <w:r>
              <w:rPr>
                <w:b/>
              </w:rPr>
              <w:t>4</w:t>
            </w:r>
            <w:r w:rsidRPr="00D56C33">
              <w:rPr>
                <w:b/>
              </w:rPr>
              <w:t>.iebildums:</w:t>
            </w:r>
          </w:p>
          <w:p w14:paraId="5E49CAD8" w14:textId="501B1C4F" w:rsidR="0027009E" w:rsidRPr="00AB57FE" w:rsidRDefault="0027009E" w:rsidP="0027009E">
            <w:pPr>
              <w:pStyle w:val="naisc"/>
              <w:spacing w:before="0" w:after="0"/>
              <w:jc w:val="both"/>
              <w:rPr>
                <w:b/>
              </w:rPr>
            </w:pPr>
            <w:r w:rsidRPr="00AB57FE">
              <w:rPr>
                <w:bCs/>
              </w:rPr>
              <w:t>“Ar noteikumu projekta 9.punktu tiek paredzēts noteikt, ka  dzīvokļu īpašnieku pilnvarotai personai, kas ir Publisko iepirkumu likuma subjekts, piemēro normatīvo regulējumu par pasūtītāja finansētiem projektiem un šo noteikumu 41.1. un 41.2. apakšpunktos noteiktos nosacījumus.</w:t>
            </w:r>
          </w:p>
          <w:p w14:paraId="4FF7B9ED" w14:textId="3B19EE86" w:rsidR="0027009E" w:rsidRPr="00AB57FE" w:rsidRDefault="0027009E" w:rsidP="0027009E">
            <w:pPr>
              <w:pStyle w:val="naisc"/>
              <w:jc w:val="both"/>
              <w:rPr>
                <w:bCs/>
              </w:rPr>
            </w:pPr>
            <w:r w:rsidRPr="00AB57FE">
              <w:rPr>
                <w:bCs/>
              </w:rPr>
              <w:t>1)</w:t>
            </w:r>
            <w:r w:rsidRPr="00AB57FE">
              <w:rPr>
                <w:bCs/>
              </w:rPr>
              <w:tab/>
              <w:t>Atkārtoti norādām, ka Publisko iepirkumu likuma (turpmāk – PIL) subjektiem ir piemērojams PIL regulējums un tas ir piemērojams obligāti visiem personas veiktajiem iepirkumiem.</w:t>
            </w:r>
          </w:p>
          <w:p w14:paraId="6DA4A3CB" w14:textId="6CE04CC4" w:rsidR="0027009E" w:rsidRPr="00AB57FE" w:rsidRDefault="0027009E" w:rsidP="0027009E">
            <w:pPr>
              <w:pStyle w:val="naisc"/>
              <w:jc w:val="both"/>
              <w:rPr>
                <w:bCs/>
              </w:rPr>
            </w:pPr>
            <w:r w:rsidRPr="00AB57FE">
              <w:rPr>
                <w:bCs/>
              </w:rPr>
              <w:t>2)</w:t>
            </w:r>
            <w:r w:rsidRPr="00AB57FE">
              <w:rPr>
                <w:bCs/>
              </w:rPr>
              <w:tab/>
              <w:t>PIL subjektiem jau šobrīd ir jāievēro regulējums attiecībā uz interešu konflikta neesamību.</w:t>
            </w:r>
          </w:p>
          <w:p w14:paraId="6489F222" w14:textId="0D2F69ED" w:rsidR="0027009E" w:rsidRPr="00D56C33" w:rsidRDefault="0027009E" w:rsidP="0027009E">
            <w:pPr>
              <w:pStyle w:val="naisc"/>
              <w:spacing w:before="0" w:after="0"/>
              <w:jc w:val="both"/>
              <w:rPr>
                <w:b/>
              </w:rPr>
            </w:pPr>
            <w:r w:rsidRPr="00AB57FE">
              <w:rPr>
                <w:bCs/>
              </w:rPr>
              <w:t>3)</w:t>
            </w:r>
            <w:r w:rsidRPr="00AB57FE">
              <w:rPr>
                <w:bCs/>
              </w:rPr>
              <w:tab/>
              <w:t xml:space="preserve">Ja ir nepieciešams noteikt, ka PIL subjekti izvēloties būvkomersantu, </w:t>
            </w:r>
            <w:proofErr w:type="spellStart"/>
            <w:r w:rsidRPr="00AB57FE">
              <w:rPr>
                <w:bCs/>
              </w:rPr>
              <w:lastRenderedPageBreak/>
              <w:t>autoruzraugu</w:t>
            </w:r>
            <w:proofErr w:type="spellEnd"/>
            <w:r w:rsidRPr="00AB57FE">
              <w:rPr>
                <w:bCs/>
              </w:rPr>
              <w:t>, būvuzraugu un citus piegādātājus ņem vērā nosacījumu, ka pasākumu īstenošanas izmaksas atbilst vidējām tirgus cenām, šāds nosacījums būtu nosakāms atsevišķā punktā. Vienlaikus norādām, ka, ja šāds regulējums tiek noteikts, noteikumu projekts papildināms ar PIL subjekta rīcību gadījumā, ja iepirkuma rezultātā īstenošanas izmaksas neatbilst vidējām tirgus cenām</w:t>
            </w:r>
            <w:r>
              <w:rPr>
                <w:bCs/>
              </w:rPr>
              <w:t>.”</w:t>
            </w:r>
          </w:p>
        </w:tc>
        <w:tc>
          <w:tcPr>
            <w:tcW w:w="3827" w:type="dxa"/>
            <w:tcBorders>
              <w:left w:val="single" w:sz="6" w:space="0" w:color="000000"/>
              <w:bottom w:val="single" w:sz="4" w:space="0" w:color="000000"/>
              <w:right w:val="single" w:sz="6" w:space="0" w:color="000000"/>
            </w:tcBorders>
          </w:tcPr>
          <w:p w14:paraId="1B1AFC43" w14:textId="34D99B91" w:rsidR="0027009E" w:rsidRPr="00454154" w:rsidRDefault="0027009E" w:rsidP="0027009E">
            <w:pPr>
              <w:pStyle w:val="naisc"/>
              <w:spacing w:before="0" w:after="0"/>
              <w:rPr>
                <w:bCs/>
              </w:rPr>
            </w:pPr>
            <w:r>
              <w:rPr>
                <w:b/>
              </w:rPr>
              <w:lastRenderedPageBreak/>
              <w:t>Ņemts vērā</w:t>
            </w:r>
          </w:p>
        </w:tc>
        <w:tc>
          <w:tcPr>
            <w:tcW w:w="3118" w:type="dxa"/>
            <w:tcBorders>
              <w:top w:val="single" w:sz="4" w:space="0" w:color="auto"/>
              <w:left w:val="single" w:sz="4" w:space="0" w:color="auto"/>
              <w:bottom w:val="single" w:sz="4" w:space="0" w:color="000000"/>
            </w:tcBorders>
          </w:tcPr>
          <w:p w14:paraId="754C5E1E" w14:textId="64124717" w:rsidR="0027009E" w:rsidRPr="00E95932" w:rsidRDefault="0027009E" w:rsidP="0027009E">
            <w:pPr>
              <w:jc w:val="both"/>
              <w:rPr>
                <w:b/>
              </w:rPr>
            </w:pPr>
            <w:r w:rsidRPr="00E95932">
              <w:rPr>
                <w:b/>
              </w:rPr>
              <w:t xml:space="preserve">Svītrots  Noteikumu projekta </w:t>
            </w:r>
            <w:r>
              <w:rPr>
                <w:b/>
              </w:rPr>
              <w:t>9</w:t>
            </w:r>
            <w:r w:rsidRPr="00E95932">
              <w:rPr>
                <w:b/>
              </w:rPr>
              <w:t>.punkts.</w:t>
            </w:r>
          </w:p>
        </w:tc>
      </w:tr>
      <w:tr w:rsidR="0027009E" w:rsidRPr="00CC4FF7" w14:paraId="68B407E9" w14:textId="77777777" w:rsidTr="00C56DDF">
        <w:tc>
          <w:tcPr>
            <w:tcW w:w="716" w:type="dxa"/>
            <w:tcBorders>
              <w:left w:val="single" w:sz="6" w:space="0" w:color="000000"/>
              <w:bottom w:val="single" w:sz="4" w:space="0" w:color="000000"/>
              <w:right w:val="single" w:sz="4" w:space="0" w:color="auto"/>
            </w:tcBorders>
          </w:tcPr>
          <w:p w14:paraId="1E62AADF" w14:textId="77777777" w:rsidR="0027009E" w:rsidRPr="00CC4FF7" w:rsidRDefault="0027009E" w:rsidP="0027009E">
            <w:pPr>
              <w:pStyle w:val="ListParagraph"/>
              <w:numPr>
                <w:ilvl w:val="0"/>
                <w:numId w:val="1"/>
              </w:numPr>
              <w:spacing w:after="0" w:line="240" w:lineRule="auto"/>
              <w:ind w:left="357" w:hanging="357"/>
              <w:rPr>
                <w:rFonts w:ascii="Times New Roman" w:hAnsi="Times New Roman"/>
              </w:rPr>
            </w:pPr>
          </w:p>
        </w:tc>
        <w:tc>
          <w:tcPr>
            <w:tcW w:w="3086" w:type="dxa"/>
            <w:tcBorders>
              <w:top w:val="single" w:sz="4" w:space="0" w:color="auto"/>
              <w:left w:val="single" w:sz="4" w:space="0" w:color="auto"/>
              <w:bottom w:val="single" w:sz="4" w:space="0" w:color="000000"/>
              <w:right w:val="single" w:sz="4" w:space="0" w:color="auto"/>
            </w:tcBorders>
          </w:tcPr>
          <w:p w14:paraId="34F80F18" w14:textId="045EC5E3" w:rsidR="0027009E" w:rsidRPr="00D56C33" w:rsidRDefault="0027009E" w:rsidP="0027009E">
            <w:pPr>
              <w:pStyle w:val="naisc"/>
              <w:spacing w:before="0" w:after="0"/>
              <w:jc w:val="both"/>
              <w:rPr>
                <w:b/>
              </w:rPr>
            </w:pPr>
            <w:r w:rsidRPr="00D56C33">
              <w:rPr>
                <w:b/>
              </w:rPr>
              <w:t>Noteikumu projekta 7.punkts:</w:t>
            </w:r>
          </w:p>
          <w:p w14:paraId="3FBAF33A" w14:textId="77777777" w:rsidR="0027009E" w:rsidRPr="00D56C33" w:rsidRDefault="0027009E" w:rsidP="0027009E">
            <w:pPr>
              <w:pStyle w:val="naisc"/>
              <w:jc w:val="both"/>
            </w:pPr>
            <w:r w:rsidRPr="00D56C33">
              <w:t>“7. Izteikt 54. punktu šādā redakcijā:</w:t>
            </w:r>
          </w:p>
          <w:p w14:paraId="2B67DEAA" w14:textId="20E65797" w:rsidR="0027009E" w:rsidRPr="00D56C33" w:rsidRDefault="0027009E" w:rsidP="0027009E">
            <w:pPr>
              <w:pStyle w:val="naisc"/>
              <w:jc w:val="both"/>
            </w:pPr>
            <w:r w:rsidRPr="00D56C33">
              <w:t>“54. Aizdevuma energoefektivitātes paaugstināšanas pasākumu īstenošanai atmaksas termiņš ir līdz 20 gadiem.””</w:t>
            </w:r>
          </w:p>
          <w:p w14:paraId="4A41F817" w14:textId="77777777" w:rsidR="0027009E" w:rsidRPr="00D56C33" w:rsidRDefault="0027009E" w:rsidP="0027009E">
            <w:pPr>
              <w:pStyle w:val="naisc"/>
              <w:spacing w:before="0" w:after="0"/>
              <w:jc w:val="both"/>
              <w:rPr>
                <w:b/>
              </w:rPr>
            </w:pPr>
          </w:p>
        </w:tc>
        <w:tc>
          <w:tcPr>
            <w:tcW w:w="3987" w:type="dxa"/>
            <w:tcBorders>
              <w:left w:val="single" w:sz="4" w:space="0" w:color="auto"/>
              <w:bottom w:val="single" w:sz="4" w:space="0" w:color="000000"/>
              <w:right w:val="single" w:sz="6" w:space="0" w:color="000000"/>
            </w:tcBorders>
          </w:tcPr>
          <w:p w14:paraId="63A39337" w14:textId="7025C42B" w:rsidR="0027009E" w:rsidRPr="00D56C33" w:rsidRDefault="0027009E" w:rsidP="0027009E">
            <w:pPr>
              <w:pStyle w:val="naisc"/>
              <w:spacing w:before="0" w:after="0"/>
              <w:jc w:val="both"/>
              <w:rPr>
                <w:b/>
              </w:rPr>
            </w:pPr>
            <w:r w:rsidRPr="00D56C33">
              <w:rPr>
                <w:b/>
              </w:rPr>
              <w:t>Tieslietu ministrijas 03.04.2019. 1.iebildums:</w:t>
            </w:r>
          </w:p>
          <w:p w14:paraId="07F3BEA9" w14:textId="6C48F410" w:rsidR="0027009E" w:rsidRPr="00D56C33" w:rsidRDefault="0027009E" w:rsidP="0027009E">
            <w:pPr>
              <w:pStyle w:val="naisc"/>
              <w:spacing w:before="0" w:after="0"/>
              <w:ind w:right="3"/>
              <w:jc w:val="both"/>
            </w:pPr>
            <w:r w:rsidRPr="00D56C33">
              <w:t xml:space="preserve">“Noteikumu projekta 7. punktā izteiktajā 54. punktā tiek samazināts aizdevuma izsniegšanas termiņš no 30 gadiem uz 20. Vēršam uzmanību, ka no noteikumu projekta anotācijā sniegtā skaidrojuma nerodas pārliecība, ka iepriekš minētais grozījums sader ar tiesiskās paļāvības principu un kā tas ietekmēs jau izsniegtos aizdevumus energoefektivitātes paaugstināšanas pasākumu īstenošanai, kas izsniegti noteikumu ietvaros. Tiesiskās paļāvības princips noteic, ka privātpersona var paļauties, ka iestādes rīcība ir tiesiska un konsekventa, tai skaitā persona var paļauties, ka tā noteiktajā laikā varēs īstenot tai iegūtās tiesības. Satversmes tiesa ir norādījusi (2009. gada 26. novembra spriedums </w:t>
            </w:r>
            <w:r w:rsidRPr="00D56C33">
              <w:lastRenderedPageBreak/>
              <w:t>lietā Nr. 2009-08-01</w:t>
            </w:r>
            <w:r w:rsidRPr="00D56C33">
              <w:footnoteReference w:id="1"/>
            </w:r>
            <w:r w:rsidRPr="00D56C33">
              <w:t xml:space="preserve">), ka gadījumā, kad normatīvā regulējuma grozījumu rezultātā notiek vai ir iespējama privātpersonu tiesiskā stāvokļa pasliktināšanās, tiesiskās paļāvības princips nodrošina šo personu tiesību aizsardzību, proti, persona var paļauties, ka tā noteiktajā laikā varēs īstenot tai iegūtās tiesības. </w:t>
            </w:r>
          </w:p>
          <w:p w14:paraId="2CE5FDAA" w14:textId="77777777" w:rsidR="0027009E" w:rsidRPr="00D56C33" w:rsidRDefault="0027009E" w:rsidP="0027009E">
            <w:pPr>
              <w:pStyle w:val="naisc"/>
              <w:spacing w:before="0" w:after="0"/>
              <w:ind w:right="3"/>
              <w:jc w:val="both"/>
            </w:pPr>
            <w:r w:rsidRPr="00D56C33">
              <w:t xml:space="preserve">Papildus norādām, ka no noteikumu projekta 7. punkta redakcijas izriet regulējuma piemērošana ar atpakaļejošu spēku. Latvijas tiesību sistēmā nav piemērojamas tiesību normas ar atpakaļejošu spēku. Proti, likuma ''Par likumu un citu Saeimas, Valsts prezidenta un Ministru kabineta pieņemto aktu izsludināšanas, publicēšanas, spēkā stāšanās kārtību un spēkā esamību'' 9. pants noteic, ka normatīvajiem aktiem nav atpakaļejoša spēka, izņemot likumā īpaši paredzētus gadījumus. </w:t>
            </w:r>
          </w:p>
          <w:p w14:paraId="0E4129EF" w14:textId="6A0D87F4" w:rsidR="0027009E" w:rsidRPr="00D56C33" w:rsidRDefault="0027009E" w:rsidP="0027009E">
            <w:pPr>
              <w:pStyle w:val="naisc"/>
              <w:spacing w:before="0" w:after="0"/>
              <w:ind w:right="3"/>
              <w:jc w:val="both"/>
            </w:pPr>
            <w:r w:rsidRPr="00D56C33">
              <w:t xml:space="preserve">Līdz ar to lūdzam projekta anotācijā izvērsti skaidrot, kā projektā paredzētais aizdevuma termiņa grozījums ietekmēs personas, kuras jau ir saņēmušas aizdevumu (vai minētajām personām pasliktināsies tiesiski iegūtais stāvoklis), tai skaitā, </w:t>
            </w:r>
            <w:r w:rsidRPr="00D56C33">
              <w:lastRenderedPageBreak/>
              <w:t>vai atbalstu saņēmušās personas ir informētas par iespējamo grozījumu un tās brīvprātīgi piekritušas šādam grozījumam. Ja minētais grozījums negatīvi un bez būtiska pamatojuma ietekmēs personu jau iegūtās tiesības, Tieslietu ministrija nevar atbalstīt projekta tālāku virzību.”</w:t>
            </w:r>
          </w:p>
          <w:p w14:paraId="24257C9A" w14:textId="52CB2503" w:rsidR="0027009E" w:rsidRPr="00D56C33" w:rsidRDefault="0027009E" w:rsidP="0027009E">
            <w:pPr>
              <w:pStyle w:val="naisc"/>
              <w:spacing w:before="0" w:after="0"/>
              <w:ind w:right="3"/>
              <w:jc w:val="both"/>
            </w:pPr>
          </w:p>
          <w:p w14:paraId="7ECDA8C0" w14:textId="77777777" w:rsidR="0027009E" w:rsidRPr="00D56C33" w:rsidRDefault="0027009E" w:rsidP="0027009E">
            <w:pPr>
              <w:pStyle w:val="naisc"/>
              <w:spacing w:before="0" w:after="0"/>
              <w:jc w:val="both"/>
              <w:rPr>
                <w:b/>
              </w:rPr>
            </w:pPr>
            <w:r w:rsidRPr="00D56C33">
              <w:rPr>
                <w:b/>
              </w:rPr>
              <w:t>Finanšu ministrijas 03.04.2019. 4.iebildums:</w:t>
            </w:r>
          </w:p>
          <w:p w14:paraId="4953F669" w14:textId="77777777" w:rsidR="0027009E" w:rsidRPr="00D56C33" w:rsidRDefault="0027009E" w:rsidP="0027009E">
            <w:pPr>
              <w:pStyle w:val="naisc"/>
              <w:spacing w:before="0" w:after="0"/>
              <w:ind w:right="3"/>
              <w:jc w:val="both"/>
            </w:pPr>
            <w:r w:rsidRPr="00D56C33">
              <w:t>“Lūdzam sniegt skaidrojumu, vai, samazinot aizdevuma energoefektivitātes paaugstināšanas pasākumu īstenošanai atmaksas termiņu no 30 uz 20 gadiem, nepieaugs gala labuma guvēju ikmēneša izmaksas, kā rezultātā tiktu apdraudētas aizdevuma atmaksāšanas iespējas.</w:t>
            </w:r>
          </w:p>
          <w:p w14:paraId="3520FBA1" w14:textId="77777777" w:rsidR="0027009E" w:rsidRPr="00C56DDF" w:rsidRDefault="0027009E" w:rsidP="0027009E">
            <w:pPr>
              <w:jc w:val="both"/>
            </w:pPr>
            <w:r w:rsidRPr="00463A48">
              <w:t>Tāpat lūdzam papildināt anotācijas I sadaļas “Tiesību akta projekta izstrādes nepieciešamība” 2. punktu “Pašreizējā situācija un problēmas, kuru risināšanai tiesību akta projekts izstrādāts, tiesiskā regulējuma mērķis un būtība” ar informāciju:</w:t>
            </w:r>
          </w:p>
          <w:p w14:paraId="4D620F07" w14:textId="77777777" w:rsidR="0027009E" w:rsidRPr="00D56C33" w:rsidRDefault="0027009E" w:rsidP="0027009E">
            <w:pPr>
              <w:pStyle w:val="ListParagraph"/>
              <w:numPr>
                <w:ilvl w:val="0"/>
                <w:numId w:val="15"/>
              </w:numPr>
              <w:spacing w:after="0" w:line="240" w:lineRule="auto"/>
              <w:ind w:left="339"/>
              <w:jc w:val="both"/>
              <w:rPr>
                <w:rFonts w:ascii="Times New Roman" w:hAnsi="Times New Roman"/>
                <w:sz w:val="24"/>
                <w:szCs w:val="24"/>
                <w:lang w:eastAsia="lv-LV"/>
              </w:rPr>
            </w:pPr>
            <w:r w:rsidRPr="00D56C33">
              <w:rPr>
                <w:rFonts w:ascii="Times New Roman" w:hAnsi="Times New Roman"/>
                <w:sz w:val="24"/>
                <w:szCs w:val="24"/>
                <w:lang w:eastAsia="lv-LV"/>
              </w:rPr>
              <w:t>par noteikumu projekta ietekmi uz finansējuma saņēmēju un gala labuma guvējiem, it īpaši ņemot vērā noteikumu projekta 7.punktu;</w:t>
            </w:r>
          </w:p>
          <w:p w14:paraId="45E75A95" w14:textId="77777777" w:rsidR="0027009E" w:rsidRPr="00D56C33" w:rsidRDefault="0027009E" w:rsidP="0027009E">
            <w:pPr>
              <w:pStyle w:val="ListParagraph"/>
              <w:numPr>
                <w:ilvl w:val="0"/>
                <w:numId w:val="15"/>
              </w:numPr>
              <w:spacing w:after="0" w:line="240" w:lineRule="auto"/>
              <w:ind w:left="339"/>
              <w:jc w:val="both"/>
              <w:rPr>
                <w:rFonts w:ascii="Times New Roman" w:hAnsi="Times New Roman"/>
                <w:sz w:val="24"/>
                <w:szCs w:val="24"/>
                <w:lang w:eastAsia="lv-LV"/>
              </w:rPr>
            </w:pPr>
            <w:r w:rsidRPr="00D56C33">
              <w:rPr>
                <w:rFonts w:ascii="Times New Roman" w:hAnsi="Times New Roman"/>
                <w:sz w:val="24"/>
                <w:szCs w:val="24"/>
                <w:lang w:eastAsia="lv-LV"/>
              </w:rPr>
              <w:t xml:space="preserve">vai plānota visu projektu iesniedzēju informēšana par </w:t>
            </w:r>
            <w:r w:rsidRPr="00D56C33">
              <w:rPr>
                <w:rFonts w:ascii="Times New Roman" w:hAnsi="Times New Roman"/>
                <w:sz w:val="24"/>
                <w:szCs w:val="24"/>
                <w:lang w:eastAsia="lv-LV"/>
              </w:rPr>
              <w:lastRenderedPageBreak/>
              <w:t>grozījumiem pēc to apstiprināšanas Ministru kabinetā;</w:t>
            </w:r>
          </w:p>
          <w:p w14:paraId="578AD434" w14:textId="77777777" w:rsidR="0027009E" w:rsidRPr="00D56C33" w:rsidRDefault="0027009E" w:rsidP="0027009E">
            <w:pPr>
              <w:pStyle w:val="ListParagraph"/>
              <w:numPr>
                <w:ilvl w:val="0"/>
                <w:numId w:val="15"/>
              </w:numPr>
              <w:spacing w:after="0" w:line="240" w:lineRule="auto"/>
              <w:ind w:left="339"/>
              <w:jc w:val="both"/>
              <w:rPr>
                <w:rFonts w:ascii="Times New Roman" w:hAnsi="Times New Roman"/>
                <w:sz w:val="24"/>
                <w:szCs w:val="24"/>
                <w:lang w:eastAsia="lv-LV"/>
              </w:rPr>
            </w:pPr>
            <w:r w:rsidRPr="00D56C33">
              <w:rPr>
                <w:rFonts w:ascii="Times New Roman" w:hAnsi="Times New Roman"/>
                <w:sz w:val="24"/>
                <w:szCs w:val="24"/>
                <w:lang w:eastAsia="lv-LV"/>
              </w:rPr>
              <w:t>par grozījumu ietekmi uz to plānotajiem projektiem;</w:t>
            </w:r>
          </w:p>
          <w:p w14:paraId="03FBB313" w14:textId="77777777" w:rsidR="0027009E" w:rsidRPr="00D56C33" w:rsidRDefault="0027009E" w:rsidP="0027009E">
            <w:pPr>
              <w:pStyle w:val="ListParagraph"/>
              <w:numPr>
                <w:ilvl w:val="0"/>
                <w:numId w:val="15"/>
              </w:numPr>
              <w:spacing w:after="0" w:line="240" w:lineRule="auto"/>
              <w:ind w:left="339"/>
              <w:jc w:val="both"/>
              <w:rPr>
                <w:rFonts w:ascii="Times New Roman" w:hAnsi="Times New Roman"/>
                <w:sz w:val="24"/>
                <w:szCs w:val="24"/>
                <w:lang w:eastAsia="lv-LV"/>
              </w:rPr>
            </w:pPr>
            <w:r w:rsidRPr="00D56C33">
              <w:rPr>
                <w:rFonts w:ascii="Times New Roman" w:hAnsi="Times New Roman"/>
                <w:sz w:val="24"/>
                <w:szCs w:val="24"/>
                <w:lang w:eastAsia="lv-LV"/>
              </w:rPr>
              <w:t>vai būs nepieciešami grozījumi noslēgtajos līgumos ar gala labuma guvējiem.</w:t>
            </w:r>
          </w:p>
          <w:p w14:paraId="5FD772BB" w14:textId="5253E92B" w:rsidR="0027009E" w:rsidRPr="00D56C33" w:rsidRDefault="0027009E" w:rsidP="0027009E">
            <w:pPr>
              <w:jc w:val="both"/>
            </w:pPr>
            <w:r w:rsidRPr="00D56C33">
              <w:t xml:space="preserve">Vēršam uzmanību, ka noteikumu projekta 7.punkts rada ietekmi uz MK noteikumu Nr.160 52.1.apakšpunktu un 53., 55., 55., 56. un 88.punktu. Tā kā aizdevuma atmaksas termiņš ietekmē energoefektivitātes paaugstināšanas pasākumu iekšējās </w:t>
            </w:r>
            <w:proofErr w:type="spellStart"/>
            <w:r w:rsidRPr="00D56C33">
              <w:t>atdeves</w:t>
            </w:r>
            <w:proofErr w:type="spellEnd"/>
            <w:r w:rsidRPr="00D56C33">
              <w:t xml:space="preserve"> rādītāja aprēķinu, tad lūdzam izvērtēt noteikumu projekta 7.punkta nepieciešamību.</w:t>
            </w:r>
          </w:p>
        </w:tc>
        <w:tc>
          <w:tcPr>
            <w:tcW w:w="3827" w:type="dxa"/>
            <w:tcBorders>
              <w:left w:val="single" w:sz="6" w:space="0" w:color="000000"/>
              <w:bottom w:val="single" w:sz="4" w:space="0" w:color="000000"/>
              <w:right w:val="single" w:sz="6" w:space="0" w:color="000000"/>
            </w:tcBorders>
          </w:tcPr>
          <w:p w14:paraId="75B086B1" w14:textId="3B8F2B16" w:rsidR="0027009E" w:rsidRPr="00D56C33" w:rsidRDefault="0027009E" w:rsidP="0027009E">
            <w:pPr>
              <w:pStyle w:val="naisc"/>
              <w:spacing w:before="0" w:after="0"/>
              <w:rPr>
                <w:b/>
              </w:rPr>
            </w:pPr>
            <w:r w:rsidRPr="00D56C33">
              <w:rPr>
                <w:b/>
              </w:rPr>
              <w:lastRenderedPageBreak/>
              <w:t>Ņemts vērā</w:t>
            </w:r>
          </w:p>
          <w:p w14:paraId="0D7947B9" w14:textId="6436AF3B" w:rsidR="0027009E" w:rsidRPr="00D56C33" w:rsidRDefault="0027009E" w:rsidP="0027009E">
            <w:pPr>
              <w:pStyle w:val="naisc"/>
              <w:spacing w:before="0" w:after="0"/>
              <w:jc w:val="both"/>
            </w:pPr>
            <w:r w:rsidRPr="00D56C33">
              <w:t>Informējam, ka iepriekš veiktajos grozījumos tika pieļauta neprecizitāte,  ka līdz ar veiktajiem grozījumiem investīciju atmaksas termiņā (tika grozīts no 20 uz 30 gadiem) kļūdaini tika grozīts Altum izsniegto aizdevumu termiņš</w:t>
            </w:r>
            <w:r>
              <w:t>. A</w:t>
            </w:r>
            <w:r w:rsidRPr="00D56C33">
              <w:t>tbilstoši Altum piedāvājumam programmas ietvaros, aizdevumu izsniegšana tiek īstenota uz termiņu ne ilgāku kā līdz 20 gadiem</w:t>
            </w:r>
            <w:r>
              <w:t>, t</w:t>
            </w:r>
            <w:r w:rsidRPr="00D56C33">
              <w:t>ādēļ šī brīža MK noteikumu</w:t>
            </w:r>
            <w:r>
              <w:t xml:space="preserve"> Nr. 160</w:t>
            </w:r>
            <w:r w:rsidRPr="00D56C33">
              <w:t xml:space="preserve"> redakcija neatbilst reālajai situācijai un var maldināt programmas atbalsta saņēmējus.</w:t>
            </w:r>
          </w:p>
          <w:p w14:paraId="00C1434D" w14:textId="30EB72A8" w:rsidR="0027009E" w:rsidRPr="00D56C33" w:rsidRDefault="0027009E" w:rsidP="0027009E">
            <w:pPr>
              <w:pStyle w:val="naisc"/>
              <w:spacing w:before="0" w:after="0"/>
              <w:jc w:val="both"/>
            </w:pPr>
            <w:r w:rsidRPr="00D56C33">
              <w:t xml:space="preserve">Vienlaikus informējam, ka  iepriekš minētais grozījums sader ar tiesiskās paļāvības principu, jo MK noteikumu Nr.160 ietvaros līdz šim Altum izsniegto aizdevumu termiņi </w:t>
            </w:r>
            <w:r w:rsidRPr="00D56C33">
              <w:lastRenderedPageBreak/>
              <w:t>energoefektivitātes paaugstināšanas pasākumu īstenošanai nav bijuši ilgāki par 20 gadu periodu.  Līdz ar to grozījumi neatstās ietekmi uz finansējuma saņēmēju un gala labuma guvējiem.</w:t>
            </w:r>
          </w:p>
          <w:p w14:paraId="158D7867" w14:textId="77777777" w:rsidR="0027009E" w:rsidRPr="00D56C33" w:rsidRDefault="0027009E" w:rsidP="0027009E">
            <w:pPr>
              <w:pStyle w:val="naisc"/>
              <w:spacing w:before="0" w:after="0"/>
              <w:jc w:val="both"/>
            </w:pPr>
          </w:p>
          <w:p w14:paraId="0832A874" w14:textId="77777777" w:rsidR="0027009E" w:rsidRPr="00D56C33" w:rsidRDefault="0027009E" w:rsidP="0027009E">
            <w:pPr>
              <w:pStyle w:val="naisc"/>
              <w:spacing w:before="0" w:after="0"/>
              <w:jc w:val="both"/>
            </w:pPr>
          </w:p>
          <w:p w14:paraId="18269D48" w14:textId="77777777" w:rsidR="0027009E" w:rsidRPr="00D56C33" w:rsidRDefault="0027009E" w:rsidP="0027009E">
            <w:pPr>
              <w:pStyle w:val="naisc"/>
              <w:spacing w:before="0" w:after="0"/>
              <w:jc w:val="both"/>
            </w:pPr>
          </w:p>
          <w:p w14:paraId="0DF0DE70" w14:textId="77777777" w:rsidR="0027009E" w:rsidRPr="00D56C33" w:rsidRDefault="0027009E" w:rsidP="0027009E">
            <w:pPr>
              <w:pStyle w:val="naisc"/>
              <w:spacing w:before="0" w:after="0"/>
              <w:jc w:val="both"/>
            </w:pPr>
          </w:p>
          <w:p w14:paraId="3B698B9F" w14:textId="77777777" w:rsidR="0027009E" w:rsidRPr="00D56C33" w:rsidRDefault="0027009E" w:rsidP="0027009E">
            <w:pPr>
              <w:pStyle w:val="naisc"/>
              <w:spacing w:before="0" w:after="0"/>
              <w:jc w:val="both"/>
            </w:pPr>
          </w:p>
          <w:p w14:paraId="30AA55B8" w14:textId="77777777" w:rsidR="0027009E" w:rsidRPr="00D56C33" w:rsidRDefault="0027009E" w:rsidP="0027009E">
            <w:pPr>
              <w:pStyle w:val="naisc"/>
              <w:spacing w:before="0" w:after="0"/>
              <w:jc w:val="both"/>
            </w:pPr>
          </w:p>
          <w:p w14:paraId="5AF73D43" w14:textId="77777777" w:rsidR="0027009E" w:rsidRPr="00D56C33" w:rsidRDefault="0027009E" w:rsidP="0027009E">
            <w:pPr>
              <w:pStyle w:val="naisc"/>
              <w:spacing w:before="0" w:after="0"/>
              <w:jc w:val="both"/>
            </w:pPr>
          </w:p>
          <w:p w14:paraId="507862F8" w14:textId="77777777" w:rsidR="0027009E" w:rsidRPr="00D56C33" w:rsidRDefault="0027009E" w:rsidP="0027009E">
            <w:pPr>
              <w:pStyle w:val="naisc"/>
              <w:spacing w:before="0" w:after="0"/>
              <w:jc w:val="both"/>
            </w:pPr>
          </w:p>
          <w:p w14:paraId="13CF80F8" w14:textId="77777777" w:rsidR="0027009E" w:rsidRPr="00D56C33" w:rsidRDefault="0027009E" w:rsidP="0027009E">
            <w:pPr>
              <w:pStyle w:val="naisc"/>
              <w:spacing w:before="0" w:after="0"/>
              <w:jc w:val="both"/>
            </w:pPr>
          </w:p>
          <w:p w14:paraId="2171079C" w14:textId="77777777" w:rsidR="0027009E" w:rsidRPr="00D56C33" w:rsidRDefault="0027009E" w:rsidP="0027009E">
            <w:pPr>
              <w:pStyle w:val="naisc"/>
              <w:spacing w:before="0" w:after="0"/>
              <w:jc w:val="both"/>
            </w:pPr>
          </w:p>
          <w:p w14:paraId="44114CCC" w14:textId="77777777" w:rsidR="0027009E" w:rsidRPr="00D56C33" w:rsidRDefault="0027009E" w:rsidP="0027009E">
            <w:pPr>
              <w:pStyle w:val="naisc"/>
              <w:spacing w:before="0" w:after="0"/>
              <w:jc w:val="both"/>
            </w:pPr>
          </w:p>
          <w:p w14:paraId="56FCC1C6" w14:textId="77777777" w:rsidR="0027009E" w:rsidRPr="00D56C33" w:rsidRDefault="0027009E" w:rsidP="0027009E">
            <w:pPr>
              <w:pStyle w:val="naisc"/>
              <w:spacing w:before="0" w:after="0"/>
              <w:jc w:val="both"/>
            </w:pPr>
          </w:p>
          <w:p w14:paraId="3344C375" w14:textId="77777777" w:rsidR="0027009E" w:rsidRPr="00D56C33" w:rsidRDefault="0027009E" w:rsidP="0027009E">
            <w:pPr>
              <w:pStyle w:val="naisc"/>
              <w:spacing w:before="0" w:after="0"/>
              <w:jc w:val="both"/>
            </w:pPr>
          </w:p>
          <w:p w14:paraId="796A3939" w14:textId="77777777" w:rsidR="0027009E" w:rsidRPr="00D56C33" w:rsidRDefault="0027009E" w:rsidP="0027009E">
            <w:pPr>
              <w:pStyle w:val="naisc"/>
              <w:spacing w:before="0" w:after="0"/>
              <w:jc w:val="both"/>
            </w:pPr>
          </w:p>
          <w:p w14:paraId="6CC99614" w14:textId="77777777" w:rsidR="0027009E" w:rsidRPr="00D56C33" w:rsidRDefault="0027009E" w:rsidP="0027009E">
            <w:pPr>
              <w:pStyle w:val="naisc"/>
              <w:spacing w:before="0" w:after="0"/>
              <w:jc w:val="both"/>
            </w:pPr>
          </w:p>
          <w:p w14:paraId="74915B95" w14:textId="77777777" w:rsidR="0027009E" w:rsidRPr="00D56C33" w:rsidRDefault="0027009E" w:rsidP="0027009E">
            <w:pPr>
              <w:pStyle w:val="naisc"/>
              <w:spacing w:before="0" w:after="0"/>
              <w:jc w:val="both"/>
            </w:pPr>
          </w:p>
          <w:p w14:paraId="71549E96" w14:textId="77777777" w:rsidR="0027009E" w:rsidRPr="00D56C33" w:rsidRDefault="0027009E" w:rsidP="0027009E">
            <w:pPr>
              <w:pStyle w:val="naisc"/>
              <w:spacing w:before="0" w:after="0"/>
              <w:jc w:val="both"/>
            </w:pPr>
          </w:p>
          <w:p w14:paraId="0E09A359" w14:textId="77777777" w:rsidR="0027009E" w:rsidRPr="00D56C33" w:rsidRDefault="0027009E" w:rsidP="0027009E">
            <w:pPr>
              <w:pStyle w:val="naisc"/>
              <w:spacing w:before="0" w:after="0"/>
              <w:jc w:val="both"/>
            </w:pPr>
          </w:p>
          <w:p w14:paraId="10AE3913" w14:textId="77777777" w:rsidR="0027009E" w:rsidRPr="00D56C33" w:rsidRDefault="0027009E" w:rsidP="0027009E">
            <w:pPr>
              <w:pStyle w:val="naisc"/>
              <w:spacing w:before="0" w:after="0"/>
              <w:jc w:val="both"/>
            </w:pPr>
          </w:p>
          <w:p w14:paraId="7D57E431" w14:textId="77777777" w:rsidR="0027009E" w:rsidRPr="00D56C33" w:rsidRDefault="0027009E" w:rsidP="0027009E">
            <w:pPr>
              <w:pStyle w:val="naisc"/>
              <w:spacing w:before="0" w:after="0"/>
              <w:jc w:val="both"/>
            </w:pPr>
          </w:p>
          <w:p w14:paraId="60F38761" w14:textId="77777777" w:rsidR="0027009E" w:rsidRPr="00D56C33" w:rsidRDefault="0027009E" w:rsidP="0027009E">
            <w:pPr>
              <w:pStyle w:val="naisc"/>
              <w:spacing w:before="0" w:after="0"/>
              <w:jc w:val="both"/>
            </w:pPr>
          </w:p>
          <w:p w14:paraId="2BB3B77A" w14:textId="77777777" w:rsidR="0027009E" w:rsidRPr="00D56C33" w:rsidRDefault="0027009E" w:rsidP="0027009E">
            <w:pPr>
              <w:pStyle w:val="naisc"/>
              <w:spacing w:before="0" w:after="0"/>
              <w:jc w:val="both"/>
            </w:pPr>
          </w:p>
          <w:p w14:paraId="1925DC48" w14:textId="6BD8267B" w:rsidR="0027009E" w:rsidRPr="00D56C33" w:rsidRDefault="0027009E" w:rsidP="0027009E">
            <w:pPr>
              <w:pStyle w:val="naisc"/>
              <w:spacing w:before="0" w:after="0"/>
              <w:jc w:val="both"/>
            </w:pPr>
          </w:p>
          <w:p w14:paraId="5E493145" w14:textId="77777777" w:rsidR="0027009E" w:rsidRPr="00D56C33" w:rsidRDefault="0027009E" w:rsidP="0027009E">
            <w:pPr>
              <w:pStyle w:val="naisc"/>
              <w:spacing w:before="0" w:after="0"/>
              <w:jc w:val="both"/>
            </w:pPr>
          </w:p>
          <w:p w14:paraId="446FC863" w14:textId="415B8860" w:rsidR="0027009E" w:rsidRDefault="0027009E" w:rsidP="0027009E">
            <w:pPr>
              <w:pStyle w:val="naisc"/>
              <w:spacing w:before="0" w:after="0"/>
              <w:jc w:val="both"/>
            </w:pPr>
          </w:p>
          <w:p w14:paraId="6F8BB126" w14:textId="5D17FCAF" w:rsidR="0027009E" w:rsidRDefault="0027009E" w:rsidP="0027009E">
            <w:pPr>
              <w:pStyle w:val="naisc"/>
              <w:spacing w:before="0" w:after="0"/>
              <w:jc w:val="both"/>
            </w:pPr>
          </w:p>
          <w:p w14:paraId="7C45A567" w14:textId="16E76CD6" w:rsidR="0027009E" w:rsidRDefault="0027009E" w:rsidP="0027009E">
            <w:pPr>
              <w:pStyle w:val="naisc"/>
              <w:spacing w:before="0" w:after="0"/>
              <w:jc w:val="both"/>
            </w:pPr>
          </w:p>
          <w:p w14:paraId="47471081" w14:textId="0C50F8A3" w:rsidR="0027009E" w:rsidRDefault="0027009E" w:rsidP="0027009E">
            <w:pPr>
              <w:pStyle w:val="naisc"/>
              <w:spacing w:before="0" w:after="0"/>
              <w:jc w:val="both"/>
            </w:pPr>
          </w:p>
          <w:p w14:paraId="195F3B8A" w14:textId="77777777" w:rsidR="0027009E" w:rsidRPr="00D56C33" w:rsidRDefault="0027009E" w:rsidP="0027009E">
            <w:pPr>
              <w:pStyle w:val="naisc"/>
              <w:spacing w:before="0" w:after="0"/>
              <w:jc w:val="both"/>
            </w:pPr>
          </w:p>
          <w:p w14:paraId="0AB18ABC" w14:textId="77777777" w:rsidR="0027009E" w:rsidRPr="00D56C33" w:rsidRDefault="0027009E" w:rsidP="0027009E">
            <w:pPr>
              <w:pStyle w:val="naisc"/>
              <w:spacing w:before="0" w:after="0"/>
              <w:jc w:val="both"/>
            </w:pPr>
          </w:p>
          <w:p w14:paraId="7A5EC3D6" w14:textId="0C24F048" w:rsidR="0027009E" w:rsidRPr="00D56C33" w:rsidRDefault="0027009E" w:rsidP="0027009E">
            <w:pPr>
              <w:pStyle w:val="naisc"/>
              <w:spacing w:before="0" w:after="0"/>
              <w:jc w:val="both"/>
            </w:pPr>
          </w:p>
          <w:p w14:paraId="78DF41F4" w14:textId="77777777" w:rsidR="0027009E" w:rsidRDefault="0027009E" w:rsidP="0027009E">
            <w:pPr>
              <w:pStyle w:val="naisc"/>
              <w:spacing w:before="0" w:after="0"/>
              <w:rPr>
                <w:b/>
              </w:rPr>
            </w:pPr>
          </w:p>
          <w:p w14:paraId="10FDC768" w14:textId="77777777" w:rsidR="0027009E" w:rsidRDefault="0027009E" w:rsidP="0027009E">
            <w:pPr>
              <w:pStyle w:val="naisc"/>
              <w:spacing w:before="0" w:after="0"/>
              <w:rPr>
                <w:b/>
              </w:rPr>
            </w:pPr>
          </w:p>
          <w:p w14:paraId="208BEC18" w14:textId="27F22EE5" w:rsidR="0027009E" w:rsidRPr="00D56C33" w:rsidRDefault="0027009E" w:rsidP="0027009E">
            <w:pPr>
              <w:pStyle w:val="naisc"/>
              <w:spacing w:before="0" w:after="0"/>
              <w:rPr>
                <w:b/>
              </w:rPr>
            </w:pPr>
            <w:r w:rsidRPr="00D56C33">
              <w:rPr>
                <w:b/>
              </w:rPr>
              <w:t>Daļēji ņemts vērā</w:t>
            </w:r>
          </w:p>
          <w:p w14:paraId="32ED183B" w14:textId="65AD084D" w:rsidR="0027009E" w:rsidRPr="00D56C33" w:rsidRDefault="0027009E" w:rsidP="0027009E">
            <w:pPr>
              <w:pStyle w:val="naisc"/>
              <w:spacing w:before="0" w:after="0"/>
              <w:jc w:val="both"/>
            </w:pPr>
            <w:r>
              <w:t xml:space="preserve">Skatīt Ekonomikas ministrijas sniegto skaidrojumu uz Tieslietu ministrijas </w:t>
            </w:r>
            <w:r w:rsidRPr="004E37AA">
              <w:t>03.04.2019. 1.iebildum</w:t>
            </w:r>
            <w:r>
              <w:t>u.</w:t>
            </w:r>
          </w:p>
          <w:p w14:paraId="17276ABD" w14:textId="223A45A9" w:rsidR="0027009E" w:rsidRPr="00D56C33" w:rsidRDefault="0027009E" w:rsidP="0027009E">
            <w:pPr>
              <w:pStyle w:val="naisc"/>
              <w:spacing w:before="0" w:after="0"/>
              <w:jc w:val="both"/>
            </w:pPr>
            <w:r w:rsidRPr="00D56C33">
              <w:t>Papildus informējam, ka  Ekonomikas ministrija veiks projektu iesniedzēju informēšanu par veiktajiem grozījumiem EM tīmekļa vietnē, gan izmantojot  “Dzīvo siltāk” platformu.</w:t>
            </w:r>
          </w:p>
          <w:p w14:paraId="67594ABF" w14:textId="5E367FF8" w:rsidR="0027009E" w:rsidRPr="00D56C33" w:rsidRDefault="0027009E" w:rsidP="0027009E">
            <w:pPr>
              <w:pStyle w:val="naisc"/>
              <w:spacing w:before="0" w:after="0"/>
              <w:jc w:val="both"/>
            </w:pPr>
            <w:r w:rsidRPr="00D56C33">
              <w:t xml:space="preserve">Papildus EM skaidro, ka veiktie grozījumi nerada ietekmi uz 52.1.apakšpunktu un 53., 55., 55., 56. un 88.punktu, jo iekšējās </w:t>
            </w:r>
            <w:proofErr w:type="spellStart"/>
            <w:r w:rsidRPr="00D56C33">
              <w:t>atdeves</w:t>
            </w:r>
            <w:proofErr w:type="spellEnd"/>
            <w:r w:rsidRPr="00D56C33">
              <w:t xml:space="preserve"> rādītāja aprēķinā ņemts vērā aizdevuma atmaksas termiņš 20 gadi nevis 30 gadi.</w:t>
            </w:r>
          </w:p>
        </w:tc>
        <w:tc>
          <w:tcPr>
            <w:tcW w:w="3118" w:type="dxa"/>
            <w:tcBorders>
              <w:top w:val="single" w:sz="4" w:space="0" w:color="auto"/>
              <w:left w:val="single" w:sz="4" w:space="0" w:color="auto"/>
              <w:bottom w:val="single" w:sz="4" w:space="0" w:color="000000"/>
            </w:tcBorders>
          </w:tcPr>
          <w:p w14:paraId="679560EB" w14:textId="7595D331" w:rsidR="0027009E" w:rsidRPr="00D56C33" w:rsidRDefault="0027009E" w:rsidP="0027009E">
            <w:pPr>
              <w:jc w:val="both"/>
            </w:pPr>
            <w:r w:rsidRPr="00780B5D">
              <w:rPr>
                <w:b/>
              </w:rPr>
              <w:lastRenderedPageBreak/>
              <w:t>Precizēts Anotācijas I sadaļas “Tiesību akta projekta izstrādes nepieciešamība” 2. punkts “Pašreizējā situācija un problēmas, kuru risināšanai tiesību akta projekts izstrādāts, tiesiskā regulējuma mērķis un būtība”</w:t>
            </w:r>
            <w:r>
              <w:rPr>
                <w:b/>
              </w:rPr>
              <w:t>.</w:t>
            </w:r>
          </w:p>
        </w:tc>
      </w:tr>
      <w:tr w:rsidR="0027009E" w:rsidRPr="00CC4FF7" w14:paraId="4AEF0BBE" w14:textId="77777777" w:rsidTr="00C56DDF">
        <w:tc>
          <w:tcPr>
            <w:tcW w:w="716" w:type="dxa"/>
            <w:tcBorders>
              <w:top w:val="single" w:sz="4" w:space="0" w:color="auto"/>
              <w:left w:val="single" w:sz="4" w:space="0" w:color="auto"/>
              <w:bottom w:val="single" w:sz="4" w:space="0" w:color="auto"/>
              <w:right w:val="single" w:sz="4" w:space="0" w:color="auto"/>
            </w:tcBorders>
          </w:tcPr>
          <w:p w14:paraId="36E31FB3" w14:textId="77777777" w:rsidR="0027009E" w:rsidRPr="00CC4FF7" w:rsidRDefault="0027009E" w:rsidP="0027009E">
            <w:pPr>
              <w:pStyle w:val="ListParagraph"/>
              <w:numPr>
                <w:ilvl w:val="0"/>
                <w:numId w:val="1"/>
              </w:numPr>
              <w:spacing w:after="0" w:line="240" w:lineRule="auto"/>
              <w:ind w:left="357" w:hanging="357"/>
              <w:rPr>
                <w:rFonts w:ascii="Times New Roman" w:hAnsi="Times New Roman"/>
              </w:rPr>
            </w:pPr>
          </w:p>
        </w:tc>
        <w:tc>
          <w:tcPr>
            <w:tcW w:w="3086" w:type="dxa"/>
            <w:tcBorders>
              <w:top w:val="single" w:sz="4" w:space="0" w:color="auto"/>
              <w:left w:val="single" w:sz="4" w:space="0" w:color="auto"/>
              <w:bottom w:val="single" w:sz="4" w:space="0" w:color="auto"/>
              <w:right w:val="single" w:sz="4" w:space="0" w:color="auto"/>
            </w:tcBorders>
          </w:tcPr>
          <w:p w14:paraId="4243F88F" w14:textId="35123C52" w:rsidR="0027009E" w:rsidRPr="00D56C33" w:rsidRDefault="0027009E" w:rsidP="0027009E">
            <w:r w:rsidRPr="00D56C33">
              <w:rPr>
                <w:b/>
              </w:rPr>
              <w:t>Noteikumu projekt</w:t>
            </w:r>
            <w:r>
              <w:rPr>
                <w:b/>
              </w:rPr>
              <w:t>s</w:t>
            </w:r>
          </w:p>
        </w:tc>
        <w:tc>
          <w:tcPr>
            <w:tcW w:w="3987" w:type="dxa"/>
            <w:tcBorders>
              <w:top w:val="single" w:sz="4" w:space="0" w:color="auto"/>
              <w:left w:val="single" w:sz="4" w:space="0" w:color="auto"/>
              <w:bottom w:val="single" w:sz="4" w:space="0" w:color="auto"/>
              <w:right w:val="single" w:sz="4" w:space="0" w:color="auto"/>
            </w:tcBorders>
          </w:tcPr>
          <w:p w14:paraId="0925B95B" w14:textId="77777777" w:rsidR="0027009E" w:rsidRPr="00D56C33" w:rsidRDefault="0027009E" w:rsidP="0027009E">
            <w:pPr>
              <w:pStyle w:val="naisc"/>
              <w:spacing w:before="0" w:after="0"/>
              <w:jc w:val="both"/>
              <w:rPr>
                <w:b/>
              </w:rPr>
            </w:pPr>
            <w:r w:rsidRPr="00D56C33">
              <w:rPr>
                <w:b/>
              </w:rPr>
              <w:t>Ekonomikas ministrijas 24.05.2019. priekšlikums:</w:t>
            </w:r>
          </w:p>
          <w:p w14:paraId="6C8B00C0" w14:textId="1D6A56D2" w:rsidR="0027009E" w:rsidRDefault="0027009E" w:rsidP="0027009E">
            <w:pPr>
              <w:pStyle w:val="naisc"/>
              <w:spacing w:before="0" w:after="0"/>
              <w:jc w:val="both"/>
            </w:pPr>
            <w:r w:rsidRPr="00D56C33">
              <w:t>Ņemot vērā Eiropas Parlamenta un Padomes Regulā (ES) Nr.1303/2013 III nodaļas 65.panta 2. punktā noteikto "</w:t>
            </w:r>
            <w:r w:rsidRPr="00F826AD">
              <w:rPr>
                <w:i/>
              </w:rPr>
              <w:t xml:space="preserve">Izdevumi ir atbilstīgi ieguldījumam no ESI fondiem, ja tie radušies atbalsta saņēmējam un samaksāti laikposmā no dienas, kad programma iesniegta Komisijai, vai no 2014. gada 1. janvāra - atkarībā no tā, kurš no minētajiem termiņiem ir agrāks, - līdz 2023.gada 31.decembrim. Turklāt ieguldījumu no ELFLA par izdevumiem var saņemt tikai tad, ja maksājumu aģentūra ir </w:t>
            </w:r>
            <w:r w:rsidRPr="00F826AD">
              <w:rPr>
                <w:i/>
              </w:rPr>
              <w:lastRenderedPageBreak/>
              <w:t>faktiski izmaksājusi atbilstošo atbalstu laikposmā no 2014. gada 1. janvāra līdz 2023. gada 31. decembrim</w:t>
            </w:r>
            <w:r w:rsidRPr="00D56C33">
              <w:t xml:space="preserve">", un faktu, ka 10% </w:t>
            </w:r>
            <w:proofErr w:type="spellStart"/>
            <w:r w:rsidRPr="00D56C33">
              <w:t>Altum</w:t>
            </w:r>
            <w:proofErr w:type="spellEnd"/>
            <w:r w:rsidRPr="00D56C33">
              <w:t xml:space="preserve"> </w:t>
            </w:r>
            <w:proofErr w:type="spellStart"/>
            <w:r w:rsidRPr="00D56C33">
              <w:t>granta</w:t>
            </w:r>
            <w:proofErr w:type="spellEnd"/>
            <w:r w:rsidRPr="00D56C33">
              <w:t xml:space="preserve"> daļa tiek izmaksāta tikai pēc būves nodošanas ekspluatācijā un risku, ka Altum nespēs izvērtēt iesniegtos projektus, lai izmaksātu šo finansējumu līdz 2022.gada 31.decembrim, nepieciešams pagarināt MK noteikumu Nr. 160 77.punktā noteikto termiņu no 2022.gada 31.decembrim līdz 2023.gada 31.decembrim.</w:t>
            </w:r>
          </w:p>
          <w:p w14:paraId="44A35A52" w14:textId="17A0DB7A" w:rsidR="0027009E" w:rsidRPr="00D56C33" w:rsidRDefault="0027009E" w:rsidP="0027009E">
            <w:pPr>
              <w:pStyle w:val="naisc"/>
              <w:jc w:val="both"/>
            </w:pPr>
            <w:r>
              <w:t>Līdz ar to n</w:t>
            </w:r>
            <w:r w:rsidRPr="00D56C33">
              <w:t>epieciešams veikt grozījumus MK noteikumos Nr. 160, lai nodrošinātu, ka Altum projekta un finanšu instrumenta ietvaros atbalstu var sniegt līdz 2023. gada 31. decembrim.</w:t>
            </w:r>
          </w:p>
        </w:tc>
        <w:tc>
          <w:tcPr>
            <w:tcW w:w="3827" w:type="dxa"/>
            <w:tcBorders>
              <w:top w:val="single" w:sz="4" w:space="0" w:color="auto"/>
              <w:left w:val="single" w:sz="4" w:space="0" w:color="auto"/>
              <w:bottom w:val="single" w:sz="4" w:space="0" w:color="auto"/>
              <w:right w:val="single" w:sz="4" w:space="0" w:color="auto"/>
            </w:tcBorders>
          </w:tcPr>
          <w:p w14:paraId="49CCC37F" w14:textId="0E54993A" w:rsidR="0027009E" w:rsidRPr="00D56C33" w:rsidRDefault="0027009E" w:rsidP="0027009E">
            <w:pPr>
              <w:pStyle w:val="naisc"/>
              <w:spacing w:before="0" w:after="0"/>
              <w:jc w:val="left"/>
            </w:pPr>
          </w:p>
        </w:tc>
        <w:tc>
          <w:tcPr>
            <w:tcW w:w="3118" w:type="dxa"/>
            <w:tcBorders>
              <w:top w:val="single" w:sz="4" w:space="0" w:color="auto"/>
              <w:left w:val="single" w:sz="4" w:space="0" w:color="auto"/>
              <w:bottom w:val="single" w:sz="4" w:space="0" w:color="auto"/>
            </w:tcBorders>
          </w:tcPr>
          <w:p w14:paraId="4433C263" w14:textId="638D42BB" w:rsidR="0027009E" w:rsidRPr="00D56C33" w:rsidRDefault="0027009E" w:rsidP="0027009E">
            <w:pPr>
              <w:jc w:val="both"/>
              <w:rPr>
                <w:b/>
              </w:rPr>
            </w:pPr>
            <w:r w:rsidRPr="00D56C33">
              <w:rPr>
                <w:b/>
              </w:rPr>
              <w:t>Noteikumu projekts papildināts ar 1</w:t>
            </w:r>
            <w:r>
              <w:rPr>
                <w:b/>
              </w:rPr>
              <w:t>1</w:t>
            </w:r>
            <w:r w:rsidRPr="00D56C33">
              <w:rPr>
                <w:b/>
              </w:rPr>
              <w:t>.punktu šādā redakcijā:</w:t>
            </w:r>
          </w:p>
          <w:p w14:paraId="630FFFB5" w14:textId="57BDE42D" w:rsidR="0027009E" w:rsidRPr="00F3566B" w:rsidRDefault="0027009E" w:rsidP="0027009E">
            <w:pPr>
              <w:jc w:val="both"/>
            </w:pPr>
            <w:r w:rsidRPr="00D56C33">
              <w:t>"</w:t>
            </w:r>
            <w:r w:rsidRPr="00F3566B">
              <w:t>Izteikt 77. punktu šādā redakcijā:</w:t>
            </w:r>
          </w:p>
          <w:p w14:paraId="4F74B275" w14:textId="5CCF4519" w:rsidR="0027009E" w:rsidRPr="00D56C33" w:rsidRDefault="0027009E" w:rsidP="0027009E">
            <w:pPr>
              <w:jc w:val="both"/>
              <w:rPr>
                <w:b/>
              </w:rPr>
            </w:pPr>
            <w:r w:rsidRPr="00580962">
              <w:t>"</w:t>
            </w:r>
            <w:r w:rsidRPr="00487013">
              <w:t xml:space="preserve">77. </w:t>
            </w:r>
            <w:r w:rsidRPr="009B1BF2">
              <w:t>"Altum" projekta un finanšu instrumenta ietvaros sabiedrība "Altum" atbalstu dzīvokļu īpašniekiem izsniedz ne ilgāk kā līdz 2023. gada 31. decembrim, izņemot šo noteikumu 26.3. apakšpunktā minētos gadījumus.</w:t>
            </w:r>
            <w:r w:rsidRPr="003840E7">
              <w:t>""</w:t>
            </w:r>
          </w:p>
        </w:tc>
      </w:tr>
      <w:tr w:rsidR="0027009E" w:rsidRPr="00CC4FF7" w14:paraId="6EA7D3B8" w14:textId="77777777" w:rsidTr="00641B32">
        <w:tc>
          <w:tcPr>
            <w:tcW w:w="716" w:type="dxa"/>
            <w:tcBorders>
              <w:top w:val="single" w:sz="4" w:space="0" w:color="auto"/>
              <w:left w:val="single" w:sz="4" w:space="0" w:color="auto"/>
              <w:bottom w:val="single" w:sz="4" w:space="0" w:color="auto"/>
              <w:right w:val="single" w:sz="4" w:space="0" w:color="auto"/>
            </w:tcBorders>
          </w:tcPr>
          <w:p w14:paraId="51A93164" w14:textId="77777777" w:rsidR="0027009E" w:rsidRPr="00CC4FF7" w:rsidRDefault="0027009E" w:rsidP="0027009E">
            <w:pPr>
              <w:pStyle w:val="ListParagraph"/>
              <w:numPr>
                <w:ilvl w:val="0"/>
                <w:numId w:val="1"/>
              </w:numPr>
              <w:spacing w:after="0" w:line="240" w:lineRule="auto"/>
              <w:ind w:left="357" w:hanging="357"/>
              <w:rPr>
                <w:rFonts w:ascii="Times New Roman" w:hAnsi="Times New Roman"/>
              </w:rPr>
            </w:pPr>
          </w:p>
        </w:tc>
        <w:tc>
          <w:tcPr>
            <w:tcW w:w="3086" w:type="dxa"/>
            <w:tcBorders>
              <w:top w:val="single" w:sz="4" w:space="0" w:color="auto"/>
              <w:left w:val="single" w:sz="4" w:space="0" w:color="auto"/>
              <w:bottom w:val="single" w:sz="4" w:space="0" w:color="auto"/>
              <w:right w:val="single" w:sz="4" w:space="0" w:color="auto"/>
            </w:tcBorders>
          </w:tcPr>
          <w:p w14:paraId="62D8B54C" w14:textId="77777777" w:rsidR="0027009E" w:rsidRPr="00D56C33" w:rsidRDefault="0027009E" w:rsidP="0027009E">
            <w:pPr>
              <w:jc w:val="both"/>
              <w:rPr>
                <w:b/>
              </w:rPr>
            </w:pPr>
            <w:r w:rsidRPr="00D56C33">
              <w:rPr>
                <w:b/>
              </w:rPr>
              <w:t>Noteikumu projekt</w:t>
            </w:r>
            <w:r>
              <w:rPr>
                <w:b/>
              </w:rPr>
              <w:t>a</w:t>
            </w:r>
            <w:r w:rsidRPr="00D56C33">
              <w:rPr>
                <w:b/>
              </w:rPr>
              <w:t xml:space="preserve"> </w:t>
            </w:r>
            <w:r>
              <w:rPr>
                <w:b/>
              </w:rPr>
              <w:t>10</w:t>
            </w:r>
            <w:r w:rsidRPr="00D56C33">
              <w:rPr>
                <w:b/>
              </w:rPr>
              <w:t>.punkt</w:t>
            </w:r>
            <w:r>
              <w:rPr>
                <w:b/>
              </w:rPr>
              <w:t>s</w:t>
            </w:r>
            <w:r w:rsidRPr="00D56C33">
              <w:rPr>
                <w:b/>
              </w:rPr>
              <w:t>:</w:t>
            </w:r>
          </w:p>
          <w:p w14:paraId="2EB01AFF" w14:textId="77777777" w:rsidR="0027009E" w:rsidRDefault="0027009E" w:rsidP="0027009E">
            <w:pPr>
              <w:jc w:val="both"/>
            </w:pPr>
            <w:r>
              <w:t>“Izteikt 54. punktu šādā redakcijā:</w:t>
            </w:r>
          </w:p>
          <w:p w14:paraId="3508822D" w14:textId="77777777" w:rsidR="0027009E" w:rsidRPr="00D56C33" w:rsidRDefault="0027009E" w:rsidP="0027009E">
            <w:pPr>
              <w:jc w:val="both"/>
              <w:rPr>
                <w:b/>
              </w:rPr>
            </w:pPr>
            <w:r>
              <w:t>“54. Aizdevuma energoefektivitātes paaugstināšanas pasākumu īstenošanai atmaksas termiņš ir līdz 20 gadiem.”;”</w:t>
            </w:r>
          </w:p>
        </w:tc>
        <w:tc>
          <w:tcPr>
            <w:tcW w:w="3987" w:type="dxa"/>
            <w:tcBorders>
              <w:top w:val="single" w:sz="4" w:space="0" w:color="auto"/>
              <w:left w:val="single" w:sz="4" w:space="0" w:color="auto"/>
              <w:bottom w:val="single" w:sz="4" w:space="0" w:color="auto"/>
              <w:right w:val="single" w:sz="4" w:space="0" w:color="auto"/>
            </w:tcBorders>
          </w:tcPr>
          <w:p w14:paraId="2276D483" w14:textId="77777777" w:rsidR="0027009E" w:rsidRDefault="0027009E" w:rsidP="0027009E">
            <w:pPr>
              <w:pStyle w:val="naisc"/>
              <w:spacing w:before="0" w:after="0"/>
              <w:jc w:val="both"/>
              <w:rPr>
                <w:b/>
              </w:rPr>
            </w:pPr>
            <w:r>
              <w:rPr>
                <w:b/>
              </w:rPr>
              <w:t>Finanšu ministrijas 19.06.2019. 1.priekšlikums:</w:t>
            </w:r>
          </w:p>
          <w:p w14:paraId="43C3691A" w14:textId="77777777" w:rsidR="0027009E" w:rsidRPr="009F6A03" w:rsidRDefault="0027009E" w:rsidP="0027009E">
            <w:pPr>
              <w:pStyle w:val="naisc"/>
              <w:jc w:val="both"/>
              <w:rPr>
                <w:bCs/>
              </w:rPr>
            </w:pPr>
            <w:r>
              <w:rPr>
                <w:bCs/>
              </w:rPr>
              <w:t>“</w:t>
            </w:r>
            <w:r w:rsidRPr="009F6A03">
              <w:rPr>
                <w:bCs/>
              </w:rPr>
              <w:t>Vēršam uzmanību, ka noteikumu projekta 10.punkts paredz precizēt tikai aizdevuma energoefektivitātes paaugstināšanas pasākumu īstenošanai atmaksas termiņu no 30 uz 20 gadiem, līdz ar to lūdzam izteikt noteikumu projekta 10.punktu šādā redakcijā:</w:t>
            </w:r>
          </w:p>
          <w:p w14:paraId="3AA3D72C" w14:textId="77777777" w:rsidR="0027009E" w:rsidRPr="009F6A03" w:rsidRDefault="0027009E" w:rsidP="0027009E">
            <w:pPr>
              <w:pStyle w:val="naisc"/>
              <w:spacing w:before="0" w:after="0"/>
              <w:jc w:val="both"/>
              <w:rPr>
                <w:bCs/>
              </w:rPr>
            </w:pPr>
            <w:r w:rsidRPr="009F6A03">
              <w:rPr>
                <w:bCs/>
              </w:rPr>
              <w:t xml:space="preserve">“10. Aizstāt 54. apakšpunktā skaitli </w:t>
            </w:r>
            <w:r>
              <w:rPr>
                <w:bCs/>
              </w:rPr>
              <w:t>“</w:t>
            </w:r>
            <w:r w:rsidRPr="009F6A03">
              <w:rPr>
                <w:bCs/>
              </w:rPr>
              <w:t>30</w:t>
            </w:r>
            <w:r>
              <w:rPr>
                <w:bCs/>
              </w:rPr>
              <w:t>”</w:t>
            </w:r>
            <w:r w:rsidRPr="009F6A03">
              <w:rPr>
                <w:bCs/>
              </w:rPr>
              <w:t xml:space="preserve"> ar skaitli </w:t>
            </w:r>
            <w:r>
              <w:rPr>
                <w:bCs/>
              </w:rPr>
              <w:t>“</w:t>
            </w:r>
            <w:r w:rsidRPr="009F6A03">
              <w:rPr>
                <w:bCs/>
              </w:rPr>
              <w:t>20</w:t>
            </w:r>
            <w:r>
              <w:rPr>
                <w:bCs/>
              </w:rPr>
              <w:t>”</w:t>
            </w:r>
            <w:r w:rsidRPr="009F6A03">
              <w:rPr>
                <w:bCs/>
              </w:rPr>
              <w:t>”.</w:t>
            </w:r>
            <w:r>
              <w:rPr>
                <w:bCs/>
              </w:rPr>
              <w:t>”</w:t>
            </w:r>
          </w:p>
        </w:tc>
        <w:tc>
          <w:tcPr>
            <w:tcW w:w="3827" w:type="dxa"/>
            <w:tcBorders>
              <w:top w:val="single" w:sz="4" w:space="0" w:color="auto"/>
              <w:left w:val="single" w:sz="4" w:space="0" w:color="auto"/>
              <w:bottom w:val="single" w:sz="4" w:space="0" w:color="auto"/>
              <w:right w:val="single" w:sz="4" w:space="0" w:color="auto"/>
            </w:tcBorders>
          </w:tcPr>
          <w:p w14:paraId="3A828CD3" w14:textId="77777777" w:rsidR="0027009E" w:rsidRPr="00D56C33" w:rsidRDefault="0027009E" w:rsidP="0027009E">
            <w:pPr>
              <w:pStyle w:val="naisc"/>
              <w:spacing w:before="0" w:after="0"/>
              <w:rPr>
                <w:b/>
              </w:rPr>
            </w:pPr>
            <w:r>
              <w:rPr>
                <w:b/>
              </w:rPr>
              <w:t>Ņemts vērā</w:t>
            </w:r>
          </w:p>
        </w:tc>
        <w:tc>
          <w:tcPr>
            <w:tcW w:w="3118" w:type="dxa"/>
            <w:tcBorders>
              <w:top w:val="single" w:sz="4" w:space="0" w:color="auto"/>
              <w:left w:val="single" w:sz="4" w:space="0" w:color="auto"/>
              <w:bottom w:val="single" w:sz="4" w:space="0" w:color="auto"/>
            </w:tcBorders>
          </w:tcPr>
          <w:p w14:paraId="3D614C53" w14:textId="228C0415" w:rsidR="0027009E" w:rsidRDefault="0027009E" w:rsidP="0027009E">
            <w:pPr>
              <w:jc w:val="both"/>
              <w:rPr>
                <w:b/>
              </w:rPr>
            </w:pPr>
            <w:r>
              <w:rPr>
                <w:b/>
              </w:rPr>
              <w:t>Noteikumu projekta 10.punkts izteikts šādā redakcijā:</w:t>
            </w:r>
          </w:p>
          <w:p w14:paraId="58B9E58A" w14:textId="77777777" w:rsidR="0027009E" w:rsidRPr="009F6A03" w:rsidRDefault="0027009E" w:rsidP="0027009E">
            <w:pPr>
              <w:jc w:val="both"/>
              <w:rPr>
                <w:bCs/>
              </w:rPr>
            </w:pPr>
            <w:r>
              <w:rPr>
                <w:bCs/>
              </w:rPr>
              <w:t>“</w:t>
            </w:r>
            <w:r w:rsidRPr="009F6A03">
              <w:rPr>
                <w:bCs/>
              </w:rPr>
              <w:t xml:space="preserve">Aizstāt 54. apakšpunktā skaitli </w:t>
            </w:r>
            <w:r>
              <w:rPr>
                <w:bCs/>
              </w:rPr>
              <w:t>“</w:t>
            </w:r>
            <w:r w:rsidRPr="009F6A03">
              <w:rPr>
                <w:bCs/>
              </w:rPr>
              <w:t>30</w:t>
            </w:r>
            <w:r>
              <w:rPr>
                <w:bCs/>
              </w:rPr>
              <w:t>”</w:t>
            </w:r>
            <w:r w:rsidRPr="009F6A03">
              <w:rPr>
                <w:bCs/>
              </w:rPr>
              <w:t xml:space="preserve"> ar skaitli </w:t>
            </w:r>
            <w:r>
              <w:rPr>
                <w:bCs/>
              </w:rPr>
              <w:t>“</w:t>
            </w:r>
            <w:r w:rsidRPr="009F6A03">
              <w:rPr>
                <w:bCs/>
              </w:rPr>
              <w:t>20</w:t>
            </w:r>
            <w:r>
              <w:rPr>
                <w:bCs/>
              </w:rPr>
              <w:t>”</w:t>
            </w:r>
            <w:r w:rsidRPr="009F6A03">
              <w:rPr>
                <w:bCs/>
              </w:rPr>
              <w:t>;</w:t>
            </w:r>
            <w:r>
              <w:rPr>
                <w:bCs/>
              </w:rPr>
              <w:t>”</w:t>
            </w:r>
          </w:p>
        </w:tc>
      </w:tr>
      <w:tr w:rsidR="0027009E" w:rsidRPr="00CC4FF7" w14:paraId="78C6AE4F" w14:textId="77777777" w:rsidTr="00BA11CC">
        <w:tc>
          <w:tcPr>
            <w:tcW w:w="716" w:type="dxa"/>
            <w:tcBorders>
              <w:top w:val="single" w:sz="4" w:space="0" w:color="auto"/>
              <w:left w:val="single" w:sz="4" w:space="0" w:color="auto"/>
              <w:bottom w:val="single" w:sz="4" w:space="0" w:color="auto"/>
              <w:right w:val="single" w:sz="4" w:space="0" w:color="auto"/>
            </w:tcBorders>
          </w:tcPr>
          <w:p w14:paraId="16D40DE2" w14:textId="77777777" w:rsidR="0027009E" w:rsidRPr="00CC4FF7" w:rsidRDefault="0027009E" w:rsidP="0027009E">
            <w:pPr>
              <w:pStyle w:val="ListParagraph"/>
              <w:numPr>
                <w:ilvl w:val="0"/>
                <w:numId w:val="1"/>
              </w:numPr>
              <w:spacing w:after="0" w:line="240" w:lineRule="auto"/>
              <w:ind w:left="357" w:hanging="357"/>
              <w:rPr>
                <w:rFonts w:ascii="Times New Roman" w:hAnsi="Times New Roman"/>
              </w:rPr>
            </w:pPr>
          </w:p>
        </w:tc>
        <w:tc>
          <w:tcPr>
            <w:tcW w:w="3086" w:type="dxa"/>
            <w:tcBorders>
              <w:top w:val="single" w:sz="4" w:space="0" w:color="auto"/>
              <w:left w:val="single" w:sz="4" w:space="0" w:color="auto"/>
              <w:bottom w:val="single" w:sz="4" w:space="0" w:color="auto"/>
              <w:right w:val="single" w:sz="4" w:space="0" w:color="auto"/>
            </w:tcBorders>
          </w:tcPr>
          <w:p w14:paraId="106EF1D2" w14:textId="77777777" w:rsidR="0027009E" w:rsidRDefault="0027009E" w:rsidP="0027009E">
            <w:pPr>
              <w:jc w:val="both"/>
              <w:rPr>
                <w:b/>
              </w:rPr>
            </w:pPr>
            <w:r>
              <w:rPr>
                <w:b/>
              </w:rPr>
              <w:t>Noteikumu projekta 11.punkts:</w:t>
            </w:r>
          </w:p>
          <w:p w14:paraId="2339CBBE" w14:textId="77777777" w:rsidR="0027009E" w:rsidRPr="00F3566B" w:rsidRDefault="0027009E" w:rsidP="0027009E">
            <w:pPr>
              <w:jc w:val="both"/>
            </w:pPr>
            <w:r w:rsidRPr="00D56C33">
              <w:t>"</w:t>
            </w:r>
            <w:r w:rsidRPr="00F3566B">
              <w:t>Izteikt 77. punktu šādā redakcijā:</w:t>
            </w:r>
          </w:p>
          <w:p w14:paraId="60255E6F" w14:textId="7B4A0FE9" w:rsidR="0027009E" w:rsidRPr="00D56C33" w:rsidRDefault="0027009E" w:rsidP="0027009E">
            <w:pPr>
              <w:jc w:val="both"/>
              <w:rPr>
                <w:b/>
              </w:rPr>
            </w:pPr>
            <w:r w:rsidRPr="00580962">
              <w:t>"</w:t>
            </w:r>
            <w:r w:rsidRPr="00487013">
              <w:t xml:space="preserve">77. </w:t>
            </w:r>
            <w:r w:rsidRPr="009B1BF2">
              <w:t>"Altum" projekta un finanšu instrumenta ietvaros sabiedrība "Altum" atbalstu dzīvokļu īpašniekiem izsniedz ne ilgāk kā līdz 2023. gada 31. decembrim, izņemot šo noteikumu 26.3. apakšpunktā minētos gadījumus.</w:t>
            </w:r>
            <w:r w:rsidRPr="003840E7">
              <w:t>""</w:t>
            </w:r>
          </w:p>
        </w:tc>
        <w:tc>
          <w:tcPr>
            <w:tcW w:w="3987" w:type="dxa"/>
            <w:tcBorders>
              <w:top w:val="single" w:sz="4" w:space="0" w:color="auto"/>
              <w:left w:val="single" w:sz="4" w:space="0" w:color="auto"/>
              <w:bottom w:val="single" w:sz="4" w:space="0" w:color="auto"/>
              <w:right w:val="single" w:sz="4" w:space="0" w:color="auto"/>
            </w:tcBorders>
          </w:tcPr>
          <w:p w14:paraId="1635A917" w14:textId="47D7DC8E" w:rsidR="0027009E" w:rsidRDefault="0027009E" w:rsidP="0027009E">
            <w:pPr>
              <w:pStyle w:val="naisc"/>
              <w:spacing w:before="0" w:after="0"/>
              <w:jc w:val="both"/>
              <w:rPr>
                <w:b/>
              </w:rPr>
            </w:pPr>
            <w:r>
              <w:rPr>
                <w:b/>
              </w:rPr>
              <w:t>Finanšu ministrijas 19.06.2019. 5.iebildums:</w:t>
            </w:r>
          </w:p>
          <w:p w14:paraId="14A49F2B" w14:textId="76E01512" w:rsidR="0027009E" w:rsidRPr="007D3931" w:rsidRDefault="0027009E" w:rsidP="0027009E">
            <w:pPr>
              <w:pStyle w:val="naisc"/>
              <w:spacing w:before="0" w:after="0"/>
              <w:jc w:val="both"/>
              <w:rPr>
                <w:bCs/>
              </w:rPr>
            </w:pPr>
            <w:r>
              <w:rPr>
                <w:bCs/>
              </w:rPr>
              <w:t>“</w:t>
            </w:r>
            <w:r w:rsidRPr="007D3931">
              <w:rPr>
                <w:bCs/>
              </w:rPr>
              <w:t xml:space="preserve">Ņemot vērā MK noteikumu Nr.160 77.punktā veiktos grozījumus, kas paredz pārcelt atbalsta sniegšanas beigu brīdi līdz 2023.gada 31.decembrim, kas ir </w:t>
            </w:r>
            <w:proofErr w:type="spellStart"/>
            <w:r w:rsidRPr="007D3931">
              <w:rPr>
                <w:bCs/>
              </w:rPr>
              <w:t>attiecināmības</w:t>
            </w:r>
            <w:proofErr w:type="spellEnd"/>
            <w:r w:rsidRPr="007D3931">
              <w:rPr>
                <w:bCs/>
              </w:rPr>
              <w:t xml:space="preserve"> perioda beigas, lūdzam svītrot no minētā punkta otro teikuma daļu: “izņemot šo noteikumu 26.3. apakšpunktā minētos gadījumus”. Skaidrojam, ka saskaņā ar Komisijas 2014. gada 3. marta Deleģētās regulas (ES) Nr. 480/2014, ar kuru papildina Eiropas Parlamenta un Padomes Regulu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13.panta 2.punktu sabiedrībai "Altum" finanšu instrumenta pārvaldības izmaksas var segt tikai līdz atbilstības perioda beigām.</w:t>
            </w:r>
            <w:r>
              <w:rPr>
                <w:bCs/>
              </w:rPr>
              <w:t>”</w:t>
            </w:r>
          </w:p>
        </w:tc>
        <w:tc>
          <w:tcPr>
            <w:tcW w:w="3827" w:type="dxa"/>
            <w:tcBorders>
              <w:top w:val="single" w:sz="4" w:space="0" w:color="auto"/>
              <w:left w:val="single" w:sz="4" w:space="0" w:color="auto"/>
              <w:bottom w:val="single" w:sz="4" w:space="0" w:color="auto"/>
              <w:right w:val="single" w:sz="4" w:space="0" w:color="auto"/>
            </w:tcBorders>
          </w:tcPr>
          <w:p w14:paraId="0A7AFC1B" w14:textId="57FA5B52" w:rsidR="0027009E" w:rsidRDefault="0027009E" w:rsidP="0027009E">
            <w:pPr>
              <w:pStyle w:val="naisc"/>
              <w:spacing w:before="0" w:after="0"/>
              <w:rPr>
                <w:b/>
              </w:rPr>
            </w:pPr>
            <w:r>
              <w:rPr>
                <w:b/>
              </w:rPr>
              <w:t>Ņemts vērā</w:t>
            </w:r>
          </w:p>
        </w:tc>
        <w:tc>
          <w:tcPr>
            <w:tcW w:w="3118" w:type="dxa"/>
            <w:tcBorders>
              <w:top w:val="single" w:sz="4" w:space="0" w:color="auto"/>
              <w:left w:val="single" w:sz="4" w:space="0" w:color="auto"/>
              <w:bottom w:val="single" w:sz="4" w:space="0" w:color="auto"/>
            </w:tcBorders>
          </w:tcPr>
          <w:p w14:paraId="7515F48D" w14:textId="70855066" w:rsidR="0027009E" w:rsidRDefault="0027009E" w:rsidP="0027009E">
            <w:pPr>
              <w:jc w:val="both"/>
              <w:rPr>
                <w:b/>
              </w:rPr>
            </w:pPr>
            <w:r>
              <w:rPr>
                <w:b/>
              </w:rPr>
              <w:t>Noteikumu projekta 11.punkts izteikts šādā redakcijā:</w:t>
            </w:r>
          </w:p>
          <w:p w14:paraId="1C105189" w14:textId="0A1C5373" w:rsidR="0027009E" w:rsidRPr="007D3931" w:rsidRDefault="0027009E" w:rsidP="0027009E">
            <w:pPr>
              <w:jc w:val="both"/>
              <w:rPr>
                <w:bCs/>
              </w:rPr>
            </w:pPr>
            <w:r>
              <w:rPr>
                <w:bCs/>
              </w:rPr>
              <w:t>“</w:t>
            </w:r>
            <w:r w:rsidRPr="007D3931">
              <w:rPr>
                <w:bCs/>
              </w:rPr>
              <w:t>Izteikt 77. punktu šādā redakcijā:</w:t>
            </w:r>
          </w:p>
          <w:p w14:paraId="2B26563A" w14:textId="7E732046" w:rsidR="0027009E" w:rsidRDefault="0027009E" w:rsidP="0027009E">
            <w:pPr>
              <w:jc w:val="both"/>
              <w:rPr>
                <w:b/>
              </w:rPr>
            </w:pPr>
            <w:r>
              <w:rPr>
                <w:bCs/>
              </w:rPr>
              <w:t>“</w:t>
            </w:r>
            <w:r w:rsidRPr="007D3931">
              <w:rPr>
                <w:bCs/>
              </w:rPr>
              <w:t xml:space="preserve">77. </w:t>
            </w:r>
            <w:r>
              <w:rPr>
                <w:bCs/>
              </w:rPr>
              <w:t>“</w:t>
            </w:r>
            <w:r w:rsidRPr="007D3931">
              <w:rPr>
                <w:bCs/>
              </w:rPr>
              <w:t>Altum</w:t>
            </w:r>
            <w:r>
              <w:rPr>
                <w:bCs/>
              </w:rPr>
              <w:t>”</w:t>
            </w:r>
            <w:r w:rsidRPr="007D3931">
              <w:rPr>
                <w:bCs/>
              </w:rPr>
              <w:t xml:space="preserve"> projekta un finanšu instrumenta ietvaros sabiedrība "Altum" atbalstu dzīvokļu īpašniekiem izsniedz ne ilgāk kā līdz 2023. gada 31. decembrim.</w:t>
            </w:r>
            <w:r>
              <w:rPr>
                <w:bCs/>
              </w:rPr>
              <w:t>””</w:t>
            </w:r>
          </w:p>
        </w:tc>
      </w:tr>
      <w:tr w:rsidR="0027009E" w:rsidRPr="00CC4FF7" w14:paraId="74133AB1" w14:textId="77777777" w:rsidTr="00BA11CC">
        <w:tc>
          <w:tcPr>
            <w:tcW w:w="716" w:type="dxa"/>
            <w:tcBorders>
              <w:top w:val="single" w:sz="4" w:space="0" w:color="auto"/>
              <w:left w:val="single" w:sz="4" w:space="0" w:color="auto"/>
              <w:bottom w:val="single" w:sz="4" w:space="0" w:color="auto"/>
              <w:right w:val="single" w:sz="4" w:space="0" w:color="auto"/>
            </w:tcBorders>
          </w:tcPr>
          <w:p w14:paraId="1C91603D" w14:textId="77777777" w:rsidR="0027009E" w:rsidRPr="00CC4FF7" w:rsidRDefault="0027009E" w:rsidP="0027009E">
            <w:pPr>
              <w:pStyle w:val="ListParagraph"/>
              <w:numPr>
                <w:ilvl w:val="0"/>
                <w:numId w:val="1"/>
              </w:numPr>
              <w:spacing w:after="0" w:line="240" w:lineRule="auto"/>
              <w:ind w:left="357" w:hanging="357"/>
              <w:rPr>
                <w:rFonts w:ascii="Times New Roman" w:hAnsi="Times New Roman"/>
              </w:rPr>
            </w:pPr>
          </w:p>
        </w:tc>
        <w:tc>
          <w:tcPr>
            <w:tcW w:w="3086" w:type="dxa"/>
            <w:tcBorders>
              <w:top w:val="single" w:sz="4" w:space="0" w:color="auto"/>
              <w:left w:val="single" w:sz="4" w:space="0" w:color="auto"/>
              <w:bottom w:val="single" w:sz="4" w:space="0" w:color="auto"/>
              <w:right w:val="single" w:sz="4" w:space="0" w:color="auto"/>
            </w:tcBorders>
          </w:tcPr>
          <w:p w14:paraId="1025CFFE" w14:textId="2FB6D1EF" w:rsidR="0027009E" w:rsidRPr="00D56C33" w:rsidRDefault="0027009E" w:rsidP="0027009E">
            <w:pPr>
              <w:rPr>
                <w:b/>
              </w:rPr>
            </w:pPr>
            <w:r>
              <w:rPr>
                <w:b/>
              </w:rPr>
              <w:t>Noteikumu projekts</w:t>
            </w:r>
          </w:p>
        </w:tc>
        <w:tc>
          <w:tcPr>
            <w:tcW w:w="3987" w:type="dxa"/>
            <w:tcBorders>
              <w:top w:val="single" w:sz="4" w:space="0" w:color="auto"/>
              <w:left w:val="single" w:sz="4" w:space="0" w:color="auto"/>
              <w:bottom w:val="single" w:sz="4" w:space="0" w:color="auto"/>
              <w:right w:val="single" w:sz="4" w:space="0" w:color="auto"/>
            </w:tcBorders>
          </w:tcPr>
          <w:p w14:paraId="75FD4FA2" w14:textId="18F6B16A" w:rsidR="0027009E" w:rsidRDefault="0027009E" w:rsidP="0027009E">
            <w:pPr>
              <w:pStyle w:val="naisc"/>
              <w:spacing w:before="0" w:after="0"/>
              <w:jc w:val="both"/>
              <w:rPr>
                <w:b/>
              </w:rPr>
            </w:pPr>
            <w:r>
              <w:rPr>
                <w:b/>
              </w:rPr>
              <w:t>Finanšu ministrijas 19.06.2019. 2.priekšlikums:</w:t>
            </w:r>
          </w:p>
          <w:p w14:paraId="15A8EFDC" w14:textId="6CD74A48" w:rsidR="0027009E" w:rsidRPr="00D56C33" w:rsidRDefault="0027009E" w:rsidP="0027009E">
            <w:pPr>
              <w:pStyle w:val="naisc"/>
              <w:jc w:val="both"/>
              <w:rPr>
                <w:b/>
              </w:rPr>
            </w:pPr>
            <w:r>
              <w:rPr>
                <w:bCs/>
              </w:rPr>
              <w:lastRenderedPageBreak/>
              <w:t>“</w:t>
            </w:r>
            <w:r w:rsidRPr="00960253">
              <w:rPr>
                <w:bCs/>
              </w:rPr>
              <w:t>Lūdzam papildināt noteikumu projektu ar papildus punktu, izsakot to šādā redakcijā:</w:t>
            </w:r>
            <w:r>
              <w:rPr>
                <w:bCs/>
              </w:rPr>
              <w:t xml:space="preserve"> </w:t>
            </w:r>
            <w:r w:rsidRPr="00960253">
              <w:rPr>
                <w:bCs/>
              </w:rPr>
              <w:t>“12. Svītrot 78.punktu;”.</w:t>
            </w:r>
            <w:r>
              <w:rPr>
                <w:bCs/>
              </w:rPr>
              <w:t xml:space="preserve"> </w:t>
            </w:r>
            <w:r w:rsidRPr="00960253">
              <w:rPr>
                <w:bCs/>
              </w:rPr>
              <w:t>Skaidrojam, ka maksājumu pieprasījumu iesniegšanu nosaka Ministru kabineta 2015.gada 10.februāra noteikumi Nr.77 “Eiropas Savienības struktūrfondu un Kohēzijas fonda projektu pārbaužu veikšanas kārtība 2014.–2020.gada plānošanas periodā”.  Šis jautājums nebūtu regulējams MK noteikumu Nr.160 ietvaros.</w:t>
            </w:r>
            <w:r>
              <w:rPr>
                <w:bCs/>
              </w:rPr>
              <w:t>”</w:t>
            </w:r>
          </w:p>
        </w:tc>
        <w:tc>
          <w:tcPr>
            <w:tcW w:w="3827" w:type="dxa"/>
            <w:tcBorders>
              <w:top w:val="single" w:sz="4" w:space="0" w:color="auto"/>
              <w:left w:val="single" w:sz="4" w:space="0" w:color="auto"/>
              <w:bottom w:val="single" w:sz="4" w:space="0" w:color="auto"/>
              <w:right w:val="single" w:sz="4" w:space="0" w:color="auto"/>
            </w:tcBorders>
          </w:tcPr>
          <w:p w14:paraId="0D068153" w14:textId="3E61BCCA" w:rsidR="0027009E" w:rsidRPr="00D56C33" w:rsidRDefault="0027009E" w:rsidP="0027009E">
            <w:pPr>
              <w:pStyle w:val="naisc"/>
              <w:spacing w:before="0" w:after="0"/>
              <w:rPr>
                <w:b/>
              </w:rPr>
            </w:pPr>
            <w:r>
              <w:rPr>
                <w:b/>
              </w:rPr>
              <w:lastRenderedPageBreak/>
              <w:t>Ņemts vērā</w:t>
            </w:r>
          </w:p>
        </w:tc>
        <w:tc>
          <w:tcPr>
            <w:tcW w:w="3118" w:type="dxa"/>
            <w:tcBorders>
              <w:top w:val="single" w:sz="4" w:space="0" w:color="auto"/>
              <w:left w:val="single" w:sz="4" w:space="0" w:color="auto"/>
              <w:bottom w:val="single" w:sz="4" w:space="0" w:color="auto"/>
            </w:tcBorders>
          </w:tcPr>
          <w:p w14:paraId="2E526DE6" w14:textId="5ED81434" w:rsidR="0027009E" w:rsidRDefault="0027009E" w:rsidP="0027009E">
            <w:pPr>
              <w:jc w:val="both"/>
              <w:rPr>
                <w:b/>
              </w:rPr>
            </w:pPr>
            <w:r>
              <w:rPr>
                <w:b/>
              </w:rPr>
              <w:t>Noteikumu projekts papildināts ar 12.punktu šādā redakcijā:</w:t>
            </w:r>
          </w:p>
          <w:p w14:paraId="4D9BFBAF" w14:textId="09538A0B" w:rsidR="0027009E" w:rsidRPr="00960253" w:rsidRDefault="0027009E" w:rsidP="0027009E">
            <w:pPr>
              <w:jc w:val="both"/>
              <w:rPr>
                <w:bCs/>
              </w:rPr>
            </w:pPr>
            <w:r w:rsidRPr="00960253">
              <w:rPr>
                <w:bCs/>
              </w:rPr>
              <w:lastRenderedPageBreak/>
              <w:t>“Svītrot 78. punktu;”</w:t>
            </w:r>
          </w:p>
        </w:tc>
      </w:tr>
      <w:tr w:rsidR="0027009E" w:rsidRPr="00CC4FF7" w14:paraId="0DBE6E28" w14:textId="77777777" w:rsidTr="00BA11CC">
        <w:tc>
          <w:tcPr>
            <w:tcW w:w="716" w:type="dxa"/>
            <w:tcBorders>
              <w:top w:val="single" w:sz="4" w:space="0" w:color="auto"/>
              <w:left w:val="single" w:sz="4" w:space="0" w:color="auto"/>
              <w:bottom w:val="single" w:sz="4" w:space="0" w:color="auto"/>
              <w:right w:val="single" w:sz="4" w:space="0" w:color="auto"/>
            </w:tcBorders>
          </w:tcPr>
          <w:p w14:paraId="585D81A0" w14:textId="77777777" w:rsidR="0027009E" w:rsidRPr="00CC4FF7" w:rsidRDefault="0027009E" w:rsidP="0027009E">
            <w:pPr>
              <w:pStyle w:val="ListParagraph"/>
              <w:numPr>
                <w:ilvl w:val="0"/>
                <w:numId w:val="1"/>
              </w:numPr>
              <w:spacing w:after="0" w:line="240" w:lineRule="auto"/>
              <w:ind w:left="357" w:hanging="357"/>
              <w:rPr>
                <w:rFonts w:ascii="Times New Roman" w:hAnsi="Times New Roman"/>
              </w:rPr>
            </w:pPr>
          </w:p>
        </w:tc>
        <w:tc>
          <w:tcPr>
            <w:tcW w:w="3086" w:type="dxa"/>
            <w:tcBorders>
              <w:top w:val="single" w:sz="4" w:space="0" w:color="auto"/>
              <w:left w:val="single" w:sz="4" w:space="0" w:color="auto"/>
              <w:bottom w:val="single" w:sz="4" w:space="0" w:color="auto"/>
              <w:right w:val="single" w:sz="4" w:space="0" w:color="auto"/>
            </w:tcBorders>
          </w:tcPr>
          <w:p w14:paraId="1642ABA6" w14:textId="71560D71" w:rsidR="0027009E" w:rsidRPr="00D56C33" w:rsidRDefault="0027009E" w:rsidP="0027009E">
            <w:pPr>
              <w:rPr>
                <w:b/>
              </w:rPr>
            </w:pPr>
            <w:r w:rsidRPr="00D56C33">
              <w:rPr>
                <w:b/>
              </w:rPr>
              <w:t>Noteikumu projekt</w:t>
            </w:r>
            <w:r>
              <w:rPr>
                <w:b/>
              </w:rPr>
              <w:t>s</w:t>
            </w:r>
          </w:p>
        </w:tc>
        <w:tc>
          <w:tcPr>
            <w:tcW w:w="3987" w:type="dxa"/>
            <w:tcBorders>
              <w:top w:val="single" w:sz="4" w:space="0" w:color="auto"/>
              <w:left w:val="single" w:sz="4" w:space="0" w:color="auto"/>
              <w:bottom w:val="single" w:sz="4" w:space="0" w:color="auto"/>
              <w:right w:val="single" w:sz="4" w:space="0" w:color="auto"/>
            </w:tcBorders>
          </w:tcPr>
          <w:p w14:paraId="50C6CD78" w14:textId="026A3D5D" w:rsidR="0027009E" w:rsidRPr="00D56C33" w:rsidRDefault="0027009E" w:rsidP="0027009E">
            <w:pPr>
              <w:pStyle w:val="naisc"/>
              <w:spacing w:before="0" w:after="0"/>
              <w:jc w:val="both"/>
              <w:rPr>
                <w:b/>
              </w:rPr>
            </w:pPr>
            <w:r w:rsidRPr="00D56C33">
              <w:rPr>
                <w:b/>
              </w:rPr>
              <w:t xml:space="preserve">Ekonomikas ministrijas </w:t>
            </w:r>
            <w:r>
              <w:rPr>
                <w:b/>
              </w:rPr>
              <w:t>04</w:t>
            </w:r>
            <w:r w:rsidRPr="00D56C33">
              <w:rPr>
                <w:b/>
              </w:rPr>
              <w:t>.0</w:t>
            </w:r>
            <w:r>
              <w:rPr>
                <w:b/>
              </w:rPr>
              <w:t>6</w:t>
            </w:r>
            <w:r w:rsidRPr="00D56C33">
              <w:rPr>
                <w:b/>
              </w:rPr>
              <w:t>.2019. priekšlikums:</w:t>
            </w:r>
          </w:p>
          <w:p w14:paraId="51D56E2D" w14:textId="0A663042" w:rsidR="0027009E" w:rsidRDefault="0027009E" w:rsidP="0027009E">
            <w:pPr>
              <w:pStyle w:val="naisc"/>
              <w:jc w:val="both"/>
            </w:pPr>
            <w:r>
              <w:t xml:space="preserve">MK noteikumu Nr. 160 esošā redakcija nenosaka atbalsta piešķiršanas brīdi projektu iesniedzējiem, kam atbalsts tiek sniegts saskaņā ar Komisijas regulu Nr.1407/2013.  Atbalsta piešķiršanas brīža identificēšana ir būtisks priekšnosacījums korektai interpretācijai par datumu, kurā atbalsts ir ticis piešķirts tā saņēmējam. Komisijas regulas Nr.1407/2013 3.panta ceturtajā punktā norādīts, ka </w:t>
            </w:r>
            <w:proofErr w:type="spellStart"/>
            <w:r w:rsidRPr="00350AE6">
              <w:rPr>
                <w:i/>
              </w:rPr>
              <w:t>de</w:t>
            </w:r>
            <w:proofErr w:type="spellEnd"/>
            <w:r w:rsidRPr="00350AE6">
              <w:rPr>
                <w:i/>
              </w:rPr>
              <w:t xml:space="preserve"> </w:t>
            </w:r>
            <w:proofErr w:type="spellStart"/>
            <w:r w:rsidRPr="00350AE6">
              <w:rPr>
                <w:i/>
              </w:rPr>
              <w:t>minimis</w:t>
            </w:r>
            <w:proofErr w:type="spellEnd"/>
            <w:r>
              <w:t xml:space="preserve"> atbalstu uzskata par piešķirtu brīdī, kad uzņēmumam saskaņā ar piemērojamo valsts tiesisko regulējumu ir piešķirtas likumīgās tiesības saņemt atbalstu, neatkarīgi no </w:t>
            </w:r>
            <w:r>
              <w:lastRenderedPageBreak/>
              <w:t xml:space="preserve">datuma, kurā </w:t>
            </w:r>
            <w:proofErr w:type="spellStart"/>
            <w:r w:rsidRPr="00350AE6">
              <w:rPr>
                <w:i/>
              </w:rPr>
              <w:t>de</w:t>
            </w:r>
            <w:proofErr w:type="spellEnd"/>
            <w:r w:rsidRPr="00350AE6">
              <w:rPr>
                <w:i/>
              </w:rPr>
              <w:t xml:space="preserve"> </w:t>
            </w:r>
            <w:proofErr w:type="spellStart"/>
            <w:r w:rsidRPr="00350AE6">
              <w:rPr>
                <w:i/>
              </w:rPr>
              <w:t>minimis</w:t>
            </w:r>
            <w:proofErr w:type="spellEnd"/>
            <w:r>
              <w:t xml:space="preserve"> atbalsts izmaksāts.</w:t>
            </w:r>
          </w:p>
          <w:p w14:paraId="16BFAE96" w14:textId="0269E77C" w:rsidR="0027009E" w:rsidRPr="00D56C33" w:rsidRDefault="0027009E" w:rsidP="0027009E">
            <w:pPr>
              <w:pStyle w:val="naisc"/>
              <w:spacing w:before="0" w:after="0"/>
              <w:jc w:val="both"/>
              <w:rPr>
                <w:b/>
              </w:rPr>
            </w:pPr>
            <w:r>
              <w:t>Līdz ar to n</w:t>
            </w:r>
            <w:r w:rsidRPr="00D56C33">
              <w:t>epieciešams veikt grozījumus MK noteikumos Nr. 160</w:t>
            </w:r>
            <w:r>
              <w:t>, lai definētu atbalsta piešķiršanas brīdi.</w:t>
            </w:r>
          </w:p>
        </w:tc>
        <w:tc>
          <w:tcPr>
            <w:tcW w:w="3827" w:type="dxa"/>
            <w:tcBorders>
              <w:top w:val="single" w:sz="4" w:space="0" w:color="auto"/>
              <w:left w:val="single" w:sz="4" w:space="0" w:color="auto"/>
              <w:bottom w:val="single" w:sz="4" w:space="0" w:color="auto"/>
              <w:right w:val="single" w:sz="4" w:space="0" w:color="auto"/>
            </w:tcBorders>
          </w:tcPr>
          <w:p w14:paraId="52997B92" w14:textId="77777777" w:rsidR="0027009E" w:rsidRPr="00D56C33" w:rsidRDefault="0027009E" w:rsidP="0027009E">
            <w:pPr>
              <w:pStyle w:val="naisc"/>
              <w:spacing w:before="0" w:after="0"/>
              <w:jc w:val="left"/>
              <w:rPr>
                <w:b/>
              </w:rPr>
            </w:pPr>
          </w:p>
        </w:tc>
        <w:tc>
          <w:tcPr>
            <w:tcW w:w="3118" w:type="dxa"/>
            <w:tcBorders>
              <w:top w:val="single" w:sz="4" w:space="0" w:color="auto"/>
              <w:left w:val="single" w:sz="4" w:space="0" w:color="auto"/>
              <w:bottom w:val="single" w:sz="4" w:space="0" w:color="auto"/>
            </w:tcBorders>
          </w:tcPr>
          <w:p w14:paraId="1431F99F" w14:textId="185E368D" w:rsidR="0027009E" w:rsidRPr="00D56C33" w:rsidRDefault="0027009E" w:rsidP="0027009E">
            <w:pPr>
              <w:jc w:val="both"/>
              <w:rPr>
                <w:b/>
              </w:rPr>
            </w:pPr>
            <w:r w:rsidRPr="00D56C33">
              <w:rPr>
                <w:b/>
              </w:rPr>
              <w:t>Noteikumu projekts papildināts ar 1</w:t>
            </w:r>
            <w:r>
              <w:rPr>
                <w:b/>
              </w:rPr>
              <w:t>2</w:t>
            </w:r>
            <w:r w:rsidRPr="00D56C33">
              <w:rPr>
                <w:b/>
              </w:rPr>
              <w:t>.punktu šādā redakcijā:</w:t>
            </w:r>
          </w:p>
          <w:p w14:paraId="5C420C32" w14:textId="3ACFE323" w:rsidR="0027009E" w:rsidRPr="00F3566B" w:rsidRDefault="0027009E" w:rsidP="0027009E">
            <w:pPr>
              <w:jc w:val="both"/>
            </w:pPr>
            <w:r w:rsidRPr="00D56C33">
              <w:t>"</w:t>
            </w:r>
            <w:r>
              <w:t>Papildināt noteikumus ar 79.</w:t>
            </w:r>
            <w:r w:rsidRPr="00350AE6">
              <w:rPr>
                <w:vertAlign w:val="superscript"/>
              </w:rPr>
              <w:t>2</w:t>
            </w:r>
            <w:r>
              <w:t xml:space="preserve"> punktu</w:t>
            </w:r>
            <w:r w:rsidRPr="00F3566B">
              <w:t xml:space="preserve"> šādā redakcijā:</w:t>
            </w:r>
          </w:p>
          <w:p w14:paraId="38A33013" w14:textId="25150C42" w:rsidR="0027009E" w:rsidRDefault="0027009E" w:rsidP="0027009E">
            <w:pPr>
              <w:jc w:val="both"/>
            </w:pPr>
            <w:r w:rsidRPr="00580962">
              <w:t>"</w:t>
            </w:r>
            <w:r w:rsidRPr="00487013">
              <w:t>7</w:t>
            </w:r>
            <w:r>
              <w:t>9.</w:t>
            </w:r>
            <w:r w:rsidRPr="00350AE6">
              <w:rPr>
                <w:vertAlign w:val="superscript"/>
              </w:rPr>
              <w:t>2</w:t>
            </w:r>
            <w:r w:rsidRPr="00487013">
              <w:t xml:space="preserve"> </w:t>
            </w:r>
            <w:r w:rsidRPr="00E613D7">
              <w:t xml:space="preserve">Atbalsta piešķiršanas brīdis ir diena, kad sabiedrība "Altum" pieņem lēmumu par </w:t>
            </w:r>
            <w:proofErr w:type="spellStart"/>
            <w:r w:rsidRPr="00E613D7">
              <w:t>granta</w:t>
            </w:r>
            <w:proofErr w:type="spellEnd"/>
            <w:r w:rsidRPr="00E613D7">
              <w:t>, aizdevuma vai garantijas piešķiršanu</w:t>
            </w:r>
            <w:r>
              <w:t>.</w:t>
            </w:r>
            <w:r w:rsidRPr="00D56C33">
              <w:t>""</w:t>
            </w:r>
          </w:p>
          <w:p w14:paraId="0327EF3F" w14:textId="77777777" w:rsidR="0027009E" w:rsidRDefault="0027009E" w:rsidP="0027009E">
            <w:pPr>
              <w:jc w:val="both"/>
            </w:pPr>
          </w:p>
          <w:p w14:paraId="65266A07" w14:textId="2E120407" w:rsidR="0027009E" w:rsidRPr="00780B5D" w:rsidRDefault="0027009E" w:rsidP="0027009E">
            <w:pPr>
              <w:jc w:val="both"/>
              <w:rPr>
                <w:b/>
              </w:rPr>
            </w:pPr>
            <w:r w:rsidRPr="00780B5D">
              <w:rPr>
                <w:b/>
              </w:rPr>
              <w:t>Precizēts</w:t>
            </w:r>
            <w:r w:rsidRPr="00780B5D" w:rsidDel="004E37AA">
              <w:rPr>
                <w:b/>
              </w:rPr>
              <w:t xml:space="preserve"> </w:t>
            </w:r>
            <w:r w:rsidRPr="00780B5D">
              <w:rPr>
                <w:b/>
              </w:rPr>
              <w:t xml:space="preserve">Anotācijas I sadaļas “Tiesību akta projekta izstrādes nepieciešamība” 2. punkts “Pašreizējā situācija un problēmas, kuru risināšanai tiesību akta projekts izstrādāts, tiesiskā </w:t>
            </w:r>
            <w:r w:rsidRPr="00780B5D">
              <w:rPr>
                <w:b/>
              </w:rPr>
              <w:lastRenderedPageBreak/>
              <w:t>regulējuma mērķis un būtība”.</w:t>
            </w:r>
          </w:p>
        </w:tc>
      </w:tr>
      <w:tr w:rsidR="008E4004" w:rsidRPr="00CC4FF7" w14:paraId="47C994B4" w14:textId="77777777" w:rsidTr="00BA11CC">
        <w:tc>
          <w:tcPr>
            <w:tcW w:w="716" w:type="dxa"/>
            <w:tcBorders>
              <w:top w:val="single" w:sz="4" w:space="0" w:color="auto"/>
              <w:left w:val="single" w:sz="4" w:space="0" w:color="auto"/>
              <w:bottom w:val="single" w:sz="4" w:space="0" w:color="auto"/>
              <w:right w:val="single" w:sz="4" w:space="0" w:color="auto"/>
            </w:tcBorders>
          </w:tcPr>
          <w:p w14:paraId="6ED49CC5" w14:textId="77777777" w:rsidR="008E4004" w:rsidRPr="00CC4FF7" w:rsidRDefault="008E4004" w:rsidP="0027009E">
            <w:pPr>
              <w:pStyle w:val="ListParagraph"/>
              <w:numPr>
                <w:ilvl w:val="0"/>
                <w:numId w:val="1"/>
              </w:numPr>
              <w:spacing w:after="0" w:line="240" w:lineRule="auto"/>
              <w:ind w:left="357" w:hanging="357"/>
              <w:rPr>
                <w:rFonts w:ascii="Times New Roman" w:hAnsi="Times New Roman"/>
              </w:rPr>
            </w:pPr>
          </w:p>
        </w:tc>
        <w:tc>
          <w:tcPr>
            <w:tcW w:w="3086" w:type="dxa"/>
            <w:tcBorders>
              <w:top w:val="single" w:sz="4" w:space="0" w:color="auto"/>
              <w:left w:val="single" w:sz="4" w:space="0" w:color="auto"/>
              <w:bottom w:val="single" w:sz="4" w:space="0" w:color="auto"/>
              <w:right w:val="single" w:sz="4" w:space="0" w:color="auto"/>
            </w:tcBorders>
          </w:tcPr>
          <w:p w14:paraId="6D8F2674" w14:textId="5290BFAD" w:rsidR="008E4004" w:rsidRPr="00D56C33" w:rsidRDefault="008E4004" w:rsidP="0027009E">
            <w:pPr>
              <w:rPr>
                <w:b/>
              </w:rPr>
            </w:pPr>
            <w:r w:rsidRPr="00D56C33">
              <w:rPr>
                <w:b/>
              </w:rPr>
              <w:t>Noteikumu projekta anotācija</w:t>
            </w:r>
          </w:p>
        </w:tc>
        <w:tc>
          <w:tcPr>
            <w:tcW w:w="3987" w:type="dxa"/>
            <w:tcBorders>
              <w:top w:val="single" w:sz="4" w:space="0" w:color="auto"/>
              <w:left w:val="single" w:sz="4" w:space="0" w:color="auto"/>
              <w:bottom w:val="single" w:sz="4" w:space="0" w:color="auto"/>
              <w:right w:val="single" w:sz="4" w:space="0" w:color="auto"/>
            </w:tcBorders>
          </w:tcPr>
          <w:p w14:paraId="37234D85" w14:textId="592EDAB9" w:rsidR="008E4004" w:rsidRDefault="008E4004" w:rsidP="008E4004">
            <w:pPr>
              <w:pStyle w:val="naisc"/>
              <w:spacing w:before="0" w:after="0"/>
              <w:jc w:val="both"/>
              <w:rPr>
                <w:b/>
              </w:rPr>
            </w:pPr>
            <w:r>
              <w:rPr>
                <w:b/>
              </w:rPr>
              <w:t>Ekonomikas ministrijas 17.07.2019. priekšlikums:</w:t>
            </w:r>
          </w:p>
          <w:p w14:paraId="27C317C5" w14:textId="76AE8593" w:rsidR="008E4004" w:rsidRPr="008E4004" w:rsidRDefault="008E4004" w:rsidP="0027009E">
            <w:pPr>
              <w:pStyle w:val="naisc"/>
              <w:spacing w:before="0" w:after="0"/>
              <w:jc w:val="both"/>
              <w:rPr>
                <w:bCs/>
              </w:rPr>
            </w:pPr>
            <w:r>
              <w:rPr>
                <w:bCs/>
              </w:rPr>
              <w:t>Ņ</w:t>
            </w:r>
            <w:r w:rsidRPr="008E4004">
              <w:rPr>
                <w:bCs/>
              </w:rPr>
              <w:t xml:space="preserve">emot vērā Altum iesūtīto </w:t>
            </w:r>
            <w:r>
              <w:rPr>
                <w:bCs/>
              </w:rPr>
              <w:t xml:space="preserve">papildus </w:t>
            </w:r>
            <w:r w:rsidRPr="008E4004">
              <w:rPr>
                <w:bCs/>
              </w:rPr>
              <w:t xml:space="preserve">informāciju par </w:t>
            </w:r>
            <w:r w:rsidR="00B7629F">
              <w:t xml:space="preserve"> </w:t>
            </w:r>
            <w:r w:rsidR="00B7629F" w:rsidRPr="00B7629F">
              <w:rPr>
                <w:bCs/>
              </w:rPr>
              <w:t>kopējo rezervēto publisko finansējumu finanšu instrumenta atbalstam un garantijām, kas ietekmē multiplikatora rādītāju</w:t>
            </w:r>
            <w:r w:rsidR="009237EF">
              <w:rPr>
                <w:bCs/>
              </w:rPr>
              <w:t>, nepieciešams precizēt Anotācijas I sadaļas 2.punkta</w:t>
            </w:r>
            <w:r>
              <w:rPr>
                <w:bCs/>
              </w:rPr>
              <w:t xml:space="preserve"> </w:t>
            </w:r>
            <w:r w:rsidRPr="008E4004">
              <w:rPr>
                <w:bCs/>
              </w:rPr>
              <w:t>1.apakšpunkt</w:t>
            </w:r>
            <w:r w:rsidR="009237EF">
              <w:rPr>
                <w:bCs/>
              </w:rPr>
              <w:t>a</w:t>
            </w:r>
            <w:r w:rsidR="00B7629F">
              <w:rPr>
                <w:bCs/>
              </w:rPr>
              <w:t xml:space="preserve"> </w:t>
            </w:r>
            <w:r w:rsidR="009237EF">
              <w:rPr>
                <w:bCs/>
              </w:rPr>
              <w:t>redakciju.</w:t>
            </w:r>
          </w:p>
        </w:tc>
        <w:tc>
          <w:tcPr>
            <w:tcW w:w="3827" w:type="dxa"/>
            <w:tcBorders>
              <w:top w:val="single" w:sz="4" w:space="0" w:color="auto"/>
              <w:left w:val="single" w:sz="4" w:space="0" w:color="auto"/>
              <w:bottom w:val="single" w:sz="4" w:space="0" w:color="auto"/>
              <w:right w:val="single" w:sz="4" w:space="0" w:color="auto"/>
            </w:tcBorders>
          </w:tcPr>
          <w:p w14:paraId="02739C23" w14:textId="77777777" w:rsidR="008E4004" w:rsidRPr="00D56C33" w:rsidRDefault="008E4004" w:rsidP="0027009E">
            <w:pPr>
              <w:pStyle w:val="naisc"/>
              <w:spacing w:before="0" w:after="0"/>
              <w:rPr>
                <w:b/>
              </w:rPr>
            </w:pPr>
          </w:p>
        </w:tc>
        <w:tc>
          <w:tcPr>
            <w:tcW w:w="3118" w:type="dxa"/>
            <w:tcBorders>
              <w:top w:val="single" w:sz="4" w:space="0" w:color="auto"/>
              <w:left w:val="single" w:sz="4" w:space="0" w:color="auto"/>
              <w:bottom w:val="single" w:sz="4" w:space="0" w:color="auto"/>
            </w:tcBorders>
          </w:tcPr>
          <w:p w14:paraId="2839ADB4" w14:textId="1B86FF56" w:rsidR="008E4004" w:rsidRPr="00780B5D" w:rsidRDefault="008E4004" w:rsidP="0027009E">
            <w:pPr>
              <w:jc w:val="both"/>
              <w:rPr>
                <w:b/>
              </w:rPr>
            </w:pPr>
            <w:r w:rsidRPr="00780B5D">
              <w:rPr>
                <w:b/>
              </w:rPr>
              <w:t>Precizēts</w:t>
            </w:r>
            <w:r w:rsidRPr="00780B5D" w:rsidDel="004E37AA">
              <w:rPr>
                <w:b/>
              </w:rPr>
              <w:t xml:space="preserve"> </w:t>
            </w:r>
            <w:r w:rsidRPr="00780B5D">
              <w:rPr>
                <w:b/>
              </w:rPr>
              <w:t>Anotācijas I sadaļas “Tiesību akta projekta izstrādes nepieciešamība” 2. punkt</w:t>
            </w:r>
            <w:r>
              <w:rPr>
                <w:b/>
              </w:rPr>
              <w:t>s</w:t>
            </w:r>
            <w:r w:rsidRPr="00780B5D">
              <w:rPr>
                <w:b/>
              </w:rPr>
              <w:t xml:space="preserve"> “Pašreizējā situācija un problēmas, kuru risināšanai tiesību akta projekts izstrādāts, tiesiskā regulējuma mērķis un būtība”</w:t>
            </w:r>
            <w:r>
              <w:rPr>
                <w:b/>
              </w:rPr>
              <w:t>.</w:t>
            </w:r>
          </w:p>
        </w:tc>
      </w:tr>
      <w:tr w:rsidR="0027009E" w:rsidRPr="00CC4FF7" w14:paraId="4DC004AA" w14:textId="77777777" w:rsidTr="00BA11CC">
        <w:tc>
          <w:tcPr>
            <w:tcW w:w="716" w:type="dxa"/>
            <w:tcBorders>
              <w:top w:val="single" w:sz="4" w:space="0" w:color="auto"/>
              <w:left w:val="single" w:sz="4" w:space="0" w:color="auto"/>
              <w:bottom w:val="single" w:sz="4" w:space="0" w:color="auto"/>
              <w:right w:val="single" w:sz="4" w:space="0" w:color="auto"/>
            </w:tcBorders>
          </w:tcPr>
          <w:p w14:paraId="00815767" w14:textId="77777777" w:rsidR="0027009E" w:rsidRPr="00CC4FF7" w:rsidRDefault="0027009E" w:rsidP="0027009E">
            <w:pPr>
              <w:pStyle w:val="ListParagraph"/>
              <w:numPr>
                <w:ilvl w:val="0"/>
                <w:numId w:val="1"/>
              </w:numPr>
              <w:spacing w:after="0" w:line="240" w:lineRule="auto"/>
              <w:ind w:left="357" w:hanging="357"/>
              <w:rPr>
                <w:rFonts w:ascii="Times New Roman" w:hAnsi="Times New Roman"/>
              </w:rPr>
            </w:pPr>
          </w:p>
        </w:tc>
        <w:tc>
          <w:tcPr>
            <w:tcW w:w="3086" w:type="dxa"/>
            <w:tcBorders>
              <w:top w:val="single" w:sz="4" w:space="0" w:color="auto"/>
              <w:left w:val="single" w:sz="4" w:space="0" w:color="auto"/>
              <w:bottom w:val="single" w:sz="4" w:space="0" w:color="auto"/>
              <w:right w:val="single" w:sz="4" w:space="0" w:color="auto"/>
            </w:tcBorders>
          </w:tcPr>
          <w:p w14:paraId="7D02BB45" w14:textId="715463F5" w:rsidR="0027009E" w:rsidRPr="00D56C33" w:rsidRDefault="0027009E" w:rsidP="0027009E">
            <w:pPr>
              <w:rPr>
                <w:b/>
              </w:rPr>
            </w:pPr>
            <w:r w:rsidRPr="00D56C33">
              <w:rPr>
                <w:b/>
              </w:rPr>
              <w:t>Noteikumu projekta anotācija</w:t>
            </w:r>
          </w:p>
        </w:tc>
        <w:tc>
          <w:tcPr>
            <w:tcW w:w="3987" w:type="dxa"/>
            <w:tcBorders>
              <w:top w:val="single" w:sz="4" w:space="0" w:color="auto"/>
              <w:left w:val="single" w:sz="4" w:space="0" w:color="auto"/>
              <w:bottom w:val="single" w:sz="4" w:space="0" w:color="auto"/>
              <w:right w:val="single" w:sz="4" w:space="0" w:color="auto"/>
            </w:tcBorders>
          </w:tcPr>
          <w:p w14:paraId="4D8B9B06" w14:textId="77777777" w:rsidR="0027009E" w:rsidRPr="00D56C33" w:rsidRDefault="0027009E" w:rsidP="0027009E">
            <w:pPr>
              <w:pStyle w:val="naisc"/>
              <w:spacing w:before="0" w:after="0"/>
              <w:jc w:val="both"/>
              <w:rPr>
                <w:b/>
              </w:rPr>
            </w:pPr>
            <w:r w:rsidRPr="00D56C33">
              <w:rPr>
                <w:b/>
              </w:rPr>
              <w:t>Finanšu ministrijas 03.04.2019. 6.iebildums:</w:t>
            </w:r>
          </w:p>
          <w:p w14:paraId="6CD73063" w14:textId="7FC71A1B" w:rsidR="0027009E" w:rsidRPr="00D56C33" w:rsidRDefault="0027009E" w:rsidP="0027009E">
            <w:pPr>
              <w:pStyle w:val="naisc"/>
              <w:spacing w:before="0" w:after="0"/>
              <w:jc w:val="both"/>
              <w:rPr>
                <w:b/>
              </w:rPr>
            </w:pPr>
            <w:r w:rsidRPr="00D56C33">
              <w:t>“Lūdzam papildināt anotācijas I sadaļas 2. punktu ar skaidrojumu par noteikumu projekta 1., 2. un 4.punktā ietvertajiem grozījumiem”</w:t>
            </w:r>
          </w:p>
        </w:tc>
        <w:tc>
          <w:tcPr>
            <w:tcW w:w="3827" w:type="dxa"/>
            <w:tcBorders>
              <w:top w:val="single" w:sz="4" w:space="0" w:color="auto"/>
              <w:left w:val="single" w:sz="4" w:space="0" w:color="auto"/>
              <w:bottom w:val="single" w:sz="4" w:space="0" w:color="auto"/>
              <w:right w:val="single" w:sz="4" w:space="0" w:color="auto"/>
            </w:tcBorders>
          </w:tcPr>
          <w:p w14:paraId="1668481E" w14:textId="7E406328" w:rsidR="0027009E" w:rsidRPr="00D56C33" w:rsidRDefault="0027009E" w:rsidP="0027009E">
            <w:pPr>
              <w:pStyle w:val="naisc"/>
              <w:spacing w:before="0" w:after="0"/>
            </w:pPr>
            <w:r w:rsidRPr="00D56C33">
              <w:rPr>
                <w:b/>
              </w:rPr>
              <w:t>Ņemts vērā</w:t>
            </w:r>
          </w:p>
        </w:tc>
        <w:tc>
          <w:tcPr>
            <w:tcW w:w="3118" w:type="dxa"/>
            <w:tcBorders>
              <w:top w:val="single" w:sz="4" w:space="0" w:color="auto"/>
              <w:left w:val="single" w:sz="4" w:space="0" w:color="auto"/>
              <w:bottom w:val="single" w:sz="4" w:space="0" w:color="auto"/>
            </w:tcBorders>
          </w:tcPr>
          <w:p w14:paraId="39A36E02" w14:textId="7D7211EC" w:rsidR="0027009E" w:rsidRPr="00D56C33" w:rsidRDefault="0027009E" w:rsidP="0027009E">
            <w:pPr>
              <w:jc w:val="both"/>
              <w:rPr>
                <w:b/>
              </w:rPr>
            </w:pPr>
            <w:r w:rsidRPr="00780B5D">
              <w:rPr>
                <w:b/>
              </w:rPr>
              <w:t>Precizēts</w:t>
            </w:r>
            <w:r w:rsidRPr="00780B5D" w:rsidDel="004E37AA">
              <w:rPr>
                <w:b/>
              </w:rPr>
              <w:t xml:space="preserve"> </w:t>
            </w:r>
            <w:r w:rsidRPr="00780B5D">
              <w:rPr>
                <w:b/>
              </w:rPr>
              <w:t>Anotācijas I sadaļas “Tiesību akta projekta izstrādes nepieciešamība” 2. punkts “Pašreizējā situācija un problēmas, kuru risināšanai tiesību akta projekts izstrādāts, tiesiskā regulējuma mērķis un būtība”.</w:t>
            </w:r>
          </w:p>
        </w:tc>
      </w:tr>
      <w:tr w:rsidR="0027009E" w:rsidRPr="00CC4FF7" w14:paraId="1699535B" w14:textId="77777777" w:rsidTr="00BA11CC">
        <w:tc>
          <w:tcPr>
            <w:tcW w:w="716" w:type="dxa"/>
            <w:tcBorders>
              <w:top w:val="single" w:sz="4" w:space="0" w:color="auto"/>
              <w:left w:val="single" w:sz="4" w:space="0" w:color="auto"/>
              <w:bottom w:val="single" w:sz="4" w:space="0" w:color="auto"/>
              <w:right w:val="single" w:sz="4" w:space="0" w:color="auto"/>
            </w:tcBorders>
          </w:tcPr>
          <w:p w14:paraId="7D6A1490" w14:textId="77777777" w:rsidR="0027009E" w:rsidRPr="00CC4FF7" w:rsidRDefault="0027009E" w:rsidP="0027009E">
            <w:pPr>
              <w:pStyle w:val="ListParagraph"/>
              <w:numPr>
                <w:ilvl w:val="0"/>
                <w:numId w:val="1"/>
              </w:numPr>
              <w:spacing w:after="0" w:line="240" w:lineRule="auto"/>
              <w:ind w:left="357" w:hanging="357"/>
              <w:rPr>
                <w:rFonts w:ascii="Times New Roman" w:hAnsi="Times New Roman"/>
              </w:rPr>
            </w:pPr>
          </w:p>
        </w:tc>
        <w:tc>
          <w:tcPr>
            <w:tcW w:w="3086" w:type="dxa"/>
            <w:tcBorders>
              <w:top w:val="single" w:sz="4" w:space="0" w:color="auto"/>
              <w:left w:val="single" w:sz="4" w:space="0" w:color="auto"/>
              <w:bottom w:val="single" w:sz="4" w:space="0" w:color="auto"/>
              <w:right w:val="single" w:sz="4" w:space="0" w:color="auto"/>
            </w:tcBorders>
          </w:tcPr>
          <w:p w14:paraId="69A3DE95" w14:textId="3A276302" w:rsidR="0027009E" w:rsidRPr="00D56C33" w:rsidRDefault="0027009E" w:rsidP="0027009E">
            <w:pPr>
              <w:rPr>
                <w:b/>
              </w:rPr>
            </w:pPr>
            <w:r w:rsidRPr="00D56C33">
              <w:rPr>
                <w:b/>
              </w:rPr>
              <w:t>Noteikumu projekta anotācija</w:t>
            </w:r>
          </w:p>
        </w:tc>
        <w:tc>
          <w:tcPr>
            <w:tcW w:w="3987" w:type="dxa"/>
            <w:tcBorders>
              <w:top w:val="single" w:sz="4" w:space="0" w:color="auto"/>
              <w:left w:val="single" w:sz="4" w:space="0" w:color="auto"/>
              <w:bottom w:val="single" w:sz="4" w:space="0" w:color="auto"/>
              <w:right w:val="single" w:sz="4" w:space="0" w:color="auto"/>
            </w:tcBorders>
          </w:tcPr>
          <w:p w14:paraId="50A5E94E" w14:textId="24748F6B" w:rsidR="0027009E" w:rsidRPr="00D56C33" w:rsidRDefault="0027009E" w:rsidP="0027009E">
            <w:pPr>
              <w:pStyle w:val="naisc"/>
              <w:spacing w:before="0" w:after="0"/>
              <w:jc w:val="both"/>
              <w:rPr>
                <w:b/>
              </w:rPr>
            </w:pPr>
            <w:r w:rsidRPr="00D56C33">
              <w:rPr>
                <w:b/>
              </w:rPr>
              <w:t xml:space="preserve">Finanšu ministrijas </w:t>
            </w:r>
            <w:r>
              <w:rPr>
                <w:b/>
              </w:rPr>
              <w:t>19</w:t>
            </w:r>
            <w:r w:rsidRPr="00D56C33">
              <w:rPr>
                <w:b/>
              </w:rPr>
              <w:t>.0</w:t>
            </w:r>
            <w:r>
              <w:rPr>
                <w:b/>
              </w:rPr>
              <w:t>6</w:t>
            </w:r>
            <w:r w:rsidRPr="00D56C33">
              <w:rPr>
                <w:b/>
              </w:rPr>
              <w:t xml:space="preserve">.2019. </w:t>
            </w:r>
            <w:r>
              <w:rPr>
                <w:b/>
              </w:rPr>
              <w:t>6</w:t>
            </w:r>
            <w:r w:rsidRPr="00D56C33">
              <w:rPr>
                <w:b/>
              </w:rPr>
              <w:t>.iebildums:</w:t>
            </w:r>
          </w:p>
          <w:p w14:paraId="4E9EE726" w14:textId="04ABE396" w:rsidR="0027009E" w:rsidRPr="00D56C33" w:rsidRDefault="0027009E" w:rsidP="0027009E">
            <w:pPr>
              <w:pStyle w:val="naisc"/>
              <w:spacing w:before="0" w:after="0"/>
              <w:jc w:val="both"/>
              <w:rPr>
                <w:b/>
              </w:rPr>
            </w:pPr>
            <w:r w:rsidRPr="00D56C33">
              <w:t>“</w:t>
            </w:r>
            <w:r w:rsidRPr="00FB3595">
              <w:t xml:space="preserve">Lūdzam papildināt anotācijas I sadaļas 2.punkta 1.apakšpunktu ar informāciju par 4.2.1.1.pasākuma ietvaros izsniedzamās garantijas multiplikatora apmēru vai garantijas ietvaros </w:t>
            </w:r>
            <w:r w:rsidRPr="00FB3595">
              <w:lastRenderedPageBreak/>
              <w:t>deklarējamo ERAF finansējuma apmēru, jo faktisko garantijas summu 18,20 milj. euro apmērā nevar salīdzināt ar aizdevumos izsniegto finansējumu. Papildus vēršam uzmanību, ka anotācijas I sadaļas 2.punktā ir norādīts, ka uz 2019.gada 23.maiju rezervētais finansējums finanšu instrumenta atbalstam sasniedza 4 milj. euro, no kuriem aizdevumi ir 3,09 milj. euro, attiecīgi var secināt, ka garantiju multiplikators ir 20.</w:t>
            </w:r>
            <w:r w:rsidRPr="00D56C33">
              <w:t>”</w:t>
            </w:r>
          </w:p>
        </w:tc>
        <w:tc>
          <w:tcPr>
            <w:tcW w:w="3827" w:type="dxa"/>
            <w:tcBorders>
              <w:top w:val="single" w:sz="4" w:space="0" w:color="auto"/>
              <w:left w:val="single" w:sz="4" w:space="0" w:color="auto"/>
              <w:bottom w:val="single" w:sz="4" w:space="0" w:color="auto"/>
              <w:right w:val="single" w:sz="4" w:space="0" w:color="auto"/>
            </w:tcBorders>
          </w:tcPr>
          <w:p w14:paraId="411681A9" w14:textId="1BE262EB" w:rsidR="0027009E" w:rsidRPr="00D56C33" w:rsidRDefault="0027009E" w:rsidP="0027009E">
            <w:pPr>
              <w:pStyle w:val="naisc"/>
              <w:spacing w:before="0" w:after="0"/>
              <w:rPr>
                <w:b/>
              </w:rPr>
            </w:pPr>
            <w:r>
              <w:rPr>
                <w:b/>
              </w:rPr>
              <w:lastRenderedPageBreak/>
              <w:t>Ņemts vērā</w:t>
            </w:r>
          </w:p>
        </w:tc>
        <w:tc>
          <w:tcPr>
            <w:tcW w:w="3118" w:type="dxa"/>
            <w:tcBorders>
              <w:top w:val="single" w:sz="4" w:space="0" w:color="auto"/>
              <w:left w:val="single" w:sz="4" w:space="0" w:color="auto"/>
              <w:bottom w:val="single" w:sz="4" w:space="0" w:color="auto"/>
            </w:tcBorders>
          </w:tcPr>
          <w:p w14:paraId="1778F69B" w14:textId="098687A8" w:rsidR="0027009E" w:rsidRPr="00780B5D" w:rsidRDefault="0027009E" w:rsidP="0027009E">
            <w:pPr>
              <w:jc w:val="both"/>
              <w:rPr>
                <w:b/>
              </w:rPr>
            </w:pPr>
            <w:r w:rsidRPr="00780B5D">
              <w:rPr>
                <w:b/>
              </w:rPr>
              <w:t>Precizēts</w:t>
            </w:r>
            <w:r w:rsidRPr="00780B5D" w:rsidDel="004E37AA">
              <w:rPr>
                <w:b/>
              </w:rPr>
              <w:t xml:space="preserve"> </w:t>
            </w:r>
            <w:r w:rsidRPr="00780B5D">
              <w:rPr>
                <w:b/>
              </w:rPr>
              <w:t>Anotācijas I sadaļas “Tiesību akta projekta izstrādes nepieciešamība” 2. punkt</w:t>
            </w:r>
            <w:r>
              <w:rPr>
                <w:b/>
              </w:rPr>
              <w:t>s</w:t>
            </w:r>
            <w:r w:rsidRPr="00780B5D">
              <w:rPr>
                <w:b/>
              </w:rPr>
              <w:t xml:space="preserve"> “Pašreizējā situācija un problēmas, kuru risināšanai tiesību akta projekts </w:t>
            </w:r>
            <w:r w:rsidRPr="00780B5D">
              <w:rPr>
                <w:b/>
              </w:rPr>
              <w:lastRenderedPageBreak/>
              <w:t>izstrādāts, tiesiskā regulējuma mērķis un būtība”</w:t>
            </w:r>
            <w:r>
              <w:rPr>
                <w:b/>
              </w:rPr>
              <w:t>.</w:t>
            </w:r>
          </w:p>
        </w:tc>
      </w:tr>
      <w:tr w:rsidR="0027009E" w:rsidRPr="00CC4FF7" w14:paraId="0B6AEE2E" w14:textId="77777777" w:rsidTr="00BA11CC">
        <w:tc>
          <w:tcPr>
            <w:tcW w:w="716" w:type="dxa"/>
            <w:tcBorders>
              <w:top w:val="single" w:sz="4" w:space="0" w:color="auto"/>
              <w:left w:val="single" w:sz="4" w:space="0" w:color="auto"/>
              <w:bottom w:val="single" w:sz="4" w:space="0" w:color="auto"/>
              <w:right w:val="single" w:sz="4" w:space="0" w:color="auto"/>
            </w:tcBorders>
          </w:tcPr>
          <w:p w14:paraId="67063D37" w14:textId="77777777" w:rsidR="0027009E" w:rsidRPr="00CC4FF7" w:rsidRDefault="0027009E" w:rsidP="0027009E">
            <w:pPr>
              <w:pStyle w:val="ListParagraph"/>
              <w:numPr>
                <w:ilvl w:val="0"/>
                <w:numId w:val="1"/>
              </w:numPr>
              <w:spacing w:after="0" w:line="240" w:lineRule="auto"/>
              <w:ind w:left="357" w:hanging="357"/>
              <w:rPr>
                <w:rFonts w:ascii="Times New Roman" w:hAnsi="Times New Roman"/>
              </w:rPr>
            </w:pPr>
          </w:p>
        </w:tc>
        <w:tc>
          <w:tcPr>
            <w:tcW w:w="3086" w:type="dxa"/>
            <w:tcBorders>
              <w:top w:val="single" w:sz="4" w:space="0" w:color="auto"/>
              <w:left w:val="single" w:sz="4" w:space="0" w:color="auto"/>
              <w:bottom w:val="single" w:sz="4" w:space="0" w:color="auto"/>
              <w:right w:val="single" w:sz="4" w:space="0" w:color="auto"/>
            </w:tcBorders>
          </w:tcPr>
          <w:p w14:paraId="75675353" w14:textId="20400D84" w:rsidR="0027009E" w:rsidRPr="00D56C33" w:rsidRDefault="0027009E" w:rsidP="0027009E">
            <w:pPr>
              <w:rPr>
                <w:b/>
              </w:rPr>
            </w:pPr>
            <w:r w:rsidRPr="00D56C33">
              <w:rPr>
                <w:b/>
              </w:rPr>
              <w:t>Noteikumu projekta anotācija</w:t>
            </w:r>
          </w:p>
        </w:tc>
        <w:tc>
          <w:tcPr>
            <w:tcW w:w="3987" w:type="dxa"/>
            <w:tcBorders>
              <w:top w:val="single" w:sz="4" w:space="0" w:color="auto"/>
              <w:left w:val="single" w:sz="4" w:space="0" w:color="auto"/>
              <w:bottom w:val="single" w:sz="4" w:space="0" w:color="auto"/>
              <w:right w:val="single" w:sz="4" w:space="0" w:color="auto"/>
            </w:tcBorders>
          </w:tcPr>
          <w:p w14:paraId="566430B6" w14:textId="0C1BFD4A" w:rsidR="0027009E" w:rsidRPr="00D56C33" w:rsidRDefault="0027009E" w:rsidP="0027009E">
            <w:pPr>
              <w:pStyle w:val="naisc"/>
              <w:spacing w:before="0" w:after="0"/>
              <w:jc w:val="both"/>
              <w:rPr>
                <w:b/>
              </w:rPr>
            </w:pPr>
            <w:r w:rsidRPr="00D56C33">
              <w:rPr>
                <w:b/>
              </w:rPr>
              <w:t xml:space="preserve">Finanšu ministrijas </w:t>
            </w:r>
            <w:r>
              <w:rPr>
                <w:b/>
              </w:rPr>
              <w:t>19</w:t>
            </w:r>
            <w:r w:rsidRPr="00D56C33">
              <w:rPr>
                <w:b/>
              </w:rPr>
              <w:t>.0</w:t>
            </w:r>
            <w:r>
              <w:rPr>
                <w:b/>
              </w:rPr>
              <w:t>6</w:t>
            </w:r>
            <w:r w:rsidRPr="00D56C33">
              <w:rPr>
                <w:b/>
              </w:rPr>
              <w:t xml:space="preserve">.2019. </w:t>
            </w:r>
            <w:r>
              <w:rPr>
                <w:b/>
              </w:rPr>
              <w:t>7</w:t>
            </w:r>
            <w:r w:rsidRPr="00D56C33">
              <w:rPr>
                <w:b/>
              </w:rPr>
              <w:t>.iebildums:</w:t>
            </w:r>
          </w:p>
          <w:p w14:paraId="17F48A05" w14:textId="65BE223E" w:rsidR="0027009E" w:rsidRPr="00FB3595" w:rsidRDefault="0027009E" w:rsidP="0027009E">
            <w:pPr>
              <w:pStyle w:val="naisc"/>
              <w:spacing w:before="0" w:after="0"/>
              <w:jc w:val="both"/>
              <w:rPr>
                <w:bCs/>
              </w:rPr>
            </w:pPr>
            <w:r>
              <w:rPr>
                <w:bCs/>
              </w:rPr>
              <w:t>“</w:t>
            </w:r>
            <w:r w:rsidRPr="00FB3595">
              <w:rPr>
                <w:bCs/>
              </w:rPr>
              <w:t>Anotācijas I sadaļas 2.punkta 3.apakšpunktā ir noteikts, ka “Līdz ar MK noteikumu Nr. 60 spēkā stāšanos, tika noteikts, ka tikai pilnvarotās personas, kuras nav Publisko iepirkumu likuma subjekti, ievēro interešu konflikta neesamību un atbilstību vidējām tirgus cenām.”. PIL subjektiem vienmēr ir bijis jāievēro regulējums attiecībā uz interešu konflikta neesamību un MK noteikumu Nr. 60 spēkā stāšanās to nav mainījusi. Līdz ar to lūdzam svītrot anotācijā iekļauto informāciju attiecībā uz to, ka tikai pilnvarotās personas, kuras nav Publisko iepirkumu likuma subjekti, ievēro interešu konflikta neesamību</w:t>
            </w:r>
            <w:r>
              <w:rPr>
                <w:bCs/>
              </w:rPr>
              <w:t>.”</w:t>
            </w:r>
          </w:p>
        </w:tc>
        <w:tc>
          <w:tcPr>
            <w:tcW w:w="3827" w:type="dxa"/>
            <w:tcBorders>
              <w:top w:val="single" w:sz="4" w:space="0" w:color="auto"/>
              <w:left w:val="single" w:sz="4" w:space="0" w:color="auto"/>
              <w:bottom w:val="single" w:sz="4" w:space="0" w:color="auto"/>
              <w:right w:val="single" w:sz="4" w:space="0" w:color="auto"/>
            </w:tcBorders>
          </w:tcPr>
          <w:p w14:paraId="1B5FA6D4" w14:textId="07E373D0" w:rsidR="0027009E" w:rsidRDefault="0027009E" w:rsidP="0027009E">
            <w:pPr>
              <w:pStyle w:val="naisc"/>
              <w:spacing w:before="0" w:after="0"/>
              <w:rPr>
                <w:b/>
              </w:rPr>
            </w:pPr>
            <w:r>
              <w:rPr>
                <w:b/>
              </w:rPr>
              <w:t>Ņemts vērā</w:t>
            </w:r>
          </w:p>
        </w:tc>
        <w:tc>
          <w:tcPr>
            <w:tcW w:w="3118" w:type="dxa"/>
            <w:tcBorders>
              <w:top w:val="single" w:sz="4" w:space="0" w:color="auto"/>
              <w:left w:val="single" w:sz="4" w:space="0" w:color="auto"/>
              <w:bottom w:val="single" w:sz="4" w:space="0" w:color="auto"/>
            </w:tcBorders>
          </w:tcPr>
          <w:p w14:paraId="3F8FD1A8" w14:textId="5738C237" w:rsidR="0027009E" w:rsidRPr="00780B5D" w:rsidRDefault="0027009E" w:rsidP="0027009E">
            <w:pPr>
              <w:jc w:val="both"/>
              <w:rPr>
                <w:b/>
              </w:rPr>
            </w:pPr>
            <w:r w:rsidRPr="00780B5D">
              <w:rPr>
                <w:b/>
              </w:rPr>
              <w:t>Precizēts</w:t>
            </w:r>
            <w:r w:rsidRPr="00780B5D" w:rsidDel="004E37AA">
              <w:rPr>
                <w:b/>
              </w:rPr>
              <w:t xml:space="preserve"> </w:t>
            </w:r>
            <w:r w:rsidRPr="00780B5D">
              <w:rPr>
                <w:b/>
              </w:rPr>
              <w:t>Anotācijas I sadaļas “Tiesību akta projekta izstrādes nepieciešamība” 2. punkt</w:t>
            </w:r>
            <w:r>
              <w:rPr>
                <w:b/>
              </w:rPr>
              <w:t>s</w:t>
            </w:r>
            <w:r w:rsidRPr="00780B5D">
              <w:rPr>
                <w:b/>
              </w:rPr>
              <w:t xml:space="preserve"> “Pašreizējā situācija un problēmas, kuru risināšanai tiesību akta projekts izstrādāts, tiesiskā regulējuma mērķis un būtība”</w:t>
            </w:r>
            <w:r>
              <w:rPr>
                <w:b/>
              </w:rPr>
              <w:t>.</w:t>
            </w:r>
          </w:p>
        </w:tc>
      </w:tr>
      <w:tr w:rsidR="0027009E" w:rsidRPr="00CC4FF7" w14:paraId="2C244CC3" w14:textId="77777777" w:rsidTr="00BA11CC">
        <w:tc>
          <w:tcPr>
            <w:tcW w:w="716" w:type="dxa"/>
            <w:tcBorders>
              <w:top w:val="single" w:sz="4" w:space="0" w:color="auto"/>
              <w:left w:val="single" w:sz="4" w:space="0" w:color="auto"/>
              <w:bottom w:val="single" w:sz="4" w:space="0" w:color="auto"/>
              <w:right w:val="single" w:sz="4" w:space="0" w:color="auto"/>
            </w:tcBorders>
          </w:tcPr>
          <w:p w14:paraId="3464E864" w14:textId="77777777" w:rsidR="0027009E" w:rsidRPr="00CC4FF7" w:rsidRDefault="0027009E" w:rsidP="0027009E">
            <w:pPr>
              <w:pStyle w:val="ListParagraph"/>
              <w:numPr>
                <w:ilvl w:val="0"/>
                <w:numId w:val="1"/>
              </w:numPr>
              <w:spacing w:after="0" w:line="240" w:lineRule="auto"/>
              <w:ind w:left="357" w:hanging="357"/>
              <w:rPr>
                <w:rFonts w:ascii="Times New Roman" w:hAnsi="Times New Roman"/>
              </w:rPr>
            </w:pPr>
          </w:p>
        </w:tc>
        <w:tc>
          <w:tcPr>
            <w:tcW w:w="3086" w:type="dxa"/>
            <w:tcBorders>
              <w:top w:val="single" w:sz="4" w:space="0" w:color="auto"/>
              <w:left w:val="single" w:sz="4" w:space="0" w:color="auto"/>
              <w:bottom w:val="single" w:sz="4" w:space="0" w:color="auto"/>
              <w:right w:val="single" w:sz="4" w:space="0" w:color="auto"/>
            </w:tcBorders>
          </w:tcPr>
          <w:p w14:paraId="1E34187A" w14:textId="195E95C8" w:rsidR="0027009E" w:rsidRPr="00D56C33" w:rsidRDefault="0027009E" w:rsidP="0027009E">
            <w:pPr>
              <w:rPr>
                <w:b/>
              </w:rPr>
            </w:pPr>
            <w:r w:rsidRPr="00D56C33">
              <w:rPr>
                <w:b/>
              </w:rPr>
              <w:t>Noteikumu projekta anotācija</w:t>
            </w:r>
          </w:p>
        </w:tc>
        <w:tc>
          <w:tcPr>
            <w:tcW w:w="3987" w:type="dxa"/>
            <w:tcBorders>
              <w:top w:val="single" w:sz="4" w:space="0" w:color="auto"/>
              <w:left w:val="single" w:sz="4" w:space="0" w:color="auto"/>
              <w:bottom w:val="single" w:sz="4" w:space="0" w:color="auto"/>
              <w:right w:val="single" w:sz="4" w:space="0" w:color="auto"/>
            </w:tcBorders>
          </w:tcPr>
          <w:p w14:paraId="5C2517FA" w14:textId="2583CB81" w:rsidR="0027009E" w:rsidRPr="00D56C33" w:rsidRDefault="0027009E" w:rsidP="0027009E">
            <w:pPr>
              <w:pStyle w:val="naisc"/>
              <w:spacing w:before="0" w:after="0"/>
              <w:jc w:val="both"/>
              <w:rPr>
                <w:b/>
              </w:rPr>
            </w:pPr>
            <w:r w:rsidRPr="00D56C33">
              <w:rPr>
                <w:b/>
              </w:rPr>
              <w:t xml:space="preserve">Finanšu ministrijas </w:t>
            </w:r>
            <w:r>
              <w:rPr>
                <w:b/>
              </w:rPr>
              <w:t>19</w:t>
            </w:r>
            <w:r w:rsidRPr="00D56C33">
              <w:rPr>
                <w:b/>
              </w:rPr>
              <w:t>.0</w:t>
            </w:r>
            <w:r>
              <w:rPr>
                <w:b/>
              </w:rPr>
              <w:t>6</w:t>
            </w:r>
            <w:r w:rsidRPr="00D56C33">
              <w:rPr>
                <w:b/>
              </w:rPr>
              <w:t xml:space="preserve">.2019. </w:t>
            </w:r>
            <w:r>
              <w:rPr>
                <w:b/>
              </w:rPr>
              <w:t>8</w:t>
            </w:r>
            <w:r w:rsidRPr="00D56C33">
              <w:rPr>
                <w:b/>
              </w:rPr>
              <w:t>.iebildums:</w:t>
            </w:r>
          </w:p>
          <w:p w14:paraId="4F9BB31F" w14:textId="4ABAF0FC" w:rsidR="0027009E" w:rsidRPr="00D56C33" w:rsidRDefault="0027009E" w:rsidP="0027009E">
            <w:pPr>
              <w:pStyle w:val="naisc"/>
              <w:spacing w:before="0" w:after="0"/>
              <w:jc w:val="both"/>
              <w:rPr>
                <w:b/>
              </w:rPr>
            </w:pPr>
            <w:r>
              <w:rPr>
                <w:bCs/>
              </w:rPr>
              <w:t>“</w:t>
            </w:r>
            <w:r w:rsidRPr="00FB3595">
              <w:rPr>
                <w:bCs/>
              </w:rPr>
              <w:t>Anotācijas</w:t>
            </w:r>
            <w:r>
              <w:rPr>
                <w:bCs/>
              </w:rPr>
              <w:t xml:space="preserve"> </w:t>
            </w:r>
            <w:r w:rsidRPr="00873FE8">
              <w:rPr>
                <w:bCs/>
              </w:rPr>
              <w:t xml:space="preserve">I sadaļas 2.punkta 3.apakšpunktā ir noteikts, ka “…visiem projektu iesniedzējiem (arī tiem, kas ir subjekti atbilstoši Publisko iepirkumu likumam) 4.2.1.1. pasākuma ietvaros būtu jānodrošina vienādu prasību izpilde -  kā pasūtītāju jāizvēlas būvkomersantu, </w:t>
            </w:r>
            <w:proofErr w:type="spellStart"/>
            <w:r w:rsidRPr="00873FE8">
              <w:rPr>
                <w:bCs/>
              </w:rPr>
              <w:t>autoruzraugu</w:t>
            </w:r>
            <w:proofErr w:type="spellEnd"/>
            <w:r w:rsidRPr="00873FE8">
              <w:rPr>
                <w:bCs/>
              </w:rPr>
              <w:t>, būvuzraugu un citus piegādātājus atbilstoši Altum norādījumiem piegādātāju atlases veikšanas jomā, kā arī jāievēro interešu konfliktu neesamība un jānodrošina izmaksu atbilstība vidējām tirgus cenām, kā tas bija noteikts pirms MK noteikumu Nr. 60 spēkā stāšanās.”. Atkārtoti vēršam uzmanību, ka PIL subjektiem ir piemērojams PIL regulējums un tas ir piemērojams obligāti. Līdz ar to nav pamata noteikt, ka PIL subjektiem PIL regulējuma vietā piemērojami Altum norādījumi piegādātāju atlasei. Lūdzam attiecīgi svītrot iepriekšminēto informāciju</w:t>
            </w:r>
            <w:r>
              <w:rPr>
                <w:bCs/>
              </w:rPr>
              <w:t>.”</w:t>
            </w:r>
          </w:p>
        </w:tc>
        <w:tc>
          <w:tcPr>
            <w:tcW w:w="3827" w:type="dxa"/>
            <w:tcBorders>
              <w:top w:val="single" w:sz="4" w:space="0" w:color="auto"/>
              <w:left w:val="single" w:sz="4" w:space="0" w:color="auto"/>
              <w:bottom w:val="single" w:sz="4" w:space="0" w:color="auto"/>
              <w:right w:val="single" w:sz="4" w:space="0" w:color="auto"/>
            </w:tcBorders>
          </w:tcPr>
          <w:p w14:paraId="23338BF2" w14:textId="6ECF8AA7" w:rsidR="0027009E" w:rsidRDefault="0027009E" w:rsidP="0027009E">
            <w:pPr>
              <w:pStyle w:val="naisc"/>
              <w:spacing w:before="0" w:after="0"/>
              <w:rPr>
                <w:b/>
              </w:rPr>
            </w:pPr>
            <w:r>
              <w:rPr>
                <w:b/>
              </w:rPr>
              <w:t>Ņemts vērā</w:t>
            </w:r>
          </w:p>
        </w:tc>
        <w:tc>
          <w:tcPr>
            <w:tcW w:w="3118" w:type="dxa"/>
            <w:tcBorders>
              <w:top w:val="single" w:sz="4" w:space="0" w:color="auto"/>
              <w:left w:val="single" w:sz="4" w:space="0" w:color="auto"/>
              <w:bottom w:val="single" w:sz="4" w:space="0" w:color="auto"/>
            </w:tcBorders>
          </w:tcPr>
          <w:p w14:paraId="0B8C9B09" w14:textId="56C6DF6A" w:rsidR="0027009E" w:rsidRPr="00780B5D" w:rsidRDefault="0027009E" w:rsidP="0027009E">
            <w:pPr>
              <w:jc w:val="both"/>
              <w:rPr>
                <w:b/>
              </w:rPr>
            </w:pPr>
            <w:r w:rsidRPr="00780B5D">
              <w:rPr>
                <w:b/>
              </w:rPr>
              <w:t>Precizēts</w:t>
            </w:r>
            <w:r w:rsidRPr="00780B5D" w:rsidDel="004E37AA">
              <w:rPr>
                <w:b/>
              </w:rPr>
              <w:t xml:space="preserve"> </w:t>
            </w:r>
            <w:r w:rsidRPr="00780B5D">
              <w:rPr>
                <w:b/>
              </w:rPr>
              <w:t>Anotācijas I sadaļas “Tiesību akta projekta izstrādes nepieciešamība” 2. punkt</w:t>
            </w:r>
            <w:r>
              <w:rPr>
                <w:b/>
              </w:rPr>
              <w:t>s</w:t>
            </w:r>
            <w:r w:rsidRPr="00780B5D">
              <w:rPr>
                <w:b/>
              </w:rPr>
              <w:t xml:space="preserve"> “Pašreizējā situācija un problēmas, kuru risināšanai tiesību akta projekts izstrādāts, tiesiskā regulējuma mērķis un būtība”</w:t>
            </w:r>
            <w:r>
              <w:rPr>
                <w:b/>
              </w:rPr>
              <w:t>.</w:t>
            </w:r>
          </w:p>
        </w:tc>
      </w:tr>
      <w:tr w:rsidR="0027009E" w:rsidRPr="00CC4FF7" w14:paraId="60C6D415" w14:textId="77777777" w:rsidTr="00BA11CC">
        <w:tc>
          <w:tcPr>
            <w:tcW w:w="716" w:type="dxa"/>
            <w:tcBorders>
              <w:top w:val="single" w:sz="4" w:space="0" w:color="auto"/>
              <w:left w:val="single" w:sz="4" w:space="0" w:color="auto"/>
              <w:bottom w:val="single" w:sz="4" w:space="0" w:color="auto"/>
              <w:right w:val="single" w:sz="4" w:space="0" w:color="auto"/>
            </w:tcBorders>
          </w:tcPr>
          <w:p w14:paraId="752352D3" w14:textId="77777777" w:rsidR="0027009E" w:rsidRPr="00CC4FF7" w:rsidRDefault="0027009E" w:rsidP="0027009E">
            <w:pPr>
              <w:pStyle w:val="ListParagraph"/>
              <w:numPr>
                <w:ilvl w:val="0"/>
                <w:numId w:val="1"/>
              </w:numPr>
              <w:spacing w:after="0" w:line="240" w:lineRule="auto"/>
              <w:ind w:left="357" w:hanging="357"/>
              <w:rPr>
                <w:rFonts w:ascii="Times New Roman" w:hAnsi="Times New Roman"/>
              </w:rPr>
            </w:pPr>
          </w:p>
        </w:tc>
        <w:tc>
          <w:tcPr>
            <w:tcW w:w="3086" w:type="dxa"/>
            <w:tcBorders>
              <w:top w:val="single" w:sz="4" w:space="0" w:color="auto"/>
              <w:left w:val="single" w:sz="4" w:space="0" w:color="auto"/>
              <w:bottom w:val="single" w:sz="4" w:space="0" w:color="auto"/>
              <w:right w:val="single" w:sz="4" w:space="0" w:color="auto"/>
            </w:tcBorders>
          </w:tcPr>
          <w:p w14:paraId="672D5DC3" w14:textId="6A8A23E7" w:rsidR="0027009E" w:rsidRPr="00D56C33" w:rsidRDefault="0027009E" w:rsidP="0027009E">
            <w:pPr>
              <w:rPr>
                <w:b/>
              </w:rPr>
            </w:pPr>
            <w:r w:rsidRPr="00D56C33">
              <w:rPr>
                <w:b/>
              </w:rPr>
              <w:t>Noteikumu projekta anotācija</w:t>
            </w:r>
          </w:p>
        </w:tc>
        <w:tc>
          <w:tcPr>
            <w:tcW w:w="3987" w:type="dxa"/>
            <w:tcBorders>
              <w:top w:val="single" w:sz="4" w:space="0" w:color="auto"/>
              <w:left w:val="single" w:sz="4" w:space="0" w:color="auto"/>
              <w:bottom w:val="single" w:sz="4" w:space="0" w:color="auto"/>
              <w:right w:val="single" w:sz="4" w:space="0" w:color="auto"/>
            </w:tcBorders>
          </w:tcPr>
          <w:p w14:paraId="11FF853B" w14:textId="54CB523A" w:rsidR="0027009E" w:rsidRPr="00D56C33" w:rsidRDefault="0027009E" w:rsidP="0027009E">
            <w:pPr>
              <w:pStyle w:val="naisc"/>
              <w:spacing w:before="0" w:after="0"/>
              <w:jc w:val="both"/>
              <w:rPr>
                <w:b/>
              </w:rPr>
            </w:pPr>
            <w:r w:rsidRPr="00D56C33">
              <w:rPr>
                <w:b/>
              </w:rPr>
              <w:t xml:space="preserve">Finanšu ministrijas </w:t>
            </w:r>
            <w:r>
              <w:rPr>
                <w:b/>
              </w:rPr>
              <w:t>19</w:t>
            </w:r>
            <w:r w:rsidRPr="00D56C33">
              <w:rPr>
                <w:b/>
              </w:rPr>
              <w:t>.0</w:t>
            </w:r>
            <w:r>
              <w:rPr>
                <w:b/>
              </w:rPr>
              <w:t>6</w:t>
            </w:r>
            <w:r w:rsidRPr="00D56C33">
              <w:rPr>
                <w:b/>
              </w:rPr>
              <w:t xml:space="preserve">.2019. </w:t>
            </w:r>
            <w:r>
              <w:rPr>
                <w:b/>
              </w:rPr>
              <w:t>9.iebildums</w:t>
            </w:r>
            <w:r w:rsidRPr="00D56C33">
              <w:rPr>
                <w:b/>
              </w:rPr>
              <w:t>:</w:t>
            </w:r>
          </w:p>
          <w:p w14:paraId="5272FE72" w14:textId="017E8679" w:rsidR="0027009E" w:rsidRPr="00873FE8" w:rsidRDefault="0027009E" w:rsidP="0027009E">
            <w:pPr>
              <w:pStyle w:val="naisc"/>
              <w:spacing w:before="0" w:after="0"/>
              <w:jc w:val="both"/>
              <w:rPr>
                <w:bCs/>
              </w:rPr>
            </w:pPr>
            <w:r>
              <w:rPr>
                <w:bCs/>
              </w:rPr>
              <w:t>“</w:t>
            </w:r>
            <w:r w:rsidRPr="00873FE8">
              <w:rPr>
                <w:bCs/>
              </w:rPr>
              <w:t xml:space="preserve">Uzturam FM 2019.gada 3.aprīļa atzinuma Nr.12/A-21/1571 6.iebildumu un lūdzam papildināt anotācijas I sadaļas “Tiesību akta </w:t>
            </w:r>
            <w:r w:rsidRPr="00873FE8">
              <w:rPr>
                <w:bCs/>
              </w:rPr>
              <w:lastRenderedPageBreak/>
              <w:t>projekta izstrādes nepieciešamība” 2. punktu “Pašreizējā situācija un problēmas, kuru risināšanai tiesību akta projekts izstrādāts, tiesiskā regulējuma mērķis un būtība” ar skaidrojumu par noteikumu projekta 1., 2., 3., 6. un 7.punktā ietvertajiem grozījumiem</w:t>
            </w:r>
            <w:r>
              <w:rPr>
                <w:bCs/>
              </w:rPr>
              <w:t>”</w:t>
            </w:r>
          </w:p>
        </w:tc>
        <w:tc>
          <w:tcPr>
            <w:tcW w:w="3827" w:type="dxa"/>
            <w:tcBorders>
              <w:top w:val="single" w:sz="4" w:space="0" w:color="auto"/>
              <w:left w:val="single" w:sz="4" w:space="0" w:color="auto"/>
              <w:bottom w:val="single" w:sz="4" w:space="0" w:color="auto"/>
              <w:right w:val="single" w:sz="4" w:space="0" w:color="auto"/>
            </w:tcBorders>
          </w:tcPr>
          <w:p w14:paraId="209837E1" w14:textId="77F871F8" w:rsidR="0027009E" w:rsidRDefault="0027009E" w:rsidP="0027009E">
            <w:pPr>
              <w:pStyle w:val="naisc"/>
              <w:spacing w:before="0" w:after="0"/>
              <w:rPr>
                <w:b/>
              </w:rPr>
            </w:pPr>
            <w:r>
              <w:rPr>
                <w:b/>
              </w:rPr>
              <w:lastRenderedPageBreak/>
              <w:t>Ņemts vērā</w:t>
            </w:r>
          </w:p>
        </w:tc>
        <w:tc>
          <w:tcPr>
            <w:tcW w:w="3118" w:type="dxa"/>
            <w:tcBorders>
              <w:top w:val="single" w:sz="4" w:space="0" w:color="auto"/>
              <w:left w:val="single" w:sz="4" w:space="0" w:color="auto"/>
              <w:bottom w:val="single" w:sz="4" w:space="0" w:color="auto"/>
            </w:tcBorders>
          </w:tcPr>
          <w:p w14:paraId="0AA46BC3" w14:textId="32E72F35" w:rsidR="0027009E" w:rsidRPr="00780B5D" w:rsidRDefault="0027009E" w:rsidP="0027009E">
            <w:pPr>
              <w:jc w:val="both"/>
              <w:rPr>
                <w:b/>
              </w:rPr>
            </w:pPr>
            <w:r>
              <w:rPr>
                <w:b/>
              </w:rPr>
              <w:t xml:space="preserve">Precizēts Anotācijas </w:t>
            </w:r>
            <w:r w:rsidRPr="00780B5D">
              <w:rPr>
                <w:b/>
              </w:rPr>
              <w:t xml:space="preserve"> I sadaļas “Tiesību akta projekta izstrādes nepieciešamība” 2. punkt</w:t>
            </w:r>
            <w:r>
              <w:rPr>
                <w:b/>
              </w:rPr>
              <w:t>s</w:t>
            </w:r>
            <w:r w:rsidRPr="00780B5D">
              <w:rPr>
                <w:b/>
              </w:rPr>
              <w:t xml:space="preserve"> “Pašreizējā situācija un problēmas, kuru risināšanai </w:t>
            </w:r>
            <w:r w:rsidRPr="00780B5D">
              <w:rPr>
                <w:b/>
              </w:rPr>
              <w:lastRenderedPageBreak/>
              <w:t>tiesību akta projekts izstrādāts, tiesiskā regulējuma mērķis un būtība”</w:t>
            </w:r>
            <w:r>
              <w:rPr>
                <w:b/>
              </w:rPr>
              <w:t xml:space="preserve"> 1. punkts un papildus pievienots 7. apakšpunkts.</w:t>
            </w:r>
          </w:p>
        </w:tc>
      </w:tr>
      <w:tr w:rsidR="00CA444D" w:rsidRPr="00CC4FF7" w14:paraId="0A7CD719" w14:textId="77777777" w:rsidTr="00BA11CC">
        <w:tc>
          <w:tcPr>
            <w:tcW w:w="716" w:type="dxa"/>
            <w:tcBorders>
              <w:top w:val="single" w:sz="4" w:space="0" w:color="auto"/>
              <w:left w:val="single" w:sz="4" w:space="0" w:color="auto"/>
              <w:bottom w:val="single" w:sz="4" w:space="0" w:color="auto"/>
              <w:right w:val="single" w:sz="4" w:space="0" w:color="auto"/>
            </w:tcBorders>
          </w:tcPr>
          <w:p w14:paraId="20C778E9" w14:textId="77777777" w:rsidR="00CA444D" w:rsidRPr="00CC4FF7" w:rsidRDefault="00CA444D" w:rsidP="00CA444D">
            <w:pPr>
              <w:pStyle w:val="ListParagraph"/>
              <w:numPr>
                <w:ilvl w:val="0"/>
                <w:numId w:val="1"/>
              </w:numPr>
              <w:spacing w:after="0" w:line="240" w:lineRule="auto"/>
              <w:ind w:left="357" w:hanging="357"/>
              <w:rPr>
                <w:rFonts w:ascii="Times New Roman" w:hAnsi="Times New Roman"/>
              </w:rPr>
            </w:pPr>
          </w:p>
        </w:tc>
        <w:tc>
          <w:tcPr>
            <w:tcW w:w="3086" w:type="dxa"/>
            <w:tcBorders>
              <w:top w:val="single" w:sz="4" w:space="0" w:color="auto"/>
              <w:left w:val="single" w:sz="4" w:space="0" w:color="auto"/>
              <w:bottom w:val="single" w:sz="4" w:space="0" w:color="auto"/>
              <w:right w:val="single" w:sz="4" w:space="0" w:color="auto"/>
            </w:tcBorders>
          </w:tcPr>
          <w:p w14:paraId="1F764183" w14:textId="603158F3" w:rsidR="00CA444D" w:rsidRPr="00D56C33" w:rsidRDefault="00CA444D" w:rsidP="00CA444D">
            <w:pPr>
              <w:rPr>
                <w:b/>
              </w:rPr>
            </w:pPr>
            <w:r w:rsidRPr="00D56C33">
              <w:rPr>
                <w:b/>
              </w:rPr>
              <w:t>Noteikumu projekta anotācija</w:t>
            </w:r>
          </w:p>
        </w:tc>
        <w:tc>
          <w:tcPr>
            <w:tcW w:w="3987" w:type="dxa"/>
            <w:tcBorders>
              <w:top w:val="single" w:sz="4" w:space="0" w:color="auto"/>
              <w:left w:val="single" w:sz="4" w:space="0" w:color="auto"/>
              <w:bottom w:val="single" w:sz="4" w:space="0" w:color="auto"/>
              <w:right w:val="single" w:sz="4" w:space="0" w:color="auto"/>
            </w:tcBorders>
          </w:tcPr>
          <w:p w14:paraId="602E4255" w14:textId="421C17C0" w:rsidR="00CA444D" w:rsidRPr="00D56C33" w:rsidRDefault="00CA444D" w:rsidP="00CA444D">
            <w:pPr>
              <w:pStyle w:val="naisc"/>
              <w:spacing w:before="0" w:after="0"/>
              <w:jc w:val="both"/>
              <w:rPr>
                <w:b/>
              </w:rPr>
            </w:pPr>
            <w:r w:rsidRPr="00D56C33">
              <w:rPr>
                <w:b/>
              </w:rPr>
              <w:t xml:space="preserve">Finanšu ministrijas </w:t>
            </w:r>
            <w:r>
              <w:rPr>
                <w:b/>
              </w:rPr>
              <w:t>1</w:t>
            </w:r>
            <w:r w:rsidR="00706B94">
              <w:rPr>
                <w:b/>
              </w:rPr>
              <w:t>2</w:t>
            </w:r>
            <w:r w:rsidRPr="00D56C33">
              <w:rPr>
                <w:b/>
              </w:rPr>
              <w:t>.0</w:t>
            </w:r>
            <w:r>
              <w:rPr>
                <w:b/>
              </w:rPr>
              <w:t>7</w:t>
            </w:r>
            <w:r w:rsidRPr="00D56C33">
              <w:rPr>
                <w:b/>
              </w:rPr>
              <w:t>.2019. iebildums:</w:t>
            </w:r>
          </w:p>
          <w:p w14:paraId="16BC0147" w14:textId="746684C5" w:rsidR="00CA444D" w:rsidRPr="004833EC" w:rsidRDefault="00CA444D" w:rsidP="00CA444D">
            <w:pPr>
              <w:pStyle w:val="naisc"/>
              <w:spacing w:before="0" w:after="0"/>
              <w:jc w:val="both"/>
            </w:pPr>
            <w:r>
              <w:t>“L</w:t>
            </w:r>
            <w:r w:rsidRPr="008B384C">
              <w:t>ūdzam papildināt anotācijas I sadaļas 2.punktu ar skaidrojum kāpēc interešu konflikta regulējums netiek attiecināts uz piegādātāja vai tā apakšuzņēmēja darbiniekiem.</w:t>
            </w:r>
            <w:r>
              <w:t>”</w:t>
            </w:r>
          </w:p>
        </w:tc>
        <w:tc>
          <w:tcPr>
            <w:tcW w:w="3827" w:type="dxa"/>
            <w:tcBorders>
              <w:top w:val="single" w:sz="4" w:space="0" w:color="auto"/>
              <w:left w:val="single" w:sz="4" w:space="0" w:color="auto"/>
              <w:bottom w:val="single" w:sz="4" w:space="0" w:color="auto"/>
              <w:right w:val="single" w:sz="4" w:space="0" w:color="auto"/>
            </w:tcBorders>
          </w:tcPr>
          <w:p w14:paraId="2DBA3B5B" w14:textId="77777777" w:rsidR="00CA444D" w:rsidRDefault="00CA444D" w:rsidP="00CA444D">
            <w:pPr>
              <w:pStyle w:val="naisc"/>
              <w:spacing w:before="0" w:after="0"/>
              <w:rPr>
                <w:b/>
              </w:rPr>
            </w:pPr>
            <w:r>
              <w:rPr>
                <w:b/>
              </w:rPr>
              <w:t>Ņemts vērā</w:t>
            </w:r>
          </w:p>
          <w:p w14:paraId="4589CD98" w14:textId="77777777" w:rsidR="00CA444D" w:rsidRDefault="00CA444D" w:rsidP="00CA444D">
            <w:pPr>
              <w:pStyle w:val="naisc"/>
              <w:spacing w:before="0" w:after="0"/>
              <w:rPr>
                <w:b/>
              </w:rPr>
            </w:pPr>
          </w:p>
        </w:tc>
        <w:tc>
          <w:tcPr>
            <w:tcW w:w="3118" w:type="dxa"/>
            <w:tcBorders>
              <w:top w:val="single" w:sz="4" w:space="0" w:color="auto"/>
              <w:left w:val="single" w:sz="4" w:space="0" w:color="auto"/>
              <w:bottom w:val="single" w:sz="4" w:space="0" w:color="auto"/>
            </w:tcBorders>
          </w:tcPr>
          <w:p w14:paraId="52A12106" w14:textId="5C83D904" w:rsidR="00CA444D" w:rsidRDefault="00CA444D" w:rsidP="00CA444D">
            <w:pPr>
              <w:jc w:val="both"/>
              <w:rPr>
                <w:b/>
              </w:rPr>
            </w:pPr>
            <w:r w:rsidRPr="00780B5D">
              <w:rPr>
                <w:b/>
              </w:rPr>
              <w:t>Precizēts</w:t>
            </w:r>
            <w:r w:rsidRPr="00780B5D" w:rsidDel="004E37AA">
              <w:rPr>
                <w:b/>
              </w:rPr>
              <w:t xml:space="preserve"> </w:t>
            </w:r>
            <w:r w:rsidRPr="00780B5D">
              <w:rPr>
                <w:b/>
              </w:rPr>
              <w:t>Anotācijas I sadaļas “Tiesību akta projekta izstrādes nepieciešamība” 2. punkt</w:t>
            </w:r>
            <w:r>
              <w:rPr>
                <w:b/>
              </w:rPr>
              <w:t>s</w:t>
            </w:r>
            <w:r w:rsidRPr="00780B5D">
              <w:rPr>
                <w:b/>
              </w:rPr>
              <w:t xml:space="preserve"> “Pašreizējā situācija un problēmas, kuru risināšanai tiesību akta projekts izstrādāts, tiesiskā regulējuma mērķis un būtība”</w:t>
            </w:r>
            <w:r>
              <w:rPr>
                <w:b/>
              </w:rPr>
              <w:t>.</w:t>
            </w:r>
          </w:p>
        </w:tc>
      </w:tr>
      <w:tr w:rsidR="00CA444D" w:rsidRPr="00CC4FF7" w14:paraId="10AC26C8" w14:textId="77777777" w:rsidTr="00BA11CC">
        <w:tc>
          <w:tcPr>
            <w:tcW w:w="716" w:type="dxa"/>
            <w:tcBorders>
              <w:top w:val="single" w:sz="4" w:space="0" w:color="auto"/>
              <w:left w:val="single" w:sz="4" w:space="0" w:color="auto"/>
              <w:bottom w:val="single" w:sz="4" w:space="0" w:color="auto"/>
              <w:right w:val="single" w:sz="4" w:space="0" w:color="auto"/>
            </w:tcBorders>
          </w:tcPr>
          <w:p w14:paraId="0EB01F4E" w14:textId="77777777" w:rsidR="00CA444D" w:rsidRPr="00CC4FF7" w:rsidRDefault="00CA444D" w:rsidP="00CA444D">
            <w:pPr>
              <w:pStyle w:val="ListParagraph"/>
              <w:numPr>
                <w:ilvl w:val="0"/>
                <w:numId w:val="1"/>
              </w:numPr>
              <w:spacing w:after="0" w:line="240" w:lineRule="auto"/>
              <w:ind w:left="357" w:hanging="357"/>
              <w:rPr>
                <w:rFonts w:ascii="Times New Roman" w:hAnsi="Times New Roman"/>
              </w:rPr>
            </w:pPr>
          </w:p>
        </w:tc>
        <w:tc>
          <w:tcPr>
            <w:tcW w:w="3086" w:type="dxa"/>
            <w:tcBorders>
              <w:top w:val="single" w:sz="4" w:space="0" w:color="auto"/>
              <w:left w:val="single" w:sz="4" w:space="0" w:color="auto"/>
              <w:bottom w:val="single" w:sz="4" w:space="0" w:color="auto"/>
              <w:right w:val="single" w:sz="4" w:space="0" w:color="auto"/>
            </w:tcBorders>
          </w:tcPr>
          <w:p w14:paraId="15ADAE62" w14:textId="492948D1" w:rsidR="00CA444D" w:rsidRPr="00D56C33" w:rsidRDefault="00CA444D" w:rsidP="00CA444D">
            <w:pPr>
              <w:rPr>
                <w:b/>
              </w:rPr>
            </w:pPr>
            <w:r w:rsidRPr="00D56C33">
              <w:rPr>
                <w:b/>
              </w:rPr>
              <w:t>Noteikumu projekta anotācija</w:t>
            </w:r>
          </w:p>
        </w:tc>
        <w:tc>
          <w:tcPr>
            <w:tcW w:w="3987" w:type="dxa"/>
            <w:tcBorders>
              <w:top w:val="single" w:sz="4" w:space="0" w:color="auto"/>
              <w:left w:val="single" w:sz="4" w:space="0" w:color="auto"/>
              <w:bottom w:val="single" w:sz="4" w:space="0" w:color="auto"/>
              <w:right w:val="single" w:sz="4" w:space="0" w:color="auto"/>
            </w:tcBorders>
          </w:tcPr>
          <w:p w14:paraId="4FDB5603" w14:textId="4AC7ED07" w:rsidR="00CA444D" w:rsidRPr="00D56C33" w:rsidRDefault="00CA444D" w:rsidP="00CA444D">
            <w:pPr>
              <w:pStyle w:val="naisc"/>
              <w:spacing w:before="0" w:after="0"/>
              <w:jc w:val="both"/>
              <w:rPr>
                <w:b/>
              </w:rPr>
            </w:pPr>
            <w:r w:rsidRPr="00D56C33">
              <w:rPr>
                <w:b/>
              </w:rPr>
              <w:t xml:space="preserve">Finanšu ministrijas </w:t>
            </w:r>
            <w:r>
              <w:rPr>
                <w:b/>
              </w:rPr>
              <w:t>1</w:t>
            </w:r>
            <w:r w:rsidR="00C62E35">
              <w:rPr>
                <w:b/>
              </w:rPr>
              <w:t>2</w:t>
            </w:r>
            <w:r w:rsidRPr="00D56C33">
              <w:rPr>
                <w:b/>
              </w:rPr>
              <w:t>.0</w:t>
            </w:r>
            <w:r>
              <w:rPr>
                <w:b/>
              </w:rPr>
              <w:t>7</w:t>
            </w:r>
            <w:r w:rsidRPr="00D56C33">
              <w:rPr>
                <w:b/>
              </w:rPr>
              <w:t>.2019. iebildums:</w:t>
            </w:r>
          </w:p>
          <w:p w14:paraId="43079E2C" w14:textId="7486DA02" w:rsidR="00CA444D" w:rsidRPr="004833EC" w:rsidRDefault="00CA444D" w:rsidP="00CA444D">
            <w:pPr>
              <w:pStyle w:val="naisc"/>
              <w:spacing w:before="0" w:after="0"/>
              <w:jc w:val="both"/>
            </w:pPr>
            <w:r>
              <w:t>“</w:t>
            </w:r>
            <w:r w:rsidRPr="00382E64">
              <w:t>Vēršam uzmanību, ka iepriekš sniegtajā iebildumā tika norādīts, ka Publisko iepirkumu likuma (turpmāk – PIL) subjektiem ir piemērojams PIL regulējums, nevis regulējum</w:t>
            </w:r>
            <w:r>
              <w:t>s</w:t>
            </w:r>
            <w:r w:rsidRPr="00382E64">
              <w:t xml:space="preserve"> par pasūtītāja finansētiem projektiem. Līdz ar to tika lūgts svītrot noteikumu projekta 9.punktu. Iebildums nav pamatojums</w:t>
            </w:r>
            <w:r>
              <w:t xml:space="preserve"> MK noteikumu Nr.160</w:t>
            </w:r>
            <w:r w:rsidRPr="00382E64">
              <w:t xml:space="preserve"> 41.2.apakšpunkta svītrošanai no noteikumu projekta, kas noteica, ka energoefektivitātes paaugstināšanas pasākumu īstenošanas izmaksas atbilst </w:t>
            </w:r>
            <w:r w:rsidRPr="00382E64">
              <w:lastRenderedPageBreak/>
              <w:t>vidējām tirgus cenām.</w:t>
            </w:r>
            <w:r>
              <w:t xml:space="preserve"> </w:t>
            </w:r>
            <w:r w:rsidRPr="008B384C">
              <w:t>Līdz ar to lūdzam papildināt anotācijas I sadaļas 2.punktu ar pamatojumu MK noteikumu Nr.160 41.2.apakšpunkta svītrošanai.</w:t>
            </w:r>
            <w:r>
              <w:t>”</w:t>
            </w:r>
          </w:p>
        </w:tc>
        <w:tc>
          <w:tcPr>
            <w:tcW w:w="3827" w:type="dxa"/>
            <w:tcBorders>
              <w:top w:val="single" w:sz="4" w:space="0" w:color="auto"/>
              <w:left w:val="single" w:sz="4" w:space="0" w:color="auto"/>
              <w:bottom w:val="single" w:sz="4" w:space="0" w:color="auto"/>
              <w:right w:val="single" w:sz="4" w:space="0" w:color="auto"/>
            </w:tcBorders>
          </w:tcPr>
          <w:p w14:paraId="355D6E7C" w14:textId="77777777" w:rsidR="00CA444D" w:rsidRDefault="00CA444D" w:rsidP="00CA444D">
            <w:pPr>
              <w:pStyle w:val="naisc"/>
              <w:spacing w:before="0" w:after="0"/>
              <w:rPr>
                <w:b/>
              </w:rPr>
            </w:pPr>
            <w:r>
              <w:rPr>
                <w:b/>
              </w:rPr>
              <w:lastRenderedPageBreak/>
              <w:t>Ņemts vērā</w:t>
            </w:r>
          </w:p>
          <w:p w14:paraId="164BDD25" w14:textId="5C646483" w:rsidR="00CA444D" w:rsidRDefault="00CA444D" w:rsidP="00CA444D">
            <w:pPr>
              <w:pStyle w:val="naisc"/>
              <w:spacing w:before="0" w:after="0"/>
              <w:jc w:val="both"/>
              <w:rPr>
                <w:b/>
              </w:rPr>
            </w:pPr>
            <w:r w:rsidRPr="008B384C">
              <w:rPr>
                <w:bCs/>
              </w:rPr>
              <w:t xml:space="preserve">Skaidrojam, ka </w:t>
            </w:r>
            <w:r>
              <w:rPr>
                <w:bCs/>
              </w:rPr>
              <w:t>pamatojums</w:t>
            </w:r>
            <w:r>
              <w:t xml:space="preserve"> MK noteikumu Nr.160</w:t>
            </w:r>
            <w:r w:rsidRPr="00382E64">
              <w:t xml:space="preserve"> </w:t>
            </w:r>
            <w:r>
              <w:rPr>
                <w:bCs/>
              </w:rPr>
              <w:t xml:space="preserve"> 41.2.apkšpunkta svītrošanai ir aprakstīts anotācijas </w:t>
            </w:r>
            <w:r>
              <w:t xml:space="preserve"> </w:t>
            </w:r>
            <w:r w:rsidRPr="00A128F9">
              <w:rPr>
                <w:bCs/>
              </w:rPr>
              <w:t>I sadaļas 2.punkta 3.apakšpunktā</w:t>
            </w:r>
            <w:r>
              <w:rPr>
                <w:bCs/>
              </w:rPr>
              <w:t xml:space="preserve"> pamatojoties uz veiktajām konsultācijām ar Altum nevis Finanšu ministrijas iepriekš minēto lūgumu svītrot Noteikumu projekta 9.punktu.</w:t>
            </w:r>
          </w:p>
        </w:tc>
        <w:tc>
          <w:tcPr>
            <w:tcW w:w="3118" w:type="dxa"/>
            <w:tcBorders>
              <w:top w:val="single" w:sz="4" w:space="0" w:color="auto"/>
              <w:left w:val="single" w:sz="4" w:space="0" w:color="auto"/>
              <w:bottom w:val="single" w:sz="4" w:space="0" w:color="auto"/>
            </w:tcBorders>
          </w:tcPr>
          <w:p w14:paraId="776FA224" w14:textId="6ED71970" w:rsidR="00CA444D" w:rsidRDefault="00CA444D" w:rsidP="00CA444D">
            <w:pPr>
              <w:jc w:val="both"/>
              <w:rPr>
                <w:b/>
              </w:rPr>
            </w:pPr>
            <w:r>
              <w:rPr>
                <w:b/>
              </w:rPr>
              <w:t xml:space="preserve">Skatīt </w:t>
            </w:r>
            <w:r w:rsidRPr="00780B5D">
              <w:rPr>
                <w:b/>
              </w:rPr>
              <w:t xml:space="preserve"> Anotācijas I sadaļas “Tiesību akta projekta izstrādes nepieciešamība” 2. punkt</w:t>
            </w:r>
            <w:r>
              <w:rPr>
                <w:b/>
              </w:rPr>
              <w:t>a</w:t>
            </w:r>
            <w:r w:rsidRPr="00780B5D">
              <w:rPr>
                <w:b/>
              </w:rPr>
              <w:t xml:space="preserve"> “Pašreizējā situācija un problēmas, kuru risināšanai tiesību akta projekts izstrādāts, tiesiskā regulējuma mērķis un būtība”</w:t>
            </w:r>
            <w:r>
              <w:rPr>
                <w:b/>
              </w:rPr>
              <w:t xml:space="preserve"> 3.apakšpunktu.</w:t>
            </w:r>
          </w:p>
        </w:tc>
      </w:tr>
      <w:tr w:rsidR="007A3424" w:rsidRPr="00CC4FF7" w14:paraId="196429B7" w14:textId="77777777" w:rsidTr="00BA11CC">
        <w:tc>
          <w:tcPr>
            <w:tcW w:w="716" w:type="dxa"/>
            <w:tcBorders>
              <w:top w:val="single" w:sz="4" w:space="0" w:color="auto"/>
              <w:left w:val="single" w:sz="4" w:space="0" w:color="auto"/>
              <w:bottom w:val="single" w:sz="4" w:space="0" w:color="auto"/>
              <w:right w:val="single" w:sz="4" w:space="0" w:color="auto"/>
            </w:tcBorders>
          </w:tcPr>
          <w:p w14:paraId="0A7C29DF" w14:textId="77777777" w:rsidR="007A3424" w:rsidRPr="00CC4FF7" w:rsidRDefault="007A3424" w:rsidP="00CA444D">
            <w:pPr>
              <w:pStyle w:val="ListParagraph"/>
              <w:numPr>
                <w:ilvl w:val="0"/>
                <w:numId w:val="1"/>
              </w:numPr>
              <w:spacing w:after="0" w:line="240" w:lineRule="auto"/>
              <w:ind w:left="357" w:hanging="357"/>
              <w:rPr>
                <w:rFonts w:ascii="Times New Roman" w:hAnsi="Times New Roman"/>
              </w:rPr>
            </w:pPr>
          </w:p>
        </w:tc>
        <w:tc>
          <w:tcPr>
            <w:tcW w:w="3086" w:type="dxa"/>
            <w:tcBorders>
              <w:top w:val="single" w:sz="4" w:space="0" w:color="auto"/>
              <w:left w:val="single" w:sz="4" w:space="0" w:color="auto"/>
              <w:bottom w:val="single" w:sz="4" w:space="0" w:color="auto"/>
              <w:right w:val="single" w:sz="4" w:space="0" w:color="auto"/>
            </w:tcBorders>
          </w:tcPr>
          <w:p w14:paraId="585F0582" w14:textId="19F64696" w:rsidR="007A3424" w:rsidRPr="00D56C33" w:rsidRDefault="007A3424" w:rsidP="00CA444D">
            <w:pPr>
              <w:rPr>
                <w:b/>
              </w:rPr>
            </w:pPr>
            <w:r w:rsidRPr="00D56C33">
              <w:rPr>
                <w:b/>
              </w:rPr>
              <w:t>Noteikumu projekta anotācija</w:t>
            </w:r>
          </w:p>
        </w:tc>
        <w:tc>
          <w:tcPr>
            <w:tcW w:w="3987" w:type="dxa"/>
            <w:tcBorders>
              <w:top w:val="single" w:sz="4" w:space="0" w:color="auto"/>
              <w:left w:val="single" w:sz="4" w:space="0" w:color="auto"/>
              <w:bottom w:val="single" w:sz="4" w:space="0" w:color="auto"/>
              <w:right w:val="single" w:sz="4" w:space="0" w:color="auto"/>
            </w:tcBorders>
          </w:tcPr>
          <w:p w14:paraId="68891EFB" w14:textId="22B9EA39" w:rsidR="007A3424" w:rsidRPr="00D56C33" w:rsidRDefault="007A3424" w:rsidP="007A3424">
            <w:pPr>
              <w:pStyle w:val="naisc"/>
              <w:spacing w:before="0" w:after="0"/>
              <w:jc w:val="both"/>
              <w:rPr>
                <w:b/>
              </w:rPr>
            </w:pPr>
            <w:r w:rsidRPr="00D56C33">
              <w:rPr>
                <w:b/>
              </w:rPr>
              <w:t xml:space="preserve">Finanšu ministrijas </w:t>
            </w:r>
            <w:r>
              <w:rPr>
                <w:b/>
              </w:rPr>
              <w:t>1</w:t>
            </w:r>
            <w:r w:rsidR="00706B94">
              <w:rPr>
                <w:b/>
              </w:rPr>
              <w:t>2</w:t>
            </w:r>
            <w:r w:rsidRPr="00D56C33">
              <w:rPr>
                <w:b/>
              </w:rPr>
              <w:t>.0</w:t>
            </w:r>
            <w:r>
              <w:rPr>
                <w:b/>
              </w:rPr>
              <w:t>7</w:t>
            </w:r>
            <w:r w:rsidRPr="00D56C33">
              <w:rPr>
                <w:b/>
              </w:rPr>
              <w:t xml:space="preserve">.2019. </w:t>
            </w:r>
            <w:r w:rsidR="009C770F">
              <w:rPr>
                <w:b/>
              </w:rPr>
              <w:t>priekšlikums</w:t>
            </w:r>
            <w:r w:rsidRPr="00D56C33">
              <w:rPr>
                <w:b/>
              </w:rPr>
              <w:t>:</w:t>
            </w:r>
          </w:p>
          <w:p w14:paraId="381702A7" w14:textId="77777777" w:rsidR="007A3424" w:rsidRDefault="007A3424" w:rsidP="007A3424">
            <w:pPr>
              <w:pStyle w:val="naisc"/>
              <w:jc w:val="both"/>
            </w:pPr>
            <w:r>
              <w:t>“Vēršam uzmanību, ka anotācijas III sadaļā “Tiesību akta projekta ietekme uz valsts budžetu un pašvaldību budžetiem” sniegtā informācija nesakrīt ar Ministru kabineta 2019.gada 23.aprīļa sēdē izskatītā informatīvā ziņojuma “Par Kohēzijas politikas Eiropas Savienības fondu investīciju aktualitātēm līdz 2018.gada 31.decembrim un 2019.gada februāra ikmēneša operatīvā informācija” 2.pielikumā “Prognoze veiktajiem maksājumiem projektu finansējuma saņēmējiem 2019. un turpmākajos gados, ES fondu finansējums” sniegto informāciju par 4.2.1.1.pasākuma “Veicināt energoefektivitātes paaugstināšanu dzīvojamās ēkās” prognozētajiem maksājumiem, līdz ar to lūdzam precizēt minēto anotācijas sadaļu.</w:t>
            </w:r>
          </w:p>
          <w:p w14:paraId="50634097" w14:textId="360E19A2" w:rsidR="004833EC" w:rsidRPr="004833EC" w:rsidRDefault="007A3424" w:rsidP="007A3424">
            <w:pPr>
              <w:pStyle w:val="naisc"/>
              <w:spacing w:before="0" w:after="0"/>
              <w:jc w:val="both"/>
            </w:pPr>
            <w:r>
              <w:t xml:space="preserve">Tāpat vēršam uzmanību, ka noteikumu projekta 11.punkts paredz pagarināt 4.2.1.1.pasākuma īstenošanu līdz 2023.gadam, kam potenciāli būtu </w:t>
            </w:r>
            <w:r>
              <w:lastRenderedPageBreak/>
              <w:t>jāietekmē arī prognozēto ieņēmumu un izdevumu sadalījumu pa gadiem.”</w:t>
            </w:r>
          </w:p>
        </w:tc>
        <w:tc>
          <w:tcPr>
            <w:tcW w:w="3827" w:type="dxa"/>
            <w:tcBorders>
              <w:top w:val="single" w:sz="4" w:space="0" w:color="auto"/>
              <w:left w:val="single" w:sz="4" w:space="0" w:color="auto"/>
              <w:bottom w:val="single" w:sz="4" w:space="0" w:color="auto"/>
              <w:right w:val="single" w:sz="4" w:space="0" w:color="auto"/>
            </w:tcBorders>
          </w:tcPr>
          <w:p w14:paraId="3D4501AB" w14:textId="77777777" w:rsidR="007A3424" w:rsidRDefault="007A3424" w:rsidP="007A3424">
            <w:pPr>
              <w:pStyle w:val="naisc"/>
              <w:spacing w:before="0" w:after="0"/>
              <w:rPr>
                <w:b/>
              </w:rPr>
            </w:pPr>
            <w:r>
              <w:rPr>
                <w:b/>
              </w:rPr>
              <w:lastRenderedPageBreak/>
              <w:t>Ņemts vērā</w:t>
            </w:r>
          </w:p>
          <w:p w14:paraId="0AB1BE12" w14:textId="77777777" w:rsidR="007A3424" w:rsidRDefault="007A3424" w:rsidP="00CA444D">
            <w:pPr>
              <w:pStyle w:val="naisc"/>
              <w:spacing w:before="0" w:after="0"/>
              <w:rPr>
                <w:b/>
              </w:rPr>
            </w:pPr>
          </w:p>
        </w:tc>
        <w:tc>
          <w:tcPr>
            <w:tcW w:w="3118" w:type="dxa"/>
            <w:tcBorders>
              <w:top w:val="single" w:sz="4" w:space="0" w:color="auto"/>
              <w:left w:val="single" w:sz="4" w:space="0" w:color="auto"/>
              <w:bottom w:val="single" w:sz="4" w:space="0" w:color="auto"/>
            </w:tcBorders>
          </w:tcPr>
          <w:p w14:paraId="5FD56A84" w14:textId="613298E4" w:rsidR="007A3424" w:rsidRDefault="007A3424" w:rsidP="00CA444D">
            <w:pPr>
              <w:jc w:val="both"/>
              <w:rPr>
                <w:b/>
              </w:rPr>
            </w:pPr>
            <w:r w:rsidRPr="00780B5D">
              <w:rPr>
                <w:b/>
              </w:rPr>
              <w:t>Precizēt</w:t>
            </w:r>
            <w:r>
              <w:rPr>
                <w:b/>
              </w:rPr>
              <w:t>a</w:t>
            </w:r>
            <w:r w:rsidRPr="00780B5D" w:rsidDel="004E37AA">
              <w:rPr>
                <w:b/>
              </w:rPr>
              <w:t xml:space="preserve"> </w:t>
            </w:r>
            <w:r w:rsidRPr="00780B5D">
              <w:rPr>
                <w:b/>
              </w:rPr>
              <w:t xml:space="preserve">Anotācijas </w:t>
            </w:r>
            <w:r>
              <w:rPr>
                <w:b/>
              </w:rPr>
              <w:t>II</w:t>
            </w:r>
            <w:r w:rsidRPr="00780B5D">
              <w:rPr>
                <w:b/>
              </w:rPr>
              <w:t>I sadaļa “</w:t>
            </w:r>
            <w:r w:rsidRPr="007A3424">
              <w:rPr>
                <w:b/>
              </w:rPr>
              <w:t>Tiesību akta projekta ietekme uz valsts budžetu un pašvaldību budžetiem</w:t>
            </w:r>
            <w:r w:rsidRPr="00780B5D">
              <w:rPr>
                <w:b/>
              </w:rPr>
              <w:t>”</w:t>
            </w:r>
            <w:r>
              <w:rPr>
                <w:b/>
              </w:rPr>
              <w:t>.</w:t>
            </w:r>
          </w:p>
        </w:tc>
      </w:tr>
      <w:tr w:rsidR="00C45270" w:rsidRPr="00CC4FF7" w14:paraId="6CBE5DAD" w14:textId="77777777" w:rsidTr="00BA11CC">
        <w:tc>
          <w:tcPr>
            <w:tcW w:w="716" w:type="dxa"/>
            <w:tcBorders>
              <w:top w:val="single" w:sz="4" w:space="0" w:color="auto"/>
              <w:left w:val="single" w:sz="4" w:space="0" w:color="auto"/>
              <w:bottom w:val="single" w:sz="4" w:space="0" w:color="auto"/>
              <w:right w:val="single" w:sz="4" w:space="0" w:color="auto"/>
            </w:tcBorders>
          </w:tcPr>
          <w:p w14:paraId="46973E26" w14:textId="77777777" w:rsidR="00C45270" w:rsidRPr="00CC4FF7" w:rsidRDefault="00C45270" w:rsidP="00CA444D">
            <w:pPr>
              <w:pStyle w:val="ListParagraph"/>
              <w:numPr>
                <w:ilvl w:val="0"/>
                <w:numId w:val="1"/>
              </w:numPr>
              <w:spacing w:after="0" w:line="240" w:lineRule="auto"/>
              <w:ind w:left="357" w:hanging="357"/>
              <w:rPr>
                <w:rFonts w:ascii="Times New Roman" w:hAnsi="Times New Roman"/>
              </w:rPr>
            </w:pPr>
          </w:p>
        </w:tc>
        <w:tc>
          <w:tcPr>
            <w:tcW w:w="3086" w:type="dxa"/>
            <w:tcBorders>
              <w:top w:val="single" w:sz="4" w:space="0" w:color="auto"/>
              <w:left w:val="single" w:sz="4" w:space="0" w:color="auto"/>
              <w:bottom w:val="single" w:sz="4" w:space="0" w:color="auto"/>
              <w:right w:val="single" w:sz="4" w:space="0" w:color="auto"/>
            </w:tcBorders>
          </w:tcPr>
          <w:p w14:paraId="33381013" w14:textId="49DA6875" w:rsidR="00C45270" w:rsidRPr="00D56C33" w:rsidRDefault="00C45270" w:rsidP="00CA444D">
            <w:pPr>
              <w:rPr>
                <w:b/>
              </w:rPr>
            </w:pPr>
            <w:r w:rsidRPr="00D56C33">
              <w:rPr>
                <w:b/>
              </w:rPr>
              <w:t>Noteikumu projekta anotācija</w:t>
            </w:r>
          </w:p>
        </w:tc>
        <w:tc>
          <w:tcPr>
            <w:tcW w:w="3987" w:type="dxa"/>
            <w:tcBorders>
              <w:top w:val="single" w:sz="4" w:space="0" w:color="auto"/>
              <w:left w:val="single" w:sz="4" w:space="0" w:color="auto"/>
              <w:bottom w:val="single" w:sz="4" w:space="0" w:color="auto"/>
              <w:right w:val="single" w:sz="4" w:space="0" w:color="auto"/>
            </w:tcBorders>
          </w:tcPr>
          <w:p w14:paraId="738BE780" w14:textId="0F491D31" w:rsidR="00C45270" w:rsidRPr="00D56C33" w:rsidRDefault="00C45270" w:rsidP="00C45270">
            <w:pPr>
              <w:pStyle w:val="naisc"/>
              <w:spacing w:before="0" w:after="0"/>
              <w:jc w:val="both"/>
              <w:rPr>
                <w:b/>
              </w:rPr>
            </w:pPr>
            <w:r w:rsidRPr="00D56C33">
              <w:rPr>
                <w:b/>
              </w:rPr>
              <w:t xml:space="preserve">Finanšu ministrijas </w:t>
            </w:r>
            <w:r>
              <w:rPr>
                <w:b/>
              </w:rPr>
              <w:t>26</w:t>
            </w:r>
            <w:r w:rsidRPr="00D56C33">
              <w:rPr>
                <w:b/>
              </w:rPr>
              <w:t>.0</w:t>
            </w:r>
            <w:r>
              <w:rPr>
                <w:b/>
              </w:rPr>
              <w:t>7</w:t>
            </w:r>
            <w:r w:rsidRPr="00D56C33">
              <w:rPr>
                <w:b/>
              </w:rPr>
              <w:t xml:space="preserve">.2019. </w:t>
            </w:r>
            <w:r>
              <w:rPr>
                <w:b/>
              </w:rPr>
              <w:t>priekšlikums</w:t>
            </w:r>
            <w:r w:rsidRPr="00D56C33">
              <w:rPr>
                <w:b/>
              </w:rPr>
              <w:t>:</w:t>
            </w:r>
          </w:p>
          <w:p w14:paraId="08CD66CC" w14:textId="406C3977" w:rsidR="00C45270" w:rsidRPr="00C45270" w:rsidRDefault="00C45270" w:rsidP="007A3424">
            <w:pPr>
              <w:pStyle w:val="naisc"/>
              <w:spacing w:before="0" w:after="0"/>
              <w:jc w:val="both"/>
              <w:rPr>
                <w:bCs/>
              </w:rPr>
            </w:pPr>
            <w:r>
              <w:rPr>
                <w:bCs/>
              </w:rPr>
              <w:t>“</w:t>
            </w:r>
            <w:r w:rsidRPr="00C45270">
              <w:rPr>
                <w:bCs/>
              </w:rPr>
              <w:t>Lūdzam precizēt anotācijas III sadaļu “Tiesību akta projekta ietekme uz valsts budžetu un pašvaldību budžetiem” atbilstoši 2019.gada 25.jūlijā nosūtītajai anotācijas datnei uz elektronisko pasta adresi: Janis.Silins@em.gov.lv.</w:t>
            </w:r>
            <w:r>
              <w:rPr>
                <w:bCs/>
              </w:rPr>
              <w:t>”</w:t>
            </w:r>
          </w:p>
        </w:tc>
        <w:tc>
          <w:tcPr>
            <w:tcW w:w="3827" w:type="dxa"/>
            <w:tcBorders>
              <w:top w:val="single" w:sz="4" w:space="0" w:color="auto"/>
              <w:left w:val="single" w:sz="4" w:space="0" w:color="auto"/>
              <w:bottom w:val="single" w:sz="4" w:space="0" w:color="auto"/>
              <w:right w:val="single" w:sz="4" w:space="0" w:color="auto"/>
            </w:tcBorders>
          </w:tcPr>
          <w:p w14:paraId="07FD830A" w14:textId="77777777" w:rsidR="00C45270" w:rsidRDefault="00C45270" w:rsidP="00C45270">
            <w:pPr>
              <w:pStyle w:val="naisc"/>
              <w:spacing w:before="0" w:after="0"/>
              <w:rPr>
                <w:b/>
              </w:rPr>
            </w:pPr>
            <w:r>
              <w:rPr>
                <w:b/>
              </w:rPr>
              <w:t>Ņemts vērā</w:t>
            </w:r>
          </w:p>
          <w:p w14:paraId="4AED54EF" w14:textId="77777777" w:rsidR="00C45270" w:rsidRDefault="00C45270" w:rsidP="007A3424">
            <w:pPr>
              <w:pStyle w:val="naisc"/>
              <w:spacing w:before="0" w:after="0"/>
              <w:rPr>
                <w:b/>
              </w:rPr>
            </w:pPr>
          </w:p>
        </w:tc>
        <w:tc>
          <w:tcPr>
            <w:tcW w:w="3118" w:type="dxa"/>
            <w:tcBorders>
              <w:top w:val="single" w:sz="4" w:space="0" w:color="auto"/>
              <w:left w:val="single" w:sz="4" w:space="0" w:color="auto"/>
              <w:bottom w:val="single" w:sz="4" w:space="0" w:color="auto"/>
            </w:tcBorders>
          </w:tcPr>
          <w:p w14:paraId="0DE030D7" w14:textId="373280FA" w:rsidR="00C45270" w:rsidRPr="00780B5D" w:rsidRDefault="00C45270" w:rsidP="00CA444D">
            <w:pPr>
              <w:jc w:val="both"/>
              <w:rPr>
                <w:b/>
              </w:rPr>
            </w:pPr>
            <w:r w:rsidRPr="00780B5D">
              <w:rPr>
                <w:b/>
              </w:rPr>
              <w:t>Precizēt</w:t>
            </w:r>
            <w:r>
              <w:rPr>
                <w:b/>
              </w:rPr>
              <w:t>a</w:t>
            </w:r>
            <w:r w:rsidRPr="00780B5D" w:rsidDel="004E37AA">
              <w:rPr>
                <w:b/>
              </w:rPr>
              <w:t xml:space="preserve"> </w:t>
            </w:r>
            <w:r w:rsidRPr="00780B5D">
              <w:rPr>
                <w:b/>
              </w:rPr>
              <w:t xml:space="preserve">Anotācijas </w:t>
            </w:r>
            <w:r>
              <w:rPr>
                <w:b/>
              </w:rPr>
              <w:t>II</w:t>
            </w:r>
            <w:r w:rsidRPr="00780B5D">
              <w:rPr>
                <w:b/>
              </w:rPr>
              <w:t>I sadaļa “</w:t>
            </w:r>
            <w:r w:rsidRPr="007A3424">
              <w:rPr>
                <w:b/>
              </w:rPr>
              <w:t>Tiesību akta projekta ietekme uz valsts budžetu un pašvaldību budžetiem</w:t>
            </w:r>
            <w:r w:rsidRPr="00780B5D">
              <w:rPr>
                <w:b/>
              </w:rPr>
              <w:t>”</w:t>
            </w:r>
            <w:r>
              <w:rPr>
                <w:b/>
              </w:rPr>
              <w:t>.</w:t>
            </w:r>
          </w:p>
        </w:tc>
      </w:tr>
    </w:tbl>
    <w:p w14:paraId="2290527F" w14:textId="77777777" w:rsidR="00D67795" w:rsidRPr="00712B66" w:rsidRDefault="00D67795" w:rsidP="001C4923">
      <w:pPr>
        <w:pStyle w:val="naisf"/>
        <w:spacing w:before="0" w:after="0"/>
        <w:ind w:firstLine="0"/>
        <w:jc w:val="center"/>
        <w:rPr>
          <w:b/>
        </w:rPr>
      </w:pPr>
    </w:p>
    <w:p w14:paraId="0FA95A41" w14:textId="77777777" w:rsidR="001C4923" w:rsidRPr="00712B66" w:rsidRDefault="001C4923" w:rsidP="001C4923">
      <w:pPr>
        <w:pStyle w:val="naisf"/>
        <w:spacing w:before="0" w:after="0"/>
        <w:ind w:firstLine="720"/>
      </w:pPr>
    </w:p>
    <w:tbl>
      <w:tblPr>
        <w:tblpPr w:leftFromText="180" w:rightFromText="180" w:vertAnchor="text" w:horzAnchor="margin" w:tblpY="33"/>
        <w:tblOverlap w:val="never"/>
        <w:tblW w:w="0" w:type="auto"/>
        <w:tblLook w:val="00A0" w:firstRow="1" w:lastRow="0" w:firstColumn="1" w:lastColumn="0" w:noHBand="0" w:noVBand="0"/>
      </w:tblPr>
      <w:tblGrid>
        <w:gridCol w:w="8199"/>
      </w:tblGrid>
      <w:tr w:rsidR="001B797B" w:rsidRPr="001C4923" w14:paraId="22185E2F" w14:textId="77777777" w:rsidTr="008D5E41">
        <w:trPr>
          <w:trHeight w:val="583"/>
        </w:trPr>
        <w:tc>
          <w:tcPr>
            <w:tcW w:w="8199" w:type="dxa"/>
            <w:tcBorders>
              <w:bottom w:val="single" w:sz="4" w:space="0" w:color="000000"/>
            </w:tcBorders>
          </w:tcPr>
          <w:p w14:paraId="69B25DB8" w14:textId="44193303" w:rsidR="0041134C" w:rsidRDefault="0041134C" w:rsidP="00D67795">
            <w:pPr>
              <w:rPr>
                <w:sz w:val="22"/>
                <w:szCs w:val="22"/>
              </w:rPr>
            </w:pPr>
          </w:p>
          <w:p w14:paraId="089DA039" w14:textId="3C86ACFE" w:rsidR="001B797B" w:rsidRPr="001C4923" w:rsidRDefault="00E40B66" w:rsidP="001B797B">
            <w:pPr>
              <w:jc w:val="center"/>
              <w:rPr>
                <w:sz w:val="22"/>
                <w:szCs w:val="22"/>
              </w:rPr>
            </w:pPr>
            <w:r>
              <w:rPr>
                <w:sz w:val="22"/>
                <w:szCs w:val="22"/>
              </w:rPr>
              <w:t>Jānis Siliņš</w:t>
            </w:r>
          </w:p>
        </w:tc>
      </w:tr>
      <w:tr w:rsidR="001B797B" w:rsidRPr="001C4923" w14:paraId="5EF8CA84" w14:textId="77777777" w:rsidTr="008D5E41">
        <w:trPr>
          <w:trHeight w:val="385"/>
        </w:trPr>
        <w:tc>
          <w:tcPr>
            <w:tcW w:w="8199" w:type="dxa"/>
            <w:tcBorders>
              <w:top w:val="single" w:sz="4" w:space="0" w:color="000000"/>
            </w:tcBorders>
          </w:tcPr>
          <w:p w14:paraId="1BE202C0" w14:textId="77777777" w:rsidR="001B797B" w:rsidRDefault="001B797B" w:rsidP="001B797B">
            <w:pPr>
              <w:jc w:val="center"/>
              <w:rPr>
                <w:sz w:val="22"/>
                <w:szCs w:val="22"/>
              </w:rPr>
            </w:pPr>
            <w:r w:rsidRPr="001C4923">
              <w:rPr>
                <w:sz w:val="22"/>
                <w:szCs w:val="22"/>
              </w:rPr>
              <w:t>(par projektu atbildīgās amatpersonas vārds un uzvārds)</w:t>
            </w:r>
          </w:p>
          <w:p w14:paraId="489032C7" w14:textId="77777777" w:rsidR="001B797B" w:rsidRPr="001C4923" w:rsidRDefault="001B797B" w:rsidP="001B797B">
            <w:pPr>
              <w:jc w:val="center"/>
              <w:rPr>
                <w:sz w:val="22"/>
                <w:szCs w:val="22"/>
              </w:rPr>
            </w:pPr>
          </w:p>
        </w:tc>
      </w:tr>
      <w:tr w:rsidR="001B797B" w:rsidRPr="001C4923" w14:paraId="4607AA84" w14:textId="77777777" w:rsidTr="008D5E41">
        <w:trPr>
          <w:trHeight w:val="187"/>
        </w:trPr>
        <w:tc>
          <w:tcPr>
            <w:tcW w:w="8199" w:type="dxa"/>
            <w:tcBorders>
              <w:bottom w:val="single" w:sz="4" w:space="0" w:color="000000"/>
            </w:tcBorders>
          </w:tcPr>
          <w:p w14:paraId="097E1C13" w14:textId="2CE2B8C9" w:rsidR="001B797B" w:rsidRPr="001C4923" w:rsidRDefault="001B797B" w:rsidP="001B797B">
            <w:pPr>
              <w:jc w:val="center"/>
              <w:rPr>
                <w:sz w:val="22"/>
                <w:szCs w:val="22"/>
              </w:rPr>
            </w:pPr>
            <w:r>
              <w:rPr>
                <w:sz w:val="22"/>
                <w:szCs w:val="22"/>
              </w:rPr>
              <w:t>Enerģētikas finanšu instrumentu nodaļas v</w:t>
            </w:r>
            <w:r w:rsidR="001C720A">
              <w:rPr>
                <w:sz w:val="22"/>
                <w:szCs w:val="22"/>
              </w:rPr>
              <w:t>ecāk</w:t>
            </w:r>
            <w:r w:rsidR="00E40B66">
              <w:rPr>
                <w:sz w:val="22"/>
                <w:szCs w:val="22"/>
              </w:rPr>
              <w:t>ais</w:t>
            </w:r>
            <w:r w:rsidR="001C720A">
              <w:rPr>
                <w:sz w:val="22"/>
                <w:szCs w:val="22"/>
              </w:rPr>
              <w:t xml:space="preserve"> ekspert</w:t>
            </w:r>
            <w:r w:rsidR="00E40B66">
              <w:rPr>
                <w:sz w:val="22"/>
                <w:szCs w:val="22"/>
              </w:rPr>
              <w:t>s</w:t>
            </w:r>
          </w:p>
        </w:tc>
      </w:tr>
      <w:tr w:rsidR="001B797B" w:rsidRPr="001C4923" w14:paraId="5E2CA7FB" w14:textId="77777777" w:rsidTr="008D5E41">
        <w:trPr>
          <w:trHeight w:val="385"/>
        </w:trPr>
        <w:tc>
          <w:tcPr>
            <w:tcW w:w="8199" w:type="dxa"/>
            <w:tcBorders>
              <w:top w:val="single" w:sz="4" w:space="0" w:color="000000"/>
            </w:tcBorders>
          </w:tcPr>
          <w:p w14:paraId="2F256AD6" w14:textId="77777777" w:rsidR="001B797B" w:rsidRDefault="001B797B" w:rsidP="001B797B">
            <w:pPr>
              <w:jc w:val="center"/>
              <w:rPr>
                <w:sz w:val="22"/>
                <w:szCs w:val="22"/>
              </w:rPr>
            </w:pPr>
            <w:r w:rsidRPr="001C4923">
              <w:rPr>
                <w:sz w:val="22"/>
                <w:szCs w:val="22"/>
              </w:rPr>
              <w:t>(amats)</w:t>
            </w:r>
          </w:p>
          <w:p w14:paraId="49806843" w14:textId="77777777" w:rsidR="001B797B" w:rsidRPr="001C4923" w:rsidRDefault="001B797B" w:rsidP="001B797B">
            <w:pPr>
              <w:jc w:val="center"/>
              <w:rPr>
                <w:sz w:val="22"/>
                <w:szCs w:val="22"/>
              </w:rPr>
            </w:pPr>
          </w:p>
        </w:tc>
      </w:tr>
      <w:tr w:rsidR="001B797B" w:rsidRPr="001C4923" w14:paraId="7EF0891C" w14:textId="77777777" w:rsidTr="008D5E41">
        <w:trPr>
          <w:trHeight w:val="197"/>
        </w:trPr>
        <w:tc>
          <w:tcPr>
            <w:tcW w:w="8199" w:type="dxa"/>
            <w:tcBorders>
              <w:bottom w:val="single" w:sz="4" w:space="0" w:color="000000"/>
            </w:tcBorders>
          </w:tcPr>
          <w:p w14:paraId="7235399F" w14:textId="33B99234" w:rsidR="001B797B" w:rsidRPr="001C4923" w:rsidRDefault="001B797B" w:rsidP="001B797B">
            <w:pPr>
              <w:jc w:val="center"/>
              <w:rPr>
                <w:sz w:val="22"/>
                <w:szCs w:val="22"/>
              </w:rPr>
            </w:pPr>
            <w:r>
              <w:rPr>
                <w:sz w:val="22"/>
                <w:szCs w:val="22"/>
              </w:rPr>
              <w:t>67013</w:t>
            </w:r>
            <w:r w:rsidR="00E40B66">
              <w:rPr>
                <w:sz w:val="22"/>
                <w:szCs w:val="22"/>
              </w:rPr>
              <w:t>005</w:t>
            </w:r>
          </w:p>
        </w:tc>
      </w:tr>
      <w:tr w:rsidR="001B797B" w:rsidRPr="001C4923" w14:paraId="2857CAAB" w14:textId="77777777" w:rsidTr="008D5E41">
        <w:trPr>
          <w:trHeight w:val="385"/>
        </w:trPr>
        <w:tc>
          <w:tcPr>
            <w:tcW w:w="8199" w:type="dxa"/>
            <w:tcBorders>
              <w:top w:val="single" w:sz="4" w:space="0" w:color="000000"/>
            </w:tcBorders>
          </w:tcPr>
          <w:p w14:paraId="6CC8FD37" w14:textId="77777777" w:rsidR="001B797B" w:rsidRDefault="001B797B" w:rsidP="001B797B">
            <w:pPr>
              <w:jc w:val="center"/>
              <w:rPr>
                <w:sz w:val="22"/>
                <w:szCs w:val="22"/>
              </w:rPr>
            </w:pPr>
            <w:r w:rsidRPr="001C4923">
              <w:rPr>
                <w:sz w:val="22"/>
                <w:szCs w:val="22"/>
              </w:rPr>
              <w:t>(tālruņa un faksa numurs)</w:t>
            </w:r>
          </w:p>
          <w:p w14:paraId="75A72588" w14:textId="77777777" w:rsidR="001B797B" w:rsidRPr="001C4923" w:rsidRDefault="001B797B" w:rsidP="001B797B">
            <w:pPr>
              <w:jc w:val="center"/>
              <w:rPr>
                <w:sz w:val="22"/>
                <w:szCs w:val="22"/>
              </w:rPr>
            </w:pPr>
          </w:p>
        </w:tc>
      </w:tr>
      <w:tr w:rsidR="001B797B" w:rsidRPr="001C4923" w14:paraId="5E851CD1" w14:textId="77777777" w:rsidTr="008D5E41">
        <w:trPr>
          <w:trHeight w:val="197"/>
        </w:trPr>
        <w:tc>
          <w:tcPr>
            <w:tcW w:w="8199" w:type="dxa"/>
            <w:tcBorders>
              <w:bottom w:val="single" w:sz="4" w:space="0" w:color="000000"/>
            </w:tcBorders>
          </w:tcPr>
          <w:p w14:paraId="4B06CA20" w14:textId="7A48D6CA" w:rsidR="001B797B" w:rsidRPr="001C4923" w:rsidRDefault="00D64EAA" w:rsidP="001B797B">
            <w:pPr>
              <w:jc w:val="center"/>
              <w:rPr>
                <w:sz w:val="22"/>
                <w:szCs w:val="22"/>
              </w:rPr>
            </w:pPr>
            <w:hyperlink r:id="rId8" w:history="1">
              <w:r w:rsidR="0027009E" w:rsidRPr="0027009E">
                <w:rPr>
                  <w:rStyle w:val="Hyperlink"/>
                  <w:sz w:val="22"/>
                  <w:szCs w:val="22"/>
                </w:rPr>
                <w:t>Janis.Silins@em.gov.lv</w:t>
              </w:r>
            </w:hyperlink>
            <w:r w:rsidR="001B797B">
              <w:rPr>
                <w:sz w:val="22"/>
                <w:szCs w:val="22"/>
              </w:rPr>
              <w:t xml:space="preserve"> </w:t>
            </w:r>
          </w:p>
        </w:tc>
      </w:tr>
      <w:tr w:rsidR="001B797B" w:rsidRPr="001C4923" w14:paraId="6BF72725" w14:textId="77777777" w:rsidTr="008D5E41">
        <w:trPr>
          <w:trHeight w:val="187"/>
        </w:trPr>
        <w:tc>
          <w:tcPr>
            <w:tcW w:w="8199" w:type="dxa"/>
            <w:tcBorders>
              <w:top w:val="single" w:sz="4" w:space="0" w:color="000000"/>
            </w:tcBorders>
          </w:tcPr>
          <w:p w14:paraId="33AF6D0C" w14:textId="77777777" w:rsidR="001B797B" w:rsidRPr="001C4923" w:rsidRDefault="001B797B" w:rsidP="001B797B">
            <w:pPr>
              <w:jc w:val="center"/>
              <w:rPr>
                <w:sz w:val="22"/>
                <w:szCs w:val="22"/>
              </w:rPr>
            </w:pPr>
            <w:r w:rsidRPr="001C4923">
              <w:rPr>
                <w:sz w:val="22"/>
                <w:szCs w:val="22"/>
              </w:rPr>
              <w:t>(e-pasta adrese)</w:t>
            </w:r>
          </w:p>
        </w:tc>
      </w:tr>
    </w:tbl>
    <w:p w14:paraId="03A5A2B8" w14:textId="77777777" w:rsidR="0088699C" w:rsidRDefault="0088699C" w:rsidP="001C4923">
      <w:pPr>
        <w:pStyle w:val="naisf"/>
        <w:tabs>
          <w:tab w:val="left" w:pos="6840"/>
        </w:tabs>
        <w:spacing w:before="0" w:after="0"/>
        <w:ind w:firstLine="0"/>
        <w:rPr>
          <w:sz w:val="22"/>
          <w:szCs w:val="22"/>
        </w:rPr>
      </w:pPr>
    </w:p>
    <w:p w14:paraId="04600C18" w14:textId="77777777" w:rsidR="0088699C" w:rsidRPr="0088699C" w:rsidRDefault="0088699C" w:rsidP="0088699C"/>
    <w:p w14:paraId="73BC9E60" w14:textId="77777777" w:rsidR="0088699C" w:rsidRPr="0088699C" w:rsidRDefault="0088699C" w:rsidP="0088699C"/>
    <w:p w14:paraId="2614C8C8" w14:textId="77777777" w:rsidR="0088699C" w:rsidRPr="0088699C" w:rsidRDefault="0088699C" w:rsidP="0088699C"/>
    <w:p w14:paraId="06675689" w14:textId="77777777" w:rsidR="0088699C" w:rsidRDefault="0088699C" w:rsidP="001C4923">
      <w:pPr>
        <w:pStyle w:val="naisf"/>
        <w:tabs>
          <w:tab w:val="left" w:pos="6840"/>
        </w:tabs>
        <w:spacing w:before="0" w:after="0"/>
        <w:ind w:firstLine="0"/>
        <w:rPr>
          <w:sz w:val="22"/>
          <w:szCs w:val="22"/>
        </w:rPr>
      </w:pPr>
    </w:p>
    <w:p w14:paraId="456F69E3" w14:textId="77777777" w:rsidR="00C4513F" w:rsidRDefault="0088699C" w:rsidP="00C4513F">
      <w:pPr>
        <w:pStyle w:val="naisf"/>
        <w:tabs>
          <w:tab w:val="left" w:pos="6840"/>
        </w:tabs>
        <w:spacing w:before="0" w:after="0"/>
        <w:ind w:firstLine="0"/>
        <w:rPr>
          <w:sz w:val="20"/>
          <w:szCs w:val="20"/>
        </w:rPr>
      </w:pPr>
      <w:r>
        <w:rPr>
          <w:sz w:val="22"/>
          <w:szCs w:val="22"/>
        </w:rPr>
        <w:br w:type="textWrapping" w:clear="all"/>
      </w:r>
    </w:p>
    <w:p w14:paraId="5E3DF212" w14:textId="77777777" w:rsidR="001B797B" w:rsidRDefault="001B797B" w:rsidP="00C4513F">
      <w:pPr>
        <w:pStyle w:val="naisf"/>
        <w:tabs>
          <w:tab w:val="left" w:pos="6840"/>
        </w:tabs>
        <w:spacing w:before="0" w:after="0"/>
        <w:ind w:firstLine="0"/>
        <w:rPr>
          <w:sz w:val="20"/>
          <w:szCs w:val="20"/>
        </w:rPr>
      </w:pPr>
    </w:p>
    <w:p w14:paraId="097C76C2" w14:textId="50AEDF89" w:rsidR="001C4923" w:rsidRPr="00C4513F" w:rsidRDefault="00903CD5" w:rsidP="00C4513F">
      <w:pPr>
        <w:pStyle w:val="naisf"/>
        <w:tabs>
          <w:tab w:val="left" w:pos="6840"/>
        </w:tabs>
        <w:spacing w:before="0" w:after="0"/>
        <w:ind w:firstLine="0"/>
        <w:rPr>
          <w:sz w:val="22"/>
          <w:szCs w:val="22"/>
        </w:rPr>
      </w:pPr>
      <w:r>
        <w:rPr>
          <w:sz w:val="20"/>
          <w:szCs w:val="20"/>
        </w:rPr>
        <w:t>Siliņš</w:t>
      </w:r>
    </w:p>
    <w:p w14:paraId="06E49844" w14:textId="4BEFC1F4" w:rsidR="001C4923" w:rsidRPr="001C4923" w:rsidRDefault="001C4923" w:rsidP="001C4923">
      <w:pPr>
        <w:jc w:val="both"/>
        <w:rPr>
          <w:sz w:val="20"/>
          <w:szCs w:val="20"/>
        </w:rPr>
      </w:pPr>
      <w:r w:rsidRPr="001C4923">
        <w:rPr>
          <w:sz w:val="20"/>
          <w:szCs w:val="20"/>
        </w:rPr>
        <w:t>Tel.: 67013</w:t>
      </w:r>
      <w:r w:rsidR="00E40B66">
        <w:rPr>
          <w:sz w:val="20"/>
          <w:szCs w:val="20"/>
        </w:rPr>
        <w:t>005</w:t>
      </w:r>
    </w:p>
    <w:p w14:paraId="7087E482" w14:textId="08C86B37" w:rsidR="006A6139" w:rsidRPr="003D6D21" w:rsidRDefault="001C4923" w:rsidP="003D6D21">
      <w:pPr>
        <w:jc w:val="both"/>
        <w:rPr>
          <w:sz w:val="20"/>
          <w:szCs w:val="20"/>
        </w:rPr>
      </w:pPr>
      <w:r w:rsidRPr="001C4923">
        <w:rPr>
          <w:sz w:val="20"/>
          <w:szCs w:val="20"/>
        </w:rPr>
        <w:t xml:space="preserve">e-pasts: </w:t>
      </w:r>
      <w:hyperlink r:id="rId9" w:history="1">
        <w:r w:rsidR="00E40B66" w:rsidRPr="005B44CF">
          <w:rPr>
            <w:rStyle w:val="Hyperlink"/>
            <w:sz w:val="20"/>
            <w:szCs w:val="20"/>
          </w:rPr>
          <w:t>Janis.Silins@em.gov.lv</w:t>
        </w:r>
      </w:hyperlink>
    </w:p>
    <w:sectPr w:rsidR="006A6139" w:rsidRPr="003D6D21" w:rsidSect="001C4923">
      <w:footerReference w:type="default" r:id="rId10"/>
      <w:pgSz w:w="16838" w:h="11906" w:orient="landscape" w:code="9"/>
      <w:pgMar w:top="1701" w:right="1134" w:bottom="1134" w:left="1134"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E775A" w14:textId="77777777" w:rsidR="00D81A87" w:rsidRDefault="00D81A87" w:rsidP="001C4923">
      <w:r>
        <w:separator/>
      </w:r>
    </w:p>
  </w:endnote>
  <w:endnote w:type="continuationSeparator" w:id="0">
    <w:p w14:paraId="71B2A6F9" w14:textId="77777777" w:rsidR="00D81A87" w:rsidRDefault="00D81A87" w:rsidP="001C49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79CA2" w14:textId="69565552" w:rsidR="00A32F75" w:rsidRPr="001C4923" w:rsidRDefault="00A32F75" w:rsidP="001C4923">
    <w:pPr>
      <w:pStyle w:val="Footer"/>
      <w:jc w:val="both"/>
      <w:rPr>
        <w:sz w:val="20"/>
        <w:szCs w:val="20"/>
      </w:rPr>
    </w:pPr>
    <w:r>
      <w:rPr>
        <w:sz w:val="20"/>
        <w:szCs w:val="20"/>
      </w:rPr>
      <w:t>EMIzz_</w:t>
    </w:r>
    <w:r w:rsidR="008F36BB">
      <w:rPr>
        <w:sz w:val="20"/>
        <w:szCs w:val="20"/>
      </w:rPr>
      <w:t>2</w:t>
    </w:r>
    <w:r w:rsidR="00BF3AB5">
      <w:rPr>
        <w:sz w:val="20"/>
        <w:szCs w:val="20"/>
      </w:rPr>
      <w:t>9</w:t>
    </w:r>
    <w:r>
      <w:rPr>
        <w:sz w:val="20"/>
        <w:szCs w:val="20"/>
      </w:rPr>
      <w:t>0</w:t>
    </w:r>
    <w:r w:rsidR="00C440C5">
      <w:rPr>
        <w:sz w:val="20"/>
        <w:szCs w:val="20"/>
      </w:rPr>
      <w:t>7</w:t>
    </w:r>
    <w:r>
      <w:rPr>
        <w:sz w:val="20"/>
        <w:szCs w:val="20"/>
      </w:rPr>
      <w:t>19_Groz160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0B44D" w14:textId="77777777" w:rsidR="00D81A87" w:rsidRDefault="00D81A87" w:rsidP="001C4923">
      <w:r>
        <w:separator/>
      </w:r>
    </w:p>
  </w:footnote>
  <w:footnote w:type="continuationSeparator" w:id="0">
    <w:p w14:paraId="10C634C9" w14:textId="77777777" w:rsidR="00D81A87" w:rsidRDefault="00D81A87" w:rsidP="001C4923">
      <w:r>
        <w:continuationSeparator/>
      </w:r>
    </w:p>
  </w:footnote>
  <w:footnote w:id="1">
    <w:p w14:paraId="74F26F7B" w14:textId="77777777" w:rsidR="0027009E" w:rsidRDefault="0027009E" w:rsidP="006531C9">
      <w:pPr>
        <w:pStyle w:val="FootnoteText"/>
      </w:pPr>
      <w:r>
        <w:rPr>
          <w:rStyle w:val="FootnoteReference"/>
        </w:rPr>
        <w:footnoteRef/>
      </w:r>
      <w:r>
        <w:t xml:space="preserve"> Latvijas Republikas Satversmes tiesas </w:t>
      </w:r>
      <w:r w:rsidRPr="00D03ACD">
        <w:t>2009. gada 26. novembra spriedums lietā Nr. 2009-08-01</w:t>
      </w:r>
      <w:r>
        <w:t xml:space="preserve">; Pieejams: </w:t>
      </w:r>
      <w:r w:rsidRPr="00D03ACD">
        <w:t>http://www.satv.tiesa.gov.lv/wp-content/uploads/2016/02/2009-08-01_Spriedums.pdf</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F1F99"/>
    <w:multiLevelType w:val="hybridMultilevel"/>
    <w:tmpl w:val="48EAD170"/>
    <w:lvl w:ilvl="0" w:tplc="53765E2C">
      <w:start w:val="1"/>
      <w:numFmt w:val="lowerLetter"/>
      <w:lvlText w:val="%1)"/>
      <w:lvlJc w:val="left"/>
      <w:pPr>
        <w:ind w:left="1634" w:hanging="360"/>
      </w:pPr>
      <w:rPr>
        <w:rFonts w:hint="default"/>
      </w:rPr>
    </w:lvl>
    <w:lvl w:ilvl="1" w:tplc="04260019" w:tentative="1">
      <w:start w:val="1"/>
      <w:numFmt w:val="lowerLetter"/>
      <w:lvlText w:val="%2."/>
      <w:lvlJc w:val="left"/>
      <w:pPr>
        <w:ind w:left="2354" w:hanging="360"/>
      </w:pPr>
    </w:lvl>
    <w:lvl w:ilvl="2" w:tplc="0426001B" w:tentative="1">
      <w:start w:val="1"/>
      <w:numFmt w:val="lowerRoman"/>
      <w:lvlText w:val="%3."/>
      <w:lvlJc w:val="right"/>
      <w:pPr>
        <w:ind w:left="3074" w:hanging="180"/>
      </w:pPr>
    </w:lvl>
    <w:lvl w:ilvl="3" w:tplc="0426000F" w:tentative="1">
      <w:start w:val="1"/>
      <w:numFmt w:val="decimal"/>
      <w:lvlText w:val="%4."/>
      <w:lvlJc w:val="left"/>
      <w:pPr>
        <w:ind w:left="3794" w:hanging="360"/>
      </w:pPr>
    </w:lvl>
    <w:lvl w:ilvl="4" w:tplc="04260019" w:tentative="1">
      <w:start w:val="1"/>
      <w:numFmt w:val="lowerLetter"/>
      <w:lvlText w:val="%5."/>
      <w:lvlJc w:val="left"/>
      <w:pPr>
        <w:ind w:left="4514" w:hanging="360"/>
      </w:pPr>
    </w:lvl>
    <w:lvl w:ilvl="5" w:tplc="0426001B" w:tentative="1">
      <w:start w:val="1"/>
      <w:numFmt w:val="lowerRoman"/>
      <w:lvlText w:val="%6."/>
      <w:lvlJc w:val="right"/>
      <w:pPr>
        <w:ind w:left="5234" w:hanging="180"/>
      </w:pPr>
    </w:lvl>
    <w:lvl w:ilvl="6" w:tplc="0426000F" w:tentative="1">
      <w:start w:val="1"/>
      <w:numFmt w:val="decimal"/>
      <w:lvlText w:val="%7."/>
      <w:lvlJc w:val="left"/>
      <w:pPr>
        <w:ind w:left="5954" w:hanging="360"/>
      </w:pPr>
    </w:lvl>
    <w:lvl w:ilvl="7" w:tplc="04260019" w:tentative="1">
      <w:start w:val="1"/>
      <w:numFmt w:val="lowerLetter"/>
      <w:lvlText w:val="%8."/>
      <w:lvlJc w:val="left"/>
      <w:pPr>
        <w:ind w:left="6674" w:hanging="360"/>
      </w:pPr>
    </w:lvl>
    <w:lvl w:ilvl="8" w:tplc="0426001B" w:tentative="1">
      <w:start w:val="1"/>
      <w:numFmt w:val="lowerRoman"/>
      <w:lvlText w:val="%9."/>
      <w:lvlJc w:val="right"/>
      <w:pPr>
        <w:ind w:left="7394" w:hanging="180"/>
      </w:pPr>
    </w:lvl>
  </w:abstractNum>
  <w:abstractNum w:abstractNumId="1" w15:restartNumberingAfterBreak="0">
    <w:nsid w:val="075D2952"/>
    <w:multiLevelType w:val="hybridMultilevel"/>
    <w:tmpl w:val="821871B2"/>
    <w:lvl w:ilvl="0" w:tplc="8FE84C68">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1AC000C4"/>
    <w:multiLevelType w:val="hybridMultilevel"/>
    <w:tmpl w:val="DA30F41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3" w15:restartNumberingAfterBreak="0">
    <w:nsid w:val="1B6F2BF4"/>
    <w:multiLevelType w:val="hybridMultilevel"/>
    <w:tmpl w:val="06D45934"/>
    <w:lvl w:ilvl="0" w:tplc="752A55CC">
      <w:start w:val="1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24A161F5"/>
    <w:multiLevelType w:val="hybridMultilevel"/>
    <w:tmpl w:val="45286508"/>
    <w:lvl w:ilvl="0" w:tplc="18245D86">
      <w:start w:val="1"/>
      <w:numFmt w:val="decimal"/>
      <w:lvlText w:val="%1."/>
      <w:lvlJc w:val="left"/>
      <w:pPr>
        <w:ind w:left="1099" w:hanging="39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5" w15:restartNumberingAfterBreak="0">
    <w:nsid w:val="2558631D"/>
    <w:multiLevelType w:val="hybridMultilevel"/>
    <w:tmpl w:val="3666773C"/>
    <w:lvl w:ilvl="0" w:tplc="C53AE702">
      <w:start w:val="1"/>
      <w:numFmt w:val="decimal"/>
      <w:lvlText w:val="%1."/>
      <w:lvlJc w:val="left"/>
      <w:pPr>
        <w:tabs>
          <w:tab w:val="num" w:pos="1192"/>
        </w:tabs>
        <w:ind w:left="1779" w:hanging="644"/>
      </w:pPr>
      <w:rPr>
        <w:rFonts w:hint="default"/>
        <w:sz w:val="24"/>
        <w:szCs w:val="24"/>
      </w:rPr>
    </w:lvl>
    <w:lvl w:ilvl="1" w:tplc="04260019">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6" w15:restartNumberingAfterBreak="0">
    <w:nsid w:val="28A62F72"/>
    <w:multiLevelType w:val="hybridMultilevel"/>
    <w:tmpl w:val="CE7600BC"/>
    <w:lvl w:ilvl="0" w:tplc="04260017">
      <w:start w:val="1"/>
      <w:numFmt w:val="lowerLetter"/>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7" w15:restartNumberingAfterBreak="0">
    <w:nsid w:val="2EE24DCA"/>
    <w:multiLevelType w:val="hybridMultilevel"/>
    <w:tmpl w:val="B7A483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0683806"/>
    <w:multiLevelType w:val="hybridMultilevel"/>
    <w:tmpl w:val="FF6A4C5C"/>
    <w:lvl w:ilvl="0" w:tplc="B95EF086">
      <w:start w:val="1"/>
      <w:numFmt w:val="decimal"/>
      <w:lvlText w:val="%1."/>
      <w:lvlJc w:val="left"/>
      <w:pPr>
        <w:ind w:left="1004" w:hanging="360"/>
      </w:pPr>
      <w:rPr>
        <w:i w:val="0"/>
        <w:color w:val="auto"/>
      </w:rPr>
    </w:lvl>
    <w:lvl w:ilvl="1" w:tplc="04260019" w:tentative="1">
      <w:start w:val="1"/>
      <w:numFmt w:val="lowerLetter"/>
      <w:lvlText w:val="%2."/>
      <w:lvlJc w:val="left"/>
      <w:pPr>
        <w:ind w:left="1724" w:hanging="360"/>
      </w:pPr>
    </w:lvl>
    <w:lvl w:ilvl="2" w:tplc="0426001B" w:tentative="1">
      <w:start w:val="1"/>
      <w:numFmt w:val="lowerRoman"/>
      <w:lvlText w:val="%3."/>
      <w:lvlJc w:val="right"/>
      <w:pPr>
        <w:ind w:left="2444" w:hanging="180"/>
      </w:pPr>
    </w:lvl>
    <w:lvl w:ilvl="3" w:tplc="0426000F" w:tentative="1">
      <w:start w:val="1"/>
      <w:numFmt w:val="decimal"/>
      <w:lvlText w:val="%4."/>
      <w:lvlJc w:val="left"/>
      <w:pPr>
        <w:ind w:left="3164" w:hanging="360"/>
      </w:pPr>
    </w:lvl>
    <w:lvl w:ilvl="4" w:tplc="04260019" w:tentative="1">
      <w:start w:val="1"/>
      <w:numFmt w:val="lowerLetter"/>
      <w:lvlText w:val="%5."/>
      <w:lvlJc w:val="left"/>
      <w:pPr>
        <w:ind w:left="3884" w:hanging="360"/>
      </w:pPr>
    </w:lvl>
    <w:lvl w:ilvl="5" w:tplc="0426001B" w:tentative="1">
      <w:start w:val="1"/>
      <w:numFmt w:val="lowerRoman"/>
      <w:lvlText w:val="%6."/>
      <w:lvlJc w:val="right"/>
      <w:pPr>
        <w:ind w:left="4604" w:hanging="180"/>
      </w:pPr>
    </w:lvl>
    <w:lvl w:ilvl="6" w:tplc="0426000F" w:tentative="1">
      <w:start w:val="1"/>
      <w:numFmt w:val="decimal"/>
      <w:lvlText w:val="%7."/>
      <w:lvlJc w:val="left"/>
      <w:pPr>
        <w:ind w:left="5324" w:hanging="360"/>
      </w:pPr>
    </w:lvl>
    <w:lvl w:ilvl="7" w:tplc="04260019" w:tentative="1">
      <w:start w:val="1"/>
      <w:numFmt w:val="lowerLetter"/>
      <w:lvlText w:val="%8."/>
      <w:lvlJc w:val="left"/>
      <w:pPr>
        <w:ind w:left="6044" w:hanging="360"/>
      </w:pPr>
    </w:lvl>
    <w:lvl w:ilvl="8" w:tplc="0426001B" w:tentative="1">
      <w:start w:val="1"/>
      <w:numFmt w:val="lowerRoman"/>
      <w:lvlText w:val="%9."/>
      <w:lvlJc w:val="right"/>
      <w:pPr>
        <w:ind w:left="6764" w:hanging="180"/>
      </w:pPr>
    </w:lvl>
  </w:abstractNum>
  <w:abstractNum w:abstractNumId="9" w15:restartNumberingAfterBreak="0">
    <w:nsid w:val="39117375"/>
    <w:multiLevelType w:val="hybridMultilevel"/>
    <w:tmpl w:val="6B5634D2"/>
    <w:lvl w:ilvl="0" w:tplc="B3F0AB74">
      <w:start w:val="1"/>
      <w:numFmt w:val="decimal"/>
      <w:lvlText w:val="%1."/>
      <w:lvlJc w:val="left"/>
      <w:pPr>
        <w:ind w:left="2532" w:hanging="360"/>
      </w:pPr>
      <w:rPr>
        <w:rFonts w:ascii="Times New Roman" w:eastAsia="Calibri" w:hAnsi="Times New Roman" w:cs="Calibri"/>
      </w:rPr>
    </w:lvl>
    <w:lvl w:ilvl="1" w:tplc="04260019">
      <w:start w:val="1"/>
      <w:numFmt w:val="lowerLetter"/>
      <w:lvlText w:val="%2."/>
      <w:lvlJc w:val="left"/>
      <w:pPr>
        <w:ind w:left="3252" w:hanging="360"/>
      </w:pPr>
    </w:lvl>
    <w:lvl w:ilvl="2" w:tplc="0426001B">
      <w:start w:val="1"/>
      <w:numFmt w:val="lowerRoman"/>
      <w:lvlText w:val="%3."/>
      <w:lvlJc w:val="right"/>
      <w:pPr>
        <w:ind w:left="3972" w:hanging="180"/>
      </w:pPr>
    </w:lvl>
    <w:lvl w:ilvl="3" w:tplc="0426000F">
      <w:start w:val="1"/>
      <w:numFmt w:val="decimal"/>
      <w:lvlText w:val="%4."/>
      <w:lvlJc w:val="left"/>
      <w:pPr>
        <w:ind w:left="4692" w:hanging="360"/>
      </w:pPr>
    </w:lvl>
    <w:lvl w:ilvl="4" w:tplc="04260019">
      <w:start w:val="1"/>
      <w:numFmt w:val="lowerLetter"/>
      <w:lvlText w:val="%5."/>
      <w:lvlJc w:val="left"/>
      <w:pPr>
        <w:ind w:left="5412" w:hanging="360"/>
      </w:pPr>
    </w:lvl>
    <w:lvl w:ilvl="5" w:tplc="0426001B">
      <w:start w:val="1"/>
      <w:numFmt w:val="lowerRoman"/>
      <w:lvlText w:val="%6."/>
      <w:lvlJc w:val="right"/>
      <w:pPr>
        <w:ind w:left="6132" w:hanging="180"/>
      </w:pPr>
    </w:lvl>
    <w:lvl w:ilvl="6" w:tplc="0426000F">
      <w:start w:val="1"/>
      <w:numFmt w:val="decimal"/>
      <w:lvlText w:val="%7."/>
      <w:lvlJc w:val="left"/>
      <w:pPr>
        <w:ind w:left="6852" w:hanging="360"/>
      </w:pPr>
    </w:lvl>
    <w:lvl w:ilvl="7" w:tplc="04260019">
      <w:start w:val="1"/>
      <w:numFmt w:val="lowerLetter"/>
      <w:lvlText w:val="%8."/>
      <w:lvlJc w:val="left"/>
      <w:pPr>
        <w:ind w:left="7572" w:hanging="360"/>
      </w:pPr>
    </w:lvl>
    <w:lvl w:ilvl="8" w:tplc="0426001B">
      <w:start w:val="1"/>
      <w:numFmt w:val="lowerRoman"/>
      <w:lvlText w:val="%9."/>
      <w:lvlJc w:val="right"/>
      <w:pPr>
        <w:ind w:left="8292" w:hanging="180"/>
      </w:pPr>
    </w:lvl>
  </w:abstractNum>
  <w:abstractNum w:abstractNumId="10" w15:restartNumberingAfterBreak="0">
    <w:nsid w:val="3D151015"/>
    <w:multiLevelType w:val="hybridMultilevel"/>
    <w:tmpl w:val="3F60BEDE"/>
    <w:lvl w:ilvl="0" w:tplc="12FE028E">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1" w15:restartNumberingAfterBreak="0">
    <w:nsid w:val="42143C66"/>
    <w:multiLevelType w:val="hybridMultilevel"/>
    <w:tmpl w:val="384E535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4A962994"/>
    <w:multiLevelType w:val="hybridMultilevel"/>
    <w:tmpl w:val="CFE40B64"/>
    <w:lvl w:ilvl="0" w:tplc="6562D9CE">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4D6E2C6D"/>
    <w:multiLevelType w:val="hybridMultilevel"/>
    <w:tmpl w:val="E31401D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55E87AA8"/>
    <w:multiLevelType w:val="hybridMultilevel"/>
    <w:tmpl w:val="195E71C6"/>
    <w:lvl w:ilvl="0" w:tplc="F6B2CFA2">
      <w:start w:val="2"/>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5A9E1750"/>
    <w:multiLevelType w:val="hybridMultilevel"/>
    <w:tmpl w:val="8EFC03EE"/>
    <w:lvl w:ilvl="0" w:tplc="04B29836">
      <w:start w:val="1"/>
      <w:numFmt w:val="decimal"/>
      <w:lvlText w:val="%1."/>
      <w:lvlJc w:val="left"/>
      <w:pPr>
        <w:ind w:left="36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5C7006C0"/>
    <w:multiLevelType w:val="hybridMultilevel"/>
    <w:tmpl w:val="663EF7C4"/>
    <w:lvl w:ilvl="0" w:tplc="2C30712E">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6CF55008"/>
    <w:multiLevelType w:val="multilevel"/>
    <w:tmpl w:val="3EC22A82"/>
    <w:lvl w:ilvl="0">
      <w:start w:val="1"/>
      <w:numFmt w:val="decimal"/>
      <w:lvlText w:val="%1."/>
      <w:lvlJc w:val="left"/>
      <w:pPr>
        <w:ind w:left="360" w:hanging="360"/>
      </w:pPr>
      <w:rPr>
        <w:rFonts w:ascii="Times New Roman" w:eastAsia="Calibri" w:hAnsi="Times New Roman" w:cs="Times New Roman"/>
        <w:b w:val="0"/>
        <w:i w:val="0"/>
        <w:sz w:val="24"/>
        <w:szCs w:val="24"/>
      </w:rPr>
    </w:lvl>
    <w:lvl w:ilvl="1">
      <w:start w:val="1"/>
      <w:numFmt w:val="decimal"/>
      <w:isLgl/>
      <w:lvlText w:val="%1.%2."/>
      <w:lvlJc w:val="left"/>
      <w:pPr>
        <w:ind w:left="928" w:hanging="720"/>
      </w:pPr>
      <w:rPr>
        <w:rFonts w:hint="default"/>
        <w:b w:val="0"/>
      </w:rPr>
    </w:lvl>
    <w:lvl w:ilvl="2">
      <w:start w:val="1"/>
      <w:numFmt w:val="decimal"/>
      <w:isLgl/>
      <w:lvlText w:val="%1.%2.%3."/>
      <w:lvlJc w:val="left"/>
      <w:pPr>
        <w:ind w:left="1134" w:hanging="720"/>
      </w:pPr>
      <w:rPr>
        <w:rFonts w:hint="default"/>
      </w:rPr>
    </w:lvl>
    <w:lvl w:ilvl="3">
      <w:start w:val="1"/>
      <w:numFmt w:val="decimal"/>
      <w:isLgl/>
      <w:lvlText w:val="%1.%2.%3.%4."/>
      <w:lvlJc w:val="left"/>
      <w:pPr>
        <w:ind w:left="1701" w:hanging="1080"/>
      </w:pPr>
      <w:rPr>
        <w:rFonts w:hint="default"/>
      </w:rPr>
    </w:lvl>
    <w:lvl w:ilvl="4">
      <w:start w:val="1"/>
      <w:numFmt w:val="decimal"/>
      <w:isLgl/>
      <w:lvlText w:val="%1.%2.%3.%4.%5."/>
      <w:lvlJc w:val="left"/>
      <w:pPr>
        <w:ind w:left="1908" w:hanging="1080"/>
      </w:pPr>
      <w:rPr>
        <w:rFonts w:hint="default"/>
      </w:rPr>
    </w:lvl>
    <w:lvl w:ilvl="5">
      <w:start w:val="1"/>
      <w:numFmt w:val="decimal"/>
      <w:isLgl/>
      <w:lvlText w:val="%1.%2.%3.%4.%5.%6."/>
      <w:lvlJc w:val="left"/>
      <w:pPr>
        <w:ind w:left="2475" w:hanging="1440"/>
      </w:pPr>
      <w:rPr>
        <w:rFonts w:hint="default"/>
      </w:rPr>
    </w:lvl>
    <w:lvl w:ilvl="6">
      <w:start w:val="1"/>
      <w:numFmt w:val="decimal"/>
      <w:isLgl/>
      <w:lvlText w:val="%1.%2.%3.%4.%5.%6.%7."/>
      <w:lvlJc w:val="left"/>
      <w:pPr>
        <w:ind w:left="3042" w:hanging="1800"/>
      </w:pPr>
      <w:rPr>
        <w:rFonts w:hint="default"/>
      </w:rPr>
    </w:lvl>
    <w:lvl w:ilvl="7">
      <w:start w:val="1"/>
      <w:numFmt w:val="decimal"/>
      <w:isLgl/>
      <w:lvlText w:val="%1.%2.%3.%4.%5.%6.%7.%8."/>
      <w:lvlJc w:val="left"/>
      <w:pPr>
        <w:ind w:left="3249" w:hanging="1800"/>
      </w:pPr>
      <w:rPr>
        <w:rFonts w:hint="default"/>
      </w:rPr>
    </w:lvl>
    <w:lvl w:ilvl="8">
      <w:start w:val="1"/>
      <w:numFmt w:val="decimal"/>
      <w:isLgl/>
      <w:lvlText w:val="%1.%2.%3.%4.%5.%6.%7.%8.%9."/>
      <w:lvlJc w:val="left"/>
      <w:pPr>
        <w:ind w:left="3816" w:hanging="2160"/>
      </w:pPr>
      <w:rPr>
        <w:rFonts w:hint="default"/>
      </w:rPr>
    </w:lvl>
  </w:abstractNum>
  <w:num w:numId="1">
    <w:abstractNumId w:val="15"/>
  </w:num>
  <w:num w:numId="2">
    <w:abstractNumId w:val="14"/>
  </w:num>
  <w:num w:numId="3">
    <w:abstractNumId w:val="13"/>
  </w:num>
  <w:num w:numId="4">
    <w:abstractNumId w:val="17"/>
  </w:num>
  <w:num w:numId="5">
    <w:abstractNumId w:val="10"/>
  </w:num>
  <w:num w:numId="6">
    <w:abstractNumId w:val="8"/>
  </w:num>
  <w:num w:numId="7">
    <w:abstractNumId w:val="0"/>
  </w:num>
  <w:num w:numId="8">
    <w:abstractNumId w:val="3"/>
  </w:num>
  <w:num w:numId="9">
    <w:abstractNumId w:val="12"/>
  </w:num>
  <w:num w:numId="10">
    <w:abstractNumId w:val="11"/>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num>
  <w:num w:numId="13">
    <w:abstractNumId w:val="7"/>
  </w:num>
  <w:num w:numId="14">
    <w:abstractNumId w:val="5"/>
  </w:num>
  <w:num w:numId="15">
    <w:abstractNumId w:val="6"/>
  </w:num>
  <w:num w:numId="16">
    <w:abstractNumId w:val="4"/>
  </w:num>
  <w:num w:numId="17">
    <w:abstractNumId w:val="16"/>
  </w:num>
  <w:num w:numId="18">
    <w:abstractNumId w:val="1"/>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35BC"/>
    <w:rsid w:val="00000902"/>
    <w:rsid w:val="0000094E"/>
    <w:rsid w:val="00007F5A"/>
    <w:rsid w:val="00010C73"/>
    <w:rsid w:val="00013903"/>
    <w:rsid w:val="00017888"/>
    <w:rsid w:val="000278A6"/>
    <w:rsid w:val="00032D9C"/>
    <w:rsid w:val="00036780"/>
    <w:rsid w:val="000456A3"/>
    <w:rsid w:val="0004598F"/>
    <w:rsid w:val="000548B9"/>
    <w:rsid w:val="00060469"/>
    <w:rsid w:val="00063366"/>
    <w:rsid w:val="000645DC"/>
    <w:rsid w:val="00065F94"/>
    <w:rsid w:val="00071BF3"/>
    <w:rsid w:val="000721B7"/>
    <w:rsid w:val="00074C77"/>
    <w:rsid w:val="00075D0E"/>
    <w:rsid w:val="00076A55"/>
    <w:rsid w:val="000771EE"/>
    <w:rsid w:val="00077F09"/>
    <w:rsid w:val="00090318"/>
    <w:rsid w:val="000912BA"/>
    <w:rsid w:val="000A018F"/>
    <w:rsid w:val="000A681E"/>
    <w:rsid w:val="000A73A5"/>
    <w:rsid w:val="000C01ED"/>
    <w:rsid w:val="000D7A30"/>
    <w:rsid w:val="000E1302"/>
    <w:rsid w:val="000E741C"/>
    <w:rsid w:val="000F010E"/>
    <w:rsid w:val="000F3715"/>
    <w:rsid w:val="000F387C"/>
    <w:rsid w:val="000F5BA6"/>
    <w:rsid w:val="000F5C24"/>
    <w:rsid w:val="00100580"/>
    <w:rsid w:val="00101C70"/>
    <w:rsid w:val="001029EC"/>
    <w:rsid w:val="00103522"/>
    <w:rsid w:val="00107A0C"/>
    <w:rsid w:val="00117018"/>
    <w:rsid w:val="0012078E"/>
    <w:rsid w:val="00122696"/>
    <w:rsid w:val="0012524F"/>
    <w:rsid w:val="00135CC1"/>
    <w:rsid w:val="00154B60"/>
    <w:rsid w:val="0015633E"/>
    <w:rsid w:val="00162509"/>
    <w:rsid w:val="00166B36"/>
    <w:rsid w:val="00173597"/>
    <w:rsid w:val="00176059"/>
    <w:rsid w:val="00185657"/>
    <w:rsid w:val="00185B73"/>
    <w:rsid w:val="00195F27"/>
    <w:rsid w:val="001A10A4"/>
    <w:rsid w:val="001A11F3"/>
    <w:rsid w:val="001A53EF"/>
    <w:rsid w:val="001A616F"/>
    <w:rsid w:val="001B1A94"/>
    <w:rsid w:val="001B2E07"/>
    <w:rsid w:val="001B797B"/>
    <w:rsid w:val="001C26B9"/>
    <w:rsid w:val="001C4923"/>
    <w:rsid w:val="001C4979"/>
    <w:rsid w:val="001C5E77"/>
    <w:rsid w:val="001C7175"/>
    <w:rsid w:val="001C720A"/>
    <w:rsid w:val="001D5DEE"/>
    <w:rsid w:val="001E194A"/>
    <w:rsid w:val="001E1D3C"/>
    <w:rsid w:val="001E2FF8"/>
    <w:rsid w:val="001E5731"/>
    <w:rsid w:val="001E6B7E"/>
    <w:rsid w:val="001E7210"/>
    <w:rsid w:val="001E7427"/>
    <w:rsid w:val="001F746B"/>
    <w:rsid w:val="002018AB"/>
    <w:rsid w:val="0020328C"/>
    <w:rsid w:val="00205C05"/>
    <w:rsid w:val="00212F66"/>
    <w:rsid w:val="00217079"/>
    <w:rsid w:val="00222483"/>
    <w:rsid w:val="00235BB0"/>
    <w:rsid w:val="0024580E"/>
    <w:rsid w:val="0025090B"/>
    <w:rsid w:val="00264315"/>
    <w:rsid w:val="00265075"/>
    <w:rsid w:val="002659D6"/>
    <w:rsid w:val="0027009E"/>
    <w:rsid w:val="00271B24"/>
    <w:rsid w:val="00273D34"/>
    <w:rsid w:val="00280CD1"/>
    <w:rsid w:val="00285498"/>
    <w:rsid w:val="00297267"/>
    <w:rsid w:val="002A4E8D"/>
    <w:rsid w:val="002A7251"/>
    <w:rsid w:val="002B28B7"/>
    <w:rsid w:val="002B2A99"/>
    <w:rsid w:val="002B5F82"/>
    <w:rsid w:val="002C0726"/>
    <w:rsid w:val="002C3042"/>
    <w:rsid w:val="002D6441"/>
    <w:rsid w:val="002D6808"/>
    <w:rsid w:val="002E4411"/>
    <w:rsid w:val="002E541A"/>
    <w:rsid w:val="002F0334"/>
    <w:rsid w:val="002F4453"/>
    <w:rsid w:val="0030647B"/>
    <w:rsid w:val="003104FB"/>
    <w:rsid w:val="00316221"/>
    <w:rsid w:val="00316390"/>
    <w:rsid w:val="00332873"/>
    <w:rsid w:val="0033425C"/>
    <w:rsid w:val="00334E10"/>
    <w:rsid w:val="00335A6F"/>
    <w:rsid w:val="00350AE6"/>
    <w:rsid w:val="00350E39"/>
    <w:rsid w:val="00357706"/>
    <w:rsid w:val="0035772F"/>
    <w:rsid w:val="00370EB0"/>
    <w:rsid w:val="003803FD"/>
    <w:rsid w:val="0038178A"/>
    <w:rsid w:val="003840E7"/>
    <w:rsid w:val="003851A6"/>
    <w:rsid w:val="003852AB"/>
    <w:rsid w:val="0038599F"/>
    <w:rsid w:val="00386B50"/>
    <w:rsid w:val="00390A5D"/>
    <w:rsid w:val="0039439E"/>
    <w:rsid w:val="003965B0"/>
    <w:rsid w:val="003A1ECD"/>
    <w:rsid w:val="003A1F4F"/>
    <w:rsid w:val="003A4196"/>
    <w:rsid w:val="003B1924"/>
    <w:rsid w:val="003B4A92"/>
    <w:rsid w:val="003B7844"/>
    <w:rsid w:val="003C1C97"/>
    <w:rsid w:val="003C2376"/>
    <w:rsid w:val="003C4FA2"/>
    <w:rsid w:val="003C5A3F"/>
    <w:rsid w:val="003C6BAC"/>
    <w:rsid w:val="003D1301"/>
    <w:rsid w:val="003D6D21"/>
    <w:rsid w:val="003E07F9"/>
    <w:rsid w:val="003E60E1"/>
    <w:rsid w:val="003E78D0"/>
    <w:rsid w:val="003F16E7"/>
    <w:rsid w:val="003F306E"/>
    <w:rsid w:val="003F768C"/>
    <w:rsid w:val="00402E8B"/>
    <w:rsid w:val="00404EB6"/>
    <w:rsid w:val="0041134C"/>
    <w:rsid w:val="0041420C"/>
    <w:rsid w:val="004151DB"/>
    <w:rsid w:val="00426986"/>
    <w:rsid w:val="004311E2"/>
    <w:rsid w:val="004323CC"/>
    <w:rsid w:val="00432580"/>
    <w:rsid w:val="004335A9"/>
    <w:rsid w:val="00437CA6"/>
    <w:rsid w:val="0044307D"/>
    <w:rsid w:val="004432C2"/>
    <w:rsid w:val="00444385"/>
    <w:rsid w:val="004443C4"/>
    <w:rsid w:val="0044629C"/>
    <w:rsid w:val="00453153"/>
    <w:rsid w:val="00454154"/>
    <w:rsid w:val="00454738"/>
    <w:rsid w:val="00456505"/>
    <w:rsid w:val="00463275"/>
    <w:rsid w:val="0046349E"/>
    <w:rsid w:val="00463A48"/>
    <w:rsid w:val="004705F5"/>
    <w:rsid w:val="00470D1C"/>
    <w:rsid w:val="004752EF"/>
    <w:rsid w:val="00476CB0"/>
    <w:rsid w:val="004833EC"/>
    <w:rsid w:val="00484D5A"/>
    <w:rsid w:val="00486FC6"/>
    <w:rsid w:val="00487013"/>
    <w:rsid w:val="00492D01"/>
    <w:rsid w:val="00495A75"/>
    <w:rsid w:val="00495F3F"/>
    <w:rsid w:val="004962A2"/>
    <w:rsid w:val="004A2A4F"/>
    <w:rsid w:val="004B1E57"/>
    <w:rsid w:val="004B28DB"/>
    <w:rsid w:val="004B3B4C"/>
    <w:rsid w:val="004C0061"/>
    <w:rsid w:val="004C2A11"/>
    <w:rsid w:val="004D074D"/>
    <w:rsid w:val="004D5D14"/>
    <w:rsid w:val="004E37AA"/>
    <w:rsid w:val="004E530F"/>
    <w:rsid w:val="004E5FDC"/>
    <w:rsid w:val="004E794D"/>
    <w:rsid w:val="004F4413"/>
    <w:rsid w:val="004F5CBD"/>
    <w:rsid w:val="00507206"/>
    <w:rsid w:val="00510426"/>
    <w:rsid w:val="0051088F"/>
    <w:rsid w:val="005126A1"/>
    <w:rsid w:val="00513B06"/>
    <w:rsid w:val="00513B08"/>
    <w:rsid w:val="00522446"/>
    <w:rsid w:val="00532141"/>
    <w:rsid w:val="00532A05"/>
    <w:rsid w:val="00533404"/>
    <w:rsid w:val="0053536A"/>
    <w:rsid w:val="00550CBA"/>
    <w:rsid w:val="00554773"/>
    <w:rsid w:val="0056421D"/>
    <w:rsid w:val="00564BF2"/>
    <w:rsid w:val="00571ED2"/>
    <w:rsid w:val="005742CE"/>
    <w:rsid w:val="00580962"/>
    <w:rsid w:val="0058547F"/>
    <w:rsid w:val="00590833"/>
    <w:rsid w:val="0059171F"/>
    <w:rsid w:val="00593CAD"/>
    <w:rsid w:val="00593EE4"/>
    <w:rsid w:val="005A3528"/>
    <w:rsid w:val="005A45AD"/>
    <w:rsid w:val="005A6981"/>
    <w:rsid w:val="005A7968"/>
    <w:rsid w:val="005B0463"/>
    <w:rsid w:val="005B2E7F"/>
    <w:rsid w:val="005B3FA0"/>
    <w:rsid w:val="005B4365"/>
    <w:rsid w:val="005B6050"/>
    <w:rsid w:val="005C5640"/>
    <w:rsid w:val="005C6AA1"/>
    <w:rsid w:val="005C6F7C"/>
    <w:rsid w:val="005D2A77"/>
    <w:rsid w:val="005D4CE7"/>
    <w:rsid w:val="005D4D47"/>
    <w:rsid w:val="005F23EA"/>
    <w:rsid w:val="005F2B8D"/>
    <w:rsid w:val="005F5510"/>
    <w:rsid w:val="005F631F"/>
    <w:rsid w:val="005F7C63"/>
    <w:rsid w:val="00610015"/>
    <w:rsid w:val="00615AB5"/>
    <w:rsid w:val="0061630B"/>
    <w:rsid w:val="006310EB"/>
    <w:rsid w:val="00631C52"/>
    <w:rsid w:val="00634498"/>
    <w:rsid w:val="0063655B"/>
    <w:rsid w:val="00643887"/>
    <w:rsid w:val="00644094"/>
    <w:rsid w:val="00644A25"/>
    <w:rsid w:val="00646D7F"/>
    <w:rsid w:val="006523E0"/>
    <w:rsid w:val="00652EE5"/>
    <w:rsid w:val="006531C9"/>
    <w:rsid w:val="00653F87"/>
    <w:rsid w:val="006568F7"/>
    <w:rsid w:val="00676B12"/>
    <w:rsid w:val="0068520B"/>
    <w:rsid w:val="00686B0C"/>
    <w:rsid w:val="00691997"/>
    <w:rsid w:val="006A3133"/>
    <w:rsid w:val="006A6139"/>
    <w:rsid w:val="006B11DA"/>
    <w:rsid w:val="006B13BF"/>
    <w:rsid w:val="006C3EB1"/>
    <w:rsid w:val="006C6EE2"/>
    <w:rsid w:val="006D06FD"/>
    <w:rsid w:val="006D176F"/>
    <w:rsid w:val="006E7C6C"/>
    <w:rsid w:val="006F17B0"/>
    <w:rsid w:val="00700D73"/>
    <w:rsid w:val="007028B2"/>
    <w:rsid w:val="00704C48"/>
    <w:rsid w:val="00705547"/>
    <w:rsid w:val="0070694A"/>
    <w:rsid w:val="00706B94"/>
    <w:rsid w:val="007103D5"/>
    <w:rsid w:val="00710FD0"/>
    <w:rsid w:val="00711F58"/>
    <w:rsid w:val="00713EA5"/>
    <w:rsid w:val="007260A8"/>
    <w:rsid w:val="00732E2A"/>
    <w:rsid w:val="007344A9"/>
    <w:rsid w:val="00737C7F"/>
    <w:rsid w:val="00741E83"/>
    <w:rsid w:val="00742A13"/>
    <w:rsid w:val="00742B78"/>
    <w:rsid w:val="00751F8C"/>
    <w:rsid w:val="00753C66"/>
    <w:rsid w:val="007558AF"/>
    <w:rsid w:val="0075679B"/>
    <w:rsid w:val="007655B2"/>
    <w:rsid w:val="0077061E"/>
    <w:rsid w:val="00773712"/>
    <w:rsid w:val="007741EB"/>
    <w:rsid w:val="0077772D"/>
    <w:rsid w:val="00777EE4"/>
    <w:rsid w:val="007918B9"/>
    <w:rsid w:val="007960E0"/>
    <w:rsid w:val="007A3424"/>
    <w:rsid w:val="007B0871"/>
    <w:rsid w:val="007B5AA2"/>
    <w:rsid w:val="007B6614"/>
    <w:rsid w:val="007C259D"/>
    <w:rsid w:val="007C2656"/>
    <w:rsid w:val="007C6858"/>
    <w:rsid w:val="007C6E1A"/>
    <w:rsid w:val="007D3931"/>
    <w:rsid w:val="007D5C3B"/>
    <w:rsid w:val="007E5C23"/>
    <w:rsid w:val="007F0980"/>
    <w:rsid w:val="007F25F7"/>
    <w:rsid w:val="008001FB"/>
    <w:rsid w:val="00801CD8"/>
    <w:rsid w:val="00810CB1"/>
    <w:rsid w:val="00814A57"/>
    <w:rsid w:val="00815169"/>
    <w:rsid w:val="00831661"/>
    <w:rsid w:val="00832B02"/>
    <w:rsid w:val="00832F88"/>
    <w:rsid w:val="00835B42"/>
    <w:rsid w:val="00837787"/>
    <w:rsid w:val="00851E73"/>
    <w:rsid w:val="00861DA0"/>
    <w:rsid w:val="00861E2E"/>
    <w:rsid w:val="00873FE8"/>
    <w:rsid w:val="008763C5"/>
    <w:rsid w:val="00880D6B"/>
    <w:rsid w:val="00883D0B"/>
    <w:rsid w:val="0088699C"/>
    <w:rsid w:val="00890D23"/>
    <w:rsid w:val="00892372"/>
    <w:rsid w:val="00892EC5"/>
    <w:rsid w:val="00894EC2"/>
    <w:rsid w:val="00897D7F"/>
    <w:rsid w:val="008A39D0"/>
    <w:rsid w:val="008A4985"/>
    <w:rsid w:val="008A5492"/>
    <w:rsid w:val="008A5AC7"/>
    <w:rsid w:val="008B384C"/>
    <w:rsid w:val="008B73BA"/>
    <w:rsid w:val="008C021A"/>
    <w:rsid w:val="008C7E50"/>
    <w:rsid w:val="008D5E41"/>
    <w:rsid w:val="008E2CC2"/>
    <w:rsid w:val="008E4004"/>
    <w:rsid w:val="008E5CEE"/>
    <w:rsid w:val="008F0647"/>
    <w:rsid w:val="008F0DF6"/>
    <w:rsid w:val="008F36BB"/>
    <w:rsid w:val="008F5241"/>
    <w:rsid w:val="00902CB5"/>
    <w:rsid w:val="00903CD5"/>
    <w:rsid w:val="00915EBA"/>
    <w:rsid w:val="00916CA3"/>
    <w:rsid w:val="009237EF"/>
    <w:rsid w:val="00926040"/>
    <w:rsid w:val="00926F31"/>
    <w:rsid w:val="00932A43"/>
    <w:rsid w:val="00935DF7"/>
    <w:rsid w:val="0093630C"/>
    <w:rsid w:val="00937413"/>
    <w:rsid w:val="00942F7C"/>
    <w:rsid w:val="00945761"/>
    <w:rsid w:val="0095137F"/>
    <w:rsid w:val="00952E14"/>
    <w:rsid w:val="009532BF"/>
    <w:rsid w:val="00956B9B"/>
    <w:rsid w:val="00960253"/>
    <w:rsid w:val="009642E8"/>
    <w:rsid w:val="00965634"/>
    <w:rsid w:val="00970A52"/>
    <w:rsid w:val="00971204"/>
    <w:rsid w:val="0097329B"/>
    <w:rsid w:val="00981263"/>
    <w:rsid w:val="00981670"/>
    <w:rsid w:val="00982BFA"/>
    <w:rsid w:val="00984439"/>
    <w:rsid w:val="009904C9"/>
    <w:rsid w:val="0099144D"/>
    <w:rsid w:val="0099650E"/>
    <w:rsid w:val="009A2F4C"/>
    <w:rsid w:val="009A4DF6"/>
    <w:rsid w:val="009B1BF2"/>
    <w:rsid w:val="009B6E54"/>
    <w:rsid w:val="009C0833"/>
    <w:rsid w:val="009C0FFB"/>
    <w:rsid w:val="009C4058"/>
    <w:rsid w:val="009C4C02"/>
    <w:rsid w:val="009C512D"/>
    <w:rsid w:val="009C6326"/>
    <w:rsid w:val="009C7667"/>
    <w:rsid w:val="009C770F"/>
    <w:rsid w:val="009D198B"/>
    <w:rsid w:val="009D1AA4"/>
    <w:rsid w:val="009D2A50"/>
    <w:rsid w:val="009D2EFC"/>
    <w:rsid w:val="009D5A8B"/>
    <w:rsid w:val="009E0498"/>
    <w:rsid w:val="009F5AEF"/>
    <w:rsid w:val="009F6A03"/>
    <w:rsid w:val="00A0202F"/>
    <w:rsid w:val="00A04708"/>
    <w:rsid w:val="00A113C4"/>
    <w:rsid w:val="00A128F9"/>
    <w:rsid w:val="00A135BC"/>
    <w:rsid w:val="00A26A7D"/>
    <w:rsid w:val="00A32F75"/>
    <w:rsid w:val="00A35343"/>
    <w:rsid w:val="00A37A7A"/>
    <w:rsid w:val="00A422D6"/>
    <w:rsid w:val="00A42D9A"/>
    <w:rsid w:val="00A43D1D"/>
    <w:rsid w:val="00A52243"/>
    <w:rsid w:val="00A5466C"/>
    <w:rsid w:val="00A56414"/>
    <w:rsid w:val="00A57BF5"/>
    <w:rsid w:val="00A6050C"/>
    <w:rsid w:val="00A62F33"/>
    <w:rsid w:val="00A72F59"/>
    <w:rsid w:val="00A74722"/>
    <w:rsid w:val="00A841C7"/>
    <w:rsid w:val="00A90659"/>
    <w:rsid w:val="00A95EF8"/>
    <w:rsid w:val="00A97AE8"/>
    <w:rsid w:val="00AB06BC"/>
    <w:rsid w:val="00AB29DB"/>
    <w:rsid w:val="00AB392B"/>
    <w:rsid w:val="00AB57FE"/>
    <w:rsid w:val="00AC187D"/>
    <w:rsid w:val="00AC578C"/>
    <w:rsid w:val="00AD679B"/>
    <w:rsid w:val="00AE594C"/>
    <w:rsid w:val="00AF46CA"/>
    <w:rsid w:val="00AF4B52"/>
    <w:rsid w:val="00AF5B19"/>
    <w:rsid w:val="00B003E1"/>
    <w:rsid w:val="00B0564F"/>
    <w:rsid w:val="00B06ACF"/>
    <w:rsid w:val="00B1124D"/>
    <w:rsid w:val="00B16F22"/>
    <w:rsid w:val="00B200D9"/>
    <w:rsid w:val="00B24EEA"/>
    <w:rsid w:val="00B26A7C"/>
    <w:rsid w:val="00B32F64"/>
    <w:rsid w:val="00B3443C"/>
    <w:rsid w:val="00B472D0"/>
    <w:rsid w:val="00B55F4D"/>
    <w:rsid w:val="00B671CE"/>
    <w:rsid w:val="00B67DB6"/>
    <w:rsid w:val="00B70461"/>
    <w:rsid w:val="00B70727"/>
    <w:rsid w:val="00B71468"/>
    <w:rsid w:val="00B75494"/>
    <w:rsid w:val="00B7629F"/>
    <w:rsid w:val="00B8283C"/>
    <w:rsid w:val="00B83F6F"/>
    <w:rsid w:val="00B85DFA"/>
    <w:rsid w:val="00B87E8B"/>
    <w:rsid w:val="00B90BC7"/>
    <w:rsid w:val="00B95F2F"/>
    <w:rsid w:val="00B970D3"/>
    <w:rsid w:val="00B976D8"/>
    <w:rsid w:val="00BA11CC"/>
    <w:rsid w:val="00BA22B9"/>
    <w:rsid w:val="00BB17D1"/>
    <w:rsid w:val="00BB1AD9"/>
    <w:rsid w:val="00BB6CC6"/>
    <w:rsid w:val="00BC18CC"/>
    <w:rsid w:val="00BC3F68"/>
    <w:rsid w:val="00BD1B21"/>
    <w:rsid w:val="00BE2633"/>
    <w:rsid w:val="00BE3883"/>
    <w:rsid w:val="00BE3D2D"/>
    <w:rsid w:val="00BE474A"/>
    <w:rsid w:val="00BF0E97"/>
    <w:rsid w:val="00BF3988"/>
    <w:rsid w:val="00BF3AB5"/>
    <w:rsid w:val="00BF6C17"/>
    <w:rsid w:val="00BF7778"/>
    <w:rsid w:val="00C07F10"/>
    <w:rsid w:val="00C2192A"/>
    <w:rsid w:val="00C21CFB"/>
    <w:rsid w:val="00C440C5"/>
    <w:rsid w:val="00C444D2"/>
    <w:rsid w:val="00C4513F"/>
    <w:rsid w:val="00C45270"/>
    <w:rsid w:val="00C45B80"/>
    <w:rsid w:val="00C56DDF"/>
    <w:rsid w:val="00C62E35"/>
    <w:rsid w:val="00C63BF2"/>
    <w:rsid w:val="00C7064A"/>
    <w:rsid w:val="00C72944"/>
    <w:rsid w:val="00C7382B"/>
    <w:rsid w:val="00C779A5"/>
    <w:rsid w:val="00C907CE"/>
    <w:rsid w:val="00C937B7"/>
    <w:rsid w:val="00CA3FDA"/>
    <w:rsid w:val="00CA444D"/>
    <w:rsid w:val="00CA7030"/>
    <w:rsid w:val="00CA7EAC"/>
    <w:rsid w:val="00CB5ED5"/>
    <w:rsid w:val="00CC4FF7"/>
    <w:rsid w:val="00CD257F"/>
    <w:rsid w:val="00CE04B3"/>
    <w:rsid w:val="00CE2E2A"/>
    <w:rsid w:val="00CE3635"/>
    <w:rsid w:val="00CE5695"/>
    <w:rsid w:val="00CF1A93"/>
    <w:rsid w:val="00CF2463"/>
    <w:rsid w:val="00CF2715"/>
    <w:rsid w:val="00CF6F9F"/>
    <w:rsid w:val="00D00F6E"/>
    <w:rsid w:val="00D07CC0"/>
    <w:rsid w:val="00D1452F"/>
    <w:rsid w:val="00D232F7"/>
    <w:rsid w:val="00D41C5E"/>
    <w:rsid w:val="00D4576D"/>
    <w:rsid w:val="00D54FC4"/>
    <w:rsid w:val="00D56C33"/>
    <w:rsid w:val="00D63F48"/>
    <w:rsid w:val="00D6454D"/>
    <w:rsid w:val="00D64EAA"/>
    <w:rsid w:val="00D66262"/>
    <w:rsid w:val="00D67795"/>
    <w:rsid w:val="00D720B9"/>
    <w:rsid w:val="00D74178"/>
    <w:rsid w:val="00D74F69"/>
    <w:rsid w:val="00D777AF"/>
    <w:rsid w:val="00D80385"/>
    <w:rsid w:val="00D81A87"/>
    <w:rsid w:val="00D81E8C"/>
    <w:rsid w:val="00D879B3"/>
    <w:rsid w:val="00D91CB8"/>
    <w:rsid w:val="00D93B13"/>
    <w:rsid w:val="00D9400B"/>
    <w:rsid w:val="00DA0934"/>
    <w:rsid w:val="00DC04FC"/>
    <w:rsid w:val="00DC4E0E"/>
    <w:rsid w:val="00DC53E3"/>
    <w:rsid w:val="00DD1DB2"/>
    <w:rsid w:val="00DD323D"/>
    <w:rsid w:val="00DD5B99"/>
    <w:rsid w:val="00DE28F6"/>
    <w:rsid w:val="00DE737D"/>
    <w:rsid w:val="00DE75D6"/>
    <w:rsid w:val="00DF4897"/>
    <w:rsid w:val="00E01F1B"/>
    <w:rsid w:val="00E0718E"/>
    <w:rsid w:val="00E07287"/>
    <w:rsid w:val="00E147B7"/>
    <w:rsid w:val="00E167F2"/>
    <w:rsid w:val="00E206AE"/>
    <w:rsid w:val="00E20B8A"/>
    <w:rsid w:val="00E21775"/>
    <w:rsid w:val="00E219A5"/>
    <w:rsid w:val="00E2285E"/>
    <w:rsid w:val="00E3019A"/>
    <w:rsid w:val="00E30AAD"/>
    <w:rsid w:val="00E3607D"/>
    <w:rsid w:val="00E40B66"/>
    <w:rsid w:val="00E415E4"/>
    <w:rsid w:val="00E43376"/>
    <w:rsid w:val="00E46FFB"/>
    <w:rsid w:val="00E50135"/>
    <w:rsid w:val="00E5025C"/>
    <w:rsid w:val="00E54611"/>
    <w:rsid w:val="00E5642C"/>
    <w:rsid w:val="00E613D7"/>
    <w:rsid w:val="00E646D0"/>
    <w:rsid w:val="00E71006"/>
    <w:rsid w:val="00E71488"/>
    <w:rsid w:val="00E72571"/>
    <w:rsid w:val="00E75E11"/>
    <w:rsid w:val="00E80942"/>
    <w:rsid w:val="00E811DE"/>
    <w:rsid w:val="00E8197F"/>
    <w:rsid w:val="00E82FCC"/>
    <w:rsid w:val="00E85005"/>
    <w:rsid w:val="00E87FA9"/>
    <w:rsid w:val="00E90691"/>
    <w:rsid w:val="00E92199"/>
    <w:rsid w:val="00E925B9"/>
    <w:rsid w:val="00E92CF2"/>
    <w:rsid w:val="00E93D15"/>
    <w:rsid w:val="00E95932"/>
    <w:rsid w:val="00EA36D1"/>
    <w:rsid w:val="00EB6A80"/>
    <w:rsid w:val="00EC72F0"/>
    <w:rsid w:val="00ED2385"/>
    <w:rsid w:val="00ED2505"/>
    <w:rsid w:val="00ED45FC"/>
    <w:rsid w:val="00ED6989"/>
    <w:rsid w:val="00ED716A"/>
    <w:rsid w:val="00EE0083"/>
    <w:rsid w:val="00EE1B15"/>
    <w:rsid w:val="00EE2C7A"/>
    <w:rsid w:val="00EE3A74"/>
    <w:rsid w:val="00EE58AE"/>
    <w:rsid w:val="00EF1A26"/>
    <w:rsid w:val="00EF2BDB"/>
    <w:rsid w:val="00EF4569"/>
    <w:rsid w:val="00EF6703"/>
    <w:rsid w:val="00F0082A"/>
    <w:rsid w:val="00F01939"/>
    <w:rsid w:val="00F113BA"/>
    <w:rsid w:val="00F12BBB"/>
    <w:rsid w:val="00F153D9"/>
    <w:rsid w:val="00F155C5"/>
    <w:rsid w:val="00F2290E"/>
    <w:rsid w:val="00F22FBD"/>
    <w:rsid w:val="00F31FB9"/>
    <w:rsid w:val="00F3566B"/>
    <w:rsid w:val="00F37E19"/>
    <w:rsid w:val="00F4063D"/>
    <w:rsid w:val="00F409AC"/>
    <w:rsid w:val="00F40A77"/>
    <w:rsid w:val="00F45261"/>
    <w:rsid w:val="00F47CC9"/>
    <w:rsid w:val="00F51DDF"/>
    <w:rsid w:val="00F57CEA"/>
    <w:rsid w:val="00F60C5B"/>
    <w:rsid w:val="00F60E60"/>
    <w:rsid w:val="00F6139D"/>
    <w:rsid w:val="00F62BE9"/>
    <w:rsid w:val="00F64E53"/>
    <w:rsid w:val="00F66677"/>
    <w:rsid w:val="00F67053"/>
    <w:rsid w:val="00F70471"/>
    <w:rsid w:val="00F723A9"/>
    <w:rsid w:val="00F80A9F"/>
    <w:rsid w:val="00F826AD"/>
    <w:rsid w:val="00F84986"/>
    <w:rsid w:val="00F90AE7"/>
    <w:rsid w:val="00F9275C"/>
    <w:rsid w:val="00F92CB5"/>
    <w:rsid w:val="00F953B2"/>
    <w:rsid w:val="00F9647D"/>
    <w:rsid w:val="00FA0EC3"/>
    <w:rsid w:val="00FA1A54"/>
    <w:rsid w:val="00FA3ED3"/>
    <w:rsid w:val="00FA69FA"/>
    <w:rsid w:val="00FB1846"/>
    <w:rsid w:val="00FB3595"/>
    <w:rsid w:val="00FB42A2"/>
    <w:rsid w:val="00FB5C56"/>
    <w:rsid w:val="00FC20EA"/>
    <w:rsid w:val="00FD36D0"/>
    <w:rsid w:val="00FD5DDB"/>
    <w:rsid w:val="00FD6813"/>
    <w:rsid w:val="00FE4FFC"/>
    <w:rsid w:val="00FE7D8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A71B51"/>
  <w15:chartTrackingRefBased/>
  <w15:docId w15:val="{1F1555B0-6514-4F28-B81D-8280F557CB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923"/>
    <w:rPr>
      <w:rFonts w:eastAsia="Times New Roman" w:cs="Times New Roman"/>
      <w:sz w:val="24"/>
      <w:szCs w:val="24"/>
      <w:lang w:eastAsia="lv-LV"/>
    </w:rPr>
  </w:style>
  <w:style w:type="paragraph" w:styleId="Heading2">
    <w:name w:val="heading 2"/>
    <w:basedOn w:val="Normal"/>
    <w:next w:val="Normal"/>
    <w:link w:val="Heading2Char"/>
    <w:unhideWhenUsed/>
    <w:qFormat/>
    <w:rsid w:val="005B2E7F"/>
    <w:pPr>
      <w:keepNext/>
      <w:spacing w:line="360" w:lineRule="auto"/>
      <w:outlineLvl w:val="1"/>
    </w:pPr>
    <w:rPr>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1C4923"/>
    <w:pPr>
      <w:spacing w:before="100" w:beforeAutospacing="1" w:after="100" w:afterAutospacing="1"/>
    </w:pPr>
  </w:style>
  <w:style w:type="paragraph" w:customStyle="1" w:styleId="naisf">
    <w:name w:val="naisf"/>
    <w:basedOn w:val="Normal"/>
    <w:rsid w:val="001C4923"/>
    <w:pPr>
      <w:spacing w:before="75" w:after="75"/>
      <w:ind w:firstLine="375"/>
      <w:jc w:val="both"/>
    </w:pPr>
  </w:style>
  <w:style w:type="paragraph" w:customStyle="1" w:styleId="naislab">
    <w:name w:val="naislab"/>
    <w:basedOn w:val="Normal"/>
    <w:uiPriority w:val="99"/>
    <w:rsid w:val="001C4923"/>
    <w:pPr>
      <w:spacing w:before="75" w:after="75"/>
      <w:jc w:val="right"/>
    </w:pPr>
  </w:style>
  <w:style w:type="paragraph" w:customStyle="1" w:styleId="naiskr">
    <w:name w:val="naiskr"/>
    <w:basedOn w:val="Normal"/>
    <w:rsid w:val="001C4923"/>
    <w:pPr>
      <w:spacing w:before="75" w:after="75"/>
    </w:pPr>
  </w:style>
  <w:style w:type="paragraph" w:customStyle="1" w:styleId="naisc">
    <w:name w:val="naisc"/>
    <w:basedOn w:val="Normal"/>
    <w:rsid w:val="001C4923"/>
    <w:pPr>
      <w:spacing w:before="75" w:after="75"/>
      <w:jc w:val="center"/>
    </w:pPr>
  </w:style>
  <w:style w:type="paragraph" w:styleId="ListParagraph">
    <w:name w:val="List Paragraph"/>
    <w:aliases w:val="2,List Paragraph1,H&amp;P List Paragraph,Strip,Normal bullet 2,Bullet list,Saistīto dokumentu saraksts,Syle 1,Numurets,List Paragraph11,OBC Bullet,Bullet Style,L"/>
    <w:basedOn w:val="Normal"/>
    <w:link w:val="ListParagraphChar"/>
    <w:uiPriority w:val="34"/>
    <w:qFormat/>
    <w:rsid w:val="001C4923"/>
    <w:pPr>
      <w:spacing w:after="200" w:line="276" w:lineRule="auto"/>
      <w:ind w:left="720"/>
      <w:contextualSpacing/>
    </w:pPr>
    <w:rPr>
      <w:rFonts w:ascii="Calibri" w:hAnsi="Calibri"/>
      <w:sz w:val="22"/>
      <w:szCs w:val="22"/>
      <w:lang w:eastAsia="en-US"/>
    </w:rPr>
  </w:style>
  <w:style w:type="character" w:customStyle="1" w:styleId="ListParagraphChar">
    <w:name w:val="List Paragraph Char"/>
    <w:aliases w:val="2 Char,List Paragraph1 Char,H&amp;P List Paragraph Char,Strip Char,Normal bullet 2 Char,Bullet list Char,Saistīto dokumentu saraksts Char,Syle 1 Char,Numurets Char,List Paragraph11 Char,OBC Bullet Char,Bullet Style Char,L Char"/>
    <w:link w:val="ListParagraph"/>
    <w:uiPriority w:val="34"/>
    <w:qFormat/>
    <w:rsid w:val="001C4923"/>
    <w:rPr>
      <w:rFonts w:ascii="Calibri" w:eastAsia="Times New Roman" w:hAnsi="Calibri" w:cs="Times New Roman"/>
      <w:sz w:val="22"/>
    </w:rPr>
  </w:style>
  <w:style w:type="character" w:styleId="Hyperlink">
    <w:name w:val="Hyperlink"/>
    <w:rsid w:val="001C4923"/>
    <w:rPr>
      <w:rFonts w:cs="Times New Roman"/>
      <w:color w:val="0000FF"/>
      <w:u w:val="single"/>
    </w:rPr>
  </w:style>
  <w:style w:type="paragraph" w:styleId="Header">
    <w:name w:val="header"/>
    <w:basedOn w:val="Normal"/>
    <w:link w:val="HeaderChar"/>
    <w:uiPriority w:val="99"/>
    <w:unhideWhenUsed/>
    <w:rsid w:val="001C4923"/>
    <w:pPr>
      <w:tabs>
        <w:tab w:val="center" w:pos="4153"/>
        <w:tab w:val="right" w:pos="8306"/>
      </w:tabs>
    </w:pPr>
  </w:style>
  <w:style w:type="character" w:customStyle="1" w:styleId="HeaderChar">
    <w:name w:val="Header Char"/>
    <w:basedOn w:val="DefaultParagraphFont"/>
    <w:link w:val="Header"/>
    <w:uiPriority w:val="99"/>
    <w:rsid w:val="001C4923"/>
    <w:rPr>
      <w:rFonts w:eastAsia="Times New Roman" w:cs="Times New Roman"/>
      <w:sz w:val="24"/>
      <w:szCs w:val="24"/>
      <w:lang w:eastAsia="lv-LV"/>
    </w:rPr>
  </w:style>
  <w:style w:type="paragraph" w:styleId="Footer">
    <w:name w:val="footer"/>
    <w:basedOn w:val="Normal"/>
    <w:link w:val="FooterChar"/>
    <w:uiPriority w:val="99"/>
    <w:unhideWhenUsed/>
    <w:rsid w:val="001C4923"/>
    <w:pPr>
      <w:tabs>
        <w:tab w:val="center" w:pos="4153"/>
        <w:tab w:val="right" w:pos="8306"/>
      </w:tabs>
    </w:pPr>
  </w:style>
  <w:style w:type="character" w:customStyle="1" w:styleId="FooterChar">
    <w:name w:val="Footer Char"/>
    <w:basedOn w:val="DefaultParagraphFont"/>
    <w:link w:val="Footer"/>
    <w:uiPriority w:val="99"/>
    <w:rsid w:val="001C4923"/>
    <w:rPr>
      <w:rFonts w:eastAsia="Times New Roman" w:cs="Times New Roman"/>
      <w:sz w:val="24"/>
      <w:szCs w:val="24"/>
      <w:lang w:eastAsia="lv-LV"/>
    </w:rPr>
  </w:style>
  <w:style w:type="paragraph" w:customStyle="1" w:styleId="Default">
    <w:name w:val="Default"/>
    <w:rsid w:val="007B0871"/>
    <w:pPr>
      <w:autoSpaceDE w:val="0"/>
      <w:autoSpaceDN w:val="0"/>
      <w:adjustRightInd w:val="0"/>
    </w:pPr>
    <w:rPr>
      <w:rFonts w:eastAsia="Calibri" w:cs="Times New Roman"/>
      <w:color w:val="000000"/>
      <w:sz w:val="24"/>
      <w:szCs w:val="24"/>
    </w:rPr>
  </w:style>
  <w:style w:type="paragraph" w:styleId="BalloonText">
    <w:name w:val="Balloon Text"/>
    <w:basedOn w:val="Normal"/>
    <w:link w:val="BalloonTextChar"/>
    <w:uiPriority w:val="99"/>
    <w:semiHidden/>
    <w:unhideWhenUsed/>
    <w:rsid w:val="00EE1B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1B15"/>
    <w:rPr>
      <w:rFonts w:ascii="Segoe UI" w:eastAsia="Times New Roman" w:hAnsi="Segoe UI" w:cs="Segoe UI"/>
      <w:sz w:val="18"/>
      <w:szCs w:val="18"/>
      <w:lang w:eastAsia="lv-LV"/>
    </w:rPr>
  </w:style>
  <w:style w:type="character" w:customStyle="1" w:styleId="UnresolvedMention1">
    <w:name w:val="Unresolved Mention1"/>
    <w:basedOn w:val="DefaultParagraphFont"/>
    <w:uiPriority w:val="99"/>
    <w:semiHidden/>
    <w:unhideWhenUsed/>
    <w:rsid w:val="0088699C"/>
    <w:rPr>
      <w:color w:val="808080"/>
      <w:shd w:val="clear" w:color="auto" w:fill="E6E6E6"/>
    </w:rPr>
  </w:style>
  <w:style w:type="character" w:styleId="CommentReference">
    <w:name w:val="annotation reference"/>
    <w:basedOn w:val="DefaultParagraphFont"/>
    <w:uiPriority w:val="99"/>
    <w:semiHidden/>
    <w:unhideWhenUsed/>
    <w:rsid w:val="00B71468"/>
    <w:rPr>
      <w:sz w:val="16"/>
      <w:szCs w:val="16"/>
    </w:rPr>
  </w:style>
  <w:style w:type="paragraph" w:styleId="CommentText">
    <w:name w:val="annotation text"/>
    <w:basedOn w:val="Normal"/>
    <w:link w:val="CommentTextChar"/>
    <w:uiPriority w:val="99"/>
    <w:unhideWhenUsed/>
    <w:rsid w:val="00B71468"/>
    <w:rPr>
      <w:sz w:val="20"/>
      <w:szCs w:val="20"/>
    </w:rPr>
  </w:style>
  <w:style w:type="character" w:customStyle="1" w:styleId="CommentTextChar">
    <w:name w:val="Comment Text Char"/>
    <w:basedOn w:val="DefaultParagraphFont"/>
    <w:link w:val="CommentText"/>
    <w:uiPriority w:val="99"/>
    <w:rsid w:val="00B71468"/>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B71468"/>
    <w:rPr>
      <w:b/>
      <w:bCs/>
    </w:rPr>
  </w:style>
  <w:style w:type="character" w:customStyle="1" w:styleId="CommentSubjectChar">
    <w:name w:val="Comment Subject Char"/>
    <w:basedOn w:val="CommentTextChar"/>
    <w:link w:val="CommentSubject"/>
    <w:uiPriority w:val="99"/>
    <w:semiHidden/>
    <w:rsid w:val="00B71468"/>
    <w:rPr>
      <w:rFonts w:eastAsia="Times New Roman" w:cs="Times New Roman"/>
      <w:b/>
      <w:bCs/>
      <w:sz w:val="20"/>
      <w:szCs w:val="20"/>
      <w:lang w:eastAsia="lv-LV"/>
    </w:rPr>
  </w:style>
  <w:style w:type="paragraph" w:styleId="Revision">
    <w:name w:val="Revision"/>
    <w:hidden/>
    <w:uiPriority w:val="99"/>
    <w:semiHidden/>
    <w:rsid w:val="00DD5B99"/>
    <w:rPr>
      <w:rFonts w:eastAsia="Times New Roman" w:cs="Times New Roman"/>
      <w:sz w:val="24"/>
      <w:szCs w:val="24"/>
      <w:lang w:eastAsia="lv-LV"/>
    </w:rPr>
  </w:style>
  <w:style w:type="paragraph" w:customStyle="1" w:styleId="tv213">
    <w:name w:val="tv213"/>
    <w:basedOn w:val="Normal"/>
    <w:rsid w:val="00C7064A"/>
    <w:pPr>
      <w:spacing w:before="100" w:beforeAutospacing="1" w:after="100" w:afterAutospacing="1"/>
    </w:pPr>
  </w:style>
  <w:style w:type="character" w:styleId="UnresolvedMention">
    <w:name w:val="Unresolved Mention"/>
    <w:basedOn w:val="DefaultParagraphFont"/>
    <w:uiPriority w:val="99"/>
    <w:semiHidden/>
    <w:unhideWhenUsed/>
    <w:rsid w:val="00890D23"/>
    <w:rPr>
      <w:color w:val="605E5C"/>
      <w:shd w:val="clear" w:color="auto" w:fill="E1DFDD"/>
    </w:rPr>
  </w:style>
  <w:style w:type="paragraph" w:styleId="FootnoteText">
    <w:name w:val="footnote text"/>
    <w:basedOn w:val="Normal"/>
    <w:link w:val="FootnoteTextChar"/>
    <w:semiHidden/>
    <w:rsid w:val="00D9400B"/>
    <w:pPr>
      <w:jc w:val="both"/>
    </w:pPr>
    <w:rPr>
      <w:sz w:val="20"/>
      <w:szCs w:val="20"/>
      <w:lang w:eastAsia="en-US"/>
    </w:rPr>
  </w:style>
  <w:style w:type="character" w:customStyle="1" w:styleId="FootnoteTextChar">
    <w:name w:val="Footnote Text Char"/>
    <w:basedOn w:val="DefaultParagraphFont"/>
    <w:link w:val="FootnoteText"/>
    <w:semiHidden/>
    <w:rsid w:val="00D9400B"/>
    <w:rPr>
      <w:rFonts w:eastAsia="Times New Roman" w:cs="Times New Roman"/>
      <w:sz w:val="20"/>
      <w:szCs w:val="20"/>
    </w:rPr>
  </w:style>
  <w:style w:type="character" w:styleId="FootnoteReference">
    <w:name w:val="footnote reference"/>
    <w:basedOn w:val="DefaultParagraphFont"/>
    <w:uiPriority w:val="99"/>
    <w:semiHidden/>
    <w:unhideWhenUsed/>
    <w:rsid w:val="006531C9"/>
    <w:rPr>
      <w:vertAlign w:val="superscript"/>
    </w:rPr>
  </w:style>
  <w:style w:type="paragraph" w:customStyle="1" w:styleId="h2">
    <w:name w:val="h2"/>
    <w:basedOn w:val="Normal"/>
    <w:uiPriority w:val="99"/>
    <w:rsid w:val="00074C77"/>
    <w:pPr>
      <w:spacing w:before="100" w:beforeAutospacing="1" w:after="100" w:afterAutospacing="1"/>
    </w:pPr>
    <w:rPr>
      <w:color w:val="306060"/>
    </w:rPr>
  </w:style>
  <w:style w:type="character" w:customStyle="1" w:styleId="Heading2Char">
    <w:name w:val="Heading 2 Char"/>
    <w:basedOn w:val="DefaultParagraphFont"/>
    <w:link w:val="Heading2"/>
    <w:rsid w:val="005B2E7F"/>
    <w:rPr>
      <w:rFonts w:eastAsia="Times New Roman" w:cs="Times New Roman"/>
      <w:i/>
      <w:iCs/>
      <w:sz w:val="24"/>
      <w:szCs w:val="24"/>
    </w:rPr>
  </w:style>
  <w:style w:type="character" w:styleId="FollowedHyperlink">
    <w:name w:val="FollowedHyperlink"/>
    <w:basedOn w:val="DefaultParagraphFont"/>
    <w:uiPriority w:val="99"/>
    <w:semiHidden/>
    <w:unhideWhenUsed/>
    <w:rsid w:val="009C63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958144">
      <w:bodyDiv w:val="1"/>
      <w:marLeft w:val="0"/>
      <w:marRight w:val="0"/>
      <w:marTop w:val="0"/>
      <w:marBottom w:val="0"/>
      <w:divBdr>
        <w:top w:val="none" w:sz="0" w:space="0" w:color="auto"/>
        <w:left w:val="none" w:sz="0" w:space="0" w:color="auto"/>
        <w:bottom w:val="none" w:sz="0" w:space="0" w:color="auto"/>
        <w:right w:val="none" w:sz="0" w:space="0" w:color="auto"/>
      </w:divBdr>
      <w:divsChild>
        <w:div w:id="2130665429">
          <w:marLeft w:val="0"/>
          <w:marRight w:val="0"/>
          <w:marTop w:val="0"/>
          <w:marBottom w:val="0"/>
          <w:divBdr>
            <w:top w:val="none" w:sz="0" w:space="0" w:color="auto"/>
            <w:left w:val="none" w:sz="0" w:space="0" w:color="auto"/>
            <w:bottom w:val="none" w:sz="0" w:space="0" w:color="auto"/>
            <w:right w:val="none" w:sz="0" w:space="0" w:color="auto"/>
          </w:divBdr>
          <w:divsChild>
            <w:div w:id="1878882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60609">
      <w:bodyDiv w:val="1"/>
      <w:marLeft w:val="0"/>
      <w:marRight w:val="0"/>
      <w:marTop w:val="0"/>
      <w:marBottom w:val="0"/>
      <w:divBdr>
        <w:top w:val="none" w:sz="0" w:space="0" w:color="auto"/>
        <w:left w:val="none" w:sz="0" w:space="0" w:color="auto"/>
        <w:bottom w:val="none" w:sz="0" w:space="0" w:color="auto"/>
        <w:right w:val="none" w:sz="0" w:space="0" w:color="auto"/>
      </w:divBdr>
    </w:div>
    <w:div w:id="760685287">
      <w:bodyDiv w:val="1"/>
      <w:marLeft w:val="0"/>
      <w:marRight w:val="0"/>
      <w:marTop w:val="0"/>
      <w:marBottom w:val="0"/>
      <w:divBdr>
        <w:top w:val="none" w:sz="0" w:space="0" w:color="auto"/>
        <w:left w:val="none" w:sz="0" w:space="0" w:color="auto"/>
        <w:bottom w:val="none" w:sz="0" w:space="0" w:color="auto"/>
        <w:right w:val="none" w:sz="0" w:space="0" w:color="auto"/>
      </w:divBdr>
    </w:div>
    <w:div w:id="925577708">
      <w:bodyDiv w:val="1"/>
      <w:marLeft w:val="0"/>
      <w:marRight w:val="0"/>
      <w:marTop w:val="0"/>
      <w:marBottom w:val="0"/>
      <w:divBdr>
        <w:top w:val="none" w:sz="0" w:space="0" w:color="auto"/>
        <w:left w:val="none" w:sz="0" w:space="0" w:color="auto"/>
        <w:bottom w:val="none" w:sz="0" w:space="0" w:color="auto"/>
        <w:right w:val="none" w:sz="0" w:space="0" w:color="auto"/>
      </w:divBdr>
    </w:div>
    <w:div w:id="957638139">
      <w:bodyDiv w:val="1"/>
      <w:marLeft w:val="0"/>
      <w:marRight w:val="0"/>
      <w:marTop w:val="0"/>
      <w:marBottom w:val="0"/>
      <w:divBdr>
        <w:top w:val="none" w:sz="0" w:space="0" w:color="auto"/>
        <w:left w:val="none" w:sz="0" w:space="0" w:color="auto"/>
        <w:bottom w:val="none" w:sz="0" w:space="0" w:color="auto"/>
        <w:right w:val="none" w:sz="0" w:space="0" w:color="auto"/>
      </w:divBdr>
    </w:div>
    <w:div w:id="1218736592">
      <w:bodyDiv w:val="1"/>
      <w:marLeft w:val="0"/>
      <w:marRight w:val="0"/>
      <w:marTop w:val="0"/>
      <w:marBottom w:val="0"/>
      <w:divBdr>
        <w:top w:val="none" w:sz="0" w:space="0" w:color="auto"/>
        <w:left w:val="none" w:sz="0" w:space="0" w:color="auto"/>
        <w:bottom w:val="none" w:sz="0" w:space="0" w:color="auto"/>
        <w:right w:val="none" w:sz="0" w:space="0" w:color="auto"/>
      </w:divBdr>
    </w:div>
    <w:div w:id="1556502130">
      <w:bodyDiv w:val="1"/>
      <w:marLeft w:val="0"/>
      <w:marRight w:val="0"/>
      <w:marTop w:val="0"/>
      <w:marBottom w:val="0"/>
      <w:divBdr>
        <w:top w:val="none" w:sz="0" w:space="0" w:color="auto"/>
        <w:left w:val="none" w:sz="0" w:space="0" w:color="auto"/>
        <w:bottom w:val="none" w:sz="0" w:space="0" w:color="auto"/>
        <w:right w:val="none" w:sz="0" w:space="0" w:color="auto"/>
      </w:divBdr>
    </w:div>
    <w:div w:id="1605646456">
      <w:bodyDiv w:val="1"/>
      <w:marLeft w:val="0"/>
      <w:marRight w:val="0"/>
      <w:marTop w:val="0"/>
      <w:marBottom w:val="0"/>
      <w:divBdr>
        <w:top w:val="none" w:sz="0" w:space="0" w:color="auto"/>
        <w:left w:val="none" w:sz="0" w:space="0" w:color="auto"/>
        <w:bottom w:val="none" w:sz="0" w:space="0" w:color="auto"/>
        <w:right w:val="none" w:sz="0" w:space="0" w:color="auto"/>
      </w:divBdr>
    </w:div>
    <w:div w:id="2045864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is.Silins@em.gov.l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Janis.Silins@em.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CE26BD-BA86-4577-9A8F-32E1B8C0C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109</TotalTime>
  <Pages>31</Pages>
  <Words>33936</Words>
  <Characters>19344</Characters>
  <Application>Microsoft Office Word</Application>
  <DocSecurity>0</DocSecurity>
  <Lines>161</Lines>
  <Paragraphs>106</Paragraphs>
  <ScaleCrop>false</ScaleCrop>
  <HeadingPairs>
    <vt:vector size="2" baseType="variant">
      <vt:variant>
        <vt:lpstr>Title</vt:lpstr>
      </vt:variant>
      <vt:variant>
        <vt:i4>1</vt:i4>
      </vt:variant>
    </vt:vector>
  </HeadingPairs>
  <TitlesOfParts>
    <vt:vector size="1" baseType="lpstr">
      <vt:lpstr>EMIzzina_03012019_Groz160.docx</vt:lpstr>
    </vt:vector>
  </TitlesOfParts>
  <Company>Ekonomikas ministrija</Company>
  <LinksUpToDate>false</LinksUpToDate>
  <CharactersWithSpaces>53174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EMIzzina_29072019_Groz160</dc:title>
  <dc:subject>Izziņa par atzinumos sniegtajiem iebildumiem un priekšlikumiem</dc:subject>
  <dc:creator>Janis.Silins@em.gov.lv</dc:creator>
  <cp:keywords/>
  <dc:description>67013005, Janis.Silins@em.gov.lv</dc:description>
  <cp:lastModifiedBy>Jānis Siliņš</cp:lastModifiedBy>
  <cp:revision>26</cp:revision>
  <cp:lastPrinted>2019-06-11T09:08:00Z</cp:lastPrinted>
  <dcterms:created xsi:type="dcterms:W3CDTF">2019-07-16T12:29:00Z</dcterms:created>
  <dcterms:modified xsi:type="dcterms:W3CDTF">2019-07-30T08:35:00Z</dcterms:modified>
</cp:coreProperties>
</file>