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1924" w14:textId="343AEA81" w:rsidR="00F86E3C" w:rsidRPr="006B7E11" w:rsidRDefault="00021AFC" w:rsidP="005E7675">
      <w:pPr>
        <w:keepNext/>
        <w:keepLines/>
        <w:tabs>
          <w:tab w:val="left" w:pos="4535"/>
          <w:tab w:val="left" w:pos="4678"/>
        </w:tabs>
        <w:suppressAutoHyphens/>
        <w:spacing w:after="0" w:line="240" w:lineRule="auto"/>
        <w:jc w:val="right"/>
        <w:rPr>
          <w:rFonts w:eastAsia="Times New Roman"/>
          <w:sz w:val="28"/>
          <w:szCs w:val="24"/>
        </w:rPr>
      </w:pPr>
      <w:bookmarkStart w:id="0" w:name="OLE_LINK2"/>
      <w:bookmarkStart w:id="1" w:name="OLE_LINK1"/>
      <w:r w:rsidRPr="006B7E11">
        <w:rPr>
          <w:rFonts w:eastAsia="Times New Roman"/>
          <w:sz w:val="28"/>
          <w:szCs w:val="24"/>
        </w:rPr>
        <w:t>Likumprojekts</w:t>
      </w:r>
      <w:r w:rsidR="008A62E8" w:rsidRPr="006B7E11">
        <w:rPr>
          <w:rFonts w:eastAsia="Times New Roman"/>
          <w:sz w:val="28"/>
          <w:szCs w:val="24"/>
        </w:rPr>
        <w:t xml:space="preserve"> </w:t>
      </w:r>
    </w:p>
    <w:p w14:paraId="3DCFB8A1" w14:textId="77777777" w:rsidR="00C913C9" w:rsidRPr="006B7E11" w:rsidRDefault="00C913C9" w:rsidP="005E7675">
      <w:pPr>
        <w:keepNext/>
        <w:keepLines/>
        <w:tabs>
          <w:tab w:val="left" w:pos="4535"/>
          <w:tab w:val="left" w:pos="4678"/>
        </w:tabs>
        <w:suppressAutoHyphens/>
        <w:spacing w:after="0" w:line="240" w:lineRule="auto"/>
        <w:jc w:val="right"/>
        <w:rPr>
          <w:rFonts w:eastAsia="Times New Roman"/>
          <w:sz w:val="28"/>
          <w:szCs w:val="24"/>
        </w:rPr>
      </w:pPr>
    </w:p>
    <w:p w14:paraId="5EC02549" w14:textId="64EAD207" w:rsidR="00832576" w:rsidRPr="006B7E11" w:rsidRDefault="00832576" w:rsidP="005E7675">
      <w:pPr>
        <w:keepNext/>
        <w:keepLines/>
        <w:tabs>
          <w:tab w:val="left" w:pos="4535"/>
          <w:tab w:val="left" w:pos="4678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</w:rPr>
      </w:pPr>
      <w:r w:rsidRPr="006B7E11">
        <w:rPr>
          <w:rFonts w:eastAsia="Times New Roman"/>
          <w:b/>
          <w:sz w:val="28"/>
          <w:szCs w:val="24"/>
        </w:rPr>
        <w:t>Grozījumi Enerģētikas likumā</w:t>
      </w:r>
    </w:p>
    <w:p w14:paraId="1F8832B5" w14:textId="77777777" w:rsidR="00C913C9" w:rsidRPr="006B7E11" w:rsidRDefault="00C913C9" w:rsidP="005E7675">
      <w:pPr>
        <w:keepNext/>
        <w:keepLines/>
        <w:tabs>
          <w:tab w:val="left" w:pos="4535"/>
          <w:tab w:val="left" w:pos="4678"/>
        </w:tabs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14:paraId="2D654268" w14:textId="2EECABD6" w:rsidR="00021AFC" w:rsidRPr="006B7E11" w:rsidRDefault="00021AFC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 w:val="28"/>
          <w:szCs w:val="24"/>
        </w:rPr>
      </w:pPr>
      <w:r w:rsidRPr="006B7E11">
        <w:rPr>
          <w:rFonts w:eastAsia="Times New Roman"/>
          <w:sz w:val="28"/>
          <w:szCs w:val="24"/>
        </w:rPr>
        <w:t xml:space="preserve">Izdarīt Enerģētikas likumā </w:t>
      </w:r>
      <w:proofErr w:type="gramStart"/>
      <w:r w:rsidR="00F53D92" w:rsidRPr="006B7E11">
        <w:rPr>
          <w:sz w:val="28"/>
          <w:szCs w:val="24"/>
          <w:shd w:val="clear" w:color="auto" w:fill="FFFFFF"/>
        </w:rPr>
        <w:t>(</w:t>
      </w:r>
      <w:proofErr w:type="gramEnd"/>
      <w:r w:rsidR="00F53D92" w:rsidRPr="006B7E11">
        <w:rPr>
          <w:sz w:val="28"/>
          <w:szCs w:val="24"/>
          <w:shd w:val="clear" w:color="auto" w:fill="FFFFFF"/>
        </w:rPr>
        <w:t>Latvijas Republikas Saeimas un Ministru Kabineta Ziņotājs, 1998, 20. nr.; 2000, 17. nr.; 2001, 12. nr.; 2005, 8., 13. nr.; 2008, 14. nr.; 2009, 2., 14. nr.; Latvijas Vēstnesis, 2010, 82., 106. nr.; 2011, 36., 161. nr.; 2012, 186. nr.; 2014, 60.</w:t>
      </w:r>
      <w:r w:rsidR="006B7E11" w:rsidRPr="006B7E11">
        <w:rPr>
          <w:sz w:val="28"/>
          <w:szCs w:val="24"/>
          <w:shd w:val="clear" w:color="auto" w:fill="FFFFFF"/>
        </w:rPr>
        <w:t> </w:t>
      </w:r>
      <w:r w:rsidR="00F53D92" w:rsidRPr="006B7E11">
        <w:rPr>
          <w:sz w:val="28"/>
          <w:szCs w:val="24"/>
          <w:shd w:val="clear" w:color="auto" w:fill="FFFFFF"/>
        </w:rPr>
        <w:t>nr.; 2016, 37., 52. nr.</w:t>
      </w:r>
      <w:r w:rsidR="003F6B66" w:rsidRPr="006B7E11">
        <w:rPr>
          <w:sz w:val="28"/>
          <w:szCs w:val="24"/>
          <w:shd w:val="clear" w:color="auto" w:fill="FFFFFF"/>
        </w:rPr>
        <w:t xml:space="preserve">; </w:t>
      </w:r>
      <w:r w:rsidR="00FD49CA" w:rsidRPr="006B7E11">
        <w:rPr>
          <w:rFonts w:eastAsia="Times New Roman"/>
          <w:sz w:val="28"/>
          <w:szCs w:val="24"/>
        </w:rPr>
        <w:t>2018, 76. nr.</w:t>
      </w:r>
      <w:r w:rsidRPr="006B7E11">
        <w:rPr>
          <w:rFonts w:eastAsia="Times New Roman"/>
          <w:sz w:val="28"/>
          <w:szCs w:val="24"/>
        </w:rPr>
        <w:t>) šādus grozījumus:</w:t>
      </w:r>
    </w:p>
    <w:p w14:paraId="548C6336" w14:textId="77777777" w:rsidR="00C913C9" w:rsidRPr="006B7E11" w:rsidRDefault="00C913C9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  <w:highlight w:val="lightGray"/>
          <w:u w:val="single"/>
        </w:rPr>
      </w:pPr>
    </w:p>
    <w:p w14:paraId="198BA4F4" w14:textId="327C48B7" w:rsidR="002E1726" w:rsidRPr="006B7E11" w:rsidRDefault="003F6B66" w:rsidP="005E7675">
      <w:pPr>
        <w:tabs>
          <w:tab w:val="left" w:pos="4678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6B7E11">
        <w:rPr>
          <w:sz w:val="28"/>
          <w:szCs w:val="24"/>
        </w:rPr>
        <w:t xml:space="preserve">1. </w:t>
      </w:r>
      <w:r w:rsidR="00C913C9" w:rsidRPr="006B7E11">
        <w:rPr>
          <w:sz w:val="28"/>
          <w:szCs w:val="24"/>
        </w:rPr>
        <w:t xml:space="preserve">Papildināt </w:t>
      </w:r>
      <w:r w:rsidR="002E1726" w:rsidRPr="006B7E11">
        <w:rPr>
          <w:sz w:val="28"/>
          <w:szCs w:val="24"/>
        </w:rPr>
        <w:t>1.</w:t>
      </w:r>
      <w:r w:rsidR="006B7E11" w:rsidRPr="006B7E11">
        <w:rPr>
          <w:sz w:val="28"/>
          <w:szCs w:val="24"/>
        </w:rPr>
        <w:t> </w:t>
      </w:r>
      <w:r w:rsidR="002E1726" w:rsidRPr="006B7E11">
        <w:rPr>
          <w:sz w:val="28"/>
          <w:szCs w:val="24"/>
        </w:rPr>
        <w:t>pant</w:t>
      </w:r>
      <w:r w:rsidR="00C913C9" w:rsidRPr="006B7E11">
        <w:rPr>
          <w:sz w:val="28"/>
          <w:szCs w:val="24"/>
        </w:rPr>
        <w:t>u ar</w:t>
      </w:r>
      <w:r w:rsidR="002E1726" w:rsidRPr="006B7E11">
        <w:rPr>
          <w:sz w:val="28"/>
          <w:szCs w:val="24"/>
        </w:rPr>
        <w:t xml:space="preserve"> 5</w:t>
      </w:r>
      <w:r w:rsidRPr="006B7E11">
        <w:rPr>
          <w:sz w:val="28"/>
          <w:szCs w:val="24"/>
        </w:rPr>
        <w:t>4</w:t>
      </w:r>
      <w:r w:rsidR="002E1726" w:rsidRPr="006B7E11">
        <w:rPr>
          <w:sz w:val="28"/>
          <w:szCs w:val="24"/>
        </w:rPr>
        <w:t>.</w:t>
      </w:r>
      <w:r w:rsidR="006B7E11" w:rsidRPr="006B7E11">
        <w:rPr>
          <w:sz w:val="28"/>
          <w:szCs w:val="24"/>
        </w:rPr>
        <w:t> </w:t>
      </w:r>
      <w:r w:rsidR="002E1726" w:rsidRPr="006B7E11">
        <w:rPr>
          <w:sz w:val="28"/>
          <w:szCs w:val="24"/>
        </w:rPr>
        <w:t>punktu šādā redakcijā:</w:t>
      </w:r>
    </w:p>
    <w:p w14:paraId="6A8D5358" w14:textId="77777777" w:rsidR="006B7E11" w:rsidRPr="006B7E11" w:rsidRDefault="006B7E11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</w:p>
    <w:p w14:paraId="16DE8165" w14:textId="277BF15E" w:rsidR="002E1726" w:rsidRPr="006B7E11" w:rsidRDefault="006B7E11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  <w:r w:rsidRPr="006B7E11">
        <w:rPr>
          <w:sz w:val="28"/>
          <w:szCs w:val="24"/>
        </w:rPr>
        <w:t>"</w:t>
      </w:r>
      <w:r w:rsidR="002E1726" w:rsidRPr="006B7E11">
        <w:rPr>
          <w:sz w:val="28"/>
          <w:szCs w:val="24"/>
        </w:rPr>
        <w:t>5</w:t>
      </w:r>
      <w:r w:rsidR="003F6B66" w:rsidRPr="006B7E11">
        <w:rPr>
          <w:sz w:val="28"/>
          <w:szCs w:val="24"/>
        </w:rPr>
        <w:t>4</w:t>
      </w:r>
      <w:r w:rsidR="002E1726" w:rsidRPr="006B7E11">
        <w:rPr>
          <w:sz w:val="28"/>
          <w:szCs w:val="24"/>
        </w:rPr>
        <w:t xml:space="preserve">) </w:t>
      </w:r>
      <w:r w:rsidR="002E1726" w:rsidRPr="006B7E11">
        <w:rPr>
          <w:b/>
          <w:sz w:val="28"/>
          <w:szCs w:val="24"/>
        </w:rPr>
        <w:t>vienot</w:t>
      </w:r>
      <w:r w:rsidR="00A608C6" w:rsidRPr="006B7E11">
        <w:rPr>
          <w:b/>
          <w:sz w:val="28"/>
          <w:szCs w:val="24"/>
        </w:rPr>
        <w:t>ā</w:t>
      </w:r>
      <w:r w:rsidR="002E1726" w:rsidRPr="006B7E11">
        <w:rPr>
          <w:b/>
          <w:sz w:val="28"/>
          <w:szCs w:val="24"/>
        </w:rPr>
        <w:t xml:space="preserve"> dabasgāzes pārvades ieejas</w:t>
      </w:r>
      <w:r w:rsidR="00F5450E">
        <w:rPr>
          <w:b/>
          <w:sz w:val="28"/>
          <w:szCs w:val="24"/>
        </w:rPr>
        <w:t>-</w:t>
      </w:r>
      <w:r w:rsidR="002E1726" w:rsidRPr="006B7E11">
        <w:rPr>
          <w:b/>
          <w:sz w:val="28"/>
          <w:szCs w:val="24"/>
        </w:rPr>
        <w:t>izejas sistēma</w:t>
      </w:r>
      <w:r w:rsidR="002E1726" w:rsidRPr="006B7E11">
        <w:rPr>
          <w:sz w:val="28"/>
          <w:szCs w:val="24"/>
        </w:rPr>
        <w:t xml:space="preserve"> – vairākas tieši savienotas Eiropas Savienības dalībvalstu dabasgāzes pārvades sistēmas, starp kurām nav komerciālu starpsavienojumu punktu</w:t>
      </w:r>
      <w:r w:rsidR="00A608C6" w:rsidRPr="006B7E11">
        <w:rPr>
          <w:sz w:val="28"/>
          <w:szCs w:val="24"/>
        </w:rPr>
        <w:t>.</w:t>
      </w:r>
      <w:r w:rsidRPr="006B7E11">
        <w:rPr>
          <w:sz w:val="28"/>
          <w:szCs w:val="24"/>
        </w:rPr>
        <w:t>"</w:t>
      </w:r>
    </w:p>
    <w:p w14:paraId="725C48E9" w14:textId="77777777" w:rsidR="006B7E11" w:rsidRPr="006B7E11" w:rsidRDefault="006B7E11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</w:p>
    <w:p w14:paraId="49B25FC1" w14:textId="64FE5DAF" w:rsidR="00F623B5" w:rsidRPr="006B7E11" w:rsidRDefault="00F623B5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  <w:r w:rsidRPr="006B7E11">
        <w:rPr>
          <w:sz w:val="28"/>
          <w:szCs w:val="24"/>
        </w:rPr>
        <w:t>2. Papildināt 15.</w:t>
      </w:r>
      <w:r w:rsidR="006B7E11" w:rsidRPr="006B7E11">
        <w:rPr>
          <w:sz w:val="28"/>
          <w:szCs w:val="24"/>
        </w:rPr>
        <w:t> </w:t>
      </w:r>
      <w:r w:rsidRPr="006B7E11">
        <w:rPr>
          <w:sz w:val="28"/>
          <w:szCs w:val="24"/>
        </w:rPr>
        <w:t>pantu ar astoto daļu šādā redakcijā:</w:t>
      </w:r>
    </w:p>
    <w:p w14:paraId="711C5B13" w14:textId="77777777" w:rsidR="006B7E11" w:rsidRPr="006B7E11" w:rsidRDefault="006B7E11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 w:val="28"/>
          <w:szCs w:val="24"/>
          <w:lang w:eastAsia="lv-LV"/>
        </w:rPr>
      </w:pPr>
    </w:p>
    <w:p w14:paraId="04A4D4AA" w14:textId="387165E8" w:rsidR="00F623B5" w:rsidRPr="006B7E11" w:rsidRDefault="006B7E11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 w:val="28"/>
          <w:szCs w:val="24"/>
          <w:lang w:eastAsia="lv-LV"/>
        </w:rPr>
      </w:pPr>
      <w:r w:rsidRPr="006B7E11">
        <w:rPr>
          <w:rFonts w:eastAsia="Times New Roman"/>
          <w:sz w:val="28"/>
          <w:szCs w:val="24"/>
          <w:lang w:eastAsia="lv-LV"/>
        </w:rPr>
        <w:t>"</w:t>
      </w:r>
      <w:r w:rsidR="00F623B5" w:rsidRPr="006B7E11">
        <w:rPr>
          <w:rFonts w:eastAsia="Times New Roman"/>
          <w:sz w:val="28"/>
          <w:szCs w:val="24"/>
          <w:lang w:eastAsia="lv-LV"/>
        </w:rPr>
        <w:t>(8) Dabasgāzes pārvades sistēmas operators un regulators nepiemēro šā panta septīto daļu, ja atbilstoši šā likuma 117.</w:t>
      </w:r>
      <w:r w:rsidRPr="006B7E11">
        <w:rPr>
          <w:rFonts w:eastAsia="Times New Roman"/>
          <w:sz w:val="28"/>
          <w:szCs w:val="24"/>
          <w:lang w:eastAsia="lv-LV"/>
        </w:rPr>
        <w:t> </w:t>
      </w:r>
      <w:r w:rsidR="00F623B5" w:rsidRPr="006B7E11">
        <w:rPr>
          <w:rFonts w:eastAsia="Times New Roman"/>
          <w:sz w:val="28"/>
          <w:szCs w:val="24"/>
          <w:lang w:eastAsia="lv-LV"/>
        </w:rPr>
        <w:t>panta pirmajai daļai un trešās daļas 1.</w:t>
      </w:r>
      <w:r w:rsidRPr="006B7E11">
        <w:rPr>
          <w:rFonts w:eastAsia="Times New Roman"/>
          <w:sz w:val="28"/>
          <w:szCs w:val="24"/>
          <w:lang w:eastAsia="lv-LV"/>
        </w:rPr>
        <w:t> </w:t>
      </w:r>
      <w:r w:rsidR="00F623B5" w:rsidRPr="006B7E11">
        <w:rPr>
          <w:rFonts w:eastAsia="Times New Roman"/>
          <w:sz w:val="28"/>
          <w:szCs w:val="24"/>
          <w:lang w:eastAsia="lv-LV"/>
        </w:rPr>
        <w:t>punktam ir izveidota vienot</w:t>
      </w:r>
      <w:r w:rsidR="005E7675">
        <w:rPr>
          <w:rFonts w:eastAsia="Times New Roman"/>
          <w:sz w:val="28"/>
          <w:szCs w:val="24"/>
          <w:lang w:eastAsia="lv-LV"/>
        </w:rPr>
        <w:t>ā</w:t>
      </w:r>
      <w:r w:rsidR="00F623B5" w:rsidRPr="006B7E11">
        <w:rPr>
          <w:rFonts w:eastAsia="Times New Roman"/>
          <w:sz w:val="28"/>
          <w:szCs w:val="24"/>
          <w:lang w:eastAsia="lv-LV"/>
        </w:rPr>
        <w:t xml:space="preserve"> dabasgāzes pārvades ieejas</w:t>
      </w:r>
      <w:r w:rsidR="00F5450E">
        <w:rPr>
          <w:rFonts w:eastAsia="Times New Roman"/>
          <w:sz w:val="28"/>
          <w:szCs w:val="24"/>
          <w:lang w:eastAsia="lv-LV"/>
        </w:rPr>
        <w:t>-</w:t>
      </w:r>
      <w:r w:rsidR="00F623B5" w:rsidRPr="006B7E11">
        <w:rPr>
          <w:rFonts w:eastAsia="Times New Roman"/>
          <w:sz w:val="28"/>
          <w:szCs w:val="24"/>
          <w:lang w:eastAsia="lv-LV"/>
        </w:rPr>
        <w:t xml:space="preserve">izejas sistēma un regulators ir saskaņojis </w:t>
      </w:r>
      <w:r w:rsidR="00E93B0F">
        <w:rPr>
          <w:rFonts w:eastAsia="Times New Roman"/>
          <w:sz w:val="28"/>
          <w:szCs w:val="24"/>
          <w:lang w:eastAsia="lv-LV"/>
        </w:rPr>
        <w:t>minētās</w:t>
      </w:r>
      <w:r w:rsidR="00F623B5" w:rsidRPr="006B7E11">
        <w:rPr>
          <w:rFonts w:eastAsia="Times New Roman"/>
          <w:sz w:val="28"/>
          <w:szCs w:val="24"/>
          <w:lang w:eastAsia="lv-LV"/>
        </w:rPr>
        <w:t xml:space="preserve"> sistēmas lietošanas noteikumus.</w:t>
      </w:r>
      <w:r w:rsidRPr="006B7E11">
        <w:rPr>
          <w:rFonts w:eastAsia="Times New Roman"/>
          <w:sz w:val="28"/>
          <w:szCs w:val="24"/>
          <w:lang w:eastAsia="lv-LV"/>
        </w:rPr>
        <w:t>"</w:t>
      </w:r>
    </w:p>
    <w:p w14:paraId="73EBD4E9" w14:textId="77777777" w:rsidR="006B7E11" w:rsidRPr="006B7E11" w:rsidRDefault="006B7E11" w:rsidP="005E7675">
      <w:pPr>
        <w:tabs>
          <w:tab w:val="left" w:pos="4678"/>
        </w:tabs>
        <w:spacing w:after="0" w:line="240" w:lineRule="auto"/>
        <w:ind w:firstLine="709"/>
        <w:jc w:val="both"/>
        <w:rPr>
          <w:sz w:val="28"/>
          <w:szCs w:val="24"/>
        </w:rPr>
      </w:pPr>
    </w:p>
    <w:p w14:paraId="1BD807C9" w14:textId="7EBDE62F" w:rsidR="00F623B5" w:rsidRPr="006B7E11" w:rsidRDefault="00A608C6" w:rsidP="005E7675">
      <w:pPr>
        <w:tabs>
          <w:tab w:val="left" w:pos="4678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6B7E11">
        <w:rPr>
          <w:sz w:val="28"/>
          <w:szCs w:val="24"/>
        </w:rPr>
        <w:t xml:space="preserve">3. </w:t>
      </w:r>
      <w:r w:rsidR="00F623B5" w:rsidRPr="006B7E11">
        <w:rPr>
          <w:sz w:val="28"/>
          <w:szCs w:val="24"/>
        </w:rPr>
        <w:t>Izteikt 45.</w:t>
      </w:r>
      <w:r w:rsidR="00F623B5" w:rsidRPr="006B7E11">
        <w:rPr>
          <w:sz w:val="28"/>
          <w:szCs w:val="24"/>
          <w:vertAlign w:val="superscript"/>
        </w:rPr>
        <w:t>2</w:t>
      </w:r>
      <w:r w:rsidR="006B7E11" w:rsidRPr="006B7E11">
        <w:rPr>
          <w:sz w:val="28"/>
          <w:szCs w:val="24"/>
          <w:vertAlign w:val="superscript"/>
        </w:rPr>
        <w:t> </w:t>
      </w:r>
      <w:r w:rsidR="00F623B5" w:rsidRPr="006B7E11">
        <w:rPr>
          <w:sz w:val="28"/>
          <w:szCs w:val="24"/>
        </w:rPr>
        <w:t>pantu</w:t>
      </w:r>
      <w:r w:rsidR="00761F63" w:rsidRPr="006B7E11">
        <w:rPr>
          <w:sz w:val="28"/>
          <w:szCs w:val="24"/>
        </w:rPr>
        <w:t xml:space="preserve"> </w:t>
      </w:r>
      <w:r w:rsidR="00F623B5" w:rsidRPr="006B7E11">
        <w:rPr>
          <w:sz w:val="28"/>
          <w:szCs w:val="24"/>
        </w:rPr>
        <w:t>šādā redakcijā:</w:t>
      </w:r>
    </w:p>
    <w:p w14:paraId="366C99DA" w14:textId="77777777" w:rsidR="006B7E11" w:rsidRPr="006B7E11" w:rsidRDefault="006B7E11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</w:p>
    <w:p w14:paraId="55830CD4" w14:textId="563499BA" w:rsidR="00EF799C" w:rsidRPr="006B7E11" w:rsidRDefault="006B7E11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  <w:r w:rsidRPr="006B7E11">
        <w:rPr>
          <w:sz w:val="28"/>
          <w:szCs w:val="24"/>
        </w:rPr>
        <w:t>"</w:t>
      </w:r>
      <w:r w:rsidR="00EF799C" w:rsidRPr="006B7E11">
        <w:rPr>
          <w:b/>
          <w:sz w:val="28"/>
          <w:szCs w:val="24"/>
        </w:rPr>
        <w:t>45.</w:t>
      </w:r>
      <w:r w:rsidR="00EF799C" w:rsidRPr="006B7E11">
        <w:rPr>
          <w:b/>
          <w:sz w:val="28"/>
          <w:szCs w:val="24"/>
          <w:vertAlign w:val="superscript"/>
        </w:rPr>
        <w:t>2</w:t>
      </w:r>
      <w:r w:rsidRPr="006B7E11">
        <w:rPr>
          <w:b/>
          <w:sz w:val="28"/>
          <w:szCs w:val="24"/>
          <w:vertAlign w:val="superscript"/>
        </w:rPr>
        <w:t> </w:t>
      </w:r>
      <w:r w:rsidR="00EF799C" w:rsidRPr="006B7E11">
        <w:rPr>
          <w:b/>
          <w:sz w:val="28"/>
          <w:szCs w:val="24"/>
        </w:rPr>
        <w:t>pants</w:t>
      </w:r>
    </w:p>
    <w:p w14:paraId="10FCC47B" w14:textId="016D347B" w:rsidR="00133AD7" w:rsidRPr="006B7E11" w:rsidRDefault="00133AD7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  <w:r w:rsidRPr="006B7E11">
        <w:rPr>
          <w:sz w:val="28"/>
          <w:szCs w:val="24"/>
        </w:rPr>
        <w:t>(1) Dabasgāzes pārvades sistēmas tehnisko balansēšanu nodrošina pārvades sistēmas operators.</w:t>
      </w:r>
    </w:p>
    <w:p w14:paraId="4C0A4E5E" w14:textId="77777777" w:rsidR="00133AD7" w:rsidRPr="006B7E11" w:rsidRDefault="00133AD7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  <w:r w:rsidRPr="006B7E11">
        <w:rPr>
          <w:sz w:val="28"/>
          <w:szCs w:val="24"/>
        </w:rPr>
        <w:t>(2) Dabasgāzes pārvades sistēmas lietotājs slēdz balansēšanas līgumu ar dabasgāzes pārvades sistēmas operatoru un atbild par dabasgāzes pārvades sistēmā ievadītā un izvadītā dabasgāzes apjoma balansu.</w:t>
      </w:r>
    </w:p>
    <w:p w14:paraId="426D4204" w14:textId="6B22280F" w:rsidR="00133AD7" w:rsidRPr="006B7E11" w:rsidRDefault="00133AD7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  <w:r w:rsidRPr="006B7E11">
        <w:rPr>
          <w:sz w:val="28"/>
          <w:szCs w:val="24"/>
        </w:rPr>
        <w:t xml:space="preserve">(3) Dabasgāzes pārvades sistēmas operators </w:t>
      </w:r>
      <w:r w:rsidR="00EE4DAB">
        <w:rPr>
          <w:sz w:val="28"/>
          <w:szCs w:val="24"/>
        </w:rPr>
        <w:t>nodrošina, ka</w:t>
      </w:r>
      <w:r w:rsidRPr="006B7E11">
        <w:rPr>
          <w:sz w:val="28"/>
          <w:szCs w:val="24"/>
        </w:rPr>
        <w:t xml:space="preserve"> balansēšanas aprēķin</w:t>
      </w:r>
      <w:r w:rsidR="00EE4DAB">
        <w:rPr>
          <w:sz w:val="28"/>
          <w:szCs w:val="24"/>
        </w:rPr>
        <w:t xml:space="preserve">i tiek veikti </w:t>
      </w:r>
      <w:r w:rsidRPr="006B7E11">
        <w:rPr>
          <w:sz w:val="28"/>
          <w:szCs w:val="24"/>
        </w:rPr>
        <w:t xml:space="preserve">saskaņā ar </w:t>
      </w:r>
      <w:r w:rsidR="00545503">
        <w:rPr>
          <w:sz w:val="28"/>
          <w:szCs w:val="24"/>
        </w:rPr>
        <w:t xml:space="preserve">pārvades </w:t>
      </w:r>
      <w:bookmarkStart w:id="2" w:name="_GoBack"/>
      <w:bookmarkEnd w:id="2"/>
      <w:r w:rsidR="00EE553C">
        <w:rPr>
          <w:sz w:val="28"/>
          <w:szCs w:val="24"/>
        </w:rPr>
        <w:t>sistēmas o</w:t>
      </w:r>
      <w:r w:rsidR="00EE4DAB">
        <w:rPr>
          <w:sz w:val="28"/>
          <w:szCs w:val="24"/>
        </w:rPr>
        <w:t>p</w:t>
      </w:r>
      <w:r w:rsidR="00EE553C">
        <w:rPr>
          <w:sz w:val="28"/>
          <w:szCs w:val="24"/>
        </w:rPr>
        <w:t>eratora</w:t>
      </w:r>
      <w:r w:rsidRPr="006B7E11">
        <w:rPr>
          <w:sz w:val="28"/>
          <w:szCs w:val="24"/>
        </w:rPr>
        <w:t xml:space="preserve"> izstrādātajiem un regulatora apstiprinātajiem noteikumiem pārskatāmi un nepieļaujot diskrimināciju. Dabasgāzes pārvades sistēmas lietotājam ir pienākums norēķināties par </w:t>
      </w:r>
      <w:proofErr w:type="spellStart"/>
      <w:r w:rsidRPr="006B7E11">
        <w:rPr>
          <w:sz w:val="28"/>
          <w:szCs w:val="24"/>
        </w:rPr>
        <w:t>nebalansu</w:t>
      </w:r>
      <w:proofErr w:type="spellEnd"/>
      <w:r w:rsidRPr="006B7E11">
        <w:rPr>
          <w:sz w:val="28"/>
          <w:szCs w:val="24"/>
        </w:rPr>
        <w:t xml:space="preserve">. </w:t>
      </w:r>
    </w:p>
    <w:p w14:paraId="748A736F" w14:textId="624FFC8C" w:rsidR="006B7E11" w:rsidRPr="006B7E11" w:rsidRDefault="00133AD7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  <w:r w:rsidRPr="006B7E11">
        <w:rPr>
          <w:sz w:val="28"/>
          <w:szCs w:val="24"/>
        </w:rPr>
        <w:t>(4) Balansēšanas aprēķini tiek veikti, pamatojoties uz balansēšanas periodā pārvades sistēmā ievadīto un izvadīto dabasgāzes apjomu. Balansēšanas aprēķiniem ir jābūt pieejamiem darījumā iesaistītajiem tirgus dalībniekiem, nepārkāpjot to komercnoslēpumu aizsardzību.</w:t>
      </w:r>
    </w:p>
    <w:p w14:paraId="7E7B5D4F" w14:textId="5EBAFDB8" w:rsidR="00133AD7" w:rsidRPr="006B7E11" w:rsidRDefault="00133AD7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  <w:r w:rsidRPr="006B7E11">
        <w:rPr>
          <w:sz w:val="28"/>
          <w:szCs w:val="24"/>
        </w:rPr>
        <w:t>(5) Dabasgāzes pārvades sistēmas lietotājs sniedz dabasgāzes pārvades sistēmas operatoram informāciju, kas pamatoti nepieciešama balansēšanai un balansēšanas aprēķinu veikšanai.</w:t>
      </w:r>
    </w:p>
    <w:p w14:paraId="5DB7A6CB" w14:textId="77777777" w:rsidR="00133AD7" w:rsidRPr="006B7E11" w:rsidRDefault="00133AD7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  <w:r w:rsidRPr="006B7E11">
        <w:rPr>
          <w:sz w:val="28"/>
          <w:szCs w:val="24"/>
        </w:rPr>
        <w:lastRenderedPageBreak/>
        <w:t>(6) Lai nodrošinātu maksājumus par balansēšanu, dabasgāzes pārvades sistēmas operators var pieprasīt no dabasgāzes pārvades sistēmas lietotājiem garantijas saskaņā ar šā panta trešajā daļā minētajiem noteikumiem.</w:t>
      </w:r>
    </w:p>
    <w:p w14:paraId="2C8FCB03" w14:textId="5173C44F" w:rsidR="00F623B5" w:rsidRPr="006B7E11" w:rsidRDefault="00F623B5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  <w:r w:rsidRPr="006B7E11">
        <w:rPr>
          <w:sz w:val="28"/>
          <w:szCs w:val="24"/>
        </w:rPr>
        <w:t>(7) Ja atbilstoši šā likuma 117.</w:t>
      </w:r>
      <w:r w:rsidR="006B7E11" w:rsidRPr="006B7E11">
        <w:rPr>
          <w:sz w:val="28"/>
          <w:szCs w:val="24"/>
        </w:rPr>
        <w:t> </w:t>
      </w:r>
      <w:r w:rsidRPr="006B7E11">
        <w:rPr>
          <w:sz w:val="28"/>
          <w:szCs w:val="24"/>
        </w:rPr>
        <w:t>pantam ir izveidota vienot</w:t>
      </w:r>
      <w:r w:rsidR="00EE553C">
        <w:rPr>
          <w:sz w:val="28"/>
          <w:szCs w:val="24"/>
        </w:rPr>
        <w:t>ā</w:t>
      </w:r>
      <w:r w:rsidRPr="006B7E11">
        <w:rPr>
          <w:sz w:val="28"/>
          <w:szCs w:val="24"/>
        </w:rPr>
        <w:t xml:space="preserve"> dabasgāzes pārvades ieejas</w:t>
      </w:r>
      <w:r w:rsidR="00F5450E">
        <w:rPr>
          <w:sz w:val="28"/>
          <w:szCs w:val="24"/>
        </w:rPr>
        <w:t>-</w:t>
      </w:r>
      <w:r w:rsidRPr="006B7E11">
        <w:rPr>
          <w:sz w:val="28"/>
          <w:szCs w:val="24"/>
        </w:rPr>
        <w:t>izejas sistēma un regulators ir saskaņojis vienotās dabasgāzes pārvades ieejas</w:t>
      </w:r>
      <w:r w:rsidR="00F5450E">
        <w:rPr>
          <w:sz w:val="28"/>
          <w:szCs w:val="24"/>
        </w:rPr>
        <w:t>-</w:t>
      </w:r>
      <w:r w:rsidRPr="006B7E11">
        <w:rPr>
          <w:sz w:val="28"/>
          <w:szCs w:val="24"/>
        </w:rPr>
        <w:t>izejas sistēmas balansēšanas noteikumus, šo pantu piemēro, ciktāl šā likuma 117.</w:t>
      </w:r>
      <w:r w:rsidR="006B7E11" w:rsidRPr="006B7E11">
        <w:rPr>
          <w:sz w:val="28"/>
          <w:szCs w:val="24"/>
        </w:rPr>
        <w:t> </w:t>
      </w:r>
      <w:r w:rsidRPr="006B7E11">
        <w:rPr>
          <w:sz w:val="28"/>
          <w:szCs w:val="24"/>
        </w:rPr>
        <w:t>panta ceturtajā un piektajā daļā nav noteikts citādi.</w:t>
      </w:r>
      <w:r w:rsidR="006B7E11" w:rsidRPr="006B7E11">
        <w:rPr>
          <w:sz w:val="28"/>
          <w:szCs w:val="24"/>
        </w:rPr>
        <w:t>"</w:t>
      </w:r>
    </w:p>
    <w:p w14:paraId="2DF2D8A5" w14:textId="77777777" w:rsidR="006B7E11" w:rsidRPr="006B7E11" w:rsidRDefault="006B7E11" w:rsidP="005E7675">
      <w:pPr>
        <w:tabs>
          <w:tab w:val="left" w:pos="4678"/>
        </w:tabs>
        <w:spacing w:after="0" w:line="240" w:lineRule="auto"/>
        <w:ind w:firstLine="709"/>
        <w:jc w:val="both"/>
        <w:rPr>
          <w:sz w:val="28"/>
          <w:szCs w:val="24"/>
        </w:rPr>
      </w:pPr>
    </w:p>
    <w:p w14:paraId="03D36DCB" w14:textId="465F21C9" w:rsidR="00B12F94" w:rsidRPr="006B7E11" w:rsidRDefault="008718B8" w:rsidP="005E7675">
      <w:pPr>
        <w:tabs>
          <w:tab w:val="left" w:pos="4678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6B7E11">
        <w:rPr>
          <w:sz w:val="28"/>
          <w:szCs w:val="24"/>
        </w:rPr>
        <w:t xml:space="preserve">4. </w:t>
      </w:r>
      <w:r w:rsidR="00B12F94" w:rsidRPr="006B7E11">
        <w:rPr>
          <w:sz w:val="28"/>
          <w:szCs w:val="24"/>
        </w:rPr>
        <w:t>Izteikt 85.</w:t>
      </w:r>
      <w:r w:rsidR="006B7E11" w:rsidRPr="006B7E11">
        <w:rPr>
          <w:sz w:val="28"/>
          <w:szCs w:val="24"/>
        </w:rPr>
        <w:t> </w:t>
      </w:r>
      <w:r w:rsidR="00B12F94" w:rsidRPr="006B7E11">
        <w:rPr>
          <w:sz w:val="28"/>
          <w:szCs w:val="24"/>
        </w:rPr>
        <w:t>panta pirmo daļu šādā redakcijā:</w:t>
      </w:r>
    </w:p>
    <w:p w14:paraId="1181A0ED" w14:textId="77777777" w:rsidR="006B7E11" w:rsidRPr="006B7E11" w:rsidRDefault="006B7E11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</w:p>
    <w:p w14:paraId="62AE576A" w14:textId="30D5F34A" w:rsidR="00CB716F" w:rsidRPr="006B7E11" w:rsidRDefault="006B7E11" w:rsidP="005E7675">
      <w:pPr>
        <w:pStyle w:val="ListParagraph"/>
        <w:tabs>
          <w:tab w:val="left" w:pos="4678"/>
        </w:tabs>
        <w:spacing w:after="0" w:line="240" w:lineRule="auto"/>
        <w:ind w:left="0" w:firstLine="709"/>
        <w:contextualSpacing w:val="0"/>
        <w:jc w:val="both"/>
        <w:rPr>
          <w:sz w:val="28"/>
          <w:szCs w:val="24"/>
        </w:rPr>
      </w:pPr>
      <w:r w:rsidRPr="006B7E11">
        <w:rPr>
          <w:sz w:val="28"/>
          <w:szCs w:val="24"/>
        </w:rPr>
        <w:t>"</w:t>
      </w:r>
      <w:r w:rsidR="00CB716F" w:rsidRPr="006B7E11">
        <w:rPr>
          <w:sz w:val="28"/>
          <w:szCs w:val="24"/>
        </w:rPr>
        <w:t>(1) Regulators savas kompetences ietvaros izdod energoapgādi regulējošus normatīvus, tostarp tādus normatīvus, kas nepieciešami Eiropas Savienības tiesību aktu piemērošanai. Regulators sniedz skaidrojumu par savas kompetences ietvaros izdotajiem energoapgādi regulējošiem normatīviem.</w:t>
      </w:r>
      <w:r w:rsidRPr="006B7E11">
        <w:rPr>
          <w:sz w:val="28"/>
          <w:szCs w:val="24"/>
        </w:rPr>
        <w:t>"</w:t>
      </w:r>
    </w:p>
    <w:p w14:paraId="75C013AF" w14:textId="77777777" w:rsidR="006B7E11" w:rsidRPr="006B7E11" w:rsidRDefault="006B7E11" w:rsidP="005E7675">
      <w:pPr>
        <w:tabs>
          <w:tab w:val="left" w:pos="4678"/>
        </w:tabs>
        <w:spacing w:after="0" w:line="240" w:lineRule="auto"/>
        <w:ind w:firstLine="709"/>
        <w:jc w:val="both"/>
        <w:rPr>
          <w:sz w:val="28"/>
          <w:szCs w:val="24"/>
        </w:rPr>
      </w:pPr>
    </w:p>
    <w:p w14:paraId="6B9FF86A" w14:textId="77EC7078" w:rsidR="000A7824" w:rsidRPr="006B7E11" w:rsidRDefault="00173769" w:rsidP="005E7675">
      <w:pPr>
        <w:tabs>
          <w:tab w:val="left" w:pos="4678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6B7E11">
        <w:rPr>
          <w:sz w:val="28"/>
          <w:szCs w:val="24"/>
        </w:rPr>
        <w:t xml:space="preserve">5. </w:t>
      </w:r>
      <w:r w:rsidR="000A7824" w:rsidRPr="006B7E11">
        <w:rPr>
          <w:sz w:val="28"/>
          <w:szCs w:val="24"/>
        </w:rPr>
        <w:t>Papildināt XV nodaļu ar 117.</w:t>
      </w:r>
      <w:r w:rsidR="006B7E11" w:rsidRPr="006B7E11">
        <w:rPr>
          <w:sz w:val="28"/>
          <w:szCs w:val="24"/>
        </w:rPr>
        <w:t> </w:t>
      </w:r>
      <w:r w:rsidR="000A7824" w:rsidRPr="006B7E11">
        <w:rPr>
          <w:sz w:val="28"/>
          <w:szCs w:val="24"/>
        </w:rPr>
        <w:t>pantu šādā redakcijā:</w:t>
      </w:r>
    </w:p>
    <w:p w14:paraId="37CABA15" w14:textId="77777777" w:rsidR="006B7E11" w:rsidRPr="006B7E11" w:rsidRDefault="006B7E11" w:rsidP="005E7675">
      <w:pPr>
        <w:tabs>
          <w:tab w:val="left" w:pos="4678"/>
        </w:tabs>
        <w:spacing w:after="0" w:line="240" w:lineRule="auto"/>
        <w:ind w:firstLine="709"/>
        <w:jc w:val="both"/>
        <w:rPr>
          <w:sz w:val="28"/>
          <w:szCs w:val="24"/>
        </w:rPr>
      </w:pPr>
    </w:p>
    <w:p w14:paraId="7309F17E" w14:textId="44A39086" w:rsidR="000A7824" w:rsidRPr="006B7E11" w:rsidRDefault="006B7E11" w:rsidP="00DF0D4D">
      <w:pPr>
        <w:tabs>
          <w:tab w:val="left" w:pos="4678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6B7E11">
        <w:rPr>
          <w:sz w:val="28"/>
          <w:szCs w:val="24"/>
        </w:rPr>
        <w:t>"</w:t>
      </w:r>
      <w:r w:rsidR="000A7824" w:rsidRPr="006B7E11">
        <w:rPr>
          <w:b/>
          <w:sz w:val="28"/>
          <w:szCs w:val="24"/>
        </w:rPr>
        <w:t>117.</w:t>
      </w:r>
      <w:r w:rsidRPr="006B7E11">
        <w:rPr>
          <w:b/>
          <w:sz w:val="28"/>
          <w:szCs w:val="24"/>
        </w:rPr>
        <w:t> </w:t>
      </w:r>
      <w:r w:rsidR="000A7824" w:rsidRPr="006B7E11">
        <w:rPr>
          <w:b/>
          <w:sz w:val="28"/>
          <w:szCs w:val="24"/>
        </w:rPr>
        <w:t>pants</w:t>
      </w:r>
      <w:r w:rsidR="000A7824" w:rsidRPr="006B7E11">
        <w:rPr>
          <w:sz w:val="28"/>
          <w:szCs w:val="24"/>
        </w:rPr>
        <w:t xml:space="preserve"> </w:t>
      </w:r>
    </w:p>
    <w:p w14:paraId="5F8259B2" w14:textId="6C59E5D0" w:rsidR="000A7824" w:rsidRPr="00DF0D4D" w:rsidRDefault="00DF0D4D" w:rsidP="00DF0D4D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(1) </w:t>
      </w:r>
      <w:r w:rsidR="000A7824" w:rsidRPr="00DF0D4D">
        <w:rPr>
          <w:sz w:val="28"/>
          <w:szCs w:val="24"/>
        </w:rPr>
        <w:t>Dabasgāzes pārvades sistēmas operators var vienoties ar citas Eiropas Savienības dalībvalsts dabasgāzes pārvades sistēmas operatoru par vienot</w:t>
      </w:r>
      <w:r w:rsidR="00173769" w:rsidRPr="00DF0D4D">
        <w:rPr>
          <w:sz w:val="28"/>
          <w:szCs w:val="24"/>
        </w:rPr>
        <w:t>ā</w:t>
      </w:r>
      <w:r w:rsidR="000A7824" w:rsidRPr="00DF0D4D">
        <w:rPr>
          <w:sz w:val="28"/>
          <w:szCs w:val="24"/>
        </w:rPr>
        <w:t>s dabasgāzes pārvades ieejas</w:t>
      </w:r>
      <w:r w:rsidR="00F5450E">
        <w:rPr>
          <w:sz w:val="28"/>
          <w:szCs w:val="24"/>
        </w:rPr>
        <w:t>-</w:t>
      </w:r>
      <w:r w:rsidR="000A7824" w:rsidRPr="00DF0D4D">
        <w:rPr>
          <w:sz w:val="28"/>
          <w:szCs w:val="24"/>
        </w:rPr>
        <w:t>izejas sistēmas</w:t>
      </w:r>
      <w:r w:rsidR="000A7824" w:rsidRPr="00DF0D4D" w:rsidDel="00477DE4">
        <w:rPr>
          <w:sz w:val="28"/>
          <w:szCs w:val="24"/>
        </w:rPr>
        <w:t xml:space="preserve"> </w:t>
      </w:r>
      <w:r w:rsidR="000A7824" w:rsidRPr="00DF0D4D">
        <w:rPr>
          <w:sz w:val="28"/>
          <w:szCs w:val="24"/>
        </w:rPr>
        <w:t>izveidi.</w:t>
      </w:r>
    </w:p>
    <w:p w14:paraId="26B7E34C" w14:textId="5B42D84C" w:rsidR="000A7824" w:rsidRPr="00DF0D4D" w:rsidRDefault="00DF0D4D" w:rsidP="00DF0D4D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rFonts w:eastAsia="Times New Roman"/>
          <w:iCs/>
          <w:sz w:val="28"/>
          <w:szCs w:val="24"/>
          <w:lang w:eastAsia="lv-LV"/>
        </w:rPr>
        <w:t>(2) </w:t>
      </w:r>
      <w:r w:rsidR="000A7824" w:rsidRPr="00DF0D4D">
        <w:rPr>
          <w:rFonts w:eastAsia="Times New Roman"/>
          <w:iCs/>
          <w:sz w:val="28"/>
          <w:szCs w:val="24"/>
          <w:lang w:eastAsia="lv-LV"/>
        </w:rPr>
        <w:t xml:space="preserve">Ja saskaņā ar šā panta pirmo daļu dabasgāzes pārvades sistēmas operatori ir vienojušies par </w:t>
      </w:r>
      <w:r w:rsidR="000A7824" w:rsidRPr="00DF0D4D">
        <w:rPr>
          <w:sz w:val="28"/>
          <w:szCs w:val="24"/>
        </w:rPr>
        <w:t>vienot</w:t>
      </w:r>
      <w:r>
        <w:rPr>
          <w:sz w:val="28"/>
          <w:szCs w:val="24"/>
        </w:rPr>
        <w:t>ā</w:t>
      </w:r>
      <w:r w:rsidR="000A7824" w:rsidRPr="00DF0D4D">
        <w:rPr>
          <w:sz w:val="28"/>
          <w:szCs w:val="24"/>
        </w:rPr>
        <w:t>s dabasgāzes pārvades ieejas</w:t>
      </w:r>
      <w:r w:rsidR="00F5450E">
        <w:rPr>
          <w:sz w:val="28"/>
          <w:szCs w:val="24"/>
        </w:rPr>
        <w:t>-</w:t>
      </w:r>
      <w:r w:rsidR="000A7824" w:rsidRPr="00DF0D4D">
        <w:rPr>
          <w:sz w:val="28"/>
          <w:szCs w:val="24"/>
        </w:rPr>
        <w:t>izejas sistēmas</w:t>
      </w:r>
      <w:r w:rsidR="000A7824" w:rsidRPr="00DF0D4D" w:rsidDel="00477DE4">
        <w:rPr>
          <w:sz w:val="28"/>
          <w:szCs w:val="24"/>
        </w:rPr>
        <w:t xml:space="preserve"> </w:t>
      </w:r>
      <w:r w:rsidR="000A7824" w:rsidRPr="00DF0D4D">
        <w:rPr>
          <w:sz w:val="28"/>
          <w:szCs w:val="24"/>
        </w:rPr>
        <w:t>izveidi,</w:t>
      </w:r>
      <w:r w:rsidR="000A7824" w:rsidRPr="00DF0D4D">
        <w:rPr>
          <w:rFonts w:eastAsia="Times New Roman"/>
          <w:iCs/>
          <w:sz w:val="28"/>
          <w:szCs w:val="24"/>
          <w:lang w:eastAsia="lv-LV"/>
        </w:rPr>
        <w:t xml:space="preserve"> regulators vienojas ar attiecīgo Eiropas Savienības dalībvalstu regulatīvajām iestādēm par dabasgāzes pārvades sistēmas pakalpojuma tarifu noteikšanu vienotajā dabasgāzes pārvades ieejas</w:t>
      </w:r>
      <w:r w:rsidR="00F5450E">
        <w:rPr>
          <w:rFonts w:eastAsia="Times New Roman"/>
          <w:iCs/>
          <w:sz w:val="28"/>
          <w:szCs w:val="24"/>
          <w:lang w:eastAsia="lv-LV"/>
        </w:rPr>
        <w:t>-</w:t>
      </w:r>
      <w:r w:rsidR="000A7824" w:rsidRPr="00DF0D4D">
        <w:rPr>
          <w:rFonts w:eastAsia="Times New Roman"/>
          <w:iCs/>
          <w:sz w:val="28"/>
          <w:szCs w:val="24"/>
          <w:lang w:eastAsia="lv-LV"/>
        </w:rPr>
        <w:t xml:space="preserve">izejas sistēmā. </w:t>
      </w:r>
    </w:p>
    <w:p w14:paraId="7797A815" w14:textId="405743A3" w:rsidR="000A7824" w:rsidRPr="00DF0D4D" w:rsidRDefault="00DF0D4D" w:rsidP="00DF0D4D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(3) </w:t>
      </w:r>
      <w:r w:rsidR="000A7824" w:rsidRPr="00DF0D4D">
        <w:rPr>
          <w:sz w:val="28"/>
          <w:szCs w:val="24"/>
        </w:rPr>
        <w:t xml:space="preserve">Dabasgāzes pārvades sistēmas operators sadarbībā ar </w:t>
      </w:r>
      <w:bookmarkStart w:id="3" w:name="_Hlk536196642"/>
      <w:r w:rsidR="000A7824" w:rsidRPr="00DF0D4D">
        <w:rPr>
          <w:sz w:val="28"/>
          <w:szCs w:val="24"/>
        </w:rPr>
        <w:t>vienotajā dabasgāzes pārvades ieejas</w:t>
      </w:r>
      <w:r w:rsidR="00F5450E">
        <w:rPr>
          <w:sz w:val="28"/>
          <w:szCs w:val="24"/>
        </w:rPr>
        <w:t>-</w:t>
      </w:r>
      <w:r w:rsidR="000A7824" w:rsidRPr="00DF0D4D">
        <w:rPr>
          <w:sz w:val="28"/>
          <w:szCs w:val="24"/>
        </w:rPr>
        <w:t>izejas sistēmā</w:t>
      </w:r>
      <w:bookmarkEnd w:id="3"/>
      <w:r w:rsidR="000A7824" w:rsidRPr="00DF0D4D">
        <w:rPr>
          <w:sz w:val="28"/>
          <w:szCs w:val="24"/>
        </w:rPr>
        <w:t xml:space="preserve"> iesaistītajiem dabasgāzes pārvades sistēmas operatoriem izstrādā un iesniedz regulatoram</w:t>
      </w:r>
      <w:proofErr w:type="gramStart"/>
      <w:r w:rsidR="000A7824" w:rsidRPr="00DF0D4D">
        <w:rPr>
          <w:sz w:val="28"/>
          <w:szCs w:val="24"/>
        </w:rPr>
        <w:t xml:space="preserve"> un</w:t>
      </w:r>
      <w:proofErr w:type="gramEnd"/>
      <w:r w:rsidR="000A7824" w:rsidRPr="00DF0D4D">
        <w:rPr>
          <w:sz w:val="28"/>
          <w:szCs w:val="24"/>
        </w:rPr>
        <w:t xml:space="preserve"> regulators, vienojoties ar attiecīgo Eiropas Savienības dalībvalstu regulatīvajām iestādēm, saskaņo:</w:t>
      </w:r>
    </w:p>
    <w:p w14:paraId="101826CB" w14:textId="25CC8E6C" w:rsidR="000A7824" w:rsidRPr="00DF0D4D" w:rsidRDefault="00DF0D4D" w:rsidP="00DF0D4D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4"/>
        </w:rPr>
      </w:pPr>
      <w:bookmarkStart w:id="4" w:name="_Hlk536198573"/>
      <w:r>
        <w:rPr>
          <w:sz w:val="28"/>
          <w:szCs w:val="24"/>
        </w:rPr>
        <w:t>1) </w:t>
      </w:r>
      <w:r w:rsidR="000A7824" w:rsidRPr="00DF0D4D">
        <w:rPr>
          <w:sz w:val="28"/>
          <w:szCs w:val="24"/>
        </w:rPr>
        <w:t>vienotās dabasgāzes pārvades ieejas</w:t>
      </w:r>
      <w:r w:rsidR="00F5450E">
        <w:rPr>
          <w:sz w:val="28"/>
          <w:szCs w:val="24"/>
        </w:rPr>
        <w:t>-</w:t>
      </w:r>
      <w:r w:rsidR="000A7824" w:rsidRPr="00DF0D4D">
        <w:rPr>
          <w:sz w:val="28"/>
          <w:szCs w:val="24"/>
        </w:rPr>
        <w:t>izejas sistēmas lietošanas noteikumus</w:t>
      </w:r>
      <w:bookmarkEnd w:id="4"/>
      <w:r w:rsidR="000A7824" w:rsidRPr="00DF0D4D">
        <w:rPr>
          <w:sz w:val="28"/>
          <w:szCs w:val="24"/>
        </w:rPr>
        <w:t>, kuriem jābūt objektīvi pamatotiem, ekonomiski attaisnotiem, taisnīgiem, vienlīdzīgiem, atklātiem un pieejamiem visiem dabasgāzes pārvades sistēmas lietotājiem un pretendentiem, kuri pieprasa pieeju sistēmai</w:t>
      </w:r>
      <w:r>
        <w:rPr>
          <w:sz w:val="28"/>
          <w:szCs w:val="24"/>
        </w:rPr>
        <w:t>,</w:t>
      </w:r>
      <w:r w:rsidR="000A7824" w:rsidRPr="00DF0D4D">
        <w:rPr>
          <w:sz w:val="28"/>
          <w:szCs w:val="24"/>
        </w:rPr>
        <w:t xml:space="preserve"> un kurus dabasgāzes pārvades sistēmas lietotājiem jāievēro, organizējot dabasgāzes piegādi;</w:t>
      </w:r>
    </w:p>
    <w:p w14:paraId="78E74164" w14:textId="4E818354" w:rsidR="00381321" w:rsidRPr="00DF0D4D" w:rsidRDefault="00DF0D4D" w:rsidP="00DF0D4D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 </w:t>
      </w:r>
      <w:r w:rsidR="000A7824" w:rsidRPr="00DF0D4D">
        <w:rPr>
          <w:sz w:val="28"/>
          <w:szCs w:val="24"/>
        </w:rPr>
        <w:t>vienotās</w:t>
      </w:r>
      <w:r w:rsidR="000A7824" w:rsidRPr="00DF0D4D">
        <w:rPr>
          <w:rFonts w:eastAsiaTheme="minorHAnsi"/>
          <w:sz w:val="28"/>
          <w:szCs w:val="24"/>
        </w:rPr>
        <w:t xml:space="preserve"> </w:t>
      </w:r>
      <w:r w:rsidR="000A7824" w:rsidRPr="00DF0D4D">
        <w:rPr>
          <w:sz w:val="28"/>
          <w:szCs w:val="24"/>
        </w:rPr>
        <w:t>dabasgāzes pārvades ieejas</w:t>
      </w:r>
      <w:r w:rsidR="00F5450E">
        <w:rPr>
          <w:sz w:val="28"/>
          <w:szCs w:val="24"/>
        </w:rPr>
        <w:t>-</w:t>
      </w:r>
      <w:r w:rsidR="000A7824" w:rsidRPr="00DF0D4D">
        <w:rPr>
          <w:sz w:val="28"/>
          <w:szCs w:val="24"/>
        </w:rPr>
        <w:t>izejas sistēmas balansēšanas noteikumus, kurus dabasgāzes pārvades sistēmas lietotājiem jāievēro savā darbībā vienotajā dabasgāzes pārvades ieejas</w:t>
      </w:r>
      <w:r w:rsidR="00F5450E">
        <w:rPr>
          <w:sz w:val="28"/>
          <w:szCs w:val="24"/>
        </w:rPr>
        <w:t>-</w:t>
      </w:r>
      <w:r w:rsidR="000A7824" w:rsidRPr="00DF0D4D">
        <w:rPr>
          <w:sz w:val="28"/>
          <w:szCs w:val="24"/>
        </w:rPr>
        <w:t>izejas sistēmā</w:t>
      </w:r>
      <w:r w:rsidR="00381321" w:rsidRPr="00DF0D4D">
        <w:rPr>
          <w:sz w:val="28"/>
          <w:szCs w:val="24"/>
        </w:rPr>
        <w:t>;</w:t>
      </w:r>
    </w:p>
    <w:p w14:paraId="0994E249" w14:textId="7CE54686" w:rsidR="000A7824" w:rsidRPr="00DF0D4D" w:rsidRDefault="00DF0D4D" w:rsidP="00DF0D4D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3) </w:t>
      </w:r>
      <w:r w:rsidR="00006B75" w:rsidRPr="00DF0D4D">
        <w:rPr>
          <w:sz w:val="28"/>
          <w:szCs w:val="24"/>
        </w:rPr>
        <w:t>vienotajā dabasgāzes pārvades ieejas</w:t>
      </w:r>
      <w:r w:rsidR="00F5450E">
        <w:rPr>
          <w:sz w:val="28"/>
          <w:szCs w:val="24"/>
        </w:rPr>
        <w:t>-</w:t>
      </w:r>
      <w:r w:rsidR="00006B75" w:rsidRPr="00DF0D4D">
        <w:rPr>
          <w:sz w:val="28"/>
          <w:szCs w:val="24"/>
        </w:rPr>
        <w:t xml:space="preserve">izejas sistēmā iesaistīto dabasgāzes </w:t>
      </w:r>
      <w:r w:rsidR="00381321" w:rsidRPr="00DF0D4D">
        <w:rPr>
          <w:sz w:val="28"/>
          <w:szCs w:val="24"/>
        </w:rPr>
        <w:t>pārvades sistēmas operatoru savstarpējās kompensācijas kārtību, lai nodrošinātu katra dabasgāzes pārvades sistēmas operatora atļauto ieņēmumu gūšanu, nodrošinot dabasgāzes pārvades sistēmas pakalpojumu vienotajā dabasgāzes pārvades ieejas</w:t>
      </w:r>
      <w:r w:rsidR="00F5450E">
        <w:rPr>
          <w:sz w:val="28"/>
          <w:szCs w:val="24"/>
        </w:rPr>
        <w:t>-</w:t>
      </w:r>
      <w:r w:rsidR="00381321" w:rsidRPr="00DF0D4D">
        <w:rPr>
          <w:sz w:val="28"/>
          <w:szCs w:val="24"/>
        </w:rPr>
        <w:t>izejas sistēmā.</w:t>
      </w:r>
    </w:p>
    <w:p w14:paraId="2FB9C843" w14:textId="546F9147" w:rsidR="000A7824" w:rsidRPr="00DF0D4D" w:rsidRDefault="00DF0D4D" w:rsidP="00DF0D4D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(4) </w:t>
      </w:r>
      <w:r w:rsidR="000A7824" w:rsidRPr="00DF0D4D">
        <w:rPr>
          <w:sz w:val="28"/>
          <w:szCs w:val="24"/>
        </w:rPr>
        <w:t xml:space="preserve">Dabasgāzes pārvades sistēmas tehnisko balansēšanu </w:t>
      </w:r>
      <w:bookmarkStart w:id="5" w:name="_Hlk882102"/>
      <w:r w:rsidR="000A7824" w:rsidRPr="00DF0D4D">
        <w:rPr>
          <w:sz w:val="28"/>
          <w:szCs w:val="24"/>
        </w:rPr>
        <w:t>vienotajā dabasgāzes pārvades ieejas</w:t>
      </w:r>
      <w:r w:rsidR="00F5450E">
        <w:rPr>
          <w:sz w:val="28"/>
          <w:szCs w:val="24"/>
        </w:rPr>
        <w:t>-</w:t>
      </w:r>
      <w:r w:rsidR="000A7824" w:rsidRPr="00DF0D4D">
        <w:rPr>
          <w:sz w:val="28"/>
          <w:szCs w:val="24"/>
        </w:rPr>
        <w:t>izejas</w:t>
      </w:r>
      <w:bookmarkEnd w:id="5"/>
      <w:r w:rsidR="000A7824" w:rsidRPr="00DF0D4D">
        <w:rPr>
          <w:sz w:val="28"/>
          <w:szCs w:val="24"/>
        </w:rPr>
        <w:t xml:space="preserve"> sistēmā nodrošina dabasgāzes pārvades sistēmas operators sadarbībā ar vienotajā dabasgāzes pārvades ieejas</w:t>
      </w:r>
      <w:r w:rsidR="00F5450E">
        <w:rPr>
          <w:sz w:val="28"/>
          <w:szCs w:val="24"/>
        </w:rPr>
        <w:t>-</w:t>
      </w:r>
      <w:r w:rsidR="000A7824" w:rsidRPr="00DF0D4D">
        <w:rPr>
          <w:sz w:val="28"/>
          <w:szCs w:val="24"/>
        </w:rPr>
        <w:t>izejas sistēmā iesaistītajiem citu Eiropas Savienības dalībvalstu dabasgāzes pārvades sistēmas operatoriem. Dabasgāzes pārvades sistēmas lietotājs slēdz balansēšanas līgumu ar pārvades sistēmas operatoru</w:t>
      </w:r>
      <w:r w:rsidR="00C00A22" w:rsidRPr="00DF0D4D">
        <w:rPr>
          <w:sz w:val="28"/>
          <w:szCs w:val="24"/>
        </w:rPr>
        <w:t>, kas darbojas vienotajā dabasgāzes pārvades ieejas</w:t>
      </w:r>
      <w:r w:rsidR="00F5450E">
        <w:rPr>
          <w:sz w:val="28"/>
          <w:szCs w:val="24"/>
        </w:rPr>
        <w:t>-</w:t>
      </w:r>
      <w:r w:rsidR="00C00A22" w:rsidRPr="00DF0D4D">
        <w:rPr>
          <w:sz w:val="28"/>
          <w:szCs w:val="24"/>
        </w:rPr>
        <w:t>izejas sistēmā</w:t>
      </w:r>
      <w:proofErr w:type="gramStart"/>
      <w:r w:rsidR="00C00A22" w:rsidRPr="00DF0D4D">
        <w:rPr>
          <w:sz w:val="28"/>
          <w:szCs w:val="24"/>
        </w:rPr>
        <w:t>,</w:t>
      </w:r>
      <w:r w:rsidR="000A7824" w:rsidRPr="00DF0D4D">
        <w:rPr>
          <w:sz w:val="28"/>
          <w:szCs w:val="24"/>
        </w:rPr>
        <w:t xml:space="preserve"> un atbild par vienotajā dabasgāzes pārvades ieejas</w:t>
      </w:r>
      <w:r w:rsidR="00F5450E">
        <w:rPr>
          <w:sz w:val="28"/>
          <w:szCs w:val="24"/>
        </w:rPr>
        <w:t>-</w:t>
      </w:r>
      <w:r w:rsidR="000A7824" w:rsidRPr="00DF0D4D">
        <w:rPr>
          <w:sz w:val="28"/>
          <w:szCs w:val="24"/>
        </w:rPr>
        <w:t>izejas sistēmā ievadītā un izvadītā dabasgāzes apjoma balansu</w:t>
      </w:r>
      <w:proofErr w:type="gramEnd"/>
      <w:r w:rsidR="000A7824" w:rsidRPr="00DF0D4D">
        <w:rPr>
          <w:sz w:val="28"/>
          <w:szCs w:val="24"/>
        </w:rPr>
        <w:t>.</w:t>
      </w:r>
    </w:p>
    <w:p w14:paraId="05447F98" w14:textId="3400C205" w:rsidR="000A7824" w:rsidRPr="00DF0D4D" w:rsidRDefault="00DF0D4D" w:rsidP="00DF0D4D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4"/>
        </w:rPr>
      </w:pPr>
      <w:r>
        <w:rPr>
          <w:rFonts w:eastAsia="Times New Roman"/>
          <w:sz w:val="28"/>
          <w:szCs w:val="24"/>
          <w:lang w:eastAsia="lv-LV"/>
        </w:rPr>
        <w:t>(5) </w:t>
      </w:r>
      <w:r w:rsidR="000A7824" w:rsidRPr="00DF0D4D">
        <w:rPr>
          <w:rFonts w:eastAsia="Times New Roman"/>
          <w:sz w:val="28"/>
          <w:szCs w:val="24"/>
          <w:lang w:eastAsia="lv-LV"/>
        </w:rPr>
        <w:t xml:space="preserve">Dabasgāzes pārvades sistēmas operators </w:t>
      </w:r>
      <w:r w:rsidR="00EE4DAB">
        <w:rPr>
          <w:rFonts w:eastAsia="Times New Roman"/>
          <w:sz w:val="28"/>
          <w:szCs w:val="24"/>
          <w:lang w:eastAsia="lv-LV"/>
        </w:rPr>
        <w:t xml:space="preserve">nodrošina, ka </w:t>
      </w:r>
      <w:r w:rsidR="000A7824" w:rsidRPr="00DF0D4D">
        <w:rPr>
          <w:rFonts w:eastAsia="Times New Roman"/>
          <w:sz w:val="28"/>
          <w:szCs w:val="24"/>
          <w:lang w:eastAsia="lv-LV"/>
        </w:rPr>
        <w:t>balansēšanas aprēķin</w:t>
      </w:r>
      <w:r w:rsidR="00EE4DAB">
        <w:rPr>
          <w:rFonts w:eastAsia="Times New Roman"/>
          <w:sz w:val="28"/>
          <w:szCs w:val="24"/>
          <w:lang w:eastAsia="lv-LV"/>
        </w:rPr>
        <w:t>i tiek veikti</w:t>
      </w:r>
      <w:r w:rsidR="000A7824" w:rsidRPr="00DF0D4D">
        <w:rPr>
          <w:rFonts w:eastAsia="Times New Roman"/>
          <w:sz w:val="28"/>
          <w:szCs w:val="24"/>
          <w:lang w:eastAsia="lv-LV"/>
        </w:rPr>
        <w:t xml:space="preserve"> saskaņā ar šā panta trešās daļas 2.</w:t>
      </w:r>
      <w:r w:rsidR="006B7E11" w:rsidRPr="00DF0D4D">
        <w:rPr>
          <w:rFonts w:eastAsia="Times New Roman"/>
          <w:sz w:val="28"/>
          <w:szCs w:val="24"/>
          <w:lang w:eastAsia="lv-LV"/>
        </w:rPr>
        <w:t> </w:t>
      </w:r>
      <w:r w:rsidR="000A7824" w:rsidRPr="00DF0D4D">
        <w:rPr>
          <w:rFonts w:eastAsia="Times New Roman"/>
          <w:sz w:val="28"/>
          <w:szCs w:val="24"/>
          <w:lang w:eastAsia="lv-LV"/>
        </w:rPr>
        <w:t xml:space="preserve">punktā minētajiem noteikumiem pārskatāmi un nepieļaujot diskrimināciju. Dabasgāzes pārvades sistēmas lietotājam ir pienākums norēķināties par </w:t>
      </w:r>
      <w:proofErr w:type="spellStart"/>
      <w:r w:rsidR="000A7824" w:rsidRPr="00D71E9F">
        <w:rPr>
          <w:rFonts w:eastAsia="Times New Roman"/>
          <w:sz w:val="28"/>
          <w:szCs w:val="24"/>
          <w:lang w:eastAsia="lv-LV"/>
        </w:rPr>
        <w:t>nebalansu</w:t>
      </w:r>
      <w:proofErr w:type="spellEnd"/>
      <w:r w:rsidR="000A7824" w:rsidRPr="00DF0D4D">
        <w:rPr>
          <w:rFonts w:eastAsia="Times New Roman"/>
          <w:sz w:val="28"/>
          <w:szCs w:val="24"/>
          <w:lang w:eastAsia="lv-LV"/>
        </w:rPr>
        <w:t>. Lai nodrošinātu maksājumus par balansēšanu, dabasgāzes pārvades sistēmas operators var pieprasīt no dabasgāzes pārvades sistēmas lietotājiem garantijas saskaņā ar šā panta trešās daļas 2.</w:t>
      </w:r>
      <w:r w:rsidR="006B7E11" w:rsidRPr="00DF0D4D">
        <w:rPr>
          <w:rFonts w:eastAsia="Times New Roman"/>
          <w:sz w:val="28"/>
          <w:szCs w:val="24"/>
          <w:lang w:eastAsia="lv-LV"/>
        </w:rPr>
        <w:t> </w:t>
      </w:r>
      <w:r w:rsidR="000A7824" w:rsidRPr="00DF0D4D">
        <w:rPr>
          <w:rFonts w:eastAsia="Times New Roman"/>
          <w:sz w:val="28"/>
          <w:szCs w:val="24"/>
          <w:lang w:eastAsia="lv-LV"/>
        </w:rPr>
        <w:t>punktā minētajiem noteikumiem.</w:t>
      </w:r>
    </w:p>
    <w:p w14:paraId="4BAA50D0" w14:textId="4C9AE174" w:rsidR="000A7824" w:rsidRPr="00DF0D4D" w:rsidRDefault="00DF0D4D" w:rsidP="00DF0D4D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(6) </w:t>
      </w:r>
      <w:r w:rsidR="000A7824" w:rsidRPr="00DF0D4D">
        <w:rPr>
          <w:sz w:val="28"/>
          <w:szCs w:val="24"/>
        </w:rPr>
        <w:t xml:space="preserve">Dabasgāzes pārvades sistēmas operators iekasē vai veic maksājumus </w:t>
      </w:r>
      <w:r w:rsidR="00A12845" w:rsidRPr="00DF0D4D">
        <w:rPr>
          <w:sz w:val="28"/>
          <w:szCs w:val="24"/>
        </w:rPr>
        <w:t xml:space="preserve">saskaņā ar </w:t>
      </w:r>
      <w:r w:rsidR="000A7824" w:rsidRPr="00DF0D4D">
        <w:rPr>
          <w:sz w:val="28"/>
          <w:szCs w:val="24"/>
        </w:rPr>
        <w:t xml:space="preserve">šā panta </w:t>
      </w:r>
      <w:r w:rsidR="00A12845" w:rsidRPr="00DF0D4D">
        <w:rPr>
          <w:sz w:val="28"/>
          <w:szCs w:val="24"/>
        </w:rPr>
        <w:t>trešās daļas 3.</w:t>
      </w:r>
      <w:r w:rsidR="006B7E11" w:rsidRPr="00DF0D4D">
        <w:rPr>
          <w:sz w:val="28"/>
          <w:szCs w:val="24"/>
        </w:rPr>
        <w:t> </w:t>
      </w:r>
      <w:r w:rsidR="00A12845" w:rsidRPr="00DF0D4D">
        <w:rPr>
          <w:sz w:val="28"/>
          <w:szCs w:val="24"/>
        </w:rPr>
        <w:t>punktā</w:t>
      </w:r>
      <w:r w:rsidR="000A7824" w:rsidRPr="00DF0D4D">
        <w:rPr>
          <w:sz w:val="28"/>
          <w:szCs w:val="24"/>
        </w:rPr>
        <w:t xml:space="preserve"> minēt</w:t>
      </w:r>
      <w:r w:rsidR="00A12845" w:rsidRPr="00DF0D4D">
        <w:rPr>
          <w:sz w:val="28"/>
          <w:szCs w:val="24"/>
        </w:rPr>
        <w:t>o</w:t>
      </w:r>
      <w:r w:rsidR="000A7824" w:rsidRPr="00DF0D4D">
        <w:rPr>
          <w:sz w:val="28"/>
          <w:szCs w:val="24"/>
        </w:rPr>
        <w:t xml:space="preserve"> kompensācijas </w:t>
      </w:r>
      <w:r w:rsidR="00A12845" w:rsidRPr="00DF0D4D">
        <w:rPr>
          <w:sz w:val="28"/>
          <w:szCs w:val="24"/>
        </w:rPr>
        <w:t>kārtību</w:t>
      </w:r>
      <w:r w:rsidR="000A7824" w:rsidRPr="00DF0D4D">
        <w:rPr>
          <w:sz w:val="28"/>
          <w:szCs w:val="24"/>
        </w:rPr>
        <w:t xml:space="preserve">. Ieņēmumus un izdevumus, kas rodas dabasgāzes pārvades sistēmas operatoram, veicot darbības atbilstoši šā panta </w:t>
      </w:r>
      <w:r w:rsidR="00275D51" w:rsidRPr="00DF0D4D">
        <w:rPr>
          <w:sz w:val="28"/>
          <w:szCs w:val="24"/>
        </w:rPr>
        <w:t xml:space="preserve">trešās </w:t>
      </w:r>
      <w:r w:rsidR="000A7824" w:rsidRPr="00DF0D4D">
        <w:rPr>
          <w:sz w:val="28"/>
          <w:szCs w:val="24"/>
        </w:rPr>
        <w:t>daļ</w:t>
      </w:r>
      <w:r w:rsidR="00275D51" w:rsidRPr="00DF0D4D">
        <w:rPr>
          <w:sz w:val="28"/>
          <w:szCs w:val="24"/>
        </w:rPr>
        <w:t>as 3.</w:t>
      </w:r>
      <w:r w:rsidR="006B7E11" w:rsidRPr="00DF0D4D">
        <w:rPr>
          <w:sz w:val="28"/>
          <w:szCs w:val="24"/>
        </w:rPr>
        <w:t> </w:t>
      </w:r>
      <w:r w:rsidR="00275D51" w:rsidRPr="00DF0D4D">
        <w:rPr>
          <w:sz w:val="28"/>
          <w:szCs w:val="24"/>
        </w:rPr>
        <w:t>punktā</w:t>
      </w:r>
      <w:r w:rsidR="000A7824" w:rsidRPr="00DF0D4D">
        <w:rPr>
          <w:sz w:val="28"/>
          <w:szCs w:val="24"/>
        </w:rPr>
        <w:t xml:space="preserve"> minētajai kompensācijas kārtībai, ņem vērā, nosakot dabasgāzes pārvades sistēmas pakalpojuma tarifus.</w:t>
      </w:r>
      <w:r w:rsidR="006B7E11" w:rsidRPr="00DF0D4D">
        <w:rPr>
          <w:sz w:val="28"/>
          <w:szCs w:val="24"/>
        </w:rPr>
        <w:t>"</w:t>
      </w:r>
    </w:p>
    <w:p w14:paraId="0B94C4D1" w14:textId="77777777" w:rsidR="006B7E11" w:rsidRPr="006B7E11" w:rsidRDefault="006B7E11" w:rsidP="005E7675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4"/>
        </w:rPr>
      </w:pPr>
    </w:p>
    <w:p w14:paraId="501983DC" w14:textId="0451D29B" w:rsidR="00E65214" w:rsidRPr="006B7E11" w:rsidRDefault="00173769" w:rsidP="005E7675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6B7E11">
        <w:rPr>
          <w:sz w:val="28"/>
          <w:szCs w:val="24"/>
        </w:rPr>
        <w:t xml:space="preserve">6. </w:t>
      </w:r>
      <w:r w:rsidR="00E65214" w:rsidRPr="006B7E11">
        <w:rPr>
          <w:sz w:val="28"/>
          <w:szCs w:val="24"/>
        </w:rPr>
        <w:t xml:space="preserve">Papildināt pārejas noteikumus ar </w:t>
      </w:r>
      <w:r w:rsidR="00924D6F" w:rsidRPr="006B7E11">
        <w:rPr>
          <w:sz w:val="28"/>
          <w:szCs w:val="24"/>
        </w:rPr>
        <w:t>57.</w:t>
      </w:r>
      <w:r w:rsidR="006B7E11" w:rsidRPr="006B7E11">
        <w:rPr>
          <w:sz w:val="28"/>
          <w:szCs w:val="24"/>
        </w:rPr>
        <w:t> </w:t>
      </w:r>
      <w:r w:rsidR="00E65214" w:rsidRPr="006B7E11">
        <w:rPr>
          <w:sz w:val="28"/>
          <w:szCs w:val="24"/>
        </w:rPr>
        <w:t>punktu šādā redakcijā</w:t>
      </w:r>
      <w:r w:rsidR="00924D6F" w:rsidRPr="006B7E11">
        <w:rPr>
          <w:sz w:val="28"/>
          <w:szCs w:val="24"/>
        </w:rPr>
        <w:t>:</w:t>
      </w:r>
    </w:p>
    <w:p w14:paraId="2D42A01B" w14:textId="77777777" w:rsidR="006B7E11" w:rsidRPr="006B7E11" w:rsidRDefault="006B7E11" w:rsidP="005E7675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4"/>
        </w:rPr>
      </w:pPr>
    </w:p>
    <w:p w14:paraId="42E7EAB2" w14:textId="2176E66D" w:rsidR="00E65214" w:rsidRPr="006B7E11" w:rsidRDefault="006B7E11" w:rsidP="005E7675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6B7E11">
        <w:rPr>
          <w:sz w:val="28"/>
          <w:szCs w:val="24"/>
        </w:rPr>
        <w:t>"</w:t>
      </w:r>
      <w:r w:rsidR="00924D6F" w:rsidRPr="006B7E11">
        <w:rPr>
          <w:sz w:val="28"/>
          <w:szCs w:val="24"/>
        </w:rPr>
        <w:t>5</w:t>
      </w:r>
      <w:r w:rsidR="0041425D" w:rsidRPr="006B7E11">
        <w:rPr>
          <w:sz w:val="28"/>
          <w:szCs w:val="24"/>
        </w:rPr>
        <w:t>7</w:t>
      </w:r>
      <w:r w:rsidR="00E65214" w:rsidRPr="006B7E11">
        <w:rPr>
          <w:sz w:val="28"/>
          <w:szCs w:val="24"/>
        </w:rPr>
        <w:t>.</w:t>
      </w:r>
      <w:r w:rsidR="00924D6F" w:rsidRPr="006B7E11">
        <w:rPr>
          <w:sz w:val="28"/>
          <w:szCs w:val="24"/>
        </w:rPr>
        <w:t xml:space="preserve"> </w:t>
      </w:r>
      <w:r w:rsidR="00E65214" w:rsidRPr="006B7E11">
        <w:rPr>
          <w:sz w:val="28"/>
          <w:szCs w:val="24"/>
        </w:rPr>
        <w:t xml:space="preserve">Sabiedrisko pakalpojumu regulēšanas komisijas </w:t>
      </w:r>
      <w:r w:rsidR="000C6C50" w:rsidRPr="006B7E11">
        <w:rPr>
          <w:sz w:val="28"/>
          <w:szCs w:val="24"/>
        </w:rPr>
        <w:t xml:space="preserve">padomes </w:t>
      </w:r>
      <w:r w:rsidR="00E65214" w:rsidRPr="006B7E11">
        <w:rPr>
          <w:sz w:val="28"/>
          <w:szCs w:val="24"/>
        </w:rPr>
        <w:t>2017.</w:t>
      </w:r>
      <w:r w:rsidRPr="006B7E11">
        <w:rPr>
          <w:sz w:val="28"/>
          <w:szCs w:val="24"/>
        </w:rPr>
        <w:t> </w:t>
      </w:r>
      <w:r w:rsidR="00E65214" w:rsidRPr="006B7E11">
        <w:rPr>
          <w:sz w:val="28"/>
          <w:szCs w:val="24"/>
        </w:rPr>
        <w:t>gada 13.</w:t>
      </w:r>
      <w:r w:rsidRPr="006B7E11">
        <w:rPr>
          <w:sz w:val="28"/>
          <w:szCs w:val="24"/>
        </w:rPr>
        <w:t> </w:t>
      </w:r>
      <w:r w:rsidR="00E65214" w:rsidRPr="006B7E11">
        <w:rPr>
          <w:sz w:val="28"/>
          <w:szCs w:val="24"/>
        </w:rPr>
        <w:t>aprīļa lēmums Nr.</w:t>
      </w:r>
      <w:r w:rsidRPr="006B7E11">
        <w:rPr>
          <w:sz w:val="28"/>
          <w:szCs w:val="24"/>
        </w:rPr>
        <w:t> </w:t>
      </w:r>
      <w:r w:rsidR="00E65214" w:rsidRPr="006B7E11">
        <w:rPr>
          <w:sz w:val="28"/>
          <w:szCs w:val="24"/>
        </w:rPr>
        <w:t xml:space="preserve">1/16 </w:t>
      </w:r>
      <w:r w:rsidRPr="006B7E11">
        <w:rPr>
          <w:sz w:val="28"/>
          <w:szCs w:val="24"/>
        </w:rPr>
        <w:t>"</w:t>
      </w:r>
      <w:r w:rsidR="00E65214" w:rsidRPr="006B7E11">
        <w:rPr>
          <w:sz w:val="28"/>
          <w:szCs w:val="24"/>
        </w:rPr>
        <w:t>Dabasgāzes pārvades sistēmas lietošanas noteikumi</w:t>
      </w:r>
      <w:r w:rsidRPr="006B7E11">
        <w:rPr>
          <w:sz w:val="28"/>
          <w:szCs w:val="24"/>
        </w:rPr>
        <w:t>"</w:t>
      </w:r>
      <w:r w:rsidR="00E65214" w:rsidRPr="006B7E11">
        <w:rPr>
          <w:sz w:val="28"/>
          <w:szCs w:val="24"/>
        </w:rPr>
        <w:t xml:space="preserve"> </w:t>
      </w:r>
      <w:r w:rsidR="00DA73E5" w:rsidRPr="006B7E11">
        <w:rPr>
          <w:sz w:val="28"/>
          <w:szCs w:val="24"/>
        </w:rPr>
        <w:t>ir spēkā</w:t>
      </w:r>
      <w:r w:rsidR="00E65214" w:rsidRPr="006B7E11">
        <w:rPr>
          <w:sz w:val="28"/>
          <w:szCs w:val="24"/>
        </w:rPr>
        <w:t xml:space="preserve"> līdz dienai, kad stājas </w:t>
      </w:r>
      <w:r w:rsidR="00D71E9F">
        <w:rPr>
          <w:sz w:val="28"/>
          <w:szCs w:val="24"/>
        </w:rPr>
        <w:t xml:space="preserve">spēkā </w:t>
      </w:r>
      <w:r w:rsidR="00E65214" w:rsidRPr="006B7E11">
        <w:rPr>
          <w:sz w:val="28"/>
          <w:szCs w:val="24"/>
        </w:rPr>
        <w:t>jauns normatīvais akts, kas izdots, pamatojoties uz šā likuma 15.</w:t>
      </w:r>
      <w:r w:rsidRPr="006B7E11">
        <w:rPr>
          <w:sz w:val="28"/>
          <w:szCs w:val="24"/>
        </w:rPr>
        <w:t> </w:t>
      </w:r>
      <w:r w:rsidR="00E65214" w:rsidRPr="006B7E11">
        <w:rPr>
          <w:sz w:val="28"/>
          <w:szCs w:val="24"/>
        </w:rPr>
        <w:t>panta septīto daļu, 45.</w:t>
      </w:r>
      <w:r w:rsidR="00E65214" w:rsidRPr="006B7E11">
        <w:rPr>
          <w:sz w:val="28"/>
          <w:szCs w:val="24"/>
          <w:vertAlign w:val="superscript"/>
        </w:rPr>
        <w:t>2</w:t>
      </w:r>
      <w:r w:rsidRPr="006B7E11">
        <w:rPr>
          <w:sz w:val="28"/>
          <w:szCs w:val="24"/>
          <w:vertAlign w:val="superscript"/>
        </w:rPr>
        <w:t> </w:t>
      </w:r>
      <w:r w:rsidR="00E65214" w:rsidRPr="006B7E11">
        <w:rPr>
          <w:sz w:val="28"/>
          <w:szCs w:val="24"/>
        </w:rPr>
        <w:t>panta trešo un sesto daļu</w:t>
      </w:r>
      <w:r w:rsidR="00761F63" w:rsidRPr="006B7E11">
        <w:rPr>
          <w:sz w:val="28"/>
          <w:szCs w:val="24"/>
        </w:rPr>
        <w:t>,</w:t>
      </w:r>
      <w:r w:rsidR="00E65214" w:rsidRPr="006B7E11">
        <w:rPr>
          <w:sz w:val="28"/>
          <w:szCs w:val="24"/>
        </w:rPr>
        <w:t xml:space="preserve"> vai</w:t>
      </w:r>
      <w:r w:rsidR="00761F63" w:rsidRPr="006B7E11">
        <w:rPr>
          <w:sz w:val="28"/>
          <w:szCs w:val="24"/>
        </w:rPr>
        <w:t xml:space="preserve"> stājas </w:t>
      </w:r>
      <w:r w:rsidR="00D71E9F">
        <w:rPr>
          <w:sz w:val="28"/>
          <w:szCs w:val="24"/>
        </w:rPr>
        <w:t xml:space="preserve">spēkā </w:t>
      </w:r>
      <w:r w:rsidR="00761F63" w:rsidRPr="006B7E11">
        <w:rPr>
          <w:sz w:val="28"/>
          <w:szCs w:val="24"/>
        </w:rPr>
        <w:t>šā likuma</w:t>
      </w:r>
      <w:r w:rsidR="00E65214" w:rsidRPr="006B7E11">
        <w:rPr>
          <w:sz w:val="28"/>
          <w:szCs w:val="24"/>
        </w:rPr>
        <w:t xml:space="preserve"> 117.</w:t>
      </w:r>
      <w:r w:rsidRPr="006B7E11">
        <w:rPr>
          <w:sz w:val="28"/>
          <w:szCs w:val="24"/>
        </w:rPr>
        <w:t> </w:t>
      </w:r>
      <w:r w:rsidR="00E65214" w:rsidRPr="006B7E11">
        <w:rPr>
          <w:sz w:val="28"/>
          <w:szCs w:val="24"/>
        </w:rPr>
        <w:t>panta treš</w:t>
      </w:r>
      <w:r w:rsidR="00761F63" w:rsidRPr="006B7E11">
        <w:rPr>
          <w:sz w:val="28"/>
          <w:szCs w:val="24"/>
        </w:rPr>
        <w:t>ajā daļā minētie noteikumi un kārtība</w:t>
      </w:r>
      <w:r w:rsidR="00E65214" w:rsidRPr="006B7E11">
        <w:rPr>
          <w:sz w:val="28"/>
          <w:szCs w:val="24"/>
        </w:rPr>
        <w:t>.</w:t>
      </w:r>
      <w:r w:rsidRPr="006B7E11">
        <w:rPr>
          <w:sz w:val="28"/>
          <w:szCs w:val="24"/>
        </w:rPr>
        <w:t>"</w:t>
      </w:r>
      <w:bookmarkEnd w:id="0"/>
      <w:bookmarkEnd w:id="1"/>
    </w:p>
    <w:p w14:paraId="68C692AF" w14:textId="3940A034" w:rsidR="006E702C" w:rsidRPr="006B7E11" w:rsidRDefault="006E702C" w:rsidP="005E7675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4"/>
        </w:rPr>
      </w:pPr>
    </w:p>
    <w:p w14:paraId="0BEE3E61" w14:textId="77777777" w:rsidR="006B7E11" w:rsidRPr="006B7E11" w:rsidRDefault="006B7E11" w:rsidP="005E767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DBD85E" w14:textId="77777777" w:rsidR="006B7E11" w:rsidRPr="006B7E11" w:rsidRDefault="006B7E11" w:rsidP="005E767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0908BD" w14:textId="77777777" w:rsidR="006B7E11" w:rsidRPr="006B7E11" w:rsidRDefault="006B7E11" w:rsidP="005E767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B7E11">
        <w:rPr>
          <w:rFonts w:ascii="Times New Roman" w:hAnsi="Times New Roman"/>
          <w:color w:val="auto"/>
          <w:sz w:val="28"/>
          <w:lang w:val="de-DE"/>
        </w:rPr>
        <w:t>Ekonomikas ministrs</w:t>
      </w:r>
    </w:p>
    <w:p w14:paraId="060872C8" w14:textId="55928BC6" w:rsidR="006B7E11" w:rsidRPr="006B7E11" w:rsidRDefault="006B7E11" w:rsidP="005E767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B7E11">
        <w:rPr>
          <w:rFonts w:ascii="Times New Roman" w:hAnsi="Times New Roman"/>
          <w:color w:val="auto"/>
          <w:sz w:val="28"/>
          <w:lang w:val="de-DE"/>
        </w:rPr>
        <w:t>R. Nemiro</w:t>
      </w:r>
    </w:p>
    <w:p w14:paraId="51D1CCDA" w14:textId="77777777" w:rsidR="006E702C" w:rsidRPr="006B7E11" w:rsidRDefault="006E702C" w:rsidP="005E7675">
      <w:pPr>
        <w:pStyle w:val="StyleRight"/>
        <w:spacing w:after="0"/>
        <w:ind w:firstLine="709"/>
        <w:jc w:val="both"/>
        <w:rPr>
          <w:szCs w:val="24"/>
        </w:rPr>
      </w:pPr>
    </w:p>
    <w:sectPr w:rsidR="006E702C" w:rsidRPr="006B7E11" w:rsidSect="006B7E1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C520" w14:textId="77777777" w:rsidR="00506D84" w:rsidRDefault="00506D84">
      <w:pPr>
        <w:spacing w:after="0" w:line="240" w:lineRule="auto"/>
      </w:pPr>
      <w:r>
        <w:separator/>
      </w:r>
    </w:p>
  </w:endnote>
  <w:endnote w:type="continuationSeparator" w:id="0">
    <w:p w14:paraId="16A725DE" w14:textId="77777777" w:rsidR="00506D84" w:rsidRDefault="0050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D4AA" w14:textId="4F18D2C0" w:rsidR="006B7E11" w:rsidRPr="006B7E11" w:rsidRDefault="006B7E11" w:rsidP="006B7E11">
    <w:pPr>
      <w:pStyle w:val="Footer"/>
      <w:spacing w:after="0" w:line="240" w:lineRule="auto"/>
      <w:rPr>
        <w:sz w:val="16"/>
        <w:szCs w:val="16"/>
      </w:rPr>
    </w:pPr>
    <w:r w:rsidRPr="006B7E11">
      <w:rPr>
        <w:sz w:val="16"/>
        <w:szCs w:val="16"/>
      </w:rPr>
      <w:t>L1630_9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2B72" w14:textId="146714B9" w:rsidR="00D37B07" w:rsidRPr="006B7E11" w:rsidRDefault="006B7E11" w:rsidP="006B7E11">
    <w:pPr>
      <w:pStyle w:val="Footer"/>
      <w:spacing w:after="0" w:line="240" w:lineRule="auto"/>
      <w:rPr>
        <w:sz w:val="16"/>
        <w:szCs w:val="16"/>
      </w:rPr>
    </w:pPr>
    <w:r w:rsidRPr="006B7E11">
      <w:rPr>
        <w:sz w:val="16"/>
        <w:szCs w:val="16"/>
      </w:rPr>
      <w:t>L1630_9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45503">
      <w:rPr>
        <w:noProof/>
        <w:sz w:val="16"/>
        <w:szCs w:val="16"/>
      </w:rPr>
      <w:t>814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68C2" w14:textId="77777777" w:rsidR="00506D84" w:rsidRDefault="00506D84">
      <w:pPr>
        <w:spacing w:after="0" w:line="240" w:lineRule="auto"/>
      </w:pPr>
      <w:r>
        <w:separator/>
      </w:r>
    </w:p>
  </w:footnote>
  <w:footnote w:type="continuationSeparator" w:id="0">
    <w:p w14:paraId="6180DBAF" w14:textId="77777777" w:rsidR="00506D84" w:rsidRDefault="0050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4716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1AC6" w14:textId="7D569A71" w:rsidR="006B7E11" w:rsidRDefault="006B7E11" w:rsidP="006B7E11">
        <w:pPr>
          <w:pStyle w:val="Header"/>
          <w:spacing w:after="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5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E84"/>
    <w:multiLevelType w:val="hybridMultilevel"/>
    <w:tmpl w:val="FFA4D90A"/>
    <w:lvl w:ilvl="0" w:tplc="B4F0D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95E0E65"/>
    <w:multiLevelType w:val="hybridMultilevel"/>
    <w:tmpl w:val="E93A17B6"/>
    <w:lvl w:ilvl="0" w:tplc="01BCE002">
      <w:start w:val="1"/>
      <w:numFmt w:val="decimal"/>
      <w:lvlText w:val="%1."/>
      <w:lvlJc w:val="left"/>
      <w:pPr>
        <w:ind w:left="720" w:hanging="360"/>
      </w:pPr>
    </w:lvl>
    <w:lvl w:ilvl="1" w:tplc="378C7134" w:tentative="1">
      <w:start w:val="1"/>
      <w:numFmt w:val="lowerLetter"/>
      <w:lvlText w:val="%2."/>
      <w:lvlJc w:val="left"/>
      <w:pPr>
        <w:ind w:left="1440" w:hanging="360"/>
      </w:pPr>
    </w:lvl>
    <w:lvl w:ilvl="2" w:tplc="36CE0EDC" w:tentative="1">
      <w:start w:val="1"/>
      <w:numFmt w:val="lowerRoman"/>
      <w:lvlText w:val="%3."/>
      <w:lvlJc w:val="right"/>
      <w:pPr>
        <w:ind w:left="2160" w:hanging="180"/>
      </w:pPr>
    </w:lvl>
    <w:lvl w:ilvl="3" w:tplc="6FC8E6D4" w:tentative="1">
      <w:start w:val="1"/>
      <w:numFmt w:val="decimal"/>
      <w:lvlText w:val="%4."/>
      <w:lvlJc w:val="left"/>
      <w:pPr>
        <w:ind w:left="2880" w:hanging="360"/>
      </w:pPr>
    </w:lvl>
    <w:lvl w:ilvl="4" w:tplc="F59E5552" w:tentative="1">
      <w:start w:val="1"/>
      <w:numFmt w:val="lowerLetter"/>
      <w:lvlText w:val="%5."/>
      <w:lvlJc w:val="left"/>
      <w:pPr>
        <w:ind w:left="3600" w:hanging="360"/>
      </w:pPr>
    </w:lvl>
    <w:lvl w:ilvl="5" w:tplc="8D301504" w:tentative="1">
      <w:start w:val="1"/>
      <w:numFmt w:val="lowerRoman"/>
      <w:lvlText w:val="%6."/>
      <w:lvlJc w:val="right"/>
      <w:pPr>
        <w:ind w:left="4320" w:hanging="180"/>
      </w:pPr>
    </w:lvl>
    <w:lvl w:ilvl="6" w:tplc="782A4F40" w:tentative="1">
      <w:start w:val="1"/>
      <w:numFmt w:val="decimal"/>
      <w:lvlText w:val="%7."/>
      <w:lvlJc w:val="left"/>
      <w:pPr>
        <w:ind w:left="5040" w:hanging="360"/>
      </w:pPr>
    </w:lvl>
    <w:lvl w:ilvl="7" w:tplc="A916661E" w:tentative="1">
      <w:start w:val="1"/>
      <w:numFmt w:val="lowerLetter"/>
      <w:lvlText w:val="%8."/>
      <w:lvlJc w:val="left"/>
      <w:pPr>
        <w:ind w:left="5760" w:hanging="360"/>
      </w:pPr>
    </w:lvl>
    <w:lvl w:ilvl="8" w:tplc="E2E4F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B531166"/>
    <w:multiLevelType w:val="hybridMultilevel"/>
    <w:tmpl w:val="A4827A38"/>
    <w:lvl w:ilvl="0" w:tplc="60C0134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2D41F2E" w:tentative="1">
      <w:start w:val="1"/>
      <w:numFmt w:val="lowerLetter"/>
      <w:lvlText w:val="%2."/>
      <w:lvlJc w:val="left"/>
      <w:pPr>
        <w:ind w:left="1440" w:hanging="360"/>
      </w:pPr>
    </w:lvl>
    <w:lvl w:ilvl="2" w:tplc="75F49EBE" w:tentative="1">
      <w:start w:val="1"/>
      <w:numFmt w:val="lowerRoman"/>
      <w:lvlText w:val="%3."/>
      <w:lvlJc w:val="right"/>
      <w:pPr>
        <w:ind w:left="2160" w:hanging="180"/>
      </w:pPr>
    </w:lvl>
    <w:lvl w:ilvl="3" w:tplc="84C26FCE" w:tentative="1">
      <w:start w:val="1"/>
      <w:numFmt w:val="decimal"/>
      <w:lvlText w:val="%4."/>
      <w:lvlJc w:val="left"/>
      <w:pPr>
        <w:ind w:left="2880" w:hanging="360"/>
      </w:pPr>
    </w:lvl>
    <w:lvl w:ilvl="4" w:tplc="9512693E" w:tentative="1">
      <w:start w:val="1"/>
      <w:numFmt w:val="lowerLetter"/>
      <w:lvlText w:val="%5."/>
      <w:lvlJc w:val="left"/>
      <w:pPr>
        <w:ind w:left="3600" w:hanging="360"/>
      </w:pPr>
    </w:lvl>
    <w:lvl w:ilvl="5" w:tplc="F3467626" w:tentative="1">
      <w:start w:val="1"/>
      <w:numFmt w:val="lowerRoman"/>
      <w:lvlText w:val="%6."/>
      <w:lvlJc w:val="right"/>
      <w:pPr>
        <w:ind w:left="4320" w:hanging="180"/>
      </w:pPr>
    </w:lvl>
    <w:lvl w:ilvl="6" w:tplc="EF4AA6DE" w:tentative="1">
      <w:start w:val="1"/>
      <w:numFmt w:val="decimal"/>
      <w:lvlText w:val="%7."/>
      <w:lvlJc w:val="left"/>
      <w:pPr>
        <w:ind w:left="5040" w:hanging="360"/>
      </w:pPr>
    </w:lvl>
    <w:lvl w:ilvl="7" w:tplc="140A0BD0" w:tentative="1">
      <w:start w:val="1"/>
      <w:numFmt w:val="lowerLetter"/>
      <w:lvlText w:val="%8."/>
      <w:lvlJc w:val="left"/>
      <w:pPr>
        <w:ind w:left="5760" w:hanging="360"/>
      </w:pPr>
    </w:lvl>
    <w:lvl w:ilvl="8" w:tplc="76DA2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8A7"/>
    <w:multiLevelType w:val="hybridMultilevel"/>
    <w:tmpl w:val="810AD200"/>
    <w:lvl w:ilvl="0" w:tplc="32D6B224">
      <w:start w:val="1"/>
      <w:numFmt w:val="decimal"/>
      <w:lvlText w:val="(%1)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B761B2"/>
    <w:multiLevelType w:val="hybridMultilevel"/>
    <w:tmpl w:val="81F27EBC"/>
    <w:lvl w:ilvl="0" w:tplc="734CA19E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1">
      <w:start w:val="1"/>
      <w:numFmt w:val="decimal"/>
      <w:lvlText w:val="%2)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B4645"/>
    <w:multiLevelType w:val="hybridMultilevel"/>
    <w:tmpl w:val="767C0350"/>
    <w:lvl w:ilvl="0" w:tplc="BA340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2E7589"/>
    <w:multiLevelType w:val="hybridMultilevel"/>
    <w:tmpl w:val="50CE65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2A6A"/>
    <w:multiLevelType w:val="hybridMultilevel"/>
    <w:tmpl w:val="801081B2"/>
    <w:lvl w:ilvl="0" w:tplc="34C6DB08">
      <w:start w:val="58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1">
    <w:nsid w:val="190206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44E66"/>
    <w:multiLevelType w:val="hybridMultilevel"/>
    <w:tmpl w:val="357655B8"/>
    <w:lvl w:ilvl="0" w:tplc="0A9C4772">
      <w:start w:val="59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C3D0214"/>
    <w:multiLevelType w:val="hybridMultilevel"/>
    <w:tmpl w:val="BBE00934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AB3639"/>
    <w:multiLevelType w:val="hybridMultilevel"/>
    <w:tmpl w:val="8B26D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6494A"/>
    <w:multiLevelType w:val="hybridMultilevel"/>
    <w:tmpl w:val="DCD0D060"/>
    <w:lvl w:ilvl="0" w:tplc="60C01346">
      <w:start w:val="2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0B2BD9"/>
    <w:multiLevelType w:val="hybridMultilevel"/>
    <w:tmpl w:val="DCB48B30"/>
    <w:lvl w:ilvl="0" w:tplc="04260011">
      <w:start w:val="1"/>
      <w:numFmt w:val="decimal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1">
    <w:nsid w:val="2C2A0FBA"/>
    <w:multiLevelType w:val="multilevel"/>
    <w:tmpl w:val="2D9E7E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D17B95"/>
    <w:multiLevelType w:val="hybridMultilevel"/>
    <w:tmpl w:val="0BE240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F113B"/>
    <w:multiLevelType w:val="hybridMultilevel"/>
    <w:tmpl w:val="595475B2"/>
    <w:lvl w:ilvl="0" w:tplc="D076F2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58B460C"/>
    <w:multiLevelType w:val="hybridMultilevel"/>
    <w:tmpl w:val="EAE4A960"/>
    <w:lvl w:ilvl="0" w:tplc="8742974C">
      <w:start w:val="1"/>
      <w:numFmt w:val="decimal"/>
      <w:lvlText w:val="%1."/>
      <w:lvlJc w:val="left"/>
      <w:pPr>
        <w:ind w:left="720" w:hanging="360"/>
      </w:pPr>
    </w:lvl>
    <w:lvl w:ilvl="1" w:tplc="D2A20620" w:tentative="1">
      <w:start w:val="1"/>
      <w:numFmt w:val="lowerLetter"/>
      <w:lvlText w:val="%2."/>
      <w:lvlJc w:val="left"/>
      <w:pPr>
        <w:ind w:left="1440" w:hanging="360"/>
      </w:pPr>
    </w:lvl>
    <w:lvl w:ilvl="2" w:tplc="6B4245D4" w:tentative="1">
      <w:start w:val="1"/>
      <w:numFmt w:val="lowerRoman"/>
      <w:lvlText w:val="%3."/>
      <w:lvlJc w:val="right"/>
      <w:pPr>
        <w:ind w:left="2160" w:hanging="180"/>
      </w:pPr>
    </w:lvl>
    <w:lvl w:ilvl="3" w:tplc="5CD24736" w:tentative="1">
      <w:start w:val="1"/>
      <w:numFmt w:val="decimal"/>
      <w:lvlText w:val="%4."/>
      <w:lvlJc w:val="left"/>
      <w:pPr>
        <w:ind w:left="2880" w:hanging="360"/>
      </w:pPr>
    </w:lvl>
    <w:lvl w:ilvl="4" w:tplc="4E42C640" w:tentative="1">
      <w:start w:val="1"/>
      <w:numFmt w:val="lowerLetter"/>
      <w:lvlText w:val="%5."/>
      <w:lvlJc w:val="left"/>
      <w:pPr>
        <w:ind w:left="3600" w:hanging="360"/>
      </w:pPr>
    </w:lvl>
    <w:lvl w:ilvl="5" w:tplc="F8FC5E36" w:tentative="1">
      <w:start w:val="1"/>
      <w:numFmt w:val="lowerRoman"/>
      <w:lvlText w:val="%6."/>
      <w:lvlJc w:val="right"/>
      <w:pPr>
        <w:ind w:left="4320" w:hanging="180"/>
      </w:pPr>
    </w:lvl>
    <w:lvl w:ilvl="6" w:tplc="A4B2C408" w:tentative="1">
      <w:start w:val="1"/>
      <w:numFmt w:val="decimal"/>
      <w:lvlText w:val="%7."/>
      <w:lvlJc w:val="left"/>
      <w:pPr>
        <w:ind w:left="5040" w:hanging="360"/>
      </w:pPr>
    </w:lvl>
    <w:lvl w:ilvl="7" w:tplc="0558610A" w:tentative="1">
      <w:start w:val="1"/>
      <w:numFmt w:val="lowerLetter"/>
      <w:lvlText w:val="%8."/>
      <w:lvlJc w:val="left"/>
      <w:pPr>
        <w:ind w:left="5760" w:hanging="360"/>
      </w:pPr>
    </w:lvl>
    <w:lvl w:ilvl="8" w:tplc="1930B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2365"/>
    <w:multiLevelType w:val="hybridMultilevel"/>
    <w:tmpl w:val="066E2B88"/>
    <w:lvl w:ilvl="0" w:tplc="25B4D19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1">
    <w:nsid w:val="3A7A0A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C64F88"/>
    <w:multiLevelType w:val="hybridMultilevel"/>
    <w:tmpl w:val="0E94B1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303D1"/>
    <w:multiLevelType w:val="hybridMultilevel"/>
    <w:tmpl w:val="B234F512"/>
    <w:lvl w:ilvl="0" w:tplc="93E8B7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3FA4312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1">
    <w:nsid w:val="46880E0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48941C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96C6CC9"/>
    <w:multiLevelType w:val="multilevel"/>
    <w:tmpl w:val="63540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1">
    <w:nsid w:val="4E0A28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1">
    <w:nsid w:val="509B236C"/>
    <w:multiLevelType w:val="hybridMultilevel"/>
    <w:tmpl w:val="E4C2744A"/>
    <w:lvl w:ilvl="0" w:tplc="51883206">
      <w:start w:val="1"/>
      <w:numFmt w:val="decimal"/>
      <w:lvlText w:val="%1)"/>
      <w:lvlJc w:val="left"/>
      <w:pPr>
        <w:ind w:left="1080" w:hanging="360"/>
      </w:pPr>
    </w:lvl>
    <w:lvl w:ilvl="1" w:tplc="71E28966">
      <w:start w:val="1"/>
      <w:numFmt w:val="lowerLetter"/>
      <w:lvlText w:val="%2."/>
      <w:lvlJc w:val="left"/>
      <w:pPr>
        <w:ind w:left="1800" w:hanging="360"/>
      </w:pPr>
    </w:lvl>
    <w:lvl w:ilvl="2" w:tplc="9006DA1A">
      <w:start w:val="1"/>
      <w:numFmt w:val="lowerRoman"/>
      <w:lvlText w:val="%3."/>
      <w:lvlJc w:val="right"/>
      <w:pPr>
        <w:ind w:left="2520" w:hanging="180"/>
      </w:pPr>
    </w:lvl>
    <w:lvl w:ilvl="3" w:tplc="AD948A74">
      <w:start w:val="1"/>
      <w:numFmt w:val="decimal"/>
      <w:lvlText w:val="%4."/>
      <w:lvlJc w:val="left"/>
      <w:pPr>
        <w:ind w:left="3240" w:hanging="360"/>
      </w:pPr>
    </w:lvl>
    <w:lvl w:ilvl="4" w:tplc="01D822DE">
      <w:start w:val="1"/>
      <w:numFmt w:val="lowerLetter"/>
      <w:lvlText w:val="%5."/>
      <w:lvlJc w:val="left"/>
      <w:pPr>
        <w:ind w:left="3960" w:hanging="360"/>
      </w:pPr>
    </w:lvl>
    <w:lvl w:ilvl="5" w:tplc="18664EFC">
      <w:start w:val="1"/>
      <w:numFmt w:val="lowerRoman"/>
      <w:lvlText w:val="%6."/>
      <w:lvlJc w:val="right"/>
      <w:pPr>
        <w:ind w:left="4680" w:hanging="180"/>
      </w:pPr>
    </w:lvl>
    <w:lvl w:ilvl="6" w:tplc="7DEE777A">
      <w:start w:val="1"/>
      <w:numFmt w:val="decimal"/>
      <w:lvlText w:val="%7."/>
      <w:lvlJc w:val="left"/>
      <w:pPr>
        <w:ind w:left="5400" w:hanging="360"/>
      </w:pPr>
    </w:lvl>
    <w:lvl w:ilvl="7" w:tplc="DD9094E8">
      <w:start w:val="1"/>
      <w:numFmt w:val="lowerLetter"/>
      <w:lvlText w:val="%8."/>
      <w:lvlJc w:val="left"/>
      <w:pPr>
        <w:ind w:left="6120" w:hanging="360"/>
      </w:pPr>
    </w:lvl>
    <w:lvl w:ilvl="8" w:tplc="EDFA460A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C28E7"/>
    <w:multiLevelType w:val="hybridMultilevel"/>
    <w:tmpl w:val="E176FECC"/>
    <w:lvl w:ilvl="0" w:tplc="246E1B4C">
      <w:start w:val="1"/>
      <w:numFmt w:val="decimal"/>
      <w:lvlText w:val="%1."/>
      <w:lvlJc w:val="righ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BC566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3929E9"/>
    <w:multiLevelType w:val="hybridMultilevel"/>
    <w:tmpl w:val="F6408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F2ACA"/>
    <w:multiLevelType w:val="hybridMultilevel"/>
    <w:tmpl w:val="C40CA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2C61C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1">
    <w:nsid w:val="65460690"/>
    <w:multiLevelType w:val="hybridMultilevel"/>
    <w:tmpl w:val="5B08CE14"/>
    <w:lvl w:ilvl="0" w:tplc="F8CAF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C25380" w:tentative="1">
      <w:start w:val="1"/>
      <w:numFmt w:val="lowerLetter"/>
      <w:lvlText w:val="%2."/>
      <w:lvlJc w:val="left"/>
      <w:pPr>
        <w:ind w:left="1440" w:hanging="360"/>
      </w:pPr>
    </w:lvl>
    <w:lvl w:ilvl="2" w:tplc="D47E832E" w:tentative="1">
      <w:start w:val="1"/>
      <w:numFmt w:val="lowerRoman"/>
      <w:lvlText w:val="%3."/>
      <w:lvlJc w:val="right"/>
      <w:pPr>
        <w:ind w:left="2160" w:hanging="180"/>
      </w:pPr>
    </w:lvl>
    <w:lvl w:ilvl="3" w:tplc="F522C378" w:tentative="1">
      <w:start w:val="1"/>
      <w:numFmt w:val="decimal"/>
      <w:lvlText w:val="%4."/>
      <w:lvlJc w:val="left"/>
      <w:pPr>
        <w:ind w:left="2880" w:hanging="360"/>
      </w:pPr>
    </w:lvl>
    <w:lvl w:ilvl="4" w:tplc="53986932" w:tentative="1">
      <w:start w:val="1"/>
      <w:numFmt w:val="lowerLetter"/>
      <w:lvlText w:val="%5."/>
      <w:lvlJc w:val="left"/>
      <w:pPr>
        <w:ind w:left="3600" w:hanging="360"/>
      </w:pPr>
    </w:lvl>
    <w:lvl w:ilvl="5" w:tplc="FB800DCE" w:tentative="1">
      <w:start w:val="1"/>
      <w:numFmt w:val="lowerRoman"/>
      <w:lvlText w:val="%6."/>
      <w:lvlJc w:val="right"/>
      <w:pPr>
        <w:ind w:left="4320" w:hanging="180"/>
      </w:pPr>
    </w:lvl>
    <w:lvl w:ilvl="6" w:tplc="0B7E1D5A" w:tentative="1">
      <w:start w:val="1"/>
      <w:numFmt w:val="decimal"/>
      <w:lvlText w:val="%7."/>
      <w:lvlJc w:val="left"/>
      <w:pPr>
        <w:ind w:left="5040" w:hanging="360"/>
      </w:pPr>
    </w:lvl>
    <w:lvl w:ilvl="7" w:tplc="56A69086" w:tentative="1">
      <w:start w:val="1"/>
      <w:numFmt w:val="lowerLetter"/>
      <w:lvlText w:val="%8."/>
      <w:lvlJc w:val="left"/>
      <w:pPr>
        <w:ind w:left="5760" w:hanging="360"/>
      </w:pPr>
    </w:lvl>
    <w:lvl w:ilvl="8" w:tplc="D56E6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67742CA"/>
    <w:multiLevelType w:val="hybridMultilevel"/>
    <w:tmpl w:val="11845328"/>
    <w:lvl w:ilvl="0" w:tplc="34D2B478">
      <w:start w:val="1"/>
      <w:numFmt w:val="decimal"/>
      <w:lvlText w:val="%1."/>
      <w:lvlJc w:val="left"/>
      <w:pPr>
        <w:ind w:left="1080" w:hanging="360"/>
      </w:pPr>
    </w:lvl>
    <w:lvl w:ilvl="1" w:tplc="E9784E80" w:tentative="1">
      <w:start w:val="1"/>
      <w:numFmt w:val="lowerLetter"/>
      <w:lvlText w:val="%2."/>
      <w:lvlJc w:val="left"/>
      <w:pPr>
        <w:ind w:left="1800" w:hanging="360"/>
      </w:pPr>
    </w:lvl>
    <w:lvl w:ilvl="2" w:tplc="F98047AA" w:tentative="1">
      <w:start w:val="1"/>
      <w:numFmt w:val="lowerRoman"/>
      <w:lvlText w:val="%3."/>
      <w:lvlJc w:val="right"/>
      <w:pPr>
        <w:ind w:left="2520" w:hanging="180"/>
      </w:pPr>
    </w:lvl>
    <w:lvl w:ilvl="3" w:tplc="AC9E9CA4" w:tentative="1">
      <w:start w:val="1"/>
      <w:numFmt w:val="decimal"/>
      <w:lvlText w:val="%4."/>
      <w:lvlJc w:val="left"/>
      <w:pPr>
        <w:ind w:left="3240" w:hanging="360"/>
      </w:pPr>
    </w:lvl>
    <w:lvl w:ilvl="4" w:tplc="DF067D8A" w:tentative="1">
      <w:start w:val="1"/>
      <w:numFmt w:val="lowerLetter"/>
      <w:lvlText w:val="%5."/>
      <w:lvlJc w:val="left"/>
      <w:pPr>
        <w:ind w:left="3960" w:hanging="360"/>
      </w:pPr>
    </w:lvl>
    <w:lvl w:ilvl="5" w:tplc="93EEA886" w:tentative="1">
      <w:start w:val="1"/>
      <w:numFmt w:val="lowerRoman"/>
      <w:lvlText w:val="%6."/>
      <w:lvlJc w:val="right"/>
      <w:pPr>
        <w:ind w:left="4680" w:hanging="180"/>
      </w:pPr>
    </w:lvl>
    <w:lvl w:ilvl="6" w:tplc="BE2E6D10" w:tentative="1">
      <w:start w:val="1"/>
      <w:numFmt w:val="decimal"/>
      <w:lvlText w:val="%7."/>
      <w:lvlJc w:val="left"/>
      <w:pPr>
        <w:ind w:left="5400" w:hanging="360"/>
      </w:pPr>
    </w:lvl>
    <w:lvl w:ilvl="7" w:tplc="792E6EC6" w:tentative="1">
      <w:start w:val="1"/>
      <w:numFmt w:val="lowerLetter"/>
      <w:lvlText w:val="%8."/>
      <w:lvlJc w:val="left"/>
      <w:pPr>
        <w:ind w:left="6120" w:hanging="360"/>
      </w:pPr>
    </w:lvl>
    <w:lvl w:ilvl="8" w:tplc="10002C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BB6A29"/>
    <w:multiLevelType w:val="hybridMultilevel"/>
    <w:tmpl w:val="C34A85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C0B12"/>
    <w:multiLevelType w:val="hybridMultilevel"/>
    <w:tmpl w:val="D16C9DCC"/>
    <w:lvl w:ilvl="0" w:tplc="04260011">
      <w:start w:val="1"/>
      <w:numFmt w:val="decimal"/>
      <w:lvlText w:val="%1)"/>
      <w:lvlJc w:val="left"/>
      <w:pPr>
        <w:ind w:left="2946" w:hanging="360"/>
      </w:pPr>
    </w:lvl>
    <w:lvl w:ilvl="1" w:tplc="04260019" w:tentative="1">
      <w:start w:val="1"/>
      <w:numFmt w:val="lowerLetter"/>
      <w:lvlText w:val="%2."/>
      <w:lvlJc w:val="left"/>
      <w:pPr>
        <w:ind w:left="3666" w:hanging="360"/>
      </w:pPr>
    </w:lvl>
    <w:lvl w:ilvl="2" w:tplc="0426001B" w:tentative="1">
      <w:start w:val="1"/>
      <w:numFmt w:val="lowerRoman"/>
      <w:lvlText w:val="%3."/>
      <w:lvlJc w:val="right"/>
      <w:pPr>
        <w:ind w:left="4386" w:hanging="180"/>
      </w:pPr>
    </w:lvl>
    <w:lvl w:ilvl="3" w:tplc="0426000F" w:tentative="1">
      <w:start w:val="1"/>
      <w:numFmt w:val="decimal"/>
      <w:lvlText w:val="%4."/>
      <w:lvlJc w:val="left"/>
      <w:pPr>
        <w:ind w:left="5106" w:hanging="360"/>
      </w:pPr>
    </w:lvl>
    <w:lvl w:ilvl="4" w:tplc="04260019" w:tentative="1">
      <w:start w:val="1"/>
      <w:numFmt w:val="lowerLetter"/>
      <w:lvlText w:val="%5."/>
      <w:lvlJc w:val="left"/>
      <w:pPr>
        <w:ind w:left="5826" w:hanging="360"/>
      </w:pPr>
    </w:lvl>
    <w:lvl w:ilvl="5" w:tplc="0426001B" w:tentative="1">
      <w:start w:val="1"/>
      <w:numFmt w:val="lowerRoman"/>
      <w:lvlText w:val="%6."/>
      <w:lvlJc w:val="right"/>
      <w:pPr>
        <w:ind w:left="6546" w:hanging="180"/>
      </w:pPr>
    </w:lvl>
    <w:lvl w:ilvl="6" w:tplc="0426000F" w:tentative="1">
      <w:start w:val="1"/>
      <w:numFmt w:val="decimal"/>
      <w:lvlText w:val="%7."/>
      <w:lvlJc w:val="left"/>
      <w:pPr>
        <w:ind w:left="7266" w:hanging="360"/>
      </w:pPr>
    </w:lvl>
    <w:lvl w:ilvl="7" w:tplc="04260019" w:tentative="1">
      <w:start w:val="1"/>
      <w:numFmt w:val="lowerLetter"/>
      <w:lvlText w:val="%8."/>
      <w:lvlJc w:val="left"/>
      <w:pPr>
        <w:ind w:left="7986" w:hanging="360"/>
      </w:pPr>
    </w:lvl>
    <w:lvl w:ilvl="8" w:tplc="0426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37" w15:restartNumberingAfterBreak="1">
    <w:nsid w:val="7018209B"/>
    <w:multiLevelType w:val="hybridMultilevel"/>
    <w:tmpl w:val="B72E0218"/>
    <w:lvl w:ilvl="0" w:tplc="F920DED0">
      <w:start w:val="1"/>
      <w:numFmt w:val="decimal"/>
      <w:lvlText w:val="(%1)"/>
      <w:lvlJc w:val="left"/>
      <w:pPr>
        <w:ind w:left="720" w:hanging="360"/>
      </w:pPr>
    </w:lvl>
    <w:lvl w:ilvl="1" w:tplc="6FFA360E">
      <w:start w:val="1"/>
      <w:numFmt w:val="lowerLetter"/>
      <w:lvlText w:val="%2."/>
      <w:lvlJc w:val="left"/>
      <w:pPr>
        <w:ind w:left="1440" w:hanging="360"/>
      </w:pPr>
    </w:lvl>
    <w:lvl w:ilvl="2" w:tplc="32AEC9D8">
      <w:start w:val="1"/>
      <w:numFmt w:val="lowerRoman"/>
      <w:lvlText w:val="%3."/>
      <w:lvlJc w:val="right"/>
      <w:pPr>
        <w:ind w:left="2160" w:hanging="180"/>
      </w:pPr>
    </w:lvl>
    <w:lvl w:ilvl="3" w:tplc="EB1A0CA8">
      <w:start w:val="1"/>
      <w:numFmt w:val="decimal"/>
      <w:lvlText w:val="%4."/>
      <w:lvlJc w:val="left"/>
      <w:pPr>
        <w:ind w:left="2880" w:hanging="360"/>
      </w:pPr>
    </w:lvl>
    <w:lvl w:ilvl="4" w:tplc="F5E4ED4E">
      <w:start w:val="1"/>
      <w:numFmt w:val="lowerLetter"/>
      <w:lvlText w:val="%5."/>
      <w:lvlJc w:val="left"/>
      <w:pPr>
        <w:ind w:left="3600" w:hanging="360"/>
      </w:pPr>
    </w:lvl>
    <w:lvl w:ilvl="5" w:tplc="70B0B412">
      <w:start w:val="1"/>
      <w:numFmt w:val="lowerRoman"/>
      <w:lvlText w:val="%6."/>
      <w:lvlJc w:val="right"/>
      <w:pPr>
        <w:ind w:left="4320" w:hanging="180"/>
      </w:pPr>
    </w:lvl>
    <w:lvl w:ilvl="6" w:tplc="A1C6C132">
      <w:start w:val="1"/>
      <w:numFmt w:val="decimal"/>
      <w:lvlText w:val="%7."/>
      <w:lvlJc w:val="left"/>
      <w:pPr>
        <w:ind w:left="5040" w:hanging="360"/>
      </w:pPr>
    </w:lvl>
    <w:lvl w:ilvl="7" w:tplc="397EEA90">
      <w:start w:val="1"/>
      <w:numFmt w:val="lowerLetter"/>
      <w:lvlText w:val="%8."/>
      <w:lvlJc w:val="left"/>
      <w:pPr>
        <w:ind w:left="5760" w:hanging="360"/>
      </w:pPr>
    </w:lvl>
    <w:lvl w:ilvl="8" w:tplc="3168C3B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52C785C"/>
    <w:multiLevelType w:val="hybridMultilevel"/>
    <w:tmpl w:val="6B2269B8"/>
    <w:lvl w:ilvl="0" w:tplc="5B38D776">
      <w:start w:val="1"/>
      <w:numFmt w:val="decimal"/>
      <w:lvlText w:val="%1."/>
      <w:lvlJc w:val="left"/>
      <w:pPr>
        <w:ind w:left="720" w:hanging="360"/>
      </w:pPr>
    </w:lvl>
    <w:lvl w:ilvl="1" w:tplc="440CD0D8" w:tentative="1">
      <w:start w:val="1"/>
      <w:numFmt w:val="lowerLetter"/>
      <w:lvlText w:val="%2."/>
      <w:lvlJc w:val="left"/>
      <w:pPr>
        <w:ind w:left="1440" w:hanging="360"/>
      </w:pPr>
    </w:lvl>
    <w:lvl w:ilvl="2" w:tplc="805A74EC" w:tentative="1">
      <w:start w:val="1"/>
      <w:numFmt w:val="lowerRoman"/>
      <w:lvlText w:val="%3."/>
      <w:lvlJc w:val="right"/>
      <w:pPr>
        <w:ind w:left="2160" w:hanging="180"/>
      </w:pPr>
    </w:lvl>
    <w:lvl w:ilvl="3" w:tplc="F1EECC0A" w:tentative="1">
      <w:start w:val="1"/>
      <w:numFmt w:val="decimal"/>
      <w:lvlText w:val="%4."/>
      <w:lvlJc w:val="left"/>
      <w:pPr>
        <w:ind w:left="2880" w:hanging="360"/>
      </w:pPr>
    </w:lvl>
    <w:lvl w:ilvl="4" w:tplc="3A2CF748" w:tentative="1">
      <w:start w:val="1"/>
      <w:numFmt w:val="lowerLetter"/>
      <w:lvlText w:val="%5."/>
      <w:lvlJc w:val="left"/>
      <w:pPr>
        <w:ind w:left="3600" w:hanging="360"/>
      </w:pPr>
    </w:lvl>
    <w:lvl w:ilvl="5" w:tplc="06E0F9D2" w:tentative="1">
      <w:start w:val="1"/>
      <w:numFmt w:val="lowerRoman"/>
      <w:lvlText w:val="%6."/>
      <w:lvlJc w:val="right"/>
      <w:pPr>
        <w:ind w:left="4320" w:hanging="180"/>
      </w:pPr>
    </w:lvl>
    <w:lvl w:ilvl="6" w:tplc="8B78F34A" w:tentative="1">
      <w:start w:val="1"/>
      <w:numFmt w:val="decimal"/>
      <w:lvlText w:val="%7."/>
      <w:lvlJc w:val="left"/>
      <w:pPr>
        <w:ind w:left="5040" w:hanging="360"/>
      </w:pPr>
    </w:lvl>
    <w:lvl w:ilvl="7" w:tplc="F63013C2" w:tentative="1">
      <w:start w:val="1"/>
      <w:numFmt w:val="lowerLetter"/>
      <w:lvlText w:val="%8."/>
      <w:lvlJc w:val="left"/>
      <w:pPr>
        <w:ind w:left="5760" w:hanging="360"/>
      </w:pPr>
    </w:lvl>
    <w:lvl w:ilvl="8" w:tplc="66A2E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C0511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9"/>
  </w:num>
  <w:num w:numId="3">
    <w:abstractNumId w:val="26"/>
  </w:num>
  <w:num w:numId="4">
    <w:abstractNumId w:val="23"/>
  </w:num>
  <w:num w:numId="5">
    <w:abstractNumId w:val="39"/>
  </w:num>
  <w:num w:numId="6">
    <w:abstractNumId w:val="14"/>
  </w:num>
  <w:num w:numId="7">
    <w:abstractNumId w:val="1"/>
  </w:num>
  <w:num w:numId="8">
    <w:abstractNumId w:val="22"/>
  </w:num>
  <w:num w:numId="9">
    <w:abstractNumId w:val="32"/>
  </w:num>
  <w:num w:numId="10">
    <w:abstractNumId w:val="2"/>
  </w:num>
  <w:num w:numId="11">
    <w:abstractNumId w:val="34"/>
  </w:num>
  <w:num w:numId="12">
    <w:abstractNumId w:val="8"/>
  </w:num>
  <w:num w:numId="13">
    <w:abstractNumId w:val="33"/>
  </w:num>
  <w:num w:numId="14">
    <w:abstractNumId w:val="24"/>
  </w:num>
  <w:num w:numId="15">
    <w:abstractNumId w:val="17"/>
  </w:num>
  <w:num w:numId="16">
    <w:abstractNumId w:val="38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4"/>
  </w:num>
  <w:num w:numId="22">
    <w:abstractNumId w:val="13"/>
  </w:num>
  <w:num w:numId="23">
    <w:abstractNumId w:val="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9"/>
  </w:num>
  <w:num w:numId="27">
    <w:abstractNumId w:val="10"/>
  </w:num>
  <w:num w:numId="28">
    <w:abstractNumId w:val="3"/>
  </w:num>
  <w:num w:numId="29">
    <w:abstractNumId w:val="18"/>
  </w:num>
  <w:num w:numId="30">
    <w:abstractNumId w:val="6"/>
  </w:num>
  <w:num w:numId="31">
    <w:abstractNumId w:val="20"/>
  </w:num>
  <w:num w:numId="32">
    <w:abstractNumId w:val="16"/>
  </w:num>
  <w:num w:numId="33">
    <w:abstractNumId w:val="30"/>
  </w:num>
  <w:num w:numId="34">
    <w:abstractNumId w:val="15"/>
  </w:num>
  <w:num w:numId="35">
    <w:abstractNumId w:val="21"/>
  </w:num>
  <w:num w:numId="36">
    <w:abstractNumId w:val="0"/>
  </w:num>
  <w:num w:numId="37">
    <w:abstractNumId w:val="31"/>
  </w:num>
  <w:num w:numId="38">
    <w:abstractNumId w:val="11"/>
  </w:num>
  <w:num w:numId="39">
    <w:abstractNumId w:val="3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D1"/>
    <w:rsid w:val="000021D0"/>
    <w:rsid w:val="0000274E"/>
    <w:rsid w:val="00006B75"/>
    <w:rsid w:val="00010CFC"/>
    <w:rsid w:val="0001205E"/>
    <w:rsid w:val="0001335D"/>
    <w:rsid w:val="00021AFC"/>
    <w:rsid w:val="000243F2"/>
    <w:rsid w:val="00024C16"/>
    <w:rsid w:val="00026AE2"/>
    <w:rsid w:val="0003717F"/>
    <w:rsid w:val="000446C2"/>
    <w:rsid w:val="00044948"/>
    <w:rsid w:val="000515DE"/>
    <w:rsid w:val="00083041"/>
    <w:rsid w:val="00083899"/>
    <w:rsid w:val="00084707"/>
    <w:rsid w:val="00087C17"/>
    <w:rsid w:val="000A5F18"/>
    <w:rsid w:val="000A68BD"/>
    <w:rsid w:val="000A69EF"/>
    <w:rsid w:val="000A7824"/>
    <w:rsid w:val="000A7EA3"/>
    <w:rsid w:val="000B0661"/>
    <w:rsid w:val="000B0A48"/>
    <w:rsid w:val="000B3A8E"/>
    <w:rsid w:val="000B4501"/>
    <w:rsid w:val="000B7729"/>
    <w:rsid w:val="000C6C50"/>
    <w:rsid w:val="000C7798"/>
    <w:rsid w:val="000D0E25"/>
    <w:rsid w:val="000E1D59"/>
    <w:rsid w:val="000E369F"/>
    <w:rsid w:val="000E49FE"/>
    <w:rsid w:val="000E56C3"/>
    <w:rsid w:val="000E5F70"/>
    <w:rsid w:val="000E759E"/>
    <w:rsid w:val="000E7F27"/>
    <w:rsid w:val="000F2BE8"/>
    <w:rsid w:val="000F7168"/>
    <w:rsid w:val="00101FEB"/>
    <w:rsid w:val="0011506D"/>
    <w:rsid w:val="0012116D"/>
    <w:rsid w:val="00122381"/>
    <w:rsid w:val="0013231A"/>
    <w:rsid w:val="00133AD7"/>
    <w:rsid w:val="00134BCE"/>
    <w:rsid w:val="001469D2"/>
    <w:rsid w:val="00146E74"/>
    <w:rsid w:val="00147BC4"/>
    <w:rsid w:val="00151DE1"/>
    <w:rsid w:val="00161A16"/>
    <w:rsid w:val="001702CF"/>
    <w:rsid w:val="00172412"/>
    <w:rsid w:val="00173769"/>
    <w:rsid w:val="001744BE"/>
    <w:rsid w:val="0017583A"/>
    <w:rsid w:val="00183FD4"/>
    <w:rsid w:val="00185BCF"/>
    <w:rsid w:val="00193789"/>
    <w:rsid w:val="00196951"/>
    <w:rsid w:val="001A323E"/>
    <w:rsid w:val="001A38EA"/>
    <w:rsid w:val="001B401C"/>
    <w:rsid w:val="001C1199"/>
    <w:rsid w:val="001C136C"/>
    <w:rsid w:val="001C1B5F"/>
    <w:rsid w:val="001C4D02"/>
    <w:rsid w:val="001D1751"/>
    <w:rsid w:val="001D2534"/>
    <w:rsid w:val="001D517D"/>
    <w:rsid w:val="001F0D9E"/>
    <w:rsid w:val="001F1058"/>
    <w:rsid w:val="001F2BCF"/>
    <w:rsid w:val="001F32EE"/>
    <w:rsid w:val="00202C57"/>
    <w:rsid w:val="00205FD1"/>
    <w:rsid w:val="00214C7A"/>
    <w:rsid w:val="00215E44"/>
    <w:rsid w:val="002246A8"/>
    <w:rsid w:val="00224B85"/>
    <w:rsid w:val="0022532E"/>
    <w:rsid w:val="002254FD"/>
    <w:rsid w:val="00230791"/>
    <w:rsid w:val="0023443D"/>
    <w:rsid w:val="002441E4"/>
    <w:rsid w:val="002477BE"/>
    <w:rsid w:val="0025079E"/>
    <w:rsid w:val="00251412"/>
    <w:rsid w:val="002570FD"/>
    <w:rsid w:val="002578D2"/>
    <w:rsid w:val="00274436"/>
    <w:rsid w:val="00275127"/>
    <w:rsid w:val="002755EF"/>
    <w:rsid w:val="00275D51"/>
    <w:rsid w:val="002804A1"/>
    <w:rsid w:val="0028341F"/>
    <w:rsid w:val="0028525B"/>
    <w:rsid w:val="00287BBB"/>
    <w:rsid w:val="00290824"/>
    <w:rsid w:val="00291A81"/>
    <w:rsid w:val="002936B4"/>
    <w:rsid w:val="00297D2B"/>
    <w:rsid w:val="002A507A"/>
    <w:rsid w:val="002A6981"/>
    <w:rsid w:val="002A79D1"/>
    <w:rsid w:val="002B2023"/>
    <w:rsid w:val="002B2E10"/>
    <w:rsid w:val="002B37E7"/>
    <w:rsid w:val="002B4F61"/>
    <w:rsid w:val="002B5EB4"/>
    <w:rsid w:val="002C3173"/>
    <w:rsid w:val="002C4CB4"/>
    <w:rsid w:val="002D2D8E"/>
    <w:rsid w:val="002D6DE9"/>
    <w:rsid w:val="002E1726"/>
    <w:rsid w:val="002E4C7E"/>
    <w:rsid w:val="002E75A8"/>
    <w:rsid w:val="002F0C2F"/>
    <w:rsid w:val="002F3597"/>
    <w:rsid w:val="002F411D"/>
    <w:rsid w:val="00304803"/>
    <w:rsid w:val="00307619"/>
    <w:rsid w:val="00310E2A"/>
    <w:rsid w:val="00312FDC"/>
    <w:rsid w:val="00314DAC"/>
    <w:rsid w:val="003161A0"/>
    <w:rsid w:val="00321809"/>
    <w:rsid w:val="00323DC8"/>
    <w:rsid w:val="00327D7A"/>
    <w:rsid w:val="00332B31"/>
    <w:rsid w:val="00335378"/>
    <w:rsid w:val="00337FCD"/>
    <w:rsid w:val="00341B33"/>
    <w:rsid w:val="00353404"/>
    <w:rsid w:val="0036626F"/>
    <w:rsid w:val="00367385"/>
    <w:rsid w:val="003720E4"/>
    <w:rsid w:val="00373E3B"/>
    <w:rsid w:val="00381321"/>
    <w:rsid w:val="00392C04"/>
    <w:rsid w:val="0039354A"/>
    <w:rsid w:val="00395528"/>
    <w:rsid w:val="00396BED"/>
    <w:rsid w:val="003A3C64"/>
    <w:rsid w:val="003A43F2"/>
    <w:rsid w:val="003B3F6F"/>
    <w:rsid w:val="003B65E7"/>
    <w:rsid w:val="003D143D"/>
    <w:rsid w:val="003D41AF"/>
    <w:rsid w:val="003E1B04"/>
    <w:rsid w:val="003E4633"/>
    <w:rsid w:val="003F3B76"/>
    <w:rsid w:val="003F45D2"/>
    <w:rsid w:val="003F5622"/>
    <w:rsid w:val="003F6B66"/>
    <w:rsid w:val="00407093"/>
    <w:rsid w:val="004109C1"/>
    <w:rsid w:val="004133B4"/>
    <w:rsid w:val="0041425D"/>
    <w:rsid w:val="00414E58"/>
    <w:rsid w:val="00421746"/>
    <w:rsid w:val="00425341"/>
    <w:rsid w:val="00426FC2"/>
    <w:rsid w:val="00434507"/>
    <w:rsid w:val="0043559F"/>
    <w:rsid w:val="00441EDD"/>
    <w:rsid w:val="00445AA0"/>
    <w:rsid w:val="00446194"/>
    <w:rsid w:val="0045585A"/>
    <w:rsid w:val="00464201"/>
    <w:rsid w:val="00464B89"/>
    <w:rsid w:val="00465BE2"/>
    <w:rsid w:val="00467BB2"/>
    <w:rsid w:val="00474976"/>
    <w:rsid w:val="00477DE4"/>
    <w:rsid w:val="0048690F"/>
    <w:rsid w:val="00490359"/>
    <w:rsid w:val="0049180E"/>
    <w:rsid w:val="00491ADD"/>
    <w:rsid w:val="004954CA"/>
    <w:rsid w:val="00496F13"/>
    <w:rsid w:val="004A62C9"/>
    <w:rsid w:val="004A685C"/>
    <w:rsid w:val="004B3182"/>
    <w:rsid w:val="004B63C0"/>
    <w:rsid w:val="004C3C62"/>
    <w:rsid w:val="004C7C53"/>
    <w:rsid w:val="004D2C68"/>
    <w:rsid w:val="004D7248"/>
    <w:rsid w:val="004D7367"/>
    <w:rsid w:val="004E14A3"/>
    <w:rsid w:val="004E4452"/>
    <w:rsid w:val="004E4DCF"/>
    <w:rsid w:val="004E696A"/>
    <w:rsid w:val="004F1D21"/>
    <w:rsid w:val="004F566A"/>
    <w:rsid w:val="00501AAC"/>
    <w:rsid w:val="00506D84"/>
    <w:rsid w:val="0051410B"/>
    <w:rsid w:val="00520A79"/>
    <w:rsid w:val="00523CA1"/>
    <w:rsid w:val="00525E6F"/>
    <w:rsid w:val="00530B69"/>
    <w:rsid w:val="00532D1F"/>
    <w:rsid w:val="005400CD"/>
    <w:rsid w:val="00540646"/>
    <w:rsid w:val="00542761"/>
    <w:rsid w:val="0054495E"/>
    <w:rsid w:val="00544EDC"/>
    <w:rsid w:val="00545503"/>
    <w:rsid w:val="00550FF0"/>
    <w:rsid w:val="00556649"/>
    <w:rsid w:val="005577C5"/>
    <w:rsid w:val="00570DA5"/>
    <w:rsid w:val="00576D91"/>
    <w:rsid w:val="005812CF"/>
    <w:rsid w:val="00582FE9"/>
    <w:rsid w:val="00585CC6"/>
    <w:rsid w:val="00587288"/>
    <w:rsid w:val="005907E3"/>
    <w:rsid w:val="005920E4"/>
    <w:rsid w:val="00593DAE"/>
    <w:rsid w:val="00597A16"/>
    <w:rsid w:val="005A4F5A"/>
    <w:rsid w:val="005A5AA5"/>
    <w:rsid w:val="005A7EB3"/>
    <w:rsid w:val="005B337B"/>
    <w:rsid w:val="005B731A"/>
    <w:rsid w:val="005B77CB"/>
    <w:rsid w:val="005C5AFB"/>
    <w:rsid w:val="005D2DF8"/>
    <w:rsid w:val="005D39DB"/>
    <w:rsid w:val="005E00A8"/>
    <w:rsid w:val="005E1858"/>
    <w:rsid w:val="005E3DC8"/>
    <w:rsid w:val="005E54FB"/>
    <w:rsid w:val="005E7675"/>
    <w:rsid w:val="005F06EE"/>
    <w:rsid w:val="005F272B"/>
    <w:rsid w:val="006015F6"/>
    <w:rsid w:val="00601B25"/>
    <w:rsid w:val="00603A3F"/>
    <w:rsid w:val="00612186"/>
    <w:rsid w:val="00612E74"/>
    <w:rsid w:val="0061434E"/>
    <w:rsid w:val="00621DE3"/>
    <w:rsid w:val="00625156"/>
    <w:rsid w:val="00634881"/>
    <w:rsid w:val="00635F02"/>
    <w:rsid w:val="00636C71"/>
    <w:rsid w:val="00640DE0"/>
    <w:rsid w:val="006430A2"/>
    <w:rsid w:val="00643670"/>
    <w:rsid w:val="00643E08"/>
    <w:rsid w:val="0064478F"/>
    <w:rsid w:val="006468A6"/>
    <w:rsid w:val="00657517"/>
    <w:rsid w:val="0065753F"/>
    <w:rsid w:val="00660BFE"/>
    <w:rsid w:val="0067060F"/>
    <w:rsid w:val="00673231"/>
    <w:rsid w:val="006741EE"/>
    <w:rsid w:val="006741FA"/>
    <w:rsid w:val="00676167"/>
    <w:rsid w:val="00683FEA"/>
    <w:rsid w:val="006844F8"/>
    <w:rsid w:val="00684AB8"/>
    <w:rsid w:val="006926E8"/>
    <w:rsid w:val="00694C30"/>
    <w:rsid w:val="006953B7"/>
    <w:rsid w:val="00696949"/>
    <w:rsid w:val="006A1B5F"/>
    <w:rsid w:val="006A3AE3"/>
    <w:rsid w:val="006B3110"/>
    <w:rsid w:val="006B3BAE"/>
    <w:rsid w:val="006B7BCF"/>
    <w:rsid w:val="006B7E11"/>
    <w:rsid w:val="006C2795"/>
    <w:rsid w:val="006C6698"/>
    <w:rsid w:val="006D1382"/>
    <w:rsid w:val="006D4882"/>
    <w:rsid w:val="006E5BC1"/>
    <w:rsid w:val="006E702C"/>
    <w:rsid w:val="006F48EE"/>
    <w:rsid w:val="006F52D9"/>
    <w:rsid w:val="006F5E33"/>
    <w:rsid w:val="006F635A"/>
    <w:rsid w:val="006F637C"/>
    <w:rsid w:val="00700C2A"/>
    <w:rsid w:val="0070184C"/>
    <w:rsid w:val="00702171"/>
    <w:rsid w:val="007024FF"/>
    <w:rsid w:val="00705A75"/>
    <w:rsid w:val="007079A6"/>
    <w:rsid w:val="00713A5E"/>
    <w:rsid w:val="00720219"/>
    <w:rsid w:val="00722D9B"/>
    <w:rsid w:val="007273A7"/>
    <w:rsid w:val="00730EBC"/>
    <w:rsid w:val="00735218"/>
    <w:rsid w:val="00737C72"/>
    <w:rsid w:val="00740A5B"/>
    <w:rsid w:val="00741AEF"/>
    <w:rsid w:val="00743001"/>
    <w:rsid w:val="00745F21"/>
    <w:rsid w:val="007541C8"/>
    <w:rsid w:val="00754742"/>
    <w:rsid w:val="00755852"/>
    <w:rsid w:val="0075666E"/>
    <w:rsid w:val="007566D1"/>
    <w:rsid w:val="00756B0A"/>
    <w:rsid w:val="007616D5"/>
    <w:rsid w:val="00761F63"/>
    <w:rsid w:val="007648F9"/>
    <w:rsid w:val="0076531F"/>
    <w:rsid w:val="0077162F"/>
    <w:rsid w:val="007811E7"/>
    <w:rsid w:val="00782581"/>
    <w:rsid w:val="00782F14"/>
    <w:rsid w:val="00784D4B"/>
    <w:rsid w:val="007942B0"/>
    <w:rsid w:val="007A67EC"/>
    <w:rsid w:val="007B22D5"/>
    <w:rsid w:val="007B4E3A"/>
    <w:rsid w:val="007B7B0A"/>
    <w:rsid w:val="007C14E2"/>
    <w:rsid w:val="007C45C6"/>
    <w:rsid w:val="007D3369"/>
    <w:rsid w:val="007D435E"/>
    <w:rsid w:val="007D62E7"/>
    <w:rsid w:val="007D7290"/>
    <w:rsid w:val="007E3E62"/>
    <w:rsid w:val="007E50F8"/>
    <w:rsid w:val="007E5729"/>
    <w:rsid w:val="007E7774"/>
    <w:rsid w:val="007F1C45"/>
    <w:rsid w:val="00803C22"/>
    <w:rsid w:val="008047DD"/>
    <w:rsid w:val="008060FD"/>
    <w:rsid w:val="008200F9"/>
    <w:rsid w:val="00820112"/>
    <w:rsid w:val="00820B80"/>
    <w:rsid w:val="00824F0F"/>
    <w:rsid w:val="008313C9"/>
    <w:rsid w:val="00831E01"/>
    <w:rsid w:val="00832576"/>
    <w:rsid w:val="0083277D"/>
    <w:rsid w:val="00836ACF"/>
    <w:rsid w:val="00841198"/>
    <w:rsid w:val="008418BC"/>
    <w:rsid w:val="00843836"/>
    <w:rsid w:val="008451D8"/>
    <w:rsid w:val="00857B68"/>
    <w:rsid w:val="00860C39"/>
    <w:rsid w:val="00862161"/>
    <w:rsid w:val="00862EDC"/>
    <w:rsid w:val="00864D3F"/>
    <w:rsid w:val="0087156E"/>
    <w:rsid w:val="008718B8"/>
    <w:rsid w:val="0087597B"/>
    <w:rsid w:val="00876CB1"/>
    <w:rsid w:val="008805F4"/>
    <w:rsid w:val="00884029"/>
    <w:rsid w:val="008857DC"/>
    <w:rsid w:val="00893CCB"/>
    <w:rsid w:val="00894889"/>
    <w:rsid w:val="008A21CF"/>
    <w:rsid w:val="008A30B8"/>
    <w:rsid w:val="008A5AC7"/>
    <w:rsid w:val="008A62E8"/>
    <w:rsid w:val="008A698E"/>
    <w:rsid w:val="008B1151"/>
    <w:rsid w:val="008B2C23"/>
    <w:rsid w:val="008B67E1"/>
    <w:rsid w:val="008C1750"/>
    <w:rsid w:val="008C224D"/>
    <w:rsid w:val="008C23D9"/>
    <w:rsid w:val="008C385E"/>
    <w:rsid w:val="008C629F"/>
    <w:rsid w:val="008C75E7"/>
    <w:rsid w:val="008D05BB"/>
    <w:rsid w:val="008E00BE"/>
    <w:rsid w:val="008E1683"/>
    <w:rsid w:val="008E463E"/>
    <w:rsid w:val="008F6F21"/>
    <w:rsid w:val="0090379A"/>
    <w:rsid w:val="00904C8B"/>
    <w:rsid w:val="00904EC9"/>
    <w:rsid w:val="0091030D"/>
    <w:rsid w:val="0091194A"/>
    <w:rsid w:val="00913515"/>
    <w:rsid w:val="009139F8"/>
    <w:rsid w:val="0091593B"/>
    <w:rsid w:val="00917E22"/>
    <w:rsid w:val="00922D35"/>
    <w:rsid w:val="00924D6F"/>
    <w:rsid w:val="00926797"/>
    <w:rsid w:val="00926F78"/>
    <w:rsid w:val="0093419A"/>
    <w:rsid w:val="0093502E"/>
    <w:rsid w:val="0093574F"/>
    <w:rsid w:val="009360F4"/>
    <w:rsid w:val="00936CA7"/>
    <w:rsid w:val="00941286"/>
    <w:rsid w:val="0094439A"/>
    <w:rsid w:val="0094599A"/>
    <w:rsid w:val="009464F6"/>
    <w:rsid w:val="0095341F"/>
    <w:rsid w:val="00967653"/>
    <w:rsid w:val="00975E6F"/>
    <w:rsid w:val="00986785"/>
    <w:rsid w:val="00992FA0"/>
    <w:rsid w:val="009977D3"/>
    <w:rsid w:val="009A0539"/>
    <w:rsid w:val="009A2C5A"/>
    <w:rsid w:val="009B691F"/>
    <w:rsid w:val="009C044B"/>
    <w:rsid w:val="009C1314"/>
    <w:rsid w:val="009D3638"/>
    <w:rsid w:val="009E0DC9"/>
    <w:rsid w:val="009E0E60"/>
    <w:rsid w:val="009E1540"/>
    <w:rsid w:val="009E15CF"/>
    <w:rsid w:val="009E2D22"/>
    <w:rsid w:val="009E3F82"/>
    <w:rsid w:val="009E4679"/>
    <w:rsid w:val="009E4B87"/>
    <w:rsid w:val="009F043D"/>
    <w:rsid w:val="009F3D73"/>
    <w:rsid w:val="00A011D5"/>
    <w:rsid w:val="00A01E79"/>
    <w:rsid w:val="00A04421"/>
    <w:rsid w:val="00A1058C"/>
    <w:rsid w:val="00A10943"/>
    <w:rsid w:val="00A12845"/>
    <w:rsid w:val="00A13351"/>
    <w:rsid w:val="00A139DF"/>
    <w:rsid w:val="00A156F8"/>
    <w:rsid w:val="00A16FAC"/>
    <w:rsid w:val="00A25E6C"/>
    <w:rsid w:val="00A303A7"/>
    <w:rsid w:val="00A33836"/>
    <w:rsid w:val="00A35D5A"/>
    <w:rsid w:val="00A42A5F"/>
    <w:rsid w:val="00A46BA0"/>
    <w:rsid w:val="00A5322A"/>
    <w:rsid w:val="00A608C6"/>
    <w:rsid w:val="00A664CA"/>
    <w:rsid w:val="00A74AF1"/>
    <w:rsid w:val="00A82062"/>
    <w:rsid w:val="00A84311"/>
    <w:rsid w:val="00A8437B"/>
    <w:rsid w:val="00A84E3F"/>
    <w:rsid w:val="00A91658"/>
    <w:rsid w:val="00A96F2C"/>
    <w:rsid w:val="00A973B3"/>
    <w:rsid w:val="00A97BEE"/>
    <w:rsid w:val="00AA5422"/>
    <w:rsid w:val="00AA55C9"/>
    <w:rsid w:val="00AB061F"/>
    <w:rsid w:val="00AB24A4"/>
    <w:rsid w:val="00AB6053"/>
    <w:rsid w:val="00AC0AD5"/>
    <w:rsid w:val="00AC702E"/>
    <w:rsid w:val="00AE0379"/>
    <w:rsid w:val="00AE13C2"/>
    <w:rsid w:val="00AE58BA"/>
    <w:rsid w:val="00AF15CF"/>
    <w:rsid w:val="00AF16B0"/>
    <w:rsid w:val="00AF4184"/>
    <w:rsid w:val="00AF55A4"/>
    <w:rsid w:val="00AF71F5"/>
    <w:rsid w:val="00B00363"/>
    <w:rsid w:val="00B04A2F"/>
    <w:rsid w:val="00B06E30"/>
    <w:rsid w:val="00B12B0F"/>
    <w:rsid w:val="00B12F94"/>
    <w:rsid w:val="00B16297"/>
    <w:rsid w:val="00B16802"/>
    <w:rsid w:val="00B17B60"/>
    <w:rsid w:val="00B23A6C"/>
    <w:rsid w:val="00B247CA"/>
    <w:rsid w:val="00B3295B"/>
    <w:rsid w:val="00B3581F"/>
    <w:rsid w:val="00B3752E"/>
    <w:rsid w:val="00B405F7"/>
    <w:rsid w:val="00B45EED"/>
    <w:rsid w:val="00B56076"/>
    <w:rsid w:val="00B651BC"/>
    <w:rsid w:val="00B72E30"/>
    <w:rsid w:val="00B77D48"/>
    <w:rsid w:val="00B9768B"/>
    <w:rsid w:val="00BA317C"/>
    <w:rsid w:val="00BB5B7D"/>
    <w:rsid w:val="00BB6BAE"/>
    <w:rsid w:val="00BB7F1D"/>
    <w:rsid w:val="00BC369E"/>
    <w:rsid w:val="00BC3817"/>
    <w:rsid w:val="00BC401D"/>
    <w:rsid w:val="00BC6C09"/>
    <w:rsid w:val="00BD779D"/>
    <w:rsid w:val="00BE0240"/>
    <w:rsid w:val="00BE15E0"/>
    <w:rsid w:val="00BE3620"/>
    <w:rsid w:val="00BE6294"/>
    <w:rsid w:val="00BF2DEE"/>
    <w:rsid w:val="00BF48BF"/>
    <w:rsid w:val="00BF6DB8"/>
    <w:rsid w:val="00C00A22"/>
    <w:rsid w:val="00C04F7C"/>
    <w:rsid w:val="00C1488A"/>
    <w:rsid w:val="00C15985"/>
    <w:rsid w:val="00C16BBF"/>
    <w:rsid w:val="00C268A6"/>
    <w:rsid w:val="00C31686"/>
    <w:rsid w:val="00C31BBD"/>
    <w:rsid w:val="00C3315B"/>
    <w:rsid w:val="00C403F8"/>
    <w:rsid w:val="00C42F1E"/>
    <w:rsid w:val="00C47F68"/>
    <w:rsid w:val="00C51BD9"/>
    <w:rsid w:val="00C56C65"/>
    <w:rsid w:val="00C60D0C"/>
    <w:rsid w:val="00C6392A"/>
    <w:rsid w:val="00C74F55"/>
    <w:rsid w:val="00C7700E"/>
    <w:rsid w:val="00C77C41"/>
    <w:rsid w:val="00C77E11"/>
    <w:rsid w:val="00C9050B"/>
    <w:rsid w:val="00C913C9"/>
    <w:rsid w:val="00C93271"/>
    <w:rsid w:val="00C97072"/>
    <w:rsid w:val="00CA2811"/>
    <w:rsid w:val="00CA44AE"/>
    <w:rsid w:val="00CB608E"/>
    <w:rsid w:val="00CB677C"/>
    <w:rsid w:val="00CB716F"/>
    <w:rsid w:val="00CC2B4D"/>
    <w:rsid w:val="00CC6F2C"/>
    <w:rsid w:val="00CD1C5E"/>
    <w:rsid w:val="00CD6EF9"/>
    <w:rsid w:val="00CE0CA6"/>
    <w:rsid w:val="00CF1F27"/>
    <w:rsid w:val="00CF2C7E"/>
    <w:rsid w:val="00CF30CE"/>
    <w:rsid w:val="00CF59CC"/>
    <w:rsid w:val="00D025DC"/>
    <w:rsid w:val="00D046E0"/>
    <w:rsid w:val="00D108F5"/>
    <w:rsid w:val="00D10FC0"/>
    <w:rsid w:val="00D15A85"/>
    <w:rsid w:val="00D162FF"/>
    <w:rsid w:val="00D17723"/>
    <w:rsid w:val="00D242DB"/>
    <w:rsid w:val="00D31F97"/>
    <w:rsid w:val="00D3368E"/>
    <w:rsid w:val="00D3425B"/>
    <w:rsid w:val="00D34FDD"/>
    <w:rsid w:val="00D363C4"/>
    <w:rsid w:val="00D37B07"/>
    <w:rsid w:val="00D431B5"/>
    <w:rsid w:val="00D46FC5"/>
    <w:rsid w:val="00D473C8"/>
    <w:rsid w:val="00D52C4A"/>
    <w:rsid w:val="00D564EB"/>
    <w:rsid w:val="00D57665"/>
    <w:rsid w:val="00D61E9E"/>
    <w:rsid w:val="00D70900"/>
    <w:rsid w:val="00D71E9F"/>
    <w:rsid w:val="00D721DF"/>
    <w:rsid w:val="00D7379A"/>
    <w:rsid w:val="00D7597B"/>
    <w:rsid w:val="00D75CDA"/>
    <w:rsid w:val="00D85DB5"/>
    <w:rsid w:val="00D967F1"/>
    <w:rsid w:val="00DA36F5"/>
    <w:rsid w:val="00DA5518"/>
    <w:rsid w:val="00DA73E5"/>
    <w:rsid w:val="00DB0C94"/>
    <w:rsid w:val="00DB3D6D"/>
    <w:rsid w:val="00DB411B"/>
    <w:rsid w:val="00DC0C33"/>
    <w:rsid w:val="00DC1247"/>
    <w:rsid w:val="00DC3E05"/>
    <w:rsid w:val="00DC4734"/>
    <w:rsid w:val="00DC4743"/>
    <w:rsid w:val="00DD4A1A"/>
    <w:rsid w:val="00DD5029"/>
    <w:rsid w:val="00DE3E1E"/>
    <w:rsid w:val="00DE5036"/>
    <w:rsid w:val="00DE5AA1"/>
    <w:rsid w:val="00DF0B6A"/>
    <w:rsid w:val="00DF0D4D"/>
    <w:rsid w:val="00DF1648"/>
    <w:rsid w:val="00DF2B55"/>
    <w:rsid w:val="00DF3829"/>
    <w:rsid w:val="00DF3D2B"/>
    <w:rsid w:val="00DF5E58"/>
    <w:rsid w:val="00DF7033"/>
    <w:rsid w:val="00E00EB1"/>
    <w:rsid w:val="00E01A9A"/>
    <w:rsid w:val="00E068EF"/>
    <w:rsid w:val="00E142E4"/>
    <w:rsid w:val="00E2337E"/>
    <w:rsid w:val="00E25DDF"/>
    <w:rsid w:val="00E27DA3"/>
    <w:rsid w:val="00E3673F"/>
    <w:rsid w:val="00E36A8E"/>
    <w:rsid w:val="00E45088"/>
    <w:rsid w:val="00E533C9"/>
    <w:rsid w:val="00E60058"/>
    <w:rsid w:val="00E65214"/>
    <w:rsid w:val="00E6657F"/>
    <w:rsid w:val="00E86095"/>
    <w:rsid w:val="00E92D38"/>
    <w:rsid w:val="00E9332B"/>
    <w:rsid w:val="00E93B0F"/>
    <w:rsid w:val="00E96D46"/>
    <w:rsid w:val="00EA40DE"/>
    <w:rsid w:val="00EB1FA8"/>
    <w:rsid w:val="00EB2E85"/>
    <w:rsid w:val="00EB4205"/>
    <w:rsid w:val="00EC0EEE"/>
    <w:rsid w:val="00EC305F"/>
    <w:rsid w:val="00EC5E0F"/>
    <w:rsid w:val="00EC6EEB"/>
    <w:rsid w:val="00EC75C7"/>
    <w:rsid w:val="00ED021E"/>
    <w:rsid w:val="00ED5027"/>
    <w:rsid w:val="00ED7E60"/>
    <w:rsid w:val="00EE0C44"/>
    <w:rsid w:val="00EE4DAB"/>
    <w:rsid w:val="00EE553C"/>
    <w:rsid w:val="00EE5E15"/>
    <w:rsid w:val="00EF1037"/>
    <w:rsid w:val="00EF5952"/>
    <w:rsid w:val="00EF6C9E"/>
    <w:rsid w:val="00EF799C"/>
    <w:rsid w:val="00EF7CB1"/>
    <w:rsid w:val="00F13AAC"/>
    <w:rsid w:val="00F20509"/>
    <w:rsid w:val="00F2324F"/>
    <w:rsid w:val="00F2550B"/>
    <w:rsid w:val="00F25793"/>
    <w:rsid w:val="00F31064"/>
    <w:rsid w:val="00F35FAE"/>
    <w:rsid w:val="00F37F13"/>
    <w:rsid w:val="00F42F36"/>
    <w:rsid w:val="00F4720A"/>
    <w:rsid w:val="00F5180B"/>
    <w:rsid w:val="00F53D92"/>
    <w:rsid w:val="00F541A5"/>
    <w:rsid w:val="00F5450E"/>
    <w:rsid w:val="00F5554B"/>
    <w:rsid w:val="00F560E1"/>
    <w:rsid w:val="00F56A80"/>
    <w:rsid w:val="00F56B1C"/>
    <w:rsid w:val="00F623B5"/>
    <w:rsid w:val="00F676B3"/>
    <w:rsid w:val="00F70F40"/>
    <w:rsid w:val="00F7115F"/>
    <w:rsid w:val="00F71FE6"/>
    <w:rsid w:val="00F722F1"/>
    <w:rsid w:val="00F7375E"/>
    <w:rsid w:val="00F74BD9"/>
    <w:rsid w:val="00F75480"/>
    <w:rsid w:val="00F845ED"/>
    <w:rsid w:val="00F8648E"/>
    <w:rsid w:val="00F86E3C"/>
    <w:rsid w:val="00F928D5"/>
    <w:rsid w:val="00F949EF"/>
    <w:rsid w:val="00F94F8C"/>
    <w:rsid w:val="00FA4690"/>
    <w:rsid w:val="00FB1105"/>
    <w:rsid w:val="00FB4870"/>
    <w:rsid w:val="00FC64BA"/>
    <w:rsid w:val="00FD070E"/>
    <w:rsid w:val="00FD49CA"/>
    <w:rsid w:val="00FE0A4B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09EDD3"/>
  <w15:chartTrackingRefBased/>
  <w15:docId w15:val="{DE5AE60D-7502-430A-8CD7-C9BECA67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DE9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D1"/>
    <w:pPr>
      <w:ind w:left="720"/>
      <w:contextualSpacing/>
    </w:pPr>
  </w:style>
  <w:style w:type="paragraph" w:customStyle="1" w:styleId="naisf">
    <w:name w:val="naisf"/>
    <w:basedOn w:val="Normal"/>
    <w:rsid w:val="00DF0B6A"/>
    <w:pPr>
      <w:spacing w:before="75" w:after="75" w:line="240" w:lineRule="auto"/>
      <w:ind w:firstLine="375"/>
      <w:jc w:val="both"/>
    </w:pPr>
    <w:rPr>
      <w:rFonts w:eastAsia="Times New Roman"/>
      <w:szCs w:val="24"/>
      <w:lang w:eastAsia="lv-LV"/>
    </w:rPr>
  </w:style>
  <w:style w:type="paragraph" w:customStyle="1" w:styleId="naispant">
    <w:name w:val="naispant"/>
    <w:basedOn w:val="Normal"/>
    <w:rsid w:val="00DF0B6A"/>
    <w:pPr>
      <w:spacing w:before="225" w:after="75" w:line="240" w:lineRule="auto"/>
      <w:ind w:left="375" w:firstLine="375"/>
    </w:pPr>
    <w:rPr>
      <w:rFonts w:eastAsia="Times New Roman"/>
      <w:b/>
      <w:bCs/>
      <w:szCs w:val="24"/>
      <w:lang w:eastAsia="lv-LV"/>
    </w:rPr>
  </w:style>
  <w:style w:type="paragraph" w:customStyle="1" w:styleId="naispie">
    <w:name w:val="naispie"/>
    <w:basedOn w:val="Normal"/>
    <w:rsid w:val="008E1683"/>
    <w:pPr>
      <w:spacing w:before="75" w:after="75" w:line="240" w:lineRule="auto"/>
      <w:ind w:firstLine="375"/>
    </w:pPr>
    <w:rPr>
      <w:rFonts w:eastAsia="Times New Roman"/>
      <w:i/>
      <w:i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1A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01A9A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E01A9A"/>
    <w:rPr>
      <w:vertAlign w:val="superscript"/>
    </w:rPr>
  </w:style>
  <w:style w:type="paragraph" w:customStyle="1" w:styleId="naiskr">
    <w:name w:val="naiskr"/>
    <w:basedOn w:val="Normal"/>
    <w:rsid w:val="00A011D5"/>
    <w:pPr>
      <w:spacing w:before="75" w:after="75" w:line="240" w:lineRule="auto"/>
    </w:pPr>
    <w:rPr>
      <w:rFonts w:eastAsia="Times New Roman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AE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3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E13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3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13C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3C2"/>
    <w:rPr>
      <w:rFonts w:ascii="Segoe UI" w:hAnsi="Segoe UI" w:cs="Segoe UI"/>
      <w:sz w:val="18"/>
      <w:szCs w:val="18"/>
      <w:lang w:eastAsia="en-US"/>
    </w:rPr>
  </w:style>
  <w:style w:type="paragraph" w:customStyle="1" w:styleId="tv2132">
    <w:name w:val="tv2132"/>
    <w:basedOn w:val="Normal"/>
    <w:rsid w:val="00803C22"/>
    <w:pPr>
      <w:spacing w:after="0"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character" w:styleId="Hyperlink">
    <w:name w:val="Hyperlink"/>
    <w:uiPriority w:val="99"/>
    <w:unhideWhenUsed/>
    <w:rsid w:val="0030480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C0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C6C09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6C0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C6C09"/>
    <w:rPr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8060FD"/>
    <w:rPr>
      <w:sz w:val="24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7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9FE"/>
    <w:rPr>
      <w:color w:val="954F72" w:themeColor="followedHyperlink"/>
      <w:u w:val="single"/>
    </w:rPr>
  </w:style>
  <w:style w:type="paragraph" w:customStyle="1" w:styleId="StyleRight">
    <w:name w:val="Style Right"/>
    <w:basedOn w:val="Normal"/>
    <w:rsid w:val="006E702C"/>
    <w:pPr>
      <w:spacing w:after="120" w:line="240" w:lineRule="auto"/>
      <w:ind w:firstLine="720"/>
      <w:jc w:val="right"/>
    </w:pPr>
    <w:rPr>
      <w:rFonts w:eastAsia="Times New Roman"/>
      <w:sz w:val="28"/>
      <w:szCs w:val="28"/>
    </w:rPr>
  </w:style>
  <w:style w:type="paragraph" w:customStyle="1" w:styleId="Body">
    <w:name w:val="Body"/>
    <w:rsid w:val="006B7E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F6CB-9E9B-468B-8F82-7C43B528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814</Words>
  <Characters>5904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Enerģētikas likumā</vt:lpstr>
      <vt:lpstr>Grozījumi Enerģētikas likumā</vt:lpstr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Enerģētikas likumā</dc:title>
  <dc:subject>Likumprojekts</dc:subject>
  <dc:creator>Ance Ansone</dc:creator>
  <dc:description>67013001, Ance.Ansone@em.gov.lv</dc:description>
  <cp:lastModifiedBy>Aija Surna</cp:lastModifiedBy>
  <cp:revision>21</cp:revision>
  <cp:lastPrinted>2019-09-16T08:49:00Z</cp:lastPrinted>
  <dcterms:created xsi:type="dcterms:W3CDTF">2019-08-19T12:34:00Z</dcterms:created>
  <dcterms:modified xsi:type="dcterms:W3CDTF">2019-09-16T08:49:00Z</dcterms:modified>
</cp:coreProperties>
</file>