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F8C4D" w14:textId="294BF272" w:rsidR="001B71CD" w:rsidRDefault="00F031FB" w:rsidP="00B75E2B">
      <w:pPr>
        <w:contextualSpacing/>
        <w:jc w:val="center"/>
        <w:rPr>
          <w:bCs/>
          <w:sz w:val="28"/>
        </w:rPr>
      </w:pPr>
      <w:r w:rsidRPr="00E547C1">
        <w:rPr>
          <w:b/>
          <w:sz w:val="28"/>
        </w:rPr>
        <w:t xml:space="preserve">Likumprojekta </w:t>
      </w:r>
      <w:r w:rsidR="00D73EB0" w:rsidRPr="00E547C1">
        <w:rPr>
          <w:b/>
          <w:sz w:val="28"/>
        </w:rPr>
        <w:t>"</w:t>
      </w:r>
      <w:r w:rsidR="00911AF8" w:rsidRPr="00DC444F">
        <w:rPr>
          <w:b/>
          <w:sz w:val="28"/>
        </w:rPr>
        <w:t xml:space="preserve">Eiropas </w:t>
      </w:r>
      <w:r w:rsidR="009F65BA">
        <w:rPr>
          <w:b/>
          <w:sz w:val="28"/>
        </w:rPr>
        <w:t>B</w:t>
      </w:r>
      <w:r w:rsidR="00911AF8" w:rsidRPr="00DC444F">
        <w:rPr>
          <w:b/>
          <w:sz w:val="28"/>
        </w:rPr>
        <w:t>iroja krāpšanas apkarošanai</w:t>
      </w:r>
      <w:r w:rsidR="004C68CB">
        <w:rPr>
          <w:b/>
          <w:sz w:val="28"/>
        </w:rPr>
        <w:t xml:space="preserve"> </w:t>
      </w:r>
      <w:r w:rsidR="00911AF8" w:rsidRPr="00DC444F">
        <w:rPr>
          <w:b/>
          <w:sz w:val="28"/>
        </w:rPr>
        <w:t>atbalsta</w:t>
      </w:r>
      <w:r w:rsidR="00911AF8">
        <w:rPr>
          <w:b/>
          <w:sz w:val="28"/>
        </w:rPr>
        <w:t xml:space="preserve"> likums</w:t>
      </w:r>
      <w:r w:rsidR="009B42E5" w:rsidRPr="00E547C1">
        <w:rPr>
          <w:b/>
          <w:sz w:val="28"/>
        </w:rPr>
        <w:t>"</w:t>
      </w:r>
      <w:r w:rsidRPr="00E547C1">
        <w:rPr>
          <w:b/>
          <w:sz w:val="28"/>
        </w:rPr>
        <w:t xml:space="preserve"> </w:t>
      </w:r>
      <w:r w:rsidRPr="00E547C1">
        <w:rPr>
          <w:b/>
          <w:bCs/>
          <w:sz w:val="28"/>
        </w:rPr>
        <w:t>sākotnējās ietekmes novērtējuma ziņojums (anotācija)</w:t>
      </w:r>
    </w:p>
    <w:p w14:paraId="19E6649B" w14:textId="77777777" w:rsidR="00B75E2B" w:rsidRPr="007A464C" w:rsidRDefault="00B75E2B" w:rsidP="00B75E2B">
      <w:pPr>
        <w:contextualSpacing/>
        <w:rPr>
          <w:bCs/>
          <w:sz w:val="16"/>
          <w:szCs w:val="16"/>
        </w:rPr>
      </w:pPr>
      <w:bookmarkStart w:id="0" w:name="_GoBack"/>
      <w:bookmarkEnd w:id="0"/>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10"/>
        <w:gridCol w:w="7508"/>
      </w:tblGrid>
      <w:tr w:rsidR="007154BF" w:rsidRPr="00E547C1" w14:paraId="55FC0F3E" w14:textId="77777777" w:rsidTr="00755A99">
        <w:tc>
          <w:tcPr>
            <w:tcW w:w="9918" w:type="dxa"/>
            <w:gridSpan w:val="2"/>
            <w:vAlign w:val="center"/>
          </w:tcPr>
          <w:p w14:paraId="36AE40E3" w14:textId="77777777" w:rsidR="007154BF" w:rsidRPr="00E547C1" w:rsidRDefault="007154BF" w:rsidP="00694DDC">
            <w:pPr>
              <w:pStyle w:val="naisnod"/>
              <w:spacing w:before="0" w:after="0"/>
              <w:contextualSpacing/>
            </w:pPr>
            <w:r w:rsidRPr="00B75E2B">
              <w:t>Tiesību akta projekta anotācijas kopsavilkums</w:t>
            </w:r>
          </w:p>
        </w:tc>
      </w:tr>
      <w:tr w:rsidR="007154BF" w:rsidRPr="00FE1D90" w14:paraId="6AA9F642" w14:textId="77777777" w:rsidTr="00755A99">
        <w:trPr>
          <w:trHeight w:val="630"/>
        </w:trPr>
        <w:tc>
          <w:tcPr>
            <w:tcW w:w="2410" w:type="dxa"/>
          </w:tcPr>
          <w:p w14:paraId="41E1A201" w14:textId="77777777" w:rsidR="007154BF" w:rsidRPr="00E547C1" w:rsidRDefault="007154BF" w:rsidP="00B863C9">
            <w:pPr>
              <w:pStyle w:val="naiskr"/>
              <w:spacing w:before="0" w:after="0"/>
              <w:ind w:hanging="10"/>
              <w:contextualSpacing/>
            </w:pPr>
            <w:r w:rsidRPr="00462C5F">
              <w:rPr>
                <w:iCs/>
                <w:color w:val="000000" w:themeColor="text1"/>
              </w:rPr>
              <w:t xml:space="preserve">Mērķis, </w:t>
            </w:r>
            <w:r w:rsidRPr="007D29E8">
              <w:rPr>
                <w:iCs/>
              </w:rPr>
              <w:t xml:space="preserve">risinājums un projekta spēkā stāšanās </w:t>
            </w:r>
            <w:r w:rsidRPr="00462C5F">
              <w:rPr>
                <w:iCs/>
                <w:color w:val="000000" w:themeColor="text1"/>
              </w:rPr>
              <w:t>laiks (500 zīmes bez atstarpēm)</w:t>
            </w:r>
          </w:p>
        </w:tc>
        <w:tc>
          <w:tcPr>
            <w:tcW w:w="7508" w:type="dxa"/>
          </w:tcPr>
          <w:p w14:paraId="0810CA19" w14:textId="77777777" w:rsidR="00A96699" w:rsidRDefault="00A96699" w:rsidP="00A96699">
            <w:pPr>
              <w:ind w:left="137" w:right="148" w:firstLine="425"/>
              <w:jc w:val="both"/>
            </w:pPr>
          </w:p>
          <w:p w14:paraId="0725CA5F" w14:textId="77777777" w:rsidR="00911AF8" w:rsidRPr="007D29E8" w:rsidRDefault="00911AF8" w:rsidP="00A96699">
            <w:pPr>
              <w:ind w:left="137" w:right="148" w:firstLine="425"/>
              <w:jc w:val="both"/>
              <w:rPr>
                <w:bCs/>
                <w:shd w:val="clear" w:color="auto" w:fill="FFFFFF"/>
              </w:rPr>
            </w:pPr>
            <w:r w:rsidRPr="007D29E8">
              <w:t>Likumprojekts "Eirop</w:t>
            </w:r>
            <w:r w:rsidR="004C68CB">
              <w:t xml:space="preserve">as biroja krāpšanas apkarošanai </w:t>
            </w:r>
            <w:r w:rsidRPr="007D29E8">
              <w:t>atbalsta likums</w:t>
            </w:r>
            <w:r w:rsidR="007154BF" w:rsidRPr="007D29E8">
              <w:t xml:space="preserve">" (turpmāk – likumprojekts) izstrādāts, lai </w:t>
            </w:r>
            <w:r w:rsidRPr="007D29E8">
              <w:rPr>
                <w:bCs/>
                <w:shd w:val="clear" w:color="auto" w:fill="FFFFFF"/>
              </w:rPr>
              <w:t xml:space="preserve"> nodrošinātu e</w:t>
            </w:r>
            <w:r w:rsidR="00971B7B">
              <w:rPr>
                <w:bCs/>
                <w:shd w:val="clear" w:color="auto" w:fill="FFFFFF"/>
              </w:rPr>
              <w:t>fektīvu atbalstu Eiropas Birojam</w:t>
            </w:r>
            <w:r w:rsidRPr="007D29E8">
              <w:rPr>
                <w:bCs/>
                <w:shd w:val="clear" w:color="auto" w:fill="FFFFFF"/>
              </w:rPr>
              <w:t xml:space="preserve"> krāpšanas apkarošanai (turpmāk </w:t>
            </w:r>
            <w:r w:rsidRPr="007D29E8">
              <w:t>–</w:t>
            </w:r>
            <w:r w:rsidRPr="007D29E8">
              <w:rPr>
                <w:bCs/>
                <w:shd w:val="clear" w:color="auto" w:fill="FFFFFF"/>
              </w:rPr>
              <w:t xml:space="preserve"> OLAF) tā veiktajās administratīvajās izmeklēšanās</w:t>
            </w:r>
            <w:r w:rsidR="00575320">
              <w:rPr>
                <w:rStyle w:val="FootnoteReference"/>
                <w:bCs/>
                <w:shd w:val="clear" w:color="auto" w:fill="FFFFFF"/>
              </w:rPr>
              <w:footnoteReference w:id="2"/>
            </w:r>
            <w:r w:rsidRPr="007D29E8">
              <w:rPr>
                <w:bCs/>
                <w:shd w:val="clear" w:color="auto" w:fill="FFFFFF"/>
              </w:rPr>
              <w:t>, ar mērķi aizsargāt Eiropas Savienības</w:t>
            </w:r>
            <w:r w:rsidR="00575320">
              <w:rPr>
                <w:bCs/>
                <w:shd w:val="clear" w:color="auto" w:fill="FFFFFF"/>
              </w:rPr>
              <w:t xml:space="preserve"> (</w:t>
            </w:r>
            <w:r w:rsidR="00971B7B">
              <w:rPr>
                <w:bCs/>
                <w:shd w:val="clear" w:color="auto" w:fill="FFFFFF"/>
              </w:rPr>
              <w:t>turpmāk – ES)</w:t>
            </w:r>
            <w:r w:rsidRPr="007D29E8">
              <w:rPr>
                <w:bCs/>
                <w:shd w:val="clear" w:color="auto" w:fill="FFFFFF"/>
              </w:rPr>
              <w:t xml:space="preserve"> finanšu intereses pret krāpšanu, korupciju un citām nelikumīgām darbībām. </w:t>
            </w:r>
          </w:p>
          <w:p w14:paraId="4FD15535" w14:textId="77777777" w:rsidR="007D29E8" w:rsidRPr="008C7CF1" w:rsidRDefault="007D29E8" w:rsidP="00A96699">
            <w:pPr>
              <w:ind w:left="137" w:right="148" w:firstLine="425"/>
              <w:jc w:val="both"/>
              <w:rPr>
                <w:bCs/>
                <w:shd w:val="clear" w:color="auto" w:fill="FFFFFF"/>
              </w:rPr>
            </w:pPr>
            <w:r w:rsidRPr="008C7CF1">
              <w:rPr>
                <w:bCs/>
                <w:shd w:val="clear" w:color="auto" w:fill="FFFFFF"/>
              </w:rPr>
              <w:t xml:space="preserve">Likumprojektā </w:t>
            </w:r>
            <w:r w:rsidR="00575320" w:rsidRPr="008C7CF1">
              <w:rPr>
                <w:bCs/>
                <w:shd w:val="clear" w:color="auto" w:fill="FFFFFF"/>
              </w:rPr>
              <w:t>ir</w:t>
            </w:r>
            <w:r w:rsidRPr="008C7CF1">
              <w:rPr>
                <w:bCs/>
                <w:shd w:val="clear" w:color="auto" w:fill="FFFFFF"/>
              </w:rPr>
              <w:t xml:space="preserve"> nodefinētas </w:t>
            </w:r>
            <w:r w:rsidRPr="00F13C47">
              <w:rPr>
                <w:bCs/>
                <w:shd w:val="clear" w:color="auto" w:fill="FFFFFF"/>
              </w:rPr>
              <w:t xml:space="preserve">Kompetentās iestādes </w:t>
            </w:r>
            <w:r w:rsidR="001525DC" w:rsidRPr="00F13C47">
              <w:rPr>
                <w:bCs/>
                <w:shd w:val="clear" w:color="auto" w:fill="FFFFFF"/>
              </w:rPr>
              <w:t>atbalsta sniegšanai OLAF</w:t>
            </w:r>
            <w:r w:rsidR="00575320" w:rsidRPr="008C7CF1">
              <w:rPr>
                <w:bCs/>
                <w:shd w:val="clear" w:color="auto" w:fill="FFFFFF"/>
              </w:rPr>
              <w:t xml:space="preserve"> tiesības un pienākumi</w:t>
            </w:r>
            <w:r w:rsidRPr="008C7CF1">
              <w:rPr>
                <w:bCs/>
                <w:shd w:val="clear" w:color="auto" w:fill="FFFFFF"/>
              </w:rPr>
              <w:t>.</w:t>
            </w:r>
          </w:p>
          <w:p w14:paraId="2CBEC306" w14:textId="77777777" w:rsidR="00877D32" w:rsidRDefault="00877D32" w:rsidP="00A96699">
            <w:pPr>
              <w:ind w:left="137" w:right="148" w:firstLine="425"/>
              <w:jc w:val="both"/>
            </w:pPr>
            <w:r w:rsidRPr="008C7CF1">
              <w:t>Likumprojekts stāsies spēkā vispārējā kārtībā.</w:t>
            </w:r>
          </w:p>
          <w:p w14:paraId="2D4C7ED1" w14:textId="77777777" w:rsidR="00A96699" w:rsidRPr="00FE1D90" w:rsidRDefault="00A96699" w:rsidP="00A96699">
            <w:pPr>
              <w:ind w:left="137" w:right="148" w:firstLine="425"/>
              <w:jc w:val="both"/>
            </w:pPr>
          </w:p>
        </w:tc>
      </w:tr>
    </w:tbl>
    <w:p w14:paraId="1559361E" w14:textId="77777777" w:rsidR="00B75E2B" w:rsidRPr="007A464C" w:rsidRDefault="00B75E2B" w:rsidP="007A464C">
      <w:pPr>
        <w:contextualSpacing/>
        <w:rPr>
          <w:bCs/>
          <w:sz w:val="16"/>
          <w:szCs w:val="16"/>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6"/>
        <w:gridCol w:w="1979"/>
        <w:gridCol w:w="7513"/>
      </w:tblGrid>
      <w:tr w:rsidR="00E547C1" w:rsidRPr="00E547C1" w14:paraId="6ACEE098" w14:textId="77777777" w:rsidTr="00FE7DB3">
        <w:tc>
          <w:tcPr>
            <w:tcW w:w="9918" w:type="dxa"/>
            <w:gridSpan w:val="3"/>
            <w:vAlign w:val="center"/>
          </w:tcPr>
          <w:p w14:paraId="1A7DE535" w14:textId="77777777" w:rsidR="00852042" w:rsidRPr="00E547C1" w:rsidRDefault="00852042" w:rsidP="006C4607">
            <w:pPr>
              <w:pStyle w:val="naisnod"/>
              <w:spacing w:before="0" w:after="0"/>
              <w:contextualSpacing/>
            </w:pPr>
            <w:r w:rsidRPr="00E547C1">
              <w:t>I</w:t>
            </w:r>
            <w:r w:rsidR="000941C5" w:rsidRPr="00E547C1">
              <w:t>.</w:t>
            </w:r>
            <w:r w:rsidRPr="00E547C1">
              <w:t xml:space="preserve"> Tiesību akta </w:t>
            </w:r>
            <w:r w:rsidR="002E3FF4" w:rsidRPr="00E547C1">
              <w:t xml:space="preserve">projekta </w:t>
            </w:r>
            <w:r w:rsidRPr="00E547C1">
              <w:t>izstrādes nepieciešamība</w:t>
            </w:r>
          </w:p>
        </w:tc>
      </w:tr>
      <w:tr w:rsidR="00E547C1" w:rsidRPr="00E547C1" w14:paraId="4FC3590E" w14:textId="77777777" w:rsidTr="00FE7DB3">
        <w:trPr>
          <w:trHeight w:val="630"/>
        </w:trPr>
        <w:tc>
          <w:tcPr>
            <w:tcW w:w="426" w:type="dxa"/>
          </w:tcPr>
          <w:p w14:paraId="1D8B05DB" w14:textId="77777777" w:rsidR="00262E2B" w:rsidRPr="00E547C1" w:rsidRDefault="00262E2B" w:rsidP="0047074D">
            <w:pPr>
              <w:pStyle w:val="naiskr"/>
              <w:spacing w:before="0" w:after="0"/>
              <w:contextualSpacing/>
            </w:pPr>
            <w:r w:rsidRPr="00E547C1">
              <w:t>1.</w:t>
            </w:r>
          </w:p>
        </w:tc>
        <w:tc>
          <w:tcPr>
            <w:tcW w:w="1979" w:type="dxa"/>
          </w:tcPr>
          <w:p w14:paraId="796C65EA" w14:textId="77777777" w:rsidR="00262E2B" w:rsidRPr="00E547C1" w:rsidRDefault="002D7F54" w:rsidP="0047074D">
            <w:pPr>
              <w:pStyle w:val="naiskr"/>
              <w:spacing w:before="0" w:after="0"/>
              <w:ind w:hanging="10"/>
              <w:contextualSpacing/>
            </w:pPr>
            <w:r w:rsidRPr="00E547C1">
              <w:t>Pamatojums</w:t>
            </w:r>
          </w:p>
        </w:tc>
        <w:tc>
          <w:tcPr>
            <w:tcW w:w="7513" w:type="dxa"/>
          </w:tcPr>
          <w:p w14:paraId="4E8ECD86" w14:textId="77777777" w:rsidR="00A96699" w:rsidRDefault="00A96699" w:rsidP="00A96699">
            <w:pPr>
              <w:widowControl w:val="0"/>
              <w:autoSpaceDE w:val="0"/>
              <w:autoSpaceDN w:val="0"/>
              <w:adjustRightInd w:val="0"/>
              <w:spacing w:after="120"/>
              <w:ind w:left="138" w:right="148" w:firstLine="283"/>
              <w:contextualSpacing/>
              <w:jc w:val="both"/>
              <w:rPr>
                <w:b/>
              </w:rPr>
            </w:pPr>
          </w:p>
          <w:p w14:paraId="576F6FE9" w14:textId="6FCF4723" w:rsidR="00360C9A" w:rsidRPr="00B863C9" w:rsidRDefault="00360C9A" w:rsidP="00A96699">
            <w:pPr>
              <w:widowControl w:val="0"/>
              <w:autoSpaceDE w:val="0"/>
              <w:autoSpaceDN w:val="0"/>
              <w:adjustRightInd w:val="0"/>
              <w:spacing w:after="120"/>
              <w:ind w:left="138" w:right="148" w:firstLine="283"/>
              <w:contextualSpacing/>
              <w:jc w:val="both"/>
              <w:rPr>
                <w:bCs/>
                <w:shd w:val="clear" w:color="auto" w:fill="FFFFFF"/>
              </w:rPr>
            </w:pPr>
            <w:r w:rsidRPr="008C7CF1">
              <w:rPr>
                <w:b/>
              </w:rPr>
              <w:t>Likumprojekta izstrāde nepieciešama, lai nodrošinātu</w:t>
            </w:r>
            <w:r w:rsidRPr="008C7CF1">
              <w:t xml:space="preserve"> </w:t>
            </w:r>
            <w:r w:rsidR="003D1634" w:rsidRPr="008C7CF1">
              <w:t>Eiropas Parlamenta un Padomes</w:t>
            </w:r>
            <w:r w:rsidR="00E763B9" w:rsidRPr="008C7CF1">
              <w:t xml:space="preserve"> 2013. gada 11. septembra Regulā</w:t>
            </w:r>
            <w:r w:rsidR="003D1634" w:rsidRPr="008C7CF1">
              <w:t xml:space="preserve"> (ES, Euratom) Nr. 883/2013 par izmeklēšanu, ko veic Eiropas Birojs krāpšanas apkarošanai (OLAF), un ar ko atceļ Eiropas Parlamenta un Pado</w:t>
            </w:r>
            <w:r w:rsidR="00B57792" w:rsidRPr="00F13C47">
              <w:t xml:space="preserve">mes Regulu (EK) Nr. 1073/1999 ( turpmāk </w:t>
            </w:r>
            <w:r w:rsidR="00B57792" w:rsidRPr="00F13C47">
              <w:softHyphen/>
              <w:t>– Regula 883/2013</w:t>
            </w:r>
            <w:r w:rsidR="00B57792" w:rsidRPr="008C7CF1">
              <w:t xml:space="preserve">) </w:t>
            </w:r>
            <w:r w:rsidRPr="008C7CF1">
              <w:t xml:space="preserve"> un </w:t>
            </w:r>
            <w:r w:rsidR="00B57792" w:rsidRPr="008C7CF1">
              <w:rPr>
                <w:bCs/>
                <w:shd w:val="clear" w:color="auto" w:fill="FFFFFF"/>
              </w:rPr>
              <w:t xml:space="preserve">Padomes 1996. gada 11. novembra (Euratom, EK) </w:t>
            </w:r>
            <w:r w:rsidR="00E763B9" w:rsidRPr="008C7CF1">
              <w:rPr>
                <w:bCs/>
                <w:shd w:val="clear" w:color="auto" w:fill="FFFFFF"/>
              </w:rPr>
              <w:t>Regulā</w:t>
            </w:r>
            <w:r w:rsidR="00B57792" w:rsidRPr="008C7CF1">
              <w:rPr>
                <w:bCs/>
                <w:shd w:val="clear" w:color="auto" w:fill="FFFFFF"/>
              </w:rPr>
              <w:t xml:space="preserve"> Nr. 2185/96 par pārbaudēm un apskatēm uz vietas, ko Komisija veic, lai aizsargātu Eiropas Kopienu finanšu intereses pret krāpšanu un citām nelikumībām (</w:t>
            </w:r>
            <w:r w:rsidR="00B57792" w:rsidRPr="008C7CF1">
              <w:t xml:space="preserve">turpmāk </w:t>
            </w:r>
            <w:r w:rsidR="00B57792" w:rsidRPr="008C7CF1">
              <w:softHyphen/>
              <w:t xml:space="preserve">– </w:t>
            </w:r>
            <w:r w:rsidR="00B57792" w:rsidRPr="00F13C47">
              <w:t xml:space="preserve">Regula </w:t>
            </w:r>
            <w:r w:rsidRPr="00F13C47">
              <w:t>2185/96</w:t>
            </w:r>
            <w:r w:rsidRPr="008C7CF1">
              <w:t xml:space="preserve">) </w:t>
            </w:r>
            <w:r w:rsidRPr="008C7CF1">
              <w:rPr>
                <w:b/>
              </w:rPr>
              <w:t xml:space="preserve">dalībvalstij uzlikto pienākumu sniegt </w:t>
            </w:r>
            <w:r w:rsidR="00755A99">
              <w:rPr>
                <w:b/>
              </w:rPr>
              <w:t>a</w:t>
            </w:r>
            <w:r w:rsidRPr="008C7CF1">
              <w:rPr>
                <w:b/>
              </w:rPr>
              <w:t xml:space="preserve">tbalstu </w:t>
            </w:r>
            <w:r w:rsidR="00971B7B" w:rsidRPr="008C7CF1">
              <w:rPr>
                <w:b/>
                <w:bCs/>
                <w:shd w:val="clear" w:color="auto" w:fill="FFFFFF"/>
              </w:rPr>
              <w:t>OLAF</w:t>
            </w:r>
            <w:r w:rsidRPr="008C7CF1">
              <w:rPr>
                <w:b/>
                <w:bCs/>
                <w:shd w:val="clear" w:color="auto" w:fill="FFFFFF"/>
              </w:rPr>
              <w:t xml:space="preserve"> veiktajās administratīvajās</w:t>
            </w:r>
            <w:r w:rsidRPr="007A2EF5">
              <w:rPr>
                <w:b/>
                <w:bCs/>
                <w:shd w:val="clear" w:color="auto" w:fill="FFFFFF"/>
              </w:rPr>
              <w:t xml:space="preserve"> izmeklēšanās</w:t>
            </w:r>
            <w:r w:rsidRPr="00B863C9">
              <w:rPr>
                <w:bCs/>
                <w:shd w:val="clear" w:color="auto" w:fill="FFFFFF"/>
              </w:rPr>
              <w:t>.</w:t>
            </w:r>
          </w:p>
          <w:p w14:paraId="69251C80" w14:textId="77777777" w:rsidR="008E0D85" w:rsidRPr="008E0D85" w:rsidRDefault="008E0D85" w:rsidP="008E0D85">
            <w:pPr>
              <w:widowControl w:val="0"/>
              <w:autoSpaceDE w:val="0"/>
              <w:autoSpaceDN w:val="0"/>
              <w:adjustRightInd w:val="0"/>
              <w:spacing w:after="120"/>
              <w:ind w:firstLine="414"/>
              <w:contextualSpacing/>
              <w:jc w:val="both"/>
              <w:rPr>
                <w:bCs/>
                <w:shd w:val="clear" w:color="auto" w:fill="FFFFFF"/>
              </w:rPr>
            </w:pPr>
          </w:p>
        </w:tc>
      </w:tr>
      <w:tr w:rsidR="0093745C" w:rsidRPr="00E547C1" w14:paraId="59654111" w14:textId="77777777" w:rsidTr="00FE7DB3">
        <w:trPr>
          <w:trHeight w:val="472"/>
        </w:trPr>
        <w:tc>
          <w:tcPr>
            <w:tcW w:w="426" w:type="dxa"/>
          </w:tcPr>
          <w:p w14:paraId="143C3FE9" w14:textId="77777777" w:rsidR="0093745C" w:rsidRPr="00E547C1" w:rsidRDefault="0093745C" w:rsidP="0093745C">
            <w:pPr>
              <w:pStyle w:val="naiskr"/>
              <w:spacing w:before="0" w:after="0"/>
            </w:pPr>
            <w:r w:rsidRPr="00E547C1">
              <w:t>2.</w:t>
            </w:r>
          </w:p>
        </w:tc>
        <w:tc>
          <w:tcPr>
            <w:tcW w:w="1979" w:type="dxa"/>
          </w:tcPr>
          <w:p w14:paraId="666C8E9B" w14:textId="77777777" w:rsidR="0093745C" w:rsidRPr="00E547C1" w:rsidRDefault="0093745C" w:rsidP="0093745C">
            <w:pPr>
              <w:pStyle w:val="naiskr"/>
              <w:tabs>
                <w:tab w:val="left" w:pos="170"/>
              </w:tabs>
              <w:spacing w:before="0" w:after="0"/>
            </w:pPr>
            <w:r w:rsidRPr="00E547C1">
              <w:t>Pašreizējā situācija un problēmas, kuru risināšanai tiesību akta projekts izstrādāts, tiesiskā regulējuma mērķis un būtība</w:t>
            </w:r>
          </w:p>
          <w:p w14:paraId="6DA7BCA7" w14:textId="77777777" w:rsidR="0093745C" w:rsidRPr="00E547C1" w:rsidRDefault="0093745C" w:rsidP="0093745C"/>
          <w:p w14:paraId="56FD4588" w14:textId="77777777" w:rsidR="0093745C" w:rsidRPr="00E547C1" w:rsidRDefault="0093745C" w:rsidP="0093745C"/>
          <w:p w14:paraId="4D615DC7" w14:textId="77777777" w:rsidR="0093745C" w:rsidRPr="00E547C1" w:rsidRDefault="0093745C" w:rsidP="0093745C">
            <w:pPr>
              <w:ind w:firstLine="720"/>
            </w:pPr>
          </w:p>
        </w:tc>
        <w:tc>
          <w:tcPr>
            <w:tcW w:w="7513" w:type="dxa"/>
          </w:tcPr>
          <w:p w14:paraId="2B57804C" w14:textId="77777777" w:rsidR="00A96699" w:rsidRDefault="00A96699" w:rsidP="00A96699">
            <w:pPr>
              <w:widowControl w:val="0"/>
              <w:autoSpaceDE w:val="0"/>
              <w:autoSpaceDN w:val="0"/>
              <w:adjustRightInd w:val="0"/>
              <w:ind w:left="138" w:right="148" w:firstLine="276"/>
              <w:contextualSpacing/>
              <w:jc w:val="both"/>
            </w:pPr>
          </w:p>
          <w:p w14:paraId="56E1B7C1" w14:textId="77777777" w:rsidR="00360C9A" w:rsidRDefault="00971B7B" w:rsidP="00A96699">
            <w:pPr>
              <w:widowControl w:val="0"/>
              <w:autoSpaceDE w:val="0"/>
              <w:autoSpaceDN w:val="0"/>
              <w:adjustRightInd w:val="0"/>
              <w:ind w:left="138" w:right="148" w:firstLine="276"/>
              <w:contextualSpacing/>
              <w:jc w:val="both"/>
              <w:rPr>
                <w:bCs/>
                <w:shd w:val="clear" w:color="auto" w:fill="FFFFFF"/>
              </w:rPr>
            </w:pPr>
            <w:r>
              <w:t>Regulā</w:t>
            </w:r>
            <w:r w:rsidR="00360C9A">
              <w:t xml:space="preserve"> 883/2013 ir nostiprinātas </w:t>
            </w:r>
            <w:r>
              <w:rPr>
                <w:bCs/>
                <w:shd w:val="clear" w:color="auto" w:fill="FFFFFF"/>
              </w:rPr>
              <w:t>OLAF</w:t>
            </w:r>
            <w:r w:rsidR="00360C9A">
              <w:rPr>
                <w:bCs/>
                <w:shd w:val="clear" w:color="auto" w:fill="FFFFFF"/>
              </w:rPr>
              <w:t xml:space="preserve"> pilnvaras veikt</w:t>
            </w:r>
            <w:r w:rsidR="00360C9A" w:rsidRPr="00B57792">
              <w:rPr>
                <w:bCs/>
                <w:shd w:val="clear" w:color="auto" w:fill="FFFFFF"/>
              </w:rPr>
              <w:t xml:space="preserve"> administratīvās izmeklēšanas</w:t>
            </w:r>
            <w:r w:rsidR="00575320">
              <w:t xml:space="preserve"> </w:t>
            </w:r>
            <w:r>
              <w:rPr>
                <w:bCs/>
                <w:shd w:val="clear" w:color="auto" w:fill="FFFFFF"/>
              </w:rPr>
              <w:t>ES</w:t>
            </w:r>
            <w:r w:rsidR="00360C9A" w:rsidRPr="00B57792">
              <w:rPr>
                <w:bCs/>
                <w:shd w:val="clear" w:color="auto" w:fill="FFFFFF"/>
              </w:rPr>
              <w:t xml:space="preserve"> finanšu interešu aizsardzības nolūkā. </w:t>
            </w:r>
          </w:p>
          <w:p w14:paraId="2C534048" w14:textId="77777777" w:rsidR="00360C9A" w:rsidRDefault="007D29E8" w:rsidP="00A96699">
            <w:pPr>
              <w:widowControl w:val="0"/>
              <w:autoSpaceDE w:val="0"/>
              <w:autoSpaceDN w:val="0"/>
              <w:adjustRightInd w:val="0"/>
              <w:ind w:left="138" w:right="148" w:firstLine="276"/>
              <w:contextualSpacing/>
              <w:jc w:val="both"/>
            </w:pPr>
            <w:r>
              <w:rPr>
                <w:bCs/>
                <w:shd w:val="clear" w:color="auto" w:fill="FFFFFF"/>
              </w:rPr>
              <w:t>N</w:t>
            </w:r>
            <w:r w:rsidR="00360C9A">
              <w:rPr>
                <w:bCs/>
                <w:shd w:val="clear" w:color="auto" w:fill="FFFFFF"/>
              </w:rPr>
              <w:t>o Regulas 883/2013</w:t>
            </w:r>
            <w:r w:rsidR="00360C9A" w:rsidRPr="00B57792">
              <w:rPr>
                <w:bCs/>
                <w:shd w:val="clear" w:color="auto" w:fill="FFFFFF"/>
              </w:rPr>
              <w:t xml:space="preserve"> izriet OLAF tiesības piepras</w:t>
            </w:r>
            <w:r w:rsidR="00360C9A">
              <w:rPr>
                <w:bCs/>
                <w:shd w:val="clear" w:color="auto" w:fill="FFFFFF"/>
              </w:rPr>
              <w:t>īt dokumentus</w:t>
            </w:r>
            <w:r w:rsidR="00E97013">
              <w:rPr>
                <w:bCs/>
                <w:shd w:val="clear" w:color="auto" w:fill="FFFFFF"/>
              </w:rPr>
              <w:t xml:space="preserve"> un informāciju</w:t>
            </w:r>
            <w:r w:rsidR="00360C9A">
              <w:rPr>
                <w:bCs/>
                <w:shd w:val="clear" w:color="auto" w:fill="FFFFFF"/>
              </w:rPr>
              <w:t xml:space="preserve">, pieņemt </w:t>
            </w:r>
            <w:r w:rsidR="00024596">
              <w:rPr>
                <w:bCs/>
                <w:shd w:val="clear" w:color="auto" w:fill="FFFFFF"/>
              </w:rPr>
              <w:t xml:space="preserve">personu </w:t>
            </w:r>
            <w:r w:rsidR="00360C9A">
              <w:rPr>
                <w:bCs/>
                <w:shd w:val="clear" w:color="auto" w:fill="FFFFFF"/>
              </w:rPr>
              <w:t>paskaidrojumus</w:t>
            </w:r>
            <w:r w:rsidR="00024596">
              <w:rPr>
                <w:bCs/>
                <w:shd w:val="clear" w:color="auto" w:fill="FFFFFF"/>
              </w:rPr>
              <w:t xml:space="preserve">, </w:t>
            </w:r>
            <w:r w:rsidR="00360C9A">
              <w:rPr>
                <w:bCs/>
                <w:shd w:val="clear" w:color="auto" w:fill="FFFFFF"/>
              </w:rPr>
              <w:t>veikt</w:t>
            </w:r>
            <w:r w:rsidR="00360C9A" w:rsidRPr="00B57792">
              <w:rPr>
                <w:bCs/>
                <w:shd w:val="clear" w:color="auto" w:fill="FFFFFF"/>
              </w:rPr>
              <w:t xml:space="preserve"> pārb</w:t>
            </w:r>
            <w:r w:rsidR="00E763B9">
              <w:rPr>
                <w:bCs/>
                <w:shd w:val="clear" w:color="auto" w:fill="FFFFFF"/>
              </w:rPr>
              <w:t>audes uz vietas uzņēmumu telpās,</w:t>
            </w:r>
            <w:r w:rsidR="004C68CB">
              <w:rPr>
                <w:bCs/>
                <w:shd w:val="clear" w:color="auto" w:fill="FFFFFF"/>
              </w:rPr>
              <w:t xml:space="preserve"> kā arī citas darbības, ja tās</w:t>
            </w:r>
            <w:r w:rsidR="00E763B9">
              <w:rPr>
                <w:bCs/>
                <w:shd w:val="clear" w:color="auto" w:fill="FFFFFF"/>
              </w:rPr>
              <w:t xml:space="preserve"> nepieciešam</w:t>
            </w:r>
            <w:r w:rsidR="004C68CB">
              <w:rPr>
                <w:bCs/>
                <w:shd w:val="clear" w:color="auto" w:fill="FFFFFF"/>
              </w:rPr>
              <w:t>a</w:t>
            </w:r>
            <w:r w:rsidR="00E763B9">
              <w:rPr>
                <w:bCs/>
                <w:shd w:val="clear" w:color="auto" w:fill="FFFFFF"/>
              </w:rPr>
              <w:t>s administratīvās izmeklēšanas ietvaros.</w:t>
            </w:r>
            <w:r w:rsidR="00360C9A" w:rsidRPr="00B57792">
              <w:rPr>
                <w:bCs/>
                <w:shd w:val="clear" w:color="auto" w:fill="FFFFFF"/>
              </w:rPr>
              <w:t xml:space="preserve"> Papildus Regulai 883/2013, veicot pārbaudes uz vietas uzņēmumu telpās</w:t>
            </w:r>
            <w:r w:rsidR="00360C9A">
              <w:rPr>
                <w:bCs/>
                <w:shd w:val="clear" w:color="auto" w:fill="FFFFFF"/>
              </w:rPr>
              <w:t>,</w:t>
            </w:r>
            <w:r w:rsidR="004C68CB">
              <w:rPr>
                <w:bCs/>
                <w:shd w:val="clear" w:color="auto" w:fill="FFFFFF"/>
              </w:rPr>
              <w:t xml:space="preserve"> tiek piemērota R</w:t>
            </w:r>
            <w:r w:rsidR="00360C9A" w:rsidRPr="00B57792">
              <w:rPr>
                <w:bCs/>
                <w:shd w:val="clear" w:color="auto" w:fill="FFFFFF"/>
              </w:rPr>
              <w:t xml:space="preserve">egula </w:t>
            </w:r>
            <w:r w:rsidR="00971B7B">
              <w:t>2185/96</w:t>
            </w:r>
            <w:r w:rsidR="00360C9A">
              <w:t>.</w:t>
            </w:r>
          </w:p>
          <w:p w14:paraId="10D5C37B" w14:textId="77777777" w:rsidR="00431660" w:rsidRPr="00431660" w:rsidRDefault="00431660" w:rsidP="00A96699">
            <w:pPr>
              <w:widowControl w:val="0"/>
              <w:autoSpaceDE w:val="0"/>
              <w:autoSpaceDN w:val="0"/>
              <w:adjustRightInd w:val="0"/>
              <w:ind w:left="138" w:right="148" w:firstLine="276"/>
              <w:contextualSpacing/>
              <w:jc w:val="both"/>
              <w:rPr>
                <w:bCs/>
                <w:shd w:val="clear" w:color="auto" w:fill="FFFFFF"/>
              </w:rPr>
            </w:pPr>
            <w:r>
              <w:t xml:space="preserve">Regulas 883/2013 un  2185/96 nosaka, ka OLAF izmeklētāji, veicot pārbaudes uz vietas dalībvalstīs, darbojas ar tādiem pašiem nosacījumiem kā </w:t>
            </w:r>
            <w:r w:rsidR="00A96699">
              <w:t xml:space="preserve">nacionālo </w:t>
            </w:r>
            <w:r>
              <w:t>kompetento iestāžu darbinieki un gadījumos, ja uzņēmums nepakļaujas veiktajai OLAF pārbaudei, dalībvalstu kompetentās iestādes sniedz nepieciešamo atbalstu, lai OLAF izmeklētāji varētu efektīvi veikt savas pārbaudes.</w:t>
            </w:r>
          </w:p>
          <w:p w14:paraId="73B8F76F" w14:textId="77777777" w:rsidR="004C68CB" w:rsidRDefault="00431660" w:rsidP="00A96699">
            <w:pPr>
              <w:widowControl w:val="0"/>
              <w:autoSpaceDE w:val="0"/>
              <w:autoSpaceDN w:val="0"/>
              <w:adjustRightInd w:val="0"/>
              <w:ind w:left="138" w:right="148" w:firstLine="276"/>
              <w:contextualSpacing/>
              <w:jc w:val="both"/>
            </w:pPr>
            <w:r w:rsidRPr="00FB194C">
              <w:lastRenderedPageBreak/>
              <w:t>Lai arī regulas ir tieši piemērojami normatīvie akti, atsevišķi aspekti ir atrisināmi nacionālā līmenī. Latvijā netiek veikta “administratīva izmeklēšan</w:t>
            </w:r>
            <w:r w:rsidR="007D29E8">
              <w:t>a”, kāda tā ir paredzēta Regulā</w:t>
            </w:r>
            <w:r w:rsidRPr="00FB194C">
              <w:t xml:space="preserve"> 883/2013 un </w:t>
            </w:r>
            <w:r w:rsidR="007D29E8">
              <w:t xml:space="preserve">Regulā </w:t>
            </w:r>
            <w:r w:rsidRPr="00FB194C">
              <w:t>2185/96</w:t>
            </w:r>
            <w:r w:rsidR="007D29E8">
              <w:t>,</w:t>
            </w:r>
            <w:r>
              <w:t xml:space="preserve"> l</w:t>
            </w:r>
            <w:r w:rsidRPr="00FB194C">
              <w:t xml:space="preserve">īdz ar to </w:t>
            </w:r>
            <w:r>
              <w:t>nepastāv</w:t>
            </w:r>
            <w:r w:rsidRPr="00FB194C">
              <w:t xml:space="preserve"> normatīvais regulējums, kas būtu piemērojams</w:t>
            </w:r>
            <w:r w:rsidR="00D04375">
              <w:t>,</w:t>
            </w:r>
            <w:r w:rsidRPr="00FB194C">
              <w:t xml:space="preserve"> </w:t>
            </w:r>
            <w:r w:rsidR="00D50753">
              <w:t xml:space="preserve">sniedzot atbalstu OLAF </w:t>
            </w:r>
            <w:r>
              <w:t>veiktajās administratīvajās izmeklēšanās.</w:t>
            </w:r>
            <w:r w:rsidR="007D29E8">
              <w:t xml:space="preserve"> </w:t>
            </w:r>
            <w:r>
              <w:t xml:space="preserve">Attiecīgi nav </w:t>
            </w:r>
            <w:r w:rsidR="00BD405F">
              <w:t>noteikta arī K</w:t>
            </w:r>
            <w:r w:rsidR="00360C9A" w:rsidRPr="00A55F54">
              <w:t xml:space="preserve">ompetentā iestāde, kas sniedz </w:t>
            </w:r>
            <w:r w:rsidR="00360C9A" w:rsidRPr="00A55F54">
              <w:rPr>
                <w:rFonts w:eastAsia="Calibri"/>
              </w:rPr>
              <w:t xml:space="preserve">nepieciešamo </w:t>
            </w:r>
            <w:r>
              <w:rPr>
                <w:rFonts w:eastAsia="Calibri"/>
              </w:rPr>
              <w:t>atbalstu</w:t>
            </w:r>
            <w:r w:rsidR="00360C9A" w:rsidRPr="00A55F54">
              <w:rPr>
                <w:rFonts w:eastAsia="Calibri"/>
              </w:rPr>
              <w:t>, lai OLAF izmeklētāji varētu</w:t>
            </w:r>
            <w:r w:rsidR="00360C9A" w:rsidRPr="00A55F54">
              <w:t xml:space="preserve"> efektīvi </w:t>
            </w:r>
            <w:r w:rsidR="00D50753">
              <w:t>pildīt</w:t>
            </w:r>
            <w:r w:rsidR="00360C9A" w:rsidRPr="00A55F54">
              <w:t xml:space="preserve"> savus uzdevumus.</w:t>
            </w:r>
            <w:r w:rsidR="009E041C">
              <w:t xml:space="preserve"> </w:t>
            </w:r>
          </w:p>
          <w:p w14:paraId="19F94E8B" w14:textId="58610F76" w:rsidR="00F85A1D" w:rsidRDefault="0078259A" w:rsidP="004C68CB">
            <w:pPr>
              <w:widowControl w:val="0"/>
              <w:autoSpaceDE w:val="0"/>
              <w:autoSpaceDN w:val="0"/>
              <w:adjustRightInd w:val="0"/>
              <w:ind w:left="138" w:right="148" w:firstLine="276"/>
              <w:contextualSpacing/>
              <w:jc w:val="both"/>
            </w:pPr>
            <w:r w:rsidRPr="008C7CF1">
              <w:t>S</w:t>
            </w:r>
            <w:r w:rsidR="004C68CB" w:rsidRPr="008C7CF1">
              <w:t xml:space="preserve">askaņā ar Ministru </w:t>
            </w:r>
            <w:r w:rsidR="00DC1EDB" w:rsidRPr="008C7CF1">
              <w:t>k</w:t>
            </w:r>
            <w:r w:rsidR="004C68CB" w:rsidRPr="008C7CF1">
              <w:t xml:space="preserve">abineta 2002.gada 11.septembra rīkojumu Nr. 495 </w:t>
            </w:r>
            <w:r w:rsidR="008C7CF1" w:rsidRPr="008C7CF1">
              <w:t>"</w:t>
            </w:r>
            <w:r w:rsidR="008C7CF1" w:rsidRPr="00F13C47">
              <w:t xml:space="preserve">Par kontaktiestādes noteikšanu sadarbībai ar OLAF - Eiropas Krāpšanas apkarošanas biroju" </w:t>
            </w:r>
            <w:r w:rsidR="004C68CB" w:rsidRPr="00F13C47">
              <w:t>Finanšu ministrija</w:t>
            </w:r>
            <w:r w:rsidR="00DC1EDB" w:rsidRPr="00F13C47">
              <w:t xml:space="preserve"> (turpmāk – FM)</w:t>
            </w:r>
            <w:r w:rsidR="004C68CB" w:rsidRPr="00F13C47">
              <w:t xml:space="preserve"> pilda kontaktiestādes funkciju sadarbībai ar OLAF jeb Regulas 883/2013 3. </w:t>
            </w:r>
            <w:r w:rsidR="004C68CB" w:rsidRPr="0078259A">
              <w:t xml:space="preserve">panta </w:t>
            </w:r>
            <w:r w:rsidR="00DC1EDB">
              <w:t xml:space="preserve">4. punktā </w:t>
            </w:r>
            <w:r w:rsidR="004C68CB" w:rsidRPr="0078259A">
              <w:t xml:space="preserve"> norādīto Krāpšanas apkarošanas koordinācijas dienesta (turpmāk - AFCOS) funkciju. Līdz ar </w:t>
            </w:r>
            <w:r w:rsidR="00CD2571">
              <w:t>to, FM</w:t>
            </w:r>
            <w:r w:rsidR="004C68CB" w:rsidRPr="0078259A">
              <w:t xml:space="preserve"> šobrīd sniedz atbalstu OLAF administratīvajās izmeklēšanā</w:t>
            </w:r>
            <w:r w:rsidRPr="0078259A">
              <w:t>s</w:t>
            </w:r>
            <w:r w:rsidR="004C68CB" w:rsidRPr="0078259A">
              <w:t xml:space="preserve"> un ir secinājusi, ka nacionālā n</w:t>
            </w:r>
            <w:r w:rsidR="009E041C" w:rsidRPr="0078259A">
              <w:t>ormatīvā regulējuma neesamība liedz pilnībā iz</w:t>
            </w:r>
            <w:r w:rsidR="00BD405F" w:rsidRPr="0078259A">
              <w:t>pildīt Regulā 883/2013 un Regulā</w:t>
            </w:r>
            <w:r w:rsidR="009E041C" w:rsidRPr="0078259A">
              <w:t xml:space="preserve"> 2185/96 d</w:t>
            </w:r>
            <w:r w:rsidR="00BD405F" w:rsidRPr="0078259A">
              <w:t>alībvalstij uzli</w:t>
            </w:r>
            <w:r w:rsidR="00431660" w:rsidRPr="0078259A">
              <w:t>kto pienākumu nodrošināt atbalstu</w:t>
            </w:r>
            <w:r w:rsidR="004C68CB" w:rsidRPr="0078259A">
              <w:t xml:space="preserve"> </w:t>
            </w:r>
            <w:r w:rsidR="009E041C" w:rsidRPr="0078259A">
              <w:t>OLAF</w:t>
            </w:r>
            <w:r>
              <w:t xml:space="preserve">. </w:t>
            </w:r>
            <w:r w:rsidR="004C68CB" w:rsidRPr="0078259A">
              <w:t xml:space="preserve">FM AFCOS nav </w:t>
            </w:r>
            <w:r>
              <w:t xml:space="preserve">noteiktas </w:t>
            </w:r>
            <w:r w:rsidR="004C68CB" w:rsidRPr="0078259A">
              <w:t xml:space="preserve">tiesības piedalīties OLAF veiktajās pārbaudēs vai </w:t>
            </w:r>
            <w:r w:rsidR="00E97013" w:rsidRPr="0078259A">
              <w:t>nodrošināt efektīvu OLAF izmeklēšanu</w:t>
            </w:r>
            <w:r>
              <w:t xml:space="preserve"> norisi</w:t>
            </w:r>
            <w:r w:rsidR="00E97013" w:rsidRPr="0078259A">
              <w:t>, ja uzņēmums nepakļaujas OLAF pārbaudei</w:t>
            </w:r>
            <w:r>
              <w:t>. Lai arī AFCOS pilda kontaktiestādes funkciju, nav noteiktas AFCOS tiesības pieprasīt informāciju no person</w:t>
            </w:r>
            <w:r w:rsidR="00224858">
              <w:t xml:space="preserve">ām, informāciju </w:t>
            </w:r>
            <w:r>
              <w:t xml:space="preserve">Kontu reģistrā </w:t>
            </w:r>
            <w:r w:rsidR="00224858">
              <w:t>vai no</w:t>
            </w:r>
            <w:r>
              <w:t xml:space="preserve"> kredītiestādēm.</w:t>
            </w:r>
          </w:p>
          <w:p w14:paraId="0C46EFA9" w14:textId="77777777" w:rsidR="00F85A1D" w:rsidRDefault="00024596" w:rsidP="00A96699">
            <w:pPr>
              <w:widowControl w:val="0"/>
              <w:autoSpaceDE w:val="0"/>
              <w:autoSpaceDN w:val="0"/>
              <w:adjustRightInd w:val="0"/>
              <w:ind w:left="138" w:right="148" w:firstLine="276"/>
              <w:contextualSpacing/>
              <w:jc w:val="both"/>
            </w:pPr>
            <w:r w:rsidRPr="00A55F54">
              <w:t xml:space="preserve">Lai </w:t>
            </w:r>
            <w:r w:rsidR="001525DC">
              <w:t xml:space="preserve">noregulētu </w:t>
            </w:r>
            <w:r w:rsidRPr="00A55F54">
              <w:t>minēto jomu, AFCOS Stratēģijā un pasākumu plānā</w:t>
            </w:r>
            <w:r w:rsidR="00431660">
              <w:rPr>
                <w:rStyle w:val="FootnoteReference"/>
              </w:rPr>
              <w:footnoteReference w:id="3"/>
            </w:r>
            <w:r w:rsidRPr="00A55F54">
              <w:t xml:space="preserve"> tika paredzēts izstrādāt Administratīvās sadarbības līgumu (</w:t>
            </w:r>
            <w:r w:rsidR="00BD405F">
              <w:t xml:space="preserve">turpmāk - </w:t>
            </w:r>
            <w:r w:rsidRPr="00A55F54">
              <w:t>ACA)</w:t>
            </w:r>
            <w:r w:rsidR="00A96699">
              <w:t xml:space="preserve"> ar OLAF</w:t>
            </w:r>
            <w:r w:rsidRPr="003E1C7E">
              <w:t>.</w:t>
            </w:r>
            <w:r w:rsidR="00431660">
              <w:t xml:space="preserve"> ACA izstrādei tika izveidota darba grupa un rezultātā sagatavo</w:t>
            </w:r>
            <w:r w:rsidR="00A96699">
              <w:t>t</w:t>
            </w:r>
            <w:r w:rsidR="00431660">
              <w:t xml:space="preserve">s ACA projekts, </w:t>
            </w:r>
            <w:r w:rsidR="00BD405F">
              <w:t xml:space="preserve">taču </w:t>
            </w:r>
            <w:r w:rsidR="00431660">
              <w:t>OLAF politikas maiņas dē</w:t>
            </w:r>
            <w:r w:rsidR="00A96699">
              <w:t xml:space="preserve">ļ ACA </w:t>
            </w:r>
            <w:r w:rsidR="00BD405F">
              <w:t>netika</w:t>
            </w:r>
            <w:r w:rsidR="00431660">
              <w:t xml:space="preserve"> parakstīts.</w:t>
            </w:r>
          </w:p>
          <w:p w14:paraId="1864CC9C" w14:textId="77777777" w:rsidR="00A96699" w:rsidRDefault="00BD405F" w:rsidP="00A96699">
            <w:pPr>
              <w:widowControl w:val="0"/>
              <w:autoSpaceDE w:val="0"/>
              <w:autoSpaceDN w:val="0"/>
              <w:adjustRightInd w:val="0"/>
              <w:ind w:left="138" w:right="148" w:firstLine="276"/>
              <w:contextualSpacing/>
              <w:jc w:val="both"/>
            </w:pPr>
            <w:r>
              <w:t>Secīgi</w:t>
            </w:r>
            <w:r w:rsidR="00D04375">
              <w:t>,</w:t>
            </w:r>
            <w:r w:rsidR="00F85A1D">
              <w:t xml:space="preserve"> AFCOS padome</w:t>
            </w:r>
            <w:r w:rsidR="00F85A1D">
              <w:rPr>
                <w:rStyle w:val="FootnoteReference"/>
              </w:rPr>
              <w:footnoteReference w:id="4"/>
            </w:r>
            <w:r w:rsidR="00F85A1D">
              <w:t xml:space="preserve"> nolēma, ka </w:t>
            </w:r>
            <w:r w:rsidR="00F85A1D" w:rsidRPr="00F85A1D">
              <w:t>Regulas 883/2013</w:t>
            </w:r>
            <w:r w:rsidR="00F85A1D">
              <w:t xml:space="preserve"> un Regulas 2185/96</w:t>
            </w:r>
            <w:r w:rsidR="00F85A1D" w:rsidRPr="00F85A1D">
              <w:t xml:space="preserve"> pilnvērtīga</w:t>
            </w:r>
            <w:r w:rsidR="00F85A1D">
              <w:t xml:space="preserve">i piemērošanai nacionālā līmenī </w:t>
            </w:r>
            <w:r w:rsidR="00F85A1D" w:rsidRPr="00F85A1D">
              <w:t>vi</w:t>
            </w:r>
            <w:r w:rsidR="00F85A1D">
              <w:t xml:space="preserve">sefektīvāk un lietderīgāk būtu </w:t>
            </w:r>
            <w:r w:rsidR="00F85A1D" w:rsidRPr="00F85A1D">
              <w:t xml:space="preserve">izstrādāt atsevišķu Regulas atbalsta likumu. </w:t>
            </w:r>
          </w:p>
          <w:p w14:paraId="6E0A4892" w14:textId="046442A3" w:rsidR="007D29E8" w:rsidRDefault="007D29E8" w:rsidP="00A96699">
            <w:pPr>
              <w:widowControl w:val="0"/>
              <w:autoSpaceDE w:val="0"/>
              <w:autoSpaceDN w:val="0"/>
              <w:adjustRightInd w:val="0"/>
              <w:ind w:left="138" w:right="148" w:firstLine="276"/>
              <w:contextualSpacing/>
              <w:jc w:val="both"/>
            </w:pPr>
            <w:r w:rsidRPr="007A2EF5">
              <w:rPr>
                <w:b/>
              </w:rPr>
              <w:t xml:space="preserve">Ar likumprojektu tiks nostiprinātas FM tiesības un pienākumi kā </w:t>
            </w:r>
            <w:r w:rsidRPr="00F13C47">
              <w:rPr>
                <w:b/>
              </w:rPr>
              <w:t>Kompetentaja</w:t>
            </w:r>
            <w:r w:rsidR="00BD405F" w:rsidRPr="00F13C47">
              <w:rPr>
                <w:b/>
              </w:rPr>
              <w:t>i iestādei atbalsta sniegšanai</w:t>
            </w:r>
            <w:r w:rsidRPr="00F13C47">
              <w:rPr>
                <w:b/>
              </w:rPr>
              <w:t xml:space="preserve"> OLAF</w:t>
            </w:r>
            <w:r w:rsidRPr="00F13C47">
              <w:t xml:space="preserve">, tai skaitā nostiprinātas FM tiesības </w:t>
            </w:r>
            <w:r w:rsidR="00BD405F" w:rsidRPr="00F13C47">
              <w:t>(</w:t>
            </w:r>
            <w:r w:rsidRPr="00F13C47">
              <w:t>pēc OLAF pieprasījuma</w:t>
            </w:r>
            <w:r w:rsidR="00BD405F" w:rsidRPr="00F13C47">
              <w:t>)</w:t>
            </w:r>
            <w:r w:rsidRPr="00F13C47">
              <w:t xml:space="preserve"> pieprasīt dokumentus un citu informāciju (tai skaitā informāciju Kontu reģistrā un no kredītiestādēm) un piedalīties  pārbaudēs uz vietas uzņēmumos</w:t>
            </w:r>
            <w:r w:rsidR="007A2EF5" w:rsidRPr="00F13C47">
              <w:t>, kā arī piedalīties sanāksmēs ar nacionālajām institūcijām</w:t>
            </w:r>
            <w:r w:rsidRPr="00F13C47">
              <w:t xml:space="preserve">. Papildus plānots paredzēt FM tiesības </w:t>
            </w:r>
            <w:r w:rsidR="006C0FFA" w:rsidRPr="007F6B12">
              <w:t xml:space="preserve">Administratīvā procesa likumā (turpmāk – APL) noteiktajā kārtībā </w:t>
            </w:r>
            <w:r w:rsidRPr="007F6B12">
              <w:t>pieņemt lēmumu par tiesiska pienākuma uzlikšanu un tā piespiedu izpildi, lai nodrošinātu efektīvu informācijas saņemšanu, kā arī pārbaužu veikšanu uz vietas uzņēmumos.</w:t>
            </w:r>
            <w:r w:rsidR="007E2730" w:rsidRPr="007F6B12">
              <w:t xml:space="preserve"> Saskaņā ar </w:t>
            </w:r>
            <w:r w:rsidR="006C0FFA" w:rsidRPr="007F6B12">
              <w:t>APL</w:t>
            </w:r>
            <w:r w:rsidR="007E2730" w:rsidRPr="007F6B12">
              <w:t xml:space="preserve"> 76. panta otro daļu, minēto FM lēmumu</w:t>
            </w:r>
            <w:r w:rsidR="00B842ED" w:rsidRPr="007F6B12">
              <w:t xml:space="preserve"> bez apstrīdēšanas procedūras varēs pārsūdzēt</w:t>
            </w:r>
            <w:r w:rsidR="007F6B12" w:rsidRPr="007F6B12">
              <w:t xml:space="preserve"> Administratīvajā rajona </w:t>
            </w:r>
            <w:r w:rsidR="00B842ED" w:rsidRPr="007F6B12">
              <w:t>tiesā</w:t>
            </w:r>
            <w:r w:rsidR="007E2730" w:rsidRPr="007F6B12">
              <w:t xml:space="preserve">. </w:t>
            </w:r>
            <w:r w:rsidR="00B842ED" w:rsidRPr="007F6B12">
              <w:t>Likumprojekts</w:t>
            </w:r>
            <w:r w:rsidR="007E2730" w:rsidRPr="007F6B12">
              <w:t xml:space="preserve"> paredz, ka lēmuma pārsūdz</w:t>
            </w:r>
            <w:r w:rsidR="006C0FFA" w:rsidRPr="007F6B12">
              <w:t xml:space="preserve">ība </w:t>
            </w:r>
            <w:r w:rsidR="00B842ED" w:rsidRPr="007F6B12">
              <w:t>nea</w:t>
            </w:r>
            <w:r w:rsidR="007E2730" w:rsidRPr="007F6B12">
              <w:t>pturēs t</w:t>
            </w:r>
            <w:r w:rsidR="00B842ED" w:rsidRPr="007F6B12">
              <w:t>ā darbību.</w:t>
            </w:r>
          </w:p>
          <w:p w14:paraId="1B8F0952" w14:textId="77777777" w:rsidR="009F4EA9" w:rsidRPr="00C627DE" w:rsidRDefault="009F4EA9" w:rsidP="00A96699">
            <w:pPr>
              <w:widowControl w:val="0"/>
              <w:autoSpaceDE w:val="0"/>
              <w:autoSpaceDN w:val="0"/>
              <w:adjustRightInd w:val="0"/>
              <w:spacing w:after="120"/>
              <w:ind w:left="138" w:right="148" w:firstLine="276"/>
              <w:contextualSpacing/>
              <w:jc w:val="both"/>
            </w:pPr>
          </w:p>
        </w:tc>
      </w:tr>
      <w:tr w:rsidR="0093745C" w:rsidRPr="00E547C1" w14:paraId="1895BE6B" w14:textId="77777777" w:rsidTr="00FE7DB3">
        <w:trPr>
          <w:trHeight w:val="476"/>
        </w:trPr>
        <w:tc>
          <w:tcPr>
            <w:tcW w:w="426" w:type="dxa"/>
          </w:tcPr>
          <w:p w14:paraId="1C7DFE72" w14:textId="77777777" w:rsidR="0093745C" w:rsidRPr="00E547C1" w:rsidRDefault="0093745C" w:rsidP="0093745C">
            <w:pPr>
              <w:pStyle w:val="naiskr"/>
              <w:spacing w:before="0" w:after="0"/>
            </w:pPr>
            <w:r w:rsidRPr="00E547C1">
              <w:lastRenderedPageBreak/>
              <w:t>3.</w:t>
            </w:r>
          </w:p>
        </w:tc>
        <w:tc>
          <w:tcPr>
            <w:tcW w:w="1979" w:type="dxa"/>
          </w:tcPr>
          <w:p w14:paraId="28972A04" w14:textId="77777777" w:rsidR="0093745C" w:rsidRPr="00E547C1" w:rsidRDefault="0093745C" w:rsidP="0093745C">
            <w:pPr>
              <w:pStyle w:val="naiskr"/>
              <w:spacing w:before="0" w:after="0"/>
            </w:pPr>
            <w:r w:rsidRPr="00E547C1">
              <w:t>Projekta izstrādē iesaistītās institūcijas</w:t>
            </w:r>
            <w:r w:rsidR="003F27B6">
              <w:t xml:space="preserve"> un </w:t>
            </w:r>
            <w:r w:rsidR="003F27B6">
              <w:lastRenderedPageBreak/>
              <w:t>publiskas personas kapitālsabiedrība</w:t>
            </w:r>
            <w:r w:rsidR="00E15E0A">
              <w:t>s</w:t>
            </w:r>
          </w:p>
        </w:tc>
        <w:tc>
          <w:tcPr>
            <w:tcW w:w="7513" w:type="dxa"/>
          </w:tcPr>
          <w:p w14:paraId="4A33A3AF" w14:textId="499686CC" w:rsidR="009E041C" w:rsidRDefault="009E041C" w:rsidP="004023BE">
            <w:pPr>
              <w:pStyle w:val="naiskr"/>
              <w:spacing w:before="0" w:after="0"/>
              <w:jc w:val="both"/>
              <w:rPr>
                <w:bCs/>
                <w:shd w:val="clear" w:color="auto" w:fill="FFFFFF"/>
              </w:rPr>
            </w:pPr>
          </w:p>
          <w:p w14:paraId="3A1B4E4F" w14:textId="59B75B3D" w:rsidR="0093745C" w:rsidRDefault="004023BE" w:rsidP="00A96699">
            <w:pPr>
              <w:pStyle w:val="naiskr"/>
              <w:spacing w:before="0" w:after="0"/>
              <w:ind w:left="138" w:right="148" w:firstLine="284"/>
              <w:jc w:val="both"/>
              <w:rPr>
                <w:bCs/>
                <w:shd w:val="clear" w:color="auto" w:fill="FFFFFF"/>
              </w:rPr>
            </w:pPr>
            <w:r>
              <w:rPr>
                <w:bCs/>
                <w:shd w:val="clear" w:color="auto" w:fill="FFFFFF"/>
              </w:rPr>
              <w:t xml:space="preserve">Ar FM </w:t>
            </w:r>
            <w:r w:rsidR="005D2D9F">
              <w:rPr>
                <w:bCs/>
                <w:shd w:val="clear" w:color="auto" w:fill="FFFFFF"/>
              </w:rPr>
              <w:t>2019. gada 29. aprīļa</w:t>
            </w:r>
            <w:r>
              <w:rPr>
                <w:bCs/>
                <w:shd w:val="clear" w:color="auto" w:fill="FFFFFF"/>
              </w:rPr>
              <w:t xml:space="preserve"> rīkojumu Nr. 121 </w:t>
            </w:r>
            <w:r w:rsidR="005D2D9F">
              <w:rPr>
                <w:bCs/>
                <w:shd w:val="clear" w:color="auto" w:fill="FFFFFF"/>
              </w:rPr>
              <w:t xml:space="preserve">tika </w:t>
            </w:r>
            <w:r>
              <w:rPr>
                <w:bCs/>
                <w:shd w:val="clear" w:color="auto" w:fill="FFFFFF"/>
              </w:rPr>
              <w:t>izveidota darba grupa</w:t>
            </w:r>
            <w:r w:rsidR="005D2D9F">
              <w:rPr>
                <w:bCs/>
                <w:shd w:val="clear" w:color="auto" w:fill="FFFFFF"/>
              </w:rPr>
              <w:t xml:space="preserve"> likumprojekta izstrādei</w:t>
            </w:r>
            <w:r>
              <w:rPr>
                <w:bCs/>
                <w:shd w:val="clear" w:color="auto" w:fill="FFFFFF"/>
              </w:rPr>
              <w:t xml:space="preserve">, kuras sastāvā ietilpst pārstāvji no FM, </w:t>
            </w:r>
            <w:r w:rsidR="005D2D9F">
              <w:rPr>
                <w:bCs/>
                <w:shd w:val="clear" w:color="auto" w:fill="FFFFFF"/>
              </w:rPr>
              <w:t xml:space="preserve">Valsts ieņēmumu dienesta, </w:t>
            </w:r>
            <w:r>
              <w:rPr>
                <w:bCs/>
                <w:shd w:val="clear" w:color="auto" w:fill="FFFFFF"/>
              </w:rPr>
              <w:t xml:space="preserve">Valsts policijas, </w:t>
            </w:r>
            <w:r w:rsidR="005D2D9F">
              <w:t xml:space="preserve"> </w:t>
            </w:r>
            <w:r w:rsidR="005D2D9F" w:rsidRPr="005D2D9F">
              <w:rPr>
                <w:bCs/>
                <w:shd w:val="clear" w:color="auto" w:fill="FFFFFF"/>
              </w:rPr>
              <w:t xml:space="preserve">Vides aizsardzības un reģionālas </w:t>
            </w:r>
            <w:r w:rsidR="005D2D9F" w:rsidRPr="005D2D9F">
              <w:rPr>
                <w:bCs/>
                <w:shd w:val="clear" w:color="auto" w:fill="FFFFFF"/>
              </w:rPr>
              <w:lastRenderedPageBreak/>
              <w:t>attīstības ministrija</w:t>
            </w:r>
            <w:r w:rsidR="00CD2571">
              <w:rPr>
                <w:bCs/>
                <w:shd w:val="clear" w:color="auto" w:fill="FFFFFF"/>
              </w:rPr>
              <w:t>s</w:t>
            </w:r>
            <w:r w:rsidR="005D2D9F">
              <w:rPr>
                <w:bCs/>
                <w:shd w:val="clear" w:color="auto" w:fill="FFFFFF"/>
              </w:rPr>
              <w:t>, Labklājības ministrijas, Iekšlietu ministrijas</w:t>
            </w:r>
            <w:r>
              <w:rPr>
                <w:bCs/>
                <w:shd w:val="clear" w:color="auto" w:fill="FFFFFF"/>
              </w:rPr>
              <w:t>, Z</w:t>
            </w:r>
            <w:r w:rsidR="005D2D9F">
              <w:rPr>
                <w:bCs/>
                <w:shd w:val="clear" w:color="auto" w:fill="FFFFFF"/>
              </w:rPr>
              <w:t>emkopības ministrijas</w:t>
            </w:r>
            <w:r>
              <w:rPr>
                <w:bCs/>
                <w:shd w:val="clear" w:color="auto" w:fill="FFFFFF"/>
              </w:rPr>
              <w:t xml:space="preserve">, </w:t>
            </w:r>
            <w:r w:rsidR="005D2D9F">
              <w:t xml:space="preserve"> C</w:t>
            </w:r>
            <w:r w:rsidR="005D2D9F" w:rsidRPr="005D2D9F">
              <w:rPr>
                <w:bCs/>
                <w:shd w:val="clear" w:color="auto" w:fill="FFFFFF"/>
              </w:rPr>
              <w:t>entrālā</w:t>
            </w:r>
            <w:r w:rsidR="005D2D9F">
              <w:rPr>
                <w:bCs/>
                <w:shd w:val="clear" w:color="auto" w:fill="FFFFFF"/>
              </w:rPr>
              <w:t>s</w:t>
            </w:r>
            <w:r w:rsidR="005D2D9F" w:rsidRPr="005D2D9F">
              <w:rPr>
                <w:bCs/>
                <w:shd w:val="clear" w:color="auto" w:fill="FFFFFF"/>
              </w:rPr>
              <w:t xml:space="preserve"> finanšu un līgumu aģentūra</w:t>
            </w:r>
            <w:r w:rsidR="005D2D9F">
              <w:rPr>
                <w:bCs/>
                <w:shd w:val="clear" w:color="auto" w:fill="FFFFFF"/>
              </w:rPr>
              <w:t>s</w:t>
            </w:r>
            <w:r>
              <w:rPr>
                <w:bCs/>
                <w:shd w:val="clear" w:color="auto" w:fill="FFFFFF"/>
              </w:rPr>
              <w:t xml:space="preserve">, </w:t>
            </w:r>
            <w:r w:rsidR="005D2D9F">
              <w:rPr>
                <w:bCs/>
                <w:shd w:val="clear" w:color="auto" w:fill="FFFFFF"/>
              </w:rPr>
              <w:t>Lauku atbalsta dienesta</w:t>
            </w:r>
            <w:r>
              <w:rPr>
                <w:bCs/>
                <w:shd w:val="clear" w:color="auto" w:fill="FFFFFF"/>
              </w:rPr>
              <w:t xml:space="preserve"> un T</w:t>
            </w:r>
            <w:r w:rsidR="005D2D9F">
              <w:rPr>
                <w:bCs/>
                <w:shd w:val="clear" w:color="auto" w:fill="FFFFFF"/>
              </w:rPr>
              <w:t>ieslietu ministrijas.</w:t>
            </w:r>
          </w:p>
          <w:p w14:paraId="44980F74" w14:textId="77777777" w:rsidR="00A96699" w:rsidRPr="00E547C1" w:rsidRDefault="00A96699" w:rsidP="00A96699">
            <w:pPr>
              <w:pStyle w:val="naiskr"/>
              <w:spacing w:before="0" w:after="0"/>
              <w:ind w:left="138" w:right="148" w:firstLine="284"/>
              <w:jc w:val="both"/>
            </w:pPr>
          </w:p>
        </w:tc>
      </w:tr>
      <w:tr w:rsidR="0093745C" w:rsidRPr="00E547C1" w14:paraId="78531E19" w14:textId="77777777" w:rsidTr="00FE7DB3">
        <w:tc>
          <w:tcPr>
            <w:tcW w:w="426" w:type="dxa"/>
          </w:tcPr>
          <w:p w14:paraId="43B6CA37" w14:textId="77777777" w:rsidR="0093745C" w:rsidRPr="00E547C1" w:rsidRDefault="0093745C" w:rsidP="0093745C">
            <w:pPr>
              <w:pStyle w:val="naiskr"/>
              <w:spacing w:before="0" w:after="0"/>
            </w:pPr>
            <w:r w:rsidRPr="00E547C1">
              <w:lastRenderedPageBreak/>
              <w:t>4.</w:t>
            </w:r>
          </w:p>
        </w:tc>
        <w:tc>
          <w:tcPr>
            <w:tcW w:w="1979" w:type="dxa"/>
          </w:tcPr>
          <w:p w14:paraId="5678746C" w14:textId="77777777" w:rsidR="0093745C" w:rsidRPr="00E547C1" w:rsidRDefault="0093745C" w:rsidP="0093745C">
            <w:pPr>
              <w:pStyle w:val="naiskr"/>
              <w:spacing w:before="0" w:after="0"/>
            </w:pPr>
            <w:r w:rsidRPr="00E547C1">
              <w:t>Cita informācija</w:t>
            </w:r>
          </w:p>
        </w:tc>
        <w:tc>
          <w:tcPr>
            <w:tcW w:w="7513" w:type="dxa"/>
          </w:tcPr>
          <w:p w14:paraId="66174845" w14:textId="77777777" w:rsidR="00A96699" w:rsidRDefault="00A96699" w:rsidP="00A96699">
            <w:pPr>
              <w:pStyle w:val="naiskr"/>
              <w:spacing w:before="0" w:after="0"/>
            </w:pPr>
          </w:p>
          <w:p w14:paraId="263C74A1" w14:textId="77777777" w:rsidR="00A96699" w:rsidRPr="00E547C1" w:rsidRDefault="00E97013" w:rsidP="00755A99">
            <w:pPr>
              <w:pStyle w:val="naiskr"/>
              <w:spacing w:before="0" w:after="0"/>
              <w:ind w:right="135" w:firstLine="284"/>
              <w:jc w:val="both"/>
            </w:pPr>
            <w:r>
              <w:t>ES šobrīd notiek diskusijas par Regulas 883/2013 grozījuma projekta saturu, kura viens no mērķiem ir stiprināt OLAF administratīvo izmeklēšanu efektivitāti. To iecerēts panākt nosakot skaidru dalībvalsts pienākumu sniegt atbalstu OLAF administratīvajās izmeklēšanās gadījumos, ja persona nepakļaujas OLAF veiktajai pārbaudei. Savukārt, dalībvalstij jāizveido procedūra kā šo atbalstu sniegt. Papildus Regulas 883/2013 grozījumos plānots uzsvērt to, ka OLAF ir tiesības saņemt arī bankas kontu informāciju.</w:t>
            </w:r>
          </w:p>
        </w:tc>
      </w:tr>
    </w:tbl>
    <w:p w14:paraId="27B6AE94" w14:textId="77777777" w:rsidR="00A96699" w:rsidRDefault="00A96699" w:rsidP="003A4293">
      <w:pPr>
        <w:keepNext/>
        <w:keepLines/>
        <w:contextualSpacing/>
        <w:mirrorIndents/>
        <w:rPr>
          <w:sz w:val="16"/>
          <w:szCs w:val="16"/>
        </w:rPr>
      </w:pPr>
    </w:p>
    <w:p w14:paraId="2654233B" w14:textId="77777777" w:rsidR="00F03CE4" w:rsidRDefault="00F03CE4" w:rsidP="003A4293">
      <w:pPr>
        <w:keepNext/>
        <w:keepLines/>
        <w:contextualSpacing/>
        <w:mirrorIndents/>
        <w:rPr>
          <w:sz w:val="16"/>
          <w:szCs w:val="16"/>
        </w:rPr>
      </w:pPr>
    </w:p>
    <w:p w14:paraId="04D86282" w14:textId="77777777" w:rsidR="00F03CE4" w:rsidRPr="007A464C" w:rsidRDefault="00F03CE4" w:rsidP="003A4293">
      <w:pPr>
        <w:keepNext/>
        <w:keepLines/>
        <w:contextualSpacing/>
        <w:mirrorIndents/>
        <w:rPr>
          <w:sz w:val="16"/>
          <w:szCs w:val="16"/>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
        <w:gridCol w:w="1842"/>
        <w:gridCol w:w="7655"/>
      </w:tblGrid>
      <w:tr w:rsidR="00E547C1" w:rsidRPr="00E547C1" w14:paraId="3B9BD55B" w14:textId="77777777" w:rsidTr="00FD084C">
        <w:tc>
          <w:tcPr>
            <w:tcW w:w="9918" w:type="dxa"/>
            <w:gridSpan w:val="3"/>
            <w:vAlign w:val="center"/>
          </w:tcPr>
          <w:p w14:paraId="7C47C10E" w14:textId="77777777" w:rsidR="003F27B6" w:rsidRDefault="0062298A" w:rsidP="003A4293">
            <w:pPr>
              <w:pStyle w:val="naisnod"/>
              <w:keepNext/>
              <w:keepLines/>
              <w:spacing w:before="0" w:after="0"/>
            </w:pPr>
            <w:r w:rsidRPr="00E547C1">
              <w:t>II</w:t>
            </w:r>
            <w:r w:rsidR="000941C5" w:rsidRPr="00E547C1">
              <w:t>.</w:t>
            </w:r>
            <w:r w:rsidRPr="00E547C1">
              <w:t xml:space="preserve"> Tiesību akta projekta ietekme uz sabiedrību</w:t>
            </w:r>
            <w:r w:rsidR="003F27B6">
              <w:t xml:space="preserve">, </w:t>
            </w:r>
          </w:p>
          <w:p w14:paraId="67C64040" w14:textId="77777777" w:rsidR="0062298A" w:rsidRPr="00E547C1" w:rsidRDefault="003F27B6" w:rsidP="003A4293">
            <w:pPr>
              <w:pStyle w:val="naisnod"/>
              <w:keepNext/>
              <w:keepLines/>
              <w:spacing w:before="0" w:after="0"/>
            </w:pPr>
            <w:r>
              <w:t>tautsaimniecības attīstību un administratīvo slogu</w:t>
            </w:r>
          </w:p>
        </w:tc>
      </w:tr>
      <w:tr w:rsidR="00E547C1" w:rsidRPr="00E547C1" w14:paraId="3204E1E9" w14:textId="77777777" w:rsidTr="00FD084C">
        <w:trPr>
          <w:trHeight w:val="467"/>
        </w:trPr>
        <w:tc>
          <w:tcPr>
            <w:tcW w:w="421" w:type="dxa"/>
          </w:tcPr>
          <w:p w14:paraId="6454D26F" w14:textId="77777777" w:rsidR="0062298A" w:rsidRPr="00E547C1" w:rsidRDefault="0062298A" w:rsidP="00C00322">
            <w:pPr>
              <w:pStyle w:val="naiskr"/>
              <w:keepNext/>
              <w:keepLines/>
              <w:spacing w:before="0" w:after="0"/>
            </w:pPr>
            <w:r w:rsidRPr="00E547C1">
              <w:t>1.</w:t>
            </w:r>
          </w:p>
        </w:tc>
        <w:tc>
          <w:tcPr>
            <w:tcW w:w="1842" w:type="dxa"/>
          </w:tcPr>
          <w:p w14:paraId="2519C604" w14:textId="77777777" w:rsidR="0062298A" w:rsidRPr="00E547C1" w:rsidRDefault="00C27A08" w:rsidP="00C00322">
            <w:pPr>
              <w:pStyle w:val="naiskr"/>
              <w:keepNext/>
              <w:keepLines/>
              <w:spacing w:before="0" w:after="0"/>
            </w:pPr>
            <w:r w:rsidRPr="00E547C1">
              <w:t>Sabiedrības mērķgrupa</w:t>
            </w:r>
            <w:r w:rsidR="00CE72B0" w:rsidRPr="00E547C1">
              <w:t>s</w:t>
            </w:r>
            <w:r w:rsidR="00340B5E" w:rsidRPr="00E547C1">
              <w:t>,</w:t>
            </w:r>
            <w:r w:rsidR="00CE72B0" w:rsidRPr="00E547C1">
              <w:t xml:space="preserve"> kuras tiesiskais regulējums arī ietekmē vai varētu ietekmēt</w:t>
            </w:r>
          </w:p>
        </w:tc>
        <w:tc>
          <w:tcPr>
            <w:tcW w:w="7655" w:type="dxa"/>
          </w:tcPr>
          <w:p w14:paraId="68CE4B30" w14:textId="77777777" w:rsidR="00A96699" w:rsidRPr="00F13C47" w:rsidRDefault="00A96699" w:rsidP="00A96699">
            <w:pPr>
              <w:pStyle w:val="naiskr"/>
              <w:keepNext/>
              <w:keepLines/>
              <w:spacing w:before="0" w:after="0"/>
              <w:ind w:left="145" w:right="148" w:firstLine="284"/>
              <w:jc w:val="both"/>
              <w:rPr>
                <w:iCs/>
              </w:rPr>
            </w:pPr>
          </w:p>
          <w:p w14:paraId="4D275212" w14:textId="77777777" w:rsidR="005D2D9F" w:rsidRPr="00F13C47" w:rsidRDefault="005D2D9F" w:rsidP="00A96699">
            <w:pPr>
              <w:pStyle w:val="naiskr"/>
              <w:keepNext/>
              <w:keepLines/>
              <w:spacing w:before="0" w:after="0"/>
              <w:ind w:left="145" w:right="148" w:firstLine="284"/>
              <w:jc w:val="both"/>
              <w:rPr>
                <w:iCs/>
              </w:rPr>
            </w:pPr>
            <w:r w:rsidRPr="00F13C47">
              <w:rPr>
                <w:iCs/>
              </w:rPr>
              <w:t>Likumprojekts noteiks Kompetentās iestādes tiesības un pienākumus</w:t>
            </w:r>
            <w:r w:rsidR="00D04375" w:rsidRPr="00F13C47">
              <w:rPr>
                <w:iCs/>
              </w:rPr>
              <w:t>,</w:t>
            </w:r>
            <w:r w:rsidRPr="00F13C47">
              <w:rPr>
                <w:iCs/>
              </w:rPr>
              <w:t xml:space="preserve"> sniedzot atbalstu OLAF. </w:t>
            </w:r>
          </w:p>
          <w:p w14:paraId="78844A03" w14:textId="056020B6" w:rsidR="00536D51" w:rsidRPr="00F13C47" w:rsidRDefault="00536D51" w:rsidP="00A96699">
            <w:pPr>
              <w:pStyle w:val="naiskr"/>
              <w:keepNext/>
              <w:keepLines/>
              <w:spacing w:before="0" w:after="0"/>
              <w:ind w:left="145" w:right="148" w:firstLine="284"/>
              <w:jc w:val="both"/>
              <w:rPr>
                <w:iCs/>
              </w:rPr>
            </w:pPr>
            <w:r w:rsidRPr="00F13C47">
              <w:rPr>
                <w:iCs/>
              </w:rPr>
              <w:t xml:space="preserve">Likumprojekts attieksies uz Regulā 883/2013 un Regulā 2185/96 noteiktajām  mērķa grupām, </w:t>
            </w:r>
            <w:r w:rsidR="005D2D9F" w:rsidRPr="00F13C47">
              <w:rPr>
                <w:iCs/>
              </w:rPr>
              <w:t xml:space="preserve">t.i., </w:t>
            </w:r>
            <w:r w:rsidRPr="00F13C47">
              <w:rPr>
                <w:iCs/>
              </w:rPr>
              <w:t xml:space="preserve"> jebkuru fizisku vai juridisku personu, tai skaitā personālsabiedrību</w:t>
            </w:r>
            <w:r w:rsidR="005D2D9F" w:rsidRPr="00F13C47">
              <w:rPr>
                <w:iCs/>
              </w:rPr>
              <w:t xml:space="preserve"> (turpmāk – </w:t>
            </w:r>
            <w:r w:rsidR="00CD2571">
              <w:rPr>
                <w:iCs/>
              </w:rPr>
              <w:t>privāt</w:t>
            </w:r>
            <w:r w:rsidR="005D2D9F" w:rsidRPr="00F13C47">
              <w:rPr>
                <w:iCs/>
              </w:rPr>
              <w:t>persona)</w:t>
            </w:r>
            <w:r w:rsidRPr="00F13C47">
              <w:rPr>
                <w:iCs/>
              </w:rPr>
              <w:t xml:space="preserve">, kā arī valsts </w:t>
            </w:r>
            <w:r w:rsidR="005D2D9F" w:rsidRPr="00F13C47">
              <w:rPr>
                <w:iCs/>
              </w:rPr>
              <w:t>vai pašvaldību institūciju, kuras</w:t>
            </w:r>
            <w:r w:rsidRPr="00F13C47">
              <w:rPr>
                <w:iCs/>
              </w:rPr>
              <w:t xml:space="preserve"> rīcībā atrodas vai varētu atrasties dokumenti vai info</w:t>
            </w:r>
            <w:r w:rsidR="005D2D9F" w:rsidRPr="00F13C47">
              <w:rPr>
                <w:iCs/>
              </w:rPr>
              <w:t>rmācija, kas nepieciešama OLAF administratīvās</w:t>
            </w:r>
            <w:r w:rsidRPr="00F13C47">
              <w:rPr>
                <w:iCs/>
              </w:rPr>
              <w:t xml:space="preserve"> izmeklēšanas</w:t>
            </w:r>
            <w:r w:rsidR="005D2D9F" w:rsidRPr="00F13C47">
              <w:rPr>
                <w:iCs/>
              </w:rPr>
              <w:t xml:space="preserve"> ietvaros, </w:t>
            </w:r>
            <w:r w:rsidR="00BD405F" w:rsidRPr="00F13C47">
              <w:rPr>
                <w:iCs/>
              </w:rPr>
              <w:t xml:space="preserve">vienlaicīgi </w:t>
            </w:r>
            <w:r w:rsidR="007A2EF5" w:rsidRPr="00F13C47">
              <w:rPr>
                <w:iCs/>
              </w:rPr>
              <w:t xml:space="preserve">nosakot </w:t>
            </w:r>
            <w:r w:rsidR="00CD2571">
              <w:rPr>
                <w:iCs/>
              </w:rPr>
              <w:t>privātpersonu</w:t>
            </w:r>
            <w:r w:rsidR="005D2D9F" w:rsidRPr="00F13C47">
              <w:rPr>
                <w:iCs/>
              </w:rPr>
              <w:t xml:space="preserve"> pien</w:t>
            </w:r>
            <w:r w:rsidR="00BD405F" w:rsidRPr="00F13C47">
              <w:rPr>
                <w:iCs/>
              </w:rPr>
              <w:t xml:space="preserve">ākumu sadarboties un sniegt </w:t>
            </w:r>
            <w:r w:rsidR="005D2D9F" w:rsidRPr="00F13C47">
              <w:rPr>
                <w:iCs/>
              </w:rPr>
              <w:t xml:space="preserve">nepieciešamo informāciju vai nodrošināt piekļuvi uzņēmuma telpām ne tikai OLAF </w:t>
            </w:r>
            <w:r w:rsidR="00BD405F" w:rsidRPr="00F13C47">
              <w:rPr>
                <w:iCs/>
              </w:rPr>
              <w:t>izmeklētājiem (</w:t>
            </w:r>
            <w:r w:rsidR="005D2D9F" w:rsidRPr="00F13C47">
              <w:rPr>
                <w:iCs/>
              </w:rPr>
              <w:t>kā tas paredzēts Regulā 883/2013 un  Regulā 2185/96</w:t>
            </w:r>
            <w:r w:rsidR="00BD405F" w:rsidRPr="00F13C47">
              <w:rPr>
                <w:iCs/>
              </w:rPr>
              <w:t>)</w:t>
            </w:r>
            <w:r w:rsidR="005D2D9F" w:rsidRPr="00F13C47">
              <w:rPr>
                <w:iCs/>
              </w:rPr>
              <w:t>, bet arī Kompetentajai iest</w:t>
            </w:r>
            <w:r w:rsidR="001525DC" w:rsidRPr="00F13C47">
              <w:rPr>
                <w:iCs/>
              </w:rPr>
              <w:t>ādei, lai nodrošinātu nepieciešamā atbalsta sniegšanu OLAF.</w:t>
            </w:r>
          </w:p>
          <w:p w14:paraId="06184E41" w14:textId="3763A235" w:rsidR="005D2D9F" w:rsidRPr="00F13C47" w:rsidRDefault="005D2D9F" w:rsidP="00A96699">
            <w:pPr>
              <w:pStyle w:val="naiskr"/>
              <w:keepNext/>
              <w:keepLines/>
              <w:spacing w:before="0" w:after="0"/>
              <w:ind w:left="145" w:right="148" w:firstLine="284"/>
              <w:jc w:val="both"/>
              <w:rPr>
                <w:iCs/>
              </w:rPr>
            </w:pPr>
            <w:r w:rsidRPr="00F13C47">
              <w:rPr>
                <w:iCs/>
              </w:rPr>
              <w:t xml:space="preserve">Gadījumā, ja </w:t>
            </w:r>
            <w:r w:rsidR="00CD2571">
              <w:rPr>
                <w:iCs/>
              </w:rPr>
              <w:t>privāt</w:t>
            </w:r>
            <w:r w:rsidRPr="00F13C47">
              <w:rPr>
                <w:iCs/>
              </w:rPr>
              <w:t>persona nesniegs informāciju vai atteiks sadarbību OLAF</w:t>
            </w:r>
            <w:r w:rsidR="00B863C9" w:rsidRPr="00F13C47">
              <w:rPr>
                <w:iCs/>
              </w:rPr>
              <w:t xml:space="preserve"> administratīvās izmeklēšanas ietvaros</w:t>
            </w:r>
            <w:r w:rsidRPr="00F13C47">
              <w:rPr>
                <w:iCs/>
              </w:rPr>
              <w:t>, Kompetent</w:t>
            </w:r>
            <w:r w:rsidR="00BD405F" w:rsidRPr="00F13C47">
              <w:rPr>
                <w:iCs/>
              </w:rPr>
              <w:t xml:space="preserve">ā </w:t>
            </w:r>
            <w:r w:rsidRPr="00F13C47">
              <w:rPr>
                <w:iCs/>
              </w:rPr>
              <w:t>iestāde varēs pieņemt l</w:t>
            </w:r>
            <w:r w:rsidR="00BD405F" w:rsidRPr="00F13C47">
              <w:rPr>
                <w:iCs/>
              </w:rPr>
              <w:t>ēmumu</w:t>
            </w:r>
            <w:r w:rsidRPr="00F13C47">
              <w:rPr>
                <w:iCs/>
              </w:rPr>
              <w:t xml:space="preserve"> par tiesiska pienākuma uzlikšanu un </w:t>
            </w:r>
            <w:r w:rsidR="00BD405F" w:rsidRPr="00F13C47">
              <w:rPr>
                <w:iCs/>
              </w:rPr>
              <w:t xml:space="preserve">tā </w:t>
            </w:r>
            <w:r w:rsidRPr="00F13C47">
              <w:rPr>
                <w:iCs/>
              </w:rPr>
              <w:t>piespiedu izpildi</w:t>
            </w:r>
            <w:r w:rsidR="006C0FFA">
              <w:rPr>
                <w:iCs/>
              </w:rPr>
              <w:t xml:space="preserve"> </w:t>
            </w:r>
            <w:r w:rsidR="006C0FFA" w:rsidRPr="007F6B12">
              <w:rPr>
                <w:iCs/>
              </w:rPr>
              <w:t>APL noteiktajā kārtībā</w:t>
            </w:r>
            <w:r w:rsidRPr="007F6B12">
              <w:rPr>
                <w:iCs/>
              </w:rPr>
              <w:t>.</w:t>
            </w:r>
          </w:p>
          <w:p w14:paraId="6D7EBC26" w14:textId="77777777" w:rsidR="004023BE" w:rsidRPr="00F13C47" w:rsidRDefault="004023BE" w:rsidP="00A96699">
            <w:pPr>
              <w:pStyle w:val="naiskr"/>
              <w:keepNext/>
              <w:keepLines/>
              <w:spacing w:before="0" w:after="0"/>
              <w:ind w:left="145" w:right="148" w:firstLine="284"/>
              <w:jc w:val="both"/>
              <w:rPr>
                <w:iCs/>
              </w:rPr>
            </w:pPr>
          </w:p>
        </w:tc>
      </w:tr>
      <w:tr w:rsidR="00E547C1" w:rsidRPr="00E547C1" w14:paraId="57017A7C" w14:textId="77777777" w:rsidTr="00FD084C">
        <w:trPr>
          <w:trHeight w:val="517"/>
        </w:trPr>
        <w:tc>
          <w:tcPr>
            <w:tcW w:w="421" w:type="dxa"/>
          </w:tcPr>
          <w:p w14:paraId="005B74E6" w14:textId="77777777" w:rsidR="0062298A" w:rsidRPr="00E547C1" w:rsidRDefault="00CE72B0" w:rsidP="0047074D">
            <w:pPr>
              <w:pStyle w:val="naiskr"/>
              <w:spacing w:before="0" w:after="0"/>
            </w:pPr>
            <w:r w:rsidRPr="00E547C1">
              <w:t>2</w:t>
            </w:r>
            <w:r w:rsidR="0062298A" w:rsidRPr="00E547C1">
              <w:t>.</w:t>
            </w:r>
          </w:p>
        </w:tc>
        <w:tc>
          <w:tcPr>
            <w:tcW w:w="1842" w:type="dxa"/>
          </w:tcPr>
          <w:p w14:paraId="4FA05972" w14:textId="77777777" w:rsidR="00C1133D" w:rsidRPr="00E547C1" w:rsidRDefault="000C790C" w:rsidP="0047074D">
            <w:pPr>
              <w:pStyle w:val="naiskr"/>
              <w:spacing w:before="0" w:after="0"/>
            </w:pPr>
            <w:r w:rsidRPr="00E547C1">
              <w:t>Tiesiskā r</w:t>
            </w:r>
            <w:r w:rsidR="003D21FF" w:rsidRPr="00E547C1">
              <w:t>egulējuma</w:t>
            </w:r>
            <w:r w:rsidR="00C27A08" w:rsidRPr="00E547C1">
              <w:t xml:space="preserve"> ietekme</w:t>
            </w:r>
            <w:r w:rsidR="00CE72B0" w:rsidRPr="00E547C1">
              <w:t xml:space="preserve"> uz tautsaimniecību un administratīvo slogu</w:t>
            </w:r>
          </w:p>
        </w:tc>
        <w:tc>
          <w:tcPr>
            <w:tcW w:w="7655" w:type="dxa"/>
          </w:tcPr>
          <w:p w14:paraId="5594459A" w14:textId="77777777" w:rsidR="00A96699" w:rsidRPr="00F13C47" w:rsidRDefault="00A96699" w:rsidP="00A96699">
            <w:pPr>
              <w:pStyle w:val="naiskr"/>
              <w:keepNext/>
              <w:keepLines/>
              <w:spacing w:before="0" w:after="0"/>
              <w:ind w:left="145" w:right="148" w:firstLine="284"/>
              <w:jc w:val="both"/>
            </w:pPr>
          </w:p>
          <w:p w14:paraId="343F0F58" w14:textId="7ED512C5" w:rsidR="00554BA8" w:rsidRPr="00F13C47" w:rsidRDefault="005D2D9F" w:rsidP="00A96699">
            <w:pPr>
              <w:pStyle w:val="naiskr"/>
              <w:keepNext/>
              <w:keepLines/>
              <w:spacing w:before="0" w:after="0"/>
              <w:ind w:left="145" w:right="148" w:firstLine="284"/>
              <w:jc w:val="both"/>
              <w:rPr>
                <w:iCs/>
              </w:rPr>
            </w:pPr>
            <w:r w:rsidRPr="00F13C47">
              <w:t>P</w:t>
            </w:r>
            <w:r w:rsidR="00CD2571">
              <w:t>rivāt</w:t>
            </w:r>
            <w:r w:rsidR="0039106C">
              <w:t>p</w:t>
            </w:r>
            <w:r w:rsidRPr="00F13C47">
              <w:t>ersonu,</w:t>
            </w:r>
            <w:r w:rsidR="008404F7" w:rsidRPr="00F13C47">
              <w:t xml:space="preserve"> kā arī valsts vai pašvaldību pienākums sadarboties ar OLAF ir noteikts Regulā 883/2013 un Regulā 2185/96, līdz ar to papildus administratīvais slogs netiks radīts.</w:t>
            </w:r>
            <w:r w:rsidR="00536D51" w:rsidRPr="00F13C47">
              <w:rPr>
                <w:iCs/>
              </w:rPr>
              <w:t xml:space="preserve"> </w:t>
            </w:r>
          </w:p>
          <w:p w14:paraId="723C7A1C" w14:textId="77777777" w:rsidR="00536D51" w:rsidRPr="00F13C47" w:rsidRDefault="00554BA8" w:rsidP="00A96699">
            <w:pPr>
              <w:pStyle w:val="naiskr"/>
              <w:keepNext/>
              <w:keepLines/>
              <w:spacing w:before="0" w:after="0"/>
              <w:ind w:left="145" w:right="148" w:firstLine="284"/>
              <w:jc w:val="both"/>
              <w:rPr>
                <w:b/>
                <w:iCs/>
              </w:rPr>
            </w:pPr>
            <w:r w:rsidRPr="00F13C47">
              <w:rPr>
                <w:iCs/>
              </w:rPr>
              <w:t xml:space="preserve">Likumprojekts paredz Kompetentās iestādes tiesības (pēc OLAF pieprasījuma) pieprasīt informāciju Kontu reģistrā kā arī no kredītiestādēm, </w:t>
            </w:r>
            <w:r w:rsidR="007A2EF5" w:rsidRPr="00F13C47">
              <w:rPr>
                <w:iCs/>
              </w:rPr>
              <w:t>tādējādi</w:t>
            </w:r>
            <w:r w:rsidRPr="00F13C47">
              <w:rPr>
                <w:iCs/>
              </w:rPr>
              <w:t xml:space="preserve"> </w:t>
            </w:r>
            <w:r w:rsidRPr="00F13C47">
              <w:rPr>
                <w:b/>
                <w:iCs/>
              </w:rPr>
              <w:t>k</w:t>
            </w:r>
            <w:r w:rsidR="00536D51" w:rsidRPr="00F13C47">
              <w:rPr>
                <w:b/>
                <w:iCs/>
              </w:rPr>
              <w:t xml:space="preserve">redītiestādēm radīsies papildus pienākums </w:t>
            </w:r>
            <w:r w:rsidRPr="00F13C47">
              <w:rPr>
                <w:b/>
                <w:iCs/>
              </w:rPr>
              <w:t xml:space="preserve">sniegt minēto informāciju. </w:t>
            </w:r>
          </w:p>
          <w:p w14:paraId="15256788" w14:textId="77777777" w:rsidR="00925FBC" w:rsidRPr="00F13C47" w:rsidRDefault="00925FBC" w:rsidP="00A96699">
            <w:pPr>
              <w:ind w:left="145" w:right="148" w:firstLine="284"/>
              <w:jc w:val="both"/>
            </w:pPr>
          </w:p>
        </w:tc>
      </w:tr>
      <w:tr w:rsidR="00E547C1" w:rsidRPr="00E547C1" w14:paraId="50C06A66" w14:textId="77777777" w:rsidTr="00FD084C">
        <w:trPr>
          <w:trHeight w:val="357"/>
        </w:trPr>
        <w:tc>
          <w:tcPr>
            <w:tcW w:w="421" w:type="dxa"/>
          </w:tcPr>
          <w:p w14:paraId="6EC4DC15" w14:textId="77777777" w:rsidR="0062298A" w:rsidRPr="00E547C1" w:rsidRDefault="00CE72B0" w:rsidP="0047074D">
            <w:pPr>
              <w:pStyle w:val="naiskr"/>
              <w:spacing w:before="0" w:after="0"/>
            </w:pPr>
            <w:r w:rsidRPr="00E547C1">
              <w:t>3</w:t>
            </w:r>
            <w:r w:rsidR="0062298A" w:rsidRPr="00E547C1">
              <w:t>.</w:t>
            </w:r>
          </w:p>
        </w:tc>
        <w:tc>
          <w:tcPr>
            <w:tcW w:w="1842" w:type="dxa"/>
          </w:tcPr>
          <w:p w14:paraId="113C0732" w14:textId="77777777" w:rsidR="00AE5066" w:rsidRPr="00E547C1" w:rsidRDefault="00C27A08" w:rsidP="0047074D">
            <w:pPr>
              <w:pStyle w:val="naiskr"/>
              <w:spacing w:before="0" w:after="0"/>
            </w:pPr>
            <w:r w:rsidRPr="00E547C1">
              <w:t xml:space="preserve">Administratīvo izmaksu </w:t>
            </w:r>
            <w:r w:rsidR="00502374" w:rsidRPr="00E547C1">
              <w:t xml:space="preserve">monetārs </w:t>
            </w:r>
            <w:r w:rsidRPr="00E547C1">
              <w:t>novērtējums</w:t>
            </w:r>
          </w:p>
        </w:tc>
        <w:tc>
          <w:tcPr>
            <w:tcW w:w="7655" w:type="dxa"/>
          </w:tcPr>
          <w:p w14:paraId="46ECBC7D" w14:textId="77777777" w:rsidR="00A96699" w:rsidRDefault="00A96699" w:rsidP="00A96699">
            <w:pPr>
              <w:pStyle w:val="naiskr"/>
              <w:keepNext/>
              <w:keepLines/>
              <w:spacing w:before="0" w:after="0"/>
              <w:ind w:left="145" w:right="148" w:firstLine="284"/>
              <w:jc w:val="both"/>
              <w:rPr>
                <w:iCs/>
              </w:rPr>
            </w:pPr>
          </w:p>
          <w:p w14:paraId="0307F183" w14:textId="77777777" w:rsidR="0062298A" w:rsidRDefault="00536D51" w:rsidP="00A96699">
            <w:pPr>
              <w:pStyle w:val="naiskr"/>
              <w:keepNext/>
              <w:keepLines/>
              <w:spacing w:before="0" w:after="0"/>
              <w:ind w:left="145" w:right="148" w:firstLine="284"/>
              <w:jc w:val="both"/>
              <w:rPr>
                <w:iCs/>
              </w:rPr>
            </w:pPr>
            <w:r>
              <w:rPr>
                <w:iCs/>
              </w:rPr>
              <w:t xml:space="preserve">Paredzams, ka </w:t>
            </w:r>
            <w:r w:rsidR="00554BA8">
              <w:rPr>
                <w:iCs/>
              </w:rPr>
              <w:t xml:space="preserve">informācijas </w:t>
            </w:r>
            <w:r w:rsidR="00B863C9">
              <w:rPr>
                <w:iCs/>
              </w:rPr>
              <w:t xml:space="preserve">pieprasījumu skaits </w:t>
            </w:r>
            <w:r w:rsidR="00554BA8">
              <w:rPr>
                <w:iCs/>
              </w:rPr>
              <w:t xml:space="preserve">kredītiestādēm </w:t>
            </w:r>
            <w:r w:rsidR="00B863C9">
              <w:rPr>
                <w:iCs/>
              </w:rPr>
              <w:t xml:space="preserve">gada ietvaros </w:t>
            </w:r>
            <w:r>
              <w:rPr>
                <w:iCs/>
              </w:rPr>
              <w:t xml:space="preserve">varētu būt no </w:t>
            </w:r>
            <w:r w:rsidR="00B863C9" w:rsidRPr="004C68CB">
              <w:rPr>
                <w:iCs/>
              </w:rPr>
              <w:t xml:space="preserve">1-5 </w:t>
            </w:r>
            <w:r w:rsidR="00B863C9">
              <w:rPr>
                <w:iCs/>
              </w:rPr>
              <w:t>gadījumiem, kas radītu nebūtiskas administratīvās izmaksas</w:t>
            </w:r>
            <w:r>
              <w:rPr>
                <w:iCs/>
              </w:rPr>
              <w:t>.</w:t>
            </w:r>
          </w:p>
          <w:p w14:paraId="62C8E9DB" w14:textId="77777777" w:rsidR="00A96699" w:rsidRPr="00E547C1" w:rsidRDefault="00A96699" w:rsidP="00A96699">
            <w:pPr>
              <w:pStyle w:val="naiskr"/>
              <w:keepNext/>
              <w:keepLines/>
              <w:spacing w:before="0" w:after="0"/>
              <w:ind w:left="145" w:right="148" w:firstLine="284"/>
              <w:jc w:val="both"/>
            </w:pPr>
          </w:p>
        </w:tc>
      </w:tr>
      <w:tr w:rsidR="00CB0699" w:rsidRPr="00E547C1" w14:paraId="23EB421B" w14:textId="77777777" w:rsidTr="00FD084C">
        <w:trPr>
          <w:trHeight w:val="357"/>
        </w:trPr>
        <w:tc>
          <w:tcPr>
            <w:tcW w:w="421" w:type="dxa"/>
          </w:tcPr>
          <w:p w14:paraId="00BEB4DC" w14:textId="77777777" w:rsidR="00CB0699" w:rsidRPr="00E547C1" w:rsidRDefault="00CB0699" w:rsidP="00CB0699">
            <w:pPr>
              <w:pStyle w:val="naiskr"/>
              <w:spacing w:before="0" w:after="0"/>
            </w:pPr>
            <w:r>
              <w:lastRenderedPageBreak/>
              <w:t>4.</w:t>
            </w:r>
          </w:p>
        </w:tc>
        <w:tc>
          <w:tcPr>
            <w:tcW w:w="1842" w:type="dxa"/>
          </w:tcPr>
          <w:p w14:paraId="2F2CFB51" w14:textId="77777777" w:rsidR="00CB0699" w:rsidRPr="00E547C1" w:rsidRDefault="00CB0699" w:rsidP="00CB0699">
            <w:pPr>
              <w:pStyle w:val="naiskr"/>
              <w:spacing w:before="0" w:after="0"/>
            </w:pPr>
            <w:r>
              <w:t>Atbilstības izmaksu monetārs novērtējums</w:t>
            </w:r>
          </w:p>
        </w:tc>
        <w:tc>
          <w:tcPr>
            <w:tcW w:w="7655" w:type="dxa"/>
          </w:tcPr>
          <w:p w14:paraId="6BB23062" w14:textId="77777777" w:rsidR="00A96699" w:rsidRDefault="00A96699" w:rsidP="00D75C94">
            <w:pPr>
              <w:pStyle w:val="naisnod"/>
              <w:spacing w:before="0" w:after="0"/>
              <w:jc w:val="left"/>
              <w:rPr>
                <w:b w:val="0"/>
                <w:i/>
              </w:rPr>
            </w:pPr>
          </w:p>
          <w:p w14:paraId="2DF722C4" w14:textId="77777777" w:rsidR="00D75C94" w:rsidRPr="00D75C94" w:rsidRDefault="00D75C94" w:rsidP="00D75C94">
            <w:pPr>
              <w:pStyle w:val="naisnod"/>
              <w:spacing w:before="0" w:after="0"/>
              <w:jc w:val="left"/>
              <w:rPr>
                <w:b w:val="0"/>
                <w:i/>
              </w:rPr>
            </w:pPr>
            <w:r w:rsidRPr="00D75C94">
              <w:rPr>
                <w:b w:val="0"/>
                <w:i/>
              </w:rPr>
              <w:t>Likumprojekts šo jomu neskar</w:t>
            </w:r>
          </w:p>
          <w:p w14:paraId="7CFD7E82" w14:textId="77777777" w:rsidR="00CB0699" w:rsidRDefault="00CB0699" w:rsidP="00CB0699">
            <w:pPr>
              <w:pStyle w:val="naiskr"/>
              <w:keepNext/>
              <w:keepLines/>
              <w:spacing w:before="0" w:after="0"/>
              <w:ind w:firstLine="284"/>
              <w:jc w:val="both"/>
              <w:rPr>
                <w:iCs/>
              </w:rPr>
            </w:pPr>
          </w:p>
        </w:tc>
      </w:tr>
      <w:tr w:rsidR="00CB0699" w:rsidRPr="00E547C1" w14:paraId="4CD68D61" w14:textId="77777777" w:rsidTr="00FD084C">
        <w:tc>
          <w:tcPr>
            <w:tcW w:w="421" w:type="dxa"/>
          </w:tcPr>
          <w:p w14:paraId="1353C979" w14:textId="77777777" w:rsidR="00CB0699" w:rsidRPr="00E547C1" w:rsidRDefault="00A368C8" w:rsidP="00CB0699">
            <w:pPr>
              <w:pStyle w:val="naiskr"/>
              <w:spacing w:before="0" w:after="0"/>
            </w:pPr>
            <w:r>
              <w:t>5</w:t>
            </w:r>
            <w:r w:rsidR="00CB0699" w:rsidRPr="00E547C1">
              <w:t>.</w:t>
            </w:r>
          </w:p>
        </w:tc>
        <w:tc>
          <w:tcPr>
            <w:tcW w:w="1842" w:type="dxa"/>
          </w:tcPr>
          <w:p w14:paraId="1064DB43" w14:textId="77777777" w:rsidR="00CB0699" w:rsidRPr="00E547C1" w:rsidRDefault="00CB0699" w:rsidP="00CB0699">
            <w:pPr>
              <w:pStyle w:val="naiskr"/>
              <w:spacing w:before="0" w:after="0"/>
            </w:pPr>
            <w:r w:rsidRPr="00E547C1">
              <w:t>Cita informācija</w:t>
            </w:r>
          </w:p>
        </w:tc>
        <w:tc>
          <w:tcPr>
            <w:tcW w:w="7655" w:type="dxa"/>
          </w:tcPr>
          <w:p w14:paraId="083C4494" w14:textId="77777777" w:rsidR="00A96699" w:rsidRDefault="00A96699" w:rsidP="00BD405F">
            <w:pPr>
              <w:pStyle w:val="naiskr"/>
              <w:spacing w:before="0" w:after="0"/>
              <w:jc w:val="both"/>
            </w:pPr>
          </w:p>
          <w:p w14:paraId="0B1F8DD4" w14:textId="77777777" w:rsidR="00CB0699" w:rsidRDefault="00CB0699" w:rsidP="00BD405F">
            <w:pPr>
              <w:pStyle w:val="naiskr"/>
              <w:spacing w:before="0" w:after="0"/>
              <w:jc w:val="both"/>
            </w:pPr>
            <w:r>
              <w:t xml:space="preserve">Nav </w:t>
            </w:r>
          </w:p>
          <w:p w14:paraId="5490A9FF" w14:textId="77777777" w:rsidR="00A96699" w:rsidRPr="00E547C1" w:rsidRDefault="00A96699" w:rsidP="00BD405F">
            <w:pPr>
              <w:pStyle w:val="naiskr"/>
              <w:spacing w:before="0" w:after="0"/>
              <w:jc w:val="both"/>
            </w:pPr>
          </w:p>
        </w:tc>
      </w:tr>
    </w:tbl>
    <w:p w14:paraId="5DFA91BC" w14:textId="77777777" w:rsidR="008C5649" w:rsidRDefault="008C5649" w:rsidP="0047074D">
      <w:pPr>
        <w:pStyle w:val="naisf"/>
        <w:spacing w:before="0" w:after="0"/>
        <w:rPr>
          <w:sz w:val="16"/>
          <w:szCs w:val="16"/>
        </w:rPr>
      </w:pPr>
    </w:p>
    <w:p w14:paraId="70B5CEC8" w14:textId="77777777" w:rsidR="00A96699" w:rsidRDefault="00A96699" w:rsidP="0047074D">
      <w:pPr>
        <w:pStyle w:val="naisf"/>
        <w:spacing w:before="0" w:after="0"/>
        <w:rPr>
          <w:sz w:val="16"/>
          <w:szCs w:val="16"/>
        </w:rPr>
      </w:pPr>
    </w:p>
    <w:tbl>
      <w:tblPr>
        <w:tblStyle w:val="TableGrid"/>
        <w:tblW w:w="6066" w:type="pct"/>
        <w:tblInd w:w="-856" w:type="dxa"/>
        <w:tblLayout w:type="fixed"/>
        <w:tblLook w:val="04A0" w:firstRow="1" w:lastRow="0" w:firstColumn="1" w:lastColumn="0" w:noHBand="0" w:noVBand="1"/>
      </w:tblPr>
      <w:tblGrid>
        <w:gridCol w:w="1587"/>
        <w:gridCol w:w="1138"/>
        <w:gridCol w:w="1230"/>
        <w:gridCol w:w="1137"/>
        <w:gridCol w:w="1278"/>
        <w:gridCol w:w="1137"/>
        <w:gridCol w:w="1278"/>
        <w:gridCol w:w="1280"/>
      </w:tblGrid>
      <w:tr w:rsidR="00FE7DB3" w14:paraId="45965960" w14:textId="77777777" w:rsidTr="00FE7DB3">
        <w:tc>
          <w:tcPr>
            <w:tcW w:w="5000" w:type="pct"/>
            <w:gridSpan w:val="8"/>
            <w:hideMark/>
          </w:tcPr>
          <w:p w14:paraId="62828E34" w14:textId="77777777" w:rsidR="00FE7DB3" w:rsidRPr="00FE7DB3" w:rsidRDefault="00FE7DB3">
            <w:pPr>
              <w:spacing w:before="100" w:beforeAutospacing="1" w:after="100" w:afterAutospacing="1" w:line="360" w:lineRule="auto"/>
              <w:ind w:firstLine="300"/>
              <w:jc w:val="center"/>
              <w:rPr>
                <w:b/>
                <w:bCs/>
              </w:rPr>
            </w:pPr>
            <w:r w:rsidRPr="00FE7DB3">
              <w:rPr>
                <w:b/>
                <w:bCs/>
              </w:rPr>
              <w:t>III. Tiesību akta projekta ietekme uz valsts budžetu un pašvaldību budžetiem</w:t>
            </w:r>
          </w:p>
        </w:tc>
      </w:tr>
      <w:tr w:rsidR="00FE7DB3" w14:paraId="35739449" w14:textId="77777777" w:rsidTr="00FE7DB3">
        <w:tc>
          <w:tcPr>
            <w:tcW w:w="788" w:type="pct"/>
            <w:vMerge w:val="restart"/>
            <w:hideMark/>
          </w:tcPr>
          <w:p w14:paraId="01D2CCB5" w14:textId="77777777" w:rsidR="00FE7DB3" w:rsidRDefault="00FE7DB3" w:rsidP="00FE7DB3">
            <w:pPr>
              <w:spacing w:before="100" w:beforeAutospacing="1" w:after="100" w:afterAutospacing="1"/>
              <w:ind w:firstLine="300"/>
              <w:contextualSpacing/>
              <w:jc w:val="center"/>
              <w:rPr>
                <w:sz w:val="20"/>
              </w:rPr>
            </w:pPr>
          </w:p>
          <w:p w14:paraId="14401E67" w14:textId="77777777" w:rsidR="00FE7DB3" w:rsidRDefault="00FE7DB3" w:rsidP="00FE7DB3">
            <w:pPr>
              <w:spacing w:before="100" w:beforeAutospacing="1" w:after="100" w:afterAutospacing="1"/>
              <w:ind w:firstLine="300"/>
              <w:contextualSpacing/>
              <w:jc w:val="center"/>
              <w:rPr>
                <w:sz w:val="20"/>
              </w:rPr>
            </w:pPr>
          </w:p>
          <w:p w14:paraId="33EF94B6" w14:textId="38C90E8E" w:rsidR="00FE7DB3" w:rsidRPr="00FE7DB3" w:rsidRDefault="00FE7DB3" w:rsidP="00FE7DB3">
            <w:pPr>
              <w:spacing w:before="100" w:beforeAutospacing="1" w:after="100" w:afterAutospacing="1"/>
              <w:ind w:firstLine="300"/>
              <w:contextualSpacing/>
              <w:jc w:val="center"/>
              <w:rPr>
                <w:sz w:val="20"/>
              </w:rPr>
            </w:pPr>
            <w:r w:rsidRPr="00FE7DB3">
              <w:rPr>
                <w:sz w:val="20"/>
              </w:rPr>
              <w:t>Rādītāji</w:t>
            </w:r>
          </w:p>
        </w:tc>
        <w:tc>
          <w:tcPr>
            <w:tcW w:w="1175" w:type="pct"/>
            <w:gridSpan w:val="2"/>
            <w:vMerge w:val="restart"/>
            <w:hideMark/>
          </w:tcPr>
          <w:p w14:paraId="0928E5FC" w14:textId="77777777" w:rsidR="00FE7DB3" w:rsidRPr="00FE7DB3" w:rsidRDefault="00FE7DB3" w:rsidP="00FE7DB3">
            <w:pPr>
              <w:spacing w:before="100" w:beforeAutospacing="1" w:after="100" w:afterAutospacing="1"/>
              <w:ind w:firstLine="300"/>
              <w:contextualSpacing/>
              <w:jc w:val="center"/>
              <w:rPr>
                <w:sz w:val="20"/>
              </w:rPr>
            </w:pPr>
            <w:r w:rsidRPr="00FE7DB3">
              <w:rPr>
                <w:sz w:val="20"/>
              </w:rPr>
              <w:t>n-gads</w:t>
            </w:r>
          </w:p>
        </w:tc>
        <w:tc>
          <w:tcPr>
            <w:tcW w:w="3036" w:type="pct"/>
            <w:gridSpan w:val="5"/>
            <w:hideMark/>
          </w:tcPr>
          <w:p w14:paraId="010B9C30" w14:textId="77777777" w:rsidR="00FE7DB3" w:rsidRPr="00FE7DB3" w:rsidRDefault="00FE7DB3" w:rsidP="00FE7DB3">
            <w:pPr>
              <w:spacing w:before="100" w:beforeAutospacing="1" w:after="100" w:afterAutospacing="1"/>
              <w:ind w:firstLine="300"/>
              <w:contextualSpacing/>
              <w:jc w:val="center"/>
              <w:rPr>
                <w:sz w:val="20"/>
              </w:rPr>
            </w:pPr>
            <w:r w:rsidRPr="00FE7DB3">
              <w:rPr>
                <w:sz w:val="20"/>
              </w:rPr>
              <w:t>Turpmākie trīs gadi (</w:t>
            </w:r>
            <w:proofErr w:type="spellStart"/>
            <w:r w:rsidRPr="00FE7DB3">
              <w:rPr>
                <w:i/>
                <w:iCs/>
                <w:sz w:val="20"/>
              </w:rPr>
              <w:t>euro</w:t>
            </w:r>
            <w:proofErr w:type="spellEnd"/>
            <w:r w:rsidRPr="00FE7DB3">
              <w:rPr>
                <w:sz w:val="20"/>
              </w:rPr>
              <w:t>)</w:t>
            </w:r>
          </w:p>
        </w:tc>
      </w:tr>
      <w:tr w:rsidR="00FE7DB3" w14:paraId="2432CD82" w14:textId="77777777" w:rsidTr="00FE7DB3">
        <w:tc>
          <w:tcPr>
            <w:tcW w:w="788" w:type="pct"/>
            <w:vMerge/>
            <w:hideMark/>
          </w:tcPr>
          <w:p w14:paraId="2E0C8CDD" w14:textId="77777777" w:rsidR="00FE7DB3" w:rsidRPr="00FE7DB3" w:rsidRDefault="00FE7DB3" w:rsidP="00FE7DB3">
            <w:pPr>
              <w:contextualSpacing/>
              <w:rPr>
                <w:sz w:val="20"/>
              </w:rPr>
            </w:pPr>
          </w:p>
        </w:tc>
        <w:tc>
          <w:tcPr>
            <w:tcW w:w="1175" w:type="pct"/>
            <w:gridSpan w:val="2"/>
            <w:vMerge/>
            <w:hideMark/>
          </w:tcPr>
          <w:p w14:paraId="3284BF25" w14:textId="77777777" w:rsidR="00FE7DB3" w:rsidRPr="00FE7DB3" w:rsidRDefault="00FE7DB3" w:rsidP="00FE7DB3">
            <w:pPr>
              <w:contextualSpacing/>
              <w:rPr>
                <w:sz w:val="20"/>
              </w:rPr>
            </w:pPr>
          </w:p>
        </w:tc>
        <w:tc>
          <w:tcPr>
            <w:tcW w:w="1200" w:type="pct"/>
            <w:gridSpan w:val="2"/>
            <w:hideMark/>
          </w:tcPr>
          <w:p w14:paraId="29A5C583" w14:textId="77777777" w:rsidR="00FE7DB3" w:rsidRPr="00FE7DB3" w:rsidRDefault="00FE7DB3" w:rsidP="00FE7DB3">
            <w:pPr>
              <w:spacing w:before="100" w:beforeAutospacing="1" w:after="100" w:afterAutospacing="1"/>
              <w:ind w:firstLine="300"/>
              <w:contextualSpacing/>
              <w:jc w:val="center"/>
              <w:rPr>
                <w:sz w:val="20"/>
              </w:rPr>
            </w:pPr>
            <w:r w:rsidRPr="00FE7DB3">
              <w:rPr>
                <w:sz w:val="20"/>
              </w:rPr>
              <w:t>n+1</w:t>
            </w:r>
          </w:p>
        </w:tc>
        <w:tc>
          <w:tcPr>
            <w:tcW w:w="1200" w:type="pct"/>
            <w:gridSpan w:val="2"/>
            <w:hideMark/>
          </w:tcPr>
          <w:p w14:paraId="5796E89D" w14:textId="77777777" w:rsidR="00FE7DB3" w:rsidRPr="00FE7DB3" w:rsidRDefault="00FE7DB3" w:rsidP="00FE7DB3">
            <w:pPr>
              <w:spacing w:before="100" w:beforeAutospacing="1" w:after="100" w:afterAutospacing="1"/>
              <w:ind w:firstLine="300"/>
              <w:contextualSpacing/>
              <w:jc w:val="center"/>
              <w:rPr>
                <w:sz w:val="20"/>
              </w:rPr>
            </w:pPr>
            <w:r w:rsidRPr="00FE7DB3">
              <w:rPr>
                <w:sz w:val="20"/>
              </w:rPr>
              <w:t>n+2</w:t>
            </w:r>
          </w:p>
        </w:tc>
        <w:tc>
          <w:tcPr>
            <w:tcW w:w="637" w:type="pct"/>
            <w:hideMark/>
          </w:tcPr>
          <w:p w14:paraId="5366A773" w14:textId="77777777" w:rsidR="00FE7DB3" w:rsidRPr="00FE7DB3" w:rsidRDefault="00FE7DB3" w:rsidP="00FE7DB3">
            <w:pPr>
              <w:spacing w:before="100" w:beforeAutospacing="1" w:after="100" w:afterAutospacing="1"/>
              <w:ind w:firstLine="300"/>
              <w:contextualSpacing/>
              <w:jc w:val="center"/>
              <w:rPr>
                <w:sz w:val="20"/>
              </w:rPr>
            </w:pPr>
            <w:r w:rsidRPr="00FE7DB3">
              <w:rPr>
                <w:sz w:val="20"/>
              </w:rPr>
              <w:t>n+3</w:t>
            </w:r>
          </w:p>
        </w:tc>
      </w:tr>
      <w:tr w:rsidR="00FE7DB3" w14:paraId="003B9399" w14:textId="77777777" w:rsidTr="00FE7DB3">
        <w:tc>
          <w:tcPr>
            <w:tcW w:w="788" w:type="pct"/>
            <w:vMerge/>
            <w:hideMark/>
          </w:tcPr>
          <w:p w14:paraId="4C02A8D3" w14:textId="77777777" w:rsidR="00FE7DB3" w:rsidRPr="00FE7DB3" w:rsidRDefault="00FE7DB3" w:rsidP="00FE7DB3">
            <w:pPr>
              <w:contextualSpacing/>
              <w:rPr>
                <w:sz w:val="20"/>
              </w:rPr>
            </w:pPr>
          </w:p>
        </w:tc>
        <w:tc>
          <w:tcPr>
            <w:tcW w:w="565" w:type="pct"/>
            <w:hideMark/>
          </w:tcPr>
          <w:p w14:paraId="1D139420" w14:textId="77777777" w:rsidR="00FE7DB3" w:rsidRPr="00FE7DB3" w:rsidRDefault="00FE7DB3" w:rsidP="00FE7DB3">
            <w:pPr>
              <w:spacing w:before="100" w:beforeAutospacing="1" w:after="100" w:afterAutospacing="1"/>
              <w:ind w:firstLine="300"/>
              <w:contextualSpacing/>
              <w:jc w:val="center"/>
              <w:rPr>
                <w:sz w:val="20"/>
              </w:rPr>
            </w:pPr>
            <w:r w:rsidRPr="00FE7DB3">
              <w:rPr>
                <w:sz w:val="20"/>
              </w:rPr>
              <w:t>saskaņā ar valsts budžetu kārtējam gadam</w:t>
            </w:r>
          </w:p>
        </w:tc>
        <w:tc>
          <w:tcPr>
            <w:tcW w:w="611" w:type="pct"/>
            <w:hideMark/>
          </w:tcPr>
          <w:p w14:paraId="13265191" w14:textId="77777777" w:rsidR="00FE7DB3" w:rsidRPr="00FE7DB3" w:rsidRDefault="00FE7DB3" w:rsidP="00FE7DB3">
            <w:pPr>
              <w:spacing w:before="100" w:beforeAutospacing="1" w:after="100" w:afterAutospacing="1"/>
              <w:ind w:firstLine="300"/>
              <w:contextualSpacing/>
              <w:jc w:val="center"/>
              <w:rPr>
                <w:sz w:val="20"/>
              </w:rPr>
            </w:pPr>
            <w:r w:rsidRPr="00FE7DB3">
              <w:rPr>
                <w:sz w:val="20"/>
              </w:rPr>
              <w:t>izmaiņas kārtējā gadā, salīdzinot ar valsts budžetu kārtējam gadam</w:t>
            </w:r>
          </w:p>
        </w:tc>
        <w:tc>
          <w:tcPr>
            <w:tcW w:w="565" w:type="pct"/>
            <w:hideMark/>
          </w:tcPr>
          <w:p w14:paraId="4013D528" w14:textId="77777777" w:rsidR="00FE7DB3" w:rsidRPr="00FE7DB3" w:rsidRDefault="00FE7DB3" w:rsidP="00FE7DB3">
            <w:pPr>
              <w:spacing w:before="100" w:beforeAutospacing="1" w:after="100" w:afterAutospacing="1"/>
              <w:ind w:firstLine="300"/>
              <w:contextualSpacing/>
              <w:jc w:val="center"/>
              <w:rPr>
                <w:sz w:val="20"/>
              </w:rPr>
            </w:pPr>
            <w:r w:rsidRPr="00FE7DB3">
              <w:rPr>
                <w:sz w:val="20"/>
              </w:rPr>
              <w:t>saskaņā ar vidēja termiņa budžeta ietvaru</w:t>
            </w:r>
          </w:p>
        </w:tc>
        <w:tc>
          <w:tcPr>
            <w:tcW w:w="635" w:type="pct"/>
            <w:hideMark/>
          </w:tcPr>
          <w:p w14:paraId="53E5432F" w14:textId="77777777" w:rsidR="00FE7DB3" w:rsidRPr="00FE7DB3" w:rsidRDefault="00FE7DB3" w:rsidP="00FE7DB3">
            <w:pPr>
              <w:spacing w:before="100" w:beforeAutospacing="1" w:after="100" w:afterAutospacing="1"/>
              <w:ind w:firstLine="300"/>
              <w:contextualSpacing/>
              <w:jc w:val="center"/>
              <w:rPr>
                <w:sz w:val="20"/>
              </w:rPr>
            </w:pPr>
            <w:r w:rsidRPr="00FE7DB3">
              <w:rPr>
                <w:sz w:val="20"/>
              </w:rPr>
              <w:t>izmaiņas, salīdzinot ar vidēja termiņa budžeta ietvaru n+1 gadam</w:t>
            </w:r>
          </w:p>
        </w:tc>
        <w:tc>
          <w:tcPr>
            <w:tcW w:w="565" w:type="pct"/>
            <w:hideMark/>
          </w:tcPr>
          <w:p w14:paraId="1D4F523F" w14:textId="77777777" w:rsidR="00FE7DB3" w:rsidRPr="00FE7DB3" w:rsidRDefault="00FE7DB3" w:rsidP="00FE7DB3">
            <w:pPr>
              <w:spacing w:before="100" w:beforeAutospacing="1" w:after="100" w:afterAutospacing="1"/>
              <w:ind w:firstLine="300"/>
              <w:contextualSpacing/>
              <w:jc w:val="center"/>
              <w:rPr>
                <w:sz w:val="20"/>
              </w:rPr>
            </w:pPr>
            <w:r w:rsidRPr="00FE7DB3">
              <w:rPr>
                <w:sz w:val="20"/>
              </w:rPr>
              <w:t>saskaņā ar vidēja termiņa budžeta ietvaru</w:t>
            </w:r>
          </w:p>
        </w:tc>
        <w:tc>
          <w:tcPr>
            <w:tcW w:w="635" w:type="pct"/>
            <w:hideMark/>
          </w:tcPr>
          <w:p w14:paraId="0712EB25" w14:textId="77777777" w:rsidR="00FE7DB3" w:rsidRPr="00FE7DB3" w:rsidRDefault="00FE7DB3" w:rsidP="00FE7DB3">
            <w:pPr>
              <w:spacing w:before="100" w:beforeAutospacing="1" w:after="100" w:afterAutospacing="1"/>
              <w:ind w:firstLine="300"/>
              <w:contextualSpacing/>
              <w:jc w:val="center"/>
              <w:rPr>
                <w:sz w:val="20"/>
              </w:rPr>
            </w:pPr>
            <w:r w:rsidRPr="00FE7DB3">
              <w:rPr>
                <w:sz w:val="20"/>
              </w:rPr>
              <w:t>izmaiņas, salīdzinot ar vidēja termiņa budžeta ietvaru n+2 gadam</w:t>
            </w:r>
          </w:p>
        </w:tc>
        <w:tc>
          <w:tcPr>
            <w:tcW w:w="637" w:type="pct"/>
            <w:hideMark/>
          </w:tcPr>
          <w:p w14:paraId="7BD39D04" w14:textId="77777777" w:rsidR="00FE7DB3" w:rsidRPr="00FE7DB3" w:rsidRDefault="00FE7DB3" w:rsidP="00FE7DB3">
            <w:pPr>
              <w:spacing w:before="100" w:beforeAutospacing="1" w:after="100" w:afterAutospacing="1"/>
              <w:ind w:firstLine="300"/>
              <w:contextualSpacing/>
              <w:jc w:val="center"/>
              <w:rPr>
                <w:sz w:val="20"/>
              </w:rPr>
            </w:pPr>
            <w:r w:rsidRPr="00FE7DB3">
              <w:rPr>
                <w:sz w:val="20"/>
              </w:rPr>
              <w:t>izmaiņas, salīdzinot ar vidēja termiņa budžeta ietvaru n+2 gadam</w:t>
            </w:r>
          </w:p>
        </w:tc>
      </w:tr>
      <w:tr w:rsidR="00FE7DB3" w:rsidRPr="00D677B0" w14:paraId="6ED2AD94" w14:textId="77777777" w:rsidTr="00FE7DB3">
        <w:tc>
          <w:tcPr>
            <w:tcW w:w="788" w:type="pct"/>
            <w:hideMark/>
          </w:tcPr>
          <w:p w14:paraId="089A12DA" w14:textId="77777777" w:rsidR="00FE7DB3" w:rsidRPr="00D677B0" w:rsidRDefault="00FE7DB3">
            <w:pPr>
              <w:spacing w:before="100" w:beforeAutospacing="1" w:after="100" w:afterAutospacing="1" w:line="360" w:lineRule="auto"/>
              <w:ind w:firstLine="300"/>
              <w:jc w:val="center"/>
              <w:rPr>
                <w:sz w:val="20"/>
              </w:rPr>
            </w:pPr>
            <w:r w:rsidRPr="00D677B0">
              <w:rPr>
                <w:sz w:val="20"/>
              </w:rPr>
              <w:t>1</w:t>
            </w:r>
          </w:p>
        </w:tc>
        <w:tc>
          <w:tcPr>
            <w:tcW w:w="565" w:type="pct"/>
            <w:hideMark/>
          </w:tcPr>
          <w:p w14:paraId="19D1E681" w14:textId="77777777" w:rsidR="00FE7DB3" w:rsidRPr="00D677B0" w:rsidRDefault="00FE7DB3">
            <w:pPr>
              <w:spacing w:before="100" w:beforeAutospacing="1" w:after="100" w:afterAutospacing="1" w:line="360" w:lineRule="auto"/>
              <w:ind w:firstLine="300"/>
              <w:jc w:val="center"/>
              <w:rPr>
                <w:sz w:val="20"/>
              </w:rPr>
            </w:pPr>
            <w:r w:rsidRPr="00D677B0">
              <w:rPr>
                <w:sz w:val="20"/>
              </w:rPr>
              <w:t>2</w:t>
            </w:r>
          </w:p>
        </w:tc>
        <w:tc>
          <w:tcPr>
            <w:tcW w:w="611" w:type="pct"/>
            <w:hideMark/>
          </w:tcPr>
          <w:p w14:paraId="24849249" w14:textId="77777777" w:rsidR="00FE7DB3" w:rsidRPr="00D677B0" w:rsidRDefault="00FE7DB3">
            <w:pPr>
              <w:spacing w:before="100" w:beforeAutospacing="1" w:after="100" w:afterAutospacing="1" w:line="360" w:lineRule="auto"/>
              <w:ind w:firstLine="300"/>
              <w:jc w:val="center"/>
              <w:rPr>
                <w:sz w:val="20"/>
              </w:rPr>
            </w:pPr>
            <w:r w:rsidRPr="00D677B0">
              <w:rPr>
                <w:sz w:val="20"/>
              </w:rPr>
              <w:t>3</w:t>
            </w:r>
          </w:p>
        </w:tc>
        <w:tc>
          <w:tcPr>
            <w:tcW w:w="565" w:type="pct"/>
            <w:hideMark/>
          </w:tcPr>
          <w:p w14:paraId="0CECC44A" w14:textId="77777777" w:rsidR="00FE7DB3" w:rsidRPr="00D677B0" w:rsidRDefault="00FE7DB3">
            <w:pPr>
              <w:spacing w:before="100" w:beforeAutospacing="1" w:after="100" w:afterAutospacing="1" w:line="360" w:lineRule="auto"/>
              <w:ind w:firstLine="300"/>
              <w:jc w:val="center"/>
              <w:rPr>
                <w:sz w:val="20"/>
              </w:rPr>
            </w:pPr>
            <w:r w:rsidRPr="00D677B0">
              <w:rPr>
                <w:sz w:val="20"/>
              </w:rPr>
              <w:t>4</w:t>
            </w:r>
          </w:p>
        </w:tc>
        <w:tc>
          <w:tcPr>
            <w:tcW w:w="635" w:type="pct"/>
            <w:hideMark/>
          </w:tcPr>
          <w:p w14:paraId="72330AD5" w14:textId="77777777" w:rsidR="00FE7DB3" w:rsidRPr="00D677B0" w:rsidRDefault="00FE7DB3">
            <w:pPr>
              <w:spacing w:before="100" w:beforeAutospacing="1" w:after="100" w:afterAutospacing="1" w:line="360" w:lineRule="auto"/>
              <w:ind w:firstLine="300"/>
              <w:jc w:val="center"/>
              <w:rPr>
                <w:sz w:val="20"/>
              </w:rPr>
            </w:pPr>
            <w:r w:rsidRPr="00D677B0">
              <w:rPr>
                <w:sz w:val="20"/>
              </w:rPr>
              <w:t>5</w:t>
            </w:r>
          </w:p>
        </w:tc>
        <w:tc>
          <w:tcPr>
            <w:tcW w:w="565" w:type="pct"/>
            <w:hideMark/>
          </w:tcPr>
          <w:p w14:paraId="2B337B90" w14:textId="77777777" w:rsidR="00FE7DB3" w:rsidRPr="00D677B0" w:rsidRDefault="00FE7DB3">
            <w:pPr>
              <w:spacing w:before="100" w:beforeAutospacing="1" w:after="100" w:afterAutospacing="1" w:line="360" w:lineRule="auto"/>
              <w:ind w:firstLine="300"/>
              <w:jc w:val="center"/>
              <w:rPr>
                <w:sz w:val="20"/>
              </w:rPr>
            </w:pPr>
            <w:r w:rsidRPr="00D677B0">
              <w:rPr>
                <w:sz w:val="20"/>
              </w:rPr>
              <w:t>6</w:t>
            </w:r>
          </w:p>
        </w:tc>
        <w:tc>
          <w:tcPr>
            <w:tcW w:w="635" w:type="pct"/>
            <w:hideMark/>
          </w:tcPr>
          <w:p w14:paraId="71180E03" w14:textId="77777777" w:rsidR="00FE7DB3" w:rsidRPr="00D677B0" w:rsidRDefault="00FE7DB3">
            <w:pPr>
              <w:spacing w:before="100" w:beforeAutospacing="1" w:after="100" w:afterAutospacing="1" w:line="360" w:lineRule="auto"/>
              <w:ind w:firstLine="300"/>
              <w:jc w:val="center"/>
              <w:rPr>
                <w:sz w:val="20"/>
              </w:rPr>
            </w:pPr>
            <w:r w:rsidRPr="00D677B0">
              <w:rPr>
                <w:sz w:val="20"/>
              </w:rPr>
              <w:t>7</w:t>
            </w:r>
          </w:p>
        </w:tc>
        <w:tc>
          <w:tcPr>
            <w:tcW w:w="637" w:type="pct"/>
            <w:hideMark/>
          </w:tcPr>
          <w:p w14:paraId="42DE8CF7" w14:textId="77777777" w:rsidR="00FE7DB3" w:rsidRPr="00D677B0" w:rsidRDefault="00FE7DB3">
            <w:pPr>
              <w:spacing w:before="100" w:beforeAutospacing="1" w:after="100" w:afterAutospacing="1" w:line="360" w:lineRule="auto"/>
              <w:ind w:firstLine="300"/>
              <w:jc w:val="center"/>
              <w:rPr>
                <w:sz w:val="20"/>
              </w:rPr>
            </w:pPr>
            <w:r w:rsidRPr="00D677B0">
              <w:rPr>
                <w:sz w:val="20"/>
              </w:rPr>
              <w:t>8</w:t>
            </w:r>
          </w:p>
        </w:tc>
      </w:tr>
      <w:tr w:rsidR="00FE7DB3" w14:paraId="3EB72EBF" w14:textId="77777777" w:rsidTr="00FE7DB3">
        <w:tc>
          <w:tcPr>
            <w:tcW w:w="788" w:type="pct"/>
            <w:hideMark/>
          </w:tcPr>
          <w:p w14:paraId="2359FC68" w14:textId="77777777" w:rsidR="00FE7DB3" w:rsidRPr="00FE7DB3" w:rsidRDefault="00FE7DB3">
            <w:pPr>
              <w:rPr>
                <w:sz w:val="20"/>
                <w:szCs w:val="20"/>
              </w:rPr>
            </w:pPr>
            <w:r w:rsidRPr="00FE7DB3">
              <w:rPr>
                <w:sz w:val="20"/>
                <w:szCs w:val="20"/>
              </w:rPr>
              <w:t>1. Budžeta ieņēmumi</w:t>
            </w:r>
          </w:p>
        </w:tc>
        <w:tc>
          <w:tcPr>
            <w:tcW w:w="565" w:type="pct"/>
            <w:hideMark/>
          </w:tcPr>
          <w:p w14:paraId="4E34DC26" w14:textId="7BDE8F98" w:rsidR="00FE7DB3" w:rsidRPr="00FE7DB3" w:rsidRDefault="00C1037A" w:rsidP="00C1037A">
            <w:pPr>
              <w:jc w:val="center"/>
            </w:pPr>
            <w:r>
              <w:t>0</w:t>
            </w:r>
          </w:p>
        </w:tc>
        <w:tc>
          <w:tcPr>
            <w:tcW w:w="611" w:type="pct"/>
            <w:hideMark/>
          </w:tcPr>
          <w:p w14:paraId="5CEE8AC0" w14:textId="2437B2C8" w:rsidR="00FE7DB3" w:rsidRPr="00FE7DB3" w:rsidRDefault="00C1037A" w:rsidP="00C1037A">
            <w:pPr>
              <w:jc w:val="center"/>
            </w:pPr>
            <w:r>
              <w:t>0</w:t>
            </w:r>
          </w:p>
        </w:tc>
        <w:tc>
          <w:tcPr>
            <w:tcW w:w="565" w:type="pct"/>
            <w:hideMark/>
          </w:tcPr>
          <w:p w14:paraId="464DC5A3" w14:textId="07D2602D" w:rsidR="00FE7DB3" w:rsidRPr="00FE7DB3" w:rsidRDefault="00C1037A" w:rsidP="00C1037A">
            <w:pPr>
              <w:jc w:val="center"/>
            </w:pPr>
            <w:r>
              <w:t>0</w:t>
            </w:r>
          </w:p>
        </w:tc>
        <w:tc>
          <w:tcPr>
            <w:tcW w:w="635" w:type="pct"/>
            <w:hideMark/>
          </w:tcPr>
          <w:p w14:paraId="30A3C88C" w14:textId="2CC056B2" w:rsidR="00FE7DB3" w:rsidRPr="00FE7DB3" w:rsidRDefault="00C1037A" w:rsidP="00C1037A">
            <w:pPr>
              <w:jc w:val="center"/>
            </w:pPr>
            <w:r>
              <w:t>0</w:t>
            </w:r>
          </w:p>
        </w:tc>
        <w:tc>
          <w:tcPr>
            <w:tcW w:w="565" w:type="pct"/>
            <w:hideMark/>
          </w:tcPr>
          <w:p w14:paraId="16515D88" w14:textId="69CAB4EA" w:rsidR="00FE7DB3" w:rsidRPr="00FE7DB3" w:rsidRDefault="00C1037A" w:rsidP="00C1037A">
            <w:pPr>
              <w:jc w:val="center"/>
            </w:pPr>
            <w:r>
              <w:t>0</w:t>
            </w:r>
          </w:p>
        </w:tc>
        <w:tc>
          <w:tcPr>
            <w:tcW w:w="635" w:type="pct"/>
            <w:hideMark/>
          </w:tcPr>
          <w:p w14:paraId="4A7DE680" w14:textId="208B7570" w:rsidR="00FE7DB3" w:rsidRPr="00FE7DB3" w:rsidRDefault="00C1037A" w:rsidP="00C1037A">
            <w:pPr>
              <w:jc w:val="center"/>
            </w:pPr>
            <w:r>
              <w:t>0</w:t>
            </w:r>
          </w:p>
        </w:tc>
        <w:tc>
          <w:tcPr>
            <w:tcW w:w="637" w:type="pct"/>
            <w:hideMark/>
          </w:tcPr>
          <w:p w14:paraId="5B0089E6" w14:textId="212509E7" w:rsidR="00FE7DB3" w:rsidRPr="00FE7DB3" w:rsidRDefault="00C1037A" w:rsidP="00C1037A">
            <w:pPr>
              <w:jc w:val="center"/>
            </w:pPr>
            <w:r>
              <w:t>0</w:t>
            </w:r>
          </w:p>
        </w:tc>
      </w:tr>
      <w:tr w:rsidR="00FE7DB3" w14:paraId="16F8ECC7" w14:textId="77777777" w:rsidTr="00FE7DB3">
        <w:tc>
          <w:tcPr>
            <w:tcW w:w="788" w:type="pct"/>
            <w:hideMark/>
          </w:tcPr>
          <w:p w14:paraId="14892856" w14:textId="77777777" w:rsidR="00FE7DB3" w:rsidRPr="00FE7DB3" w:rsidRDefault="00FE7DB3">
            <w:pPr>
              <w:rPr>
                <w:sz w:val="20"/>
                <w:szCs w:val="20"/>
              </w:rPr>
            </w:pPr>
            <w:r w:rsidRPr="00FE7DB3">
              <w:rPr>
                <w:sz w:val="20"/>
                <w:szCs w:val="20"/>
              </w:rPr>
              <w:t>1.1. valsts pamatbudžets, tai skaitā ieņēmumi no maksas pakalpojumiem un citi pašu ieņēmumi</w:t>
            </w:r>
          </w:p>
        </w:tc>
        <w:tc>
          <w:tcPr>
            <w:tcW w:w="565" w:type="pct"/>
            <w:hideMark/>
          </w:tcPr>
          <w:p w14:paraId="6CDD21A3" w14:textId="24F9AFF2" w:rsidR="00FE7DB3" w:rsidRPr="00FE7DB3" w:rsidRDefault="00C1037A" w:rsidP="00C1037A">
            <w:pPr>
              <w:jc w:val="center"/>
            </w:pPr>
            <w:r>
              <w:t>0</w:t>
            </w:r>
          </w:p>
        </w:tc>
        <w:tc>
          <w:tcPr>
            <w:tcW w:w="611" w:type="pct"/>
            <w:hideMark/>
          </w:tcPr>
          <w:p w14:paraId="7A606578" w14:textId="19DFA644" w:rsidR="00FE7DB3" w:rsidRPr="00FE7DB3" w:rsidRDefault="00C1037A" w:rsidP="00C1037A">
            <w:pPr>
              <w:jc w:val="center"/>
            </w:pPr>
            <w:r>
              <w:t>0</w:t>
            </w:r>
          </w:p>
        </w:tc>
        <w:tc>
          <w:tcPr>
            <w:tcW w:w="565" w:type="pct"/>
            <w:hideMark/>
          </w:tcPr>
          <w:p w14:paraId="5F21A527" w14:textId="33FA3FE4" w:rsidR="00FE7DB3" w:rsidRPr="00FE7DB3" w:rsidRDefault="00C1037A" w:rsidP="00C1037A">
            <w:pPr>
              <w:jc w:val="center"/>
            </w:pPr>
            <w:r>
              <w:t>0</w:t>
            </w:r>
          </w:p>
        </w:tc>
        <w:tc>
          <w:tcPr>
            <w:tcW w:w="635" w:type="pct"/>
            <w:hideMark/>
          </w:tcPr>
          <w:p w14:paraId="28C9AD0D" w14:textId="2271E8B8" w:rsidR="00FE7DB3" w:rsidRPr="00FE7DB3" w:rsidRDefault="00C1037A" w:rsidP="00C1037A">
            <w:pPr>
              <w:jc w:val="center"/>
            </w:pPr>
            <w:r>
              <w:t>0</w:t>
            </w:r>
          </w:p>
        </w:tc>
        <w:tc>
          <w:tcPr>
            <w:tcW w:w="565" w:type="pct"/>
            <w:hideMark/>
          </w:tcPr>
          <w:p w14:paraId="5C008411" w14:textId="06F99AFC" w:rsidR="00FE7DB3" w:rsidRPr="00FE7DB3" w:rsidRDefault="00C1037A" w:rsidP="00C1037A">
            <w:pPr>
              <w:jc w:val="center"/>
            </w:pPr>
            <w:r>
              <w:t>0</w:t>
            </w:r>
          </w:p>
        </w:tc>
        <w:tc>
          <w:tcPr>
            <w:tcW w:w="635" w:type="pct"/>
            <w:hideMark/>
          </w:tcPr>
          <w:p w14:paraId="1AD770CC" w14:textId="30BB7B9B" w:rsidR="00FE7DB3" w:rsidRPr="00FE7DB3" w:rsidRDefault="00C1037A" w:rsidP="00C1037A">
            <w:pPr>
              <w:jc w:val="center"/>
            </w:pPr>
            <w:r>
              <w:t>0</w:t>
            </w:r>
          </w:p>
        </w:tc>
        <w:tc>
          <w:tcPr>
            <w:tcW w:w="637" w:type="pct"/>
            <w:hideMark/>
          </w:tcPr>
          <w:p w14:paraId="560EF5CF" w14:textId="2381BCC8" w:rsidR="00FE7DB3" w:rsidRPr="00FE7DB3" w:rsidRDefault="00C1037A" w:rsidP="00C1037A">
            <w:pPr>
              <w:ind w:right="397"/>
              <w:jc w:val="center"/>
            </w:pPr>
            <w:r>
              <w:t>0</w:t>
            </w:r>
          </w:p>
        </w:tc>
      </w:tr>
      <w:tr w:rsidR="00FE7DB3" w14:paraId="5C8D7261" w14:textId="77777777" w:rsidTr="00FE7DB3">
        <w:tc>
          <w:tcPr>
            <w:tcW w:w="788" w:type="pct"/>
            <w:hideMark/>
          </w:tcPr>
          <w:p w14:paraId="66A05B51" w14:textId="77777777" w:rsidR="00FE7DB3" w:rsidRPr="00FE7DB3" w:rsidRDefault="00FE7DB3">
            <w:pPr>
              <w:rPr>
                <w:sz w:val="20"/>
                <w:szCs w:val="20"/>
              </w:rPr>
            </w:pPr>
            <w:r w:rsidRPr="00FE7DB3">
              <w:rPr>
                <w:sz w:val="20"/>
                <w:szCs w:val="20"/>
              </w:rPr>
              <w:t>1.2. valsts speciālais budžets</w:t>
            </w:r>
          </w:p>
        </w:tc>
        <w:tc>
          <w:tcPr>
            <w:tcW w:w="565" w:type="pct"/>
            <w:hideMark/>
          </w:tcPr>
          <w:p w14:paraId="30DC2824" w14:textId="43340578" w:rsidR="00FE7DB3" w:rsidRPr="00FE7DB3" w:rsidRDefault="00C1037A" w:rsidP="00C1037A">
            <w:pPr>
              <w:jc w:val="center"/>
            </w:pPr>
            <w:r>
              <w:t>0</w:t>
            </w:r>
          </w:p>
        </w:tc>
        <w:tc>
          <w:tcPr>
            <w:tcW w:w="611" w:type="pct"/>
            <w:hideMark/>
          </w:tcPr>
          <w:p w14:paraId="08FCAE45" w14:textId="3DC2AB01" w:rsidR="00FE7DB3" w:rsidRPr="00FE7DB3" w:rsidRDefault="00C1037A" w:rsidP="00C1037A">
            <w:pPr>
              <w:jc w:val="center"/>
            </w:pPr>
            <w:r>
              <w:t>0</w:t>
            </w:r>
          </w:p>
        </w:tc>
        <w:tc>
          <w:tcPr>
            <w:tcW w:w="565" w:type="pct"/>
            <w:hideMark/>
          </w:tcPr>
          <w:p w14:paraId="60B64197" w14:textId="70271A1B" w:rsidR="00FE7DB3" w:rsidRPr="00FE7DB3" w:rsidRDefault="00C1037A" w:rsidP="00C1037A">
            <w:pPr>
              <w:jc w:val="center"/>
            </w:pPr>
            <w:r>
              <w:t>0</w:t>
            </w:r>
          </w:p>
        </w:tc>
        <w:tc>
          <w:tcPr>
            <w:tcW w:w="635" w:type="pct"/>
            <w:hideMark/>
          </w:tcPr>
          <w:p w14:paraId="4AFF245B" w14:textId="2721685C" w:rsidR="00FE7DB3" w:rsidRPr="00FE7DB3" w:rsidRDefault="00C1037A" w:rsidP="00C1037A">
            <w:pPr>
              <w:jc w:val="center"/>
            </w:pPr>
            <w:r>
              <w:t>0</w:t>
            </w:r>
          </w:p>
        </w:tc>
        <w:tc>
          <w:tcPr>
            <w:tcW w:w="565" w:type="pct"/>
            <w:hideMark/>
          </w:tcPr>
          <w:p w14:paraId="3922A37B" w14:textId="47AD5049" w:rsidR="00FE7DB3" w:rsidRPr="00FE7DB3" w:rsidRDefault="00C1037A" w:rsidP="00C1037A">
            <w:pPr>
              <w:jc w:val="center"/>
            </w:pPr>
            <w:r>
              <w:t>0</w:t>
            </w:r>
          </w:p>
        </w:tc>
        <w:tc>
          <w:tcPr>
            <w:tcW w:w="635" w:type="pct"/>
            <w:hideMark/>
          </w:tcPr>
          <w:p w14:paraId="00E67928" w14:textId="5EEDE991" w:rsidR="00FE7DB3" w:rsidRPr="00FE7DB3" w:rsidRDefault="00C1037A" w:rsidP="00C1037A">
            <w:pPr>
              <w:jc w:val="center"/>
            </w:pPr>
            <w:r>
              <w:t>0</w:t>
            </w:r>
          </w:p>
        </w:tc>
        <w:tc>
          <w:tcPr>
            <w:tcW w:w="637" w:type="pct"/>
            <w:hideMark/>
          </w:tcPr>
          <w:p w14:paraId="24C2B459" w14:textId="682652D7" w:rsidR="00FE7DB3" w:rsidRPr="00FE7DB3" w:rsidRDefault="00C1037A" w:rsidP="00C1037A">
            <w:pPr>
              <w:jc w:val="center"/>
            </w:pPr>
            <w:r>
              <w:t>0</w:t>
            </w:r>
          </w:p>
        </w:tc>
      </w:tr>
      <w:tr w:rsidR="00FE7DB3" w14:paraId="0F20342E" w14:textId="77777777" w:rsidTr="00FE7DB3">
        <w:tc>
          <w:tcPr>
            <w:tcW w:w="788" w:type="pct"/>
            <w:hideMark/>
          </w:tcPr>
          <w:p w14:paraId="3969D37C" w14:textId="77777777" w:rsidR="00FE7DB3" w:rsidRPr="00FE7DB3" w:rsidRDefault="00FE7DB3">
            <w:pPr>
              <w:rPr>
                <w:sz w:val="20"/>
                <w:szCs w:val="20"/>
              </w:rPr>
            </w:pPr>
            <w:r w:rsidRPr="00FE7DB3">
              <w:rPr>
                <w:sz w:val="20"/>
                <w:szCs w:val="20"/>
              </w:rPr>
              <w:t>1.3. pašvaldību budžets</w:t>
            </w:r>
          </w:p>
        </w:tc>
        <w:tc>
          <w:tcPr>
            <w:tcW w:w="565" w:type="pct"/>
            <w:hideMark/>
          </w:tcPr>
          <w:p w14:paraId="2BE30EEB" w14:textId="2144E2EA" w:rsidR="00FE7DB3" w:rsidRPr="00FE7DB3" w:rsidRDefault="00C1037A" w:rsidP="00C1037A">
            <w:pPr>
              <w:jc w:val="center"/>
            </w:pPr>
            <w:r>
              <w:t>0</w:t>
            </w:r>
          </w:p>
        </w:tc>
        <w:tc>
          <w:tcPr>
            <w:tcW w:w="611" w:type="pct"/>
            <w:hideMark/>
          </w:tcPr>
          <w:p w14:paraId="40C0232A" w14:textId="6AC1F88E" w:rsidR="00FE7DB3" w:rsidRPr="00FE7DB3" w:rsidRDefault="00C1037A" w:rsidP="00C1037A">
            <w:pPr>
              <w:jc w:val="center"/>
            </w:pPr>
            <w:r>
              <w:t>0</w:t>
            </w:r>
          </w:p>
        </w:tc>
        <w:tc>
          <w:tcPr>
            <w:tcW w:w="565" w:type="pct"/>
            <w:hideMark/>
          </w:tcPr>
          <w:p w14:paraId="2611DB46" w14:textId="2E695FB7" w:rsidR="00FE7DB3" w:rsidRPr="00FE7DB3" w:rsidRDefault="00C1037A" w:rsidP="00C1037A">
            <w:pPr>
              <w:jc w:val="center"/>
            </w:pPr>
            <w:r>
              <w:t>0</w:t>
            </w:r>
          </w:p>
        </w:tc>
        <w:tc>
          <w:tcPr>
            <w:tcW w:w="635" w:type="pct"/>
            <w:hideMark/>
          </w:tcPr>
          <w:p w14:paraId="1615DE2E" w14:textId="1B89BA30" w:rsidR="00FE7DB3" w:rsidRPr="00FE7DB3" w:rsidRDefault="00C1037A" w:rsidP="00C1037A">
            <w:pPr>
              <w:jc w:val="center"/>
            </w:pPr>
            <w:r>
              <w:t>0</w:t>
            </w:r>
          </w:p>
        </w:tc>
        <w:tc>
          <w:tcPr>
            <w:tcW w:w="565" w:type="pct"/>
            <w:hideMark/>
          </w:tcPr>
          <w:p w14:paraId="5FF944B4" w14:textId="0DB87A97" w:rsidR="00FE7DB3" w:rsidRPr="00FE7DB3" w:rsidRDefault="00C1037A" w:rsidP="00C1037A">
            <w:pPr>
              <w:jc w:val="center"/>
            </w:pPr>
            <w:r>
              <w:t>0</w:t>
            </w:r>
          </w:p>
        </w:tc>
        <w:tc>
          <w:tcPr>
            <w:tcW w:w="635" w:type="pct"/>
            <w:hideMark/>
          </w:tcPr>
          <w:p w14:paraId="78CD9DDB" w14:textId="79439A57" w:rsidR="00FE7DB3" w:rsidRPr="00FE7DB3" w:rsidRDefault="00C1037A" w:rsidP="00C1037A">
            <w:pPr>
              <w:jc w:val="center"/>
            </w:pPr>
            <w:r>
              <w:t>0</w:t>
            </w:r>
          </w:p>
        </w:tc>
        <w:tc>
          <w:tcPr>
            <w:tcW w:w="637" w:type="pct"/>
            <w:hideMark/>
          </w:tcPr>
          <w:p w14:paraId="032DCD0E" w14:textId="3184F13E" w:rsidR="00FE7DB3" w:rsidRPr="00FE7DB3" w:rsidRDefault="00C1037A" w:rsidP="00C1037A">
            <w:pPr>
              <w:jc w:val="center"/>
            </w:pPr>
            <w:r>
              <w:t>0</w:t>
            </w:r>
          </w:p>
        </w:tc>
      </w:tr>
      <w:tr w:rsidR="00FE7DB3" w14:paraId="053A8BD4" w14:textId="77777777" w:rsidTr="00FE7DB3">
        <w:tc>
          <w:tcPr>
            <w:tcW w:w="788" w:type="pct"/>
            <w:hideMark/>
          </w:tcPr>
          <w:p w14:paraId="617E94FD" w14:textId="77777777" w:rsidR="00FE7DB3" w:rsidRPr="00FE7DB3" w:rsidRDefault="00FE7DB3">
            <w:pPr>
              <w:rPr>
                <w:sz w:val="20"/>
                <w:szCs w:val="20"/>
              </w:rPr>
            </w:pPr>
            <w:r w:rsidRPr="00FE7DB3">
              <w:rPr>
                <w:sz w:val="20"/>
                <w:szCs w:val="20"/>
              </w:rPr>
              <w:t>2. Budžeta izdevumi</w:t>
            </w:r>
          </w:p>
        </w:tc>
        <w:tc>
          <w:tcPr>
            <w:tcW w:w="565" w:type="pct"/>
            <w:hideMark/>
          </w:tcPr>
          <w:p w14:paraId="50269B4E" w14:textId="5427B841" w:rsidR="00FE7DB3" w:rsidRPr="00FE7DB3" w:rsidRDefault="00C1037A" w:rsidP="00C1037A">
            <w:pPr>
              <w:jc w:val="center"/>
            </w:pPr>
            <w:r>
              <w:t>0</w:t>
            </w:r>
          </w:p>
        </w:tc>
        <w:tc>
          <w:tcPr>
            <w:tcW w:w="611" w:type="pct"/>
            <w:hideMark/>
          </w:tcPr>
          <w:p w14:paraId="7420E0AA" w14:textId="12D48290" w:rsidR="00FE7DB3" w:rsidRPr="00FE7DB3" w:rsidRDefault="00C1037A" w:rsidP="00C1037A">
            <w:pPr>
              <w:jc w:val="center"/>
            </w:pPr>
            <w:r>
              <w:t>0</w:t>
            </w:r>
          </w:p>
        </w:tc>
        <w:tc>
          <w:tcPr>
            <w:tcW w:w="565" w:type="pct"/>
            <w:hideMark/>
          </w:tcPr>
          <w:p w14:paraId="2C57D817" w14:textId="7DA185D5" w:rsidR="00FE7DB3" w:rsidRPr="00FE7DB3" w:rsidRDefault="00C1037A" w:rsidP="00C1037A">
            <w:pPr>
              <w:jc w:val="center"/>
            </w:pPr>
            <w:r>
              <w:t>0</w:t>
            </w:r>
          </w:p>
        </w:tc>
        <w:tc>
          <w:tcPr>
            <w:tcW w:w="635" w:type="pct"/>
            <w:hideMark/>
          </w:tcPr>
          <w:p w14:paraId="4109A76C" w14:textId="38982D12" w:rsidR="00FE7DB3" w:rsidRPr="00FE7DB3" w:rsidRDefault="00C1037A" w:rsidP="00C1037A">
            <w:pPr>
              <w:jc w:val="center"/>
            </w:pPr>
            <w:r>
              <w:t>0</w:t>
            </w:r>
          </w:p>
        </w:tc>
        <w:tc>
          <w:tcPr>
            <w:tcW w:w="565" w:type="pct"/>
            <w:hideMark/>
          </w:tcPr>
          <w:p w14:paraId="2A68B580" w14:textId="4105EC92" w:rsidR="00FE7DB3" w:rsidRPr="00FE7DB3" w:rsidRDefault="00C1037A" w:rsidP="00C1037A">
            <w:pPr>
              <w:jc w:val="center"/>
            </w:pPr>
            <w:r>
              <w:t>0</w:t>
            </w:r>
          </w:p>
        </w:tc>
        <w:tc>
          <w:tcPr>
            <w:tcW w:w="635" w:type="pct"/>
            <w:hideMark/>
          </w:tcPr>
          <w:p w14:paraId="0E07AC1F" w14:textId="1B517F7F" w:rsidR="00FE7DB3" w:rsidRPr="00FE7DB3" w:rsidRDefault="00C1037A" w:rsidP="00C1037A">
            <w:pPr>
              <w:jc w:val="center"/>
            </w:pPr>
            <w:r>
              <w:t>0</w:t>
            </w:r>
          </w:p>
        </w:tc>
        <w:tc>
          <w:tcPr>
            <w:tcW w:w="637" w:type="pct"/>
            <w:hideMark/>
          </w:tcPr>
          <w:p w14:paraId="5762D2B7" w14:textId="128DE0BC" w:rsidR="00FE7DB3" w:rsidRPr="00FE7DB3" w:rsidRDefault="00C1037A" w:rsidP="00C1037A">
            <w:pPr>
              <w:jc w:val="center"/>
            </w:pPr>
            <w:r>
              <w:t>0</w:t>
            </w:r>
          </w:p>
        </w:tc>
      </w:tr>
      <w:tr w:rsidR="00FE7DB3" w14:paraId="4CE99031" w14:textId="77777777" w:rsidTr="00FE7DB3">
        <w:tc>
          <w:tcPr>
            <w:tcW w:w="788" w:type="pct"/>
            <w:hideMark/>
          </w:tcPr>
          <w:p w14:paraId="3212F339" w14:textId="77777777" w:rsidR="00FE7DB3" w:rsidRPr="00FE7DB3" w:rsidRDefault="00FE7DB3">
            <w:pPr>
              <w:rPr>
                <w:sz w:val="20"/>
                <w:szCs w:val="20"/>
              </w:rPr>
            </w:pPr>
            <w:r w:rsidRPr="00FE7DB3">
              <w:rPr>
                <w:sz w:val="20"/>
                <w:szCs w:val="20"/>
              </w:rPr>
              <w:t>2.1. valsts pamatbudžets</w:t>
            </w:r>
          </w:p>
        </w:tc>
        <w:tc>
          <w:tcPr>
            <w:tcW w:w="565" w:type="pct"/>
            <w:hideMark/>
          </w:tcPr>
          <w:p w14:paraId="1C0995D2" w14:textId="2094F88A" w:rsidR="00FE7DB3" w:rsidRPr="00FE7DB3" w:rsidRDefault="00C1037A" w:rsidP="00C1037A">
            <w:pPr>
              <w:jc w:val="center"/>
            </w:pPr>
            <w:r>
              <w:t>0</w:t>
            </w:r>
          </w:p>
        </w:tc>
        <w:tc>
          <w:tcPr>
            <w:tcW w:w="611" w:type="pct"/>
            <w:hideMark/>
          </w:tcPr>
          <w:p w14:paraId="36C55109" w14:textId="0E0F91F7" w:rsidR="00FE7DB3" w:rsidRPr="00FE7DB3" w:rsidRDefault="00C1037A" w:rsidP="00C1037A">
            <w:pPr>
              <w:jc w:val="center"/>
            </w:pPr>
            <w:r>
              <w:t>0</w:t>
            </w:r>
          </w:p>
        </w:tc>
        <w:tc>
          <w:tcPr>
            <w:tcW w:w="565" w:type="pct"/>
            <w:hideMark/>
          </w:tcPr>
          <w:p w14:paraId="4AC2A581" w14:textId="065F5D51" w:rsidR="00FE7DB3" w:rsidRPr="00FE7DB3" w:rsidRDefault="00C1037A" w:rsidP="00C1037A">
            <w:pPr>
              <w:jc w:val="center"/>
            </w:pPr>
            <w:r>
              <w:t>0</w:t>
            </w:r>
          </w:p>
        </w:tc>
        <w:tc>
          <w:tcPr>
            <w:tcW w:w="635" w:type="pct"/>
            <w:hideMark/>
          </w:tcPr>
          <w:p w14:paraId="28541A89" w14:textId="138BA2D4" w:rsidR="00FE7DB3" w:rsidRPr="00FE7DB3" w:rsidRDefault="00C1037A" w:rsidP="00C1037A">
            <w:pPr>
              <w:jc w:val="center"/>
            </w:pPr>
            <w:r>
              <w:t>0</w:t>
            </w:r>
          </w:p>
        </w:tc>
        <w:tc>
          <w:tcPr>
            <w:tcW w:w="565" w:type="pct"/>
            <w:hideMark/>
          </w:tcPr>
          <w:p w14:paraId="3D8AB6FD" w14:textId="6EF24D8B" w:rsidR="00FE7DB3" w:rsidRPr="00FE7DB3" w:rsidRDefault="00C1037A" w:rsidP="00C1037A">
            <w:pPr>
              <w:jc w:val="center"/>
            </w:pPr>
            <w:r>
              <w:t>0</w:t>
            </w:r>
          </w:p>
        </w:tc>
        <w:tc>
          <w:tcPr>
            <w:tcW w:w="635" w:type="pct"/>
            <w:hideMark/>
          </w:tcPr>
          <w:p w14:paraId="0D9ACAC0" w14:textId="6095C5FB" w:rsidR="00FE7DB3" w:rsidRPr="00FE7DB3" w:rsidRDefault="00C1037A" w:rsidP="00C1037A">
            <w:pPr>
              <w:jc w:val="center"/>
            </w:pPr>
            <w:r>
              <w:t>0</w:t>
            </w:r>
          </w:p>
        </w:tc>
        <w:tc>
          <w:tcPr>
            <w:tcW w:w="637" w:type="pct"/>
            <w:hideMark/>
          </w:tcPr>
          <w:p w14:paraId="0660DC21" w14:textId="6CD90B04" w:rsidR="00FE7DB3" w:rsidRPr="00FE7DB3" w:rsidRDefault="00C1037A" w:rsidP="00C1037A">
            <w:pPr>
              <w:jc w:val="center"/>
            </w:pPr>
            <w:r>
              <w:t>0</w:t>
            </w:r>
          </w:p>
        </w:tc>
      </w:tr>
      <w:tr w:rsidR="00FE7DB3" w14:paraId="614D6FB3" w14:textId="77777777" w:rsidTr="00FE7DB3">
        <w:tc>
          <w:tcPr>
            <w:tcW w:w="788" w:type="pct"/>
            <w:hideMark/>
          </w:tcPr>
          <w:p w14:paraId="374D761A" w14:textId="77777777" w:rsidR="00FE7DB3" w:rsidRPr="00FE7DB3" w:rsidRDefault="00FE7DB3">
            <w:pPr>
              <w:rPr>
                <w:sz w:val="20"/>
                <w:szCs w:val="20"/>
              </w:rPr>
            </w:pPr>
            <w:r w:rsidRPr="00FE7DB3">
              <w:rPr>
                <w:sz w:val="20"/>
                <w:szCs w:val="20"/>
              </w:rPr>
              <w:t>2.2. valsts speciālais budžets</w:t>
            </w:r>
          </w:p>
        </w:tc>
        <w:tc>
          <w:tcPr>
            <w:tcW w:w="565" w:type="pct"/>
            <w:hideMark/>
          </w:tcPr>
          <w:p w14:paraId="31B8962B" w14:textId="5D889AAD" w:rsidR="00FE7DB3" w:rsidRPr="00FE7DB3" w:rsidRDefault="00C1037A" w:rsidP="00C1037A">
            <w:pPr>
              <w:jc w:val="center"/>
            </w:pPr>
            <w:r>
              <w:t>0</w:t>
            </w:r>
          </w:p>
        </w:tc>
        <w:tc>
          <w:tcPr>
            <w:tcW w:w="611" w:type="pct"/>
            <w:hideMark/>
          </w:tcPr>
          <w:p w14:paraId="1165B77B" w14:textId="5CA2D35C" w:rsidR="00FE7DB3" w:rsidRPr="00FE7DB3" w:rsidRDefault="00C1037A" w:rsidP="00C1037A">
            <w:pPr>
              <w:jc w:val="center"/>
            </w:pPr>
            <w:r>
              <w:t>0</w:t>
            </w:r>
          </w:p>
        </w:tc>
        <w:tc>
          <w:tcPr>
            <w:tcW w:w="565" w:type="pct"/>
            <w:hideMark/>
          </w:tcPr>
          <w:p w14:paraId="063CA495" w14:textId="6D935B91" w:rsidR="00FE7DB3" w:rsidRPr="00FE7DB3" w:rsidRDefault="00C1037A" w:rsidP="00C1037A">
            <w:pPr>
              <w:jc w:val="center"/>
            </w:pPr>
            <w:r>
              <w:t>0</w:t>
            </w:r>
          </w:p>
        </w:tc>
        <w:tc>
          <w:tcPr>
            <w:tcW w:w="635" w:type="pct"/>
            <w:hideMark/>
          </w:tcPr>
          <w:p w14:paraId="5F8292C3" w14:textId="492CC023" w:rsidR="00FE7DB3" w:rsidRPr="00FE7DB3" w:rsidRDefault="00C1037A" w:rsidP="00C1037A">
            <w:pPr>
              <w:jc w:val="center"/>
            </w:pPr>
            <w:r>
              <w:t>0</w:t>
            </w:r>
          </w:p>
        </w:tc>
        <w:tc>
          <w:tcPr>
            <w:tcW w:w="565" w:type="pct"/>
            <w:hideMark/>
          </w:tcPr>
          <w:p w14:paraId="2F452A3E" w14:textId="54D3DF4C" w:rsidR="00FE7DB3" w:rsidRPr="00FE7DB3" w:rsidRDefault="00C1037A" w:rsidP="00C1037A">
            <w:pPr>
              <w:jc w:val="center"/>
            </w:pPr>
            <w:r>
              <w:t>0</w:t>
            </w:r>
          </w:p>
        </w:tc>
        <w:tc>
          <w:tcPr>
            <w:tcW w:w="635" w:type="pct"/>
            <w:hideMark/>
          </w:tcPr>
          <w:p w14:paraId="0B72597A" w14:textId="5F2A459E" w:rsidR="00FE7DB3" w:rsidRPr="00FE7DB3" w:rsidRDefault="00C1037A" w:rsidP="00C1037A">
            <w:pPr>
              <w:jc w:val="center"/>
            </w:pPr>
            <w:r>
              <w:t>0</w:t>
            </w:r>
          </w:p>
        </w:tc>
        <w:tc>
          <w:tcPr>
            <w:tcW w:w="637" w:type="pct"/>
            <w:hideMark/>
          </w:tcPr>
          <w:p w14:paraId="3CDF65B4" w14:textId="73BDA486" w:rsidR="00FE7DB3" w:rsidRPr="00FE7DB3" w:rsidRDefault="00C1037A" w:rsidP="00C1037A">
            <w:pPr>
              <w:jc w:val="center"/>
            </w:pPr>
            <w:r>
              <w:t>0</w:t>
            </w:r>
          </w:p>
        </w:tc>
      </w:tr>
      <w:tr w:rsidR="00FE7DB3" w14:paraId="4F17D361" w14:textId="77777777" w:rsidTr="00FE7DB3">
        <w:tc>
          <w:tcPr>
            <w:tcW w:w="788" w:type="pct"/>
            <w:hideMark/>
          </w:tcPr>
          <w:p w14:paraId="72C3008A" w14:textId="77777777" w:rsidR="00FE7DB3" w:rsidRPr="00FE7DB3" w:rsidRDefault="00FE7DB3">
            <w:pPr>
              <w:rPr>
                <w:sz w:val="20"/>
                <w:szCs w:val="20"/>
              </w:rPr>
            </w:pPr>
            <w:r w:rsidRPr="00FE7DB3">
              <w:rPr>
                <w:sz w:val="20"/>
                <w:szCs w:val="20"/>
              </w:rPr>
              <w:t>2.3. pašvaldību budžets</w:t>
            </w:r>
          </w:p>
        </w:tc>
        <w:tc>
          <w:tcPr>
            <w:tcW w:w="565" w:type="pct"/>
            <w:hideMark/>
          </w:tcPr>
          <w:p w14:paraId="3DF89828" w14:textId="4D5D989F" w:rsidR="00FE7DB3" w:rsidRPr="00FE7DB3" w:rsidRDefault="00C1037A" w:rsidP="00C1037A">
            <w:pPr>
              <w:jc w:val="center"/>
            </w:pPr>
            <w:r>
              <w:t>0</w:t>
            </w:r>
          </w:p>
        </w:tc>
        <w:tc>
          <w:tcPr>
            <w:tcW w:w="611" w:type="pct"/>
            <w:hideMark/>
          </w:tcPr>
          <w:p w14:paraId="04F21146" w14:textId="1AB4F3FD" w:rsidR="00FE7DB3" w:rsidRPr="00FE7DB3" w:rsidRDefault="00C1037A" w:rsidP="00C1037A">
            <w:pPr>
              <w:jc w:val="center"/>
            </w:pPr>
            <w:r>
              <w:t>0</w:t>
            </w:r>
          </w:p>
        </w:tc>
        <w:tc>
          <w:tcPr>
            <w:tcW w:w="565" w:type="pct"/>
            <w:hideMark/>
          </w:tcPr>
          <w:p w14:paraId="558D5CA1" w14:textId="2B00FDCA" w:rsidR="00FE7DB3" w:rsidRPr="00FE7DB3" w:rsidRDefault="00C1037A" w:rsidP="00C1037A">
            <w:pPr>
              <w:jc w:val="center"/>
            </w:pPr>
            <w:r>
              <w:t>0</w:t>
            </w:r>
          </w:p>
        </w:tc>
        <w:tc>
          <w:tcPr>
            <w:tcW w:w="635" w:type="pct"/>
            <w:hideMark/>
          </w:tcPr>
          <w:p w14:paraId="2B278127" w14:textId="6014EFCB" w:rsidR="00FE7DB3" w:rsidRPr="00FE7DB3" w:rsidRDefault="00C1037A" w:rsidP="00C1037A">
            <w:pPr>
              <w:jc w:val="center"/>
            </w:pPr>
            <w:r>
              <w:t>0</w:t>
            </w:r>
          </w:p>
        </w:tc>
        <w:tc>
          <w:tcPr>
            <w:tcW w:w="565" w:type="pct"/>
            <w:hideMark/>
          </w:tcPr>
          <w:p w14:paraId="259287E4" w14:textId="1E402E8B" w:rsidR="00FE7DB3" w:rsidRPr="00FE7DB3" w:rsidRDefault="00C1037A" w:rsidP="00C1037A">
            <w:pPr>
              <w:jc w:val="center"/>
            </w:pPr>
            <w:r>
              <w:t>0</w:t>
            </w:r>
          </w:p>
        </w:tc>
        <w:tc>
          <w:tcPr>
            <w:tcW w:w="635" w:type="pct"/>
            <w:hideMark/>
          </w:tcPr>
          <w:p w14:paraId="0173FDB0" w14:textId="1F463E46" w:rsidR="00FE7DB3" w:rsidRPr="00FE7DB3" w:rsidRDefault="00C1037A" w:rsidP="00C1037A">
            <w:pPr>
              <w:jc w:val="center"/>
            </w:pPr>
            <w:r>
              <w:t>0</w:t>
            </w:r>
          </w:p>
        </w:tc>
        <w:tc>
          <w:tcPr>
            <w:tcW w:w="637" w:type="pct"/>
            <w:hideMark/>
          </w:tcPr>
          <w:p w14:paraId="59D803D4" w14:textId="64CFCA9C" w:rsidR="00FE7DB3" w:rsidRPr="00FE7DB3" w:rsidRDefault="00C1037A" w:rsidP="00C1037A">
            <w:pPr>
              <w:jc w:val="center"/>
            </w:pPr>
            <w:r>
              <w:t>0</w:t>
            </w:r>
          </w:p>
        </w:tc>
      </w:tr>
      <w:tr w:rsidR="00FE7DB3" w14:paraId="182332FE" w14:textId="77777777" w:rsidTr="00FE7DB3">
        <w:tc>
          <w:tcPr>
            <w:tcW w:w="788" w:type="pct"/>
            <w:hideMark/>
          </w:tcPr>
          <w:p w14:paraId="6014FCBD" w14:textId="77777777" w:rsidR="00FE7DB3" w:rsidRPr="00FE7DB3" w:rsidRDefault="00FE7DB3">
            <w:pPr>
              <w:rPr>
                <w:sz w:val="20"/>
                <w:szCs w:val="20"/>
              </w:rPr>
            </w:pPr>
            <w:r w:rsidRPr="00FE7DB3">
              <w:rPr>
                <w:sz w:val="20"/>
                <w:szCs w:val="20"/>
              </w:rPr>
              <w:t>3. Finansiālā ietekme</w:t>
            </w:r>
          </w:p>
        </w:tc>
        <w:tc>
          <w:tcPr>
            <w:tcW w:w="565" w:type="pct"/>
            <w:hideMark/>
          </w:tcPr>
          <w:p w14:paraId="2030C9F6" w14:textId="129CB1F2" w:rsidR="00FE7DB3" w:rsidRPr="00FE7DB3" w:rsidRDefault="00C1037A" w:rsidP="00C1037A">
            <w:pPr>
              <w:jc w:val="center"/>
            </w:pPr>
            <w:r>
              <w:t>0</w:t>
            </w:r>
          </w:p>
        </w:tc>
        <w:tc>
          <w:tcPr>
            <w:tcW w:w="611" w:type="pct"/>
            <w:hideMark/>
          </w:tcPr>
          <w:p w14:paraId="0AC09A0B" w14:textId="20633A47" w:rsidR="00FE7DB3" w:rsidRPr="00FE7DB3" w:rsidRDefault="00C1037A" w:rsidP="00C1037A">
            <w:pPr>
              <w:jc w:val="center"/>
            </w:pPr>
            <w:r>
              <w:t>0</w:t>
            </w:r>
          </w:p>
        </w:tc>
        <w:tc>
          <w:tcPr>
            <w:tcW w:w="565" w:type="pct"/>
            <w:hideMark/>
          </w:tcPr>
          <w:p w14:paraId="19E249E7" w14:textId="19BF7376" w:rsidR="00FE7DB3" w:rsidRPr="00FE7DB3" w:rsidRDefault="00C1037A" w:rsidP="00C1037A">
            <w:pPr>
              <w:jc w:val="center"/>
            </w:pPr>
            <w:r>
              <w:t>0</w:t>
            </w:r>
          </w:p>
        </w:tc>
        <w:tc>
          <w:tcPr>
            <w:tcW w:w="635" w:type="pct"/>
            <w:hideMark/>
          </w:tcPr>
          <w:p w14:paraId="1939D559" w14:textId="60BD3C26" w:rsidR="00FE7DB3" w:rsidRPr="00C1037A" w:rsidRDefault="00C1037A" w:rsidP="00C1037A">
            <w:pPr>
              <w:jc w:val="center"/>
              <w:rPr>
                <w:b/>
              </w:rPr>
            </w:pPr>
            <w:r>
              <w:t>0</w:t>
            </w:r>
          </w:p>
        </w:tc>
        <w:tc>
          <w:tcPr>
            <w:tcW w:w="565" w:type="pct"/>
            <w:hideMark/>
          </w:tcPr>
          <w:p w14:paraId="5ABA742C" w14:textId="56B9662E" w:rsidR="00FE7DB3" w:rsidRPr="00FE7DB3" w:rsidRDefault="00C1037A" w:rsidP="00C1037A">
            <w:pPr>
              <w:jc w:val="center"/>
            </w:pPr>
            <w:r>
              <w:t>0</w:t>
            </w:r>
          </w:p>
        </w:tc>
        <w:tc>
          <w:tcPr>
            <w:tcW w:w="635" w:type="pct"/>
            <w:hideMark/>
          </w:tcPr>
          <w:p w14:paraId="3E07A8B5" w14:textId="2191CD87" w:rsidR="00FE7DB3" w:rsidRPr="00FE7DB3" w:rsidRDefault="00C1037A" w:rsidP="00C1037A">
            <w:pPr>
              <w:jc w:val="center"/>
            </w:pPr>
            <w:r>
              <w:t>0</w:t>
            </w:r>
          </w:p>
        </w:tc>
        <w:tc>
          <w:tcPr>
            <w:tcW w:w="637" w:type="pct"/>
            <w:hideMark/>
          </w:tcPr>
          <w:p w14:paraId="46DFF0BC" w14:textId="71866D36" w:rsidR="00FE7DB3" w:rsidRPr="00FE7DB3" w:rsidRDefault="00C1037A" w:rsidP="00C1037A">
            <w:pPr>
              <w:jc w:val="center"/>
            </w:pPr>
            <w:r>
              <w:t>0</w:t>
            </w:r>
          </w:p>
        </w:tc>
      </w:tr>
      <w:tr w:rsidR="00FE7DB3" w14:paraId="362BBF8A" w14:textId="77777777" w:rsidTr="00FE7DB3">
        <w:tc>
          <w:tcPr>
            <w:tcW w:w="788" w:type="pct"/>
            <w:hideMark/>
          </w:tcPr>
          <w:p w14:paraId="1967F3D2" w14:textId="77777777" w:rsidR="00FE7DB3" w:rsidRPr="00FE7DB3" w:rsidRDefault="00FE7DB3">
            <w:pPr>
              <w:rPr>
                <w:sz w:val="20"/>
                <w:szCs w:val="20"/>
              </w:rPr>
            </w:pPr>
            <w:r w:rsidRPr="00FE7DB3">
              <w:rPr>
                <w:sz w:val="20"/>
                <w:szCs w:val="20"/>
              </w:rPr>
              <w:t>3.1. valsts pamatbudžets</w:t>
            </w:r>
          </w:p>
        </w:tc>
        <w:tc>
          <w:tcPr>
            <w:tcW w:w="565" w:type="pct"/>
            <w:hideMark/>
          </w:tcPr>
          <w:p w14:paraId="440185F2" w14:textId="4D18A129" w:rsidR="00FE7DB3" w:rsidRPr="00FE7DB3" w:rsidRDefault="00C1037A" w:rsidP="00C1037A">
            <w:pPr>
              <w:jc w:val="center"/>
            </w:pPr>
            <w:r>
              <w:t>0</w:t>
            </w:r>
          </w:p>
        </w:tc>
        <w:tc>
          <w:tcPr>
            <w:tcW w:w="611" w:type="pct"/>
            <w:hideMark/>
          </w:tcPr>
          <w:p w14:paraId="097C79C5" w14:textId="44EB7524" w:rsidR="00FE7DB3" w:rsidRPr="00FE7DB3" w:rsidRDefault="00C1037A" w:rsidP="00C1037A">
            <w:pPr>
              <w:jc w:val="center"/>
            </w:pPr>
            <w:r>
              <w:t>0</w:t>
            </w:r>
          </w:p>
        </w:tc>
        <w:tc>
          <w:tcPr>
            <w:tcW w:w="565" w:type="pct"/>
            <w:hideMark/>
          </w:tcPr>
          <w:p w14:paraId="075840C7" w14:textId="17F9B85A" w:rsidR="00FE7DB3" w:rsidRPr="00FE7DB3" w:rsidRDefault="00C1037A" w:rsidP="00C1037A">
            <w:pPr>
              <w:jc w:val="center"/>
            </w:pPr>
            <w:r>
              <w:t>0</w:t>
            </w:r>
          </w:p>
        </w:tc>
        <w:tc>
          <w:tcPr>
            <w:tcW w:w="635" w:type="pct"/>
            <w:hideMark/>
          </w:tcPr>
          <w:p w14:paraId="5FB9CD56" w14:textId="6222191A" w:rsidR="00FE7DB3" w:rsidRPr="00FE7DB3" w:rsidRDefault="00C1037A" w:rsidP="00C1037A">
            <w:pPr>
              <w:jc w:val="center"/>
            </w:pPr>
            <w:r>
              <w:t>0</w:t>
            </w:r>
          </w:p>
        </w:tc>
        <w:tc>
          <w:tcPr>
            <w:tcW w:w="565" w:type="pct"/>
            <w:hideMark/>
          </w:tcPr>
          <w:p w14:paraId="76073B2C" w14:textId="5129F46E" w:rsidR="00FE7DB3" w:rsidRPr="00FE7DB3" w:rsidRDefault="00C1037A" w:rsidP="00C1037A">
            <w:pPr>
              <w:jc w:val="center"/>
            </w:pPr>
            <w:r>
              <w:t>0</w:t>
            </w:r>
          </w:p>
        </w:tc>
        <w:tc>
          <w:tcPr>
            <w:tcW w:w="635" w:type="pct"/>
            <w:hideMark/>
          </w:tcPr>
          <w:p w14:paraId="0E760C83" w14:textId="5192EEB6" w:rsidR="00FE7DB3" w:rsidRPr="00FE7DB3" w:rsidRDefault="00C1037A" w:rsidP="00C1037A">
            <w:pPr>
              <w:jc w:val="center"/>
            </w:pPr>
            <w:r>
              <w:t>0</w:t>
            </w:r>
          </w:p>
        </w:tc>
        <w:tc>
          <w:tcPr>
            <w:tcW w:w="637" w:type="pct"/>
            <w:hideMark/>
          </w:tcPr>
          <w:p w14:paraId="61CAA513" w14:textId="0CDC924A" w:rsidR="00FE7DB3" w:rsidRPr="00FE7DB3" w:rsidRDefault="00C1037A" w:rsidP="00C1037A">
            <w:pPr>
              <w:jc w:val="center"/>
            </w:pPr>
            <w:r>
              <w:t>0</w:t>
            </w:r>
          </w:p>
        </w:tc>
      </w:tr>
      <w:tr w:rsidR="00FE7DB3" w14:paraId="27D96CD4" w14:textId="77777777" w:rsidTr="00FE7DB3">
        <w:tc>
          <w:tcPr>
            <w:tcW w:w="788" w:type="pct"/>
            <w:hideMark/>
          </w:tcPr>
          <w:p w14:paraId="475FF1B7" w14:textId="77777777" w:rsidR="00FE7DB3" w:rsidRPr="00FE7DB3" w:rsidRDefault="00FE7DB3">
            <w:pPr>
              <w:rPr>
                <w:sz w:val="20"/>
                <w:szCs w:val="20"/>
              </w:rPr>
            </w:pPr>
            <w:r w:rsidRPr="00FE7DB3">
              <w:rPr>
                <w:sz w:val="20"/>
                <w:szCs w:val="20"/>
              </w:rPr>
              <w:t>3.2. speciālais budžets</w:t>
            </w:r>
          </w:p>
        </w:tc>
        <w:tc>
          <w:tcPr>
            <w:tcW w:w="565" w:type="pct"/>
            <w:hideMark/>
          </w:tcPr>
          <w:p w14:paraId="46C8D87D" w14:textId="04E4D004" w:rsidR="00FE7DB3" w:rsidRPr="00FE7DB3" w:rsidRDefault="00C1037A" w:rsidP="00C1037A">
            <w:pPr>
              <w:jc w:val="center"/>
            </w:pPr>
            <w:r>
              <w:t>0</w:t>
            </w:r>
          </w:p>
        </w:tc>
        <w:tc>
          <w:tcPr>
            <w:tcW w:w="611" w:type="pct"/>
            <w:hideMark/>
          </w:tcPr>
          <w:p w14:paraId="2226198A" w14:textId="590CE698" w:rsidR="00FE7DB3" w:rsidRPr="00FE7DB3" w:rsidRDefault="00C1037A" w:rsidP="00C1037A">
            <w:pPr>
              <w:jc w:val="center"/>
            </w:pPr>
            <w:r>
              <w:t>0</w:t>
            </w:r>
          </w:p>
        </w:tc>
        <w:tc>
          <w:tcPr>
            <w:tcW w:w="565" w:type="pct"/>
            <w:hideMark/>
          </w:tcPr>
          <w:p w14:paraId="2AAE8CB7" w14:textId="5EF73773" w:rsidR="00FE7DB3" w:rsidRPr="00FE7DB3" w:rsidRDefault="00C1037A" w:rsidP="00C1037A">
            <w:pPr>
              <w:jc w:val="center"/>
            </w:pPr>
            <w:r>
              <w:t>0</w:t>
            </w:r>
          </w:p>
        </w:tc>
        <w:tc>
          <w:tcPr>
            <w:tcW w:w="635" w:type="pct"/>
            <w:hideMark/>
          </w:tcPr>
          <w:p w14:paraId="05590A32" w14:textId="4D1715A3" w:rsidR="00FE7DB3" w:rsidRPr="00FE7DB3" w:rsidRDefault="00C1037A" w:rsidP="00C1037A">
            <w:pPr>
              <w:jc w:val="center"/>
            </w:pPr>
            <w:r>
              <w:t>0</w:t>
            </w:r>
          </w:p>
        </w:tc>
        <w:tc>
          <w:tcPr>
            <w:tcW w:w="565" w:type="pct"/>
            <w:hideMark/>
          </w:tcPr>
          <w:p w14:paraId="43E8DF1B" w14:textId="09A5E669" w:rsidR="00FE7DB3" w:rsidRPr="00FE7DB3" w:rsidRDefault="00C1037A" w:rsidP="00C1037A">
            <w:pPr>
              <w:jc w:val="center"/>
            </w:pPr>
            <w:r>
              <w:t>0</w:t>
            </w:r>
          </w:p>
        </w:tc>
        <w:tc>
          <w:tcPr>
            <w:tcW w:w="635" w:type="pct"/>
            <w:hideMark/>
          </w:tcPr>
          <w:p w14:paraId="57C3D876" w14:textId="3C84F59A" w:rsidR="00FE7DB3" w:rsidRPr="00FE7DB3" w:rsidRDefault="00C1037A" w:rsidP="00C1037A">
            <w:pPr>
              <w:jc w:val="center"/>
            </w:pPr>
            <w:r>
              <w:t>0</w:t>
            </w:r>
          </w:p>
        </w:tc>
        <w:tc>
          <w:tcPr>
            <w:tcW w:w="637" w:type="pct"/>
            <w:hideMark/>
          </w:tcPr>
          <w:p w14:paraId="0F5415EA" w14:textId="53CEFC45" w:rsidR="00FE7DB3" w:rsidRPr="00FE7DB3" w:rsidRDefault="00C1037A" w:rsidP="00C1037A">
            <w:pPr>
              <w:jc w:val="center"/>
            </w:pPr>
            <w:r>
              <w:t>0</w:t>
            </w:r>
          </w:p>
        </w:tc>
      </w:tr>
      <w:tr w:rsidR="00FE7DB3" w14:paraId="17CB4EA1" w14:textId="77777777" w:rsidTr="00C1037A">
        <w:trPr>
          <w:trHeight w:val="534"/>
        </w:trPr>
        <w:tc>
          <w:tcPr>
            <w:tcW w:w="788" w:type="pct"/>
            <w:hideMark/>
          </w:tcPr>
          <w:p w14:paraId="5B30CB0B" w14:textId="77777777" w:rsidR="00FE7DB3" w:rsidRPr="00FE7DB3" w:rsidRDefault="00FE7DB3">
            <w:pPr>
              <w:rPr>
                <w:sz w:val="20"/>
                <w:szCs w:val="20"/>
              </w:rPr>
            </w:pPr>
            <w:r w:rsidRPr="00FE7DB3">
              <w:rPr>
                <w:sz w:val="20"/>
                <w:szCs w:val="20"/>
              </w:rPr>
              <w:t>3.3. pašvaldību budžets</w:t>
            </w:r>
          </w:p>
        </w:tc>
        <w:tc>
          <w:tcPr>
            <w:tcW w:w="565" w:type="pct"/>
            <w:hideMark/>
          </w:tcPr>
          <w:p w14:paraId="79EA5084" w14:textId="46B0CF6A" w:rsidR="00FE7DB3" w:rsidRPr="00FE7DB3" w:rsidRDefault="00C1037A" w:rsidP="00C1037A">
            <w:pPr>
              <w:jc w:val="center"/>
            </w:pPr>
            <w:r>
              <w:t>0</w:t>
            </w:r>
          </w:p>
        </w:tc>
        <w:tc>
          <w:tcPr>
            <w:tcW w:w="611" w:type="pct"/>
            <w:hideMark/>
          </w:tcPr>
          <w:p w14:paraId="2D1FCAE5" w14:textId="0811E203" w:rsidR="00FE7DB3" w:rsidRPr="00FE7DB3" w:rsidRDefault="00C1037A" w:rsidP="00C1037A">
            <w:pPr>
              <w:jc w:val="center"/>
            </w:pPr>
            <w:r>
              <w:t>0</w:t>
            </w:r>
          </w:p>
        </w:tc>
        <w:tc>
          <w:tcPr>
            <w:tcW w:w="565" w:type="pct"/>
            <w:hideMark/>
          </w:tcPr>
          <w:p w14:paraId="37B77F3F" w14:textId="31185206" w:rsidR="00FE7DB3" w:rsidRPr="00FE7DB3" w:rsidRDefault="00C1037A" w:rsidP="00C1037A">
            <w:pPr>
              <w:jc w:val="center"/>
            </w:pPr>
            <w:r>
              <w:t>0</w:t>
            </w:r>
          </w:p>
        </w:tc>
        <w:tc>
          <w:tcPr>
            <w:tcW w:w="635" w:type="pct"/>
            <w:hideMark/>
          </w:tcPr>
          <w:p w14:paraId="15995561" w14:textId="0D0F8E38" w:rsidR="00FE7DB3" w:rsidRPr="00FE7DB3" w:rsidRDefault="00C1037A" w:rsidP="00C1037A">
            <w:pPr>
              <w:jc w:val="center"/>
            </w:pPr>
            <w:r>
              <w:t>0</w:t>
            </w:r>
          </w:p>
        </w:tc>
        <w:tc>
          <w:tcPr>
            <w:tcW w:w="565" w:type="pct"/>
            <w:hideMark/>
          </w:tcPr>
          <w:p w14:paraId="366D1446" w14:textId="28CFAC3F" w:rsidR="00FE7DB3" w:rsidRPr="00FE7DB3" w:rsidRDefault="00C1037A" w:rsidP="00C1037A">
            <w:pPr>
              <w:jc w:val="center"/>
            </w:pPr>
            <w:r>
              <w:t>0</w:t>
            </w:r>
          </w:p>
        </w:tc>
        <w:tc>
          <w:tcPr>
            <w:tcW w:w="635" w:type="pct"/>
            <w:hideMark/>
          </w:tcPr>
          <w:p w14:paraId="11AF9773" w14:textId="420FC5AD" w:rsidR="00FE7DB3" w:rsidRPr="00FE7DB3" w:rsidRDefault="00C1037A" w:rsidP="00C1037A">
            <w:pPr>
              <w:jc w:val="center"/>
            </w:pPr>
            <w:r>
              <w:t>0</w:t>
            </w:r>
          </w:p>
        </w:tc>
        <w:tc>
          <w:tcPr>
            <w:tcW w:w="637" w:type="pct"/>
            <w:hideMark/>
          </w:tcPr>
          <w:p w14:paraId="1851DE56" w14:textId="721F610D" w:rsidR="00FE7DB3" w:rsidRPr="00FE7DB3" w:rsidRDefault="00C1037A" w:rsidP="00C1037A">
            <w:pPr>
              <w:jc w:val="center"/>
            </w:pPr>
            <w:r>
              <w:t>0</w:t>
            </w:r>
          </w:p>
        </w:tc>
      </w:tr>
      <w:tr w:rsidR="00FE7DB3" w14:paraId="1084204C" w14:textId="77777777" w:rsidTr="00FE7DB3">
        <w:tc>
          <w:tcPr>
            <w:tcW w:w="788" w:type="pct"/>
            <w:hideMark/>
          </w:tcPr>
          <w:p w14:paraId="6D94319B" w14:textId="77777777" w:rsidR="00FE7DB3" w:rsidRPr="00FE7DB3" w:rsidRDefault="00FE7DB3">
            <w:pPr>
              <w:rPr>
                <w:sz w:val="20"/>
                <w:szCs w:val="20"/>
              </w:rPr>
            </w:pPr>
            <w:r w:rsidRPr="00FE7DB3">
              <w:rPr>
                <w:sz w:val="20"/>
                <w:szCs w:val="20"/>
              </w:rPr>
              <w:t xml:space="preserve">4. Finanšu līdzekļi papildu izdevumu finansēšanai (kompensējošu </w:t>
            </w:r>
            <w:r w:rsidRPr="00FE7DB3">
              <w:rPr>
                <w:sz w:val="20"/>
                <w:szCs w:val="20"/>
              </w:rPr>
              <w:lastRenderedPageBreak/>
              <w:t>izdevumu samazinājumu norāda ar "+" zīmi)</w:t>
            </w:r>
          </w:p>
        </w:tc>
        <w:tc>
          <w:tcPr>
            <w:tcW w:w="565" w:type="pct"/>
            <w:hideMark/>
          </w:tcPr>
          <w:p w14:paraId="693FED35" w14:textId="38DB1C72" w:rsidR="00FE7DB3" w:rsidRPr="00FE7DB3" w:rsidRDefault="00C1037A" w:rsidP="00C1037A">
            <w:pPr>
              <w:jc w:val="center"/>
            </w:pPr>
            <w:r>
              <w:lastRenderedPageBreak/>
              <w:t>0</w:t>
            </w:r>
          </w:p>
        </w:tc>
        <w:tc>
          <w:tcPr>
            <w:tcW w:w="611" w:type="pct"/>
            <w:hideMark/>
          </w:tcPr>
          <w:p w14:paraId="547C0BA7" w14:textId="48DF0A78" w:rsidR="00FE7DB3" w:rsidRPr="00FE7DB3" w:rsidRDefault="00C1037A" w:rsidP="00C1037A">
            <w:pPr>
              <w:jc w:val="center"/>
            </w:pPr>
            <w:r>
              <w:t>0</w:t>
            </w:r>
          </w:p>
        </w:tc>
        <w:tc>
          <w:tcPr>
            <w:tcW w:w="565" w:type="pct"/>
            <w:hideMark/>
          </w:tcPr>
          <w:p w14:paraId="35D7FA1C" w14:textId="2FA17B41" w:rsidR="00FE7DB3" w:rsidRPr="00C1037A" w:rsidRDefault="00C1037A" w:rsidP="00C1037A">
            <w:pPr>
              <w:jc w:val="center"/>
              <w:rPr>
                <w:b/>
              </w:rPr>
            </w:pPr>
            <w:r>
              <w:t>0</w:t>
            </w:r>
          </w:p>
        </w:tc>
        <w:tc>
          <w:tcPr>
            <w:tcW w:w="635" w:type="pct"/>
            <w:hideMark/>
          </w:tcPr>
          <w:p w14:paraId="39A2C1FD" w14:textId="61024866" w:rsidR="00FE7DB3" w:rsidRPr="00FE7DB3" w:rsidRDefault="00C1037A" w:rsidP="00C1037A">
            <w:pPr>
              <w:jc w:val="center"/>
            </w:pPr>
            <w:r>
              <w:t>0</w:t>
            </w:r>
          </w:p>
        </w:tc>
        <w:tc>
          <w:tcPr>
            <w:tcW w:w="565" w:type="pct"/>
            <w:hideMark/>
          </w:tcPr>
          <w:p w14:paraId="33F8DB21" w14:textId="2FA05E74" w:rsidR="00FE7DB3" w:rsidRPr="00FE7DB3" w:rsidRDefault="00C1037A" w:rsidP="00C1037A">
            <w:pPr>
              <w:jc w:val="center"/>
            </w:pPr>
            <w:r>
              <w:t>0</w:t>
            </w:r>
          </w:p>
        </w:tc>
        <w:tc>
          <w:tcPr>
            <w:tcW w:w="635" w:type="pct"/>
            <w:hideMark/>
          </w:tcPr>
          <w:p w14:paraId="6CFB611E" w14:textId="3654431C" w:rsidR="00FE7DB3" w:rsidRPr="00FE7DB3" w:rsidRDefault="00C1037A" w:rsidP="00C1037A">
            <w:pPr>
              <w:jc w:val="center"/>
            </w:pPr>
            <w:r>
              <w:t>0</w:t>
            </w:r>
          </w:p>
        </w:tc>
        <w:tc>
          <w:tcPr>
            <w:tcW w:w="637" w:type="pct"/>
            <w:hideMark/>
          </w:tcPr>
          <w:p w14:paraId="02C9BDD4" w14:textId="599F6123" w:rsidR="00FE7DB3" w:rsidRPr="00FE7DB3" w:rsidRDefault="00C1037A" w:rsidP="00C1037A">
            <w:pPr>
              <w:jc w:val="center"/>
            </w:pPr>
            <w:r>
              <w:t>0</w:t>
            </w:r>
          </w:p>
        </w:tc>
      </w:tr>
      <w:tr w:rsidR="00FE7DB3" w14:paraId="157F16FD" w14:textId="77777777" w:rsidTr="00FE7DB3">
        <w:tc>
          <w:tcPr>
            <w:tcW w:w="788" w:type="pct"/>
            <w:hideMark/>
          </w:tcPr>
          <w:p w14:paraId="37D7B285" w14:textId="77777777" w:rsidR="00FE7DB3" w:rsidRPr="00FE7DB3" w:rsidRDefault="00FE7DB3">
            <w:pPr>
              <w:rPr>
                <w:sz w:val="20"/>
                <w:szCs w:val="20"/>
              </w:rPr>
            </w:pPr>
            <w:r w:rsidRPr="00FE7DB3">
              <w:rPr>
                <w:sz w:val="20"/>
                <w:szCs w:val="20"/>
              </w:rPr>
              <w:t>5. Precizēta finansiālā ietekme</w:t>
            </w:r>
          </w:p>
        </w:tc>
        <w:tc>
          <w:tcPr>
            <w:tcW w:w="565" w:type="pct"/>
            <w:vMerge w:val="restart"/>
            <w:hideMark/>
          </w:tcPr>
          <w:p w14:paraId="68E8578E" w14:textId="525E5EFE" w:rsidR="00FE7DB3" w:rsidRPr="00FE7DB3" w:rsidRDefault="00C1037A" w:rsidP="00D677B0">
            <w:pPr>
              <w:jc w:val="center"/>
            </w:pPr>
            <w:r>
              <w:t>0</w:t>
            </w:r>
          </w:p>
        </w:tc>
        <w:tc>
          <w:tcPr>
            <w:tcW w:w="611" w:type="pct"/>
            <w:hideMark/>
          </w:tcPr>
          <w:p w14:paraId="3473C81D" w14:textId="096F29F7" w:rsidR="00FE7DB3" w:rsidRPr="00FE7DB3" w:rsidRDefault="00C1037A" w:rsidP="00D677B0">
            <w:pPr>
              <w:jc w:val="center"/>
            </w:pPr>
            <w:r>
              <w:t>0</w:t>
            </w:r>
          </w:p>
        </w:tc>
        <w:tc>
          <w:tcPr>
            <w:tcW w:w="565" w:type="pct"/>
            <w:vMerge w:val="restart"/>
            <w:hideMark/>
          </w:tcPr>
          <w:p w14:paraId="58D0DF18" w14:textId="08A9AD98" w:rsidR="00FE7DB3" w:rsidRPr="00FE7DB3" w:rsidRDefault="00C1037A" w:rsidP="00D677B0">
            <w:pPr>
              <w:jc w:val="center"/>
            </w:pPr>
            <w:r>
              <w:t>0</w:t>
            </w:r>
          </w:p>
        </w:tc>
        <w:tc>
          <w:tcPr>
            <w:tcW w:w="635" w:type="pct"/>
            <w:hideMark/>
          </w:tcPr>
          <w:p w14:paraId="600B7E66" w14:textId="707550EB" w:rsidR="00FE7DB3" w:rsidRPr="00FE7DB3" w:rsidRDefault="00C1037A" w:rsidP="00D677B0">
            <w:pPr>
              <w:jc w:val="center"/>
            </w:pPr>
            <w:r>
              <w:t>0</w:t>
            </w:r>
          </w:p>
        </w:tc>
        <w:tc>
          <w:tcPr>
            <w:tcW w:w="565" w:type="pct"/>
            <w:vMerge w:val="restart"/>
            <w:hideMark/>
          </w:tcPr>
          <w:p w14:paraId="33FCF15D" w14:textId="5FAE4A1F" w:rsidR="00FE7DB3" w:rsidRPr="00FE7DB3" w:rsidRDefault="00C1037A" w:rsidP="00D677B0">
            <w:pPr>
              <w:jc w:val="center"/>
            </w:pPr>
            <w:r>
              <w:t>0</w:t>
            </w:r>
          </w:p>
        </w:tc>
        <w:tc>
          <w:tcPr>
            <w:tcW w:w="635" w:type="pct"/>
            <w:hideMark/>
          </w:tcPr>
          <w:p w14:paraId="09C43C41" w14:textId="3C5E5FC1" w:rsidR="00FE7DB3" w:rsidRPr="00FE7DB3" w:rsidRDefault="00C1037A" w:rsidP="00D677B0">
            <w:pPr>
              <w:jc w:val="center"/>
            </w:pPr>
            <w:r>
              <w:t>0</w:t>
            </w:r>
          </w:p>
        </w:tc>
        <w:tc>
          <w:tcPr>
            <w:tcW w:w="637" w:type="pct"/>
            <w:hideMark/>
          </w:tcPr>
          <w:p w14:paraId="48483752" w14:textId="0B8C3673" w:rsidR="00FE7DB3" w:rsidRPr="00FE7DB3" w:rsidRDefault="00C1037A" w:rsidP="00D677B0">
            <w:pPr>
              <w:jc w:val="center"/>
            </w:pPr>
            <w:r>
              <w:t>0</w:t>
            </w:r>
          </w:p>
        </w:tc>
      </w:tr>
      <w:tr w:rsidR="00FE7DB3" w14:paraId="6EBDD2AF" w14:textId="77777777" w:rsidTr="00FE7DB3">
        <w:tc>
          <w:tcPr>
            <w:tcW w:w="788" w:type="pct"/>
            <w:hideMark/>
          </w:tcPr>
          <w:p w14:paraId="47A1A55A" w14:textId="77777777" w:rsidR="00FE7DB3" w:rsidRPr="00FE7DB3" w:rsidRDefault="00FE7DB3">
            <w:pPr>
              <w:rPr>
                <w:sz w:val="20"/>
                <w:szCs w:val="20"/>
              </w:rPr>
            </w:pPr>
            <w:r w:rsidRPr="00FE7DB3">
              <w:rPr>
                <w:sz w:val="20"/>
                <w:szCs w:val="20"/>
              </w:rPr>
              <w:t>5.1. valsts pamatbudžets</w:t>
            </w:r>
          </w:p>
        </w:tc>
        <w:tc>
          <w:tcPr>
            <w:tcW w:w="565" w:type="pct"/>
            <w:vMerge/>
            <w:hideMark/>
          </w:tcPr>
          <w:p w14:paraId="1F514570" w14:textId="77777777" w:rsidR="00FE7DB3" w:rsidRPr="00FE7DB3" w:rsidRDefault="00FE7DB3" w:rsidP="00D677B0">
            <w:pPr>
              <w:jc w:val="center"/>
            </w:pPr>
          </w:p>
        </w:tc>
        <w:tc>
          <w:tcPr>
            <w:tcW w:w="611" w:type="pct"/>
            <w:hideMark/>
          </w:tcPr>
          <w:p w14:paraId="0BE1A811" w14:textId="30C6875F" w:rsidR="00FE7DB3" w:rsidRPr="00FE7DB3" w:rsidRDefault="00C1037A" w:rsidP="00D677B0">
            <w:pPr>
              <w:jc w:val="center"/>
            </w:pPr>
            <w:r>
              <w:t>0</w:t>
            </w:r>
          </w:p>
        </w:tc>
        <w:tc>
          <w:tcPr>
            <w:tcW w:w="565" w:type="pct"/>
            <w:vMerge/>
            <w:hideMark/>
          </w:tcPr>
          <w:p w14:paraId="6AF94780" w14:textId="77777777" w:rsidR="00FE7DB3" w:rsidRPr="00FE7DB3" w:rsidRDefault="00FE7DB3" w:rsidP="00D677B0">
            <w:pPr>
              <w:jc w:val="center"/>
            </w:pPr>
          </w:p>
        </w:tc>
        <w:tc>
          <w:tcPr>
            <w:tcW w:w="635" w:type="pct"/>
            <w:hideMark/>
          </w:tcPr>
          <w:p w14:paraId="7838E398" w14:textId="4B441450" w:rsidR="00FE7DB3" w:rsidRPr="00FE7DB3" w:rsidRDefault="00C1037A" w:rsidP="00D677B0">
            <w:pPr>
              <w:jc w:val="center"/>
            </w:pPr>
            <w:r>
              <w:t>0</w:t>
            </w:r>
          </w:p>
        </w:tc>
        <w:tc>
          <w:tcPr>
            <w:tcW w:w="565" w:type="pct"/>
            <w:vMerge/>
            <w:hideMark/>
          </w:tcPr>
          <w:p w14:paraId="39804637" w14:textId="77777777" w:rsidR="00FE7DB3" w:rsidRPr="00FE7DB3" w:rsidRDefault="00FE7DB3" w:rsidP="00D677B0">
            <w:pPr>
              <w:jc w:val="center"/>
            </w:pPr>
          </w:p>
        </w:tc>
        <w:tc>
          <w:tcPr>
            <w:tcW w:w="635" w:type="pct"/>
            <w:hideMark/>
          </w:tcPr>
          <w:p w14:paraId="09127989" w14:textId="0DCC21E0" w:rsidR="00FE7DB3" w:rsidRPr="00FE7DB3" w:rsidRDefault="00C1037A" w:rsidP="00D677B0">
            <w:pPr>
              <w:jc w:val="center"/>
            </w:pPr>
            <w:r>
              <w:t>0</w:t>
            </w:r>
          </w:p>
        </w:tc>
        <w:tc>
          <w:tcPr>
            <w:tcW w:w="637" w:type="pct"/>
            <w:hideMark/>
          </w:tcPr>
          <w:p w14:paraId="24CD302C" w14:textId="6B3C358F" w:rsidR="00FE7DB3" w:rsidRPr="00FE7DB3" w:rsidRDefault="00C1037A" w:rsidP="00D677B0">
            <w:pPr>
              <w:jc w:val="center"/>
            </w:pPr>
            <w:r>
              <w:t>0</w:t>
            </w:r>
          </w:p>
        </w:tc>
      </w:tr>
      <w:tr w:rsidR="00FE7DB3" w14:paraId="136EC4F3" w14:textId="77777777" w:rsidTr="00FE7DB3">
        <w:tc>
          <w:tcPr>
            <w:tcW w:w="788" w:type="pct"/>
            <w:hideMark/>
          </w:tcPr>
          <w:p w14:paraId="03488774" w14:textId="77777777" w:rsidR="00FE7DB3" w:rsidRPr="00FE7DB3" w:rsidRDefault="00FE7DB3">
            <w:pPr>
              <w:rPr>
                <w:sz w:val="20"/>
                <w:szCs w:val="20"/>
              </w:rPr>
            </w:pPr>
            <w:r w:rsidRPr="00FE7DB3">
              <w:rPr>
                <w:sz w:val="20"/>
                <w:szCs w:val="20"/>
              </w:rPr>
              <w:t>5.2. speciālais budžets</w:t>
            </w:r>
          </w:p>
        </w:tc>
        <w:tc>
          <w:tcPr>
            <w:tcW w:w="565" w:type="pct"/>
            <w:vMerge/>
            <w:hideMark/>
          </w:tcPr>
          <w:p w14:paraId="108114A2" w14:textId="77777777" w:rsidR="00FE7DB3" w:rsidRPr="00FE7DB3" w:rsidRDefault="00FE7DB3" w:rsidP="00D677B0">
            <w:pPr>
              <w:jc w:val="center"/>
            </w:pPr>
          </w:p>
        </w:tc>
        <w:tc>
          <w:tcPr>
            <w:tcW w:w="611" w:type="pct"/>
            <w:hideMark/>
          </w:tcPr>
          <w:p w14:paraId="430133C4" w14:textId="7FDFAF13" w:rsidR="00FE7DB3" w:rsidRPr="00FE7DB3" w:rsidRDefault="00C1037A" w:rsidP="00D677B0">
            <w:pPr>
              <w:jc w:val="center"/>
            </w:pPr>
            <w:r>
              <w:t>0</w:t>
            </w:r>
          </w:p>
        </w:tc>
        <w:tc>
          <w:tcPr>
            <w:tcW w:w="565" w:type="pct"/>
            <w:vMerge/>
            <w:hideMark/>
          </w:tcPr>
          <w:p w14:paraId="202BB76D" w14:textId="77777777" w:rsidR="00FE7DB3" w:rsidRPr="00FE7DB3" w:rsidRDefault="00FE7DB3" w:rsidP="00D677B0">
            <w:pPr>
              <w:jc w:val="center"/>
            </w:pPr>
          </w:p>
        </w:tc>
        <w:tc>
          <w:tcPr>
            <w:tcW w:w="635" w:type="pct"/>
            <w:hideMark/>
          </w:tcPr>
          <w:p w14:paraId="4828A68A" w14:textId="434C5D1E" w:rsidR="00FE7DB3" w:rsidRPr="00FE7DB3" w:rsidRDefault="00C1037A" w:rsidP="00D677B0">
            <w:pPr>
              <w:jc w:val="center"/>
            </w:pPr>
            <w:r>
              <w:t>0</w:t>
            </w:r>
          </w:p>
        </w:tc>
        <w:tc>
          <w:tcPr>
            <w:tcW w:w="565" w:type="pct"/>
            <w:vMerge/>
            <w:hideMark/>
          </w:tcPr>
          <w:p w14:paraId="5A89E315" w14:textId="77777777" w:rsidR="00FE7DB3" w:rsidRPr="00FE7DB3" w:rsidRDefault="00FE7DB3" w:rsidP="00D677B0">
            <w:pPr>
              <w:jc w:val="center"/>
            </w:pPr>
          </w:p>
        </w:tc>
        <w:tc>
          <w:tcPr>
            <w:tcW w:w="635" w:type="pct"/>
            <w:hideMark/>
          </w:tcPr>
          <w:p w14:paraId="76D98C7E" w14:textId="639D336B" w:rsidR="00FE7DB3" w:rsidRPr="00FE7DB3" w:rsidRDefault="00C1037A" w:rsidP="00D677B0">
            <w:pPr>
              <w:jc w:val="center"/>
            </w:pPr>
            <w:r>
              <w:t>0</w:t>
            </w:r>
          </w:p>
        </w:tc>
        <w:tc>
          <w:tcPr>
            <w:tcW w:w="637" w:type="pct"/>
            <w:hideMark/>
          </w:tcPr>
          <w:p w14:paraId="12EFC53F" w14:textId="20CA82D0" w:rsidR="00FE7DB3" w:rsidRPr="00FE7DB3" w:rsidRDefault="00C1037A" w:rsidP="00D677B0">
            <w:pPr>
              <w:jc w:val="center"/>
            </w:pPr>
            <w:r>
              <w:t>0</w:t>
            </w:r>
          </w:p>
        </w:tc>
      </w:tr>
      <w:tr w:rsidR="00FE7DB3" w14:paraId="15C9DE61" w14:textId="77777777" w:rsidTr="00FE7DB3">
        <w:tc>
          <w:tcPr>
            <w:tcW w:w="788" w:type="pct"/>
            <w:hideMark/>
          </w:tcPr>
          <w:p w14:paraId="1B86678F" w14:textId="77777777" w:rsidR="00FE7DB3" w:rsidRPr="00FE7DB3" w:rsidRDefault="00FE7DB3">
            <w:pPr>
              <w:rPr>
                <w:sz w:val="20"/>
                <w:szCs w:val="20"/>
              </w:rPr>
            </w:pPr>
            <w:r w:rsidRPr="00FE7DB3">
              <w:rPr>
                <w:sz w:val="20"/>
                <w:szCs w:val="20"/>
              </w:rPr>
              <w:t>5.3. pašvaldību budžets</w:t>
            </w:r>
          </w:p>
        </w:tc>
        <w:tc>
          <w:tcPr>
            <w:tcW w:w="565" w:type="pct"/>
            <w:vMerge/>
            <w:hideMark/>
          </w:tcPr>
          <w:p w14:paraId="0E3FA528" w14:textId="77777777" w:rsidR="00FE7DB3" w:rsidRPr="00FE7DB3" w:rsidRDefault="00FE7DB3" w:rsidP="00D677B0">
            <w:pPr>
              <w:jc w:val="center"/>
            </w:pPr>
          </w:p>
        </w:tc>
        <w:tc>
          <w:tcPr>
            <w:tcW w:w="611" w:type="pct"/>
            <w:hideMark/>
          </w:tcPr>
          <w:p w14:paraId="3AAF9898" w14:textId="14093178" w:rsidR="00FE7DB3" w:rsidRPr="00FE7DB3" w:rsidRDefault="00C1037A" w:rsidP="00D677B0">
            <w:pPr>
              <w:jc w:val="center"/>
            </w:pPr>
            <w:r>
              <w:t>0</w:t>
            </w:r>
          </w:p>
        </w:tc>
        <w:tc>
          <w:tcPr>
            <w:tcW w:w="565" w:type="pct"/>
            <w:vMerge/>
            <w:hideMark/>
          </w:tcPr>
          <w:p w14:paraId="7D7DC75F" w14:textId="77777777" w:rsidR="00FE7DB3" w:rsidRPr="00FE7DB3" w:rsidRDefault="00FE7DB3" w:rsidP="00D677B0">
            <w:pPr>
              <w:jc w:val="center"/>
            </w:pPr>
          </w:p>
        </w:tc>
        <w:tc>
          <w:tcPr>
            <w:tcW w:w="635" w:type="pct"/>
            <w:hideMark/>
          </w:tcPr>
          <w:p w14:paraId="5D5684A4" w14:textId="3FBB7C25" w:rsidR="00FE7DB3" w:rsidRPr="00FE7DB3" w:rsidRDefault="00C1037A" w:rsidP="00D677B0">
            <w:pPr>
              <w:jc w:val="center"/>
            </w:pPr>
            <w:r>
              <w:t>0</w:t>
            </w:r>
          </w:p>
        </w:tc>
        <w:tc>
          <w:tcPr>
            <w:tcW w:w="565" w:type="pct"/>
            <w:vMerge/>
            <w:hideMark/>
          </w:tcPr>
          <w:p w14:paraId="5B2B6E9A" w14:textId="77777777" w:rsidR="00FE7DB3" w:rsidRPr="00FE7DB3" w:rsidRDefault="00FE7DB3" w:rsidP="00D677B0">
            <w:pPr>
              <w:jc w:val="center"/>
            </w:pPr>
          </w:p>
        </w:tc>
        <w:tc>
          <w:tcPr>
            <w:tcW w:w="635" w:type="pct"/>
            <w:hideMark/>
          </w:tcPr>
          <w:p w14:paraId="2C3F00C8" w14:textId="16967016" w:rsidR="00FE7DB3" w:rsidRPr="00FE7DB3" w:rsidRDefault="00C1037A" w:rsidP="00D677B0">
            <w:pPr>
              <w:jc w:val="center"/>
            </w:pPr>
            <w:r>
              <w:t>0</w:t>
            </w:r>
          </w:p>
        </w:tc>
        <w:tc>
          <w:tcPr>
            <w:tcW w:w="637" w:type="pct"/>
            <w:hideMark/>
          </w:tcPr>
          <w:p w14:paraId="080DD5A5" w14:textId="2456AAE6" w:rsidR="00FE7DB3" w:rsidRPr="00FE7DB3" w:rsidRDefault="00C1037A" w:rsidP="00D677B0">
            <w:pPr>
              <w:jc w:val="center"/>
            </w:pPr>
            <w:r>
              <w:t>0</w:t>
            </w:r>
          </w:p>
        </w:tc>
      </w:tr>
      <w:tr w:rsidR="00FE7DB3" w14:paraId="51119707" w14:textId="77777777" w:rsidTr="00FE7DB3">
        <w:tc>
          <w:tcPr>
            <w:tcW w:w="788" w:type="pct"/>
            <w:hideMark/>
          </w:tcPr>
          <w:p w14:paraId="7C64F4FE" w14:textId="77777777" w:rsidR="00FE7DB3" w:rsidRPr="00FE7DB3" w:rsidRDefault="00FE7DB3">
            <w:pPr>
              <w:rPr>
                <w:sz w:val="20"/>
                <w:szCs w:val="20"/>
              </w:rPr>
            </w:pPr>
            <w:r w:rsidRPr="00FE7DB3">
              <w:rPr>
                <w:sz w:val="20"/>
                <w:szCs w:val="20"/>
              </w:rPr>
              <w:t>6. Detalizēts ieņēmumu un izdevumu aprēķins (ja nepieciešams, detalizētu ieņēmumu un izdevumu aprēķinu var pievienot anotācijas pielikumā)</w:t>
            </w:r>
          </w:p>
        </w:tc>
        <w:tc>
          <w:tcPr>
            <w:tcW w:w="4212" w:type="pct"/>
            <w:gridSpan w:val="7"/>
            <w:vMerge w:val="restart"/>
            <w:hideMark/>
          </w:tcPr>
          <w:p w14:paraId="231849E7" w14:textId="77777777" w:rsidR="00C1037A" w:rsidRDefault="00FE7DB3" w:rsidP="00C1037A">
            <w:r w:rsidRPr="00FE7DB3">
              <w:t> </w:t>
            </w:r>
          </w:p>
          <w:p w14:paraId="3D031609" w14:textId="77777777" w:rsidR="00C1037A" w:rsidRDefault="00C1037A" w:rsidP="00C1037A"/>
          <w:p w14:paraId="5EF133DD" w14:textId="77777777" w:rsidR="00C1037A" w:rsidRDefault="00C1037A" w:rsidP="00C1037A"/>
          <w:p w14:paraId="74434403" w14:textId="77777777" w:rsidR="00C1037A" w:rsidRDefault="00C1037A" w:rsidP="00C1037A"/>
          <w:p w14:paraId="7FA3E5BC" w14:textId="77777777" w:rsidR="00C1037A" w:rsidRDefault="00C1037A" w:rsidP="00C1037A"/>
          <w:p w14:paraId="0FEC6303" w14:textId="77777777" w:rsidR="00C1037A" w:rsidRDefault="00C1037A" w:rsidP="00C1037A"/>
          <w:p w14:paraId="2ED6C16F" w14:textId="77777777" w:rsidR="00C1037A" w:rsidRDefault="00C1037A" w:rsidP="00C1037A"/>
          <w:p w14:paraId="6A4F37C8" w14:textId="791BB23F" w:rsidR="00C1037A" w:rsidRPr="00C1037A" w:rsidRDefault="00D677B0" w:rsidP="00C1037A">
            <w:pPr>
              <w:rPr>
                <w:i/>
              </w:rPr>
            </w:pPr>
            <w:r w:rsidRPr="00D677B0">
              <w:rPr>
                <w:i/>
              </w:rPr>
              <w:t xml:space="preserve">Likumprojekts </w:t>
            </w:r>
            <w:r w:rsidR="00C1037A" w:rsidRPr="00C1037A">
              <w:rPr>
                <w:i/>
              </w:rPr>
              <w:t>šo jomu neskar</w:t>
            </w:r>
          </w:p>
          <w:p w14:paraId="4817B899" w14:textId="77777777" w:rsidR="00FE7DB3" w:rsidRPr="00FE7DB3" w:rsidRDefault="00FE7DB3"/>
        </w:tc>
      </w:tr>
      <w:tr w:rsidR="00FE7DB3" w14:paraId="34B2A200" w14:textId="77777777" w:rsidTr="00FE7DB3">
        <w:tc>
          <w:tcPr>
            <w:tcW w:w="788" w:type="pct"/>
            <w:hideMark/>
          </w:tcPr>
          <w:p w14:paraId="2ADBD264" w14:textId="77777777" w:rsidR="00FE7DB3" w:rsidRPr="00FE7DB3" w:rsidRDefault="00FE7DB3">
            <w:pPr>
              <w:rPr>
                <w:sz w:val="20"/>
                <w:szCs w:val="20"/>
              </w:rPr>
            </w:pPr>
            <w:r w:rsidRPr="00FE7DB3">
              <w:rPr>
                <w:sz w:val="20"/>
                <w:szCs w:val="20"/>
              </w:rPr>
              <w:t>6.1. detalizēts ieņēmumu aprēķins</w:t>
            </w:r>
          </w:p>
        </w:tc>
        <w:tc>
          <w:tcPr>
            <w:tcW w:w="4212" w:type="pct"/>
            <w:gridSpan w:val="7"/>
            <w:vMerge/>
            <w:hideMark/>
          </w:tcPr>
          <w:p w14:paraId="4E2320EA" w14:textId="77777777" w:rsidR="00FE7DB3" w:rsidRPr="00FE7DB3" w:rsidRDefault="00FE7DB3"/>
        </w:tc>
      </w:tr>
      <w:tr w:rsidR="00FE7DB3" w14:paraId="721B487E" w14:textId="77777777" w:rsidTr="00FE7DB3">
        <w:tc>
          <w:tcPr>
            <w:tcW w:w="788" w:type="pct"/>
            <w:hideMark/>
          </w:tcPr>
          <w:p w14:paraId="43FDB08B" w14:textId="77777777" w:rsidR="00FE7DB3" w:rsidRPr="00FE7DB3" w:rsidRDefault="00FE7DB3">
            <w:pPr>
              <w:rPr>
                <w:sz w:val="20"/>
                <w:szCs w:val="20"/>
              </w:rPr>
            </w:pPr>
            <w:r w:rsidRPr="00FE7DB3">
              <w:rPr>
                <w:sz w:val="20"/>
                <w:szCs w:val="20"/>
              </w:rPr>
              <w:t>6.2. detalizēts izdevumu aprēķins</w:t>
            </w:r>
          </w:p>
        </w:tc>
        <w:tc>
          <w:tcPr>
            <w:tcW w:w="4212" w:type="pct"/>
            <w:gridSpan w:val="7"/>
            <w:vMerge/>
            <w:hideMark/>
          </w:tcPr>
          <w:p w14:paraId="766A9677" w14:textId="77777777" w:rsidR="00FE7DB3" w:rsidRPr="00FE7DB3" w:rsidRDefault="00FE7DB3"/>
        </w:tc>
      </w:tr>
      <w:tr w:rsidR="00FE7DB3" w14:paraId="6F2520EC" w14:textId="77777777" w:rsidTr="00FE7DB3">
        <w:tc>
          <w:tcPr>
            <w:tcW w:w="788" w:type="pct"/>
            <w:hideMark/>
          </w:tcPr>
          <w:p w14:paraId="1BB8EDF5" w14:textId="77777777" w:rsidR="00FE7DB3" w:rsidRPr="00FE7DB3" w:rsidRDefault="00FE7DB3">
            <w:pPr>
              <w:rPr>
                <w:sz w:val="20"/>
                <w:szCs w:val="20"/>
              </w:rPr>
            </w:pPr>
            <w:r w:rsidRPr="00FE7DB3">
              <w:rPr>
                <w:sz w:val="20"/>
                <w:szCs w:val="20"/>
              </w:rPr>
              <w:t>7. Amata vietu skaita izmaiņas</w:t>
            </w:r>
          </w:p>
        </w:tc>
        <w:tc>
          <w:tcPr>
            <w:tcW w:w="4212" w:type="pct"/>
            <w:gridSpan w:val="7"/>
            <w:hideMark/>
          </w:tcPr>
          <w:p w14:paraId="79F441EE" w14:textId="6A27C166" w:rsidR="00C1037A" w:rsidRPr="00C1037A" w:rsidRDefault="00D677B0" w:rsidP="00C1037A">
            <w:pPr>
              <w:rPr>
                <w:i/>
              </w:rPr>
            </w:pPr>
            <w:r w:rsidRPr="00D677B0">
              <w:rPr>
                <w:i/>
              </w:rPr>
              <w:t>Likumprojekts</w:t>
            </w:r>
            <w:r w:rsidRPr="00C1037A">
              <w:rPr>
                <w:i/>
              </w:rPr>
              <w:t xml:space="preserve"> </w:t>
            </w:r>
            <w:r w:rsidR="00C1037A" w:rsidRPr="00C1037A">
              <w:rPr>
                <w:i/>
              </w:rPr>
              <w:t>šo jomu neskar</w:t>
            </w:r>
          </w:p>
          <w:p w14:paraId="208D7DF0" w14:textId="595A5824" w:rsidR="00FE7DB3" w:rsidRPr="00FE7DB3" w:rsidRDefault="00FE7DB3"/>
        </w:tc>
      </w:tr>
      <w:tr w:rsidR="00FE7DB3" w14:paraId="6E27C1C1" w14:textId="77777777" w:rsidTr="00FE7DB3">
        <w:tc>
          <w:tcPr>
            <w:tcW w:w="788" w:type="pct"/>
            <w:hideMark/>
          </w:tcPr>
          <w:p w14:paraId="7E6CFB89" w14:textId="77777777" w:rsidR="00FE7DB3" w:rsidRPr="00FE7DB3" w:rsidRDefault="00FE7DB3">
            <w:pPr>
              <w:rPr>
                <w:sz w:val="20"/>
                <w:szCs w:val="20"/>
              </w:rPr>
            </w:pPr>
            <w:r w:rsidRPr="00FE7DB3">
              <w:rPr>
                <w:sz w:val="20"/>
                <w:szCs w:val="20"/>
              </w:rPr>
              <w:t>8. Cita informācija</w:t>
            </w:r>
          </w:p>
        </w:tc>
        <w:tc>
          <w:tcPr>
            <w:tcW w:w="4212" w:type="pct"/>
            <w:gridSpan w:val="7"/>
            <w:hideMark/>
          </w:tcPr>
          <w:p w14:paraId="607FB4D7" w14:textId="58AA65A1" w:rsidR="00FE7DB3" w:rsidRDefault="00FE7DB3" w:rsidP="00FE7DB3">
            <w:pPr>
              <w:pStyle w:val="naisnod"/>
              <w:spacing w:before="0" w:after="0"/>
              <w:ind w:right="230" w:firstLine="284"/>
              <w:jc w:val="both"/>
              <w:rPr>
                <w:b w:val="0"/>
              </w:rPr>
            </w:pPr>
            <w:r>
              <w:rPr>
                <w:b w:val="0"/>
              </w:rPr>
              <w:t xml:space="preserve">Likumprojektā paredzēto </w:t>
            </w:r>
            <w:r w:rsidRPr="00F13C47">
              <w:rPr>
                <w:b w:val="0"/>
              </w:rPr>
              <w:t>Kompetentās iestādes pienāku</w:t>
            </w:r>
            <w:r>
              <w:rPr>
                <w:b w:val="0"/>
              </w:rPr>
              <w:t xml:space="preserve">mu izpilde notiks FM esošā finansējuma ietvaros. </w:t>
            </w:r>
          </w:p>
          <w:p w14:paraId="1E49786B" w14:textId="3BB093A9" w:rsidR="00FE7DB3" w:rsidRDefault="00FE7DB3" w:rsidP="00FE7DB3">
            <w:pPr>
              <w:pStyle w:val="naisnod"/>
              <w:spacing w:before="0" w:after="0"/>
              <w:ind w:right="230" w:firstLine="284"/>
              <w:jc w:val="both"/>
              <w:rPr>
                <w:b w:val="0"/>
              </w:rPr>
            </w:pPr>
            <w:r>
              <w:rPr>
                <w:b w:val="0"/>
              </w:rPr>
              <w:t>Sadarbība ar citām valsts un pašvaldību institūcijām notiks to kompetences ietvaros. Piemēram, nepieciešamības gadījumā (ja privātpersonas nepakļaujas OLAF pārbaudei uz vietas, nenodrošina piekļuvi uzņēmuma dokumentiem vai telpām) Kompetentai iestādei efektīva  atbalsta sniegšanas nolūkā ir tiesības pieaicināt Valsts vai pašvaldības policiju saskaņā ar likumā “Par policiju” noteikto.</w:t>
            </w:r>
          </w:p>
          <w:p w14:paraId="039D7252" w14:textId="001D8B52" w:rsidR="00FE7DB3" w:rsidRDefault="00FE7DB3" w:rsidP="00FE7DB3">
            <w:pPr>
              <w:pStyle w:val="naisnod"/>
              <w:spacing w:before="0" w:after="0"/>
              <w:ind w:right="230" w:firstLine="284"/>
              <w:jc w:val="both"/>
              <w:rPr>
                <w:b w:val="0"/>
              </w:rPr>
            </w:pPr>
            <w:r>
              <w:rPr>
                <w:b w:val="0"/>
              </w:rPr>
              <w:t xml:space="preserve">Novērojams, ka OLAF veiktās administratīvās izmeklēšanas, tai skaitā pārbaudes uz vietas Latvijas Republikā, kļūst biežākas, bet to skaits nav tik ievērojams, lai radītu būtisku ietekmi valsts vai pašvaldību budžetu (tā piemēram, OLAF organizatoriskās tikšanās ar nacionālajām institūcijām un pārbaudes uz vietas uzņēmumos Latvijas Republikas teritorijā notikušas: 2017- nav notikušas; 2018- 5 reizes; 2019 (līdz 01.08.2019.) – 2 reizes. </w:t>
            </w:r>
          </w:p>
          <w:p w14:paraId="4A377846" w14:textId="77777777" w:rsidR="00FE7DB3" w:rsidRDefault="00FE7DB3" w:rsidP="00FE7DB3">
            <w:pPr>
              <w:pStyle w:val="naisnod"/>
              <w:spacing w:before="0" w:after="0"/>
              <w:ind w:right="230" w:firstLine="284"/>
              <w:jc w:val="both"/>
              <w:rPr>
                <w:b w:val="0"/>
              </w:rPr>
            </w:pPr>
            <w:r>
              <w:rPr>
                <w:b w:val="0"/>
              </w:rPr>
              <w:t>Ņemot vērā augstākminēto, papildus ietekme uz valsts vai pašvaldību budžetu netiek prognozēta.</w:t>
            </w:r>
          </w:p>
          <w:p w14:paraId="35FAB613" w14:textId="1A3E3B90" w:rsidR="00FE7DB3" w:rsidRPr="00FE7DB3" w:rsidRDefault="00FE7DB3"/>
        </w:tc>
      </w:tr>
    </w:tbl>
    <w:p w14:paraId="3C9CF0FD" w14:textId="0B5B1BD2" w:rsidR="00A96699" w:rsidRDefault="00A96699" w:rsidP="00755A99">
      <w:pPr>
        <w:pStyle w:val="naisf"/>
        <w:spacing w:before="0" w:after="0"/>
        <w:ind w:firstLine="0"/>
        <w:rPr>
          <w:sz w:val="16"/>
          <w:szCs w:val="16"/>
        </w:rPr>
      </w:pPr>
    </w:p>
    <w:p w14:paraId="6BD5FD1D" w14:textId="77777777" w:rsidR="00A96699" w:rsidRDefault="00A96699" w:rsidP="0047074D">
      <w:pPr>
        <w:pStyle w:val="naisf"/>
        <w:spacing w:before="0" w:after="0"/>
        <w:rPr>
          <w:sz w:val="16"/>
          <w:szCs w:val="16"/>
        </w:rPr>
      </w:pPr>
    </w:p>
    <w:p w14:paraId="6A676308" w14:textId="77777777" w:rsidR="00A96699" w:rsidRPr="007A464C" w:rsidRDefault="00A96699" w:rsidP="00FD084C">
      <w:pPr>
        <w:pStyle w:val="naisf"/>
        <w:spacing w:before="0" w:after="0"/>
        <w:ind w:firstLine="0"/>
        <w:rPr>
          <w:sz w:val="16"/>
          <w:szCs w:val="16"/>
        </w:rPr>
      </w:pPr>
    </w:p>
    <w:p w14:paraId="2FF06D52" w14:textId="5EF08594" w:rsidR="00A368C8" w:rsidRDefault="00A368C8" w:rsidP="0047074D">
      <w:pPr>
        <w:pStyle w:val="naiskr"/>
        <w:tabs>
          <w:tab w:val="left" w:pos="2628"/>
        </w:tabs>
        <w:spacing w:before="0" w:after="0"/>
        <w:rPr>
          <w:b/>
          <w:sz w:val="16"/>
          <w:szCs w:val="16"/>
        </w:rPr>
      </w:pPr>
    </w:p>
    <w:p w14:paraId="4C41627F" w14:textId="784A6D82" w:rsidR="00D677B0" w:rsidRDefault="00D677B0" w:rsidP="0047074D">
      <w:pPr>
        <w:pStyle w:val="naiskr"/>
        <w:tabs>
          <w:tab w:val="left" w:pos="2628"/>
        </w:tabs>
        <w:spacing w:before="0" w:after="0"/>
        <w:rPr>
          <w:b/>
          <w:sz w:val="16"/>
          <w:szCs w:val="16"/>
        </w:rPr>
      </w:pPr>
    </w:p>
    <w:p w14:paraId="5A5810C2" w14:textId="3F078752" w:rsidR="00D677B0" w:rsidRDefault="00D677B0" w:rsidP="0047074D">
      <w:pPr>
        <w:pStyle w:val="naiskr"/>
        <w:tabs>
          <w:tab w:val="left" w:pos="2628"/>
        </w:tabs>
        <w:spacing w:before="0" w:after="0"/>
        <w:rPr>
          <w:b/>
          <w:sz w:val="16"/>
          <w:szCs w:val="16"/>
        </w:rPr>
      </w:pPr>
    </w:p>
    <w:p w14:paraId="1EDF2856" w14:textId="77777777" w:rsidR="00D677B0" w:rsidRDefault="00D677B0" w:rsidP="0047074D">
      <w:pPr>
        <w:pStyle w:val="naiskr"/>
        <w:tabs>
          <w:tab w:val="left" w:pos="2628"/>
        </w:tabs>
        <w:spacing w:before="0" w:after="0"/>
        <w:rPr>
          <w:b/>
          <w:sz w:val="16"/>
          <w:szCs w:val="16"/>
        </w:rPr>
      </w:pPr>
    </w:p>
    <w:p w14:paraId="359EA4BA" w14:textId="77777777" w:rsidR="00A96699" w:rsidRPr="00C72760" w:rsidRDefault="00A96699" w:rsidP="0047074D">
      <w:pPr>
        <w:pStyle w:val="naiskr"/>
        <w:tabs>
          <w:tab w:val="left" w:pos="2628"/>
        </w:tabs>
        <w:spacing w:before="0" w:after="0"/>
        <w:rPr>
          <w:b/>
          <w:sz w:val="16"/>
          <w:szCs w:val="16"/>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1867"/>
        <w:gridCol w:w="7508"/>
      </w:tblGrid>
      <w:tr w:rsidR="00751385" w:rsidRPr="00E547C1" w14:paraId="181A912A" w14:textId="77777777" w:rsidTr="00755A99">
        <w:trPr>
          <w:jc w:val="center"/>
        </w:trPr>
        <w:tc>
          <w:tcPr>
            <w:tcW w:w="10060" w:type="dxa"/>
            <w:gridSpan w:val="3"/>
            <w:tcBorders>
              <w:top w:val="single" w:sz="4" w:space="0" w:color="auto"/>
              <w:left w:val="single" w:sz="4" w:space="0" w:color="auto"/>
              <w:bottom w:val="single" w:sz="4" w:space="0" w:color="auto"/>
              <w:right w:val="single" w:sz="4" w:space="0" w:color="auto"/>
            </w:tcBorders>
          </w:tcPr>
          <w:p w14:paraId="2222476B" w14:textId="77777777" w:rsidR="00751385" w:rsidRPr="00751385" w:rsidRDefault="00751385" w:rsidP="00751385">
            <w:pPr>
              <w:pStyle w:val="naisnod"/>
              <w:spacing w:before="0" w:after="0"/>
            </w:pPr>
            <w:r w:rsidRPr="00E547C1">
              <w:t>IV. Tiesību akta projekta ietekme uz spēkā esošo tiesību normu sistēmu</w:t>
            </w:r>
          </w:p>
        </w:tc>
      </w:tr>
      <w:tr w:rsidR="00936C76" w:rsidRPr="00A368C8" w14:paraId="4F54BA7C" w14:textId="77777777" w:rsidTr="00755A99">
        <w:trPr>
          <w:trHeight w:val="411"/>
          <w:jc w:val="center"/>
        </w:trPr>
        <w:tc>
          <w:tcPr>
            <w:tcW w:w="685" w:type="dxa"/>
          </w:tcPr>
          <w:p w14:paraId="4E3FC210" w14:textId="77777777" w:rsidR="00936C76" w:rsidRPr="00751385" w:rsidRDefault="00936C76" w:rsidP="00751385">
            <w:pPr>
              <w:pStyle w:val="naisnod"/>
              <w:spacing w:before="0" w:after="0"/>
              <w:rPr>
                <w:b w:val="0"/>
              </w:rPr>
            </w:pPr>
            <w:r>
              <w:rPr>
                <w:b w:val="0"/>
                <w:iCs/>
                <w:color w:val="000000" w:themeColor="text1"/>
              </w:rPr>
              <w:lastRenderedPageBreak/>
              <w:t>1.</w:t>
            </w:r>
          </w:p>
        </w:tc>
        <w:tc>
          <w:tcPr>
            <w:tcW w:w="1867" w:type="dxa"/>
          </w:tcPr>
          <w:p w14:paraId="7F04B66D" w14:textId="77777777" w:rsidR="00936C76" w:rsidRPr="00751385" w:rsidRDefault="00936C76" w:rsidP="00751385">
            <w:pPr>
              <w:pStyle w:val="naisnod"/>
              <w:spacing w:before="0" w:after="0"/>
              <w:rPr>
                <w:b w:val="0"/>
              </w:rPr>
            </w:pPr>
            <w:r w:rsidRPr="00751385">
              <w:rPr>
                <w:b w:val="0"/>
                <w:iCs/>
                <w:color w:val="000000" w:themeColor="text1"/>
              </w:rPr>
              <w:t>Saistītie tiesību aktu projekti</w:t>
            </w:r>
          </w:p>
        </w:tc>
        <w:tc>
          <w:tcPr>
            <w:tcW w:w="7508" w:type="dxa"/>
          </w:tcPr>
          <w:p w14:paraId="72D772E6" w14:textId="77777777" w:rsidR="00A96699" w:rsidRDefault="00A96699" w:rsidP="00751385">
            <w:pPr>
              <w:pStyle w:val="naiskr"/>
              <w:widowControl w:val="0"/>
              <w:tabs>
                <w:tab w:val="left" w:pos="427"/>
                <w:tab w:val="left" w:pos="2628"/>
              </w:tabs>
              <w:spacing w:before="0" w:after="120"/>
              <w:ind w:firstLine="284"/>
              <w:jc w:val="both"/>
              <w:rPr>
                <w:iCs/>
              </w:rPr>
            </w:pPr>
          </w:p>
          <w:p w14:paraId="4E5FD2C5" w14:textId="77777777" w:rsidR="00936C76" w:rsidRDefault="00936C76" w:rsidP="00A96699">
            <w:pPr>
              <w:pStyle w:val="naiskr"/>
              <w:widowControl w:val="0"/>
              <w:tabs>
                <w:tab w:val="left" w:pos="427"/>
                <w:tab w:val="left" w:pos="2628"/>
              </w:tabs>
              <w:spacing w:before="0" w:after="120"/>
              <w:ind w:right="215" w:firstLine="284"/>
              <w:contextualSpacing/>
              <w:jc w:val="both"/>
              <w:rPr>
                <w:iCs/>
              </w:rPr>
            </w:pPr>
            <w:r>
              <w:rPr>
                <w:iCs/>
              </w:rPr>
              <w:t xml:space="preserve">Lai nodrošinātu, ka </w:t>
            </w:r>
            <w:r w:rsidRPr="00F13C47">
              <w:rPr>
                <w:iCs/>
              </w:rPr>
              <w:t>Kompetent</w:t>
            </w:r>
            <w:r w:rsidR="001525DC" w:rsidRPr="00F13C47">
              <w:rPr>
                <w:iCs/>
              </w:rPr>
              <w:t>ajai iestādei atbalsta sniegšanai</w:t>
            </w:r>
            <w:r w:rsidRPr="00F13C47">
              <w:rPr>
                <w:iCs/>
              </w:rPr>
              <w:t xml:space="preserve"> OLAF ir tiesības pieprasīt informāciju Kontu </w:t>
            </w:r>
            <w:r w:rsidR="00D75C94" w:rsidRPr="00F13C47">
              <w:rPr>
                <w:iCs/>
              </w:rPr>
              <w:t>reģistrā</w:t>
            </w:r>
            <w:r w:rsidR="00D75C94">
              <w:rPr>
                <w:iCs/>
              </w:rPr>
              <w:t xml:space="preserve"> un </w:t>
            </w:r>
            <w:r>
              <w:rPr>
                <w:iCs/>
              </w:rPr>
              <w:t>no Kredītiestādēm nepieciešami grozījumi:</w:t>
            </w:r>
          </w:p>
          <w:p w14:paraId="4D25BB17" w14:textId="77777777" w:rsidR="00936C76" w:rsidRDefault="00936C76" w:rsidP="00A96699">
            <w:pPr>
              <w:pStyle w:val="naiskr"/>
              <w:widowControl w:val="0"/>
              <w:numPr>
                <w:ilvl w:val="0"/>
                <w:numId w:val="35"/>
              </w:numPr>
              <w:tabs>
                <w:tab w:val="left" w:pos="427"/>
                <w:tab w:val="left" w:pos="2628"/>
              </w:tabs>
              <w:spacing w:before="0" w:after="120"/>
              <w:ind w:right="215"/>
              <w:contextualSpacing/>
              <w:jc w:val="both"/>
              <w:rPr>
                <w:iCs/>
              </w:rPr>
            </w:pPr>
            <w:r>
              <w:rPr>
                <w:iCs/>
              </w:rPr>
              <w:t>Kontu reģistra likuma 6. pantā, nosakot Finanšu ministriju kā subjektu, kam ir tiesības pieprasīt informāciju Kontu reģistrā;</w:t>
            </w:r>
          </w:p>
          <w:p w14:paraId="3B872DEF" w14:textId="77777777" w:rsidR="00936C76" w:rsidRPr="007F6EC7" w:rsidRDefault="00936C76" w:rsidP="00A96699">
            <w:pPr>
              <w:pStyle w:val="naiskr"/>
              <w:widowControl w:val="0"/>
              <w:numPr>
                <w:ilvl w:val="0"/>
                <w:numId w:val="35"/>
              </w:numPr>
              <w:tabs>
                <w:tab w:val="left" w:pos="427"/>
                <w:tab w:val="left" w:pos="2628"/>
              </w:tabs>
              <w:spacing w:before="0" w:after="120"/>
              <w:ind w:right="215"/>
              <w:contextualSpacing/>
              <w:jc w:val="both"/>
              <w:rPr>
                <w:iCs/>
              </w:rPr>
            </w:pPr>
            <w:r>
              <w:rPr>
                <w:iCs/>
              </w:rPr>
              <w:t xml:space="preserve">Kredītiestāžu likuma 63. pantā, paredzot Finanšu ministrijai </w:t>
            </w:r>
            <w:r w:rsidR="00D75C94">
              <w:rPr>
                <w:iCs/>
              </w:rPr>
              <w:t xml:space="preserve">tiesības </w:t>
            </w:r>
            <w:r>
              <w:rPr>
                <w:iCs/>
              </w:rPr>
              <w:t>pieprasīt no kredītiestādēm kontu informāciju OLAF pieprasījumā norādītajā apjomā.</w:t>
            </w:r>
          </w:p>
          <w:p w14:paraId="4BF9F5BA" w14:textId="77777777" w:rsidR="00936C76" w:rsidRPr="00A368C8" w:rsidRDefault="00936C76" w:rsidP="00751385">
            <w:pPr>
              <w:pStyle w:val="naisnod"/>
              <w:spacing w:before="0" w:after="0"/>
              <w:rPr>
                <w:b w:val="0"/>
              </w:rPr>
            </w:pPr>
          </w:p>
        </w:tc>
      </w:tr>
      <w:tr w:rsidR="00936C76" w:rsidRPr="00A368C8" w14:paraId="2A4595ED" w14:textId="77777777" w:rsidTr="00755A99">
        <w:trPr>
          <w:trHeight w:val="411"/>
          <w:jc w:val="center"/>
        </w:trPr>
        <w:tc>
          <w:tcPr>
            <w:tcW w:w="685" w:type="dxa"/>
          </w:tcPr>
          <w:p w14:paraId="0082FFB1" w14:textId="77777777" w:rsidR="00936C76" w:rsidRPr="00751385" w:rsidRDefault="00936C76" w:rsidP="00751385">
            <w:pPr>
              <w:pStyle w:val="naisnod"/>
              <w:spacing w:before="0" w:after="0"/>
              <w:rPr>
                <w:b w:val="0"/>
              </w:rPr>
            </w:pPr>
            <w:r>
              <w:rPr>
                <w:b w:val="0"/>
                <w:iCs/>
                <w:color w:val="000000" w:themeColor="text1"/>
              </w:rPr>
              <w:t>2.</w:t>
            </w:r>
          </w:p>
        </w:tc>
        <w:tc>
          <w:tcPr>
            <w:tcW w:w="1867" w:type="dxa"/>
          </w:tcPr>
          <w:p w14:paraId="3C97D835" w14:textId="77777777" w:rsidR="00936C76" w:rsidRPr="00751385" w:rsidRDefault="00936C76" w:rsidP="00751385">
            <w:pPr>
              <w:pStyle w:val="naisnod"/>
              <w:spacing w:before="0" w:after="0"/>
              <w:rPr>
                <w:b w:val="0"/>
              </w:rPr>
            </w:pPr>
            <w:r w:rsidRPr="00751385">
              <w:rPr>
                <w:b w:val="0"/>
                <w:iCs/>
                <w:color w:val="000000" w:themeColor="text1"/>
              </w:rPr>
              <w:t>Atbildīgā institūcija</w:t>
            </w:r>
          </w:p>
        </w:tc>
        <w:tc>
          <w:tcPr>
            <w:tcW w:w="7508" w:type="dxa"/>
          </w:tcPr>
          <w:p w14:paraId="284E37DB" w14:textId="77777777" w:rsidR="00A96699" w:rsidRDefault="00A96699" w:rsidP="00751385">
            <w:pPr>
              <w:pStyle w:val="naisnod"/>
              <w:spacing w:before="0" w:after="0"/>
              <w:ind w:firstLine="284"/>
              <w:jc w:val="both"/>
              <w:rPr>
                <w:b w:val="0"/>
              </w:rPr>
            </w:pPr>
          </w:p>
          <w:p w14:paraId="5BC1A041" w14:textId="77777777" w:rsidR="00936C76" w:rsidRDefault="00936C76" w:rsidP="00751385">
            <w:pPr>
              <w:pStyle w:val="naisnod"/>
              <w:spacing w:before="0" w:after="0"/>
              <w:ind w:firstLine="284"/>
              <w:jc w:val="both"/>
              <w:rPr>
                <w:b w:val="0"/>
              </w:rPr>
            </w:pPr>
            <w:r>
              <w:rPr>
                <w:b w:val="0"/>
              </w:rPr>
              <w:t>Finanšu ministrija</w:t>
            </w:r>
          </w:p>
          <w:p w14:paraId="2E2DB355" w14:textId="77777777" w:rsidR="00A96699" w:rsidRPr="00A368C8" w:rsidRDefault="00A96699" w:rsidP="00751385">
            <w:pPr>
              <w:pStyle w:val="naisnod"/>
              <w:spacing w:before="0" w:after="0"/>
              <w:ind w:firstLine="284"/>
              <w:jc w:val="both"/>
              <w:rPr>
                <w:b w:val="0"/>
              </w:rPr>
            </w:pPr>
          </w:p>
        </w:tc>
      </w:tr>
      <w:tr w:rsidR="00936C76" w:rsidRPr="00A368C8" w14:paraId="6CEEDF26" w14:textId="77777777" w:rsidTr="00755A99">
        <w:trPr>
          <w:trHeight w:val="411"/>
          <w:jc w:val="center"/>
        </w:trPr>
        <w:tc>
          <w:tcPr>
            <w:tcW w:w="685" w:type="dxa"/>
          </w:tcPr>
          <w:p w14:paraId="4A957AF7" w14:textId="77777777" w:rsidR="00936C76" w:rsidRPr="00751385" w:rsidRDefault="00936C76" w:rsidP="00751385">
            <w:pPr>
              <w:pStyle w:val="naisnod"/>
              <w:spacing w:before="0" w:after="0"/>
              <w:rPr>
                <w:b w:val="0"/>
                <w:iCs/>
                <w:color w:val="000000" w:themeColor="text1"/>
              </w:rPr>
            </w:pPr>
            <w:r>
              <w:rPr>
                <w:b w:val="0"/>
                <w:iCs/>
                <w:color w:val="000000" w:themeColor="text1"/>
              </w:rPr>
              <w:t>3.</w:t>
            </w:r>
          </w:p>
        </w:tc>
        <w:tc>
          <w:tcPr>
            <w:tcW w:w="1867" w:type="dxa"/>
          </w:tcPr>
          <w:p w14:paraId="251B91F9" w14:textId="77777777" w:rsidR="00443138" w:rsidRDefault="00443138" w:rsidP="00751385">
            <w:pPr>
              <w:pStyle w:val="naisnod"/>
              <w:spacing w:before="0" w:after="0"/>
              <w:rPr>
                <w:b w:val="0"/>
                <w:iCs/>
                <w:color w:val="000000" w:themeColor="text1"/>
              </w:rPr>
            </w:pPr>
          </w:p>
          <w:p w14:paraId="639B35B6" w14:textId="7E7D39B3" w:rsidR="00936C76" w:rsidRPr="00751385" w:rsidRDefault="00936C76" w:rsidP="00751385">
            <w:pPr>
              <w:pStyle w:val="naisnod"/>
              <w:spacing w:before="0" w:after="0"/>
              <w:rPr>
                <w:b w:val="0"/>
                <w:iCs/>
                <w:color w:val="000000" w:themeColor="text1"/>
              </w:rPr>
            </w:pPr>
            <w:r w:rsidRPr="00751385">
              <w:rPr>
                <w:b w:val="0"/>
                <w:iCs/>
                <w:color w:val="000000" w:themeColor="text1"/>
              </w:rPr>
              <w:t>Cita informācija</w:t>
            </w:r>
          </w:p>
        </w:tc>
        <w:tc>
          <w:tcPr>
            <w:tcW w:w="7508" w:type="dxa"/>
          </w:tcPr>
          <w:p w14:paraId="54687B1B" w14:textId="77777777" w:rsidR="00A96699" w:rsidRDefault="00A96699" w:rsidP="00A96699">
            <w:pPr>
              <w:pStyle w:val="naisnod"/>
              <w:spacing w:before="0" w:after="0"/>
              <w:jc w:val="both"/>
              <w:rPr>
                <w:b w:val="0"/>
              </w:rPr>
            </w:pPr>
          </w:p>
          <w:p w14:paraId="47479B8A" w14:textId="77777777" w:rsidR="00936C76" w:rsidRDefault="00936C76" w:rsidP="00751385">
            <w:pPr>
              <w:pStyle w:val="naisnod"/>
              <w:spacing w:before="0" w:after="0"/>
              <w:ind w:firstLine="284"/>
              <w:jc w:val="both"/>
              <w:rPr>
                <w:b w:val="0"/>
              </w:rPr>
            </w:pPr>
            <w:r>
              <w:rPr>
                <w:b w:val="0"/>
              </w:rPr>
              <w:t>Nav</w:t>
            </w:r>
          </w:p>
          <w:p w14:paraId="2126EA15" w14:textId="77777777" w:rsidR="00A96699" w:rsidRDefault="00A96699" w:rsidP="00751385">
            <w:pPr>
              <w:pStyle w:val="naisnod"/>
              <w:spacing w:before="0" w:after="0"/>
              <w:ind w:firstLine="284"/>
              <w:jc w:val="both"/>
              <w:rPr>
                <w:b w:val="0"/>
              </w:rPr>
            </w:pPr>
          </w:p>
        </w:tc>
      </w:tr>
    </w:tbl>
    <w:p w14:paraId="22F3A580" w14:textId="77777777" w:rsidR="00AE5066" w:rsidRDefault="00AE5066" w:rsidP="0011315C">
      <w:pPr>
        <w:pStyle w:val="naiskr"/>
        <w:widowControl w:val="0"/>
        <w:tabs>
          <w:tab w:val="left" w:pos="2628"/>
        </w:tabs>
        <w:spacing w:before="0" w:after="0"/>
        <w:rPr>
          <w:sz w:val="16"/>
          <w:szCs w:val="16"/>
        </w:rPr>
      </w:pPr>
    </w:p>
    <w:p w14:paraId="7820DA2A" w14:textId="77777777" w:rsidR="00751385" w:rsidRDefault="00751385" w:rsidP="0011315C">
      <w:pPr>
        <w:pStyle w:val="naiskr"/>
        <w:widowControl w:val="0"/>
        <w:tabs>
          <w:tab w:val="left" w:pos="2628"/>
        </w:tabs>
        <w:spacing w:before="0" w:after="0"/>
        <w:rPr>
          <w:sz w:val="16"/>
          <w:szCs w:val="16"/>
        </w:rPr>
      </w:pPr>
    </w:p>
    <w:tbl>
      <w:tblPr>
        <w:tblW w:w="5828" w:type="pct"/>
        <w:tblInd w:w="-717"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27"/>
        <w:gridCol w:w="1842"/>
        <w:gridCol w:w="7371"/>
        <w:gridCol w:w="23"/>
      </w:tblGrid>
      <w:tr w:rsidR="00936C76" w:rsidRPr="00936C76" w14:paraId="084A7AD2" w14:textId="77777777" w:rsidTr="00A96699">
        <w:trPr>
          <w:trHeight w:val="244"/>
        </w:trPr>
        <w:tc>
          <w:tcPr>
            <w:tcW w:w="5000" w:type="pct"/>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5E8614" w14:textId="77777777" w:rsidR="00936C76" w:rsidRPr="00936C76" w:rsidRDefault="00936C76" w:rsidP="00B863C9">
            <w:pPr>
              <w:pStyle w:val="tvhtml"/>
              <w:spacing w:line="293" w:lineRule="atLeast"/>
              <w:jc w:val="center"/>
              <w:rPr>
                <w:b/>
                <w:bCs/>
              </w:rPr>
            </w:pPr>
            <w:r w:rsidRPr="00936C76">
              <w:rPr>
                <w:b/>
                <w:bCs/>
              </w:rPr>
              <w:t>V. Tiesību akta projekta atbilstība Latvijas Republikas starptautiskajām saistībām</w:t>
            </w:r>
          </w:p>
        </w:tc>
      </w:tr>
      <w:tr w:rsidR="00936C76" w:rsidRPr="00936C76" w14:paraId="136A0059" w14:textId="77777777" w:rsidTr="00A96699">
        <w:trPr>
          <w:gridAfter w:val="1"/>
          <w:wAfter w:w="11" w:type="pct"/>
        </w:trPr>
        <w:tc>
          <w:tcPr>
            <w:tcW w:w="221" w:type="pct"/>
            <w:tcBorders>
              <w:top w:val="outset" w:sz="6" w:space="0" w:color="414142"/>
              <w:left w:val="outset" w:sz="6" w:space="0" w:color="414142"/>
              <w:bottom w:val="outset" w:sz="6" w:space="0" w:color="414142"/>
              <w:right w:val="outset" w:sz="6" w:space="0" w:color="414142"/>
            </w:tcBorders>
            <w:shd w:val="clear" w:color="auto" w:fill="FFFFFF"/>
            <w:hideMark/>
          </w:tcPr>
          <w:p w14:paraId="2C567DB1" w14:textId="77777777" w:rsidR="00936C76" w:rsidRPr="00936C76" w:rsidRDefault="00936C76" w:rsidP="00B863C9">
            <w:r>
              <w:t>1.</w:t>
            </w:r>
          </w:p>
        </w:tc>
        <w:tc>
          <w:tcPr>
            <w:tcW w:w="953" w:type="pct"/>
            <w:tcBorders>
              <w:top w:val="outset" w:sz="6" w:space="0" w:color="414142"/>
              <w:left w:val="outset" w:sz="6" w:space="0" w:color="414142"/>
              <w:bottom w:val="outset" w:sz="6" w:space="0" w:color="414142"/>
              <w:right w:val="outset" w:sz="6" w:space="0" w:color="414142"/>
            </w:tcBorders>
            <w:shd w:val="clear" w:color="auto" w:fill="FFFFFF"/>
          </w:tcPr>
          <w:p w14:paraId="0D20BA02" w14:textId="77777777" w:rsidR="00936C76" w:rsidRPr="00936C76" w:rsidRDefault="00936C76" w:rsidP="00B863C9">
            <w:r w:rsidRPr="00936C76">
              <w:t>Saistības pret Eiropas Savienību</w:t>
            </w:r>
          </w:p>
        </w:tc>
        <w:tc>
          <w:tcPr>
            <w:tcW w:w="3814" w:type="pct"/>
            <w:tcBorders>
              <w:top w:val="outset" w:sz="6" w:space="0" w:color="414142"/>
              <w:left w:val="outset" w:sz="6" w:space="0" w:color="414142"/>
              <w:bottom w:val="outset" w:sz="6" w:space="0" w:color="414142"/>
              <w:right w:val="outset" w:sz="6" w:space="0" w:color="414142"/>
            </w:tcBorders>
            <w:shd w:val="clear" w:color="auto" w:fill="FFFFFF"/>
            <w:hideMark/>
          </w:tcPr>
          <w:p w14:paraId="3B8C95E0" w14:textId="77777777" w:rsidR="00A96699" w:rsidRDefault="00A96699" w:rsidP="00B863C9"/>
          <w:p w14:paraId="1B5E803A" w14:textId="77777777" w:rsidR="00936C76" w:rsidRPr="00936C76" w:rsidRDefault="00936C76" w:rsidP="00B863C9">
            <w:r>
              <w:t xml:space="preserve">Regula </w:t>
            </w:r>
            <w:r w:rsidR="003D541F">
              <w:t>883/2013 un R</w:t>
            </w:r>
            <w:r>
              <w:t>egula 2185/96</w:t>
            </w:r>
          </w:p>
        </w:tc>
      </w:tr>
      <w:tr w:rsidR="00936C76" w:rsidRPr="00936C76" w14:paraId="699650E7" w14:textId="77777777" w:rsidTr="00A96699">
        <w:trPr>
          <w:gridAfter w:val="1"/>
          <w:wAfter w:w="11" w:type="pct"/>
        </w:trPr>
        <w:tc>
          <w:tcPr>
            <w:tcW w:w="221" w:type="pct"/>
            <w:tcBorders>
              <w:top w:val="outset" w:sz="6" w:space="0" w:color="414142"/>
              <w:left w:val="outset" w:sz="6" w:space="0" w:color="414142"/>
              <w:bottom w:val="outset" w:sz="6" w:space="0" w:color="414142"/>
              <w:right w:val="outset" w:sz="6" w:space="0" w:color="414142"/>
            </w:tcBorders>
            <w:shd w:val="clear" w:color="auto" w:fill="FFFFFF"/>
            <w:hideMark/>
          </w:tcPr>
          <w:p w14:paraId="649C108D" w14:textId="77777777" w:rsidR="00936C76" w:rsidRPr="00936C76" w:rsidRDefault="00936C76" w:rsidP="00B863C9">
            <w:r>
              <w:t>2.</w:t>
            </w:r>
          </w:p>
        </w:tc>
        <w:tc>
          <w:tcPr>
            <w:tcW w:w="953" w:type="pct"/>
            <w:tcBorders>
              <w:top w:val="outset" w:sz="6" w:space="0" w:color="414142"/>
              <w:left w:val="outset" w:sz="6" w:space="0" w:color="414142"/>
              <w:bottom w:val="outset" w:sz="6" w:space="0" w:color="414142"/>
              <w:right w:val="outset" w:sz="6" w:space="0" w:color="414142"/>
            </w:tcBorders>
            <w:shd w:val="clear" w:color="auto" w:fill="FFFFFF"/>
          </w:tcPr>
          <w:p w14:paraId="5233D03B" w14:textId="77777777" w:rsidR="00936C76" w:rsidRPr="00936C76" w:rsidRDefault="00936C76" w:rsidP="00B863C9">
            <w:r w:rsidRPr="00936C76">
              <w:t>Citas starptautiskās saistības</w:t>
            </w:r>
          </w:p>
        </w:tc>
        <w:tc>
          <w:tcPr>
            <w:tcW w:w="3814" w:type="pct"/>
            <w:tcBorders>
              <w:top w:val="outset" w:sz="6" w:space="0" w:color="414142"/>
              <w:left w:val="outset" w:sz="6" w:space="0" w:color="414142"/>
              <w:bottom w:val="outset" w:sz="6" w:space="0" w:color="414142"/>
              <w:right w:val="outset" w:sz="6" w:space="0" w:color="414142"/>
            </w:tcBorders>
            <w:shd w:val="clear" w:color="auto" w:fill="FFFFFF"/>
            <w:hideMark/>
          </w:tcPr>
          <w:p w14:paraId="28C84D90" w14:textId="77777777" w:rsidR="00070419" w:rsidRDefault="00070419" w:rsidP="00B863C9">
            <w:pPr>
              <w:rPr>
                <w:i/>
              </w:rPr>
            </w:pPr>
          </w:p>
          <w:p w14:paraId="275456E5" w14:textId="77777777" w:rsidR="00936C76" w:rsidRPr="007A3C82" w:rsidRDefault="00936C76" w:rsidP="00B863C9">
            <w:pPr>
              <w:rPr>
                <w:i/>
              </w:rPr>
            </w:pPr>
            <w:r w:rsidRPr="007A3C82">
              <w:rPr>
                <w:i/>
              </w:rPr>
              <w:t>Likumprojekts šo jomu neskar</w:t>
            </w:r>
          </w:p>
        </w:tc>
      </w:tr>
      <w:tr w:rsidR="00936C76" w:rsidRPr="00936C76" w14:paraId="1533676E" w14:textId="77777777" w:rsidTr="00A96699">
        <w:trPr>
          <w:gridAfter w:val="1"/>
          <w:wAfter w:w="11" w:type="pct"/>
        </w:trPr>
        <w:tc>
          <w:tcPr>
            <w:tcW w:w="221" w:type="pct"/>
            <w:tcBorders>
              <w:top w:val="outset" w:sz="6" w:space="0" w:color="414142"/>
              <w:left w:val="outset" w:sz="6" w:space="0" w:color="414142"/>
              <w:bottom w:val="outset" w:sz="6" w:space="0" w:color="414142"/>
              <w:right w:val="outset" w:sz="6" w:space="0" w:color="414142"/>
            </w:tcBorders>
            <w:shd w:val="clear" w:color="auto" w:fill="FFFFFF"/>
            <w:hideMark/>
          </w:tcPr>
          <w:p w14:paraId="46AA9339" w14:textId="77777777" w:rsidR="00936C76" w:rsidRPr="00936C76" w:rsidRDefault="00936C76" w:rsidP="00B863C9">
            <w:r>
              <w:t>3.</w:t>
            </w:r>
          </w:p>
        </w:tc>
        <w:tc>
          <w:tcPr>
            <w:tcW w:w="953" w:type="pct"/>
            <w:tcBorders>
              <w:top w:val="outset" w:sz="6" w:space="0" w:color="414142"/>
              <w:left w:val="outset" w:sz="6" w:space="0" w:color="414142"/>
              <w:bottom w:val="outset" w:sz="6" w:space="0" w:color="414142"/>
              <w:right w:val="outset" w:sz="6" w:space="0" w:color="414142"/>
            </w:tcBorders>
            <w:shd w:val="clear" w:color="auto" w:fill="FFFFFF"/>
          </w:tcPr>
          <w:p w14:paraId="18DEBB5D" w14:textId="77777777" w:rsidR="00936C76" w:rsidRPr="00936C76" w:rsidRDefault="00936C76" w:rsidP="00B863C9">
            <w:r w:rsidRPr="00936C76">
              <w:t>Cita informācija</w:t>
            </w:r>
          </w:p>
        </w:tc>
        <w:tc>
          <w:tcPr>
            <w:tcW w:w="3814" w:type="pct"/>
            <w:tcBorders>
              <w:top w:val="outset" w:sz="6" w:space="0" w:color="414142"/>
              <w:left w:val="outset" w:sz="6" w:space="0" w:color="414142"/>
              <w:bottom w:val="outset" w:sz="6" w:space="0" w:color="414142"/>
              <w:right w:val="outset" w:sz="6" w:space="0" w:color="414142"/>
            </w:tcBorders>
            <w:shd w:val="clear" w:color="auto" w:fill="FFFFFF"/>
            <w:hideMark/>
          </w:tcPr>
          <w:p w14:paraId="33C6A777" w14:textId="77777777" w:rsidR="00936C76" w:rsidRDefault="00B863C9" w:rsidP="00070419">
            <w:pPr>
              <w:ind w:right="249" w:firstLine="254"/>
              <w:jc w:val="both"/>
            </w:pPr>
            <w:r>
              <w:t>Regula</w:t>
            </w:r>
            <w:r w:rsidR="001B2F02">
              <w:t xml:space="preserve"> 883/2013</w:t>
            </w:r>
            <w:r w:rsidR="001B2F02" w:rsidRPr="001B2F02">
              <w:t xml:space="preserve"> </w:t>
            </w:r>
            <w:r>
              <w:t>paredz, ka OLAF pilnvaru realizēšanai dalībvalstīs jāpiemēro attiecīgais nacionālais regulējums</w:t>
            </w:r>
            <w:r w:rsidR="001B2F02" w:rsidRPr="001B2F02">
              <w:t xml:space="preserve">, un tas jo īpaši skar pārbaudes uz vietas un digitālās kriminālistikas operācijas, kas veiktas dalībvalstu teritorijā. </w:t>
            </w:r>
          </w:p>
          <w:p w14:paraId="67136169" w14:textId="77777777" w:rsidR="001B2F02" w:rsidRDefault="001525DC" w:rsidP="00A96699">
            <w:pPr>
              <w:ind w:left="112" w:right="249" w:firstLine="426"/>
              <w:jc w:val="both"/>
            </w:pPr>
            <w:r>
              <w:t>Latvijas R</w:t>
            </w:r>
            <w:r w:rsidR="00B863C9">
              <w:t xml:space="preserve">epublikas </w:t>
            </w:r>
            <w:r w:rsidR="001B2F02">
              <w:t>n</w:t>
            </w:r>
            <w:r w:rsidR="00B863C9">
              <w:t xml:space="preserve">ormatīvajos aktos nav noregulēta administratīvā izmeklēšana, kāda tā paredzēta Regulās </w:t>
            </w:r>
            <w:r w:rsidR="00070419">
              <w:t>883/2013 un 2185/96, līdz ar to</w:t>
            </w:r>
            <w:r w:rsidR="00B863C9">
              <w:t xml:space="preserve"> nav </w:t>
            </w:r>
            <w:r w:rsidR="00B863C9" w:rsidRPr="00F13C47">
              <w:t xml:space="preserve">noteikta </w:t>
            </w:r>
            <w:r w:rsidR="001B2F02" w:rsidRPr="00F13C47">
              <w:t>Kompe</w:t>
            </w:r>
            <w:r w:rsidR="00B863C9" w:rsidRPr="00F13C47">
              <w:t>tentā iestāde</w:t>
            </w:r>
            <w:r w:rsidR="00B863C9">
              <w:t xml:space="preserve"> atbalsta sniegšana</w:t>
            </w:r>
            <w:r w:rsidR="001B2F02">
              <w:t xml:space="preserve"> OLAF, kā arī nav noteiktas kompetentās iestādes tiesības un pienākumi. </w:t>
            </w:r>
          </w:p>
          <w:p w14:paraId="6D8CE989" w14:textId="77777777" w:rsidR="00F40FB3" w:rsidRDefault="00F40FB3" w:rsidP="00A96699">
            <w:pPr>
              <w:ind w:left="112" w:right="249" w:firstLine="426"/>
              <w:jc w:val="both"/>
            </w:pPr>
            <w:r>
              <w:t>Šobrīd ES līmenī norisinās diskusijas par Regulas 883/2013 grozījumu projektu, kura viens no mērķiem ir uzlabot OLAF izmekl</w:t>
            </w:r>
            <w:r w:rsidR="00B863C9">
              <w:t>ēšanu efektivitāti dalībvalstīs, nosakot skaidrāku nosacījumus atbalsta sniegšanai OLAF.</w:t>
            </w:r>
          </w:p>
          <w:p w14:paraId="51E8184A" w14:textId="77777777" w:rsidR="001B2F02" w:rsidRDefault="00B863C9" w:rsidP="00B863C9">
            <w:pPr>
              <w:ind w:left="112" w:right="249" w:firstLine="426"/>
              <w:jc w:val="both"/>
            </w:pPr>
            <w:r>
              <w:t>Ar likumprojektu ti</w:t>
            </w:r>
            <w:r w:rsidR="001B2F02">
              <w:t>k</w:t>
            </w:r>
            <w:r>
              <w:t xml:space="preserve">s aizpildīta Regulā 883/2013 un </w:t>
            </w:r>
            <w:r w:rsidR="00DC1EDB">
              <w:t xml:space="preserve">Regulā </w:t>
            </w:r>
            <w:r>
              <w:t>2185/96</w:t>
            </w:r>
            <w:r w:rsidR="001B2F02">
              <w:t xml:space="preserve"> ietvertā rīcības brīvības attiecībā uz to, kādā veidā nacionālā līmenī tiek sniegts atbalsts OLAF veiktajās</w:t>
            </w:r>
            <w:r w:rsidR="001525DC">
              <w:t xml:space="preserve"> </w:t>
            </w:r>
            <w:r w:rsidR="00070419">
              <w:t>administratīvajās</w:t>
            </w:r>
            <w:r w:rsidR="001B2F02">
              <w:t xml:space="preserve"> izmeklēšanās.</w:t>
            </w:r>
          </w:p>
          <w:p w14:paraId="4FF8C1E6" w14:textId="77777777" w:rsidR="00936C76" w:rsidRPr="00936C76" w:rsidRDefault="00936C76" w:rsidP="00936C76"/>
        </w:tc>
      </w:tr>
    </w:tbl>
    <w:p w14:paraId="70139663" w14:textId="77777777" w:rsidR="007F6EC7" w:rsidRDefault="007F6EC7" w:rsidP="0011315C">
      <w:pPr>
        <w:pStyle w:val="naiskr"/>
        <w:widowControl w:val="0"/>
        <w:tabs>
          <w:tab w:val="left" w:pos="2628"/>
        </w:tabs>
        <w:spacing w:before="0" w:after="0"/>
        <w:rPr>
          <w:sz w:val="16"/>
          <w:szCs w:val="16"/>
        </w:rPr>
      </w:pPr>
    </w:p>
    <w:p w14:paraId="3A7D5358" w14:textId="77777777" w:rsidR="003D541F" w:rsidRDefault="003D541F" w:rsidP="0011315C">
      <w:pPr>
        <w:pStyle w:val="naiskr"/>
        <w:widowControl w:val="0"/>
        <w:tabs>
          <w:tab w:val="left" w:pos="2628"/>
        </w:tabs>
        <w:spacing w:before="0" w:after="0"/>
        <w:rPr>
          <w:sz w:val="16"/>
          <w:szCs w:val="16"/>
        </w:rPr>
      </w:pPr>
    </w:p>
    <w:p w14:paraId="74F328B6" w14:textId="77777777" w:rsidR="008C6112" w:rsidRPr="007A464C" w:rsidRDefault="008C6112" w:rsidP="0011315C">
      <w:pPr>
        <w:widowControl w:val="0"/>
        <w:rPr>
          <w:sz w:val="20"/>
          <w:szCs w:val="20"/>
        </w:rPr>
      </w:pP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96"/>
        <w:gridCol w:w="1726"/>
        <w:gridCol w:w="7458"/>
      </w:tblGrid>
      <w:tr w:rsidR="00E547C1" w:rsidRPr="00E547C1" w14:paraId="238B065D" w14:textId="77777777" w:rsidTr="009325E8">
        <w:trPr>
          <w:jc w:val="center"/>
        </w:trPr>
        <w:tc>
          <w:tcPr>
            <w:tcW w:w="9580" w:type="dxa"/>
            <w:gridSpan w:val="3"/>
          </w:tcPr>
          <w:p w14:paraId="2F6DD4D7" w14:textId="77777777" w:rsidR="007067D6" w:rsidRPr="00E547C1" w:rsidRDefault="00277929" w:rsidP="0011315C">
            <w:pPr>
              <w:pStyle w:val="naisnod"/>
              <w:widowControl w:val="0"/>
              <w:spacing w:before="0" w:after="0"/>
              <w:ind w:left="57" w:right="57"/>
            </w:pPr>
            <w:r w:rsidRPr="00E547C1">
              <w:t>VI</w:t>
            </w:r>
            <w:r w:rsidR="000941C5" w:rsidRPr="00E547C1">
              <w:t>.</w:t>
            </w:r>
            <w:r w:rsidRPr="00E547C1">
              <w:t xml:space="preserve"> Sabiedrības līdzdalība un </w:t>
            </w:r>
            <w:r w:rsidR="00EE337A" w:rsidRPr="00E547C1">
              <w:t>komunikācijas aktivitātes</w:t>
            </w:r>
          </w:p>
        </w:tc>
      </w:tr>
      <w:tr w:rsidR="00E547C1" w:rsidRPr="00E547C1" w14:paraId="4A011B9D" w14:textId="77777777" w:rsidTr="00443138">
        <w:tblPrEx>
          <w:jc w:val="left"/>
          <w:tblCellMar>
            <w:left w:w="108" w:type="dxa"/>
            <w:right w:w="108" w:type="dxa"/>
          </w:tblCellMar>
        </w:tblPrEx>
        <w:trPr>
          <w:trHeight w:val="416"/>
        </w:trPr>
        <w:tc>
          <w:tcPr>
            <w:tcW w:w="396" w:type="dxa"/>
          </w:tcPr>
          <w:p w14:paraId="277FD17D" w14:textId="77777777" w:rsidR="00DC5289" w:rsidRPr="00E547C1" w:rsidRDefault="00DC5289" w:rsidP="0011315C">
            <w:pPr>
              <w:pStyle w:val="naisf"/>
              <w:widowControl w:val="0"/>
              <w:ind w:left="-9" w:firstLine="0"/>
              <w:jc w:val="left"/>
            </w:pPr>
            <w:r w:rsidRPr="00E547C1">
              <w:t>1.</w:t>
            </w:r>
          </w:p>
          <w:p w14:paraId="6D94689F" w14:textId="77777777" w:rsidR="00DC5289" w:rsidRPr="00E547C1" w:rsidRDefault="00DC5289" w:rsidP="0011315C">
            <w:pPr>
              <w:pStyle w:val="naisf"/>
              <w:widowControl w:val="0"/>
              <w:ind w:left="-9"/>
              <w:jc w:val="left"/>
            </w:pPr>
          </w:p>
        </w:tc>
        <w:tc>
          <w:tcPr>
            <w:tcW w:w="1726" w:type="dxa"/>
          </w:tcPr>
          <w:p w14:paraId="717E8F26" w14:textId="77777777" w:rsidR="007067D6" w:rsidRPr="00E547C1" w:rsidRDefault="00DC5289" w:rsidP="0011315C">
            <w:pPr>
              <w:pStyle w:val="naisf"/>
              <w:widowControl w:val="0"/>
              <w:ind w:firstLine="0"/>
            </w:pPr>
            <w:r w:rsidRPr="00E547C1">
              <w:t xml:space="preserve">Plānotās sabiedrības līdzdalības un komunikācijas aktivitātes saistībā ar </w:t>
            </w:r>
            <w:r w:rsidRPr="00E547C1">
              <w:lastRenderedPageBreak/>
              <w:t>projektu</w:t>
            </w:r>
          </w:p>
        </w:tc>
        <w:tc>
          <w:tcPr>
            <w:tcW w:w="7458" w:type="dxa"/>
          </w:tcPr>
          <w:p w14:paraId="1F469A85" w14:textId="77777777" w:rsidR="00A96699" w:rsidRDefault="00A96699" w:rsidP="00A96699">
            <w:pPr>
              <w:pStyle w:val="naisf"/>
              <w:widowControl w:val="0"/>
              <w:spacing w:before="0" w:after="0"/>
              <w:ind w:right="125" w:firstLine="284"/>
              <w:rPr>
                <w:iCs/>
              </w:rPr>
            </w:pPr>
          </w:p>
          <w:p w14:paraId="72A2A194" w14:textId="23115C67" w:rsidR="00FB04C3" w:rsidRPr="006B71A7" w:rsidRDefault="006B71A7" w:rsidP="00A96699">
            <w:pPr>
              <w:pStyle w:val="naisf"/>
              <w:widowControl w:val="0"/>
              <w:spacing w:before="0" w:after="0"/>
              <w:ind w:right="125" w:firstLine="284"/>
            </w:pPr>
            <w:r w:rsidRPr="006B71A7">
              <w:rPr>
                <w:iCs/>
              </w:rPr>
              <w:t xml:space="preserve">Informācija par projekta izstrādi </w:t>
            </w:r>
            <w:r w:rsidR="00B83FEE">
              <w:rPr>
                <w:iCs/>
              </w:rPr>
              <w:t>tika</w:t>
            </w:r>
            <w:r w:rsidRPr="006B71A7">
              <w:rPr>
                <w:iCs/>
              </w:rPr>
              <w:t xml:space="preserve"> publicēta Finanšu ministrijas tīmekļvietnē sadaļā “Sabiedrības līdzdalība” – “Tiesību aktu projekti” – “</w:t>
            </w:r>
            <w:r w:rsidR="00B83FEE">
              <w:rPr>
                <w:iCs/>
              </w:rPr>
              <w:t>Valsts budžeta</w:t>
            </w:r>
            <w:r w:rsidRPr="006B71A7">
              <w:rPr>
                <w:iCs/>
              </w:rPr>
              <w:t xml:space="preserve"> politika”</w:t>
            </w:r>
            <w:r>
              <w:rPr>
                <w:iCs/>
              </w:rPr>
              <w:t xml:space="preserve">. </w:t>
            </w:r>
            <w:r w:rsidRPr="006B71A7">
              <w:rPr>
                <w:iCs/>
              </w:rPr>
              <w:t>L</w:t>
            </w:r>
            <w:r w:rsidRPr="006B71A7">
              <w:rPr>
                <w:iCs/>
                <w:spacing w:val="-2"/>
              </w:rPr>
              <w:t>īdz ar</w:t>
            </w:r>
            <w:r w:rsidR="00B83FEE">
              <w:rPr>
                <w:iCs/>
                <w:spacing w:val="-2"/>
              </w:rPr>
              <w:t xml:space="preserve"> to sabiedrības pārstāvji varēja</w:t>
            </w:r>
            <w:r w:rsidRPr="006B71A7">
              <w:rPr>
                <w:iCs/>
                <w:spacing w:val="-2"/>
              </w:rPr>
              <w:t xml:space="preserve"> līdzdarboties projekta izstrādē, rakstveidā sniedzot viedokļus par projektu.</w:t>
            </w:r>
            <w:r w:rsidRPr="006B71A7">
              <w:rPr>
                <w:iCs/>
              </w:rPr>
              <w:t xml:space="preserve"> </w:t>
            </w:r>
            <w:r w:rsidRPr="006B71A7">
              <w:rPr>
                <w:iCs/>
                <w:spacing w:val="-2"/>
              </w:rPr>
              <w:t xml:space="preserve">Tāpat sabiedrības pārstāvji varēs sniegt viedokļus par projektu pēc tā </w:t>
            </w:r>
            <w:r w:rsidRPr="006B71A7">
              <w:rPr>
                <w:iCs/>
                <w:spacing w:val="-2"/>
              </w:rPr>
              <w:lastRenderedPageBreak/>
              <w:t>izsludināšanas Valsts sekretāru sanāksmē.</w:t>
            </w:r>
          </w:p>
          <w:p w14:paraId="641D8C9F" w14:textId="04FDD39F" w:rsidR="001F3F72" w:rsidRDefault="00FB04C3" w:rsidP="00A96699">
            <w:pPr>
              <w:pStyle w:val="naisf"/>
              <w:widowControl w:val="0"/>
              <w:spacing w:before="0" w:after="0"/>
              <w:ind w:right="125" w:firstLine="284"/>
            </w:pPr>
            <w:r w:rsidRPr="00076138">
              <w:t xml:space="preserve">Sabiedrība pēc normatīvā akta pieņemšanas tiks informēta ar publikāciju </w:t>
            </w:r>
            <w:r w:rsidR="00DC1EDB">
              <w:t>oficiālajā izdevumā</w:t>
            </w:r>
            <w:r w:rsidR="00DC1EDB" w:rsidRPr="00076138">
              <w:t xml:space="preserve"> </w:t>
            </w:r>
            <w:r w:rsidRPr="00076138">
              <w:t xml:space="preserve">"Latvijas Vēstnesis", kā arī </w:t>
            </w:r>
            <w:r w:rsidR="00B83FEE">
              <w:t>normatīvais akts tiks ievietots</w:t>
            </w:r>
            <w:r w:rsidRPr="00076138">
              <w:t xml:space="preserve"> bezmaksas normatīvo aktu datu bāzē </w:t>
            </w:r>
            <w:hyperlink r:id="rId12" w:history="1">
              <w:r w:rsidR="00A96699" w:rsidRPr="007759F6">
                <w:rPr>
                  <w:rStyle w:val="Hyperlink"/>
                </w:rPr>
                <w:t>www.likumi.lv</w:t>
              </w:r>
            </w:hyperlink>
            <w:r>
              <w:t>.</w:t>
            </w:r>
          </w:p>
          <w:p w14:paraId="5CA8924A" w14:textId="77777777" w:rsidR="00A96699" w:rsidRPr="00E547C1" w:rsidRDefault="00A96699" w:rsidP="00A96699">
            <w:pPr>
              <w:pStyle w:val="naisf"/>
              <w:widowControl w:val="0"/>
              <w:spacing w:before="0" w:after="0"/>
              <w:ind w:right="125" w:firstLine="284"/>
            </w:pPr>
          </w:p>
        </w:tc>
      </w:tr>
      <w:tr w:rsidR="00E547C1" w:rsidRPr="00E547C1" w14:paraId="5E9AC202" w14:textId="77777777" w:rsidTr="00443138">
        <w:tblPrEx>
          <w:jc w:val="left"/>
          <w:tblCellMar>
            <w:left w:w="108" w:type="dxa"/>
            <w:right w:w="108" w:type="dxa"/>
          </w:tblCellMar>
        </w:tblPrEx>
        <w:trPr>
          <w:trHeight w:val="630"/>
        </w:trPr>
        <w:tc>
          <w:tcPr>
            <w:tcW w:w="396" w:type="dxa"/>
          </w:tcPr>
          <w:p w14:paraId="278D441B" w14:textId="5961A110" w:rsidR="00DC5289" w:rsidRPr="00E547C1" w:rsidRDefault="00B83FEE" w:rsidP="0047074D">
            <w:pPr>
              <w:pStyle w:val="naisf"/>
              <w:ind w:left="-9" w:firstLine="0"/>
              <w:jc w:val="left"/>
            </w:pPr>
            <w:r>
              <w:lastRenderedPageBreak/>
              <w:t>2.</w:t>
            </w:r>
          </w:p>
        </w:tc>
        <w:tc>
          <w:tcPr>
            <w:tcW w:w="1726" w:type="dxa"/>
          </w:tcPr>
          <w:p w14:paraId="717A9320" w14:textId="77777777" w:rsidR="00DC5289" w:rsidRPr="00076138" w:rsidRDefault="00DC5289" w:rsidP="002E0B38">
            <w:pPr>
              <w:pStyle w:val="naisf"/>
              <w:ind w:firstLine="0"/>
            </w:pPr>
            <w:r w:rsidRPr="00E547C1">
              <w:t>Sabiedrības līdzdalība projekta izstrādē</w:t>
            </w:r>
          </w:p>
        </w:tc>
        <w:tc>
          <w:tcPr>
            <w:tcW w:w="7458" w:type="dxa"/>
          </w:tcPr>
          <w:p w14:paraId="066B323B" w14:textId="77777777" w:rsidR="00A96699" w:rsidRDefault="00A96699" w:rsidP="00015B1F">
            <w:pPr>
              <w:pStyle w:val="naisf"/>
              <w:spacing w:before="0" w:after="0"/>
              <w:ind w:firstLine="284"/>
              <w:rPr>
                <w:iCs/>
              </w:rPr>
            </w:pPr>
          </w:p>
          <w:p w14:paraId="4A28A4AA" w14:textId="6D3AACFC" w:rsidR="00B83FEE" w:rsidRPr="00B83FEE" w:rsidRDefault="00B83FEE" w:rsidP="00B83FEE">
            <w:pPr>
              <w:pStyle w:val="NormalWeb"/>
              <w:spacing w:line="252" w:lineRule="auto"/>
              <w:jc w:val="both"/>
              <w:rPr>
                <w:rFonts w:ascii="Calibri" w:hAnsi="Calibri" w:cs="Calibri"/>
                <w:sz w:val="22"/>
                <w:szCs w:val="22"/>
              </w:rPr>
            </w:pPr>
            <w:r>
              <w:rPr>
                <w:iCs/>
                <w:spacing w:val="-2"/>
              </w:rPr>
              <w:t>S</w:t>
            </w:r>
            <w:r w:rsidRPr="00B83FEE">
              <w:rPr>
                <w:iCs/>
                <w:spacing w:val="-2"/>
              </w:rPr>
              <w:t xml:space="preserve">abiedrības pārstāvji varēja līdzdarboties projekta izstrādē, rakstveidā sniedzot viedokļus par projektu, kas </w:t>
            </w:r>
            <w:r>
              <w:rPr>
                <w:iCs/>
              </w:rPr>
              <w:t>2019</w:t>
            </w:r>
            <w:r w:rsidRPr="00B83FEE">
              <w:rPr>
                <w:iCs/>
              </w:rPr>
              <w:t xml:space="preserve">.gada </w:t>
            </w:r>
            <w:r>
              <w:rPr>
                <w:iCs/>
              </w:rPr>
              <w:t>3.jūnijā</w:t>
            </w:r>
            <w:r w:rsidRPr="00B83FEE">
              <w:rPr>
                <w:iCs/>
              </w:rPr>
              <w:t xml:space="preserve"> publicēts Finanšu ministrijas tīmekļvietnē sadaļā “Sabiedrības līdzdalība” – “Tiesību aktu projekti” – “Valsts budžeta politika”, adrese:</w:t>
            </w:r>
          </w:p>
          <w:p w14:paraId="472CB7CC" w14:textId="35CA79C1" w:rsidR="00B83FEE" w:rsidRPr="00B83FEE" w:rsidRDefault="00BC15EC" w:rsidP="00B83FEE">
            <w:pPr>
              <w:pStyle w:val="naisf"/>
              <w:spacing w:before="0" w:after="0"/>
              <w:ind w:firstLine="0"/>
            </w:pPr>
            <w:hyperlink r:id="rId13" w:anchor="project570" w:history="1">
              <w:r w:rsidR="00B83FEE" w:rsidRPr="00755A1A">
                <w:rPr>
                  <w:rStyle w:val="Hyperlink"/>
                </w:rPr>
                <w:t xml:space="preserve">https://www.fm.gov.lv/lv/sabiedribas_lidzdaliba/ </w:t>
              </w:r>
              <w:proofErr w:type="spellStart"/>
              <w:r w:rsidR="00B83FEE" w:rsidRPr="00755A1A">
                <w:rPr>
                  <w:rStyle w:val="Hyperlink"/>
                </w:rPr>
                <w:t>tiesibu_aktu_projekti</w:t>
              </w:r>
              <w:proofErr w:type="spellEnd"/>
              <w:r w:rsidR="00B83FEE" w:rsidRPr="00755A1A">
                <w:rPr>
                  <w:rStyle w:val="Hyperlink"/>
                </w:rPr>
                <w:t>/valsts_budzeta_politika#project570</w:t>
              </w:r>
            </w:hyperlink>
          </w:p>
          <w:p w14:paraId="46EC6243" w14:textId="77777777" w:rsidR="00B83FEE" w:rsidRPr="00B83FEE" w:rsidRDefault="00B83FEE" w:rsidP="00B83FEE">
            <w:pPr>
              <w:pStyle w:val="NormalWeb"/>
              <w:spacing w:line="252" w:lineRule="auto"/>
              <w:jc w:val="both"/>
              <w:rPr>
                <w:rFonts w:ascii="Calibri" w:hAnsi="Calibri" w:cs="Calibri"/>
                <w:sz w:val="22"/>
                <w:szCs w:val="22"/>
              </w:rPr>
            </w:pPr>
            <w:r w:rsidRPr="00B83FEE">
              <w:rPr>
                <w:iCs/>
              </w:rPr>
              <w:t>un Ministru kabineta tīmekļvietnē sadaļā “Valsts kanceleja” – “Sabiedrības līdzdalība</w:t>
            </w:r>
            <w:r w:rsidRPr="00B83FEE">
              <w:t xml:space="preserve">”, </w:t>
            </w:r>
            <w:r w:rsidRPr="00B83FEE">
              <w:rPr>
                <w:iCs/>
              </w:rPr>
              <w:t>adrese:</w:t>
            </w:r>
            <w:r w:rsidRPr="00B83FEE">
              <w:t xml:space="preserve"> </w:t>
            </w:r>
            <w:hyperlink r:id="rId14" w:history="1">
              <w:r w:rsidRPr="00B83FEE">
                <w:rPr>
                  <w:rStyle w:val="Hyperlink"/>
                </w:rPr>
                <w:t>https://mk.gov.lv/content/ministru-kabineta-diskusiju-dokumenti</w:t>
              </w:r>
            </w:hyperlink>
            <w:r w:rsidRPr="00B83FEE">
              <w:rPr>
                <w:color w:val="0070C0"/>
                <w:u w:val="single"/>
              </w:rPr>
              <w:t>.</w:t>
            </w:r>
          </w:p>
          <w:p w14:paraId="22818A13" w14:textId="77777777" w:rsidR="00A96699" w:rsidRPr="00E547C1" w:rsidRDefault="00A96699" w:rsidP="00B83FEE">
            <w:pPr>
              <w:pStyle w:val="naisf"/>
              <w:spacing w:before="0" w:after="0"/>
              <w:ind w:firstLine="284"/>
            </w:pPr>
          </w:p>
        </w:tc>
      </w:tr>
      <w:tr w:rsidR="00E547C1" w:rsidRPr="00E547C1" w14:paraId="7604FD6F" w14:textId="77777777" w:rsidTr="00443138">
        <w:tblPrEx>
          <w:jc w:val="left"/>
          <w:tblCellMar>
            <w:left w:w="108" w:type="dxa"/>
            <w:right w:w="108" w:type="dxa"/>
          </w:tblCellMar>
        </w:tblPrEx>
        <w:trPr>
          <w:trHeight w:val="630"/>
        </w:trPr>
        <w:tc>
          <w:tcPr>
            <w:tcW w:w="396" w:type="dxa"/>
          </w:tcPr>
          <w:p w14:paraId="7211AF06" w14:textId="77777777" w:rsidR="00DC5289" w:rsidRPr="00E547C1" w:rsidRDefault="00DC5289" w:rsidP="0047074D">
            <w:pPr>
              <w:pStyle w:val="naisf"/>
              <w:ind w:firstLine="0"/>
              <w:jc w:val="left"/>
            </w:pPr>
            <w:r w:rsidRPr="00E547C1">
              <w:t>3.</w:t>
            </w:r>
          </w:p>
        </w:tc>
        <w:tc>
          <w:tcPr>
            <w:tcW w:w="1726" w:type="dxa"/>
          </w:tcPr>
          <w:p w14:paraId="2B747364" w14:textId="77777777" w:rsidR="00DC5289" w:rsidRPr="00076138" w:rsidRDefault="00DC5289" w:rsidP="002E0B38">
            <w:pPr>
              <w:pStyle w:val="naisf"/>
              <w:ind w:firstLine="0"/>
            </w:pPr>
            <w:r w:rsidRPr="00E547C1">
              <w:t>Sabiedrības līdzdalības rezultāti</w:t>
            </w:r>
          </w:p>
        </w:tc>
        <w:tc>
          <w:tcPr>
            <w:tcW w:w="7458" w:type="dxa"/>
          </w:tcPr>
          <w:p w14:paraId="2D7B80B2" w14:textId="61222867" w:rsidR="00DA0B1E" w:rsidRPr="0039106C" w:rsidRDefault="00B842ED" w:rsidP="00D677B0">
            <w:pPr>
              <w:pStyle w:val="naisf"/>
              <w:spacing w:before="0" w:after="0"/>
              <w:ind w:firstLine="284"/>
              <w:rPr>
                <w:b/>
              </w:rPr>
            </w:pPr>
            <w:r w:rsidRPr="007F6B12">
              <w:rPr>
                <w:iCs/>
              </w:rPr>
              <w:t xml:space="preserve">Viedokļi tiks apkopoti pēc atzinumu saņemšanas par Valsts sekretāru sanāksmē izsludināto </w:t>
            </w:r>
            <w:r w:rsidR="00D677B0" w:rsidRPr="007F6B12">
              <w:rPr>
                <w:iCs/>
              </w:rPr>
              <w:t>likumprojektu</w:t>
            </w:r>
            <w:r w:rsidRPr="007F6B12">
              <w:rPr>
                <w:iCs/>
              </w:rPr>
              <w:t>.</w:t>
            </w:r>
          </w:p>
        </w:tc>
      </w:tr>
      <w:tr w:rsidR="00DC5289" w:rsidRPr="00E547C1" w14:paraId="74ED2341" w14:textId="77777777" w:rsidTr="00443138">
        <w:tblPrEx>
          <w:jc w:val="left"/>
          <w:tblCellMar>
            <w:left w:w="108" w:type="dxa"/>
            <w:right w:w="108" w:type="dxa"/>
          </w:tblCellMar>
        </w:tblPrEx>
        <w:trPr>
          <w:trHeight w:val="341"/>
        </w:trPr>
        <w:tc>
          <w:tcPr>
            <w:tcW w:w="396" w:type="dxa"/>
          </w:tcPr>
          <w:p w14:paraId="387B842F" w14:textId="77777777" w:rsidR="00DC5289" w:rsidRPr="00E547C1" w:rsidRDefault="00DC5289" w:rsidP="0047074D">
            <w:pPr>
              <w:pStyle w:val="naisf"/>
              <w:ind w:firstLine="0"/>
              <w:jc w:val="left"/>
            </w:pPr>
            <w:r w:rsidRPr="00E547C1">
              <w:t>4.</w:t>
            </w:r>
          </w:p>
        </w:tc>
        <w:tc>
          <w:tcPr>
            <w:tcW w:w="1726" w:type="dxa"/>
          </w:tcPr>
          <w:p w14:paraId="758AD876" w14:textId="77777777" w:rsidR="00DC5289" w:rsidRPr="00076138" w:rsidRDefault="00DC5289" w:rsidP="002E0B38">
            <w:pPr>
              <w:pStyle w:val="naisf"/>
              <w:ind w:firstLine="0"/>
            </w:pPr>
            <w:r w:rsidRPr="00076138">
              <w:t>Cita informācija</w:t>
            </w:r>
          </w:p>
        </w:tc>
        <w:tc>
          <w:tcPr>
            <w:tcW w:w="7458" w:type="dxa"/>
          </w:tcPr>
          <w:p w14:paraId="6A9F1B74" w14:textId="77777777" w:rsidR="00DC5289" w:rsidRPr="00E547C1" w:rsidRDefault="0011193F" w:rsidP="00D90DB0">
            <w:pPr>
              <w:pStyle w:val="naisf"/>
              <w:spacing w:before="0" w:after="0"/>
              <w:ind w:firstLine="284"/>
            </w:pPr>
            <w:r>
              <w:t>Nav</w:t>
            </w:r>
          </w:p>
        </w:tc>
      </w:tr>
    </w:tbl>
    <w:p w14:paraId="6FA881D4" w14:textId="77777777" w:rsidR="00B83FEE" w:rsidRPr="00B83FEE" w:rsidRDefault="00B83FEE" w:rsidP="004623E5">
      <w:pPr>
        <w:pStyle w:val="naisf"/>
        <w:spacing w:before="0" w:after="0"/>
        <w:ind w:firstLine="0"/>
        <w:rPr>
          <w:b/>
        </w:rPr>
      </w:pPr>
    </w:p>
    <w:tbl>
      <w:tblPr>
        <w:tblW w:w="964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5"/>
        <w:gridCol w:w="2694"/>
        <w:gridCol w:w="6521"/>
      </w:tblGrid>
      <w:tr w:rsidR="00E547C1" w:rsidRPr="00E547C1" w14:paraId="4CDECBF1" w14:textId="77777777" w:rsidTr="00436A2E">
        <w:tc>
          <w:tcPr>
            <w:tcW w:w="9640" w:type="dxa"/>
            <w:gridSpan w:val="3"/>
            <w:tcBorders>
              <w:top w:val="single" w:sz="4" w:space="0" w:color="auto"/>
            </w:tcBorders>
          </w:tcPr>
          <w:p w14:paraId="4E707FAC" w14:textId="77777777" w:rsidR="0023436E" w:rsidRPr="00E547C1" w:rsidRDefault="0023436E" w:rsidP="0047074D">
            <w:pPr>
              <w:pStyle w:val="naisnod"/>
              <w:spacing w:before="0" w:after="0"/>
              <w:ind w:left="57" w:right="57"/>
            </w:pPr>
            <w:r w:rsidRPr="00E547C1">
              <w:t>VII</w:t>
            </w:r>
            <w:r w:rsidR="000941C5" w:rsidRPr="00E547C1">
              <w:t>.</w:t>
            </w:r>
            <w:r w:rsidRPr="00E547C1">
              <w:t xml:space="preserve"> Tiesību akta projekta izpildes nodrošināšana un tās ietekme uz institūcijām</w:t>
            </w:r>
          </w:p>
        </w:tc>
      </w:tr>
      <w:tr w:rsidR="00E547C1" w:rsidRPr="00E547C1" w14:paraId="13077E60" w14:textId="77777777" w:rsidTr="00186B69">
        <w:trPr>
          <w:trHeight w:val="427"/>
        </w:trPr>
        <w:tc>
          <w:tcPr>
            <w:tcW w:w="425" w:type="dxa"/>
          </w:tcPr>
          <w:p w14:paraId="1A42A9F4" w14:textId="77777777" w:rsidR="0023436E" w:rsidRPr="00E547C1" w:rsidRDefault="0023436E" w:rsidP="0047074D">
            <w:pPr>
              <w:pStyle w:val="naisnod"/>
              <w:spacing w:before="0" w:after="0"/>
              <w:ind w:left="57" w:right="57"/>
              <w:jc w:val="left"/>
              <w:rPr>
                <w:b w:val="0"/>
              </w:rPr>
            </w:pPr>
            <w:r w:rsidRPr="00E547C1">
              <w:rPr>
                <w:b w:val="0"/>
              </w:rPr>
              <w:t>1.</w:t>
            </w:r>
          </w:p>
        </w:tc>
        <w:tc>
          <w:tcPr>
            <w:tcW w:w="2694" w:type="dxa"/>
          </w:tcPr>
          <w:p w14:paraId="64CE4801" w14:textId="77777777" w:rsidR="00443138" w:rsidRDefault="00443138" w:rsidP="0047074D">
            <w:pPr>
              <w:pStyle w:val="naisf"/>
              <w:spacing w:before="0" w:after="0"/>
              <w:ind w:left="57" w:right="57" w:firstLine="0"/>
              <w:jc w:val="left"/>
            </w:pPr>
          </w:p>
          <w:p w14:paraId="0A7EC179" w14:textId="4BFDDB2E" w:rsidR="0023436E" w:rsidRPr="00E547C1" w:rsidRDefault="001A4066" w:rsidP="0047074D">
            <w:pPr>
              <w:pStyle w:val="naisf"/>
              <w:spacing w:before="0" w:after="0"/>
              <w:ind w:left="57" w:right="57" w:firstLine="0"/>
              <w:jc w:val="left"/>
            </w:pPr>
            <w:r w:rsidRPr="00E547C1">
              <w:t>P</w:t>
            </w:r>
            <w:r w:rsidR="0023436E" w:rsidRPr="00E547C1">
              <w:t xml:space="preserve">rojekta izpildē iesaistītās institūcijas </w:t>
            </w:r>
          </w:p>
        </w:tc>
        <w:tc>
          <w:tcPr>
            <w:tcW w:w="6521" w:type="dxa"/>
          </w:tcPr>
          <w:p w14:paraId="3BD0EB8A" w14:textId="77777777" w:rsidR="00A96699" w:rsidRDefault="00A96699" w:rsidP="008F0049">
            <w:pPr>
              <w:pStyle w:val="naiskr"/>
              <w:tabs>
                <w:tab w:val="left" w:pos="427"/>
                <w:tab w:val="left" w:pos="2628"/>
              </w:tabs>
              <w:spacing w:before="0" w:after="0"/>
              <w:ind w:firstLine="284"/>
              <w:jc w:val="both"/>
              <w:rPr>
                <w:iCs/>
              </w:rPr>
            </w:pPr>
          </w:p>
          <w:p w14:paraId="58E8E9E5" w14:textId="77777777" w:rsidR="00186B69" w:rsidRDefault="007A3C82" w:rsidP="008F0049">
            <w:pPr>
              <w:pStyle w:val="naiskr"/>
              <w:tabs>
                <w:tab w:val="left" w:pos="427"/>
                <w:tab w:val="left" w:pos="2628"/>
              </w:tabs>
              <w:spacing w:before="0" w:after="0"/>
              <w:ind w:firstLine="284"/>
              <w:jc w:val="both"/>
              <w:rPr>
                <w:iCs/>
              </w:rPr>
            </w:pPr>
            <w:r>
              <w:rPr>
                <w:iCs/>
              </w:rPr>
              <w:t>Finanšu ministrija</w:t>
            </w:r>
            <w:r w:rsidR="001525DC">
              <w:rPr>
                <w:iCs/>
              </w:rPr>
              <w:t>.</w:t>
            </w:r>
          </w:p>
          <w:p w14:paraId="7A61CB15" w14:textId="77777777" w:rsidR="0023436E" w:rsidRDefault="007A3C82" w:rsidP="00186B69">
            <w:pPr>
              <w:pStyle w:val="naiskr"/>
              <w:tabs>
                <w:tab w:val="left" w:pos="427"/>
                <w:tab w:val="left" w:pos="2628"/>
              </w:tabs>
              <w:spacing w:before="0" w:after="0"/>
              <w:ind w:firstLine="284"/>
              <w:jc w:val="both"/>
              <w:rPr>
                <w:iCs/>
              </w:rPr>
            </w:pPr>
            <w:r>
              <w:rPr>
                <w:iCs/>
              </w:rPr>
              <w:t>V</w:t>
            </w:r>
            <w:r w:rsidR="00186B69">
              <w:rPr>
                <w:iCs/>
              </w:rPr>
              <w:t>alsts un pašvaldīb</w:t>
            </w:r>
            <w:r w:rsidR="00070419">
              <w:rPr>
                <w:iCs/>
              </w:rPr>
              <w:t xml:space="preserve">u institūcijas tiks iesaistītas </w:t>
            </w:r>
            <w:r w:rsidR="00186B69">
              <w:rPr>
                <w:iCs/>
              </w:rPr>
              <w:t>savas kompetences ietvaros, ja to rīcīb</w:t>
            </w:r>
            <w:r w:rsidR="00833A64">
              <w:rPr>
                <w:iCs/>
              </w:rPr>
              <w:t>ā atra</w:t>
            </w:r>
            <w:r w:rsidR="00186B69">
              <w:rPr>
                <w:iCs/>
              </w:rPr>
              <w:t>dīsies informācija, kas varētu būt nepieciešama O</w:t>
            </w:r>
            <w:r w:rsidR="00D52B8B">
              <w:rPr>
                <w:iCs/>
              </w:rPr>
              <w:t xml:space="preserve">LAF veikto </w:t>
            </w:r>
            <w:r w:rsidR="001525DC">
              <w:rPr>
                <w:iCs/>
              </w:rPr>
              <w:t xml:space="preserve">administratīvo </w:t>
            </w:r>
            <w:r w:rsidR="00D52B8B">
              <w:rPr>
                <w:iCs/>
              </w:rPr>
              <w:t>izmeklēšanu ietvaros vai būs nepieciešams to atbalsts OLAF</w:t>
            </w:r>
            <w:r w:rsidR="001525DC">
              <w:rPr>
                <w:iCs/>
              </w:rPr>
              <w:t xml:space="preserve"> administratīvo </w:t>
            </w:r>
            <w:r w:rsidR="00D52B8B">
              <w:rPr>
                <w:iCs/>
              </w:rPr>
              <w:t xml:space="preserve"> </w:t>
            </w:r>
            <w:r w:rsidR="001525DC">
              <w:rPr>
                <w:iCs/>
              </w:rPr>
              <w:t xml:space="preserve">pārbaužu </w:t>
            </w:r>
            <w:r w:rsidR="00D52B8B">
              <w:rPr>
                <w:iCs/>
              </w:rPr>
              <w:t xml:space="preserve"> laikā.</w:t>
            </w:r>
          </w:p>
          <w:p w14:paraId="14B8DD1E" w14:textId="77777777" w:rsidR="00A96699" w:rsidRPr="00E547C1" w:rsidRDefault="00A96699" w:rsidP="00186B69">
            <w:pPr>
              <w:pStyle w:val="naiskr"/>
              <w:tabs>
                <w:tab w:val="left" w:pos="427"/>
                <w:tab w:val="left" w:pos="2628"/>
              </w:tabs>
              <w:spacing w:before="0" w:after="0"/>
              <w:ind w:firstLine="284"/>
              <w:jc w:val="both"/>
              <w:rPr>
                <w:iCs/>
              </w:rPr>
            </w:pPr>
          </w:p>
        </w:tc>
      </w:tr>
      <w:tr w:rsidR="00E547C1" w:rsidRPr="00E547C1" w14:paraId="4AD44930" w14:textId="77777777" w:rsidTr="00186B69">
        <w:trPr>
          <w:trHeight w:val="463"/>
        </w:trPr>
        <w:tc>
          <w:tcPr>
            <w:tcW w:w="425" w:type="dxa"/>
          </w:tcPr>
          <w:p w14:paraId="2187DE60" w14:textId="77777777" w:rsidR="0023436E" w:rsidRPr="00E547C1" w:rsidRDefault="0023436E" w:rsidP="0047074D">
            <w:pPr>
              <w:pStyle w:val="naisnod"/>
              <w:spacing w:before="0" w:after="0"/>
              <w:ind w:left="57" w:right="57"/>
              <w:jc w:val="left"/>
              <w:rPr>
                <w:b w:val="0"/>
              </w:rPr>
            </w:pPr>
            <w:r w:rsidRPr="00E547C1">
              <w:rPr>
                <w:b w:val="0"/>
              </w:rPr>
              <w:t>2.</w:t>
            </w:r>
          </w:p>
        </w:tc>
        <w:tc>
          <w:tcPr>
            <w:tcW w:w="2694" w:type="dxa"/>
          </w:tcPr>
          <w:p w14:paraId="746AD6DF" w14:textId="77777777" w:rsidR="0023436E" w:rsidRPr="00E547C1" w:rsidRDefault="001A4066" w:rsidP="0047074D">
            <w:pPr>
              <w:pStyle w:val="naisf"/>
              <w:spacing w:before="0" w:after="0"/>
              <w:ind w:left="57" w:right="57" w:firstLine="0"/>
              <w:jc w:val="left"/>
            </w:pPr>
            <w:r w:rsidRPr="00E547C1">
              <w:t>Projekta i</w:t>
            </w:r>
            <w:r w:rsidR="0023436E" w:rsidRPr="00E547C1">
              <w:t xml:space="preserve">zpildes ietekme uz pārvaldes funkcijām </w:t>
            </w:r>
            <w:r w:rsidR="0053367B" w:rsidRPr="00E547C1">
              <w:t xml:space="preserve">un institucionālo struktūru. </w:t>
            </w:r>
          </w:p>
          <w:p w14:paraId="41C22C96" w14:textId="77777777" w:rsidR="0053367B" w:rsidRPr="00E547C1" w:rsidRDefault="0053367B" w:rsidP="0047074D">
            <w:pPr>
              <w:pStyle w:val="naisf"/>
              <w:spacing w:before="0" w:after="0"/>
              <w:ind w:left="57" w:right="57" w:firstLine="0"/>
              <w:jc w:val="left"/>
            </w:pPr>
            <w:r w:rsidRPr="00E547C1">
              <w:rPr>
                <w:szCs w:val="28"/>
              </w:rPr>
              <w:t>Jaunu institūciju izveide, esošu institūciju likvidācija vai reorganizācija, to ietekme uz institūcijas cilvēkresursiem</w:t>
            </w:r>
          </w:p>
        </w:tc>
        <w:tc>
          <w:tcPr>
            <w:tcW w:w="6521" w:type="dxa"/>
          </w:tcPr>
          <w:p w14:paraId="51354ED5" w14:textId="77777777" w:rsidR="00A96699" w:rsidRDefault="00432575" w:rsidP="00186B69">
            <w:pPr>
              <w:pStyle w:val="naisnod"/>
              <w:spacing w:before="0" w:after="120"/>
              <w:ind w:left="57" w:right="57" w:firstLine="205"/>
              <w:jc w:val="both"/>
              <w:rPr>
                <w:iCs/>
              </w:rPr>
            </w:pPr>
            <w:r w:rsidRPr="000725E8">
              <w:rPr>
                <w:iCs/>
              </w:rPr>
              <w:t xml:space="preserve"> </w:t>
            </w:r>
          </w:p>
          <w:p w14:paraId="051E2124" w14:textId="77777777" w:rsidR="001525DC" w:rsidRPr="00F13C47" w:rsidRDefault="0046120C" w:rsidP="00E250BC">
            <w:pPr>
              <w:pStyle w:val="naisnod"/>
              <w:spacing w:before="0" w:after="120"/>
              <w:ind w:left="57" w:right="57" w:firstLine="204"/>
              <w:contextualSpacing/>
              <w:jc w:val="both"/>
              <w:rPr>
                <w:b w:val="0"/>
                <w:iCs/>
              </w:rPr>
            </w:pPr>
            <w:r w:rsidRPr="00F13C47">
              <w:rPr>
                <w:b w:val="0"/>
                <w:iCs/>
              </w:rPr>
              <w:t>Likumprojektā</w:t>
            </w:r>
            <w:r w:rsidR="00186B69" w:rsidRPr="00F13C47">
              <w:rPr>
                <w:b w:val="0"/>
                <w:iCs/>
              </w:rPr>
              <w:t xml:space="preserve"> noteikts, ka Finanšu ministrija pilda Kompetentās iest</w:t>
            </w:r>
            <w:r w:rsidRPr="00F13C47">
              <w:rPr>
                <w:b w:val="0"/>
                <w:iCs/>
              </w:rPr>
              <w:t>ādes funkciju</w:t>
            </w:r>
            <w:r w:rsidR="00186B69" w:rsidRPr="00F13C47">
              <w:rPr>
                <w:b w:val="0"/>
                <w:iCs/>
              </w:rPr>
              <w:t xml:space="preserve"> atbalsta sniegšanai OLAF. </w:t>
            </w:r>
            <w:r w:rsidR="007A3C82" w:rsidRPr="00F13C47">
              <w:rPr>
                <w:b w:val="0"/>
                <w:iCs/>
              </w:rPr>
              <w:t>Līdz ar to</w:t>
            </w:r>
            <w:r w:rsidR="00186B69" w:rsidRPr="00F13C47">
              <w:rPr>
                <w:b w:val="0"/>
                <w:iCs/>
              </w:rPr>
              <w:t xml:space="preserve">  Finanšu ministrijas pilnvaras tiek paplašinātas ar tiesībām (pēc OLAF pieprasījuma)</w:t>
            </w:r>
            <w:r w:rsidR="001525DC" w:rsidRPr="00F13C47">
              <w:rPr>
                <w:b w:val="0"/>
                <w:iCs/>
              </w:rPr>
              <w:t>:</w:t>
            </w:r>
          </w:p>
          <w:p w14:paraId="6FEA1ACC" w14:textId="77777777" w:rsidR="001525DC" w:rsidRPr="00F13C47" w:rsidRDefault="001525DC" w:rsidP="00E250BC">
            <w:pPr>
              <w:pStyle w:val="naisnod"/>
              <w:spacing w:after="120"/>
              <w:ind w:left="57" w:right="57" w:firstLine="204"/>
              <w:contextualSpacing/>
              <w:jc w:val="both"/>
              <w:rPr>
                <w:b w:val="0"/>
                <w:iCs/>
              </w:rPr>
            </w:pPr>
            <w:r w:rsidRPr="00F13C47">
              <w:rPr>
                <w:b w:val="0"/>
                <w:iCs/>
              </w:rPr>
              <w:t>1)</w:t>
            </w:r>
            <w:r w:rsidRPr="00F13C47">
              <w:rPr>
                <w:b w:val="0"/>
                <w:iCs/>
              </w:rPr>
              <w:tab/>
              <w:t>piedalīties un sniegt atbalstu OLAF izmeklētāju veiktajās pārbaudēs uz vietas Latvijas Republikā;</w:t>
            </w:r>
          </w:p>
          <w:p w14:paraId="0312F136" w14:textId="77777777" w:rsidR="00414F7F" w:rsidRPr="00F13C47" w:rsidRDefault="001525DC" w:rsidP="00414F7F">
            <w:pPr>
              <w:pStyle w:val="naisnod"/>
              <w:spacing w:after="120"/>
              <w:ind w:left="57" w:right="57" w:firstLine="204"/>
              <w:contextualSpacing/>
              <w:jc w:val="both"/>
              <w:rPr>
                <w:b w:val="0"/>
                <w:iCs/>
              </w:rPr>
            </w:pPr>
            <w:r w:rsidRPr="00F13C47">
              <w:rPr>
                <w:b w:val="0"/>
                <w:iCs/>
              </w:rPr>
              <w:t>2)</w:t>
            </w:r>
            <w:r w:rsidRPr="00F13C47">
              <w:rPr>
                <w:b w:val="0"/>
                <w:iCs/>
              </w:rPr>
              <w:tab/>
              <w:t>piedalīties un sniegt atbalstu OLAF sanāksmēs ar valsts vai pašvaldību institūcijām, tai skaitā ar tiesībaizsardzības iestādēm;</w:t>
            </w:r>
          </w:p>
          <w:p w14:paraId="08BC43B7" w14:textId="77777777" w:rsidR="001525DC" w:rsidRPr="00F13C47" w:rsidRDefault="00414F7F" w:rsidP="00414F7F">
            <w:pPr>
              <w:pStyle w:val="naisnod"/>
              <w:spacing w:after="120"/>
              <w:ind w:left="57" w:right="57" w:firstLine="204"/>
              <w:contextualSpacing/>
              <w:jc w:val="both"/>
              <w:rPr>
                <w:b w:val="0"/>
                <w:iCs/>
              </w:rPr>
            </w:pPr>
            <w:r w:rsidRPr="00F13C47">
              <w:rPr>
                <w:b w:val="0"/>
                <w:iCs/>
              </w:rPr>
              <w:t>3)    pieprasīt un bez maksas noteiktajā apjomā un formā saņemt no privātpersonām, valsts un pašvaldību institūcijām un amatpersonām informāciju, dokumentus vai to kopijas un citus materiālus, tostarp ierobežotas pieejamības informāciju, kas attiecas uz OLAF veikto administratīvo izmeklēšanu;</w:t>
            </w:r>
          </w:p>
          <w:p w14:paraId="397E8592" w14:textId="77777777" w:rsidR="0023436E" w:rsidRPr="00F13C47" w:rsidRDefault="001525DC" w:rsidP="00E250BC">
            <w:pPr>
              <w:pStyle w:val="naisnod"/>
              <w:spacing w:before="0" w:after="120"/>
              <w:ind w:left="57" w:right="57" w:firstLine="204"/>
              <w:contextualSpacing/>
              <w:jc w:val="both"/>
              <w:rPr>
                <w:b w:val="0"/>
                <w:iCs/>
              </w:rPr>
            </w:pPr>
            <w:r w:rsidRPr="00F13C47">
              <w:rPr>
                <w:b w:val="0"/>
                <w:iCs/>
              </w:rPr>
              <w:t>4)</w:t>
            </w:r>
            <w:r w:rsidRPr="00F13C47">
              <w:rPr>
                <w:b w:val="0"/>
                <w:iCs/>
              </w:rPr>
              <w:tab/>
              <w:t>pieprasīt informāciju Kont</w:t>
            </w:r>
            <w:r w:rsidR="00E250BC" w:rsidRPr="00F13C47">
              <w:rPr>
                <w:b w:val="0"/>
                <w:iCs/>
              </w:rPr>
              <w:t>u reģistrā un no kredītiestādēm.</w:t>
            </w:r>
          </w:p>
          <w:p w14:paraId="42E55252" w14:textId="3FD6A339" w:rsidR="00B842ED" w:rsidRDefault="0046120C" w:rsidP="00B842ED">
            <w:pPr>
              <w:widowControl w:val="0"/>
              <w:autoSpaceDE w:val="0"/>
              <w:autoSpaceDN w:val="0"/>
              <w:adjustRightInd w:val="0"/>
              <w:ind w:left="138" w:right="148" w:firstLine="276"/>
              <w:contextualSpacing/>
              <w:jc w:val="both"/>
            </w:pPr>
            <w:r w:rsidRPr="007F6B12">
              <w:rPr>
                <w:iCs/>
              </w:rPr>
              <w:t xml:space="preserve">Papildus plānots </w:t>
            </w:r>
            <w:r w:rsidR="007F6B12" w:rsidRPr="007F6B12">
              <w:rPr>
                <w:iCs/>
              </w:rPr>
              <w:t>Kompetentajai iestādei</w:t>
            </w:r>
            <w:r w:rsidR="00E250BC" w:rsidRPr="007F6B12">
              <w:rPr>
                <w:iCs/>
              </w:rPr>
              <w:t xml:space="preserve"> noteikt </w:t>
            </w:r>
            <w:r w:rsidRPr="007F6B12">
              <w:rPr>
                <w:iCs/>
              </w:rPr>
              <w:t xml:space="preserve">tiesības </w:t>
            </w:r>
            <w:r w:rsidR="00D677B0" w:rsidRPr="007F6B12">
              <w:rPr>
                <w:iCs/>
              </w:rPr>
              <w:t xml:space="preserve">APL </w:t>
            </w:r>
            <w:r w:rsidR="00D677B0" w:rsidRPr="007F6B12">
              <w:rPr>
                <w:iCs/>
              </w:rPr>
              <w:lastRenderedPageBreak/>
              <w:t xml:space="preserve">noteiktajā kārtībā </w:t>
            </w:r>
            <w:r w:rsidRPr="007F6B12">
              <w:rPr>
                <w:iCs/>
              </w:rPr>
              <w:t>uzlikt</w:t>
            </w:r>
            <w:r w:rsidR="00E250BC" w:rsidRPr="00F13C47">
              <w:rPr>
                <w:iCs/>
              </w:rPr>
              <w:t xml:space="preserve"> personai</w:t>
            </w:r>
            <w:r w:rsidRPr="00F13C47">
              <w:rPr>
                <w:iCs/>
              </w:rPr>
              <w:t xml:space="preserve"> tiesisku pienākumu un piespiedu naudu, ja attiecīgā</w:t>
            </w:r>
            <w:r w:rsidR="00E250BC" w:rsidRPr="00F13C47">
              <w:rPr>
                <w:iCs/>
              </w:rPr>
              <w:t xml:space="preserve"> persona</w:t>
            </w:r>
            <w:r w:rsidRPr="00F13C47">
              <w:rPr>
                <w:iCs/>
              </w:rPr>
              <w:t xml:space="preserve"> </w:t>
            </w:r>
            <w:r w:rsidR="007A3C82" w:rsidRPr="00F13C47">
              <w:rPr>
                <w:iCs/>
              </w:rPr>
              <w:t>nesadarbojas OLAF administratīvās izmeklēšanas ietvaros.</w:t>
            </w:r>
            <w:r w:rsidRPr="00F13C47">
              <w:rPr>
                <w:iCs/>
              </w:rPr>
              <w:t xml:space="preserve"> </w:t>
            </w:r>
          </w:p>
          <w:p w14:paraId="45D70473" w14:textId="77777777" w:rsidR="007A3C82" w:rsidRPr="00F13C47" w:rsidRDefault="007A3C82" w:rsidP="00E250BC">
            <w:pPr>
              <w:pStyle w:val="naisnod"/>
              <w:spacing w:before="0" w:after="120"/>
              <w:ind w:left="57" w:right="57" w:firstLine="204"/>
              <w:contextualSpacing/>
              <w:jc w:val="both"/>
              <w:rPr>
                <w:b w:val="0"/>
                <w:iCs/>
              </w:rPr>
            </w:pPr>
          </w:p>
          <w:p w14:paraId="64D29933" w14:textId="4C2CBEB8" w:rsidR="00186B69" w:rsidRDefault="00186B69" w:rsidP="00E250BC">
            <w:pPr>
              <w:pStyle w:val="naisnod"/>
              <w:spacing w:before="0" w:after="120"/>
              <w:ind w:left="57" w:right="57" w:firstLine="204"/>
              <w:contextualSpacing/>
              <w:jc w:val="both"/>
              <w:rPr>
                <w:b w:val="0"/>
                <w:iCs/>
              </w:rPr>
            </w:pPr>
            <w:r w:rsidRPr="00F13C47">
              <w:rPr>
                <w:b w:val="0"/>
                <w:iCs/>
              </w:rPr>
              <w:t>J</w:t>
            </w:r>
            <w:r w:rsidR="007A3C82" w:rsidRPr="00F13C47">
              <w:rPr>
                <w:b w:val="0"/>
                <w:iCs/>
              </w:rPr>
              <w:t>auno uzdevumu</w:t>
            </w:r>
            <w:r w:rsidRPr="00F13C47">
              <w:rPr>
                <w:b w:val="0"/>
                <w:iCs/>
              </w:rPr>
              <w:t xml:space="preserve"> izpilde</w:t>
            </w:r>
            <w:r w:rsidR="007A3C82" w:rsidRPr="00F13C47">
              <w:rPr>
                <w:b w:val="0"/>
                <w:iCs/>
              </w:rPr>
              <w:t>i</w:t>
            </w:r>
            <w:r w:rsidRPr="00F13C47">
              <w:rPr>
                <w:b w:val="0"/>
                <w:iCs/>
              </w:rPr>
              <w:t xml:space="preserve"> </w:t>
            </w:r>
            <w:r w:rsidR="007A3C82" w:rsidRPr="00F13C47">
              <w:rPr>
                <w:b w:val="0"/>
                <w:iCs/>
              </w:rPr>
              <w:t>nav nepieciešam</w:t>
            </w:r>
            <w:r w:rsidR="0039106C">
              <w:rPr>
                <w:b w:val="0"/>
                <w:iCs/>
              </w:rPr>
              <w:t>i papildu</w:t>
            </w:r>
            <w:r w:rsidR="007A3C82" w:rsidRPr="00F13C47">
              <w:rPr>
                <w:b w:val="0"/>
                <w:iCs/>
              </w:rPr>
              <w:t>s cilvēkresurs</w:t>
            </w:r>
            <w:r w:rsidR="0039106C">
              <w:rPr>
                <w:b w:val="0"/>
                <w:iCs/>
              </w:rPr>
              <w:t>i</w:t>
            </w:r>
            <w:r w:rsidR="007A3C82" w:rsidRPr="00F13C47">
              <w:rPr>
                <w:b w:val="0"/>
                <w:iCs/>
              </w:rPr>
              <w:t>.</w:t>
            </w:r>
          </w:p>
          <w:p w14:paraId="7E4C292B" w14:textId="77777777" w:rsidR="00A96699" w:rsidRPr="00186B69" w:rsidRDefault="00A96699" w:rsidP="007A3C82">
            <w:pPr>
              <w:pStyle w:val="naisnod"/>
              <w:spacing w:before="0" w:after="120"/>
              <w:ind w:left="57" w:right="57" w:firstLine="205"/>
              <w:jc w:val="both"/>
              <w:rPr>
                <w:b w:val="0"/>
              </w:rPr>
            </w:pPr>
          </w:p>
        </w:tc>
      </w:tr>
      <w:tr w:rsidR="00E547C1" w:rsidRPr="00E547C1" w14:paraId="085F99BA" w14:textId="77777777" w:rsidTr="00186B69">
        <w:trPr>
          <w:trHeight w:val="235"/>
        </w:trPr>
        <w:tc>
          <w:tcPr>
            <w:tcW w:w="425" w:type="dxa"/>
          </w:tcPr>
          <w:p w14:paraId="4D0885F0" w14:textId="77777777" w:rsidR="0023436E" w:rsidRPr="00E547C1" w:rsidRDefault="0053367B" w:rsidP="0047074D">
            <w:pPr>
              <w:pStyle w:val="naiskr"/>
              <w:spacing w:before="0" w:after="0"/>
              <w:ind w:left="57" w:right="57"/>
            </w:pPr>
            <w:r w:rsidRPr="00E547C1">
              <w:lastRenderedPageBreak/>
              <w:t>3</w:t>
            </w:r>
            <w:r w:rsidR="0023436E" w:rsidRPr="00E547C1">
              <w:t>.</w:t>
            </w:r>
          </w:p>
        </w:tc>
        <w:tc>
          <w:tcPr>
            <w:tcW w:w="2694" w:type="dxa"/>
          </w:tcPr>
          <w:p w14:paraId="5B07174F" w14:textId="77777777" w:rsidR="0023436E" w:rsidRPr="00E547C1" w:rsidRDefault="006C4607" w:rsidP="0047074D">
            <w:pPr>
              <w:pStyle w:val="naiskr"/>
              <w:spacing w:before="0" w:after="0"/>
              <w:ind w:left="57" w:right="57"/>
            </w:pPr>
            <w:r w:rsidRPr="00E547C1">
              <w:t>Cita informācija</w:t>
            </w:r>
          </w:p>
        </w:tc>
        <w:tc>
          <w:tcPr>
            <w:tcW w:w="6521" w:type="dxa"/>
          </w:tcPr>
          <w:p w14:paraId="3A162AB6" w14:textId="77777777" w:rsidR="00A96699" w:rsidRDefault="00A96699" w:rsidP="007C58A7">
            <w:pPr>
              <w:pStyle w:val="naiskr"/>
              <w:spacing w:before="0" w:after="0"/>
              <w:ind w:firstLine="284"/>
            </w:pPr>
          </w:p>
          <w:p w14:paraId="7F714900" w14:textId="77777777" w:rsidR="0023436E" w:rsidRDefault="0023436E" w:rsidP="007C58A7">
            <w:pPr>
              <w:pStyle w:val="naiskr"/>
              <w:spacing w:before="0" w:after="0"/>
              <w:ind w:firstLine="284"/>
            </w:pPr>
            <w:r w:rsidRPr="00E547C1">
              <w:t>Nav</w:t>
            </w:r>
          </w:p>
          <w:p w14:paraId="380A90BE" w14:textId="77777777" w:rsidR="00A96699" w:rsidRPr="00E547C1" w:rsidRDefault="00A96699" w:rsidP="007C58A7">
            <w:pPr>
              <w:pStyle w:val="naiskr"/>
              <w:spacing w:before="0" w:after="0"/>
              <w:ind w:firstLine="284"/>
            </w:pPr>
          </w:p>
        </w:tc>
      </w:tr>
    </w:tbl>
    <w:p w14:paraId="569919BC" w14:textId="77777777" w:rsidR="00BF40ED" w:rsidRDefault="00BF40ED" w:rsidP="00436A2E">
      <w:pPr>
        <w:pStyle w:val="naisf"/>
        <w:tabs>
          <w:tab w:val="left" w:pos="6804"/>
        </w:tabs>
        <w:spacing w:before="0" w:after="0"/>
        <w:ind w:firstLine="0"/>
        <w:contextualSpacing/>
      </w:pPr>
    </w:p>
    <w:p w14:paraId="4A7D1EBB" w14:textId="77777777" w:rsidR="00436A2E" w:rsidRDefault="00436A2E" w:rsidP="00436A2E">
      <w:pPr>
        <w:pStyle w:val="naisf"/>
        <w:tabs>
          <w:tab w:val="left" w:pos="6804"/>
        </w:tabs>
        <w:spacing w:before="0" w:after="0"/>
        <w:ind w:firstLine="0"/>
        <w:contextualSpacing/>
      </w:pPr>
    </w:p>
    <w:p w14:paraId="3D10D92E" w14:textId="77777777" w:rsidR="008404F7" w:rsidRDefault="008404F7" w:rsidP="00436A2E">
      <w:pPr>
        <w:pStyle w:val="naisf"/>
        <w:tabs>
          <w:tab w:val="left" w:pos="6804"/>
        </w:tabs>
        <w:spacing w:before="0" w:after="0"/>
        <w:ind w:firstLine="0"/>
        <w:contextualSpacing/>
      </w:pPr>
    </w:p>
    <w:p w14:paraId="4A688D1B" w14:textId="77777777" w:rsidR="007645B4" w:rsidRDefault="007645B4" w:rsidP="00436A2E">
      <w:pPr>
        <w:pStyle w:val="naisf"/>
        <w:tabs>
          <w:tab w:val="left" w:pos="6804"/>
        </w:tabs>
        <w:spacing w:before="0" w:after="0"/>
        <w:ind w:firstLine="0"/>
        <w:contextualSpacing/>
      </w:pPr>
    </w:p>
    <w:p w14:paraId="27FA2505" w14:textId="77777777" w:rsidR="00965D43" w:rsidRDefault="004550C6" w:rsidP="00436A2E">
      <w:pPr>
        <w:pStyle w:val="BodyText"/>
        <w:spacing w:after="0" w:line="240" w:lineRule="auto"/>
        <w:contextualSpacing/>
        <w:rPr>
          <w:color w:val="auto"/>
          <w:sz w:val="26"/>
          <w:szCs w:val="26"/>
        </w:rPr>
      </w:pPr>
      <w:r w:rsidRPr="00436A2E">
        <w:rPr>
          <w:color w:val="auto"/>
          <w:sz w:val="26"/>
          <w:szCs w:val="26"/>
        </w:rPr>
        <w:t>Finanšu ministr</w:t>
      </w:r>
      <w:r w:rsidR="008404F7">
        <w:rPr>
          <w:color w:val="auto"/>
          <w:sz w:val="26"/>
          <w:szCs w:val="26"/>
        </w:rPr>
        <w:t>s</w:t>
      </w:r>
      <w:r w:rsidR="008404F7">
        <w:rPr>
          <w:color w:val="auto"/>
          <w:sz w:val="26"/>
          <w:szCs w:val="26"/>
        </w:rPr>
        <w:tab/>
      </w:r>
      <w:r w:rsidR="008404F7">
        <w:rPr>
          <w:color w:val="auto"/>
          <w:sz w:val="26"/>
          <w:szCs w:val="26"/>
        </w:rPr>
        <w:tab/>
      </w:r>
      <w:r w:rsidR="008404F7">
        <w:rPr>
          <w:color w:val="auto"/>
          <w:sz w:val="26"/>
          <w:szCs w:val="26"/>
        </w:rPr>
        <w:tab/>
      </w:r>
      <w:r w:rsidR="008404F7">
        <w:rPr>
          <w:color w:val="auto"/>
          <w:sz w:val="26"/>
          <w:szCs w:val="26"/>
        </w:rPr>
        <w:tab/>
      </w:r>
      <w:r w:rsidR="008404F7">
        <w:rPr>
          <w:color w:val="auto"/>
          <w:sz w:val="26"/>
          <w:szCs w:val="26"/>
        </w:rPr>
        <w:tab/>
      </w:r>
      <w:r w:rsidR="008404F7">
        <w:rPr>
          <w:color w:val="auto"/>
          <w:sz w:val="26"/>
          <w:szCs w:val="26"/>
        </w:rPr>
        <w:tab/>
        <w:t xml:space="preserve">J. Reirs </w:t>
      </w:r>
    </w:p>
    <w:p w14:paraId="426AECFC" w14:textId="77777777" w:rsidR="004550C6" w:rsidRPr="00436A2E" w:rsidRDefault="00436A2E" w:rsidP="00436A2E">
      <w:pPr>
        <w:pStyle w:val="BodyText"/>
        <w:spacing w:after="0" w:line="240" w:lineRule="auto"/>
        <w:contextualSpacing/>
        <w:rPr>
          <w:color w:val="auto"/>
          <w:sz w:val="26"/>
          <w:szCs w:val="26"/>
        </w:rPr>
      </w:pPr>
      <w:r w:rsidRPr="00436A2E">
        <w:rPr>
          <w:color w:val="auto"/>
          <w:sz w:val="26"/>
          <w:szCs w:val="26"/>
        </w:rPr>
        <w:tab/>
      </w:r>
      <w:r w:rsidRPr="00436A2E">
        <w:rPr>
          <w:color w:val="auto"/>
          <w:sz w:val="26"/>
          <w:szCs w:val="26"/>
        </w:rPr>
        <w:tab/>
      </w:r>
      <w:r w:rsidRPr="00436A2E">
        <w:rPr>
          <w:color w:val="auto"/>
          <w:sz w:val="26"/>
          <w:szCs w:val="26"/>
        </w:rPr>
        <w:tab/>
      </w:r>
      <w:r w:rsidR="004550C6" w:rsidRPr="00436A2E">
        <w:rPr>
          <w:color w:val="auto"/>
          <w:sz w:val="26"/>
          <w:szCs w:val="26"/>
        </w:rPr>
        <w:tab/>
      </w:r>
      <w:r w:rsidR="00CB075A" w:rsidRPr="00436A2E">
        <w:rPr>
          <w:color w:val="auto"/>
          <w:sz w:val="26"/>
          <w:szCs w:val="26"/>
        </w:rPr>
        <w:t xml:space="preserve"> </w:t>
      </w:r>
      <w:r w:rsidR="00BE2E2C" w:rsidRPr="00436A2E">
        <w:rPr>
          <w:color w:val="auto"/>
          <w:sz w:val="26"/>
          <w:szCs w:val="26"/>
        </w:rPr>
        <w:t xml:space="preserve">     </w:t>
      </w:r>
      <w:r w:rsidR="008404F7">
        <w:rPr>
          <w:color w:val="auto"/>
          <w:sz w:val="26"/>
          <w:szCs w:val="26"/>
        </w:rPr>
        <w:tab/>
      </w:r>
      <w:r w:rsidR="008404F7">
        <w:rPr>
          <w:color w:val="auto"/>
          <w:sz w:val="26"/>
          <w:szCs w:val="26"/>
        </w:rPr>
        <w:tab/>
        <w:t xml:space="preserve">          </w:t>
      </w:r>
    </w:p>
    <w:p w14:paraId="1B1253EB" w14:textId="77777777" w:rsidR="004550C6" w:rsidRDefault="004550C6" w:rsidP="00436A2E">
      <w:pPr>
        <w:contextualSpacing/>
      </w:pPr>
    </w:p>
    <w:p w14:paraId="292A2614" w14:textId="77777777" w:rsidR="00FB04C3" w:rsidRDefault="00FB04C3" w:rsidP="00436A2E">
      <w:pPr>
        <w:contextualSpacing/>
      </w:pPr>
    </w:p>
    <w:p w14:paraId="5103A096" w14:textId="77777777" w:rsidR="00436A2E" w:rsidRDefault="00436A2E" w:rsidP="00436A2E">
      <w:pPr>
        <w:contextualSpacing/>
      </w:pPr>
    </w:p>
    <w:p w14:paraId="133473BC" w14:textId="77777777" w:rsidR="00D257DA" w:rsidRDefault="00D257DA" w:rsidP="00436A2E">
      <w:pPr>
        <w:contextualSpacing/>
        <w:rPr>
          <w:sz w:val="20"/>
          <w:szCs w:val="20"/>
        </w:rPr>
      </w:pPr>
    </w:p>
    <w:p w14:paraId="5E48B395" w14:textId="77777777" w:rsidR="00D257DA" w:rsidRDefault="00D257DA" w:rsidP="00436A2E">
      <w:pPr>
        <w:contextualSpacing/>
        <w:rPr>
          <w:sz w:val="20"/>
          <w:szCs w:val="20"/>
        </w:rPr>
      </w:pPr>
    </w:p>
    <w:p w14:paraId="261E557D" w14:textId="77777777" w:rsidR="004550C6" w:rsidRDefault="008404F7" w:rsidP="00436A2E">
      <w:pPr>
        <w:contextualSpacing/>
        <w:rPr>
          <w:sz w:val="20"/>
          <w:szCs w:val="20"/>
        </w:rPr>
      </w:pPr>
      <w:r>
        <w:rPr>
          <w:sz w:val="20"/>
          <w:szCs w:val="20"/>
        </w:rPr>
        <w:t>Dolgais</w:t>
      </w:r>
    </w:p>
    <w:p w14:paraId="74C267A3" w14:textId="77777777" w:rsidR="008404F7" w:rsidRPr="00FB37AF" w:rsidRDefault="008404F7" w:rsidP="00436A2E">
      <w:pPr>
        <w:contextualSpacing/>
        <w:rPr>
          <w:sz w:val="20"/>
        </w:rPr>
      </w:pPr>
      <w:r>
        <w:rPr>
          <w:sz w:val="20"/>
          <w:szCs w:val="20"/>
        </w:rPr>
        <w:t>67083821, inese.dolgais@fm.gov.lv</w:t>
      </w:r>
    </w:p>
    <w:sectPr w:rsidR="008404F7" w:rsidRPr="00FB37AF" w:rsidSect="007D44A6">
      <w:headerReference w:type="even" r:id="rId15"/>
      <w:headerReference w:type="default" r:id="rId16"/>
      <w:footerReference w:type="default" r:id="rId17"/>
      <w:footerReference w:type="first" r:id="rId18"/>
      <w:pgSz w:w="11906" w:h="16838" w:code="9"/>
      <w:pgMar w:top="1440" w:right="1800" w:bottom="1440" w:left="18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AB19B" w14:textId="77777777" w:rsidR="00BC15EC" w:rsidRDefault="00BC15EC">
      <w:r>
        <w:separator/>
      </w:r>
    </w:p>
  </w:endnote>
  <w:endnote w:type="continuationSeparator" w:id="0">
    <w:p w14:paraId="557A7096" w14:textId="77777777" w:rsidR="00BC15EC" w:rsidRDefault="00BC15EC">
      <w:r>
        <w:continuationSeparator/>
      </w:r>
    </w:p>
  </w:endnote>
  <w:endnote w:type="continuationNotice" w:id="1">
    <w:p w14:paraId="46EE45EA" w14:textId="77777777" w:rsidR="00BC15EC" w:rsidRDefault="00BC15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9E601" w14:textId="77777777" w:rsidR="00C75448" w:rsidRPr="003D6B80" w:rsidRDefault="00C75448" w:rsidP="00C75448">
    <w:pPr>
      <w:pStyle w:val="Footer"/>
      <w:rPr>
        <w:sz w:val="20"/>
        <w:szCs w:val="20"/>
      </w:rPr>
    </w:pPr>
    <w:r w:rsidRPr="003D6B80">
      <w:rPr>
        <w:sz w:val="20"/>
        <w:szCs w:val="20"/>
      </w:rPr>
      <w:t>F</w:t>
    </w:r>
    <w:r>
      <w:rPr>
        <w:sz w:val="20"/>
        <w:szCs w:val="20"/>
      </w:rPr>
      <w:t>MAnot_26.07.2019._EBKAAL</w:t>
    </w:r>
  </w:p>
  <w:p w14:paraId="44DE1636" w14:textId="77777777" w:rsidR="00B863C9" w:rsidRPr="00C75448" w:rsidRDefault="00B863C9" w:rsidP="00C754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A9E2E" w14:textId="77777777" w:rsidR="00B863C9" w:rsidRDefault="00B863C9" w:rsidP="008404F7">
    <w:pPr>
      <w:pStyle w:val="Footer"/>
      <w:rPr>
        <w:sz w:val="20"/>
        <w:szCs w:val="20"/>
      </w:rPr>
    </w:pPr>
  </w:p>
  <w:p w14:paraId="7242EC0D" w14:textId="77777777" w:rsidR="00B863C9" w:rsidRDefault="00B863C9" w:rsidP="008404F7">
    <w:pPr>
      <w:pStyle w:val="Footer"/>
      <w:rPr>
        <w:sz w:val="20"/>
        <w:szCs w:val="20"/>
      </w:rPr>
    </w:pPr>
  </w:p>
  <w:p w14:paraId="0C66A869" w14:textId="61423095" w:rsidR="00B863C9" w:rsidRPr="003D6B80" w:rsidRDefault="00B863C9" w:rsidP="008404F7">
    <w:pPr>
      <w:pStyle w:val="Footer"/>
      <w:rPr>
        <w:sz w:val="20"/>
        <w:szCs w:val="20"/>
      </w:rPr>
    </w:pPr>
    <w:r w:rsidRPr="003D6B80">
      <w:rPr>
        <w:sz w:val="20"/>
        <w:szCs w:val="20"/>
      </w:rPr>
      <w:t>F</w:t>
    </w:r>
    <w:r w:rsidR="00C75448">
      <w:rPr>
        <w:sz w:val="20"/>
        <w:szCs w:val="20"/>
      </w:rPr>
      <w:t>MA</w:t>
    </w:r>
    <w:r w:rsidR="00B809C7">
      <w:rPr>
        <w:sz w:val="20"/>
        <w:szCs w:val="20"/>
      </w:rPr>
      <w:t>not_26</w:t>
    </w:r>
    <w:r>
      <w:rPr>
        <w:sz w:val="20"/>
        <w:szCs w:val="20"/>
      </w:rPr>
      <w:t>.07.2019._</w:t>
    </w:r>
    <w:r w:rsidR="00C75448">
      <w:rPr>
        <w:sz w:val="20"/>
        <w:szCs w:val="20"/>
      </w:rPr>
      <w:t>EBKAAL</w:t>
    </w:r>
  </w:p>
  <w:p w14:paraId="5957828F" w14:textId="77777777" w:rsidR="00B863C9" w:rsidRPr="008404F7" w:rsidRDefault="00B863C9" w:rsidP="00840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46ECA" w14:textId="77777777" w:rsidR="00BC15EC" w:rsidRDefault="00BC15EC">
      <w:r>
        <w:separator/>
      </w:r>
    </w:p>
  </w:footnote>
  <w:footnote w:type="continuationSeparator" w:id="0">
    <w:p w14:paraId="11FC9CF0" w14:textId="77777777" w:rsidR="00BC15EC" w:rsidRDefault="00BC15EC">
      <w:r>
        <w:continuationSeparator/>
      </w:r>
    </w:p>
  </w:footnote>
  <w:footnote w:type="continuationNotice" w:id="1">
    <w:p w14:paraId="38B7BC3D" w14:textId="77777777" w:rsidR="00BC15EC" w:rsidRDefault="00BC15EC"/>
  </w:footnote>
  <w:footnote w:id="2">
    <w:p w14:paraId="57E9874F" w14:textId="77777777" w:rsidR="00B863C9" w:rsidRDefault="00B863C9" w:rsidP="00575320">
      <w:pPr>
        <w:pStyle w:val="FootnoteText"/>
        <w:jc w:val="both"/>
      </w:pPr>
      <w:r>
        <w:rPr>
          <w:rStyle w:val="FootnoteReference"/>
        </w:rPr>
        <w:footnoteRef/>
      </w:r>
      <w:r>
        <w:t xml:space="preserve"> Saskaņā ar </w:t>
      </w:r>
      <w:r w:rsidRPr="00E06F0B">
        <w:t>Regula</w:t>
      </w:r>
      <w:r>
        <w:t>s 883/2013 2.panta 7.apakšpunktu</w:t>
      </w:r>
      <w:r w:rsidRPr="00E06F0B">
        <w:t xml:space="preserve"> “</w:t>
      </w:r>
      <w:r>
        <w:t xml:space="preserve">Administratīvā izmeklēšana” ir </w:t>
      </w:r>
      <w:r w:rsidRPr="00E06F0B">
        <w:t xml:space="preserve"> visas inspekcijas, pārbaudes un citi pasākumi, ko OLAF veic saskaņā ar Regulas 883/2013 3. un 4. pantu, lai sasniegtu Regulas 883/2013 1. pantā izklāstītos mērķus un lai vajadzības gadījumā konstatētu izmeklējamo darbību nelikumību; minētā izmeklēšana neietekmē dalībvalstu kompetento iestāžu pilnvar</w:t>
      </w:r>
      <w:r>
        <w:t xml:space="preserve">as ierosināt kriminālprocesu </w:t>
      </w:r>
    </w:p>
  </w:footnote>
  <w:footnote w:id="3">
    <w:p w14:paraId="34F8C461" w14:textId="77777777" w:rsidR="00B863C9" w:rsidRDefault="00B863C9" w:rsidP="001525DC">
      <w:pPr>
        <w:pStyle w:val="FootnoteText"/>
        <w:jc w:val="both"/>
      </w:pPr>
      <w:r>
        <w:rPr>
          <w:rStyle w:val="FootnoteReference"/>
        </w:rPr>
        <w:footnoteRef/>
      </w:r>
      <w:r>
        <w:t xml:space="preserve"> Ministru Kabineta 16.01.2017. rīkojums Nr. 26 “ </w:t>
      </w:r>
      <w:r w:rsidRPr="00431660">
        <w:t>Par Eiropas Savienības finanšu interešu aizsardzības koordinācijas dienesta (AFCOS) darbības stratēģiju un pasākumu plānu 2017.</w:t>
      </w:r>
      <w:r>
        <w:t xml:space="preserve"> </w:t>
      </w:r>
      <w:r w:rsidRPr="00431660">
        <w:t>-</w:t>
      </w:r>
      <w:r>
        <w:t xml:space="preserve"> </w:t>
      </w:r>
      <w:r w:rsidRPr="00431660">
        <w:t>2019. gadam</w:t>
      </w:r>
      <w:r>
        <w:t>”</w:t>
      </w:r>
    </w:p>
  </w:footnote>
  <w:footnote w:id="4">
    <w:p w14:paraId="46929F8B" w14:textId="77777777" w:rsidR="00B863C9" w:rsidRDefault="00B863C9" w:rsidP="001525DC">
      <w:pPr>
        <w:pStyle w:val="FootnoteText"/>
      </w:pPr>
      <w:r>
        <w:rPr>
          <w:rStyle w:val="FootnoteReference"/>
        </w:rPr>
        <w:footnoteRef/>
      </w:r>
      <w:r>
        <w:t xml:space="preserve"> Vairāk informācijas šeit: </w:t>
      </w:r>
      <w:hyperlink r:id="rId1" w:history="1">
        <w:r>
          <w:rPr>
            <w:rStyle w:val="Hyperlink"/>
          </w:rPr>
          <w:t>https://www.fm.gov.lv/lv/sadalas/es_un_es_budzets/es_finansu_interesu_aizsardziba/afcos_padome/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DD52D" w14:textId="77777777" w:rsidR="00B863C9" w:rsidRDefault="00B863C9"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7DC81E93" w14:textId="77777777" w:rsidR="00B863C9" w:rsidRDefault="00B863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5CAD2" w14:textId="1610E1D5" w:rsidR="00B863C9" w:rsidRDefault="00B863C9"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2C87">
      <w:rPr>
        <w:rStyle w:val="PageNumber"/>
        <w:noProof/>
      </w:rPr>
      <w:t>8</w:t>
    </w:r>
    <w:r>
      <w:rPr>
        <w:rStyle w:val="PageNumber"/>
      </w:rPr>
      <w:fldChar w:fldCharType="end"/>
    </w:r>
  </w:p>
  <w:p w14:paraId="72A2A25E" w14:textId="77777777" w:rsidR="00B863C9" w:rsidRDefault="00B863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789D"/>
    <w:multiLevelType w:val="hybridMultilevel"/>
    <w:tmpl w:val="FC889D2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07CD62E1"/>
    <w:multiLevelType w:val="hybridMultilevel"/>
    <w:tmpl w:val="4D867ED6"/>
    <w:lvl w:ilvl="0" w:tplc="9E7C8C8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4C0A45"/>
    <w:multiLevelType w:val="hybridMultilevel"/>
    <w:tmpl w:val="5E7C1524"/>
    <w:lvl w:ilvl="0" w:tplc="CBD07130">
      <w:start w:val="1"/>
      <w:numFmt w:val="lowerLetter"/>
      <w:lvlText w:val="%1)"/>
      <w:lvlJc w:val="left"/>
      <w:pPr>
        <w:ind w:left="360" w:hanging="360"/>
      </w:pPr>
      <w:rPr>
        <w:rFonts w:hint="default"/>
      </w:rPr>
    </w:lvl>
    <w:lvl w:ilvl="1" w:tplc="04260019" w:tentative="1">
      <w:start w:val="1"/>
      <w:numFmt w:val="lowerLetter"/>
      <w:lvlText w:val="%2."/>
      <w:lvlJc w:val="left"/>
      <w:pPr>
        <w:ind w:left="720" w:hanging="360"/>
      </w:pPr>
    </w:lvl>
    <w:lvl w:ilvl="2" w:tplc="0426001B" w:tentative="1">
      <w:start w:val="1"/>
      <w:numFmt w:val="lowerRoman"/>
      <w:lvlText w:val="%3."/>
      <w:lvlJc w:val="right"/>
      <w:pPr>
        <w:ind w:left="1440" w:hanging="180"/>
      </w:pPr>
    </w:lvl>
    <w:lvl w:ilvl="3" w:tplc="0426000F" w:tentative="1">
      <w:start w:val="1"/>
      <w:numFmt w:val="decimal"/>
      <w:lvlText w:val="%4."/>
      <w:lvlJc w:val="left"/>
      <w:pPr>
        <w:ind w:left="2160" w:hanging="360"/>
      </w:pPr>
    </w:lvl>
    <w:lvl w:ilvl="4" w:tplc="04260019" w:tentative="1">
      <w:start w:val="1"/>
      <w:numFmt w:val="lowerLetter"/>
      <w:lvlText w:val="%5."/>
      <w:lvlJc w:val="left"/>
      <w:pPr>
        <w:ind w:left="2880" w:hanging="360"/>
      </w:pPr>
    </w:lvl>
    <w:lvl w:ilvl="5" w:tplc="0426001B" w:tentative="1">
      <w:start w:val="1"/>
      <w:numFmt w:val="lowerRoman"/>
      <w:lvlText w:val="%6."/>
      <w:lvlJc w:val="right"/>
      <w:pPr>
        <w:ind w:left="3600" w:hanging="180"/>
      </w:pPr>
    </w:lvl>
    <w:lvl w:ilvl="6" w:tplc="0426000F" w:tentative="1">
      <w:start w:val="1"/>
      <w:numFmt w:val="decimal"/>
      <w:lvlText w:val="%7."/>
      <w:lvlJc w:val="left"/>
      <w:pPr>
        <w:ind w:left="4320" w:hanging="360"/>
      </w:pPr>
    </w:lvl>
    <w:lvl w:ilvl="7" w:tplc="04260019" w:tentative="1">
      <w:start w:val="1"/>
      <w:numFmt w:val="lowerLetter"/>
      <w:lvlText w:val="%8."/>
      <w:lvlJc w:val="left"/>
      <w:pPr>
        <w:ind w:left="5040" w:hanging="360"/>
      </w:pPr>
    </w:lvl>
    <w:lvl w:ilvl="8" w:tplc="0426001B" w:tentative="1">
      <w:start w:val="1"/>
      <w:numFmt w:val="lowerRoman"/>
      <w:lvlText w:val="%9."/>
      <w:lvlJc w:val="right"/>
      <w:pPr>
        <w:ind w:left="5760" w:hanging="180"/>
      </w:pPr>
    </w:lvl>
  </w:abstractNum>
  <w:abstractNum w:abstractNumId="4" w15:restartNumberingAfterBreak="0">
    <w:nsid w:val="180B2004"/>
    <w:multiLevelType w:val="hybridMultilevel"/>
    <w:tmpl w:val="D1DC878A"/>
    <w:lvl w:ilvl="0" w:tplc="2DEC4358">
      <w:start w:val="1"/>
      <w:numFmt w:val="decimal"/>
      <w:lvlText w:val="%1)"/>
      <w:lvlJc w:val="left"/>
      <w:pPr>
        <w:ind w:left="114" w:hanging="222"/>
      </w:pPr>
      <w:rPr>
        <w:rFonts w:ascii="Arial" w:eastAsia="Arial" w:hAnsi="Arial" w:hint="default"/>
        <w:spacing w:val="-1"/>
        <w:w w:val="101"/>
        <w:sz w:val="18"/>
        <w:szCs w:val="18"/>
      </w:rPr>
    </w:lvl>
    <w:lvl w:ilvl="1" w:tplc="02864652">
      <w:start w:val="1"/>
      <w:numFmt w:val="lowerLetter"/>
      <w:lvlText w:val="%2)"/>
      <w:lvlJc w:val="left"/>
      <w:pPr>
        <w:ind w:left="114" w:hanging="239"/>
      </w:pPr>
      <w:rPr>
        <w:rFonts w:ascii="Arial" w:eastAsia="Arial" w:hAnsi="Arial" w:hint="default"/>
        <w:spacing w:val="-1"/>
        <w:w w:val="101"/>
        <w:sz w:val="18"/>
        <w:szCs w:val="18"/>
      </w:rPr>
    </w:lvl>
    <w:lvl w:ilvl="2" w:tplc="0DBC69C8">
      <w:start w:val="1"/>
      <w:numFmt w:val="bullet"/>
      <w:lvlText w:val="•"/>
      <w:lvlJc w:val="left"/>
      <w:pPr>
        <w:ind w:left="2063" w:hanging="239"/>
      </w:pPr>
      <w:rPr>
        <w:rFonts w:hint="default"/>
      </w:rPr>
    </w:lvl>
    <w:lvl w:ilvl="3" w:tplc="95EE3D12">
      <w:start w:val="1"/>
      <w:numFmt w:val="bullet"/>
      <w:lvlText w:val="•"/>
      <w:lvlJc w:val="left"/>
      <w:pPr>
        <w:ind w:left="3037" w:hanging="239"/>
      </w:pPr>
      <w:rPr>
        <w:rFonts w:hint="default"/>
      </w:rPr>
    </w:lvl>
    <w:lvl w:ilvl="4" w:tplc="60C2614C">
      <w:start w:val="1"/>
      <w:numFmt w:val="bullet"/>
      <w:lvlText w:val="•"/>
      <w:lvlJc w:val="left"/>
      <w:pPr>
        <w:ind w:left="4012" w:hanging="239"/>
      </w:pPr>
      <w:rPr>
        <w:rFonts w:hint="default"/>
      </w:rPr>
    </w:lvl>
    <w:lvl w:ilvl="5" w:tplc="14A66D16">
      <w:start w:val="1"/>
      <w:numFmt w:val="bullet"/>
      <w:lvlText w:val="•"/>
      <w:lvlJc w:val="left"/>
      <w:pPr>
        <w:ind w:left="4987" w:hanging="239"/>
      </w:pPr>
      <w:rPr>
        <w:rFonts w:hint="default"/>
      </w:rPr>
    </w:lvl>
    <w:lvl w:ilvl="6" w:tplc="5E5A11F4">
      <w:start w:val="1"/>
      <w:numFmt w:val="bullet"/>
      <w:lvlText w:val="•"/>
      <w:lvlJc w:val="left"/>
      <w:pPr>
        <w:ind w:left="5961" w:hanging="239"/>
      </w:pPr>
      <w:rPr>
        <w:rFonts w:hint="default"/>
      </w:rPr>
    </w:lvl>
    <w:lvl w:ilvl="7" w:tplc="0F3CE912">
      <w:start w:val="1"/>
      <w:numFmt w:val="bullet"/>
      <w:lvlText w:val="•"/>
      <w:lvlJc w:val="left"/>
      <w:pPr>
        <w:ind w:left="6936" w:hanging="239"/>
      </w:pPr>
      <w:rPr>
        <w:rFonts w:hint="default"/>
      </w:rPr>
    </w:lvl>
    <w:lvl w:ilvl="8" w:tplc="EB5CC41C">
      <w:start w:val="1"/>
      <w:numFmt w:val="bullet"/>
      <w:lvlText w:val="•"/>
      <w:lvlJc w:val="left"/>
      <w:pPr>
        <w:ind w:left="7910" w:hanging="239"/>
      </w:pPr>
      <w:rPr>
        <w:rFonts w:hint="default"/>
      </w:rPr>
    </w:lvl>
  </w:abstractNum>
  <w:abstractNum w:abstractNumId="5"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EA96AD8"/>
    <w:multiLevelType w:val="hybridMultilevel"/>
    <w:tmpl w:val="40A2D70A"/>
    <w:lvl w:ilvl="0" w:tplc="9850E2BE">
      <w:start w:val="316"/>
      <w:numFmt w:val="bullet"/>
      <w:lvlText w:val="-"/>
      <w:lvlJc w:val="left"/>
      <w:pPr>
        <w:ind w:left="1029" w:hanging="360"/>
      </w:pPr>
      <w:rPr>
        <w:rFonts w:ascii="Times New Roman" w:eastAsia="Times New Roman" w:hAnsi="Times New Roman" w:cs="Times New Roman" w:hint="default"/>
      </w:rPr>
    </w:lvl>
    <w:lvl w:ilvl="1" w:tplc="04260003" w:tentative="1">
      <w:start w:val="1"/>
      <w:numFmt w:val="bullet"/>
      <w:lvlText w:val="o"/>
      <w:lvlJc w:val="left"/>
      <w:pPr>
        <w:ind w:left="1749" w:hanging="360"/>
      </w:pPr>
      <w:rPr>
        <w:rFonts w:ascii="Courier New" w:hAnsi="Courier New" w:cs="Courier New" w:hint="default"/>
      </w:rPr>
    </w:lvl>
    <w:lvl w:ilvl="2" w:tplc="04260005" w:tentative="1">
      <w:start w:val="1"/>
      <w:numFmt w:val="bullet"/>
      <w:lvlText w:val=""/>
      <w:lvlJc w:val="left"/>
      <w:pPr>
        <w:ind w:left="2469" w:hanging="360"/>
      </w:pPr>
      <w:rPr>
        <w:rFonts w:ascii="Wingdings" w:hAnsi="Wingdings" w:hint="default"/>
      </w:rPr>
    </w:lvl>
    <w:lvl w:ilvl="3" w:tplc="04260001" w:tentative="1">
      <w:start w:val="1"/>
      <w:numFmt w:val="bullet"/>
      <w:lvlText w:val=""/>
      <w:lvlJc w:val="left"/>
      <w:pPr>
        <w:ind w:left="3189" w:hanging="360"/>
      </w:pPr>
      <w:rPr>
        <w:rFonts w:ascii="Symbol" w:hAnsi="Symbol" w:hint="default"/>
      </w:rPr>
    </w:lvl>
    <w:lvl w:ilvl="4" w:tplc="04260003" w:tentative="1">
      <w:start w:val="1"/>
      <w:numFmt w:val="bullet"/>
      <w:lvlText w:val="o"/>
      <w:lvlJc w:val="left"/>
      <w:pPr>
        <w:ind w:left="3909" w:hanging="360"/>
      </w:pPr>
      <w:rPr>
        <w:rFonts w:ascii="Courier New" w:hAnsi="Courier New" w:cs="Courier New" w:hint="default"/>
      </w:rPr>
    </w:lvl>
    <w:lvl w:ilvl="5" w:tplc="04260005" w:tentative="1">
      <w:start w:val="1"/>
      <w:numFmt w:val="bullet"/>
      <w:lvlText w:val=""/>
      <w:lvlJc w:val="left"/>
      <w:pPr>
        <w:ind w:left="4629" w:hanging="360"/>
      </w:pPr>
      <w:rPr>
        <w:rFonts w:ascii="Wingdings" w:hAnsi="Wingdings" w:hint="default"/>
      </w:rPr>
    </w:lvl>
    <w:lvl w:ilvl="6" w:tplc="04260001" w:tentative="1">
      <w:start w:val="1"/>
      <w:numFmt w:val="bullet"/>
      <w:lvlText w:val=""/>
      <w:lvlJc w:val="left"/>
      <w:pPr>
        <w:ind w:left="5349" w:hanging="360"/>
      </w:pPr>
      <w:rPr>
        <w:rFonts w:ascii="Symbol" w:hAnsi="Symbol" w:hint="default"/>
      </w:rPr>
    </w:lvl>
    <w:lvl w:ilvl="7" w:tplc="04260003" w:tentative="1">
      <w:start w:val="1"/>
      <w:numFmt w:val="bullet"/>
      <w:lvlText w:val="o"/>
      <w:lvlJc w:val="left"/>
      <w:pPr>
        <w:ind w:left="6069" w:hanging="360"/>
      </w:pPr>
      <w:rPr>
        <w:rFonts w:ascii="Courier New" w:hAnsi="Courier New" w:cs="Courier New" w:hint="default"/>
      </w:rPr>
    </w:lvl>
    <w:lvl w:ilvl="8" w:tplc="04260005" w:tentative="1">
      <w:start w:val="1"/>
      <w:numFmt w:val="bullet"/>
      <w:lvlText w:val=""/>
      <w:lvlJc w:val="left"/>
      <w:pPr>
        <w:ind w:left="6789" w:hanging="360"/>
      </w:pPr>
      <w:rPr>
        <w:rFonts w:ascii="Wingdings" w:hAnsi="Wingdings" w:hint="default"/>
      </w:rPr>
    </w:lvl>
  </w:abstractNum>
  <w:abstractNum w:abstractNumId="8"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2513DD7"/>
    <w:multiLevelType w:val="hybridMultilevel"/>
    <w:tmpl w:val="FC889D2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24E05BBB"/>
    <w:multiLevelType w:val="hybridMultilevel"/>
    <w:tmpl w:val="CF70B036"/>
    <w:lvl w:ilvl="0" w:tplc="9562338C">
      <w:start w:val="1"/>
      <w:numFmt w:val="decimal"/>
      <w:lvlText w:val="%1."/>
      <w:lvlJc w:val="left"/>
      <w:pPr>
        <w:ind w:left="114" w:hanging="157"/>
      </w:pPr>
      <w:rPr>
        <w:rFonts w:ascii="Arial" w:eastAsia="Arial" w:hAnsi="Arial" w:hint="default"/>
        <w:b/>
        <w:bCs/>
        <w:spacing w:val="-1"/>
        <w:w w:val="101"/>
        <w:sz w:val="18"/>
        <w:szCs w:val="18"/>
      </w:rPr>
    </w:lvl>
    <w:lvl w:ilvl="1" w:tplc="F80EEA34">
      <w:start w:val="1"/>
      <w:numFmt w:val="bullet"/>
      <w:lvlText w:val="•"/>
      <w:lvlJc w:val="left"/>
      <w:pPr>
        <w:ind w:left="765" w:hanging="157"/>
      </w:pPr>
      <w:rPr>
        <w:rFonts w:hint="default"/>
      </w:rPr>
    </w:lvl>
    <w:lvl w:ilvl="2" w:tplc="4DCA9A00">
      <w:start w:val="1"/>
      <w:numFmt w:val="bullet"/>
      <w:lvlText w:val="•"/>
      <w:lvlJc w:val="left"/>
      <w:pPr>
        <w:ind w:left="1416" w:hanging="157"/>
      </w:pPr>
      <w:rPr>
        <w:rFonts w:hint="default"/>
      </w:rPr>
    </w:lvl>
    <w:lvl w:ilvl="3" w:tplc="7BB8C4D4">
      <w:start w:val="1"/>
      <w:numFmt w:val="bullet"/>
      <w:lvlText w:val="•"/>
      <w:lvlJc w:val="left"/>
      <w:pPr>
        <w:ind w:left="2067" w:hanging="157"/>
      </w:pPr>
      <w:rPr>
        <w:rFonts w:hint="default"/>
      </w:rPr>
    </w:lvl>
    <w:lvl w:ilvl="4" w:tplc="B0067AFC">
      <w:start w:val="1"/>
      <w:numFmt w:val="bullet"/>
      <w:lvlText w:val="•"/>
      <w:lvlJc w:val="left"/>
      <w:pPr>
        <w:ind w:left="2718" w:hanging="157"/>
      </w:pPr>
      <w:rPr>
        <w:rFonts w:hint="default"/>
      </w:rPr>
    </w:lvl>
    <w:lvl w:ilvl="5" w:tplc="9E18A090">
      <w:start w:val="1"/>
      <w:numFmt w:val="bullet"/>
      <w:lvlText w:val="•"/>
      <w:lvlJc w:val="left"/>
      <w:pPr>
        <w:ind w:left="3370" w:hanging="157"/>
      </w:pPr>
      <w:rPr>
        <w:rFonts w:hint="default"/>
      </w:rPr>
    </w:lvl>
    <w:lvl w:ilvl="6" w:tplc="54B4EE96">
      <w:start w:val="1"/>
      <w:numFmt w:val="bullet"/>
      <w:lvlText w:val="•"/>
      <w:lvlJc w:val="left"/>
      <w:pPr>
        <w:ind w:left="4021" w:hanging="157"/>
      </w:pPr>
      <w:rPr>
        <w:rFonts w:hint="default"/>
      </w:rPr>
    </w:lvl>
    <w:lvl w:ilvl="7" w:tplc="99108602">
      <w:start w:val="1"/>
      <w:numFmt w:val="bullet"/>
      <w:lvlText w:val="•"/>
      <w:lvlJc w:val="left"/>
      <w:pPr>
        <w:ind w:left="4672" w:hanging="157"/>
      </w:pPr>
      <w:rPr>
        <w:rFonts w:hint="default"/>
      </w:rPr>
    </w:lvl>
    <w:lvl w:ilvl="8" w:tplc="5A503C84">
      <w:start w:val="1"/>
      <w:numFmt w:val="bullet"/>
      <w:lvlText w:val="•"/>
      <w:lvlJc w:val="left"/>
      <w:pPr>
        <w:ind w:left="5323" w:hanging="157"/>
      </w:pPr>
      <w:rPr>
        <w:rFonts w:hint="default"/>
      </w:rPr>
    </w:lvl>
  </w:abstractNum>
  <w:abstractNum w:abstractNumId="11"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2" w15:restartNumberingAfterBreak="0">
    <w:nsid w:val="339810D0"/>
    <w:multiLevelType w:val="hybridMultilevel"/>
    <w:tmpl w:val="3CB42120"/>
    <w:lvl w:ilvl="0" w:tplc="1A1AA242">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3" w15:restartNumberingAfterBreak="0">
    <w:nsid w:val="39E66A52"/>
    <w:multiLevelType w:val="hybridMultilevel"/>
    <w:tmpl w:val="C018F2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BD766FC"/>
    <w:multiLevelType w:val="hybridMultilevel"/>
    <w:tmpl w:val="448623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362598B"/>
    <w:multiLevelType w:val="hybridMultilevel"/>
    <w:tmpl w:val="DAC8B5D8"/>
    <w:lvl w:ilvl="0" w:tplc="AD029D9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3C81F7D"/>
    <w:multiLevelType w:val="hybridMultilevel"/>
    <w:tmpl w:val="917A6BA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5E403B0"/>
    <w:multiLevelType w:val="hybridMultilevel"/>
    <w:tmpl w:val="7150694C"/>
    <w:lvl w:ilvl="0" w:tplc="AD029D9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4CFB7316"/>
    <w:multiLevelType w:val="hybridMultilevel"/>
    <w:tmpl w:val="A9B650E2"/>
    <w:lvl w:ilvl="0" w:tplc="9E7C8C8A">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2" w15:restartNumberingAfterBreak="0">
    <w:nsid w:val="53192CC0"/>
    <w:multiLevelType w:val="hybridMultilevel"/>
    <w:tmpl w:val="D446300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7180A82"/>
    <w:multiLevelType w:val="hybridMultilevel"/>
    <w:tmpl w:val="665EC4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7"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80D04E1"/>
    <w:multiLevelType w:val="hybridMultilevel"/>
    <w:tmpl w:val="D38652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C7471E0"/>
    <w:multiLevelType w:val="hybridMultilevel"/>
    <w:tmpl w:val="F98ABC3A"/>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1" w15:restartNumberingAfterBreak="0">
    <w:nsid w:val="6DF4745F"/>
    <w:multiLevelType w:val="hybridMultilevel"/>
    <w:tmpl w:val="4B56ADCE"/>
    <w:lvl w:ilvl="0" w:tplc="640C9FD6">
      <w:start w:val="1"/>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2" w15:restartNumberingAfterBreak="0">
    <w:nsid w:val="73C7606A"/>
    <w:multiLevelType w:val="hybridMultilevel"/>
    <w:tmpl w:val="7876E562"/>
    <w:lvl w:ilvl="0" w:tplc="BE3A277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3" w15:restartNumberingAfterBreak="0">
    <w:nsid w:val="749D7421"/>
    <w:multiLevelType w:val="hybridMultilevel"/>
    <w:tmpl w:val="BB2E45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FEB39C8"/>
    <w:multiLevelType w:val="hybridMultilevel"/>
    <w:tmpl w:val="E8DCE8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27"/>
  </w:num>
  <w:num w:numId="3">
    <w:abstractNumId w:val="8"/>
  </w:num>
  <w:num w:numId="4">
    <w:abstractNumId w:val="5"/>
  </w:num>
  <w:num w:numId="5">
    <w:abstractNumId w:val="2"/>
  </w:num>
  <w:num w:numId="6">
    <w:abstractNumId w:val="23"/>
  </w:num>
  <w:num w:numId="7">
    <w:abstractNumId w:val="28"/>
  </w:num>
  <w:num w:numId="8">
    <w:abstractNumId w:val="18"/>
  </w:num>
  <w:num w:numId="9">
    <w:abstractNumId w:val="6"/>
  </w:num>
  <w:num w:numId="10">
    <w:abstractNumId w:val="19"/>
  </w:num>
  <w:num w:numId="11">
    <w:abstractNumId w:val="20"/>
  </w:num>
  <w:num w:numId="12">
    <w:abstractNumId w:val="25"/>
  </w:num>
  <w:num w:numId="13">
    <w:abstractNumId w:val="26"/>
  </w:num>
  <w:num w:numId="14">
    <w:abstractNumId w:val="31"/>
  </w:num>
  <w:num w:numId="15">
    <w:abstractNumId w:val="7"/>
  </w:num>
  <w:num w:numId="16">
    <w:abstractNumId w:val="33"/>
  </w:num>
  <w:num w:numId="17">
    <w:abstractNumId w:val="0"/>
  </w:num>
  <w:num w:numId="18">
    <w:abstractNumId w:val="9"/>
  </w:num>
  <w:num w:numId="19">
    <w:abstractNumId w:val="3"/>
  </w:num>
  <w:num w:numId="20">
    <w:abstractNumId w:val="29"/>
  </w:num>
  <w:num w:numId="21">
    <w:abstractNumId w:val="17"/>
  </w:num>
  <w:num w:numId="22">
    <w:abstractNumId w:val="15"/>
  </w:num>
  <w:num w:numId="23">
    <w:abstractNumId w:val="16"/>
  </w:num>
  <w:num w:numId="24">
    <w:abstractNumId w:val="24"/>
  </w:num>
  <w:num w:numId="25">
    <w:abstractNumId w:val="4"/>
  </w:num>
  <w:num w:numId="26">
    <w:abstractNumId w:val="10"/>
  </w:num>
  <w:num w:numId="27">
    <w:abstractNumId w:val="22"/>
  </w:num>
  <w:num w:numId="28">
    <w:abstractNumId w:val="14"/>
  </w:num>
  <w:num w:numId="29">
    <w:abstractNumId w:val="13"/>
  </w:num>
  <w:num w:numId="30">
    <w:abstractNumId w:val="30"/>
  </w:num>
  <w:num w:numId="31">
    <w:abstractNumId w:val="21"/>
  </w:num>
  <w:num w:numId="32">
    <w:abstractNumId w:val="1"/>
  </w:num>
  <w:num w:numId="33">
    <w:abstractNumId w:val="32"/>
  </w:num>
  <w:num w:numId="34">
    <w:abstractNumId w:val="3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649"/>
    <w:rsid w:val="00001C26"/>
    <w:rsid w:val="00003E6A"/>
    <w:rsid w:val="00006E86"/>
    <w:rsid w:val="00007996"/>
    <w:rsid w:val="00011D24"/>
    <w:rsid w:val="00013FF4"/>
    <w:rsid w:val="000141BD"/>
    <w:rsid w:val="00014D57"/>
    <w:rsid w:val="00015B1F"/>
    <w:rsid w:val="00017776"/>
    <w:rsid w:val="00020FE1"/>
    <w:rsid w:val="00022E13"/>
    <w:rsid w:val="0002322C"/>
    <w:rsid w:val="00024596"/>
    <w:rsid w:val="00026BF9"/>
    <w:rsid w:val="00027A66"/>
    <w:rsid w:val="00032211"/>
    <w:rsid w:val="00032388"/>
    <w:rsid w:val="00033BAF"/>
    <w:rsid w:val="00034B8A"/>
    <w:rsid w:val="000354F6"/>
    <w:rsid w:val="00035CE2"/>
    <w:rsid w:val="00036D00"/>
    <w:rsid w:val="00040D3B"/>
    <w:rsid w:val="00041DFC"/>
    <w:rsid w:val="00042C75"/>
    <w:rsid w:val="00043CBB"/>
    <w:rsid w:val="00044F48"/>
    <w:rsid w:val="00054D69"/>
    <w:rsid w:val="0005553B"/>
    <w:rsid w:val="00056649"/>
    <w:rsid w:val="00056AA4"/>
    <w:rsid w:val="00056D81"/>
    <w:rsid w:val="000604D2"/>
    <w:rsid w:val="000606FF"/>
    <w:rsid w:val="00060E2E"/>
    <w:rsid w:val="00061448"/>
    <w:rsid w:val="00062A9A"/>
    <w:rsid w:val="00062E0C"/>
    <w:rsid w:val="00064B73"/>
    <w:rsid w:val="00065214"/>
    <w:rsid w:val="00070419"/>
    <w:rsid w:val="00072228"/>
    <w:rsid w:val="0007394A"/>
    <w:rsid w:val="00076138"/>
    <w:rsid w:val="000767FF"/>
    <w:rsid w:val="00077035"/>
    <w:rsid w:val="000804A7"/>
    <w:rsid w:val="00080756"/>
    <w:rsid w:val="000824C6"/>
    <w:rsid w:val="0008390B"/>
    <w:rsid w:val="000845F7"/>
    <w:rsid w:val="00084751"/>
    <w:rsid w:val="000859C8"/>
    <w:rsid w:val="00087255"/>
    <w:rsid w:val="0009005E"/>
    <w:rsid w:val="00090E2F"/>
    <w:rsid w:val="00093162"/>
    <w:rsid w:val="000941C5"/>
    <w:rsid w:val="00094CE1"/>
    <w:rsid w:val="00095D58"/>
    <w:rsid w:val="00096444"/>
    <w:rsid w:val="000A0078"/>
    <w:rsid w:val="000A2092"/>
    <w:rsid w:val="000A325D"/>
    <w:rsid w:val="000A4461"/>
    <w:rsid w:val="000A6451"/>
    <w:rsid w:val="000B064E"/>
    <w:rsid w:val="000B1894"/>
    <w:rsid w:val="000B3F69"/>
    <w:rsid w:val="000B69CF"/>
    <w:rsid w:val="000B790F"/>
    <w:rsid w:val="000C01E6"/>
    <w:rsid w:val="000C24FA"/>
    <w:rsid w:val="000C4101"/>
    <w:rsid w:val="000C7199"/>
    <w:rsid w:val="000C790C"/>
    <w:rsid w:val="000D14F7"/>
    <w:rsid w:val="000D3C06"/>
    <w:rsid w:val="000D4847"/>
    <w:rsid w:val="000D5940"/>
    <w:rsid w:val="000E0C1F"/>
    <w:rsid w:val="000E5352"/>
    <w:rsid w:val="000E55D0"/>
    <w:rsid w:val="000F061D"/>
    <w:rsid w:val="000F4794"/>
    <w:rsid w:val="0011193F"/>
    <w:rsid w:val="0011315C"/>
    <w:rsid w:val="00114D72"/>
    <w:rsid w:val="0012409D"/>
    <w:rsid w:val="00124F12"/>
    <w:rsid w:val="001250AC"/>
    <w:rsid w:val="0013018C"/>
    <w:rsid w:val="001309BC"/>
    <w:rsid w:val="00136B51"/>
    <w:rsid w:val="00136C22"/>
    <w:rsid w:val="001379C9"/>
    <w:rsid w:val="00140901"/>
    <w:rsid w:val="001416D6"/>
    <w:rsid w:val="00144A1B"/>
    <w:rsid w:val="00144E3A"/>
    <w:rsid w:val="00145B0E"/>
    <w:rsid w:val="00145CD2"/>
    <w:rsid w:val="0015060C"/>
    <w:rsid w:val="001525DC"/>
    <w:rsid w:val="0015359C"/>
    <w:rsid w:val="001568D5"/>
    <w:rsid w:val="00157F32"/>
    <w:rsid w:val="00160052"/>
    <w:rsid w:val="0016018A"/>
    <w:rsid w:val="00161814"/>
    <w:rsid w:val="00161F0E"/>
    <w:rsid w:val="00163466"/>
    <w:rsid w:val="00165BDA"/>
    <w:rsid w:val="00166A1F"/>
    <w:rsid w:val="0016720A"/>
    <w:rsid w:val="00170E2A"/>
    <w:rsid w:val="00171833"/>
    <w:rsid w:val="001728EC"/>
    <w:rsid w:val="00172EF2"/>
    <w:rsid w:val="0017371B"/>
    <w:rsid w:val="00175309"/>
    <w:rsid w:val="00175482"/>
    <w:rsid w:val="00177394"/>
    <w:rsid w:val="00181E4C"/>
    <w:rsid w:val="00182C18"/>
    <w:rsid w:val="001838F1"/>
    <w:rsid w:val="00183CC2"/>
    <w:rsid w:val="00183E35"/>
    <w:rsid w:val="0018563E"/>
    <w:rsid w:val="00186B69"/>
    <w:rsid w:val="001900E4"/>
    <w:rsid w:val="00190F88"/>
    <w:rsid w:val="00191865"/>
    <w:rsid w:val="00191B81"/>
    <w:rsid w:val="00193692"/>
    <w:rsid w:val="00193A12"/>
    <w:rsid w:val="001968B0"/>
    <w:rsid w:val="00196C91"/>
    <w:rsid w:val="001970E9"/>
    <w:rsid w:val="00197367"/>
    <w:rsid w:val="001A17A3"/>
    <w:rsid w:val="001A3BF6"/>
    <w:rsid w:val="001A4066"/>
    <w:rsid w:val="001A4252"/>
    <w:rsid w:val="001A5132"/>
    <w:rsid w:val="001A60A7"/>
    <w:rsid w:val="001A6AE4"/>
    <w:rsid w:val="001A6C31"/>
    <w:rsid w:val="001A753C"/>
    <w:rsid w:val="001B01FD"/>
    <w:rsid w:val="001B18D2"/>
    <w:rsid w:val="001B203C"/>
    <w:rsid w:val="001B2F02"/>
    <w:rsid w:val="001B315A"/>
    <w:rsid w:val="001B4A71"/>
    <w:rsid w:val="001B71AB"/>
    <w:rsid w:val="001B71CD"/>
    <w:rsid w:val="001B72EF"/>
    <w:rsid w:val="001C4CB8"/>
    <w:rsid w:val="001C5F71"/>
    <w:rsid w:val="001C6135"/>
    <w:rsid w:val="001C6309"/>
    <w:rsid w:val="001D5B54"/>
    <w:rsid w:val="001E06FA"/>
    <w:rsid w:val="001E0FC7"/>
    <w:rsid w:val="001E1803"/>
    <w:rsid w:val="001E1DBF"/>
    <w:rsid w:val="001E3A84"/>
    <w:rsid w:val="001E4639"/>
    <w:rsid w:val="001E4A7D"/>
    <w:rsid w:val="001E76DD"/>
    <w:rsid w:val="001F0B9B"/>
    <w:rsid w:val="001F1A85"/>
    <w:rsid w:val="001F28FC"/>
    <w:rsid w:val="001F3F72"/>
    <w:rsid w:val="001F43A8"/>
    <w:rsid w:val="001F4E7E"/>
    <w:rsid w:val="001F554C"/>
    <w:rsid w:val="001F58C7"/>
    <w:rsid w:val="001F5CD6"/>
    <w:rsid w:val="001F5E6E"/>
    <w:rsid w:val="001F6FF1"/>
    <w:rsid w:val="001F7F52"/>
    <w:rsid w:val="002065FF"/>
    <w:rsid w:val="002079B4"/>
    <w:rsid w:val="00207F92"/>
    <w:rsid w:val="00210BD8"/>
    <w:rsid w:val="002113D9"/>
    <w:rsid w:val="0021263D"/>
    <w:rsid w:val="00213001"/>
    <w:rsid w:val="00213D4B"/>
    <w:rsid w:val="00213F0C"/>
    <w:rsid w:val="00214094"/>
    <w:rsid w:val="00215347"/>
    <w:rsid w:val="0021592D"/>
    <w:rsid w:val="00217D8C"/>
    <w:rsid w:val="00220F23"/>
    <w:rsid w:val="00221999"/>
    <w:rsid w:val="00222660"/>
    <w:rsid w:val="00222D76"/>
    <w:rsid w:val="00223EB1"/>
    <w:rsid w:val="00224858"/>
    <w:rsid w:val="00230C57"/>
    <w:rsid w:val="00231344"/>
    <w:rsid w:val="0023436E"/>
    <w:rsid w:val="002347C0"/>
    <w:rsid w:val="00235206"/>
    <w:rsid w:val="0023533C"/>
    <w:rsid w:val="0023553D"/>
    <w:rsid w:val="002362E4"/>
    <w:rsid w:val="0023658E"/>
    <w:rsid w:val="002368A5"/>
    <w:rsid w:val="00237B98"/>
    <w:rsid w:val="00237FA2"/>
    <w:rsid w:val="00241A6C"/>
    <w:rsid w:val="00242092"/>
    <w:rsid w:val="002421FC"/>
    <w:rsid w:val="00242805"/>
    <w:rsid w:val="00242D2B"/>
    <w:rsid w:val="002446B7"/>
    <w:rsid w:val="00247C38"/>
    <w:rsid w:val="00250220"/>
    <w:rsid w:val="00250CD9"/>
    <w:rsid w:val="002537CF"/>
    <w:rsid w:val="00255591"/>
    <w:rsid w:val="00262E2B"/>
    <w:rsid w:val="00264301"/>
    <w:rsid w:val="0026480F"/>
    <w:rsid w:val="00264B7A"/>
    <w:rsid w:val="00265FC5"/>
    <w:rsid w:val="00270429"/>
    <w:rsid w:val="002720EB"/>
    <w:rsid w:val="002723E9"/>
    <w:rsid w:val="00277929"/>
    <w:rsid w:val="00277AB3"/>
    <w:rsid w:val="0028275A"/>
    <w:rsid w:val="00282EBC"/>
    <w:rsid w:val="00283B82"/>
    <w:rsid w:val="00284339"/>
    <w:rsid w:val="002846E9"/>
    <w:rsid w:val="00284C34"/>
    <w:rsid w:val="0029066C"/>
    <w:rsid w:val="002912C2"/>
    <w:rsid w:val="00293F60"/>
    <w:rsid w:val="00294371"/>
    <w:rsid w:val="002966AD"/>
    <w:rsid w:val="002A2167"/>
    <w:rsid w:val="002A224C"/>
    <w:rsid w:val="002A2EB4"/>
    <w:rsid w:val="002A48E8"/>
    <w:rsid w:val="002A75B1"/>
    <w:rsid w:val="002B1D60"/>
    <w:rsid w:val="002B200B"/>
    <w:rsid w:val="002B21F7"/>
    <w:rsid w:val="002B22E2"/>
    <w:rsid w:val="002B334B"/>
    <w:rsid w:val="002B50DB"/>
    <w:rsid w:val="002B6FAB"/>
    <w:rsid w:val="002B7C00"/>
    <w:rsid w:val="002C12AB"/>
    <w:rsid w:val="002C34C6"/>
    <w:rsid w:val="002C382E"/>
    <w:rsid w:val="002C4CD0"/>
    <w:rsid w:val="002C7CAC"/>
    <w:rsid w:val="002D0EA7"/>
    <w:rsid w:val="002D3306"/>
    <w:rsid w:val="002D3C1B"/>
    <w:rsid w:val="002D48AA"/>
    <w:rsid w:val="002D677D"/>
    <w:rsid w:val="002D7BAA"/>
    <w:rsid w:val="002D7F54"/>
    <w:rsid w:val="002E09DB"/>
    <w:rsid w:val="002E0B38"/>
    <w:rsid w:val="002E1D89"/>
    <w:rsid w:val="002E3E05"/>
    <w:rsid w:val="002E3FF4"/>
    <w:rsid w:val="002E497A"/>
    <w:rsid w:val="002F14B4"/>
    <w:rsid w:val="002F4671"/>
    <w:rsid w:val="002F4816"/>
    <w:rsid w:val="002F78C8"/>
    <w:rsid w:val="00300CEA"/>
    <w:rsid w:val="0030165D"/>
    <w:rsid w:val="00301CF3"/>
    <w:rsid w:val="00303847"/>
    <w:rsid w:val="00303936"/>
    <w:rsid w:val="00305BBD"/>
    <w:rsid w:val="003067CC"/>
    <w:rsid w:val="0030705C"/>
    <w:rsid w:val="00307D9B"/>
    <w:rsid w:val="0031105D"/>
    <w:rsid w:val="003123BC"/>
    <w:rsid w:val="00316224"/>
    <w:rsid w:val="0032715C"/>
    <w:rsid w:val="003272E6"/>
    <w:rsid w:val="003333D4"/>
    <w:rsid w:val="00334F4E"/>
    <w:rsid w:val="00337CA5"/>
    <w:rsid w:val="00340B5E"/>
    <w:rsid w:val="003431A9"/>
    <w:rsid w:val="00344B65"/>
    <w:rsid w:val="0034622F"/>
    <w:rsid w:val="00351F03"/>
    <w:rsid w:val="0035341E"/>
    <w:rsid w:val="00355D97"/>
    <w:rsid w:val="0035614B"/>
    <w:rsid w:val="00360390"/>
    <w:rsid w:val="00360C9A"/>
    <w:rsid w:val="00360CCC"/>
    <w:rsid w:val="00362478"/>
    <w:rsid w:val="003624CB"/>
    <w:rsid w:val="00362BAF"/>
    <w:rsid w:val="003646F7"/>
    <w:rsid w:val="0036582C"/>
    <w:rsid w:val="003661FA"/>
    <w:rsid w:val="003661FE"/>
    <w:rsid w:val="00370649"/>
    <w:rsid w:val="003707F2"/>
    <w:rsid w:val="0037272E"/>
    <w:rsid w:val="00374B88"/>
    <w:rsid w:val="0037541E"/>
    <w:rsid w:val="00375B25"/>
    <w:rsid w:val="00380998"/>
    <w:rsid w:val="003818E3"/>
    <w:rsid w:val="00385B77"/>
    <w:rsid w:val="00385D1E"/>
    <w:rsid w:val="00387E07"/>
    <w:rsid w:val="00387E9D"/>
    <w:rsid w:val="0039106C"/>
    <w:rsid w:val="003931C0"/>
    <w:rsid w:val="00396542"/>
    <w:rsid w:val="0039685B"/>
    <w:rsid w:val="00397955"/>
    <w:rsid w:val="003A16BE"/>
    <w:rsid w:val="003A2487"/>
    <w:rsid w:val="003A307D"/>
    <w:rsid w:val="003A31A6"/>
    <w:rsid w:val="003A4293"/>
    <w:rsid w:val="003A5A2C"/>
    <w:rsid w:val="003A7F0C"/>
    <w:rsid w:val="003A7F79"/>
    <w:rsid w:val="003B33FD"/>
    <w:rsid w:val="003B6404"/>
    <w:rsid w:val="003C098F"/>
    <w:rsid w:val="003C2392"/>
    <w:rsid w:val="003C449B"/>
    <w:rsid w:val="003C52A4"/>
    <w:rsid w:val="003C53C2"/>
    <w:rsid w:val="003C7390"/>
    <w:rsid w:val="003C7B68"/>
    <w:rsid w:val="003D1634"/>
    <w:rsid w:val="003D21FF"/>
    <w:rsid w:val="003D2588"/>
    <w:rsid w:val="003D2A9C"/>
    <w:rsid w:val="003D3B30"/>
    <w:rsid w:val="003D541F"/>
    <w:rsid w:val="003D5CB3"/>
    <w:rsid w:val="003D64B8"/>
    <w:rsid w:val="003D6B80"/>
    <w:rsid w:val="003D7443"/>
    <w:rsid w:val="003E2179"/>
    <w:rsid w:val="003E26FE"/>
    <w:rsid w:val="003E32BC"/>
    <w:rsid w:val="003E3932"/>
    <w:rsid w:val="003F0112"/>
    <w:rsid w:val="003F071A"/>
    <w:rsid w:val="003F127A"/>
    <w:rsid w:val="003F160B"/>
    <w:rsid w:val="003F1B3E"/>
    <w:rsid w:val="003F27B6"/>
    <w:rsid w:val="003F5043"/>
    <w:rsid w:val="003F75DC"/>
    <w:rsid w:val="003F7929"/>
    <w:rsid w:val="00400032"/>
    <w:rsid w:val="004002B2"/>
    <w:rsid w:val="004005F5"/>
    <w:rsid w:val="00400B5B"/>
    <w:rsid w:val="004023BE"/>
    <w:rsid w:val="00405A00"/>
    <w:rsid w:val="00405B8C"/>
    <w:rsid w:val="00406B5E"/>
    <w:rsid w:val="00406E17"/>
    <w:rsid w:val="00414F7F"/>
    <w:rsid w:val="00417F48"/>
    <w:rsid w:val="00420870"/>
    <w:rsid w:val="00422E6D"/>
    <w:rsid w:val="00423E2C"/>
    <w:rsid w:val="00423F05"/>
    <w:rsid w:val="00425642"/>
    <w:rsid w:val="00430254"/>
    <w:rsid w:val="00431660"/>
    <w:rsid w:val="00432575"/>
    <w:rsid w:val="004338B6"/>
    <w:rsid w:val="004356CC"/>
    <w:rsid w:val="00436A2E"/>
    <w:rsid w:val="0043791B"/>
    <w:rsid w:val="00441483"/>
    <w:rsid w:val="004418D6"/>
    <w:rsid w:val="0044190E"/>
    <w:rsid w:val="00441BCB"/>
    <w:rsid w:val="00443138"/>
    <w:rsid w:val="004453C8"/>
    <w:rsid w:val="00445988"/>
    <w:rsid w:val="00450432"/>
    <w:rsid w:val="0045176A"/>
    <w:rsid w:val="004550C6"/>
    <w:rsid w:val="004552BD"/>
    <w:rsid w:val="00455928"/>
    <w:rsid w:val="00456332"/>
    <w:rsid w:val="00457C0D"/>
    <w:rsid w:val="00460CCB"/>
    <w:rsid w:val="00460DAC"/>
    <w:rsid w:val="0046120C"/>
    <w:rsid w:val="00461826"/>
    <w:rsid w:val="00461EE8"/>
    <w:rsid w:val="004623E5"/>
    <w:rsid w:val="00462A51"/>
    <w:rsid w:val="0046402C"/>
    <w:rsid w:val="0046472D"/>
    <w:rsid w:val="004668A3"/>
    <w:rsid w:val="0047074D"/>
    <w:rsid w:val="004719BE"/>
    <w:rsid w:val="004744C6"/>
    <w:rsid w:val="00474B30"/>
    <w:rsid w:val="00474BF5"/>
    <w:rsid w:val="004758BA"/>
    <w:rsid w:val="004800F9"/>
    <w:rsid w:val="00480614"/>
    <w:rsid w:val="00482F4A"/>
    <w:rsid w:val="0049134A"/>
    <w:rsid w:val="00492F0C"/>
    <w:rsid w:val="004933F1"/>
    <w:rsid w:val="004943BF"/>
    <w:rsid w:val="00495610"/>
    <w:rsid w:val="00496285"/>
    <w:rsid w:val="004A58CB"/>
    <w:rsid w:val="004A5AAA"/>
    <w:rsid w:val="004B1795"/>
    <w:rsid w:val="004B1F53"/>
    <w:rsid w:val="004B368C"/>
    <w:rsid w:val="004B39E5"/>
    <w:rsid w:val="004B3BFD"/>
    <w:rsid w:val="004B56DD"/>
    <w:rsid w:val="004C020F"/>
    <w:rsid w:val="004C1AFD"/>
    <w:rsid w:val="004C1B47"/>
    <w:rsid w:val="004C558B"/>
    <w:rsid w:val="004C5778"/>
    <w:rsid w:val="004C68CB"/>
    <w:rsid w:val="004D5832"/>
    <w:rsid w:val="004E40AA"/>
    <w:rsid w:val="004E5371"/>
    <w:rsid w:val="004E5A16"/>
    <w:rsid w:val="004E5B95"/>
    <w:rsid w:val="004E7AE9"/>
    <w:rsid w:val="004F1331"/>
    <w:rsid w:val="004F1F88"/>
    <w:rsid w:val="004F239E"/>
    <w:rsid w:val="004F4F3C"/>
    <w:rsid w:val="004F5F1B"/>
    <w:rsid w:val="004F5F21"/>
    <w:rsid w:val="004F6EEC"/>
    <w:rsid w:val="004F7A45"/>
    <w:rsid w:val="00502374"/>
    <w:rsid w:val="005040B2"/>
    <w:rsid w:val="005051BF"/>
    <w:rsid w:val="005060A1"/>
    <w:rsid w:val="00507312"/>
    <w:rsid w:val="00510CEA"/>
    <w:rsid w:val="00514631"/>
    <w:rsid w:val="00516072"/>
    <w:rsid w:val="00517AAA"/>
    <w:rsid w:val="005209E8"/>
    <w:rsid w:val="00521B0B"/>
    <w:rsid w:val="005233C2"/>
    <w:rsid w:val="00525719"/>
    <w:rsid w:val="00526FE9"/>
    <w:rsid w:val="0053025D"/>
    <w:rsid w:val="00532DDB"/>
    <w:rsid w:val="005332EC"/>
    <w:rsid w:val="0053367B"/>
    <w:rsid w:val="00534418"/>
    <w:rsid w:val="005344CA"/>
    <w:rsid w:val="005353AB"/>
    <w:rsid w:val="00535D86"/>
    <w:rsid w:val="00536A11"/>
    <w:rsid w:val="00536D51"/>
    <w:rsid w:val="00541A3B"/>
    <w:rsid w:val="00541FEA"/>
    <w:rsid w:val="00552444"/>
    <w:rsid w:val="00554AC2"/>
    <w:rsid w:val="00554BA8"/>
    <w:rsid w:val="005560BC"/>
    <w:rsid w:val="005573BE"/>
    <w:rsid w:val="00557AC6"/>
    <w:rsid w:val="0056263A"/>
    <w:rsid w:val="00572700"/>
    <w:rsid w:val="005748FD"/>
    <w:rsid w:val="00575320"/>
    <w:rsid w:val="0057649B"/>
    <w:rsid w:val="00580468"/>
    <w:rsid w:val="00581184"/>
    <w:rsid w:val="0058603B"/>
    <w:rsid w:val="005863AD"/>
    <w:rsid w:val="00587568"/>
    <w:rsid w:val="00587D99"/>
    <w:rsid w:val="0059232A"/>
    <w:rsid w:val="00593815"/>
    <w:rsid w:val="0059431B"/>
    <w:rsid w:val="00595CB7"/>
    <w:rsid w:val="00597C7E"/>
    <w:rsid w:val="005A0AC4"/>
    <w:rsid w:val="005A39CC"/>
    <w:rsid w:val="005B2183"/>
    <w:rsid w:val="005B401B"/>
    <w:rsid w:val="005B4730"/>
    <w:rsid w:val="005B7861"/>
    <w:rsid w:val="005C02E9"/>
    <w:rsid w:val="005C0C52"/>
    <w:rsid w:val="005C57DF"/>
    <w:rsid w:val="005C7AB5"/>
    <w:rsid w:val="005D2D9F"/>
    <w:rsid w:val="005D4ECE"/>
    <w:rsid w:val="005D624F"/>
    <w:rsid w:val="005D6595"/>
    <w:rsid w:val="005D7E17"/>
    <w:rsid w:val="005E05D7"/>
    <w:rsid w:val="005E1387"/>
    <w:rsid w:val="005E185C"/>
    <w:rsid w:val="005E348E"/>
    <w:rsid w:val="005E41E7"/>
    <w:rsid w:val="005E450F"/>
    <w:rsid w:val="005E47D3"/>
    <w:rsid w:val="005E596F"/>
    <w:rsid w:val="005F1A9F"/>
    <w:rsid w:val="005F65CB"/>
    <w:rsid w:val="005F79EF"/>
    <w:rsid w:val="005F7C1D"/>
    <w:rsid w:val="0060085D"/>
    <w:rsid w:val="00600969"/>
    <w:rsid w:val="0060416D"/>
    <w:rsid w:val="0060554D"/>
    <w:rsid w:val="00606FE4"/>
    <w:rsid w:val="006077F5"/>
    <w:rsid w:val="00610935"/>
    <w:rsid w:val="006145F8"/>
    <w:rsid w:val="00614B8B"/>
    <w:rsid w:val="00614BA8"/>
    <w:rsid w:val="00617BC7"/>
    <w:rsid w:val="0062298A"/>
    <w:rsid w:val="00626514"/>
    <w:rsid w:val="00626589"/>
    <w:rsid w:val="00632BF0"/>
    <w:rsid w:val="006334AB"/>
    <w:rsid w:val="006339A0"/>
    <w:rsid w:val="006413A8"/>
    <w:rsid w:val="00642E56"/>
    <w:rsid w:val="0064588B"/>
    <w:rsid w:val="00645B07"/>
    <w:rsid w:val="00646D35"/>
    <w:rsid w:val="00651059"/>
    <w:rsid w:val="00651E00"/>
    <w:rsid w:val="006540EA"/>
    <w:rsid w:val="00654B68"/>
    <w:rsid w:val="00656AAB"/>
    <w:rsid w:val="006620AA"/>
    <w:rsid w:val="0066511F"/>
    <w:rsid w:val="00666465"/>
    <w:rsid w:val="00666EB4"/>
    <w:rsid w:val="00670692"/>
    <w:rsid w:val="006732C7"/>
    <w:rsid w:val="006732E7"/>
    <w:rsid w:val="00674572"/>
    <w:rsid w:val="006751D5"/>
    <w:rsid w:val="00675585"/>
    <w:rsid w:val="0067764C"/>
    <w:rsid w:val="00682282"/>
    <w:rsid w:val="00682622"/>
    <w:rsid w:val="0068642B"/>
    <w:rsid w:val="00687763"/>
    <w:rsid w:val="0069131D"/>
    <w:rsid w:val="0069152A"/>
    <w:rsid w:val="006928E7"/>
    <w:rsid w:val="00692B0D"/>
    <w:rsid w:val="00693E0E"/>
    <w:rsid w:val="00694DDC"/>
    <w:rsid w:val="00696A69"/>
    <w:rsid w:val="006A1AE3"/>
    <w:rsid w:val="006A1C32"/>
    <w:rsid w:val="006A2C87"/>
    <w:rsid w:val="006A50FB"/>
    <w:rsid w:val="006A62FF"/>
    <w:rsid w:val="006A70BD"/>
    <w:rsid w:val="006A7BE5"/>
    <w:rsid w:val="006B0105"/>
    <w:rsid w:val="006B149B"/>
    <w:rsid w:val="006B1E0B"/>
    <w:rsid w:val="006B20CC"/>
    <w:rsid w:val="006B71A7"/>
    <w:rsid w:val="006C06AA"/>
    <w:rsid w:val="006C0FFA"/>
    <w:rsid w:val="006C1DB0"/>
    <w:rsid w:val="006C1EFF"/>
    <w:rsid w:val="006C30E1"/>
    <w:rsid w:val="006C4607"/>
    <w:rsid w:val="006C4A8D"/>
    <w:rsid w:val="006C66F7"/>
    <w:rsid w:val="006D48F1"/>
    <w:rsid w:val="006D525A"/>
    <w:rsid w:val="006D60D2"/>
    <w:rsid w:val="006E1407"/>
    <w:rsid w:val="006E7222"/>
    <w:rsid w:val="006F0091"/>
    <w:rsid w:val="006F09F9"/>
    <w:rsid w:val="006F36D6"/>
    <w:rsid w:val="006F45BE"/>
    <w:rsid w:val="006F50F4"/>
    <w:rsid w:val="006F6551"/>
    <w:rsid w:val="006F6579"/>
    <w:rsid w:val="007004FC"/>
    <w:rsid w:val="00706670"/>
    <w:rsid w:val="007067D6"/>
    <w:rsid w:val="007105C4"/>
    <w:rsid w:val="007120F6"/>
    <w:rsid w:val="007136BC"/>
    <w:rsid w:val="00713D5A"/>
    <w:rsid w:val="007154BF"/>
    <w:rsid w:val="00715CFA"/>
    <w:rsid w:val="00716A76"/>
    <w:rsid w:val="00722767"/>
    <w:rsid w:val="0072417C"/>
    <w:rsid w:val="0072599A"/>
    <w:rsid w:val="00726DE2"/>
    <w:rsid w:val="00731318"/>
    <w:rsid w:val="007323F5"/>
    <w:rsid w:val="00734211"/>
    <w:rsid w:val="00734450"/>
    <w:rsid w:val="0073516A"/>
    <w:rsid w:val="00737664"/>
    <w:rsid w:val="00745C48"/>
    <w:rsid w:val="00745F67"/>
    <w:rsid w:val="00746335"/>
    <w:rsid w:val="007464FC"/>
    <w:rsid w:val="00747591"/>
    <w:rsid w:val="0075039E"/>
    <w:rsid w:val="00750FAA"/>
    <w:rsid w:val="00751385"/>
    <w:rsid w:val="007526FF"/>
    <w:rsid w:val="00752D9D"/>
    <w:rsid w:val="007543A3"/>
    <w:rsid w:val="00754784"/>
    <w:rsid w:val="00755A99"/>
    <w:rsid w:val="00755AFE"/>
    <w:rsid w:val="00757C6E"/>
    <w:rsid w:val="00762BDA"/>
    <w:rsid w:val="00763484"/>
    <w:rsid w:val="0076378A"/>
    <w:rsid w:val="007645B4"/>
    <w:rsid w:val="00766503"/>
    <w:rsid w:val="0077044D"/>
    <w:rsid w:val="00773A44"/>
    <w:rsid w:val="007805FD"/>
    <w:rsid w:val="00781E6E"/>
    <w:rsid w:val="0078259A"/>
    <w:rsid w:val="00782956"/>
    <w:rsid w:val="00782AE8"/>
    <w:rsid w:val="00784422"/>
    <w:rsid w:val="00787A61"/>
    <w:rsid w:val="00790B92"/>
    <w:rsid w:val="00792C50"/>
    <w:rsid w:val="0079744E"/>
    <w:rsid w:val="00797F7B"/>
    <w:rsid w:val="007A0813"/>
    <w:rsid w:val="007A096E"/>
    <w:rsid w:val="007A2A02"/>
    <w:rsid w:val="007A2EF5"/>
    <w:rsid w:val="007A3C82"/>
    <w:rsid w:val="007A464C"/>
    <w:rsid w:val="007A530E"/>
    <w:rsid w:val="007A6D22"/>
    <w:rsid w:val="007A741B"/>
    <w:rsid w:val="007B18ED"/>
    <w:rsid w:val="007B2D43"/>
    <w:rsid w:val="007B3B54"/>
    <w:rsid w:val="007B3FA0"/>
    <w:rsid w:val="007B46F5"/>
    <w:rsid w:val="007B5CB5"/>
    <w:rsid w:val="007B6593"/>
    <w:rsid w:val="007C0F2C"/>
    <w:rsid w:val="007C2BCC"/>
    <w:rsid w:val="007C4EF0"/>
    <w:rsid w:val="007C58A7"/>
    <w:rsid w:val="007C6FD0"/>
    <w:rsid w:val="007D08E5"/>
    <w:rsid w:val="007D099D"/>
    <w:rsid w:val="007D29E8"/>
    <w:rsid w:val="007D2C8E"/>
    <w:rsid w:val="007D3806"/>
    <w:rsid w:val="007D426A"/>
    <w:rsid w:val="007D44A6"/>
    <w:rsid w:val="007D7DD8"/>
    <w:rsid w:val="007E2664"/>
    <w:rsid w:val="007E2730"/>
    <w:rsid w:val="007E3ABF"/>
    <w:rsid w:val="007E577C"/>
    <w:rsid w:val="007E5BFA"/>
    <w:rsid w:val="007E6689"/>
    <w:rsid w:val="007E731C"/>
    <w:rsid w:val="007F0A03"/>
    <w:rsid w:val="007F6093"/>
    <w:rsid w:val="007F67E0"/>
    <w:rsid w:val="007F6B12"/>
    <w:rsid w:val="007F6EC7"/>
    <w:rsid w:val="007F70B8"/>
    <w:rsid w:val="00800BD2"/>
    <w:rsid w:val="00810040"/>
    <w:rsid w:val="0081105D"/>
    <w:rsid w:val="00811EA6"/>
    <w:rsid w:val="0081583D"/>
    <w:rsid w:val="0082023A"/>
    <w:rsid w:val="00821246"/>
    <w:rsid w:val="00821A7A"/>
    <w:rsid w:val="00821EC9"/>
    <w:rsid w:val="008253F8"/>
    <w:rsid w:val="00827D03"/>
    <w:rsid w:val="00830130"/>
    <w:rsid w:val="008311D0"/>
    <w:rsid w:val="00831701"/>
    <w:rsid w:val="008325E4"/>
    <w:rsid w:val="00832A2B"/>
    <w:rsid w:val="008332BA"/>
    <w:rsid w:val="008334B5"/>
    <w:rsid w:val="00833A64"/>
    <w:rsid w:val="0083454A"/>
    <w:rsid w:val="00840495"/>
    <w:rsid w:val="008404F7"/>
    <w:rsid w:val="00841B2A"/>
    <w:rsid w:val="00845811"/>
    <w:rsid w:val="00846994"/>
    <w:rsid w:val="00850451"/>
    <w:rsid w:val="00852042"/>
    <w:rsid w:val="008522EC"/>
    <w:rsid w:val="00852641"/>
    <w:rsid w:val="008534C9"/>
    <w:rsid w:val="00853A64"/>
    <w:rsid w:val="008555FD"/>
    <w:rsid w:val="0085599D"/>
    <w:rsid w:val="008608E2"/>
    <w:rsid w:val="0086381B"/>
    <w:rsid w:val="00865FDB"/>
    <w:rsid w:val="008677AD"/>
    <w:rsid w:val="00872AF3"/>
    <w:rsid w:val="00874741"/>
    <w:rsid w:val="0087485B"/>
    <w:rsid w:val="00874FD4"/>
    <w:rsid w:val="0087510C"/>
    <w:rsid w:val="00877D32"/>
    <w:rsid w:val="008802FA"/>
    <w:rsid w:val="00882AB0"/>
    <w:rsid w:val="00882F6C"/>
    <w:rsid w:val="008832EF"/>
    <w:rsid w:val="0088795D"/>
    <w:rsid w:val="00887A21"/>
    <w:rsid w:val="00887A61"/>
    <w:rsid w:val="008903FC"/>
    <w:rsid w:val="0089401C"/>
    <w:rsid w:val="008952D9"/>
    <w:rsid w:val="00895AD3"/>
    <w:rsid w:val="0089738E"/>
    <w:rsid w:val="008A1AAD"/>
    <w:rsid w:val="008A3D95"/>
    <w:rsid w:val="008A41DF"/>
    <w:rsid w:val="008A568D"/>
    <w:rsid w:val="008A69E2"/>
    <w:rsid w:val="008A6A58"/>
    <w:rsid w:val="008A79D5"/>
    <w:rsid w:val="008B1649"/>
    <w:rsid w:val="008B2E81"/>
    <w:rsid w:val="008B51C6"/>
    <w:rsid w:val="008B5FDB"/>
    <w:rsid w:val="008C0194"/>
    <w:rsid w:val="008C50F4"/>
    <w:rsid w:val="008C54AF"/>
    <w:rsid w:val="008C5649"/>
    <w:rsid w:val="008C6112"/>
    <w:rsid w:val="008C7CF1"/>
    <w:rsid w:val="008D25B0"/>
    <w:rsid w:val="008D519B"/>
    <w:rsid w:val="008D7AFC"/>
    <w:rsid w:val="008E0D85"/>
    <w:rsid w:val="008E1BEB"/>
    <w:rsid w:val="008E44A2"/>
    <w:rsid w:val="008E4E97"/>
    <w:rsid w:val="008E54D9"/>
    <w:rsid w:val="008E5A64"/>
    <w:rsid w:val="008E697D"/>
    <w:rsid w:val="008E7E03"/>
    <w:rsid w:val="008F0049"/>
    <w:rsid w:val="008F1590"/>
    <w:rsid w:val="008F5ED2"/>
    <w:rsid w:val="008F7E15"/>
    <w:rsid w:val="009029BE"/>
    <w:rsid w:val="00903263"/>
    <w:rsid w:val="009036E5"/>
    <w:rsid w:val="00906A21"/>
    <w:rsid w:val="009079C3"/>
    <w:rsid w:val="00907CEE"/>
    <w:rsid w:val="00910462"/>
    <w:rsid w:val="00910FAA"/>
    <w:rsid w:val="00911489"/>
    <w:rsid w:val="00911AF8"/>
    <w:rsid w:val="009142F2"/>
    <w:rsid w:val="009154FF"/>
    <w:rsid w:val="00915AB1"/>
    <w:rsid w:val="009172C4"/>
    <w:rsid w:val="00917532"/>
    <w:rsid w:val="009177FF"/>
    <w:rsid w:val="00920A6B"/>
    <w:rsid w:val="00922A98"/>
    <w:rsid w:val="009235BA"/>
    <w:rsid w:val="00924023"/>
    <w:rsid w:val="00924CE2"/>
    <w:rsid w:val="00924F17"/>
    <w:rsid w:val="00925B9F"/>
    <w:rsid w:val="00925FBC"/>
    <w:rsid w:val="0093000A"/>
    <w:rsid w:val="00930460"/>
    <w:rsid w:val="00931AED"/>
    <w:rsid w:val="009325E8"/>
    <w:rsid w:val="00932D95"/>
    <w:rsid w:val="00933020"/>
    <w:rsid w:val="0093347F"/>
    <w:rsid w:val="009335C1"/>
    <w:rsid w:val="00935DF1"/>
    <w:rsid w:val="00936C76"/>
    <w:rsid w:val="0093745C"/>
    <w:rsid w:val="0094387E"/>
    <w:rsid w:val="00944770"/>
    <w:rsid w:val="00945C95"/>
    <w:rsid w:val="00946801"/>
    <w:rsid w:val="009476A3"/>
    <w:rsid w:val="0095334F"/>
    <w:rsid w:val="00962DC3"/>
    <w:rsid w:val="00965656"/>
    <w:rsid w:val="00965897"/>
    <w:rsid w:val="00965D43"/>
    <w:rsid w:val="00966A6D"/>
    <w:rsid w:val="0096765C"/>
    <w:rsid w:val="00971B7B"/>
    <w:rsid w:val="009727E4"/>
    <w:rsid w:val="00975447"/>
    <w:rsid w:val="009765C3"/>
    <w:rsid w:val="009779CB"/>
    <w:rsid w:val="00981C38"/>
    <w:rsid w:val="00985172"/>
    <w:rsid w:val="00987875"/>
    <w:rsid w:val="0099022F"/>
    <w:rsid w:val="00990C6D"/>
    <w:rsid w:val="009933D7"/>
    <w:rsid w:val="009934C5"/>
    <w:rsid w:val="00994C0F"/>
    <w:rsid w:val="009958F9"/>
    <w:rsid w:val="00995CEE"/>
    <w:rsid w:val="00997C34"/>
    <w:rsid w:val="009A3CA4"/>
    <w:rsid w:val="009B1B02"/>
    <w:rsid w:val="009B22D7"/>
    <w:rsid w:val="009B2AA7"/>
    <w:rsid w:val="009B3E34"/>
    <w:rsid w:val="009B42E5"/>
    <w:rsid w:val="009B72ED"/>
    <w:rsid w:val="009C5435"/>
    <w:rsid w:val="009C6DEB"/>
    <w:rsid w:val="009C7761"/>
    <w:rsid w:val="009D0894"/>
    <w:rsid w:val="009D1944"/>
    <w:rsid w:val="009D3309"/>
    <w:rsid w:val="009D345A"/>
    <w:rsid w:val="009D3888"/>
    <w:rsid w:val="009D4BA0"/>
    <w:rsid w:val="009D59DA"/>
    <w:rsid w:val="009D6504"/>
    <w:rsid w:val="009E041C"/>
    <w:rsid w:val="009E12D7"/>
    <w:rsid w:val="009E58EA"/>
    <w:rsid w:val="009E661A"/>
    <w:rsid w:val="009E775E"/>
    <w:rsid w:val="009F1AFB"/>
    <w:rsid w:val="009F4EA9"/>
    <w:rsid w:val="009F65BA"/>
    <w:rsid w:val="009F6978"/>
    <w:rsid w:val="00A00418"/>
    <w:rsid w:val="00A0251E"/>
    <w:rsid w:val="00A02E68"/>
    <w:rsid w:val="00A047AC"/>
    <w:rsid w:val="00A04A74"/>
    <w:rsid w:val="00A061F0"/>
    <w:rsid w:val="00A06781"/>
    <w:rsid w:val="00A074C3"/>
    <w:rsid w:val="00A100D9"/>
    <w:rsid w:val="00A1071E"/>
    <w:rsid w:val="00A12D5A"/>
    <w:rsid w:val="00A12E52"/>
    <w:rsid w:val="00A14AAA"/>
    <w:rsid w:val="00A1509C"/>
    <w:rsid w:val="00A15277"/>
    <w:rsid w:val="00A277E3"/>
    <w:rsid w:val="00A27CD0"/>
    <w:rsid w:val="00A30C68"/>
    <w:rsid w:val="00A34260"/>
    <w:rsid w:val="00A36808"/>
    <w:rsid w:val="00A368C8"/>
    <w:rsid w:val="00A37906"/>
    <w:rsid w:val="00A42E83"/>
    <w:rsid w:val="00A4722A"/>
    <w:rsid w:val="00A47CF5"/>
    <w:rsid w:val="00A50CE2"/>
    <w:rsid w:val="00A5341E"/>
    <w:rsid w:val="00A64637"/>
    <w:rsid w:val="00A709A5"/>
    <w:rsid w:val="00A70CFD"/>
    <w:rsid w:val="00A72A0B"/>
    <w:rsid w:val="00A750B2"/>
    <w:rsid w:val="00A75E7F"/>
    <w:rsid w:val="00A762F8"/>
    <w:rsid w:val="00A80DDE"/>
    <w:rsid w:val="00A81E42"/>
    <w:rsid w:val="00A8324F"/>
    <w:rsid w:val="00A836B6"/>
    <w:rsid w:val="00A8442D"/>
    <w:rsid w:val="00A864FE"/>
    <w:rsid w:val="00A86F41"/>
    <w:rsid w:val="00A87D04"/>
    <w:rsid w:val="00A90665"/>
    <w:rsid w:val="00A90D7A"/>
    <w:rsid w:val="00A94089"/>
    <w:rsid w:val="00A950C5"/>
    <w:rsid w:val="00A96699"/>
    <w:rsid w:val="00AA14F9"/>
    <w:rsid w:val="00AA1D25"/>
    <w:rsid w:val="00AA38A8"/>
    <w:rsid w:val="00AA51B3"/>
    <w:rsid w:val="00AA75BD"/>
    <w:rsid w:val="00AB2B1A"/>
    <w:rsid w:val="00AB397F"/>
    <w:rsid w:val="00AB42ED"/>
    <w:rsid w:val="00AB5705"/>
    <w:rsid w:val="00AB5832"/>
    <w:rsid w:val="00AB7B66"/>
    <w:rsid w:val="00AC51F2"/>
    <w:rsid w:val="00AC6CDF"/>
    <w:rsid w:val="00AC7AAD"/>
    <w:rsid w:val="00AD2B04"/>
    <w:rsid w:val="00AD53D6"/>
    <w:rsid w:val="00AE0819"/>
    <w:rsid w:val="00AE0CB0"/>
    <w:rsid w:val="00AE2256"/>
    <w:rsid w:val="00AE25AC"/>
    <w:rsid w:val="00AE30FC"/>
    <w:rsid w:val="00AE5066"/>
    <w:rsid w:val="00AE5E24"/>
    <w:rsid w:val="00AE61B7"/>
    <w:rsid w:val="00AE6CBA"/>
    <w:rsid w:val="00AE7256"/>
    <w:rsid w:val="00AE79AD"/>
    <w:rsid w:val="00AE7B42"/>
    <w:rsid w:val="00AF35E4"/>
    <w:rsid w:val="00AF3D7F"/>
    <w:rsid w:val="00AF5CDE"/>
    <w:rsid w:val="00AF6716"/>
    <w:rsid w:val="00B04084"/>
    <w:rsid w:val="00B1004D"/>
    <w:rsid w:val="00B11A57"/>
    <w:rsid w:val="00B12997"/>
    <w:rsid w:val="00B12C38"/>
    <w:rsid w:val="00B14FB7"/>
    <w:rsid w:val="00B16121"/>
    <w:rsid w:val="00B17284"/>
    <w:rsid w:val="00B20772"/>
    <w:rsid w:val="00B211C3"/>
    <w:rsid w:val="00B23B35"/>
    <w:rsid w:val="00B2512B"/>
    <w:rsid w:val="00B25597"/>
    <w:rsid w:val="00B267B9"/>
    <w:rsid w:val="00B27E07"/>
    <w:rsid w:val="00B31738"/>
    <w:rsid w:val="00B337A5"/>
    <w:rsid w:val="00B33B52"/>
    <w:rsid w:val="00B33E09"/>
    <w:rsid w:val="00B35AC0"/>
    <w:rsid w:val="00B35D1B"/>
    <w:rsid w:val="00B36380"/>
    <w:rsid w:val="00B436A8"/>
    <w:rsid w:val="00B442AE"/>
    <w:rsid w:val="00B4661D"/>
    <w:rsid w:val="00B47A2B"/>
    <w:rsid w:val="00B47BCA"/>
    <w:rsid w:val="00B47DE1"/>
    <w:rsid w:val="00B50708"/>
    <w:rsid w:val="00B50C68"/>
    <w:rsid w:val="00B51293"/>
    <w:rsid w:val="00B52B1E"/>
    <w:rsid w:val="00B537C2"/>
    <w:rsid w:val="00B544A7"/>
    <w:rsid w:val="00B55481"/>
    <w:rsid w:val="00B56C32"/>
    <w:rsid w:val="00B57792"/>
    <w:rsid w:val="00B57ACF"/>
    <w:rsid w:val="00B62436"/>
    <w:rsid w:val="00B63649"/>
    <w:rsid w:val="00B64BB1"/>
    <w:rsid w:val="00B65318"/>
    <w:rsid w:val="00B67189"/>
    <w:rsid w:val="00B70DAE"/>
    <w:rsid w:val="00B71224"/>
    <w:rsid w:val="00B7258F"/>
    <w:rsid w:val="00B73166"/>
    <w:rsid w:val="00B73BE1"/>
    <w:rsid w:val="00B7455C"/>
    <w:rsid w:val="00B75E2B"/>
    <w:rsid w:val="00B77DE2"/>
    <w:rsid w:val="00B809C7"/>
    <w:rsid w:val="00B80E9F"/>
    <w:rsid w:val="00B83FEE"/>
    <w:rsid w:val="00B8426C"/>
    <w:rsid w:val="00B842ED"/>
    <w:rsid w:val="00B84728"/>
    <w:rsid w:val="00B847D9"/>
    <w:rsid w:val="00B84C87"/>
    <w:rsid w:val="00B85D0A"/>
    <w:rsid w:val="00B863C9"/>
    <w:rsid w:val="00B87CC7"/>
    <w:rsid w:val="00B91B8D"/>
    <w:rsid w:val="00B94E90"/>
    <w:rsid w:val="00B95C35"/>
    <w:rsid w:val="00B97CC0"/>
    <w:rsid w:val="00BA0163"/>
    <w:rsid w:val="00BA0CAD"/>
    <w:rsid w:val="00BA6C25"/>
    <w:rsid w:val="00BA7CAA"/>
    <w:rsid w:val="00BB0A82"/>
    <w:rsid w:val="00BB0EBA"/>
    <w:rsid w:val="00BB14DB"/>
    <w:rsid w:val="00BB2A28"/>
    <w:rsid w:val="00BB2E13"/>
    <w:rsid w:val="00BB6022"/>
    <w:rsid w:val="00BB766D"/>
    <w:rsid w:val="00BB7C94"/>
    <w:rsid w:val="00BC0A9D"/>
    <w:rsid w:val="00BC0F6D"/>
    <w:rsid w:val="00BC15EC"/>
    <w:rsid w:val="00BC1E72"/>
    <w:rsid w:val="00BC369D"/>
    <w:rsid w:val="00BD129B"/>
    <w:rsid w:val="00BD1D2B"/>
    <w:rsid w:val="00BD405F"/>
    <w:rsid w:val="00BD6F0B"/>
    <w:rsid w:val="00BE2E2C"/>
    <w:rsid w:val="00BE32D0"/>
    <w:rsid w:val="00BE4981"/>
    <w:rsid w:val="00BE7190"/>
    <w:rsid w:val="00BF199D"/>
    <w:rsid w:val="00BF40ED"/>
    <w:rsid w:val="00BF5BC2"/>
    <w:rsid w:val="00BF5C64"/>
    <w:rsid w:val="00BF6160"/>
    <w:rsid w:val="00BF7303"/>
    <w:rsid w:val="00C00322"/>
    <w:rsid w:val="00C01C0C"/>
    <w:rsid w:val="00C0735D"/>
    <w:rsid w:val="00C07DED"/>
    <w:rsid w:val="00C1037A"/>
    <w:rsid w:val="00C1133D"/>
    <w:rsid w:val="00C13F6C"/>
    <w:rsid w:val="00C20646"/>
    <w:rsid w:val="00C20FFC"/>
    <w:rsid w:val="00C21732"/>
    <w:rsid w:val="00C21C04"/>
    <w:rsid w:val="00C21E24"/>
    <w:rsid w:val="00C2317A"/>
    <w:rsid w:val="00C231A7"/>
    <w:rsid w:val="00C24147"/>
    <w:rsid w:val="00C270AA"/>
    <w:rsid w:val="00C27A08"/>
    <w:rsid w:val="00C31312"/>
    <w:rsid w:val="00C324C0"/>
    <w:rsid w:val="00C326C6"/>
    <w:rsid w:val="00C33C34"/>
    <w:rsid w:val="00C35295"/>
    <w:rsid w:val="00C36ADD"/>
    <w:rsid w:val="00C36E74"/>
    <w:rsid w:val="00C40595"/>
    <w:rsid w:val="00C409A4"/>
    <w:rsid w:val="00C41621"/>
    <w:rsid w:val="00C449FA"/>
    <w:rsid w:val="00C47D59"/>
    <w:rsid w:val="00C515F8"/>
    <w:rsid w:val="00C517AC"/>
    <w:rsid w:val="00C52675"/>
    <w:rsid w:val="00C5384F"/>
    <w:rsid w:val="00C54C12"/>
    <w:rsid w:val="00C54FCA"/>
    <w:rsid w:val="00C55F2E"/>
    <w:rsid w:val="00C56964"/>
    <w:rsid w:val="00C57F71"/>
    <w:rsid w:val="00C6040E"/>
    <w:rsid w:val="00C627DE"/>
    <w:rsid w:val="00C656D5"/>
    <w:rsid w:val="00C65A97"/>
    <w:rsid w:val="00C67103"/>
    <w:rsid w:val="00C67C62"/>
    <w:rsid w:val="00C70386"/>
    <w:rsid w:val="00C71BB9"/>
    <w:rsid w:val="00C72760"/>
    <w:rsid w:val="00C75448"/>
    <w:rsid w:val="00C754CC"/>
    <w:rsid w:val="00C7578C"/>
    <w:rsid w:val="00C83765"/>
    <w:rsid w:val="00C842AE"/>
    <w:rsid w:val="00C85AAA"/>
    <w:rsid w:val="00C903F1"/>
    <w:rsid w:val="00C929AF"/>
    <w:rsid w:val="00C92A52"/>
    <w:rsid w:val="00C933B4"/>
    <w:rsid w:val="00C935A3"/>
    <w:rsid w:val="00C94C28"/>
    <w:rsid w:val="00C96C04"/>
    <w:rsid w:val="00CA31FC"/>
    <w:rsid w:val="00CA32B9"/>
    <w:rsid w:val="00CA47E6"/>
    <w:rsid w:val="00CA6C46"/>
    <w:rsid w:val="00CB0247"/>
    <w:rsid w:val="00CB0699"/>
    <w:rsid w:val="00CB075A"/>
    <w:rsid w:val="00CB2C1B"/>
    <w:rsid w:val="00CB3440"/>
    <w:rsid w:val="00CB5FE1"/>
    <w:rsid w:val="00CB74B5"/>
    <w:rsid w:val="00CC0350"/>
    <w:rsid w:val="00CC1692"/>
    <w:rsid w:val="00CC257A"/>
    <w:rsid w:val="00CC3152"/>
    <w:rsid w:val="00CC6449"/>
    <w:rsid w:val="00CC6941"/>
    <w:rsid w:val="00CD138B"/>
    <w:rsid w:val="00CD2571"/>
    <w:rsid w:val="00CD2759"/>
    <w:rsid w:val="00CD3E31"/>
    <w:rsid w:val="00CD46D0"/>
    <w:rsid w:val="00CD6AF7"/>
    <w:rsid w:val="00CD74A3"/>
    <w:rsid w:val="00CE04F1"/>
    <w:rsid w:val="00CE0527"/>
    <w:rsid w:val="00CE11E8"/>
    <w:rsid w:val="00CE2CC6"/>
    <w:rsid w:val="00CE5772"/>
    <w:rsid w:val="00CE5B23"/>
    <w:rsid w:val="00CE72B0"/>
    <w:rsid w:val="00CE76F7"/>
    <w:rsid w:val="00CE7A04"/>
    <w:rsid w:val="00CF059B"/>
    <w:rsid w:val="00CF14B1"/>
    <w:rsid w:val="00CF15CD"/>
    <w:rsid w:val="00CF1C2F"/>
    <w:rsid w:val="00CF1E1A"/>
    <w:rsid w:val="00CF27CC"/>
    <w:rsid w:val="00CF6723"/>
    <w:rsid w:val="00CF70AD"/>
    <w:rsid w:val="00CF7729"/>
    <w:rsid w:val="00CF77A8"/>
    <w:rsid w:val="00D00059"/>
    <w:rsid w:val="00D0199F"/>
    <w:rsid w:val="00D04375"/>
    <w:rsid w:val="00D107FA"/>
    <w:rsid w:val="00D113EA"/>
    <w:rsid w:val="00D12073"/>
    <w:rsid w:val="00D12275"/>
    <w:rsid w:val="00D12766"/>
    <w:rsid w:val="00D129B5"/>
    <w:rsid w:val="00D20FF4"/>
    <w:rsid w:val="00D21889"/>
    <w:rsid w:val="00D2421A"/>
    <w:rsid w:val="00D24D2C"/>
    <w:rsid w:val="00D257DA"/>
    <w:rsid w:val="00D30DE0"/>
    <w:rsid w:val="00D33DE5"/>
    <w:rsid w:val="00D35881"/>
    <w:rsid w:val="00D401F8"/>
    <w:rsid w:val="00D4043C"/>
    <w:rsid w:val="00D41329"/>
    <w:rsid w:val="00D45E5C"/>
    <w:rsid w:val="00D50753"/>
    <w:rsid w:val="00D52B8B"/>
    <w:rsid w:val="00D52E62"/>
    <w:rsid w:val="00D543DB"/>
    <w:rsid w:val="00D55560"/>
    <w:rsid w:val="00D5764C"/>
    <w:rsid w:val="00D607C0"/>
    <w:rsid w:val="00D61C1C"/>
    <w:rsid w:val="00D66D08"/>
    <w:rsid w:val="00D677B0"/>
    <w:rsid w:val="00D713BD"/>
    <w:rsid w:val="00D7199B"/>
    <w:rsid w:val="00D73336"/>
    <w:rsid w:val="00D73EB0"/>
    <w:rsid w:val="00D75C94"/>
    <w:rsid w:val="00D7628A"/>
    <w:rsid w:val="00D76EF3"/>
    <w:rsid w:val="00D77973"/>
    <w:rsid w:val="00D80273"/>
    <w:rsid w:val="00D81982"/>
    <w:rsid w:val="00D81FB8"/>
    <w:rsid w:val="00D84489"/>
    <w:rsid w:val="00D84536"/>
    <w:rsid w:val="00D8574C"/>
    <w:rsid w:val="00D866B5"/>
    <w:rsid w:val="00D87512"/>
    <w:rsid w:val="00D90DB0"/>
    <w:rsid w:val="00D92C68"/>
    <w:rsid w:val="00D97D8A"/>
    <w:rsid w:val="00DA013A"/>
    <w:rsid w:val="00DA0B1E"/>
    <w:rsid w:val="00DA40A9"/>
    <w:rsid w:val="00DA4D52"/>
    <w:rsid w:val="00DA55E3"/>
    <w:rsid w:val="00DA79F8"/>
    <w:rsid w:val="00DA7DA5"/>
    <w:rsid w:val="00DB073B"/>
    <w:rsid w:val="00DB2A01"/>
    <w:rsid w:val="00DB383F"/>
    <w:rsid w:val="00DB5119"/>
    <w:rsid w:val="00DB7080"/>
    <w:rsid w:val="00DB78F0"/>
    <w:rsid w:val="00DC05EB"/>
    <w:rsid w:val="00DC0AD0"/>
    <w:rsid w:val="00DC0E13"/>
    <w:rsid w:val="00DC1D8F"/>
    <w:rsid w:val="00DC1EDB"/>
    <w:rsid w:val="00DC2E43"/>
    <w:rsid w:val="00DC39C0"/>
    <w:rsid w:val="00DC49E7"/>
    <w:rsid w:val="00DC5289"/>
    <w:rsid w:val="00DC5E12"/>
    <w:rsid w:val="00DD095C"/>
    <w:rsid w:val="00DD1020"/>
    <w:rsid w:val="00DD1330"/>
    <w:rsid w:val="00DD2A23"/>
    <w:rsid w:val="00DE0B83"/>
    <w:rsid w:val="00DE0DC5"/>
    <w:rsid w:val="00DE1A81"/>
    <w:rsid w:val="00DE1C13"/>
    <w:rsid w:val="00DE4E10"/>
    <w:rsid w:val="00DE5519"/>
    <w:rsid w:val="00DF2997"/>
    <w:rsid w:val="00DF3577"/>
    <w:rsid w:val="00DF665A"/>
    <w:rsid w:val="00E00B99"/>
    <w:rsid w:val="00E02ABF"/>
    <w:rsid w:val="00E03666"/>
    <w:rsid w:val="00E043CC"/>
    <w:rsid w:val="00E05671"/>
    <w:rsid w:val="00E057D5"/>
    <w:rsid w:val="00E114F5"/>
    <w:rsid w:val="00E135B1"/>
    <w:rsid w:val="00E13817"/>
    <w:rsid w:val="00E1487E"/>
    <w:rsid w:val="00E14995"/>
    <w:rsid w:val="00E14C58"/>
    <w:rsid w:val="00E155B3"/>
    <w:rsid w:val="00E15E0A"/>
    <w:rsid w:val="00E16C32"/>
    <w:rsid w:val="00E16C5A"/>
    <w:rsid w:val="00E179CD"/>
    <w:rsid w:val="00E17EC7"/>
    <w:rsid w:val="00E225AB"/>
    <w:rsid w:val="00E233C5"/>
    <w:rsid w:val="00E23E8D"/>
    <w:rsid w:val="00E250BC"/>
    <w:rsid w:val="00E307D6"/>
    <w:rsid w:val="00E34404"/>
    <w:rsid w:val="00E3583B"/>
    <w:rsid w:val="00E36314"/>
    <w:rsid w:val="00E37F98"/>
    <w:rsid w:val="00E41AA7"/>
    <w:rsid w:val="00E448D5"/>
    <w:rsid w:val="00E4502A"/>
    <w:rsid w:val="00E46559"/>
    <w:rsid w:val="00E517F2"/>
    <w:rsid w:val="00E51BED"/>
    <w:rsid w:val="00E52B12"/>
    <w:rsid w:val="00E547C1"/>
    <w:rsid w:val="00E548A0"/>
    <w:rsid w:val="00E60222"/>
    <w:rsid w:val="00E608A5"/>
    <w:rsid w:val="00E61D34"/>
    <w:rsid w:val="00E66595"/>
    <w:rsid w:val="00E6670C"/>
    <w:rsid w:val="00E70CA5"/>
    <w:rsid w:val="00E734B2"/>
    <w:rsid w:val="00E763B9"/>
    <w:rsid w:val="00E76A1B"/>
    <w:rsid w:val="00E776E8"/>
    <w:rsid w:val="00E81D81"/>
    <w:rsid w:val="00E83A97"/>
    <w:rsid w:val="00E85317"/>
    <w:rsid w:val="00E85851"/>
    <w:rsid w:val="00E866EA"/>
    <w:rsid w:val="00E86758"/>
    <w:rsid w:val="00E8679B"/>
    <w:rsid w:val="00E9243D"/>
    <w:rsid w:val="00E92C1F"/>
    <w:rsid w:val="00E95D4B"/>
    <w:rsid w:val="00E97013"/>
    <w:rsid w:val="00E97597"/>
    <w:rsid w:val="00E97F90"/>
    <w:rsid w:val="00EA0D80"/>
    <w:rsid w:val="00EA2CA8"/>
    <w:rsid w:val="00EA5E78"/>
    <w:rsid w:val="00EA6B8C"/>
    <w:rsid w:val="00EA78B3"/>
    <w:rsid w:val="00EB199F"/>
    <w:rsid w:val="00EB6CC6"/>
    <w:rsid w:val="00EC23F7"/>
    <w:rsid w:val="00EC2484"/>
    <w:rsid w:val="00EC404C"/>
    <w:rsid w:val="00EC4A0E"/>
    <w:rsid w:val="00EC4BD8"/>
    <w:rsid w:val="00EC63EB"/>
    <w:rsid w:val="00ED03E5"/>
    <w:rsid w:val="00ED37ED"/>
    <w:rsid w:val="00ED412F"/>
    <w:rsid w:val="00ED5BF2"/>
    <w:rsid w:val="00ED7ED6"/>
    <w:rsid w:val="00EE337A"/>
    <w:rsid w:val="00EE407C"/>
    <w:rsid w:val="00EE78A6"/>
    <w:rsid w:val="00EF155A"/>
    <w:rsid w:val="00EF36B2"/>
    <w:rsid w:val="00EF6A9B"/>
    <w:rsid w:val="00F026FB"/>
    <w:rsid w:val="00F031FB"/>
    <w:rsid w:val="00F03CE4"/>
    <w:rsid w:val="00F0770A"/>
    <w:rsid w:val="00F11F8D"/>
    <w:rsid w:val="00F131AA"/>
    <w:rsid w:val="00F13C47"/>
    <w:rsid w:val="00F168F0"/>
    <w:rsid w:val="00F17298"/>
    <w:rsid w:val="00F17625"/>
    <w:rsid w:val="00F201EC"/>
    <w:rsid w:val="00F208A9"/>
    <w:rsid w:val="00F2176D"/>
    <w:rsid w:val="00F218E5"/>
    <w:rsid w:val="00F21D83"/>
    <w:rsid w:val="00F2677A"/>
    <w:rsid w:val="00F31CB5"/>
    <w:rsid w:val="00F33962"/>
    <w:rsid w:val="00F37013"/>
    <w:rsid w:val="00F40FB3"/>
    <w:rsid w:val="00F41D75"/>
    <w:rsid w:val="00F44BF8"/>
    <w:rsid w:val="00F467B8"/>
    <w:rsid w:val="00F4705E"/>
    <w:rsid w:val="00F5139D"/>
    <w:rsid w:val="00F5340D"/>
    <w:rsid w:val="00F6215A"/>
    <w:rsid w:val="00F63DAC"/>
    <w:rsid w:val="00F64194"/>
    <w:rsid w:val="00F641D8"/>
    <w:rsid w:val="00F65CAF"/>
    <w:rsid w:val="00F65EB8"/>
    <w:rsid w:val="00F668FB"/>
    <w:rsid w:val="00F66A37"/>
    <w:rsid w:val="00F710DD"/>
    <w:rsid w:val="00F7428D"/>
    <w:rsid w:val="00F7454F"/>
    <w:rsid w:val="00F758D9"/>
    <w:rsid w:val="00F7668C"/>
    <w:rsid w:val="00F76A55"/>
    <w:rsid w:val="00F77988"/>
    <w:rsid w:val="00F77F48"/>
    <w:rsid w:val="00F802E2"/>
    <w:rsid w:val="00F833D4"/>
    <w:rsid w:val="00F839ED"/>
    <w:rsid w:val="00F83B4D"/>
    <w:rsid w:val="00F85A1D"/>
    <w:rsid w:val="00F85C47"/>
    <w:rsid w:val="00F87856"/>
    <w:rsid w:val="00F87ECA"/>
    <w:rsid w:val="00F921F8"/>
    <w:rsid w:val="00F96D85"/>
    <w:rsid w:val="00FA11EC"/>
    <w:rsid w:val="00FA17E5"/>
    <w:rsid w:val="00FA52D1"/>
    <w:rsid w:val="00FA62C8"/>
    <w:rsid w:val="00FB04C3"/>
    <w:rsid w:val="00FB30F1"/>
    <w:rsid w:val="00FB37AF"/>
    <w:rsid w:val="00FB53E7"/>
    <w:rsid w:val="00FB67FA"/>
    <w:rsid w:val="00FB77E6"/>
    <w:rsid w:val="00FC0F2D"/>
    <w:rsid w:val="00FD084C"/>
    <w:rsid w:val="00FD3432"/>
    <w:rsid w:val="00FD71D6"/>
    <w:rsid w:val="00FD75B5"/>
    <w:rsid w:val="00FE0DF3"/>
    <w:rsid w:val="00FE1D90"/>
    <w:rsid w:val="00FE2CF7"/>
    <w:rsid w:val="00FE2EE6"/>
    <w:rsid w:val="00FE30E3"/>
    <w:rsid w:val="00FE6810"/>
    <w:rsid w:val="00FE6828"/>
    <w:rsid w:val="00FE79F8"/>
    <w:rsid w:val="00FE7DB3"/>
    <w:rsid w:val="00FF0150"/>
    <w:rsid w:val="00FF0331"/>
    <w:rsid w:val="00FF4021"/>
    <w:rsid w:val="00FF6A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3D35E8"/>
  <w15:docId w15:val="{76B25F70-C8DA-4F66-BA04-5A49CD485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rsid w:val="008C5649"/>
    <w:rPr>
      <w:sz w:val="20"/>
      <w:szCs w:val="20"/>
    </w:rPr>
  </w:style>
  <w:style w:type="character" w:customStyle="1" w:styleId="CommentTextChar">
    <w:name w:val="Comment Text Char"/>
    <w:link w:val="CommentText"/>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8C5649"/>
    <w:rPr>
      <w:sz w:val="20"/>
      <w:szCs w:val="20"/>
    </w:rPr>
  </w:style>
  <w:style w:type="character" w:styleId="FootnoteReference">
    <w:name w:val="footnote reference"/>
    <w:aliases w:val="Footnote Reference Number,Footnote symbol"/>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ListParagraph">
    <w:name w:val="List Paragraph"/>
    <w:basedOn w:val="Normal"/>
    <w:uiPriority w:val="34"/>
    <w:qFormat/>
    <w:rsid w:val="001B71CD"/>
    <w:pPr>
      <w:spacing w:after="200" w:line="276" w:lineRule="auto"/>
      <w:ind w:left="720"/>
      <w:contextualSpacing/>
    </w:pPr>
    <w:rPr>
      <w:rFonts w:ascii="Calibri" w:eastAsia="Calibri" w:hAnsi="Calibri"/>
      <w:sz w:val="22"/>
      <w:szCs w:val="22"/>
      <w:lang w:eastAsia="en-US"/>
    </w:rPr>
  </w:style>
  <w:style w:type="paragraph" w:customStyle="1" w:styleId="tv2131">
    <w:name w:val="tv2131"/>
    <w:basedOn w:val="Normal"/>
    <w:rsid w:val="0059232A"/>
    <w:pPr>
      <w:spacing w:line="360" w:lineRule="auto"/>
      <w:ind w:firstLine="300"/>
    </w:pPr>
    <w:rPr>
      <w:color w:val="414142"/>
      <w:sz w:val="20"/>
      <w:szCs w:val="20"/>
    </w:rPr>
  </w:style>
  <w:style w:type="paragraph" w:styleId="BlockText">
    <w:name w:val="Block Text"/>
    <w:basedOn w:val="Normal"/>
    <w:uiPriority w:val="99"/>
    <w:unhideWhenUsed/>
    <w:rsid w:val="00874FD4"/>
    <w:pPr>
      <w:spacing w:before="100" w:beforeAutospacing="1" w:after="100" w:afterAutospacing="1"/>
    </w:pPr>
    <w:rPr>
      <w:color w:val="000000"/>
    </w:rPr>
  </w:style>
  <w:style w:type="paragraph" w:styleId="PlainText">
    <w:name w:val="Plain Text"/>
    <w:basedOn w:val="Normal"/>
    <w:link w:val="PlainTextChar"/>
    <w:uiPriority w:val="99"/>
    <w:unhideWhenUsed/>
    <w:rsid w:val="00874FD4"/>
    <w:rPr>
      <w:rFonts w:ascii="Calibri" w:eastAsia="Calibri" w:hAnsi="Calibri"/>
      <w:sz w:val="22"/>
      <w:szCs w:val="22"/>
    </w:rPr>
  </w:style>
  <w:style w:type="character" w:customStyle="1" w:styleId="PlainTextChar">
    <w:name w:val="Plain Text Char"/>
    <w:link w:val="PlainText"/>
    <w:uiPriority w:val="99"/>
    <w:rsid w:val="00874FD4"/>
    <w:rPr>
      <w:rFonts w:ascii="Calibri" w:eastAsia="Calibri" w:hAnsi="Calibri"/>
      <w:sz w:val="22"/>
      <w:szCs w:val="22"/>
    </w:rPr>
  </w:style>
  <w:style w:type="paragraph" w:customStyle="1" w:styleId="tv2132">
    <w:name w:val="tv2132"/>
    <w:basedOn w:val="Normal"/>
    <w:rsid w:val="003272E6"/>
    <w:pPr>
      <w:spacing w:line="360" w:lineRule="auto"/>
      <w:ind w:firstLine="300"/>
    </w:pPr>
    <w:rPr>
      <w:color w:val="414142"/>
      <w:sz w:val="20"/>
      <w:szCs w:val="20"/>
    </w:rPr>
  </w:style>
  <w:style w:type="paragraph" w:customStyle="1" w:styleId="Default">
    <w:name w:val="Default"/>
    <w:rsid w:val="000C24FA"/>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0C24FA"/>
    <w:rPr>
      <w:rFonts w:cs="Times New Roman"/>
      <w:color w:val="auto"/>
    </w:rPr>
  </w:style>
  <w:style w:type="paragraph" w:customStyle="1" w:styleId="CM3">
    <w:name w:val="CM3"/>
    <w:basedOn w:val="Default"/>
    <w:next w:val="Default"/>
    <w:uiPriority w:val="99"/>
    <w:rsid w:val="000C24FA"/>
    <w:rPr>
      <w:rFonts w:cs="Times New Roman"/>
      <w:color w:val="auto"/>
    </w:rPr>
  </w:style>
  <w:style w:type="paragraph" w:styleId="Revision">
    <w:name w:val="Revision"/>
    <w:hidden/>
    <w:uiPriority w:val="99"/>
    <w:semiHidden/>
    <w:rsid w:val="00541A3B"/>
    <w:rPr>
      <w:sz w:val="24"/>
      <w:szCs w:val="24"/>
    </w:rPr>
  </w:style>
  <w:style w:type="paragraph" w:styleId="BodyText">
    <w:name w:val="Body Text"/>
    <w:basedOn w:val="Normal"/>
    <w:link w:val="BodyTextChar"/>
    <w:rsid w:val="004550C6"/>
    <w:pPr>
      <w:tabs>
        <w:tab w:val="left" w:pos="720"/>
      </w:tabs>
      <w:suppressAutoHyphens/>
      <w:spacing w:after="120" w:line="276" w:lineRule="auto"/>
    </w:pPr>
    <w:rPr>
      <w:color w:val="00000A"/>
      <w:lang w:eastAsia="zh-CN"/>
    </w:rPr>
  </w:style>
  <w:style w:type="character" w:customStyle="1" w:styleId="BodyTextChar">
    <w:name w:val="Body Text Char"/>
    <w:basedOn w:val="DefaultParagraphFont"/>
    <w:link w:val="BodyText"/>
    <w:rsid w:val="004550C6"/>
    <w:rPr>
      <w:color w:val="00000A"/>
      <w:sz w:val="24"/>
      <w:szCs w:val="24"/>
      <w:lang w:eastAsia="zh-CN"/>
    </w:rPr>
  </w:style>
  <w:style w:type="paragraph" w:styleId="EndnoteText">
    <w:name w:val="endnote text"/>
    <w:basedOn w:val="Normal"/>
    <w:link w:val="EndnoteTextChar"/>
    <w:semiHidden/>
    <w:unhideWhenUsed/>
    <w:rsid w:val="006C66F7"/>
    <w:rPr>
      <w:sz w:val="20"/>
      <w:szCs w:val="20"/>
    </w:rPr>
  </w:style>
  <w:style w:type="character" w:customStyle="1" w:styleId="EndnoteTextChar">
    <w:name w:val="Endnote Text Char"/>
    <w:basedOn w:val="DefaultParagraphFont"/>
    <w:link w:val="EndnoteText"/>
    <w:semiHidden/>
    <w:rsid w:val="006C66F7"/>
  </w:style>
  <w:style w:type="character" w:styleId="EndnoteReference">
    <w:name w:val="endnote reference"/>
    <w:basedOn w:val="DefaultParagraphFont"/>
    <w:semiHidden/>
    <w:unhideWhenUsed/>
    <w:rsid w:val="006C66F7"/>
    <w:rPr>
      <w:vertAlign w:val="superscript"/>
    </w:rPr>
  </w:style>
  <w:style w:type="character" w:customStyle="1" w:styleId="FootnoteTextChar">
    <w:name w:val="Footnote Text Char"/>
    <w:basedOn w:val="DefaultParagraphFont"/>
    <w:link w:val="FootnoteText"/>
    <w:uiPriority w:val="99"/>
    <w:rsid w:val="00024596"/>
  </w:style>
  <w:style w:type="paragraph" w:customStyle="1" w:styleId="tvhtml">
    <w:name w:val="tv_html"/>
    <w:basedOn w:val="Normal"/>
    <w:rsid w:val="00936C76"/>
    <w:pPr>
      <w:spacing w:before="100" w:beforeAutospacing="1" w:after="100" w:afterAutospacing="1"/>
    </w:pPr>
  </w:style>
  <w:style w:type="paragraph" w:styleId="NormalWeb">
    <w:name w:val="Normal (Web)"/>
    <w:basedOn w:val="Normal"/>
    <w:uiPriority w:val="99"/>
    <w:semiHidden/>
    <w:unhideWhenUsed/>
    <w:rsid w:val="00B83FEE"/>
    <w:rPr>
      <w:rFonts w:eastAsiaTheme="minorHAnsi"/>
    </w:rPr>
  </w:style>
  <w:style w:type="character" w:styleId="FollowedHyperlink">
    <w:name w:val="FollowedHyperlink"/>
    <w:basedOn w:val="DefaultParagraphFont"/>
    <w:semiHidden/>
    <w:unhideWhenUsed/>
    <w:rsid w:val="00B83F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48784">
      <w:bodyDiv w:val="1"/>
      <w:marLeft w:val="0"/>
      <w:marRight w:val="0"/>
      <w:marTop w:val="0"/>
      <w:marBottom w:val="0"/>
      <w:divBdr>
        <w:top w:val="none" w:sz="0" w:space="0" w:color="auto"/>
        <w:left w:val="none" w:sz="0" w:space="0" w:color="auto"/>
        <w:bottom w:val="none" w:sz="0" w:space="0" w:color="auto"/>
        <w:right w:val="none" w:sz="0" w:space="0" w:color="auto"/>
      </w:divBdr>
    </w:div>
    <w:div w:id="232011691">
      <w:bodyDiv w:val="1"/>
      <w:marLeft w:val="0"/>
      <w:marRight w:val="0"/>
      <w:marTop w:val="0"/>
      <w:marBottom w:val="0"/>
      <w:divBdr>
        <w:top w:val="none" w:sz="0" w:space="0" w:color="auto"/>
        <w:left w:val="none" w:sz="0" w:space="0" w:color="auto"/>
        <w:bottom w:val="none" w:sz="0" w:space="0" w:color="auto"/>
        <w:right w:val="none" w:sz="0" w:space="0" w:color="auto"/>
      </w:divBdr>
    </w:div>
    <w:div w:id="301811694">
      <w:bodyDiv w:val="1"/>
      <w:marLeft w:val="0"/>
      <w:marRight w:val="0"/>
      <w:marTop w:val="0"/>
      <w:marBottom w:val="0"/>
      <w:divBdr>
        <w:top w:val="none" w:sz="0" w:space="0" w:color="auto"/>
        <w:left w:val="none" w:sz="0" w:space="0" w:color="auto"/>
        <w:bottom w:val="none" w:sz="0" w:space="0" w:color="auto"/>
        <w:right w:val="none" w:sz="0" w:space="0" w:color="auto"/>
      </w:divBdr>
    </w:div>
    <w:div w:id="492834984">
      <w:bodyDiv w:val="1"/>
      <w:marLeft w:val="0"/>
      <w:marRight w:val="0"/>
      <w:marTop w:val="0"/>
      <w:marBottom w:val="0"/>
      <w:divBdr>
        <w:top w:val="none" w:sz="0" w:space="0" w:color="auto"/>
        <w:left w:val="none" w:sz="0" w:space="0" w:color="auto"/>
        <w:bottom w:val="none" w:sz="0" w:space="0" w:color="auto"/>
        <w:right w:val="none" w:sz="0" w:space="0" w:color="auto"/>
      </w:divBdr>
      <w:divsChild>
        <w:div w:id="1178932750">
          <w:marLeft w:val="0"/>
          <w:marRight w:val="0"/>
          <w:marTop w:val="0"/>
          <w:marBottom w:val="0"/>
          <w:divBdr>
            <w:top w:val="none" w:sz="0" w:space="0" w:color="auto"/>
            <w:left w:val="none" w:sz="0" w:space="0" w:color="auto"/>
            <w:bottom w:val="none" w:sz="0" w:space="0" w:color="auto"/>
            <w:right w:val="none" w:sz="0" w:space="0" w:color="auto"/>
          </w:divBdr>
          <w:divsChild>
            <w:div w:id="421725550">
              <w:marLeft w:val="0"/>
              <w:marRight w:val="0"/>
              <w:marTop w:val="0"/>
              <w:marBottom w:val="0"/>
              <w:divBdr>
                <w:top w:val="none" w:sz="0" w:space="0" w:color="auto"/>
                <w:left w:val="none" w:sz="0" w:space="0" w:color="auto"/>
                <w:bottom w:val="none" w:sz="0" w:space="0" w:color="auto"/>
                <w:right w:val="none" w:sz="0" w:space="0" w:color="auto"/>
              </w:divBdr>
              <w:divsChild>
                <w:div w:id="205944998">
                  <w:marLeft w:val="0"/>
                  <w:marRight w:val="0"/>
                  <w:marTop w:val="0"/>
                  <w:marBottom w:val="0"/>
                  <w:divBdr>
                    <w:top w:val="none" w:sz="0" w:space="0" w:color="auto"/>
                    <w:left w:val="none" w:sz="0" w:space="0" w:color="auto"/>
                    <w:bottom w:val="none" w:sz="0" w:space="0" w:color="auto"/>
                    <w:right w:val="none" w:sz="0" w:space="0" w:color="auto"/>
                  </w:divBdr>
                  <w:divsChild>
                    <w:div w:id="1186015278">
                      <w:marLeft w:val="0"/>
                      <w:marRight w:val="0"/>
                      <w:marTop w:val="0"/>
                      <w:marBottom w:val="0"/>
                      <w:divBdr>
                        <w:top w:val="none" w:sz="0" w:space="0" w:color="auto"/>
                        <w:left w:val="none" w:sz="0" w:space="0" w:color="auto"/>
                        <w:bottom w:val="none" w:sz="0" w:space="0" w:color="auto"/>
                        <w:right w:val="none" w:sz="0" w:space="0" w:color="auto"/>
                      </w:divBdr>
                      <w:divsChild>
                        <w:div w:id="730008335">
                          <w:marLeft w:val="0"/>
                          <w:marRight w:val="0"/>
                          <w:marTop w:val="0"/>
                          <w:marBottom w:val="0"/>
                          <w:divBdr>
                            <w:top w:val="none" w:sz="0" w:space="0" w:color="auto"/>
                            <w:left w:val="none" w:sz="0" w:space="0" w:color="auto"/>
                            <w:bottom w:val="none" w:sz="0" w:space="0" w:color="auto"/>
                            <w:right w:val="none" w:sz="0" w:space="0" w:color="auto"/>
                          </w:divBdr>
                          <w:divsChild>
                            <w:div w:id="15067490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948709">
      <w:bodyDiv w:val="1"/>
      <w:marLeft w:val="0"/>
      <w:marRight w:val="0"/>
      <w:marTop w:val="0"/>
      <w:marBottom w:val="0"/>
      <w:divBdr>
        <w:top w:val="none" w:sz="0" w:space="0" w:color="auto"/>
        <w:left w:val="none" w:sz="0" w:space="0" w:color="auto"/>
        <w:bottom w:val="none" w:sz="0" w:space="0" w:color="auto"/>
        <w:right w:val="none" w:sz="0" w:space="0" w:color="auto"/>
      </w:divBdr>
      <w:divsChild>
        <w:div w:id="939066279">
          <w:marLeft w:val="0"/>
          <w:marRight w:val="0"/>
          <w:marTop w:val="0"/>
          <w:marBottom w:val="0"/>
          <w:divBdr>
            <w:top w:val="none" w:sz="0" w:space="0" w:color="auto"/>
            <w:left w:val="none" w:sz="0" w:space="0" w:color="auto"/>
            <w:bottom w:val="none" w:sz="0" w:space="0" w:color="auto"/>
            <w:right w:val="none" w:sz="0" w:space="0" w:color="auto"/>
          </w:divBdr>
          <w:divsChild>
            <w:div w:id="1027679026">
              <w:marLeft w:val="0"/>
              <w:marRight w:val="0"/>
              <w:marTop w:val="0"/>
              <w:marBottom w:val="0"/>
              <w:divBdr>
                <w:top w:val="none" w:sz="0" w:space="0" w:color="auto"/>
                <w:left w:val="none" w:sz="0" w:space="0" w:color="auto"/>
                <w:bottom w:val="none" w:sz="0" w:space="0" w:color="auto"/>
                <w:right w:val="none" w:sz="0" w:space="0" w:color="auto"/>
              </w:divBdr>
              <w:divsChild>
                <w:div w:id="393310995">
                  <w:marLeft w:val="0"/>
                  <w:marRight w:val="0"/>
                  <w:marTop w:val="0"/>
                  <w:marBottom w:val="0"/>
                  <w:divBdr>
                    <w:top w:val="none" w:sz="0" w:space="0" w:color="auto"/>
                    <w:left w:val="none" w:sz="0" w:space="0" w:color="auto"/>
                    <w:bottom w:val="none" w:sz="0" w:space="0" w:color="auto"/>
                    <w:right w:val="none" w:sz="0" w:space="0" w:color="auto"/>
                  </w:divBdr>
                  <w:divsChild>
                    <w:div w:id="1402210662">
                      <w:marLeft w:val="0"/>
                      <w:marRight w:val="0"/>
                      <w:marTop w:val="0"/>
                      <w:marBottom w:val="0"/>
                      <w:divBdr>
                        <w:top w:val="none" w:sz="0" w:space="0" w:color="auto"/>
                        <w:left w:val="none" w:sz="0" w:space="0" w:color="auto"/>
                        <w:bottom w:val="none" w:sz="0" w:space="0" w:color="auto"/>
                        <w:right w:val="none" w:sz="0" w:space="0" w:color="auto"/>
                      </w:divBdr>
                      <w:divsChild>
                        <w:div w:id="1489400015">
                          <w:marLeft w:val="0"/>
                          <w:marRight w:val="0"/>
                          <w:marTop w:val="0"/>
                          <w:marBottom w:val="0"/>
                          <w:divBdr>
                            <w:top w:val="none" w:sz="0" w:space="0" w:color="auto"/>
                            <w:left w:val="none" w:sz="0" w:space="0" w:color="auto"/>
                            <w:bottom w:val="none" w:sz="0" w:space="0" w:color="auto"/>
                            <w:right w:val="none" w:sz="0" w:space="0" w:color="auto"/>
                          </w:divBdr>
                          <w:divsChild>
                            <w:div w:id="3860305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985569">
      <w:bodyDiv w:val="1"/>
      <w:marLeft w:val="0"/>
      <w:marRight w:val="0"/>
      <w:marTop w:val="0"/>
      <w:marBottom w:val="0"/>
      <w:divBdr>
        <w:top w:val="none" w:sz="0" w:space="0" w:color="auto"/>
        <w:left w:val="none" w:sz="0" w:space="0" w:color="auto"/>
        <w:bottom w:val="none" w:sz="0" w:space="0" w:color="auto"/>
        <w:right w:val="none" w:sz="0" w:space="0" w:color="auto"/>
      </w:divBdr>
    </w:div>
    <w:div w:id="781413081">
      <w:bodyDiv w:val="1"/>
      <w:marLeft w:val="0"/>
      <w:marRight w:val="0"/>
      <w:marTop w:val="0"/>
      <w:marBottom w:val="0"/>
      <w:divBdr>
        <w:top w:val="none" w:sz="0" w:space="0" w:color="auto"/>
        <w:left w:val="none" w:sz="0" w:space="0" w:color="auto"/>
        <w:bottom w:val="none" w:sz="0" w:space="0" w:color="auto"/>
        <w:right w:val="none" w:sz="0" w:space="0" w:color="auto"/>
      </w:divBdr>
      <w:divsChild>
        <w:div w:id="451704328">
          <w:marLeft w:val="0"/>
          <w:marRight w:val="0"/>
          <w:marTop w:val="0"/>
          <w:marBottom w:val="0"/>
          <w:divBdr>
            <w:top w:val="none" w:sz="0" w:space="0" w:color="auto"/>
            <w:left w:val="none" w:sz="0" w:space="0" w:color="auto"/>
            <w:bottom w:val="none" w:sz="0" w:space="0" w:color="auto"/>
            <w:right w:val="none" w:sz="0" w:space="0" w:color="auto"/>
          </w:divBdr>
          <w:divsChild>
            <w:div w:id="2129664726">
              <w:marLeft w:val="0"/>
              <w:marRight w:val="0"/>
              <w:marTop w:val="0"/>
              <w:marBottom w:val="0"/>
              <w:divBdr>
                <w:top w:val="none" w:sz="0" w:space="0" w:color="auto"/>
                <w:left w:val="none" w:sz="0" w:space="0" w:color="auto"/>
                <w:bottom w:val="none" w:sz="0" w:space="0" w:color="auto"/>
                <w:right w:val="none" w:sz="0" w:space="0" w:color="auto"/>
              </w:divBdr>
              <w:divsChild>
                <w:div w:id="1133794303">
                  <w:marLeft w:val="0"/>
                  <w:marRight w:val="0"/>
                  <w:marTop w:val="0"/>
                  <w:marBottom w:val="0"/>
                  <w:divBdr>
                    <w:top w:val="none" w:sz="0" w:space="0" w:color="auto"/>
                    <w:left w:val="none" w:sz="0" w:space="0" w:color="auto"/>
                    <w:bottom w:val="none" w:sz="0" w:space="0" w:color="auto"/>
                    <w:right w:val="none" w:sz="0" w:space="0" w:color="auto"/>
                  </w:divBdr>
                  <w:divsChild>
                    <w:div w:id="267663232">
                      <w:marLeft w:val="0"/>
                      <w:marRight w:val="0"/>
                      <w:marTop w:val="0"/>
                      <w:marBottom w:val="0"/>
                      <w:divBdr>
                        <w:top w:val="none" w:sz="0" w:space="0" w:color="auto"/>
                        <w:left w:val="none" w:sz="0" w:space="0" w:color="auto"/>
                        <w:bottom w:val="none" w:sz="0" w:space="0" w:color="auto"/>
                        <w:right w:val="none" w:sz="0" w:space="0" w:color="auto"/>
                      </w:divBdr>
                      <w:divsChild>
                        <w:div w:id="1174107565">
                          <w:marLeft w:val="0"/>
                          <w:marRight w:val="0"/>
                          <w:marTop w:val="0"/>
                          <w:marBottom w:val="0"/>
                          <w:divBdr>
                            <w:top w:val="none" w:sz="0" w:space="0" w:color="auto"/>
                            <w:left w:val="none" w:sz="0" w:space="0" w:color="auto"/>
                            <w:bottom w:val="none" w:sz="0" w:space="0" w:color="auto"/>
                            <w:right w:val="none" w:sz="0" w:space="0" w:color="auto"/>
                          </w:divBdr>
                          <w:divsChild>
                            <w:div w:id="137469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972818">
      <w:bodyDiv w:val="1"/>
      <w:marLeft w:val="0"/>
      <w:marRight w:val="0"/>
      <w:marTop w:val="0"/>
      <w:marBottom w:val="0"/>
      <w:divBdr>
        <w:top w:val="none" w:sz="0" w:space="0" w:color="auto"/>
        <w:left w:val="none" w:sz="0" w:space="0" w:color="auto"/>
        <w:bottom w:val="none" w:sz="0" w:space="0" w:color="auto"/>
        <w:right w:val="none" w:sz="0" w:space="0" w:color="auto"/>
      </w:divBdr>
      <w:divsChild>
        <w:div w:id="2059085728">
          <w:marLeft w:val="0"/>
          <w:marRight w:val="0"/>
          <w:marTop w:val="0"/>
          <w:marBottom w:val="0"/>
          <w:divBdr>
            <w:top w:val="none" w:sz="0" w:space="0" w:color="auto"/>
            <w:left w:val="none" w:sz="0" w:space="0" w:color="auto"/>
            <w:bottom w:val="none" w:sz="0" w:space="0" w:color="auto"/>
            <w:right w:val="none" w:sz="0" w:space="0" w:color="auto"/>
          </w:divBdr>
          <w:divsChild>
            <w:div w:id="3031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43904">
      <w:bodyDiv w:val="1"/>
      <w:marLeft w:val="0"/>
      <w:marRight w:val="0"/>
      <w:marTop w:val="0"/>
      <w:marBottom w:val="0"/>
      <w:divBdr>
        <w:top w:val="none" w:sz="0" w:space="0" w:color="auto"/>
        <w:left w:val="none" w:sz="0" w:space="0" w:color="auto"/>
        <w:bottom w:val="none" w:sz="0" w:space="0" w:color="auto"/>
        <w:right w:val="none" w:sz="0" w:space="0" w:color="auto"/>
      </w:divBdr>
    </w:div>
    <w:div w:id="1280994369">
      <w:bodyDiv w:val="1"/>
      <w:marLeft w:val="0"/>
      <w:marRight w:val="0"/>
      <w:marTop w:val="0"/>
      <w:marBottom w:val="0"/>
      <w:divBdr>
        <w:top w:val="none" w:sz="0" w:space="0" w:color="auto"/>
        <w:left w:val="none" w:sz="0" w:space="0" w:color="auto"/>
        <w:bottom w:val="none" w:sz="0" w:space="0" w:color="auto"/>
        <w:right w:val="none" w:sz="0" w:space="0" w:color="auto"/>
      </w:divBdr>
    </w:div>
    <w:div w:id="1301769013">
      <w:bodyDiv w:val="1"/>
      <w:marLeft w:val="0"/>
      <w:marRight w:val="0"/>
      <w:marTop w:val="0"/>
      <w:marBottom w:val="0"/>
      <w:divBdr>
        <w:top w:val="none" w:sz="0" w:space="0" w:color="auto"/>
        <w:left w:val="none" w:sz="0" w:space="0" w:color="auto"/>
        <w:bottom w:val="none" w:sz="0" w:space="0" w:color="auto"/>
        <w:right w:val="none" w:sz="0" w:space="0" w:color="auto"/>
      </w:divBdr>
      <w:divsChild>
        <w:div w:id="375855912">
          <w:marLeft w:val="0"/>
          <w:marRight w:val="0"/>
          <w:marTop w:val="0"/>
          <w:marBottom w:val="0"/>
          <w:divBdr>
            <w:top w:val="none" w:sz="0" w:space="0" w:color="auto"/>
            <w:left w:val="none" w:sz="0" w:space="0" w:color="auto"/>
            <w:bottom w:val="none" w:sz="0" w:space="0" w:color="auto"/>
            <w:right w:val="none" w:sz="0" w:space="0" w:color="auto"/>
          </w:divBdr>
          <w:divsChild>
            <w:div w:id="433062999">
              <w:marLeft w:val="0"/>
              <w:marRight w:val="0"/>
              <w:marTop w:val="0"/>
              <w:marBottom w:val="0"/>
              <w:divBdr>
                <w:top w:val="none" w:sz="0" w:space="0" w:color="auto"/>
                <w:left w:val="none" w:sz="0" w:space="0" w:color="auto"/>
                <w:bottom w:val="none" w:sz="0" w:space="0" w:color="auto"/>
                <w:right w:val="none" w:sz="0" w:space="0" w:color="auto"/>
              </w:divBdr>
              <w:divsChild>
                <w:div w:id="1547061304">
                  <w:marLeft w:val="0"/>
                  <w:marRight w:val="0"/>
                  <w:marTop w:val="0"/>
                  <w:marBottom w:val="0"/>
                  <w:divBdr>
                    <w:top w:val="none" w:sz="0" w:space="0" w:color="auto"/>
                    <w:left w:val="none" w:sz="0" w:space="0" w:color="auto"/>
                    <w:bottom w:val="none" w:sz="0" w:space="0" w:color="auto"/>
                    <w:right w:val="none" w:sz="0" w:space="0" w:color="auto"/>
                  </w:divBdr>
                  <w:divsChild>
                    <w:div w:id="1691949554">
                      <w:marLeft w:val="0"/>
                      <w:marRight w:val="0"/>
                      <w:marTop w:val="0"/>
                      <w:marBottom w:val="0"/>
                      <w:divBdr>
                        <w:top w:val="none" w:sz="0" w:space="0" w:color="auto"/>
                        <w:left w:val="none" w:sz="0" w:space="0" w:color="auto"/>
                        <w:bottom w:val="none" w:sz="0" w:space="0" w:color="auto"/>
                        <w:right w:val="none" w:sz="0" w:space="0" w:color="auto"/>
                      </w:divBdr>
                      <w:divsChild>
                        <w:div w:id="1134715213">
                          <w:marLeft w:val="0"/>
                          <w:marRight w:val="0"/>
                          <w:marTop w:val="0"/>
                          <w:marBottom w:val="0"/>
                          <w:divBdr>
                            <w:top w:val="none" w:sz="0" w:space="0" w:color="auto"/>
                            <w:left w:val="none" w:sz="0" w:space="0" w:color="auto"/>
                            <w:bottom w:val="none" w:sz="0" w:space="0" w:color="auto"/>
                            <w:right w:val="none" w:sz="0" w:space="0" w:color="auto"/>
                          </w:divBdr>
                          <w:divsChild>
                            <w:div w:id="58373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169944">
      <w:bodyDiv w:val="1"/>
      <w:marLeft w:val="0"/>
      <w:marRight w:val="0"/>
      <w:marTop w:val="0"/>
      <w:marBottom w:val="0"/>
      <w:divBdr>
        <w:top w:val="none" w:sz="0" w:space="0" w:color="auto"/>
        <w:left w:val="none" w:sz="0" w:space="0" w:color="auto"/>
        <w:bottom w:val="none" w:sz="0" w:space="0" w:color="auto"/>
        <w:right w:val="none" w:sz="0" w:space="0" w:color="auto"/>
      </w:divBdr>
      <w:divsChild>
        <w:div w:id="341862319">
          <w:marLeft w:val="0"/>
          <w:marRight w:val="0"/>
          <w:marTop w:val="0"/>
          <w:marBottom w:val="0"/>
          <w:divBdr>
            <w:top w:val="none" w:sz="0" w:space="0" w:color="auto"/>
            <w:left w:val="none" w:sz="0" w:space="0" w:color="auto"/>
            <w:bottom w:val="none" w:sz="0" w:space="0" w:color="auto"/>
            <w:right w:val="none" w:sz="0" w:space="0" w:color="auto"/>
          </w:divBdr>
          <w:divsChild>
            <w:div w:id="399984679">
              <w:marLeft w:val="0"/>
              <w:marRight w:val="0"/>
              <w:marTop w:val="0"/>
              <w:marBottom w:val="0"/>
              <w:divBdr>
                <w:top w:val="none" w:sz="0" w:space="0" w:color="auto"/>
                <w:left w:val="none" w:sz="0" w:space="0" w:color="auto"/>
                <w:bottom w:val="none" w:sz="0" w:space="0" w:color="auto"/>
                <w:right w:val="none" w:sz="0" w:space="0" w:color="auto"/>
              </w:divBdr>
              <w:divsChild>
                <w:div w:id="705564730">
                  <w:marLeft w:val="0"/>
                  <w:marRight w:val="0"/>
                  <w:marTop w:val="0"/>
                  <w:marBottom w:val="0"/>
                  <w:divBdr>
                    <w:top w:val="none" w:sz="0" w:space="0" w:color="auto"/>
                    <w:left w:val="none" w:sz="0" w:space="0" w:color="auto"/>
                    <w:bottom w:val="none" w:sz="0" w:space="0" w:color="auto"/>
                    <w:right w:val="none" w:sz="0" w:space="0" w:color="auto"/>
                  </w:divBdr>
                  <w:divsChild>
                    <w:div w:id="1214972095">
                      <w:marLeft w:val="0"/>
                      <w:marRight w:val="0"/>
                      <w:marTop w:val="0"/>
                      <w:marBottom w:val="0"/>
                      <w:divBdr>
                        <w:top w:val="none" w:sz="0" w:space="0" w:color="auto"/>
                        <w:left w:val="none" w:sz="0" w:space="0" w:color="auto"/>
                        <w:bottom w:val="none" w:sz="0" w:space="0" w:color="auto"/>
                        <w:right w:val="none" w:sz="0" w:space="0" w:color="auto"/>
                      </w:divBdr>
                      <w:divsChild>
                        <w:div w:id="333536996">
                          <w:marLeft w:val="0"/>
                          <w:marRight w:val="0"/>
                          <w:marTop w:val="300"/>
                          <w:marBottom w:val="0"/>
                          <w:divBdr>
                            <w:top w:val="none" w:sz="0" w:space="0" w:color="auto"/>
                            <w:left w:val="none" w:sz="0" w:space="0" w:color="auto"/>
                            <w:bottom w:val="none" w:sz="0" w:space="0" w:color="auto"/>
                            <w:right w:val="none" w:sz="0" w:space="0" w:color="auto"/>
                          </w:divBdr>
                          <w:divsChild>
                            <w:div w:id="132928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269601">
      <w:bodyDiv w:val="1"/>
      <w:marLeft w:val="0"/>
      <w:marRight w:val="0"/>
      <w:marTop w:val="0"/>
      <w:marBottom w:val="0"/>
      <w:divBdr>
        <w:top w:val="none" w:sz="0" w:space="0" w:color="auto"/>
        <w:left w:val="none" w:sz="0" w:space="0" w:color="auto"/>
        <w:bottom w:val="none" w:sz="0" w:space="0" w:color="auto"/>
        <w:right w:val="none" w:sz="0" w:space="0" w:color="auto"/>
      </w:divBdr>
      <w:divsChild>
        <w:div w:id="850684828">
          <w:marLeft w:val="0"/>
          <w:marRight w:val="0"/>
          <w:marTop w:val="0"/>
          <w:marBottom w:val="0"/>
          <w:divBdr>
            <w:top w:val="none" w:sz="0" w:space="0" w:color="auto"/>
            <w:left w:val="none" w:sz="0" w:space="0" w:color="auto"/>
            <w:bottom w:val="none" w:sz="0" w:space="0" w:color="auto"/>
            <w:right w:val="none" w:sz="0" w:space="0" w:color="auto"/>
          </w:divBdr>
          <w:divsChild>
            <w:div w:id="130412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27417">
      <w:bodyDiv w:val="1"/>
      <w:marLeft w:val="0"/>
      <w:marRight w:val="0"/>
      <w:marTop w:val="0"/>
      <w:marBottom w:val="0"/>
      <w:divBdr>
        <w:top w:val="none" w:sz="0" w:space="0" w:color="auto"/>
        <w:left w:val="none" w:sz="0" w:space="0" w:color="auto"/>
        <w:bottom w:val="none" w:sz="0" w:space="0" w:color="auto"/>
        <w:right w:val="none" w:sz="0" w:space="0" w:color="auto"/>
      </w:divBdr>
    </w:div>
    <w:div w:id="1806268573">
      <w:bodyDiv w:val="1"/>
      <w:marLeft w:val="0"/>
      <w:marRight w:val="0"/>
      <w:marTop w:val="0"/>
      <w:marBottom w:val="0"/>
      <w:divBdr>
        <w:top w:val="none" w:sz="0" w:space="0" w:color="auto"/>
        <w:left w:val="none" w:sz="0" w:space="0" w:color="auto"/>
        <w:bottom w:val="none" w:sz="0" w:space="0" w:color="auto"/>
        <w:right w:val="none" w:sz="0" w:space="0" w:color="auto"/>
      </w:divBdr>
    </w:div>
    <w:div w:id="1806848801">
      <w:bodyDiv w:val="1"/>
      <w:marLeft w:val="0"/>
      <w:marRight w:val="0"/>
      <w:marTop w:val="0"/>
      <w:marBottom w:val="0"/>
      <w:divBdr>
        <w:top w:val="none" w:sz="0" w:space="0" w:color="auto"/>
        <w:left w:val="none" w:sz="0" w:space="0" w:color="auto"/>
        <w:bottom w:val="none" w:sz="0" w:space="0" w:color="auto"/>
        <w:right w:val="none" w:sz="0" w:space="0" w:color="auto"/>
      </w:divBdr>
      <w:divsChild>
        <w:div w:id="1097947358">
          <w:marLeft w:val="0"/>
          <w:marRight w:val="0"/>
          <w:marTop w:val="0"/>
          <w:marBottom w:val="0"/>
          <w:divBdr>
            <w:top w:val="none" w:sz="0" w:space="0" w:color="auto"/>
            <w:left w:val="none" w:sz="0" w:space="0" w:color="auto"/>
            <w:bottom w:val="none" w:sz="0" w:space="0" w:color="auto"/>
            <w:right w:val="none" w:sz="0" w:space="0" w:color="auto"/>
          </w:divBdr>
          <w:divsChild>
            <w:div w:id="854804150">
              <w:marLeft w:val="0"/>
              <w:marRight w:val="0"/>
              <w:marTop w:val="0"/>
              <w:marBottom w:val="0"/>
              <w:divBdr>
                <w:top w:val="none" w:sz="0" w:space="0" w:color="auto"/>
                <w:left w:val="none" w:sz="0" w:space="0" w:color="auto"/>
                <w:bottom w:val="none" w:sz="0" w:space="0" w:color="auto"/>
                <w:right w:val="none" w:sz="0" w:space="0" w:color="auto"/>
              </w:divBdr>
              <w:divsChild>
                <w:div w:id="983196930">
                  <w:marLeft w:val="0"/>
                  <w:marRight w:val="0"/>
                  <w:marTop w:val="0"/>
                  <w:marBottom w:val="0"/>
                  <w:divBdr>
                    <w:top w:val="none" w:sz="0" w:space="0" w:color="auto"/>
                    <w:left w:val="none" w:sz="0" w:space="0" w:color="auto"/>
                    <w:bottom w:val="none" w:sz="0" w:space="0" w:color="auto"/>
                    <w:right w:val="none" w:sz="0" w:space="0" w:color="auto"/>
                  </w:divBdr>
                  <w:divsChild>
                    <w:div w:id="40251677">
                      <w:marLeft w:val="0"/>
                      <w:marRight w:val="0"/>
                      <w:marTop w:val="0"/>
                      <w:marBottom w:val="0"/>
                      <w:divBdr>
                        <w:top w:val="none" w:sz="0" w:space="0" w:color="auto"/>
                        <w:left w:val="none" w:sz="0" w:space="0" w:color="auto"/>
                        <w:bottom w:val="none" w:sz="0" w:space="0" w:color="auto"/>
                        <w:right w:val="none" w:sz="0" w:space="0" w:color="auto"/>
                      </w:divBdr>
                      <w:divsChild>
                        <w:div w:id="950013132">
                          <w:marLeft w:val="0"/>
                          <w:marRight w:val="0"/>
                          <w:marTop w:val="0"/>
                          <w:marBottom w:val="0"/>
                          <w:divBdr>
                            <w:top w:val="none" w:sz="0" w:space="0" w:color="auto"/>
                            <w:left w:val="none" w:sz="0" w:space="0" w:color="auto"/>
                            <w:bottom w:val="none" w:sz="0" w:space="0" w:color="auto"/>
                            <w:right w:val="none" w:sz="0" w:space="0" w:color="auto"/>
                          </w:divBdr>
                          <w:divsChild>
                            <w:div w:id="4680861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422769">
      <w:bodyDiv w:val="1"/>
      <w:marLeft w:val="0"/>
      <w:marRight w:val="0"/>
      <w:marTop w:val="0"/>
      <w:marBottom w:val="0"/>
      <w:divBdr>
        <w:top w:val="none" w:sz="0" w:space="0" w:color="auto"/>
        <w:left w:val="none" w:sz="0" w:space="0" w:color="auto"/>
        <w:bottom w:val="none" w:sz="0" w:space="0" w:color="auto"/>
        <w:right w:val="none" w:sz="0" w:space="0" w:color="auto"/>
      </w:divBdr>
    </w:div>
    <w:div w:id="2043820893">
      <w:bodyDiv w:val="1"/>
      <w:marLeft w:val="0"/>
      <w:marRight w:val="0"/>
      <w:marTop w:val="0"/>
      <w:marBottom w:val="0"/>
      <w:divBdr>
        <w:top w:val="none" w:sz="0" w:space="0" w:color="auto"/>
        <w:left w:val="none" w:sz="0" w:space="0" w:color="auto"/>
        <w:bottom w:val="none" w:sz="0" w:space="0" w:color="auto"/>
        <w:right w:val="none" w:sz="0" w:space="0" w:color="auto"/>
      </w:divBdr>
    </w:div>
    <w:div w:id="2121027053">
      <w:bodyDiv w:val="1"/>
      <w:marLeft w:val="0"/>
      <w:marRight w:val="0"/>
      <w:marTop w:val="0"/>
      <w:marBottom w:val="0"/>
      <w:divBdr>
        <w:top w:val="none" w:sz="0" w:space="0" w:color="auto"/>
        <w:left w:val="none" w:sz="0" w:space="0" w:color="auto"/>
        <w:bottom w:val="none" w:sz="0" w:space="0" w:color="auto"/>
        <w:right w:val="none" w:sz="0" w:space="0" w:color="auto"/>
      </w:divBdr>
      <w:divsChild>
        <w:div w:id="1724674202">
          <w:marLeft w:val="0"/>
          <w:marRight w:val="0"/>
          <w:marTop w:val="0"/>
          <w:marBottom w:val="0"/>
          <w:divBdr>
            <w:top w:val="none" w:sz="0" w:space="0" w:color="auto"/>
            <w:left w:val="none" w:sz="0" w:space="0" w:color="auto"/>
            <w:bottom w:val="none" w:sz="0" w:space="0" w:color="auto"/>
            <w:right w:val="none" w:sz="0" w:space="0" w:color="auto"/>
          </w:divBdr>
          <w:divsChild>
            <w:div w:id="2146268077">
              <w:marLeft w:val="0"/>
              <w:marRight w:val="0"/>
              <w:marTop w:val="0"/>
              <w:marBottom w:val="0"/>
              <w:divBdr>
                <w:top w:val="none" w:sz="0" w:space="0" w:color="auto"/>
                <w:left w:val="none" w:sz="0" w:space="0" w:color="auto"/>
                <w:bottom w:val="none" w:sz="0" w:space="0" w:color="auto"/>
                <w:right w:val="none" w:sz="0" w:space="0" w:color="auto"/>
              </w:divBdr>
              <w:divsChild>
                <w:div w:id="1265267043">
                  <w:marLeft w:val="0"/>
                  <w:marRight w:val="0"/>
                  <w:marTop w:val="0"/>
                  <w:marBottom w:val="0"/>
                  <w:divBdr>
                    <w:top w:val="none" w:sz="0" w:space="0" w:color="auto"/>
                    <w:left w:val="none" w:sz="0" w:space="0" w:color="auto"/>
                    <w:bottom w:val="none" w:sz="0" w:space="0" w:color="auto"/>
                    <w:right w:val="none" w:sz="0" w:space="0" w:color="auto"/>
                  </w:divBdr>
                  <w:divsChild>
                    <w:div w:id="1955012492">
                      <w:marLeft w:val="0"/>
                      <w:marRight w:val="0"/>
                      <w:marTop w:val="0"/>
                      <w:marBottom w:val="0"/>
                      <w:divBdr>
                        <w:top w:val="none" w:sz="0" w:space="0" w:color="auto"/>
                        <w:left w:val="none" w:sz="0" w:space="0" w:color="auto"/>
                        <w:bottom w:val="none" w:sz="0" w:space="0" w:color="auto"/>
                        <w:right w:val="none" w:sz="0" w:space="0" w:color="auto"/>
                      </w:divBdr>
                      <w:divsChild>
                        <w:div w:id="882594157">
                          <w:marLeft w:val="0"/>
                          <w:marRight w:val="0"/>
                          <w:marTop w:val="0"/>
                          <w:marBottom w:val="0"/>
                          <w:divBdr>
                            <w:top w:val="none" w:sz="0" w:space="0" w:color="auto"/>
                            <w:left w:val="none" w:sz="0" w:space="0" w:color="auto"/>
                            <w:bottom w:val="none" w:sz="0" w:space="0" w:color="auto"/>
                            <w:right w:val="none" w:sz="0" w:space="0" w:color="auto"/>
                          </w:divBdr>
                          <w:divsChild>
                            <w:div w:id="131571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06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m.gov.lv/lv/sabiedribas_lidzdaliba/%20tiesibu_aktu_projekti/valsts_budzeta_politika"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likumi.l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k.gov.lv/content/ministru-kabineta-diskusiju-dokument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m.gov.lv/lv/sadalas/es_un_es_budzets/es_finansu_interesu_aizsardziba/afcos_padome/"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Vad_x012b_t_x0101_js xmlns="2e5bb04e-596e-45bd-9003-43ca78b1ba16">N. Lasmane (ESFRD)</Vad_x012b_t_x0101_js>
    <TAP xmlns="49b0bb89-35b3-4114-9b1c-a376ef2ba045">108</TAP>
    <Kategorija xmlns="2e5bb04e-596e-45bd-9003-43ca78b1ba16">Anotācija</Kategorij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AEEDB-20D9-4166-AEE2-BBA7D8164E97}">
  <ds:schemaRefs>
    <ds:schemaRef ds:uri="http://schemas.microsoft.com/office/2006/metadata/properties"/>
    <ds:schemaRef ds:uri="2e5bb04e-596e-45bd-9003-43ca78b1ba16"/>
    <ds:schemaRef ds:uri="49b0bb89-35b3-4114-9b1c-a376ef2ba045"/>
  </ds:schemaRefs>
</ds:datastoreItem>
</file>

<file path=customXml/itemProps2.xml><?xml version="1.0" encoding="utf-8"?>
<ds:datastoreItem xmlns:ds="http://schemas.openxmlformats.org/officeDocument/2006/customXml" ds:itemID="{2573176D-7834-4498-8531-AC37A59BDB0E}">
  <ds:schemaRefs>
    <ds:schemaRef ds:uri="http://schemas.microsoft.com/sharepoint/v3/contenttype/forms"/>
  </ds:schemaRefs>
</ds:datastoreItem>
</file>

<file path=customXml/itemProps3.xml><?xml version="1.0" encoding="utf-8"?>
<ds:datastoreItem xmlns:ds="http://schemas.openxmlformats.org/officeDocument/2006/customXml" ds:itemID="{8F63E1BE-D3F2-46C7-99E5-D39D2AEE1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DAB958-CD50-4501-B23A-BA20B0E3243A}">
  <ds:schemaRefs>
    <ds:schemaRef ds:uri="http://schemas.openxmlformats.org/officeDocument/2006/bibliography"/>
  </ds:schemaRefs>
</ds:datastoreItem>
</file>

<file path=customXml/itemProps5.xml><?xml version="1.0" encoding="utf-8"?>
<ds:datastoreItem xmlns:ds="http://schemas.openxmlformats.org/officeDocument/2006/customXml" ds:itemID="{2D1BBE24-C979-44AE-ACE6-91CFF4DB8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10356</Words>
  <Characters>5904</Characters>
  <Application>Microsoft Office Word</Application>
  <DocSecurity>0</DocSecurity>
  <Lines>49</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"Eiropas Biroja krāpšanas apkarošanai atbalsta likums" sākotnējās ietekmes novērtējuma ziņojums (anotācija)</vt:lpstr>
      <vt:lpstr>Likumprojekta "Grozījumi Kredītu reģistra likumā" sākotnējās ietekmes novērtējuma ziņojums (anotācija)</vt:lpstr>
    </vt:vector>
  </TitlesOfParts>
  <Manager>nata.lasmane@fm.gov.lv</Manager>
  <Company>Finanšu ministrija</Company>
  <LinksUpToDate>false</LinksUpToDate>
  <CharactersWithSpaces>16228</CharactersWithSpaces>
  <SharedDoc>false</SharedDoc>
  <HLinks>
    <vt:vector size="6" baseType="variant">
      <vt:variant>
        <vt:i4>8192086</vt:i4>
      </vt:variant>
      <vt:variant>
        <vt:i4>0</vt:i4>
      </vt:variant>
      <vt:variant>
        <vt:i4>0</vt:i4>
      </vt:variant>
      <vt:variant>
        <vt:i4>5</vt:i4>
      </vt:variant>
      <vt:variant>
        <vt:lpwstr>mailto:maris.stepins@fm.gov.lv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"Eiropas Biroja krāpšanas apkarošanai atbalsta likums" sākotnējās ietekmes novērtējuma ziņojums (anotācija)</dc:title>
  <dc:subject>Anotācija</dc:subject>
  <dc:creator>I. Dolgais (ESFRD)</dc:creator>
  <dc:description>67083821, inese.dolgais@fm.gov.lv</dc:description>
  <cp:lastModifiedBy>Jekaterina Borovika</cp:lastModifiedBy>
  <cp:revision>2</cp:revision>
  <cp:lastPrinted>2019-07-24T08:35:00Z</cp:lastPrinted>
  <dcterms:created xsi:type="dcterms:W3CDTF">2019-09-10T10:07:00Z</dcterms:created>
  <dcterms:modified xsi:type="dcterms:W3CDTF">2019-09-10T10:07:00Z</dcterms:modified>
  <cp:category>Anotācija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