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9E4D3" w14:textId="6CCC0A80" w:rsidR="00D46C84" w:rsidRPr="00CC6A9C" w:rsidRDefault="00BC5B6C" w:rsidP="00CC6A9C">
      <w:pPr>
        <w:jc w:val="right"/>
        <w:rPr>
          <w:i/>
        </w:rPr>
      </w:pPr>
      <w:bookmarkStart w:id="0" w:name="_GoBack"/>
      <w:bookmarkEnd w:id="0"/>
      <w:r w:rsidRPr="00642066">
        <w:rPr>
          <w:i/>
        </w:rPr>
        <w:t>Likumprojekts</w:t>
      </w:r>
    </w:p>
    <w:p w14:paraId="1095D7C2" w14:textId="77777777" w:rsidR="00BC5B6C" w:rsidRDefault="00BC5B6C" w:rsidP="00D540E3">
      <w:pPr>
        <w:jc w:val="center"/>
        <w:rPr>
          <w:b/>
          <w:sz w:val="28"/>
        </w:rPr>
      </w:pPr>
    </w:p>
    <w:p w14:paraId="566A9BC1" w14:textId="03167BBE" w:rsidR="00D540E3" w:rsidRPr="00DC444F" w:rsidRDefault="00D540E3" w:rsidP="00D540E3">
      <w:pPr>
        <w:jc w:val="center"/>
        <w:rPr>
          <w:b/>
          <w:sz w:val="28"/>
        </w:rPr>
      </w:pPr>
      <w:r w:rsidRPr="00DC444F">
        <w:rPr>
          <w:b/>
          <w:sz w:val="28"/>
        </w:rPr>
        <w:t xml:space="preserve">Eiropas </w:t>
      </w:r>
      <w:r w:rsidR="00BC1356">
        <w:rPr>
          <w:b/>
          <w:sz w:val="28"/>
        </w:rPr>
        <w:t>B</w:t>
      </w:r>
      <w:r w:rsidRPr="00DC444F">
        <w:rPr>
          <w:b/>
          <w:sz w:val="28"/>
        </w:rPr>
        <w:t>iroja krāpšanas apkarošanai</w:t>
      </w:r>
      <w:r>
        <w:rPr>
          <w:b/>
          <w:sz w:val="28"/>
        </w:rPr>
        <w:t xml:space="preserve"> </w:t>
      </w:r>
      <w:r w:rsidRPr="00DC444F">
        <w:rPr>
          <w:b/>
          <w:sz w:val="28"/>
        </w:rPr>
        <w:t>atbalsta</w:t>
      </w:r>
      <w:r>
        <w:rPr>
          <w:b/>
          <w:sz w:val="28"/>
        </w:rPr>
        <w:t xml:space="preserve"> likums</w:t>
      </w:r>
    </w:p>
    <w:p w14:paraId="6EC4122D" w14:textId="77777777" w:rsidR="00522B61" w:rsidRPr="00DC444F" w:rsidRDefault="00522B61" w:rsidP="006E4BF7">
      <w:pPr>
        <w:jc w:val="both"/>
        <w:rPr>
          <w:bCs/>
          <w:shd w:val="clear" w:color="auto" w:fill="FFFFFF"/>
        </w:rPr>
      </w:pPr>
    </w:p>
    <w:p w14:paraId="72FA3238" w14:textId="77777777" w:rsidR="008749DC" w:rsidRPr="00DC444F" w:rsidRDefault="002826C5" w:rsidP="008749DC">
      <w:pPr>
        <w:jc w:val="both"/>
        <w:rPr>
          <w:b/>
          <w:bCs/>
          <w:shd w:val="clear" w:color="auto" w:fill="FFFFFF"/>
        </w:rPr>
      </w:pPr>
      <w:r w:rsidRPr="00DC444F">
        <w:rPr>
          <w:b/>
          <w:bCs/>
          <w:shd w:val="clear" w:color="auto" w:fill="FFFFFF"/>
        </w:rPr>
        <w:t>1</w:t>
      </w:r>
      <w:r w:rsidR="006E4BF7" w:rsidRPr="00DC444F">
        <w:rPr>
          <w:b/>
          <w:bCs/>
          <w:shd w:val="clear" w:color="auto" w:fill="FFFFFF"/>
        </w:rPr>
        <w:t>.pants. Likuma mērķis</w:t>
      </w:r>
    </w:p>
    <w:p w14:paraId="5994424A" w14:textId="390F6D6E" w:rsidR="00590B1E" w:rsidRDefault="002D51ED" w:rsidP="002D51ED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L</w:t>
      </w:r>
      <w:r w:rsidR="00A55D80">
        <w:rPr>
          <w:bCs/>
          <w:shd w:val="clear" w:color="auto" w:fill="FFFFFF"/>
        </w:rPr>
        <w:t>ikuma mērķis ir n</w:t>
      </w:r>
      <w:r w:rsidR="001205B3" w:rsidRPr="00DC444F">
        <w:rPr>
          <w:bCs/>
          <w:shd w:val="clear" w:color="auto" w:fill="FFFFFF"/>
        </w:rPr>
        <w:t xml:space="preserve">odrošināt </w:t>
      </w:r>
      <w:r w:rsidR="00F23A99" w:rsidRPr="002D51ED">
        <w:rPr>
          <w:bCs/>
          <w:shd w:val="clear" w:color="auto" w:fill="FFFFFF"/>
        </w:rPr>
        <w:t>efektīvu a</w:t>
      </w:r>
      <w:r w:rsidR="00D65268" w:rsidRPr="002D51ED">
        <w:rPr>
          <w:bCs/>
          <w:shd w:val="clear" w:color="auto" w:fill="FFFFFF"/>
        </w:rPr>
        <w:t>tbalstu</w:t>
      </w:r>
      <w:r w:rsidR="001205B3" w:rsidRPr="002D51ED">
        <w:rPr>
          <w:bCs/>
          <w:shd w:val="clear" w:color="auto" w:fill="FFFFFF"/>
        </w:rPr>
        <w:t xml:space="preserve"> </w:t>
      </w:r>
      <w:r w:rsidR="00375E1E" w:rsidRPr="00DC444F">
        <w:rPr>
          <w:bCs/>
          <w:shd w:val="clear" w:color="auto" w:fill="FFFFFF"/>
        </w:rPr>
        <w:t xml:space="preserve">Eiropas </w:t>
      </w:r>
      <w:r w:rsidR="00AA5D7B">
        <w:rPr>
          <w:bCs/>
          <w:shd w:val="clear" w:color="auto" w:fill="FFFFFF"/>
        </w:rPr>
        <w:t>B</w:t>
      </w:r>
      <w:r w:rsidR="00F23A99">
        <w:rPr>
          <w:bCs/>
          <w:shd w:val="clear" w:color="auto" w:fill="FFFFFF"/>
        </w:rPr>
        <w:t>irojam</w:t>
      </w:r>
      <w:r w:rsidR="00375E1E" w:rsidRPr="00DC444F">
        <w:rPr>
          <w:bCs/>
          <w:shd w:val="clear" w:color="auto" w:fill="FFFFFF"/>
        </w:rPr>
        <w:t xml:space="preserve"> </w:t>
      </w:r>
      <w:r w:rsidR="001205B3" w:rsidRPr="00DC444F">
        <w:rPr>
          <w:bCs/>
          <w:shd w:val="clear" w:color="auto" w:fill="FFFFFF"/>
        </w:rPr>
        <w:t>krāpšanas</w:t>
      </w:r>
      <w:r w:rsidR="00D65268" w:rsidRPr="00DC444F">
        <w:rPr>
          <w:bCs/>
          <w:shd w:val="clear" w:color="auto" w:fill="FFFFFF"/>
        </w:rPr>
        <w:t xml:space="preserve"> apkarošana</w:t>
      </w:r>
      <w:r w:rsidR="008A661D" w:rsidRPr="00DC444F">
        <w:rPr>
          <w:bCs/>
          <w:shd w:val="clear" w:color="auto" w:fill="FFFFFF"/>
        </w:rPr>
        <w:t xml:space="preserve">i </w:t>
      </w:r>
      <w:r w:rsidR="00732B7D" w:rsidRPr="00DC444F">
        <w:rPr>
          <w:bCs/>
          <w:shd w:val="clear" w:color="auto" w:fill="FFFFFF"/>
        </w:rPr>
        <w:t>(</w:t>
      </w:r>
      <w:r w:rsidR="00A55D80">
        <w:rPr>
          <w:bCs/>
          <w:shd w:val="clear" w:color="auto" w:fill="FFFFFF"/>
        </w:rPr>
        <w:t xml:space="preserve">turpmāk - </w:t>
      </w:r>
      <w:r w:rsidR="00732B7D" w:rsidRPr="00DC444F">
        <w:rPr>
          <w:bCs/>
          <w:shd w:val="clear" w:color="auto" w:fill="FFFFFF"/>
        </w:rPr>
        <w:t xml:space="preserve">OLAF) </w:t>
      </w:r>
      <w:r w:rsidR="008A661D" w:rsidRPr="00DC444F">
        <w:rPr>
          <w:bCs/>
          <w:shd w:val="clear" w:color="auto" w:fill="FFFFFF"/>
        </w:rPr>
        <w:t>tā</w:t>
      </w:r>
      <w:r w:rsidR="00D65268" w:rsidRPr="00DC444F">
        <w:rPr>
          <w:bCs/>
          <w:shd w:val="clear" w:color="auto" w:fill="FFFFFF"/>
        </w:rPr>
        <w:t xml:space="preserve"> veiktajās </w:t>
      </w:r>
      <w:r w:rsidR="00375E1E" w:rsidRPr="00DC444F">
        <w:rPr>
          <w:bCs/>
          <w:shd w:val="clear" w:color="auto" w:fill="FFFFFF"/>
        </w:rPr>
        <w:t xml:space="preserve">administratīvajās izmeklēšanās, lai aizsargātu Eiropas </w:t>
      </w:r>
      <w:r w:rsidR="00F23A99">
        <w:rPr>
          <w:bCs/>
          <w:shd w:val="clear" w:color="auto" w:fill="FFFFFF"/>
        </w:rPr>
        <w:t>Savienības</w:t>
      </w:r>
      <w:r w:rsidR="00D22823">
        <w:rPr>
          <w:bCs/>
          <w:shd w:val="clear" w:color="auto" w:fill="FFFFFF"/>
        </w:rPr>
        <w:t xml:space="preserve"> un </w:t>
      </w:r>
      <w:r w:rsidR="001C1E76">
        <w:rPr>
          <w:bCs/>
          <w:shd w:val="clear" w:color="auto" w:fill="FFFFFF"/>
        </w:rPr>
        <w:t xml:space="preserve">Eiropas Atomenerģijas kopienas </w:t>
      </w:r>
      <w:r w:rsidR="00375E1E" w:rsidRPr="00DC444F">
        <w:rPr>
          <w:bCs/>
          <w:shd w:val="clear" w:color="auto" w:fill="FFFFFF"/>
        </w:rPr>
        <w:t>finanšu intereses pret krāpšanu</w:t>
      </w:r>
      <w:r>
        <w:rPr>
          <w:bCs/>
          <w:shd w:val="clear" w:color="auto" w:fill="FFFFFF"/>
        </w:rPr>
        <w:t>, korupciju</w:t>
      </w:r>
      <w:r w:rsidR="00A90AFF">
        <w:rPr>
          <w:bCs/>
          <w:shd w:val="clear" w:color="auto" w:fill="FFFFFF"/>
        </w:rPr>
        <w:t xml:space="preserve"> un citām nelikumīgām darbībām</w:t>
      </w:r>
      <w:r w:rsidR="00375E1E" w:rsidRPr="00DC444F">
        <w:rPr>
          <w:bCs/>
          <w:shd w:val="clear" w:color="auto" w:fill="FFFFFF"/>
        </w:rPr>
        <w:t xml:space="preserve">. </w:t>
      </w:r>
    </w:p>
    <w:p w14:paraId="1D9A1E2B" w14:textId="77777777" w:rsidR="002D51ED" w:rsidRPr="00DC444F" w:rsidRDefault="002D51ED" w:rsidP="002D51ED">
      <w:pPr>
        <w:ind w:firstLine="284"/>
        <w:jc w:val="both"/>
        <w:rPr>
          <w:bCs/>
          <w:shd w:val="clear" w:color="auto" w:fill="FFFFFF"/>
        </w:rPr>
      </w:pPr>
    </w:p>
    <w:p w14:paraId="6826391B" w14:textId="77777777" w:rsidR="008A661D" w:rsidRPr="00DC444F" w:rsidRDefault="002826C5" w:rsidP="008749DC">
      <w:pPr>
        <w:jc w:val="both"/>
        <w:rPr>
          <w:b/>
          <w:bCs/>
        </w:rPr>
      </w:pPr>
      <w:r w:rsidRPr="00DC444F">
        <w:rPr>
          <w:b/>
          <w:bCs/>
        </w:rPr>
        <w:t>2</w:t>
      </w:r>
      <w:r w:rsidR="008749DC" w:rsidRPr="00DC444F">
        <w:rPr>
          <w:b/>
          <w:bCs/>
        </w:rPr>
        <w:t>.pants. Likuma darbības joma</w:t>
      </w:r>
      <w:r w:rsidRPr="00DC444F">
        <w:rPr>
          <w:b/>
          <w:bCs/>
        </w:rPr>
        <w:t xml:space="preserve">  </w:t>
      </w:r>
    </w:p>
    <w:p w14:paraId="3637351F" w14:textId="4D312445" w:rsidR="002D51ED" w:rsidRPr="00DC444F" w:rsidRDefault="00406C9C" w:rsidP="00DC4C23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Likum</w:t>
      </w:r>
      <w:r w:rsidR="00AB3C28">
        <w:rPr>
          <w:bCs/>
          <w:shd w:val="clear" w:color="auto" w:fill="FFFFFF"/>
        </w:rPr>
        <w:t xml:space="preserve">u piemēro, sniedzot atbalstu OLAF, ciktāl </w:t>
      </w:r>
      <w:r w:rsidR="0017336F">
        <w:rPr>
          <w:bCs/>
          <w:shd w:val="clear" w:color="auto" w:fill="FFFFFF"/>
        </w:rPr>
        <w:t xml:space="preserve">to nenosaka </w:t>
      </w:r>
      <w:r w:rsidR="0017336F" w:rsidRPr="002D51ED">
        <w:rPr>
          <w:bCs/>
          <w:shd w:val="clear" w:color="auto" w:fill="FFFFFF"/>
        </w:rPr>
        <w:t xml:space="preserve">Eiropas Parlamenta un Padomes </w:t>
      </w:r>
      <w:r w:rsidR="0017336F">
        <w:rPr>
          <w:bCs/>
          <w:shd w:val="clear" w:color="auto" w:fill="FFFFFF"/>
        </w:rPr>
        <w:t>2013. gada 11. septembra Regula</w:t>
      </w:r>
      <w:r w:rsidR="0017336F" w:rsidRPr="002D51ED">
        <w:rPr>
          <w:bCs/>
          <w:shd w:val="clear" w:color="auto" w:fill="FFFFFF"/>
        </w:rPr>
        <w:t xml:space="preserve"> (ES, Euratom) Nr. 883/2013 par izmeklēšanu, ko veic Eiropas Biro</w:t>
      </w:r>
      <w:r w:rsidR="0017336F">
        <w:rPr>
          <w:bCs/>
          <w:shd w:val="clear" w:color="auto" w:fill="FFFFFF"/>
        </w:rPr>
        <w:t>js krāpšanas apkarošanai (OLAF)</w:t>
      </w:r>
      <w:r w:rsidR="0017336F" w:rsidRPr="002D51ED">
        <w:rPr>
          <w:bCs/>
          <w:shd w:val="clear" w:color="auto" w:fill="FFFFFF"/>
        </w:rPr>
        <w:t>, un ar ko atceļ Eiropas Parlamenta un Padomes Regulu (EK) Nr. 1073/1999 un Padomes Regulu (Euratom) Nr. 1074/1999 (turpmāk – Regula</w:t>
      </w:r>
      <w:r w:rsidR="0017336F">
        <w:rPr>
          <w:bCs/>
          <w:shd w:val="clear" w:color="auto" w:fill="FFFFFF"/>
        </w:rPr>
        <w:t xml:space="preserve"> 883/2013</w:t>
      </w:r>
      <w:r w:rsidR="0017336F" w:rsidRPr="002D51ED">
        <w:rPr>
          <w:bCs/>
          <w:shd w:val="clear" w:color="auto" w:fill="FFFFFF"/>
        </w:rPr>
        <w:t>)</w:t>
      </w:r>
      <w:r w:rsidR="00A335A6">
        <w:rPr>
          <w:bCs/>
          <w:shd w:val="clear" w:color="auto" w:fill="FFFFFF"/>
        </w:rPr>
        <w:t xml:space="preserve">, </w:t>
      </w:r>
      <w:r w:rsidR="003418C1">
        <w:rPr>
          <w:bCs/>
          <w:shd w:val="clear" w:color="auto" w:fill="FFFFFF"/>
        </w:rPr>
        <w:t xml:space="preserve">un </w:t>
      </w:r>
      <w:r w:rsidR="00A335A6" w:rsidRPr="002D51ED">
        <w:rPr>
          <w:bCs/>
          <w:shd w:val="clear" w:color="auto" w:fill="FFFFFF"/>
        </w:rPr>
        <w:t xml:space="preserve">Padomes 1996. gada 11. novembra (Euratom, EK) </w:t>
      </w:r>
      <w:r w:rsidR="00A335A6">
        <w:rPr>
          <w:bCs/>
          <w:shd w:val="clear" w:color="auto" w:fill="FFFFFF"/>
        </w:rPr>
        <w:t xml:space="preserve">Regula </w:t>
      </w:r>
      <w:r w:rsidR="00A335A6" w:rsidRPr="002D51ED">
        <w:rPr>
          <w:bCs/>
          <w:shd w:val="clear" w:color="auto" w:fill="FFFFFF"/>
        </w:rPr>
        <w:t>Nr. 2185/96 par pārbaudēm un apskatēm uz vietas, ko Komisija veic, lai aizsargātu Eiropas Kopienu finanšu intereses pret krāpšanu un citām nelikumībām</w:t>
      </w:r>
      <w:r w:rsidR="00367E56" w:rsidRPr="00AD3661">
        <w:rPr>
          <w:bCs/>
          <w:shd w:val="clear" w:color="auto" w:fill="FFFFFF"/>
        </w:rPr>
        <w:t>.</w:t>
      </w:r>
    </w:p>
    <w:p w14:paraId="7C524AF1" w14:textId="2FDA2076" w:rsidR="00860AC1" w:rsidRDefault="00860AC1" w:rsidP="002D51ED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14:paraId="19EE9C38" w14:textId="77777777" w:rsidR="002D51ED" w:rsidRPr="00DC444F" w:rsidRDefault="002D51ED" w:rsidP="002D51ED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bCs/>
          <w:shd w:val="clear" w:color="auto" w:fill="FFFFFF"/>
        </w:rPr>
      </w:pPr>
    </w:p>
    <w:p w14:paraId="7C11F0FD" w14:textId="73CBBEF6" w:rsidR="00CA010B" w:rsidRPr="00851B6A" w:rsidRDefault="00706583" w:rsidP="00CA010B">
      <w:pPr>
        <w:jc w:val="both"/>
        <w:rPr>
          <w:b/>
          <w:bCs/>
          <w:shd w:val="clear" w:color="auto" w:fill="FFFFFF"/>
        </w:rPr>
      </w:pPr>
      <w:r w:rsidRPr="00851B6A">
        <w:rPr>
          <w:b/>
          <w:bCs/>
          <w:shd w:val="clear" w:color="auto" w:fill="FFFFFF"/>
        </w:rPr>
        <w:t>3</w:t>
      </w:r>
      <w:r w:rsidR="00CA010B" w:rsidRPr="00851B6A">
        <w:rPr>
          <w:b/>
          <w:bCs/>
          <w:shd w:val="clear" w:color="auto" w:fill="FFFFFF"/>
        </w:rPr>
        <w:t xml:space="preserve">. </w:t>
      </w:r>
      <w:r w:rsidR="00412222" w:rsidRPr="00851B6A">
        <w:rPr>
          <w:b/>
          <w:bCs/>
          <w:shd w:val="clear" w:color="auto" w:fill="FFFFFF"/>
        </w:rPr>
        <w:t xml:space="preserve">pants. </w:t>
      </w:r>
      <w:r w:rsidR="00CA010B" w:rsidRPr="00851B6A">
        <w:rPr>
          <w:b/>
          <w:bCs/>
          <w:shd w:val="clear" w:color="auto" w:fill="FFFFFF"/>
        </w:rPr>
        <w:t>Atbalsta sniegšanā OLAF</w:t>
      </w:r>
      <w:r w:rsidR="00A55D80" w:rsidRPr="00851B6A">
        <w:rPr>
          <w:b/>
          <w:bCs/>
          <w:shd w:val="clear" w:color="auto" w:fill="FFFFFF"/>
        </w:rPr>
        <w:t xml:space="preserve"> </w:t>
      </w:r>
      <w:r w:rsidR="00CA010B" w:rsidRPr="00851B6A">
        <w:rPr>
          <w:b/>
          <w:bCs/>
          <w:shd w:val="clear" w:color="auto" w:fill="FFFFFF"/>
        </w:rPr>
        <w:t>iesaistītās institūcijas</w:t>
      </w:r>
    </w:p>
    <w:p w14:paraId="57571A69" w14:textId="135F9898" w:rsidR="00D46C84" w:rsidRPr="00DC444F" w:rsidRDefault="00D46C84" w:rsidP="002D51ED">
      <w:pPr>
        <w:ind w:left="-142" w:firstLine="284"/>
        <w:jc w:val="both"/>
        <w:rPr>
          <w:bCs/>
          <w:shd w:val="clear" w:color="auto" w:fill="FFFFFF"/>
        </w:rPr>
      </w:pPr>
      <w:r w:rsidRPr="00DC444F">
        <w:rPr>
          <w:bCs/>
          <w:shd w:val="clear" w:color="auto" w:fill="FFFFFF"/>
        </w:rPr>
        <w:t xml:space="preserve">Atbalstu </w:t>
      </w:r>
      <w:r w:rsidR="00A55D80">
        <w:rPr>
          <w:bCs/>
          <w:shd w:val="clear" w:color="auto" w:fill="FFFFFF"/>
        </w:rPr>
        <w:t>OLAF</w:t>
      </w:r>
      <w:r w:rsidR="00732B7D" w:rsidRPr="00DC444F">
        <w:rPr>
          <w:b/>
          <w:bCs/>
          <w:shd w:val="clear" w:color="auto" w:fill="FFFFFF"/>
        </w:rPr>
        <w:t xml:space="preserve"> </w:t>
      </w:r>
      <w:r w:rsidRPr="00DC444F">
        <w:rPr>
          <w:bCs/>
          <w:shd w:val="clear" w:color="auto" w:fill="FFFFFF"/>
        </w:rPr>
        <w:t>sniedz:</w:t>
      </w:r>
    </w:p>
    <w:p w14:paraId="439D1BC4" w14:textId="621703E1" w:rsidR="00D46C84" w:rsidRPr="00DC444F" w:rsidRDefault="00D46C84" w:rsidP="00FD38C9">
      <w:pPr>
        <w:ind w:left="-284" w:firstLine="284"/>
        <w:jc w:val="both"/>
        <w:rPr>
          <w:bCs/>
          <w:shd w:val="clear" w:color="auto" w:fill="FFFFFF"/>
        </w:rPr>
      </w:pPr>
      <w:r w:rsidRPr="00DC444F">
        <w:rPr>
          <w:bCs/>
          <w:shd w:val="clear" w:color="auto" w:fill="FFFFFF"/>
        </w:rPr>
        <w:tab/>
        <w:t xml:space="preserve">1) </w:t>
      </w:r>
      <w:r w:rsidR="00375E1E" w:rsidRPr="00DC444F">
        <w:rPr>
          <w:bCs/>
          <w:shd w:val="clear" w:color="auto" w:fill="FFFFFF"/>
        </w:rPr>
        <w:t>Finanšu ministrija</w:t>
      </w:r>
      <w:r w:rsidR="00A55D80">
        <w:rPr>
          <w:bCs/>
          <w:shd w:val="clear" w:color="auto" w:fill="FFFFFF"/>
        </w:rPr>
        <w:t xml:space="preserve"> kā kompetentā iestāde Regulas</w:t>
      </w:r>
      <w:r w:rsidR="00E01CA7">
        <w:rPr>
          <w:bCs/>
          <w:shd w:val="clear" w:color="auto" w:fill="FFFFFF"/>
        </w:rPr>
        <w:t xml:space="preserve"> 883/2013</w:t>
      </w:r>
      <w:r w:rsidR="00A55D80">
        <w:rPr>
          <w:bCs/>
          <w:shd w:val="clear" w:color="auto" w:fill="FFFFFF"/>
        </w:rPr>
        <w:t xml:space="preserve"> izpratnē</w:t>
      </w:r>
      <w:r w:rsidR="00041D8A">
        <w:rPr>
          <w:bCs/>
          <w:shd w:val="clear" w:color="auto" w:fill="FFFFFF"/>
        </w:rPr>
        <w:t xml:space="preserve"> (turpmāk – kompetentā iestāde)</w:t>
      </w:r>
      <w:r w:rsidRPr="00DC444F">
        <w:rPr>
          <w:bCs/>
          <w:shd w:val="clear" w:color="auto" w:fill="FFFFFF"/>
        </w:rPr>
        <w:t>;</w:t>
      </w:r>
    </w:p>
    <w:p w14:paraId="34DEA735" w14:textId="3DA2F8CB" w:rsidR="00E01CA7" w:rsidRDefault="00D46C84" w:rsidP="00FD38C9">
      <w:pPr>
        <w:ind w:left="-284" w:firstLine="284"/>
        <w:jc w:val="both"/>
        <w:rPr>
          <w:bCs/>
          <w:shd w:val="clear" w:color="auto" w:fill="FFFFFF"/>
        </w:rPr>
      </w:pPr>
      <w:r w:rsidRPr="00DC444F">
        <w:rPr>
          <w:bCs/>
          <w:shd w:val="clear" w:color="auto" w:fill="FFFFFF"/>
        </w:rPr>
        <w:tab/>
      </w:r>
      <w:r w:rsidR="002826C5" w:rsidRPr="00DC444F">
        <w:rPr>
          <w:bCs/>
          <w:shd w:val="clear" w:color="auto" w:fill="FFFFFF"/>
        </w:rPr>
        <w:t>2</w:t>
      </w:r>
      <w:r w:rsidR="0010799D">
        <w:rPr>
          <w:bCs/>
          <w:shd w:val="clear" w:color="auto" w:fill="FFFFFF"/>
        </w:rPr>
        <w:t xml:space="preserve">) </w:t>
      </w:r>
      <w:r w:rsidR="002D51ED">
        <w:rPr>
          <w:bCs/>
          <w:shd w:val="clear" w:color="auto" w:fill="FFFFFF"/>
        </w:rPr>
        <w:t>V</w:t>
      </w:r>
      <w:r w:rsidR="00E01CA7" w:rsidRPr="00D927BB">
        <w:rPr>
          <w:bCs/>
          <w:shd w:val="clear" w:color="auto" w:fill="FFFFFF"/>
        </w:rPr>
        <w:t>alsts</w:t>
      </w:r>
      <w:r w:rsidR="00C87652">
        <w:rPr>
          <w:bCs/>
          <w:shd w:val="clear" w:color="auto" w:fill="FFFFFF"/>
        </w:rPr>
        <w:t xml:space="preserve"> vai pašvaldības</w:t>
      </w:r>
      <w:r w:rsidR="00E01CA7" w:rsidRPr="00D927BB">
        <w:rPr>
          <w:bCs/>
          <w:shd w:val="clear" w:color="auto" w:fill="FFFFFF"/>
        </w:rPr>
        <w:t xml:space="preserve"> policija</w:t>
      </w:r>
      <w:r w:rsidR="002142BC">
        <w:rPr>
          <w:bCs/>
          <w:shd w:val="clear" w:color="auto" w:fill="FFFFFF"/>
        </w:rPr>
        <w:t xml:space="preserve">. </w:t>
      </w:r>
    </w:p>
    <w:p w14:paraId="3885E4CD" w14:textId="77777777" w:rsidR="004B0490" w:rsidRDefault="004B0490" w:rsidP="00E01CA7">
      <w:pPr>
        <w:jc w:val="both"/>
        <w:rPr>
          <w:bCs/>
          <w:shd w:val="clear" w:color="auto" w:fill="FFFFFF"/>
        </w:rPr>
      </w:pPr>
    </w:p>
    <w:p w14:paraId="74A610DE" w14:textId="6B91E8E6" w:rsidR="00A74B43" w:rsidRPr="00DC444F" w:rsidRDefault="00706583" w:rsidP="00A74B43">
      <w:pPr>
        <w:jc w:val="both"/>
        <w:rPr>
          <w:b/>
          <w:bCs/>
          <w:shd w:val="clear" w:color="auto" w:fill="FFFFFF"/>
        </w:rPr>
      </w:pPr>
      <w:r w:rsidRPr="00DC444F">
        <w:rPr>
          <w:b/>
          <w:bCs/>
          <w:shd w:val="clear" w:color="auto" w:fill="FFFFFF"/>
        </w:rPr>
        <w:t>4</w:t>
      </w:r>
      <w:r w:rsidR="00D46C84" w:rsidRPr="00DC444F">
        <w:rPr>
          <w:b/>
          <w:bCs/>
          <w:shd w:val="clear" w:color="auto" w:fill="FFFFFF"/>
        </w:rPr>
        <w:t xml:space="preserve">. </w:t>
      </w:r>
      <w:r w:rsidR="00412222" w:rsidRPr="00DC444F">
        <w:rPr>
          <w:b/>
          <w:bCs/>
          <w:shd w:val="clear" w:color="auto" w:fill="FFFFFF"/>
        </w:rPr>
        <w:t xml:space="preserve">pants. </w:t>
      </w:r>
      <w:r w:rsidR="00A74B43" w:rsidRPr="00DC444F">
        <w:rPr>
          <w:b/>
          <w:bCs/>
          <w:shd w:val="clear" w:color="auto" w:fill="FFFFFF"/>
        </w:rPr>
        <w:t>Kompetentā</w:t>
      </w:r>
      <w:r w:rsidR="00866C3B">
        <w:rPr>
          <w:b/>
          <w:bCs/>
          <w:shd w:val="clear" w:color="auto" w:fill="FFFFFF"/>
        </w:rPr>
        <w:t>s</w:t>
      </w:r>
      <w:r w:rsidR="00A74B43" w:rsidRPr="00DC444F">
        <w:rPr>
          <w:b/>
          <w:bCs/>
          <w:shd w:val="clear" w:color="auto" w:fill="FFFFFF"/>
        </w:rPr>
        <w:t xml:space="preserve"> iestāde</w:t>
      </w:r>
      <w:r w:rsidR="00866C3B">
        <w:rPr>
          <w:b/>
          <w:bCs/>
          <w:shd w:val="clear" w:color="auto" w:fill="FFFFFF"/>
        </w:rPr>
        <w:t>s</w:t>
      </w:r>
      <w:r w:rsidR="00FD38C9">
        <w:rPr>
          <w:b/>
          <w:bCs/>
          <w:shd w:val="clear" w:color="auto" w:fill="FFFFFF"/>
        </w:rPr>
        <w:t xml:space="preserve"> tiesības un</w:t>
      </w:r>
      <w:r w:rsidR="00D46C84" w:rsidRPr="00DC444F">
        <w:rPr>
          <w:b/>
          <w:bCs/>
          <w:shd w:val="clear" w:color="auto" w:fill="FFFFFF"/>
        </w:rPr>
        <w:t xml:space="preserve"> </w:t>
      </w:r>
      <w:r w:rsidR="00375E1E" w:rsidRPr="00DC444F">
        <w:rPr>
          <w:b/>
          <w:bCs/>
          <w:shd w:val="clear" w:color="auto" w:fill="FFFFFF"/>
        </w:rPr>
        <w:t>pienākumi</w:t>
      </w:r>
    </w:p>
    <w:p w14:paraId="21E1F921" w14:textId="7740D868" w:rsidR="00A74B43" w:rsidRPr="00DC444F" w:rsidRDefault="002826C5" w:rsidP="00A74B43">
      <w:pPr>
        <w:jc w:val="both"/>
        <w:rPr>
          <w:bCs/>
          <w:shd w:val="clear" w:color="auto" w:fill="FFFFFF"/>
        </w:rPr>
      </w:pPr>
      <w:r w:rsidRPr="00DC444F">
        <w:rPr>
          <w:bCs/>
          <w:shd w:val="clear" w:color="auto" w:fill="FFFFFF"/>
        </w:rPr>
        <w:t>(1</w:t>
      </w:r>
      <w:r w:rsidR="00A74B43" w:rsidRPr="00DC444F">
        <w:rPr>
          <w:bCs/>
          <w:shd w:val="clear" w:color="auto" w:fill="FFFFFF"/>
        </w:rPr>
        <w:t xml:space="preserve">) </w:t>
      </w:r>
      <w:r w:rsidRPr="00DC444F">
        <w:rPr>
          <w:bCs/>
          <w:shd w:val="clear" w:color="auto" w:fill="FFFFFF"/>
        </w:rPr>
        <w:t>Kompetentā iestāde</w:t>
      </w:r>
      <w:r w:rsidR="00A74B43" w:rsidRPr="00DC444F">
        <w:rPr>
          <w:bCs/>
          <w:shd w:val="clear" w:color="auto" w:fill="FFFFFF"/>
        </w:rPr>
        <w:t xml:space="preserve"> pēc </w:t>
      </w:r>
      <w:r w:rsidR="00C97912">
        <w:rPr>
          <w:bCs/>
          <w:shd w:val="clear" w:color="auto" w:fill="FFFFFF"/>
        </w:rPr>
        <w:t>OLAF</w:t>
      </w:r>
      <w:r w:rsidR="00732B7D" w:rsidRPr="00DC444F">
        <w:rPr>
          <w:bCs/>
          <w:shd w:val="clear" w:color="auto" w:fill="FFFFFF"/>
        </w:rPr>
        <w:t xml:space="preserve"> </w:t>
      </w:r>
      <w:r w:rsidR="00A74B43" w:rsidRPr="00DC444F">
        <w:rPr>
          <w:bCs/>
          <w:shd w:val="clear" w:color="auto" w:fill="FFFFFF"/>
        </w:rPr>
        <w:t>pieprasījuma:</w:t>
      </w:r>
    </w:p>
    <w:p w14:paraId="751F30CA" w14:textId="036F1341" w:rsidR="00732B7D" w:rsidRPr="00DC444F" w:rsidRDefault="00375E1E" w:rsidP="00412222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bCs/>
          <w:shd w:val="clear" w:color="auto" w:fill="FFFFFF"/>
        </w:rPr>
      </w:pPr>
      <w:r w:rsidRPr="00DC444F">
        <w:rPr>
          <w:bCs/>
          <w:shd w:val="clear" w:color="auto" w:fill="FFFFFF"/>
        </w:rPr>
        <w:t>piedalās un sniedz atbalstu</w:t>
      </w:r>
      <w:r w:rsidR="00732B7D" w:rsidRPr="00DC444F">
        <w:rPr>
          <w:bCs/>
          <w:shd w:val="clear" w:color="auto" w:fill="FFFFFF"/>
        </w:rPr>
        <w:t xml:space="preserve"> </w:t>
      </w:r>
      <w:r w:rsidR="00DC4C23">
        <w:t>OLAF administratīvajai izmeklēšanai Latvijas Republikā</w:t>
      </w:r>
      <w:r w:rsidR="00732B7D" w:rsidRPr="00DC444F">
        <w:rPr>
          <w:bCs/>
          <w:shd w:val="clear" w:color="auto" w:fill="FFFFFF"/>
        </w:rPr>
        <w:t>;</w:t>
      </w:r>
    </w:p>
    <w:p w14:paraId="72C0041F" w14:textId="333021FA" w:rsidR="00DC4C23" w:rsidRDefault="00375E1E" w:rsidP="002A44A1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bCs/>
          <w:shd w:val="clear" w:color="auto" w:fill="FFFFFF"/>
        </w:rPr>
      </w:pPr>
      <w:r w:rsidRPr="00DC444F">
        <w:rPr>
          <w:bCs/>
          <w:shd w:val="clear" w:color="auto" w:fill="FFFFFF"/>
        </w:rPr>
        <w:t>piedalās un sniedz atbalstu</w:t>
      </w:r>
      <w:r w:rsidR="00732B7D" w:rsidRPr="00DC444F">
        <w:rPr>
          <w:bCs/>
          <w:shd w:val="clear" w:color="auto" w:fill="FFFFFF"/>
        </w:rPr>
        <w:t xml:space="preserve"> </w:t>
      </w:r>
      <w:r w:rsidR="00774731">
        <w:rPr>
          <w:bCs/>
          <w:shd w:val="clear" w:color="auto" w:fill="FFFFFF"/>
        </w:rPr>
        <w:t>OLAF</w:t>
      </w:r>
      <w:r w:rsidR="00732B7D" w:rsidRPr="00DC444F">
        <w:rPr>
          <w:bCs/>
          <w:shd w:val="clear" w:color="auto" w:fill="FFFFFF"/>
        </w:rPr>
        <w:t xml:space="preserve"> </w:t>
      </w:r>
      <w:r w:rsidR="00A74B43" w:rsidRPr="00DC444F">
        <w:rPr>
          <w:bCs/>
          <w:shd w:val="clear" w:color="auto" w:fill="FFFFFF"/>
        </w:rPr>
        <w:t xml:space="preserve">sanāksmēs ar </w:t>
      </w:r>
      <w:r w:rsidR="00A90AFF">
        <w:rPr>
          <w:bCs/>
          <w:shd w:val="clear" w:color="auto" w:fill="FFFFFF"/>
        </w:rPr>
        <w:t>valsts vai pašvaldību</w:t>
      </w:r>
      <w:r w:rsidR="00A74B43" w:rsidRPr="00DC444F">
        <w:rPr>
          <w:bCs/>
          <w:shd w:val="clear" w:color="auto" w:fill="FFFFFF"/>
        </w:rPr>
        <w:t xml:space="preserve"> institūcijām, </w:t>
      </w:r>
      <w:r w:rsidR="00903394">
        <w:rPr>
          <w:bCs/>
          <w:shd w:val="clear" w:color="auto" w:fill="FFFFFF"/>
        </w:rPr>
        <w:t>tostarp</w:t>
      </w:r>
      <w:r w:rsidR="00A74B43" w:rsidRPr="00DC444F">
        <w:rPr>
          <w:bCs/>
          <w:shd w:val="clear" w:color="auto" w:fill="FFFFFF"/>
        </w:rPr>
        <w:t xml:space="preserve"> </w:t>
      </w:r>
      <w:r w:rsidR="00AA5D7B">
        <w:rPr>
          <w:bCs/>
          <w:shd w:val="clear" w:color="auto" w:fill="FFFFFF"/>
        </w:rPr>
        <w:t xml:space="preserve">ar </w:t>
      </w:r>
      <w:r w:rsidR="003A1B7E" w:rsidRPr="00DC444F">
        <w:rPr>
          <w:bCs/>
          <w:shd w:val="clear" w:color="auto" w:fill="FFFFFF"/>
        </w:rPr>
        <w:t>tiesībaizsardzības</w:t>
      </w:r>
      <w:r w:rsidR="004B0490">
        <w:rPr>
          <w:bCs/>
          <w:shd w:val="clear" w:color="auto" w:fill="FFFFFF"/>
        </w:rPr>
        <w:t xml:space="preserve"> iestādēm</w:t>
      </w:r>
      <w:r w:rsidR="004F356A">
        <w:rPr>
          <w:bCs/>
          <w:shd w:val="clear" w:color="auto" w:fill="FFFFFF"/>
        </w:rPr>
        <w:t>;</w:t>
      </w:r>
    </w:p>
    <w:p w14:paraId="50FA91CB" w14:textId="1E732680" w:rsidR="00DC4C23" w:rsidRDefault="00DC4C23" w:rsidP="00DC4C23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bCs/>
          <w:shd w:val="clear" w:color="auto" w:fill="FFFFFF"/>
        </w:rPr>
      </w:pPr>
      <w:r w:rsidRPr="00DC4C23">
        <w:rPr>
          <w:bCs/>
          <w:shd w:val="clear" w:color="auto" w:fill="FFFFFF"/>
        </w:rPr>
        <w:t>piepras</w:t>
      </w:r>
      <w:r>
        <w:rPr>
          <w:bCs/>
          <w:shd w:val="clear" w:color="auto" w:fill="FFFFFF"/>
        </w:rPr>
        <w:t>a</w:t>
      </w:r>
      <w:r w:rsidRPr="00DC4C23">
        <w:rPr>
          <w:bCs/>
          <w:shd w:val="clear" w:color="auto" w:fill="FFFFFF"/>
        </w:rPr>
        <w:t xml:space="preserve"> un bez maksas noteiktaj</w:t>
      </w:r>
      <w:r>
        <w:rPr>
          <w:bCs/>
          <w:shd w:val="clear" w:color="auto" w:fill="FFFFFF"/>
        </w:rPr>
        <w:t>ā apjomā un formā saņem</w:t>
      </w:r>
      <w:r w:rsidRPr="00DC4C23">
        <w:rPr>
          <w:bCs/>
          <w:shd w:val="clear" w:color="auto" w:fill="FFFFFF"/>
        </w:rPr>
        <w:t xml:space="preserve"> no </w:t>
      </w:r>
      <w:r w:rsidR="004F356A">
        <w:rPr>
          <w:bCs/>
          <w:shd w:val="clear" w:color="auto" w:fill="FFFFFF"/>
        </w:rPr>
        <w:t>privāt</w:t>
      </w:r>
      <w:r w:rsidRPr="00DC4C23">
        <w:rPr>
          <w:bCs/>
          <w:shd w:val="clear" w:color="auto" w:fill="FFFFFF"/>
        </w:rPr>
        <w:t xml:space="preserve">personām, valsts </w:t>
      </w:r>
      <w:r w:rsidR="004F356A">
        <w:rPr>
          <w:bCs/>
          <w:shd w:val="clear" w:color="auto" w:fill="FFFFFF"/>
        </w:rPr>
        <w:t>un pašvaldību</w:t>
      </w:r>
      <w:r w:rsidRPr="00DC4C23">
        <w:rPr>
          <w:bCs/>
          <w:shd w:val="clear" w:color="auto" w:fill="FFFFFF"/>
        </w:rPr>
        <w:t xml:space="preserve"> institūcijām un amatpersonām </w:t>
      </w:r>
      <w:r>
        <w:rPr>
          <w:bCs/>
          <w:shd w:val="clear" w:color="auto" w:fill="FFFFFF"/>
        </w:rPr>
        <w:t>i</w:t>
      </w:r>
      <w:r w:rsidRPr="00DC4C23">
        <w:rPr>
          <w:bCs/>
          <w:shd w:val="clear" w:color="auto" w:fill="FFFFFF"/>
        </w:rPr>
        <w:t>nformāciju, dokumentus vai to kopijas un citus materiālus, tostarp iero</w:t>
      </w:r>
      <w:r>
        <w:rPr>
          <w:bCs/>
          <w:shd w:val="clear" w:color="auto" w:fill="FFFFFF"/>
        </w:rPr>
        <w:t xml:space="preserve">bežotas pieejamības informāciju, </w:t>
      </w:r>
      <w:r w:rsidRPr="00DC4C23">
        <w:rPr>
          <w:bCs/>
          <w:shd w:val="clear" w:color="auto" w:fill="FFFFFF"/>
        </w:rPr>
        <w:t>kas attiecas uz OLAF ve</w:t>
      </w:r>
      <w:r>
        <w:rPr>
          <w:bCs/>
          <w:shd w:val="clear" w:color="auto" w:fill="FFFFFF"/>
        </w:rPr>
        <w:t>ikto administratīvo izmeklēšanu;</w:t>
      </w:r>
    </w:p>
    <w:p w14:paraId="10142580" w14:textId="77777777" w:rsidR="00DC4C23" w:rsidRDefault="00DC4C23" w:rsidP="00DC4C23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bCs/>
          <w:shd w:val="clear" w:color="auto" w:fill="FFFFFF"/>
        </w:rPr>
      </w:pPr>
      <w:r w:rsidRPr="00DC4C23">
        <w:rPr>
          <w:bCs/>
          <w:shd w:val="clear" w:color="auto" w:fill="FFFFFF"/>
        </w:rPr>
        <w:t>pieprasa kontu reģistrā iekļautās ziņas saskaņā ar Kontu reģistra likumu;</w:t>
      </w:r>
    </w:p>
    <w:p w14:paraId="533C7CE1" w14:textId="77777777" w:rsidR="00DC4C23" w:rsidRPr="00DC4C23" w:rsidRDefault="00DC4C23" w:rsidP="00DC4C23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contextualSpacing w:val="0"/>
        <w:jc w:val="both"/>
        <w:rPr>
          <w:bCs/>
          <w:shd w:val="clear" w:color="auto" w:fill="FFFFFF"/>
        </w:rPr>
      </w:pPr>
      <w:r w:rsidRPr="00DC4C23">
        <w:rPr>
          <w:bCs/>
          <w:shd w:val="clear" w:color="auto" w:fill="FFFFFF"/>
        </w:rPr>
        <w:t>pieprasa kredītiestādes rīcībā esošās neizpaužamās ziņas saskaņā ar Kredītiestāžu likumu.</w:t>
      </w:r>
      <w:r w:rsidRPr="00DC4C23">
        <w:rPr>
          <w:bCs/>
          <w:color w:val="FF0000"/>
          <w:shd w:val="clear" w:color="auto" w:fill="FFFFFF"/>
        </w:rPr>
        <w:t xml:space="preserve"> </w:t>
      </w:r>
    </w:p>
    <w:p w14:paraId="4AD15CA4" w14:textId="605683E0" w:rsidR="004F356A" w:rsidRPr="00AD3661" w:rsidRDefault="00FD38C9" w:rsidP="00AD3661">
      <w:pPr>
        <w:shd w:val="clear" w:color="auto" w:fill="FFFFFF" w:themeFill="background1"/>
        <w:ind w:firstLine="720"/>
        <w:jc w:val="both"/>
        <w:rPr>
          <w:bCs/>
          <w:shd w:val="clear" w:color="auto" w:fill="FFFFFF"/>
        </w:rPr>
      </w:pPr>
      <w:r w:rsidRPr="00AD3661">
        <w:rPr>
          <w:bCs/>
          <w:shd w:val="clear" w:color="auto" w:fill="FFFFFF"/>
        </w:rPr>
        <w:lastRenderedPageBreak/>
        <w:t xml:space="preserve">(2) </w:t>
      </w:r>
      <w:r w:rsidR="004F356A" w:rsidRPr="00AD3661">
        <w:rPr>
          <w:bCs/>
          <w:shd w:val="clear" w:color="auto" w:fill="FFFFFF"/>
        </w:rPr>
        <w:t>Kompetentā iestāde var pieņemt lēmumu par tiesiskā pienākuma veikt noteiktu darbību vai atturēties no tās uzlikšanu privātpersonai, ja privātpersona nepilda OLAF prasības, it īpaši, ja</w:t>
      </w:r>
      <w:r w:rsidR="00AD3661">
        <w:rPr>
          <w:bCs/>
          <w:shd w:val="clear" w:color="auto" w:fill="FFFFFF"/>
        </w:rPr>
        <w:t xml:space="preserve"> tā</w:t>
      </w:r>
      <w:r w:rsidR="004F356A" w:rsidRPr="00AD3661">
        <w:rPr>
          <w:bCs/>
          <w:shd w:val="clear" w:color="auto" w:fill="FFFFFF"/>
        </w:rPr>
        <w:t>:</w:t>
      </w:r>
    </w:p>
    <w:p w14:paraId="17109E50" w14:textId="73A98CD8" w:rsidR="004F356A" w:rsidRPr="00AD3661" w:rsidRDefault="004F356A" w:rsidP="00AD3661">
      <w:pPr>
        <w:shd w:val="clear" w:color="auto" w:fill="FFFFFF" w:themeFill="background1"/>
        <w:ind w:left="567"/>
        <w:jc w:val="both"/>
        <w:rPr>
          <w:bCs/>
          <w:shd w:val="clear" w:color="auto" w:fill="FFFFFF"/>
        </w:rPr>
      </w:pPr>
      <w:r w:rsidRPr="00AD3661">
        <w:rPr>
          <w:bCs/>
          <w:shd w:val="clear" w:color="auto" w:fill="FFFFFF"/>
        </w:rPr>
        <w:t>1) liedz piekļuvi privātpersonas īpašumā, valdījumā vai lietošanā esošām telpām vai kustamai mantai;</w:t>
      </w:r>
    </w:p>
    <w:p w14:paraId="73962B71" w14:textId="77777777" w:rsidR="004F356A" w:rsidRPr="00AD3661" w:rsidRDefault="004F356A" w:rsidP="00AD3661">
      <w:pPr>
        <w:shd w:val="clear" w:color="auto" w:fill="FFFFFF" w:themeFill="background1"/>
        <w:ind w:left="567"/>
        <w:jc w:val="both"/>
        <w:rPr>
          <w:bCs/>
          <w:shd w:val="clear" w:color="auto" w:fill="FFFFFF"/>
        </w:rPr>
      </w:pPr>
      <w:r w:rsidRPr="00AD3661">
        <w:rPr>
          <w:bCs/>
          <w:shd w:val="clear" w:color="auto" w:fill="FFFFFF"/>
        </w:rPr>
        <w:t>2) neizsniedz vai liedz piekļuvi informācijai vai dokumentiem, neatkarīgi no to uzglabāšanas veida.</w:t>
      </w:r>
    </w:p>
    <w:p w14:paraId="7DD9B876" w14:textId="788AD808" w:rsidR="00FD38C9" w:rsidRPr="00AD3661" w:rsidRDefault="004F356A" w:rsidP="00AD3661">
      <w:pPr>
        <w:shd w:val="clear" w:color="auto" w:fill="FFFFFF" w:themeFill="background1"/>
        <w:tabs>
          <w:tab w:val="left" w:pos="851"/>
        </w:tabs>
        <w:jc w:val="both"/>
        <w:rPr>
          <w:bCs/>
          <w:shd w:val="clear" w:color="auto" w:fill="FFFFFF"/>
        </w:rPr>
      </w:pPr>
      <w:r w:rsidRPr="00AD3661">
        <w:rPr>
          <w:bCs/>
          <w:shd w:val="clear" w:color="auto" w:fill="FFFFFF"/>
        </w:rPr>
        <w:t xml:space="preserve"> </w:t>
      </w:r>
      <w:r w:rsidR="007E021F" w:rsidRPr="00AD3661">
        <w:rPr>
          <w:bCs/>
          <w:shd w:val="clear" w:color="auto" w:fill="FFFFFF"/>
        </w:rPr>
        <w:t xml:space="preserve">(3) </w:t>
      </w:r>
      <w:r w:rsidR="00FD38C9" w:rsidRPr="00AD3661">
        <w:rPr>
          <w:bCs/>
          <w:shd w:val="clear" w:color="auto" w:fill="FFFFFF"/>
        </w:rPr>
        <w:t>Lēmumu par tiesiskā pienākuma un piespie</w:t>
      </w:r>
      <w:r w:rsidRPr="00AD3661">
        <w:rPr>
          <w:bCs/>
          <w:shd w:val="clear" w:color="auto" w:fill="FFFFFF"/>
        </w:rPr>
        <w:t>du naudas uzlikšanu pieņemšana</w:t>
      </w:r>
      <w:r w:rsidR="00FD38C9" w:rsidRPr="00AD3661">
        <w:rPr>
          <w:bCs/>
          <w:shd w:val="clear" w:color="auto" w:fill="FFFFFF"/>
        </w:rPr>
        <w:t>, pārsūdzēšana un piespiedu izpilde notiek Administratīvā procesa likumā noteiktajā kārtībā.</w:t>
      </w:r>
    </w:p>
    <w:p w14:paraId="77D31A9B" w14:textId="3019305E" w:rsidR="006F247F" w:rsidRPr="004F356A" w:rsidRDefault="006F247F" w:rsidP="00AD3661">
      <w:pPr>
        <w:shd w:val="clear" w:color="auto" w:fill="FFFFFF" w:themeFill="background1"/>
        <w:tabs>
          <w:tab w:val="left" w:pos="851"/>
        </w:tabs>
        <w:jc w:val="both"/>
        <w:rPr>
          <w:bCs/>
          <w:shd w:val="clear" w:color="auto" w:fill="FFFFFF"/>
        </w:rPr>
      </w:pPr>
      <w:r w:rsidRPr="00AD3661">
        <w:rPr>
          <w:bCs/>
          <w:shd w:val="clear" w:color="auto" w:fill="FFFFFF"/>
        </w:rPr>
        <w:t>(4) Lēmuma pārsūdzēšana neaptur tā darbību.</w:t>
      </w:r>
    </w:p>
    <w:p w14:paraId="64405726" w14:textId="42BC7B8B" w:rsidR="00CA010B" w:rsidRDefault="00CA010B" w:rsidP="004F356A">
      <w:pPr>
        <w:jc w:val="both"/>
        <w:rPr>
          <w:bCs/>
          <w:shd w:val="clear" w:color="auto" w:fill="FFFFFF"/>
        </w:rPr>
      </w:pPr>
    </w:p>
    <w:p w14:paraId="53DC60DC" w14:textId="487CAED7" w:rsidR="00CC6A9C" w:rsidRDefault="00CC6A9C" w:rsidP="004F356A">
      <w:pPr>
        <w:jc w:val="both"/>
        <w:rPr>
          <w:bCs/>
          <w:shd w:val="clear" w:color="auto" w:fill="FFFFFF"/>
        </w:rPr>
      </w:pPr>
    </w:p>
    <w:p w14:paraId="724C3C8D" w14:textId="77777777" w:rsidR="00CC6A9C" w:rsidRDefault="00CC6A9C" w:rsidP="004F356A">
      <w:pPr>
        <w:jc w:val="both"/>
        <w:rPr>
          <w:bCs/>
          <w:shd w:val="clear" w:color="auto" w:fill="FFFFFF"/>
        </w:rPr>
      </w:pPr>
    </w:p>
    <w:p w14:paraId="0270F6E6" w14:textId="77777777" w:rsidR="00CC6A9C" w:rsidRDefault="00CC6A9C" w:rsidP="004F356A">
      <w:pPr>
        <w:jc w:val="both"/>
        <w:rPr>
          <w:bCs/>
          <w:shd w:val="clear" w:color="auto" w:fill="FFFFFF"/>
        </w:rPr>
      </w:pPr>
    </w:p>
    <w:p w14:paraId="213E69BB" w14:textId="07C736F4" w:rsidR="00493894" w:rsidRPr="00492960" w:rsidRDefault="00493894" w:rsidP="004F356A">
      <w:pPr>
        <w:jc w:val="both"/>
        <w:rPr>
          <w:bCs/>
          <w:shd w:val="clear" w:color="auto" w:fill="FFFFFF"/>
        </w:rPr>
      </w:pPr>
      <w:r w:rsidRPr="00642066">
        <w:rPr>
          <w:bCs/>
          <w:shd w:val="clear" w:color="auto" w:fill="FFFFFF"/>
        </w:rPr>
        <w:t>Finanšu ministrs</w:t>
      </w:r>
      <w:r w:rsidRPr="00642066">
        <w:rPr>
          <w:bCs/>
          <w:shd w:val="clear" w:color="auto" w:fill="FFFFFF"/>
        </w:rPr>
        <w:tab/>
      </w:r>
      <w:r w:rsidRPr="00642066">
        <w:rPr>
          <w:bCs/>
          <w:shd w:val="clear" w:color="auto" w:fill="FFFFFF"/>
        </w:rPr>
        <w:tab/>
      </w:r>
      <w:r w:rsidRPr="00642066">
        <w:rPr>
          <w:bCs/>
          <w:shd w:val="clear" w:color="auto" w:fill="FFFFFF"/>
        </w:rPr>
        <w:tab/>
      </w:r>
      <w:r w:rsidRPr="00642066">
        <w:rPr>
          <w:bCs/>
          <w:shd w:val="clear" w:color="auto" w:fill="FFFFFF"/>
        </w:rPr>
        <w:tab/>
      </w:r>
      <w:r w:rsidRPr="00642066">
        <w:rPr>
          <w:bCs/>
          <w:shd w:val="clear" w:color="auto" w:fill="FFFFFF"/>
        </w:rPr>
        <w:tab/>
      </w:r>
      <w:r w:rsidRPr="00642066">
        <w:rPr>
          <w:bCs/>
          <w:shd w:val="clear" w:color="auto" w:fill="FFFFFF"/>
        </w:rPr>
        <w:tab/>
      </w:r>
      <w:r w:rsidRPr="00642066">
        <w:rPr>
          <w:bCs/>
          <w:shd w:val="clear" w:color="auto" w:fill="FFFFFF"/>
        </w:rPr>
        <w:tab/>
      </w:r>
      <w:r w:rsidRPr="00642066">
        <w:rPr>
          <w:bCs/>
          <w:shd w:val="clear" w:color="auto" w:fill="FFFFFF"/>
        </w:rPr>
        <w:tab/>
        <w:t>J.Reirs</w:t>
      </w:r>
    </w:p>
    <w:sectPr w:rsidR="00493894" w:rsidRPr="00492960" w:rsidSect="00F60697">
      <w:footerReference w:type="default" r:id="rId10"/>
      <w:pgSz w:w="11906" w:h="16838"/>
      <w:pgMar w:top="56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592F" w14:textId="77777777" w:rsidR="006568BC" w:rsidRDefault="006568BC" w:rsidP="00BC5B6C">
      <w:pPr>
        <w:spacing w:after="0" w:line="240" w:lineRule="auto"/>
      </w:pPr>
      <w:r>
        <w:separator/>
      </w:r>
    </w:p>
  </w:endnote>
  <w:endnote w:type="continuationSeparator" w:id="0">
    <w:p w14:paraId="2455D6E8" w14:textId="77777777" w:rsidR="006568BC" w:rsidRDefault="006568BC" w:rsidP="00B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E331" w14:textId="2A65ED90" w:rsidR="00BC5B6C" w:rsidRDefault="00BC5B6C">
    <w:pPr>
      <w:pStyle w:val="Footer"/>
    </w:pPr>
    <w:r>
      <w:t>FMLik_230819_EBKAAL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FA86" w14:textId="77777777" w:rsidR="006568BC" w:rsidRDefault="006568BC" w:rsidP="00BC5B6C">
      <w:pPr>
        <w:spacing w:after="0" w:line="240" w:lineRule="auto"/>
      </w:pPr>
      <w:r>
        <w:separator/>
      </w:r>
    </w:p>
  </w:footnote>
  <w:footnote w:type="continuationSeparator" w:id="0">
    <w:p w14:paraId="0E365CB4" w14:textId="77777777" w:rsidR="006568BC" w:rsidRDefault="006568BC" w:rsidP="00BC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CF8"/>
    <w:multiLevelType w:val="multilevel"/>
    <w:tmpl w:val="6344C0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480" w:firstLine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firstLine="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firstLine="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4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4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840"/>
      </w:pPr>
      <w:rPr>
        <w:rFonts w:hint="default"/>
      </w:rPr>
    </w:lvl>
  </w:abstractNum>
  <w:abstractNum w:abstractNumId="1" w15:restartNumberingAfterBreak="0">
    <w:nsid w:val="389D103C"/>
    <w:multiLevelType w:val="hybridMultilevel"/>
    <w:tmpl w:val="5E4AA01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44C8"/>
    <w:multiLevelType w:val="hybridMultilevel"/>
    <w:tmpl w:val="CAEEA492"/>
    <w:lvl w:ilvl="0" w:tplc="1A94DF0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054B8"/>
    <w:multiLevelType w:val="hybridMultilevel"/>
    <w:tmpl w:val="8ECA6530"/>
    <w:lvl w:ilvl="0" w:tplc="3E3CD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F7"/>
    <w:rsid w:val="0001740C"/>
    <w:rsid w:val="0002246E"/>
    <w:rsid w:val="00041D8A"/>
    <w:rsid w:val="00042333"/>
    <w:rsid w:val="00054BF8"/>
    <w:rsid w:val="00065F26"/>
    <w:rsid w:val="0007590D"/>
    <w:rsid w:val="000856D5"/>
    <w:rsid w:val="00096936"/>
    <w:rsid w:val="000B7E81"/>
    <w:rsid w:val="000C3F84"/>
    <w:rsid w:val="000C4E88"/>
    <w:rsid w:val="000F416E"/>
    <w:rsid w:val="000F4304"/>
    <w:rsid w:val="0010799D"/>
    <w:rsid w:val="00112DB3"/>
    <w:rsid w:val="001205B3"/>
    <w:rsid w:val="0012384B"/>
    <w:rsid w:val="00126B39"/>
    <w:rsid w:val="00151E05"/>
    <w:rsid w:val="001540FC"/>
    <w:rsid w:val="0017336F"/>
    <w:rsid w:val="0019146D"/>
    <w:rsid w:val="001B6789"/>
    <w:rsid w:val="001C1E76"/>
    <w:rsid w:val="001E3330"/>
    <w:rsid w:val="002142BC"/>
    <w:rsid w:val="002208A6"/>
    <w:rsid w:val="00250818"/>
    <w:rsid w:val="00252698"/>
    <w:rsid w:val="00261AF3"/>
    <w:rsid w:val="00281B3E"/>
    <w:rsid w:val="002826C5"/>
    <w:rsid w:val="0029274D"/>
    <w:rsid w:val="002A327C"/>
    <w:rsid w:val="002A44A1"/>
    <w:rsid w:val="002A63B2"/>
    <w:rsid w:val="002B10F2"/>
    <w:rsid w:val="002B57D8"/>
    <w:rsid w:val="002C1711"/>
    <w:rsid w:val="002C1E85"/>
    <w:rsid w:val="002C7E31"/>
    <w:rsid w:val="002D51ED"/>
    <w:rsid w:val="002F6957"/>
    <w:rsid w:val="00303DAB"/>
    <w:rsid w:val="00305555"/>
    <w:rsid w:val="00305D44"/>
    <w:rsid w:val="00314006"/>
    <w:rsid w:val="003418C1"/>
    <w:rsid w:val="0034488A"/>
    <w:rsid w:val="00344A6A"/>
    <w:rsid w:val="003500A8"/>
    <w:rsid w:val="00366190"/>
    <w:rsid w:val="00367E56"/>
    <w:rsid w:val="00375E1E"/>
    <w:rsid w:val="003827FE"/>
    <w:rsid w:val="003876CB"/>
    <w:rsid w:val="003A1B7E"/>
    <w:rsid w:val="003B34A1"/>
    <w:rsid w:val="003C45DA"/>
    <w:rsid w:val="003C65C7"/>
    <w:rsid w:val="003D2BAF"/>
    <w:rsid w:val="003D3C11"/>
    <w:rsid w:val="003E1D8A"/>
    <w:rsid w:val="003F3E4D"/>
    <w:rsid w:val="003F4360"/>
    <w:rsid w:val="00406C9C"/>
    <w:rsid w:val="00407814"/>
    <w:rsid w:val="00410862"/>
    <w:rsid w:val="00412222"/>
    <w:rsid w:val="00437001"/>
    <w:rsid w:val="004541C7"/>
    <w:rsid w:val="00461112"/>
    <w:rsid w:val="00492960"/>
    <w:rsid w:val="00493894"/>
    <w:rsid w:val="004B0490"/>
    <w:rsid w:val="004C56F2"/>
    <w:rsid w:val="004D67A6"/>
    <w:rsid w:val="004F2E6C"/>
    <w:rsid w:val="004F356A"/>
    <w:rsid w:val="004F39FD"/>
    <w:rsid w:val="004F3DFA"/>
    <w:rsid w:val="00516D6D"/>
    <w:rsid w:val="00522B61"/>
    <w:rsid w:val="00533E7A"/>
    <w:rsid w:val="00567BA6"/>
    <w:rsid w:val="00590B1E"/>
    <w:rsid w:val="005B0995"/>
    <w:rsid w:val="005B49CA"/>
    <w:rsid w:val="005D2A98"/>
    <w:rsid w:val="005E2969"/>
    <w:rsid w:val="005E6AA9"/>
    <w:rsid w:val="005F2E61"/>
    <w:rsid w:val="0060400B"/>
    <w:rsid w:val="00612F46"/>
    <w:rsid w:val="0061790B"/>
    <w:rsid w:val="006278A4"/>
    <w:rsid w:val="0063041B"/>
    <w:rsid w:val="00642066"/>
    <w:rsid w:val="00652F9D"/>
    <w:rsid w:val="006568BC"/>
    <w:rsid w:val="006572EB"/>
    <w:rsid w:val="00663429"/>
    <w:rsid w:val="00674A83"/>
    <w:rsid w:val="006871D8"/>
    <w:rsid w:val="006A3732"/>
    <w:rsid w:val="006C5BAC"/>
    <w:rsid w:val="006D5F49"/>
    <w:rsid w:val="006E4BF7"/>
    <w:rsid w:val="006F247F"/>
    <w:rsid w:val="006F54C9"/>
    <w:rsid w:val="00706583"/>
    <w:rsid w:val="00710990"/>
    <w:rsid w:val="007171BB"/>
    <w:rsid w:val="007304B0"/>
    <w:rsid w:val="00731948"/>
    <w:rsid w:val="00732B7D"/>
    <w:rsid w:val="00733560"/>
    <w:rsid w:val="00750A9D"/>
    <w:rsid w:val="0076025C"/>
    <w:rsid w:val="007618B6"/>
    <w:rsid w:val="0077186D"/>
    <w:rsid w:val="00774731"/>
    <w:rsid w:val="007805AF"/>
    <w:rsid w:val="00781AD0"/>
    <w:rsid w:val="00784456"/>
    <w:rsid w:val="00784FE3"/>
    <w:rsid w:val="00793E08"/>
    <w:rsid w:val="00795EA3"/>
    <w:rsid w:val="00795F64"/>
    <w:rsid w:val="007A4E30"/>
    <w:rsid w:val="007B112C"/>
    <w:rsid w:val="007B37FC"/>
    <w:rsid w:val="007C3FCB"/>
    <w:rsid w:val="007C6408"/>
    <w:rsid w:val="007D3FB8"/>
    <w:rsid w:val="007E021F"/>
    <w:rsid w:val="00812159"/>
    <w:rsid w:val="00825FD9"/>
    <w:rsid w:val="00851B6A"/>
    <w:rsid w:val="008556C0"/>
    <w:rsid w:val="00860AC1"/>
    <w:rsid w:val="00866C3B"/>
    <w:rsid w:val="008749DC"/>
    <w:rsid w:val="008A2F1D"/>
    <w:rsid w:val="008A3907"/>
    <w:rsid w:val="008A661D"/>
    <w:rsid w:val="008B10FB"/>
    <w:rsid w:val="008B166D"/>
    <w:rsid w:val="008F67A5"/>
    <w:rsid w:val="00903394"/>
    <w:rsid w:val="00914BBA"/>
    <w:rsid w:val="009220B0"/>
    <w:rsid w:val="00926644"/>
    <w:rsid w:val="00931892"/>
    <w:rsid w:val="0093376B"/>
    <w:rsid w:val="00947171"/>
    <w:rsid w:val="0095457D"/>
    <w:rsid w:val="00961BE7"/>
    <w:rsid w:val="00966929"/>
    <w:rsid w:val="009A45F0"/>
    <w:rsid w:val="009A5939"/>
    <w:rsid w:val="009F07D8"/>
    <w:rsid w:val="009F19C0"/>
    <w:rsid w:val="00A16B9A"/>
    <w:rsid w:val="00A27C04"/>
    <w:rsid w:val="00A335A6"/>
    <w:rsid w:val="00A51328"/>
    <w:rsid w:val="00A55D80"/>
    <w:rsid w:val="00A56552"/>
    <w:rsid w:val="00A65E70"/>
    <w:rsid w:val="00A71911"/>
    <w:rsid w:val="00A74B43"/>
    <w:rsid w:val="00A86073"/>
    <w:rsid w:val="00A90AFF"/>
    <w:rsid w:val="00AA5D7B"/>
    <w:rsid w:val="00AB3C28"/>
    <w:rsid w:val="00AC4D60"/>
    <w:rsid w:val="00AD3661"/>
    <w:rsid w:val="00AE506F"/>
    <w:rsid w:val="00B00B0F"/>
    <w:rsid w:val="00B069B1"/>
    <w:rsid w:val="00B10BA7"/>
    <w:rsid w:val="00B13D24"/>
    <w:rsid w:val="00B1684B"/>
    <w:rsid w:val="00B3345E"/>
    <w:rsid w:val="00B45F8F"/>
    <w:rsid w:val="00B64F25"/>
    <w:rsid w:val="00B657D9"/>
    <w:rsid w:val="00B80C41"/>
    <w:rsid w:val="00BC1356"/>
    <w:rsid w:val="00BC4EC7"/>
    <w:rsid w:val="00BC5701"/>
    <w:rsid w:val="00BC5B6C"/>
    <w:rsid w:val="00C042CF"/>
    <w:rsid w:val="00C2029E"/>
    <w:rsid w:val="00C25BCB"/>
    <w:rsid w:val="00C46EC3"/>
    <w:rsid w:val="00C60CE1"/>
    <w:rsid w:val="00C628BD"/>
    <w:rsid w:val="00C80725"/>
    <w:rsid w:val="00C87652"/>
    <w:rsid w:val="00C928D1"/>
    <w:rsid w:val="00C94344"/>
    <w:rsid w:val="00C94496"/>
    <w:rsid w:val="00C97912"/>
    <w:rsid w:val="00CA010B"/>
    <w:rsid w:val="00CA6EC8"/>
    <w:rsid w:val="00CB1DF4"/>
    <w:rsid w:val="00CC2671"/>
    <w:rsid w:val="00CC6A9C"/>
    <w:rsid w:val="00CD3349"/>
    <w:rsid w:val="00CE0E93"/>
    <w:rsid w:val="00CE3B9E"/>
    <w:rsid w:val="00CE6578"/>
    <w:rsid w:val="00D07083"/>
    <w:rsid w:val="00D21038"/>
    <w:rsid w:val="00D22823"/>
    <w:rsid w:val="00D23867"/>
    <w:rsid w:val="00D46C84"/>
    <w:rsid w:val="00D540E3"/>
    <w:rsid w:val="00D65268"/>
    <w:rsid w:val="00D6784B"/>
    <w:rsid w:val="00D70C83"/>
    <w:rsid w:val="00D93F75"/>
    <w:rsid w:val="00DA4C66"/>
    <w:rsid w:val="00DB1D25"/>
    <w:rsid w:val="00DC2A94"/>
    <w:rsid w:val="00DC444F"/>
    <w:rsid w:val="00DC4C23"/>
    <w:rsid w:val="00DF7990"/>
    <w:rsid w:val="00E01CA7"/>
    <w:rsid w:val="00E0728A"/>
    <w:rsid w:val="00E109C2"/>
    <w:rsid w:val="00E15A24"/>
    <w:rsid w:val="00E35C90"/>
    <w:rsid w:val="00E61A32"/>
    <w:rsid w:val="00E63265"/>
    <w:rsid w:val="00E82619"/>
    <w:rsid w:val="00EA7A23"/>
    <w:rsid w:val="00EB015C"/>
    <w:rsid w:val="00EB7E41"/>
    <w:rsid w:val="00ED0D75"/>
    <w:rsid w:val="00ED26F5"/>
    <w:rsid w:val="00ED3157"/>
    <w:rsid w:val="00ED4C11"/>
    <w:rsid w:val="00EE4317"/>
    <w:rsid w:val="00F06D10"/>
    <w:rsid w:val="00F10976"/>
    <w:rsid w:val="00F23A99"/>
    <w:rsid w:val="00F26A97"/>
    <w:rsid w:val="00F42B44"/>
    <w:rsid w:val="00F53C54"/>
    <w:rsid w:val="00F60697"/>
    <w:rsid w:val="00F6622E"/>
    <w:rsid w:val="00F71C52"/>
    <w:rsid w:val="00F7425A"/>
    <w:rsid w:val="00F8723E"/>
    <w:rsid w:val="00F9296F"/>
    <w:rsid w:val="00F96579"/>
    <w:rsid w:val="00F96B78"/>
    <w:rsid w:val="00F97285"/>
    <w:rsid w:val="00FA5A92"/>
    <w:rsid w:val="00FA72CB"/>
    <w:rsid w:val="00FB03EA"/>
    <w:rsid w:val="00FC2F36"/>
    <w:rsid w:val="00FD2928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335"/>
  <w15:chartTrackingRefBased/>
  <w15:docId w15:val="{75570D9E-06A1-4125-A0D2-A9EA1F6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749DC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F43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B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6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B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71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B6C"/>
  </w:style>
  <w:style w:type="paragraph" w:styleId="Footer">
    <w:name w:val="footer"/>
    <w:basedOn w:val="Normal"/>
    <w:link w:val="FooterChar"/>
    <w:uiPriority w:val="99"/>
    <w:unhideWhenUsed/>
    <w:rsid w:val="00BC5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N. Lasmane (ESFRD)</Vad_x012b_t_x0101_js>
    <TAP xmlns="49b0bb89-35b3-4114-9b1c-a376ef2ba045">108</TAP>
    <Kategorija xmlns="2e5bb04e-596e-45bd-9003-43ca78b1ba16">Likumprojekts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E0922-A990-409F-BAB2-F79983C1C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E2B28-632F-4D80-B828-BB4F893DAD7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00D5B282-2B68-4331-A97E-6C0640918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"Eiropas Biroja krāpšanas apkarošanai atbalsta likums"</vt:lpstr>
      <vt:lpstr/>
    </vt:vector>
  </TitlesOfParts>
  <Manager>nata.lasmane@fm.gov.lv</Manager>
  <Company>Finanšu Ministrija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"Eiropas Biroja krāpšanas apkarošanai atbalsta likums"</dc:title>
  <dc:subject>Likumprojekts</dc:subject>
  <dc:creator>I. Dolgais (ESFRD)</dc:creator>
  <cp:keywords/>
  <dc:description>67083821, inese.dolgais@fm.gov.lv</dc:description>
  <cp:lastModifiedBy>Jekaterina Borovika</cp:lastModifiedBy>
  <cp:revision>2</cp:revision>
  <cp:lastPrinted>2019-07-26T07:31:00Z</cp:lastPrinted>
  <dcterms:created xsi:type="dcterms:W3CDTF">2019-09-10T10:07:00Z</dcterms:created>
  <dcterms:modified xsi:type="dcterms:W3CDTF">2019-09-10T10:07:00Z</dcterms:modified>
  <cp:category>Likumprojekts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