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A272" w14:textId="7C8E717F" w:rsidR="00E5323B" w:rsidRDefault="009F468A" w:rsidP="00603424">
      <w:pPr>
        <w:shd w:val="clear" w:color="auto" w:fill="FFFFFF"/>
        <w:spacing w:after="0" w:line="240" w:lineRule="auto"/>
        <w:jc w:val="center"/>
        <w:rPr>
          <w:rFonts w:ascii="Times New Roman" w:hAnsi="Times New Roman" w:cs="Times New Roman"/>
          <w:b/>
          <w:color w:val="000000" w:themeColor="text1"/>
          <w:sz w:val="26"/>
          <w:szCs w:val="26"/>
        </w:rPr>
      </w:pPr>
      <w:r w:rsidRPr="009F468A">
        <w:rPr>
          <w:rFonts w:ascii="Times New Roman" w:hAnsi="Times New Roman" w:cs="Times New Roman"/>
          <w:b/>
          <w:color w:val="000000"/>
          <w:sz w:val="26"/>
          <w:szCs w:val="26"/>
        </w:rPr>
        <w:t>Ministru kabineta noteikumu projekt</w:t>
      </w:r>
      <w:r w:rsidR="006219E4">
        <w:rPr>
          <w:rFonts w:ascii="Times New Roman" w:hAnsi="Times New Roman" w:cs="Times New Roman"/>
          <w:b/>
          <w:color w:val="000000"/>
          <w:sz w:val="26"/>
          <w:szCs w:val="26"/>
        </w:rPr>
        <w:t>a</w:t>
      </w:r>
      <w:r w:rsidRPr="009F468A">
        <w:rPr>
          <w:rFonts w:ascii="Times New Roman" w:hAnsi="Times New Roman" w:cs="Times New Roman"/>
          <w:b/>
          <w:color w:val="000000"/>
          <w:sz w:val="26"/>
          <w:szCs w:val="26"/>
        </w:rPr>
        <w:t xml:space="preserve"> </w:t>
      </w:r>
      <w:bookmarkStart w:id="0" w:name="_Hlk13664824"/>
      <w:r w:rsidR="0036462E">
        <w:rPr>
          <w:rFonts w:ascii="Times New Roman" w:hAnsi="Times New Roman" w:cs="Times New Roman"/>
          <w:b/>
          <w:color w:val="000000"/>
          <w:sz w:val="26"/>
          <w:szCs w:val="26"/>
        </w:rPr>
        <w:t>„</w:t>
      </w:r>
      <w:r w:rsidR="0036462E" w:rsidRPr="0036462E">
        <w:rPr>
          <w:rFonts w:ascii="Times New Roman" w:hAnsi="Times New Roman" w:cs="Times New Roman"/>
          <w:b/>
          <w:color w:val="000000" w:themeColor="text1"/>
          <w:sz w:val="26"/>
          <w:szCs w:val="26"/>
        </w:rPr>
        <w:t>Noteikumi par kārtību, kādā sniedzami ziņojumi par aizdomīgiem darījumiem</w:t>
      </w:r>
      <w:r w:rsidR="00B217C5" w:rsidRPr="0036462E">
        <w:rPr>
          <w:rFonts w:ascii="Times New Roman" w:hAnsi="Times New Roman" w:cs="Times New Roman"/>
          <w:b/>
          <w:color w:val="000000" w:themeColor="text1"/>
          <w:sz w:val="26"/>
          <w:szCs w:val="26"/>
        </w:rPr>
        <w:t xml:space="preserve">” </w:t>
      </w:r>
      <w:bookmarkEnd w:id="0"/>
      <w:r w:rsidRPr="0036462E">
        <w:rPr>
          <w:rFonts w:ascii="Times New Roman" w:hAnsi="Times New Roman" w:cs="Times New Roman"/>
          <w:b/>
          <w:color w:val="000000" w:themeColor="text1"/>
          <w:sz w:val="26"/>
          <w:szCs w:val="26"/>
        </w:rPr>
        <w:t>sākotnējās ietekmes novērtējuma ziņojums (anotācija)</w:t>
      </w:r>
    </w:p>
    <w:p w14:paraId="7FA50021" w14:textId="7309376A" w:rsidR="00603424" w:rsidRPr="00603424" w:rsidRDefault="00603424" w:rsidP="00603424">
      <w:pPr>
        <w:shd w:val="clear" w:color="auto" w:fill="FFFFFF"/>
        <w:spacing w:after="0" w:line="240" w:lineRule="auto"/>
        <w:rPr>
          <w:rFonts w:ascii="Times New Roman" w:hAnsi="Times New Roman" w:cs="Times New Roman"/>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C6D96" w:rsidRPr="002C6D96" w14:paraId="55E7F1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6CB852"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rsidR="002C6D96" w:rsidRPr="002C6D96" w14:paraId="74BFA25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9129F"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2335CE" w14:textId="77777777" w:rsidR="009F0C6E" w:rsidRDefault="009F468A" w:rsidP="00A20BBA">
            <w:pPr>
              <w:pStyle w:val="tv213"/>
              <w:shd w:val="clear" w:color="auto" w:fill="FFFFFF"/>
              <w:spacing w:before="0" w:beforeAutospacing="0" w:after="0" w:afterAutospacing="0" w:line="293" w:lineRule="atLeast"/>
              <w:jc w:val="both"/>
              <w:rPr>
                <w:iCs/>
              </w:rPr>
            </w:pPr>
            <w:r>
              <w:rPr>
                <w:iCs/>
              </w:rPr>
              <w:t xml:space="preserve">Ministru </w:t>
            </w:r>
            <w:r w:rsidRPr="00095EC3">
              <w:rPr>
                <w:iCs/>
              </w:rPr>
              <w:t>kabineta noteikumu projekt</w:t>
            </w:r>
            <w:r w:rsidR="00D404A5" w:rsidRPr="00095EC3">
              <w:rPr>
                <w:iCs/>
              </w:rPr>
              <w:t>s</w:t>
            </w:r>
            <w:r w:rsidRPr="00095EC3">
              <w:rPr>
                <w:iCs/>
              </w:rPr>
              <w:t xml:space="preserve"> </w:t>
            </w:r>
            <w:r w:rsidR="00D404A5" w:rsidRPr="00095EC3">
              <w:rPr>
                <w:iCs/>
              </w:rPr>
              <w:t>„</w:t>
            </w:r>
            <w:r w:rsidR="0036462E" w:rsidRPr="00932E1D">
              <w:rPr>
                <w:iCs/>
              </w:rPr>
              <w:t xml:space="preserve"> Noteikumi par kārtību, kādā sniedzami ziņojumi par aizdomīgiem darījumiem</w:t>
            </w:r>
            <w:r w:rsidR="00D404A5" w:rsidRPr="00095EC3">
              <w:rPr>
                <w:iCs/>
              </w:rPr>
              <w:t>”</w:t>
            </w:r>
            <w:r w:rsidR="006219E4" w:rsidRPr="00095EC3">
              <w:rPr>
                <w:iCs/>
              </w:rPr>
              <w:t xml:space="preserve"> (turpmāk</w:t>
            </w:r>
            <w:r w:rsidR="006219E4">
              <w:rPr>
                <w:iCs/>
              </w:rPr>
              <w:t xml:space="preserve"> – Noteikumu projekts)</w:t>
            </w:r>
            <w:r w:rsidR="00D404A5" w:rsidRPr="00D404A5">
              <w:rPr>
                <w:iCs/>
              </w:rPr>
              <w:t xml:space="preserve"> ir </w:t>
            </w:r>
            <w:r w:rsidR="005C0A50" w:rsidRPr="00D404A5">
              <w:rPr>
                <w:iCs/>
              </w:rPr>
              <w:t>izstrādāt</w:t>
            </w:r>
            <w:r w:rsidR="005C0A50">
              <w:rPr>
                <w:iCs/>
              </w:rPr>
              <w:t>s</w:t>
            </w:r>
            <w:r w:rsidR="00D404A5" w:rsidRPr="00D404A5">
              <w:rPr>
                <w:iCs/>
              </w:rPr>
              <w:t>, pamatojoties uz Noziedzīgi iegūtu līdzekļu legalizācijas un terorisma un proliferācijas finansēšanas novēršanas likuma</w:t>
            </w:r>
            <w:r w:rsidR="00A20BBA">
              <w:rPr>
                <w:iCs/>
              </w:rPr>
              <w:t xml:space="preserve"> </w:t>
            </w:r>
            <w:r w:rsidR="00A20BBA" w:rsidRPr="00A20BBA">
              <w:rPr>
                <w:iCs/>
              </w:rPr>
              <w:t xml:space="preserve">(turpmāk – Likums) </w:t>
            </w:r>
            <w:r w:rsidR="003833BE" w:rsidRPr="003833BE">
              <w:rPr>
                <w:iCs/>
              </w:rPr>
              <w:t>31. pant</w:t>
            </w:r>
            <w:r w:rsidR="00095EC3">
              <w:rPr>
                <w:iCs/>
              </w:rPr>
              <w:t>a otro daļu, kas</w:t>
            </w:r>
            <w:r w:rsidR="003833BE" w:rsidRPr="003833BE">
              <w:rPr>
                <w:iCs/>
              </w:rPr>
              <w:t xml:space="preserve"> paredz </w:t>
            </w:r>
            <w:r w:rsidR="00932E1D">
              <w:rPr>
                <w:iCs/>
              </w:rPr>
              <w:t>M</w:t>
            </w:r>
            <w:r w:rsidR="003833BE" w:rsidRPr="003833BE">
              <w:rPr>
                <w:iCs/>
              </w:rPr>
              <w:t xml:space="preserve">inistru kabinetam deleģējumu </w:t>
            </w:r>
            <w:r w:rsidR="00095EC3" w:rsidRPr="00095EC3">
              <w:rPr>
                <w:iCs/>
              </w:rPr>
              <w:t>noteikt kārtību, kādā sniedzami ziņojumi par aizdomīgiem darījumiem, kā arī apstiprināt ziņojuma veidlapu.</w:t>
            </w:r>
          </w:p>
          <w:p w14:paraId="48BC240B" w14:textId="73ED7CCD" w:rsidR="00076143" w:rsidRPr="002C6D96" w:rsidRDefault="00076143" w:rsidP="00076143">
            <w:pPr>
              <w:pStyle w:val="tv213"/>
              <w:shd w:val="clear" w:color="auto" w:fill="FFFFFF"/>
              <w:spacing w:before="0" w:beforeAutospacing="0" w:after="0" w:afterAutospacing="0" w:line="293" w:lineRule="atLeast"/>
              <w:jc w:val="both"/>
              <w:rPr>
                <w:iCs/>
              </w:rPr>
            </w:pPr>
            <w:r>
              <w:rPr>
                <w:iCs/>
              </w:rPr>
              <w:t>Noteikumu projekts stājas spēkā 2019.</w:t>
            </w:r>
            <w:r w:rsidRPr="00076143">
              <w:rPr>
                <w:iCs/>
              </w:rPr>
              <w:t>gada 17.decembrī.</w:t>
            </w:r>
          </w:p>
        </w:tc>
      </w:tr>
    </w:tbl>
    <w:p w14:paraId="76C4F152"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2AA116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6ADCAF"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 Tiesību akta projekta izstrādes nepieciešamība</w:t>
            </w:r>
          </w:p>
        </w:tc>
      </w:tr>
      <w:tr w:rsidR="002C6D96" w:rsidRPr="002C6D96" w14:paraId="29149615"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DD2FF2" w14:textId="484F3E62" w:rsidR="00163F4F"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p w14:paraId="30743B48" w14:textId="77777777" w:rsidR="00163F4F" w:rsidRPr="00163F4F" w:rsidRDefault="00163F4F" w:rsidP="00163F4F">
            <w:pPr>
              <w:rPr>
                <w:rFonts w:ascii="Times New Roman" w:eastAsia="Times New Roman" w:hAnsi="Times New Roman" w:cs="Times New Roman"/>
                <w:sz w:val="24"/>
                <w:szCs w:val="24"/>
                <w:lang w:eastAsia="lv-LV"/>
              </w:rPr>
            </w:pPr>
          </w:p>
          <w:p w14:paraId="505A4585" w14:textId="77777777" w:rsidR="00163F4F" w:rsidRPr="00163F4F" w:rsidRDefault="00163F4F" w:rsidP="00163F4F">
            <w:pPr>
              <w:rPr>
                <w:rFonts w:ascii="Times New Roman" w:eastAsia="Times New Roman" w:hAnsi="Times New Roman" w:cs="Times New Roman"/>
                <w:sz w:val="24"/>
                <w:szCs w:val="24"/>
                <w:lang w:eastAsia="lv-LV"/>
              </w:rPr>
            </w:pPr>
          </w:p>
          <w:p w14:paraId="0D8A8208" w14:textId="77777777" w:rsidR="00163F4F" w:rsidRPr="00163F4F" w:rsidRDefault="00163F4F" w:rsidP="00163F4F">
            <w:pPr>
              <w:rPr>
                <w:rFonts w:ascii="Times New Roman" w:eastAsia="Times New Roman" w:hAnsi="Times New Roman" w:cs="Times New Roman"/>
                <w:sz w:val="24"/>
                <w:szCs w:val="24"/>
                <w:lang w:eastAsia="lv-LV"/>
              </w:rPr>
            </w:pPr>
          </w:p>
          <w:p w14:paraId="5FB2F088" w14:textId="77777777" w:rsidR="00163F4F" w:rsidRPr="00163F4F" w:rsidRDefault="00163F4F" w:rsidP="00163F4F">
            <w:pPr>
              <w:rPr>
                <w:rFonts w:ascii="Times New Roman" w:eastAsia="Times New Roman" w:hAnsi="Times New Roman" w:cs="Times New Roman"/>
                <w:sz w:val="24"/>
                <w:szCs w:val="24"/>
                <w:lang w:eastAsia="lv-LV"/>
              </w:rPr>
            </w:pPr>
          </w:p>
          <w:p w14:paraId="376A7597" w14:textId="77777777" w:rsidR="00163F4F" w:rsidRPr="00163F4F" w:rsidRDefault="00163F4F" w:rsidP="00163F4F">
            <w:pPr>
              <w:rPr>
                <w:rFonts w:ascii="Times New Roman" w:eastAsia="Times New Roman" w:hAnsi="Times New Roman" w:cs="Times New Roman"/>
                <w:sz w:val="24"/>
                <w:szCs w:val="24"/>
                <w:lang w:eastAsia="lv-LV"/>
              </w:rPr>
            </w:pPr>
          </w:p>
          <w:p w14:paraId="1E0FD084" w14:textId="77777777" w:rsidR="00163F4F" w:rsidRPr="00163F4F" w:rsidRDefault="00163F4F" w:rsidP="00163F4F">
            <w:pPr>
              <w:rPr>
                <w:rFonts w:ascii="Times New Roman" w:eastAsia="Times New Roman" w:hAnsi="Times New Roman" w:cs="Times New Roman"/>
                <w:sz w:val="24"/>
                <w:szCs w:val="24"/>
                <w:lang w:eastAsia="lv-LV"/>
              </w:rPr>
            </w:pPr>
          </w:p>
          <w:p w14:paraId="4056FEED" w14:textId="77777777" w:rsidR="00163F4F" w:rsidRPr="00163F4F" w:rsidRDefault="00163F4F" w:rsidP="00163F4F">
            <w:pPr>
              <w:rPr>
                <w:rFonts w:ascii="Times New Roman" w:eastAsia="Times New Roman" w:hAnsi="Times New Roman" w:cs="Times New Roman"/>
                <w:sz w:val="24"/>
                <w:szCs w:val="24"/>
                <w:lang w:eastAsia="lv-LV"/>
              </w:rPr>
            </w:pPr>
          </w:p>
          <w:p w14:paraId="67199A3D" w14:textId="77777777" w:rsidR="00163F4F" w:rsidRPr="00163F4F" w:rsidRDefault="00163F4F" w:rsidP="00163F4F">
            <w:pPr>
              <w:rPr>
                <w:rFonts w:ascii="Times New Roman" w:eastAsia="Times New Roman" w:hAnsi="Times New Roman" w:cs="Times New Roman"/>
                <w:sz w:val="24"/>
                <w:szCs w:val="24"/>
                <w:lang w:eastAsia="lv-LV"/>
              </w:rPr>
            </w:pPr>
          </w:p>
          <w:p w14:paraId="7ABA05EC" w14:textId="77777777" w:rsidR="00163F4F" w:rsidRPr="00163F4F" w:rsidRDefault="00163F4F" w:rsidP="00163F4F">
            <w:pPr>
              <w:rPr>
                <w:rFonts w:ascii="Times New Roman" w:eastAsia="Times New Roman" w:hAnsi="Times New Roman" w:cs="Times New Roman"/>
                <w:sz w:val="24"/>
                <w:szCs w:val="24"/>
                <w:lang w:eastAsia="lv-LV"/>
              </w:rPr>
            </w:pPr>
          </w:p>
          <w:p w14:paraId="12A0A95B" w14:textId="77777777" w:rsidR="00163F4F" w:rsidRPr="00163F4F" w:rsidRDefault="00163F4F" w:rsidP="00163F4F">
            <w:pPr>
              <w:rPr>
                <w:rFonts w:ascii="Times New Roman" w:eastAsia="Times New Roman" w:hAnsi="Times New Roman" w:cs="Times New Roman"/>
                <w:sz w:val="24"/>
                <w:szCs w:val="24"/>
                <w:lang w:eastAsia="lv-LV"/>
              </w:rPr>
            </w:pPr>
          </w:p>
          <w:p w14:paraId="32B34DAC" w14:textId="77777777" w:rsidR="00163F4F" w:rsidRPr="00163F4F" w:rsidRDefault="00163F4F" w:rsidP="00163F4F">
            <w:pPr>
              <w:rPr>
                <w:rFonts w:ascii="Times New Roman" w:eastAsia="Times New Roman" w:hAnsi="Times New Roman" w:cs="Times New Roman"/>
                <w:sz w:val="24"/>
                <w:szCs w:val="24"/>
                <w:lang w:eastAsia="lv-LV"/>
              </w:rPr>
            </w:pPr>
          </w:p>
          <w:p w14:paraId="5414C73F" w14:textId="77777777" w:rsidR="00163F4F" w:rsidRPr="00163F4F" w:rsidRDefault="00163F4F" w:rsidP="00163F4F">
            <w:pPr>
              <w:rPr>
                <w:rFonts w:ascii="Times New Roman" w:eastAsia="Times New Roman" w:hAnsi="Times New Roman" w:cs="Times New Roman"/>
                <w:sz w:val="24"/>
                <w:szCs w:val="24"/>
                <w:lang w:eastAsia="lv-LV"/>
              </w:rPr>
            </w:pPr>
          </w:p>
          <w:p w14:paraId="19194879" w14:textId="77777777" w:rsidR="00163F4F" w:rsidRPr="00163F4F" w:rsidRDefault="00163F4F" w:rsidP="00163F4F">
            <w:pPr>
              <w:rPr>
                <w:rFonts w:ascii="Times New Roman" w:eastAsia="Times New Roman" w:hAnsi="Times New Roman" w:cs="Times New Roman"/>
                <w:sz w:val="24"/>
                <w:szCs w:val="24"/>
                <w:lang w:eastAsia="lv-LV"/>
              </w:rPr>
            </w:pPr>
          </w:p>
          <w:p w14:paraId="219CA9BB" w14:textId="77777777" w:rsidR="00163F4F" w:rsidRPr="00163F4F" w:rsidRDefault="00163F4F" w:rsidP="00163F4F">
            <w:pPr>
              <w:rPr>
                <w:rFonts w:ascii="Times New Roman" w:eastAsia="Times New Roman" w:hAnsi="Times New Roman" w:cs="Times New Roman"/>
                <w:sz w:val="24"/>
                <w:szCs w:val="24"/>
                <w:lang w:eastAsia="lv-LV"/>
              </w:rPr>
            </w:pPr>
          </w:p>
          <w:p w14:paraId="280C74DA" w14:textId="77777777" w:rsidR="00163F4F" w:rsidRPr="00163F4F" w:rsidRDefault="00163F4F" w:rsidP="00163F4F">
            <w:pPr>
              <w:rPr>
                <w:rFonts w:ascii="Times New Roman" w:eastAsia="Times New Roman" w:hAnsi="Times New Roman" w:cs="Times New Roman"/>
                <w:sz w:val="24"/>
                <w:szCs w:val="24"/>
                <w:lang w:eastAsia="lv-LV"/>
              </w:rPr>
            </w:pPr>
          </w:p>
          <w:p w14:paraId="6AE05A07" w14:textId="77777777" w:rsidR="00163F4F" w:rsidRPr="00163F4F" w:rsidRDefault="00163F4F" w:rsidP="00163F4F">
            <w:pPr>
              <w:rPr>
                <w:rFonts w:ascii="Times New Roman" w:eastAsia="Times New Roman" w:hAnsi="Times New Roman" w:cs="Times New Roman"/>
                <w:sz w:val="24"/>
                <w:szCs w:val="24"/>
                <w:lang w:eastAsia="lv-LV"/>
              </w:rPr>
            </w:pPr>
          </w:p>
          <w:p w14:paraId="34012C93" w14:textId="77777777" w:rsidR="00163F4F" w:rsidRPr="00163F4F" w:rsidRDefault="00163F4F" w:rsidP="00163F4F">
            <w:pPr>
              <w:rPr>
                <w:rFonts w:ascii="Times New Roman" w:eastAsia="Times New Roman" w:hAnsi="Times New Roman" w:cs="Times New Roman"/>
                <w:sz w:val="24"/>
                <w:szCs w:val="24"/>
                <w:lang w:eastAsia="lv-LV"/>
              </w:rPr>
            </w:pPr>
          </w:p>
          <w:p w14:paraId="2A41C8B0" w14:textId="77777777" w:rsidR="00163F4F" w:rsidRPr="00163F4F" w:rsidRDefault="00163F4F" w:rsidP="00163F4F">
            <w:pPr>
              <w:rPr>
                <w:rFonts w:ascii="Times New Roman" w:eastAsia="Times New Roman" w:hAnsi="Times New Roman" w:cs="Times New Roman"/>
                <w:sz w:val="24"/>
                <w:szCs w:val="24"/>
                <w:lang w:eastAsia="lv-LV"/>
              </w:rPr>
            </w:pPr>
          </w:p>
          <w:p w14:paraId="231922D9" w14:textId="2C17DB38" w:rsidR="00655F2C" w:rsidRPr="00163F4F" w:rsidRDefault="00655F2C" w:rsidP="00163F4F">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6CAB4B6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Pamatojums</w:t>
            </w:r>
          </w:p>
          <w:p w14:paraId="47F56CF0" w14:textId="77777777" w:rsidR="00EB6228" w:rsidRPr="00EB6228" w:rsidRDefault="00EB6228" w:rsidP="00EB6228">
            <w:pPr>
              <w:rPr>
                <w:rFonts w:ascii="Times New Roman" w:eastAsia="Times New Roman" w:hAnsi="Times New Roman" w:cs="Times New Roman"/>
                <w:sz w:val="24"/>
                <w:szCs w:val="24"/>
                <w:lang w:eastAsia="lv-LV"/>
              </w:rPr>
            </w:pPr>
          </w:p>
          <w:p w14:paraId="7CFBE835" w14:textId="77777777" w:rsidR="00EB6228" w:rsidRPr="00EB6228" w:rsidRDefault="00EB6228" w:rsidP="00EB6228">
            <w:pPr>
              <w:rPr>
                <w:rFonts w:ascii="Times New Roman" w:eastAsia="Times New Roman" w:hAnsi="Times New Roman" w:cs="Times New Roman"/>
                <w:sz w:val="24"/>
                <w:szCs w:val="24"/>
                <w:lang w:eastAsia="lv-LV"/>
              </w:rPr>
            </w:pPr>
          </w:p>
          <w:p w14:paraId="438AF87D" w14:textId="77777777" w:rsidR="00EB6228" w:rsidRPr="00EB6228" w:rsidRDefault="00EB6228" w:rsidP="00EB6228">
            <w:pPr>
              <w:rPr>
                <w:rFonts w:ascii="Times New Roman" w:eastAsia="Times New Roman" w:hAnsi="Times New Roman" w:cs="Times New Roman"/>
                <w:sz w:val="24"/>
                <w:szCs w:val="24"/>
                <w:lang w:eastAsia="lv-LV"/>
              </w:rPr>
            </w:pPr>
          </w:p>
          <w:p w14:paraId="50665076" w14:textId="77777777" w:rsidR="00EB6228" w:rsidRPr="00EB6228" w:rsidRDefault="00EB6228" w:rsidP="00EB6228">
            <w:pPr>
              <w:rPr>
                <w:rFonts w:ascii="Times New Roman" w:eastAsia="Times New Roman" w:hAnsi="Times New Roman" w:cs="Times New Roman"/>
                <w:sz w:val="24"/>
                <w:szCs w:val="24"/>
                <w:lang w:eastAsia="lv-LV"/>
              </w:rPr>
            </w:pPr>
          </w:p>
          <w:p w14:paraId="599FE939" w14:textId="77777777" w:rsidR="00EB6228" w:rsidRPr="00EB6228" w:rsidRDefault="00EB6228" w:rsidP="00EB6228">
            <w:pPr>
              <w:rPr>
                <w:rFonts w:ascii="Times New Roman" w:eastAsia="Times New Roman" w:hAnsi="Times New Roman" w:cs="Times New Roman"/>
                <w:sz w:val="24"/>
                <w:szCs w:val="24"/>
                <w:lang w:eastAsia="lv-LV"/>
              </w:rPr>
            </w:pPr>
          </w:p>
          <w:p w14:paraId="64B3B002" w14:textId="77777777" w:rsidR="00EB6228" w:rsidRPr="00EB6228" w:rsidRDefault="00EB6228" w:rsidP="00EB6228">
            <w:pPr>
              <w:rPr>
                <w:rFonts w:ascii="Times New Roman" w:eastAsia="Times New Roman" w:hAnsi="Times New Roman" w:cs="Times New Roman"/>
                <w:sz w:val="24"/>
                <w:szCs w:val="24"/>
                <w:lang w:eastAsia="lv-LV"/>
              </w:rPr>
            </w:pPr>
          </w:p>
          <w:p w14:paraId="704FBF48" w14:textId="77777777" w:rsidR="00EB6228" w:rsidRPr="00EB6228" w:rsidRDefault="00EB6228" w:rsidP="00EB6228">
            <w:pPr>
              <w:rPr>
                <w:rFonts w:ascii="Times New Roman" w:eastAsia="Times New Roman" w:hAnsi="Times New Roman" w:cs="Times New Roman"/>
                <w:sz w:val="24"/>
                <w:szCs w:val="24"/>
                <w:lang w:eastAsia="lv-LV"/>
              </w:rPr>
            </w:pPr>
          </w:p>
          <w:p w14:paraId="05DA481B" w14:textId="77777777" w:rsidR="00EB6228" w:rsidRPr="00EB6228" w:rsidRDefault="00EB6228" w:rsidP="00EB6228">
            <w:pPr>
              <w:rPr>
                <w:rFonts w:ascii="Times New Roman" w:eastAsia="Times New Roman" w:hAnsi="Times New Roman" w:cs="Times New Roman"/>
                <w:sz w:val="24"/>
                <w:szCs w:val="24"/>
                <w:lang w:eastAsia="lv-LV"/>
              </w:rPr>
            </w:pPr>
          </w:p>
          <w:p w14:paraId="668730DE" w14:textId="77777777" w:rsidR="00EB6228" w:rsidRPr="00EB6228" w:rsidRDefault="00EB6228" w:rsidP="00EB6228">
            <w:pPr>
              <w:rPr>
                <w:rFonts w:ascii="Times New Roman" w:eastAsia="Times New Roman" w:hAnsi="Times New Roman" w:cs="Times New Roman"/>
                <w:sz w:val="24"/>
                <w:szCs w:val="24"/>
                <w:lang w:eastAsia="lv-LV"/>
              </w:rPr>
            </w:pPr>
          </w:p>
          <w:p w14:paraId="7492646E" w14:textId="77777777" w:rsidR="00EB6228" w:rsidRPr="00EB6228" w:rsidRDefault="00EB6228" w:rsidP="00EB6228">
            <w:pPr>
              <w:rPr>
                <w:rFonts w:ascii="Times New Roman" w:eastAsia="Times New Roman" w:hAnsi="Times New Roman" w:cs="Times New Roman"/>
                <w:sz w:val="24"/>
                <w:szCs w:val="24"/>
                <w:lang w:eastAsia="lv-LV"/>
              </w:rPr>
            </w:pPr>
          </w:p>
          <w:p w14:paraId="0943CC0C" w14:textId="77777777" w:rsidR="00EB6228" w:rsidRPr="00EB6228" w:rsidRDefault="00EB6228" w:rsidP="00EB6228">
            <w:pPr>
              <w:rPr>
                <w:rFonts w:ascii="Times New Roman" w:eastAsia="Times New Roman" w:hAnsi="Times New Roman" w:cs="Times New Roman"/>
                <w:sz w:val="24"/>
                <w:szCs w:val="24"/>
                <w:lang w:eastAsia="lv-LV"/>
              </w:rPr>
            </w:pPr>
          </w:p>
          <w:p w14:paraId="1DDA55A6" w14:textId="77777777" w:rsidR="00EB6228" w:rsidRPr="00EB6228" w:rsidRDefault="00EB6228" w:rsidP="00EB6228">
            <w:pPr>
              <w:rPr>
                <w:rFonts w:ascii="Times New Roman" w:eastAsia="Times New Roman" w:hAnsi="Times New Roman" w:cs="Times New Roman"/>
                <w:sz w:val="24"/>
                <w:szCs w:val="24"/>
                <w:lang w:eastAsia="lv-LV"/>
              </w:rPr>
            </w:pPr>
          </w:p>
          <w:p w14:paraId="1BB0A1B7" w14:textId="77777777" w:rsidR="00EB6228" w:rsidRPr="00EB6228" w:rsidRDefault="00EB6228" w:rsidP="00EB6228">
            <w:pPr>
              <w:rPr>
                <w:rFonts w:ascii="Times New Roman" w:eastAsia="Times New Roman" w:hAnsi="Times New Roman" w:cs="Times New Roman"/>
                <w:sz w:val="24"/>
                <w:szCs w:val="24"/>
                <w:lang w:eastAsia="lv-LV"/>
              </w:rPr>
            </w:pPr>
          </w:p>
          <w:p w14:paraId="307FD976" w14:textId="77777777" w:rsidR="00EB6228" w:rsidRPr="00EB6228" w:rsidRDefault="00EB6228" w:rsidP="00EB6228">
            <w:pPr>
              <w:rPr>
                <w:rFonts w:ascii="Times New Roman" w:eastAsia="Times New Roman" w:hAnsi="Times New Roman" w:cs="Times New Roman"/>
                <w:sz w:val="24"/>
                <w:szCs w:val="24"/>
                <w:lang w:eastAsia="lv-LV"/>
              </w:rPr>
            </w:pPr>
          </w:p>
          <w:p w14:paraId="5BCF1CE2" w14:textId="77777777" w:rsidR="00EB6228" w:rsidRPr="00EB6228" w:rsidRDefault="00EB6228" w:rsidP="00EB6228">
            <w:pPr>
              <w:rPr>
                <w:rFonts w:ascii="Times New Roman" w:eastAsia="Times New Roman" w:hAnsi="Times New Roman" w:cs="Times New Roman"/>
                <w:sz w:val="24"/>
                <w:szCs w:val="24"/>
                <w:lang w:eastAsia="lv-LV"/>
              </w:rPr>
            </w:pPr>
          </w:p>
          <w:p w14:paraId="4BC78448" w14:textId="77777777" w:rsidR="00EB6228" w:rsidRPr="00EB6228" w:rsidRDefault="00EB6228" w:rsidP="00EB6228">
            <w:pPr>
              <w:rPr>
                <w:rFonts w:ascii="Times New Roman" w:eastAsia="Times New Roman" w:hAnsi="Times New Roman" w:cs="Times New Roman"/>
                <w:sz w:val="24"/>
                <w:szCs w:val="24"/>
                <w:lang w:eastAsia="lv-LV"/>
              </w:rPr>
            </w:pPr>
          </w:p>
          <w:p w14:paraId="3F40AA59" w14:textId="77777777" w:rsidR="00EB6228" w:rsidRDefault="00EB6228" w:rsidP="00EB6228">
            <w:pPr>
              <w:rPr>
                <w:rFonts w:ascii="Times New Roman" w:eastAsia="Times New Roman" w:hAnsi="Times New Roman" w:cs="Times New Roman"/>
                <w:iCs/>
                <w:sz w:val="24"/>
                <w:szCs w:val="24"/>
                <w:lang w:eastAsia="lv-LV"/>
              </w:rPr>
            </w:pPr>
          </w:p>
          <w:p w14:paraId="4084F7BC" w14:textId="5A1328BF" w:rsidR="00163F4F" w:rsidRDefault="00163F4F" w:rsidP="00EB6228">
            <w:pPr>
              <w:jc w:val="center"/>
              <w:rPr>
                <w:rFonts w:ascii="Times New Roman" w:eastAsia="Times New Roman" w:hAnsi="Times New Roman" w:cs="Times New Roman"/>
                <w:sz w:val="24"/>
                <w:szCs w:val="24"/>
                <w:lang w:eastAsia="lv-LV"/>
              </w:rPr>
            </w:pPr>
          </w:p>
          <w:p w14:paraId="2C0F01E7" w14:textId="77777777" w:rsidR="00EB6228" w:rsidRPr="00163F4F" w:rsidRDefault="00EB6228" w:rsidP="00163F4F">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5A19412" w14:textId="7A526EA5" w:rsidR="0046063F" w:rsidRDefault="00016CC9"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lastRenderedPageBreak/>
              <w:t xml:space="preserve">Šobrīd </w:t>
            </w:r>
            <w:r w:rsidR="006219E4">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ikums </w:t>
            </w:r>
            <w:r w:rsidR="004E2C5A">
              <w:rPr>
                <w:rFonts w:ascii="Times New Roman" w:eastAsia="Times New Roman" w:hAnsi="Times New Roman" w:cs="Times New Roman"/>
                <w:bCs/>
                <w:color w:val="000000" w:themeColor="text1"/>
                <w:sz w:val="24"/>
                <w:szCs w:val="24"/>
                <w:shd w:val="clear" w:color="auto" w:fill="FFFFFF"/>
                <w:lang w:eastAsia="lv-LV"/>
              </w:rPr>
              <w:t>un M</w:t>
            </w:r>
            <w:r w:rsidR="004E2C5A" w:rsidRPr="00E97131">
              <w:rPr>
                <w:rFonts w:ascii="Times New Roman" w:eastAsia="Times New Roman" w:hAnsi="Times New Roman" w:cs="Times New Roman"/>
                <w:iCs/>
                <w:color w:val="000000" w:themeColor="text1"/>
                <w:sz w:val="24"/>
                <w:szCs w:val="24"/>
                <w:lang w:eastAsia="lv-LV"/>
              </w:rPr>
              <w:t>inistru kabineta 2019.gada 2.jūlija noteikumi Nr. 281 „</w:t>
            </w:r>
            <w:r w:rsidR="004E2C5A" w:rsidRPr="00B217C5">
              <w:rPr>
                <w:rFonts w:ascii="Times New Roman" w:eastAsia="Times New Roman" w:hAnsi="Times New Roman" w:cs="Times New Roman"/>
                <w:iCs/>
                <w:color w:val="000000" w:themeColor="text1"/>
                <w:sz w:val="24"/>
                <w:szCs w:val="24"/>
                <w:lang w:eastAsia="lv-LV"/>
              </w:rPr>
              <w:t>Noteikumi par neparasta darījuma pazīmju sarakstu un kārtību, kādā sniedzami ziņojumi par neparastiem vai aizdomīgiem darījumiem</w:t>
            </w:r>
            <w:r w:rsidR="004E2C5A" w:rsidRPr="00E97131">
              <w:rPr>
                <w:rFonts w:ascii="Times New Roman" w:eastAsia="Times New Roman" w:hAnsi="Times New Roman" w:cs="Times New Roman"/>
                <w:iCs/>
                <w:color w:val="000000" w:themeColor="text1"/>
                <w:sz w:val="24"/>
                <w:szCs w:val="24"/>
                <w:lang w:eastAsia="lv-LV"/>
              </w:rPr>
              <w:t>”</w:t>
            </w:r>
            <w:r w:rsidR="00FA3EC7">
              <w:rPr>
                <w:rFonts w:ascii="Times New Roman" w:eastAsia="Times New Roman" w:hAnsi="Times New Roman" w:cs="Times New Roman"/>
                <w:iCs/>
                <w:color w:val="000000" w:themeColor="text1"/>
                <w:sz w:val="24"/>
                <w:szCs w:val="24"/>
                <w:lang w:eastAsia="lv-LV"/>
              </w:rPr>
              <w:t>(turpmāk – Noteikumi Nr.281)</w:t>
            </w:r>
            <w:r w:rsidR="004E2C5A" w:rsidRPr="00E97131">
              <w:rPr>
                <w:rFonts w:ascii="Times New Roman" w:eastAsia="Times New Roman" w:hAnsi="Times New Roman" w:cs="Times New Roman"/>
                <w:iCs/>
                <w:color w:val="000000" w:themeColor="text1"/>
                <w:sz w:val="24"/>
                <w:szCs w:val="24"/>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nosaka </w:t>
            </w:r>
            <w:r w:rsidR="005C0A50">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ikuma subjektu pienākumu ziņot par aizdomīgiem un neparastiem darījumiem, </w:t>
            </w:r>
            <w:r w:rsidR="0046063F" w:rsidRPr="00E97131">
              <w:rPr>
                <w:rFonts w:ascii="Times New Roman" w:eastAsia="Times New Roman" w:hAnsi="Times New Roman" w:cs="Times New Roman"/>
                <w:bCs/>
                <w:color w:val="000000" w:themeColor="text1"/>
                <w:sz w:val="24"/>
                <w:szCs w:val="24"/>
                <w:shd w:val="clear" w:color="auto" w:fill="FFFFFF"/>
                <w:lang w:eastAsia="lv-LV"/>
              </w:rPr>
              <w:t>iesniedzot ziņojumu Finanšu izlūkošanas</w:t>
            </w:r>
            <w:r w:rsidRPr="00E97131">
              <w:rPr>
                <w:rFonts w:ascii="Times New Roman" w:eastAsia="Times New Roman" w:hAnsi="Times New Roman" w:cs="Times New Roman"/>
                <w:bCs/>
                <w:color w:val="000000" w:themeColor="text1"/>
                <w:sz w:val="24"/>
                <w:szCs w:val="24"/>
                <w:shd w:val="clear" w:color="auto" w:fill="FFFFFF"/>
                <w:lang w:eastAsia="lv-LV"/>
              </w:rPr>
              <w:t xml:space="preserve"> dienestam. </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p>
          <w:p w14:paraId="4D53E05F" w14:textId="77777777" w:rsidR="00CA17A4" w:rsidRPr="00E97131" w:rsidRDefault="00CA17A4"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6CB9784D" w14:textId="25D37FDE" w:rsidR="0046063F" w:rsidRDefault="00932E1D" w:rsidP="0046063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932E1D">
              <w:rPr>
                <w:rFonts w:ascii="Times New Roman" w:eastAsia="Times New Roman" w:hAnsi="Times New Roman" w:cs="Times New Roman"/>
                <w:iCs/>
                <w:color w:val="000000" w:themeColor="text1"/>
                <w:sz w:val="24"/>
                <w:szCs w:val="24"/>
                <w:lang w:eastAsia="lv-LV"/>
              </w:rPr>
              <w:t>Eiropas Padomes ekspertu komiteja</w:t>
            </w:r>
            <w:r w:rsidR="00282CFD">
              <w:rPr>
                <w:rFonts w:ascii="Times New Roman" w:eastAsia="Times New Roman" w:hAnsi="Times New Roman" w:cs="Times New Roman"/>
                <w:iCs/>
                <w:color w:val="000000" w:themeColor="text1"/>
                <w:sz w:val="24"/>
                <w:szCs w:val="24"/>
                <w:lang w:eastAsia="lv-LV"/>
              </w:rPr>
              <w:t>s</w:t>
            </w:r>
            <w:r w:rsidRPr="00932E1D">
              <w:rPr>
                <w:rFonts w:ascii="Times New Roman" w:eastAsia="Times New Roman" w:hAnsi="Times New Roman" w:cs="Times New Roman"/>
                <w:iCs/>
                <w:color w:val="000000" w:themeColor="text1"/>
                <w:sz w:val="24"/>
                <w:szCs w:val="24"/>
                <w:lang w:eastAsia="lv-LV"/>
              </w:rPr>
              <w:t xml:space="preserve"> naudas atmazgāšanas novēršanas pasākumu un terorisma finansēšanas novērtējumam (turpmāk – </w:t>
            </w:r>
            <w:proofErr w:type="spellStart"/>
            <w:r w:rsidRPr="00932E1D">
              <w:rPr>
                <w:rFonts w:ascii="Times New Roman" w:eastAsia="Times New Roman" w:hAnsi="Times New Roman" w:cs="Times New Roman"/>
                <w:iCs/>
                <w:color w:val="000000" w:themeColor="text1"/>
                <w:sz w:val="24"/>
                <w:szCs w:val="24"/>
                <w:lang w:eastAsia="lv-LV"/>
              </w:rPr>
              <w:t>Moneyval</w:t>
            </w:r>
            <w:proofErr w:type="spellEnd"/>
            <w:r w:rsidRPr="00932E1D">
              <w:rPr>
                <w:rFonts w:ascii="Times New Roman" w:eastAsia="Times New Roman" w:hAnsi="Times New Roman" w:cs="Times New Roman"/>
                <w:iCs/>
                <w:color w:val="000000" w:themeColor="text1"/>
                <w:sz w:val="24"/>
                <w:szCs w:val="24"/>
                <w:lang w:eastAsia="lv-LV"/>
              </w:rPr>
              <w:t xml:space="preserve">) </w:t>
            </w:r>
            <w:r w:rsidR="0046063F" w:rsidRPr="00932E1D">
              <w:rPr>
                <w:rFonts w:ascii="Times New Roman" w:eastAsia="Times New Roman" w:hAnsi="Times New Roman" w:cs="Times New Roman"/>
                <w:iCs/>
                <w:color w:val="000000" w:themeColor="text1"/>
                <w:sz w:val="24"/>
                <w:szCs w:val="24"/>
                <w:lang w:eastAsia="lv-LV"/>
              </w:rPr>
              <w:t>savstarpējās novērtēšanas 5.kārtas ziņojumā par Latviju, kas publicēts 2018.gada</w:t>
            </w:r>
            <w:r w:rsidR="0046063F" w:rsidRPr="00E97131">
              <w:rPr>
                <w:rFonts w:ascii="Times New Roman" w:eastAsia="Times New Roman" w:hAnsi="Times New Roman" w:cs="Times New Roman"/>
                <w:bCs/>
                <w:color w:val="000000" w:themeColor="text1"/>
                <w:sz w:val="24"/>
                <w:szCs w:val="24"/>
                <w:shd w:val="clear" w:color="auto" w:fill="FFFFFF"/>
                <w:lang w:eastAsia="lv-LV"/>
              </w:rPr>
              <w:t xml:space="preserve"> 23.augustā, kurā novērtēti valstī īstenotie pasākumi noziedzīgi iegūtu līdzekļu legalizācijas un terorisma finansēšanas novēršanā</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(turpmāk – </w:t>
            </w:r>
            <w:proofErr w:type="spellStart"/>
            <w:r w:rsidR="00E97131" w:rsidRPr="00E97131">
              <w:rPr>
                <w:rFonts w:ascii="Times New Roman" w:eastAsia="Times New Roman" w:hAnsi="Times New Roman" w:cs="Times New Roman"/>
                <w:bCs/>
                <w:color w:val="000000" w:themeColor="text1"/>
                <w:sz w:val="24"/>
                <w:szCs w:val="24"/>
                <w:shd w:val="clear" w:color="auto" w:fill="FFFFFF"/>
                <w:lang w:eastAsia="lv-LV"/>
              </w:rPr>
              <w:t>Moneyval</w:t>
            </w:r>
            <w:proofErr w:type="spellEnd"/>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ziņojums)</w:t>
            </w:r>
            <w:r w:rsidR="0046063F" w:rsidRPr="00E97131">
              <w:rPr>
                <w:rFonts w:ascii="Times New Roman" w:eastAsia="Times New Roman" w:hAnsi="Times New Roman" w:cs="Times New Roman"/>
                <w:bCs/>
                <w:color w:val="000000" w:themeColor="text1"/>
                <w:sz w:val="24"/>
                <w:szCs w:val="24"/>
                <w:shd w:val="clear" w:color="auto" w:fill="FFFFFF"/>
                <w:lang w:eastAsia="lv-LV"/>
              </w:rPr>
              <w:t>, ir sniegts skaidrs vēstījums un norāde uz nepieciešamību aktīvi pilnveidot Latvijā šobrīd pastāvošo regulējumu, kā arī nodrošināt tā efektīvu piemērošanu praksē.</w:t>
            </w:r>
          </w:p>
          <w:p w14:paraId="3DDD3BF1" w14:textId="77777777" w:rsidR="00CA17A4" w:rsidRDefault="00CA17A4" w:rsidP="0046063F">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4A534B55" w14:textId="6B5173A6" w:rsidR="00016CC9" w:rsidRDefault="00016CC9"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roofErr w:type="spellStart"/>
            <w:r w:rsidRPr="00E97131">
              <w:rPr>
                <w:rFonts w:ascii="Times New Roman" w:eastAsia="Times New Roman" w:hAnsi="Times New Roman" w:cs="Times New Roman"/>
                <w:bCs/>
                <w:color w:val="000000" w:themeColor="text1"/>
                <w:sz w:val="24"/>
                <w:szCs w:val="24"/>
                <w:shd w:val="clear" w:color="auto" w:fill="FFFFFF"/>
                <w:lang w:eastAsia="lv-LV"/>
              </w:rPr>
              <w:t>Moneyval</w:t>
            </w:r>
            <w:proofErr w:type="spellEnd"/>
            <w:r w:rsidRPr="00E97131">
              <w:rPr>
                <w:rFonts w:ascii="Times New Roman" w:eastAsia="Times New Roman" w:hAnsi="Times New Roman" w:cs="Times New Roman"/>
                <w:bCs/>
                <w:color w:val="000000" w:themeColor="text1"/>
                <w:sz w:val="24"/>
                <w:szCs w:val="24"/>
                <w:shd w:val="clear" w:color="auto" w:fill="FFFFFF"/>
                <w:lang w:eastAsia="lv-LV"/>
              </w:rPr>
              <w:t xml:space="preserve"> ziņojumā un arī praksē secināts, ka līdzšinējās</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neskaidrības </w:t>
            </w:r>
            <w:r w:rsidR="005C0A50">
              <w:rPr>
                <w:rFonts w:ascii="Times New Roman" w:eastAsia="Times New Roman" w:hAnsi="Times New Roman" w:cs="Times New Roman"/>
                <w:bCs/>
                <w:color w:val="000000" w:themeColor="text1"/>
                <w:sz w:val="24"/>
                <w:szCs w:val="24"/>
                <w:shd w:val="clear" w:color="auto" w:fill="FFFFFF"/>
                <w:lang w:eastAsia="lv-LV"/>
              </w:rPr>
              <w:t>L</w:t>
            </w:r>
            <w:r w:rsidR="005C0A50" w:rsidRPr="00E97131">
              <w:rPr>
                <w:rFonts w:ascii="Times New Roman" w:eastAsia="Times New Roman" w:hAnsi="Times New Roman" w:cs="Times New Roman"/>
                <w:bCs/>
                <w:color w:val="000000" w:themeColor="text1"/>
                <w:sz w:val="24"/>
                <w:szCs w:val="24"/>
                <w:shd w:val="clear" w:color="auto" w:fill="FFFFFF"/>
                <w:lang w:eastAsia="lv-LV"/>
              </w:rPr>
              <w:t xml:space="preserve">ikuma </w:t>
            </w:r>
            <w:r w:rsidRPr="00E97131">
              <w:rPr>
                <w:rFonts w:ascii="Times New Roman" w:eastAsia="Times New Roman" w:hAnsi="Times New Roman" w:cs="Times New Roman"/>
                <w:bCs/>
                <w:color w:val="000000" w:themeColor="text1"/>
                <w:sz w:val="24"/>
                <w:szCs w:val="24"/>
                <w:shd w:val="clear" w:color="auto" w:fill="FFFFFF"/>
                <w:lang w:eastAsia="lv-LV"/>
              </w:rPr>
              <w:t>subjektu starpā par aizdomīga un neparasta darījuma nošķiršanu</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neveicina iesniegto ziņojumu kvalitāti, un vairāk tiek izmantota ziņošana par</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neparastiem darījumiem, nevis ziņošana par aizdomīgiem darījumiem, kas no vienas</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puses rezultējas neefektīvā resursu izlietošanā, veicot papildu analīzi gadījumos, kur</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tā ne vienmēr būtu </w:t>
            </w:r>
            <w:r w:rsidRPr="00E97131">
              <w:rPr>
                <w:rFonts w:ascii="Times New Roman" w:eastAsia="Times New Roman" w:hAnsi="Times New Roman" w:cs="Times New Roman"/>
                <w:bCs/>
                <w:color w:val="000000" w:themeColor="text1"/>
                <w:sz w:val="24"/>
                <w:szCs w:val="24"/>
                <w:shd w:val="clear" w:color="auto" w:fill="FFFFFF"/>
                <w:lang w:eastAsia="lv-LV"/>
              </w:rPr>
              <w:lastRenderedPageBreak/>
              <w:t xml:space="preserve">nepieciešama, bet no otras, noslogojot </w:t>
            </w:r>
            <w:r w:rsidR="00932E1D">
              <w:rPr>
                <w:rFonts w:ascii="Times New Roman" w:eastAsia="Times New Roman" w:hAnsi="Times New Roman" w:cs="Times New Roman"/>
                <w:bCs/>
                <w:color w:val="000000" w:themeColor="text1"/>
                <w:sz w:val="24"/>
                <w:szCs w:val="24"/>
                <w:shd w:val="clear" w:color="auto" w:fill="FFFFFF"/>
                <w:lang w:eastAsia="lv-LV"/>
              </w:rPr>
              <w:t xml:space="preserve">Likuma </w:t>
            </w:r>
            <w:r w:rsidRPr="00E97131">
              <w:rPr>
                <w:rFonts w:ascii="Times New Roman" w:eastAsia="Times New Roman" w:hAnsi="Times New Roman" w:cs="Times New Roman"/>
                <w:bCs/>
                <w:color w:val="000000" w:themeColor="text1"/>
                <w:sz w:val="24"/>
                <w:szCs w:val="24"/>
                <w:shd w:val="clear" w:color="auto" w:fill="FFFFFF"/>
                <w:lang w:eastAsia="lv-LV"/>
              </w:rPr>
              <w:t>subjektus ar formālu</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ziņojumu iesniegšanu. Attiecīgi viena no </w:t>
            </w:r>
            <w:proofErr w:type="spellStart"/>
            <w:r w:rsidR="00932E1D">
              <w:rPr>
                <w:rFonts w:ascii="Times New Roman" w:eastAsia="Times New Roman" w:hAnsi="Times New Roman" w:cs="Times New Roman"/>
                <w:bCs/>
                <w:color w:val="000000" w:themeColor="text1"/>
                <w:sz w:val="24"/>
                <w:szCs w:val="24"/>
                <w:shd w:val="clear" w:color="auto" w:fill="FFFFFF"/>
                <w:lang w:eastAsia="lv-LV"/>
              </w:rPr>
              <w:t>Moneyval</w:t>
            </w:r>
            <w:proofErr w:type="spellEnd"/>
            <w:r w:rsidR="00932E1D">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rekomendācijām ir nepieciešamība pārskatīt</w:t>
            </w:r>
            <w:r w:rsidR="000A1AD3">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aizdomīgu un neparastu darījumu ziņošanas kārtību, tādā veidā pilnveidojot ziņojumu</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iesniegšanu par aizdomīgiem darījumiem.</w:t>
            </w:r>
          </w:p>
          <w:p w14:paraId="2ECEA51C" w14:textId="77777777" w:rsidR="00CA17A4" w:rsidRPr="00E97131" w:rsidRDefault="00CA17A4"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41C4B48C" w14:textId="48A0FC1D" w:rsidR="00016CC9" w:rsidRDefault="00016CC9"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 xml:space="preserve">Kā tas norādīts </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Finanšu darījumu darba grupas (turpmāk – </w:t>
            </w:r>
            <w:r w:rsidRPr="00E97131">
              <w:rPr>
                <w:rFonts w:ascii="Times New Roman" w:eastAsia="Times New Roman" w:hAnsi="Times New Roman" w:cs="Times New Roman"/>
                <w:bCs/>
                <w:color w:val="000000" w:themeColor="text1"/>
                <w:sz w:val="24"/>
                <w:szCs w:val="24"/>
                <w:shd w:val="clear" w:color="auto" w:fill="FFFFFF"/>
                <w:lang w:eastAsia="lv-LV"/>
              </w:rPr>
              <w:t>FATF</w:t>
            </w:r>
            <w:r w:rsidR="00E97131" w:rsidRPr="00E97131">
              <w:rPr>
                <w:rFonts w:ascii="Times New Roman" w:eastAsia="Times New Roman" w:hAnsi="Times New Roman" w:cs="Times New Roman"/>
                <w:bCs/>
                <w:color w:val="000000" w:themeColor="text1"/>
                <w:sz w:val="24"/>
                <w:szCs w:val="24"/>
                <w:shd w:val="clear" w:color="auto" w:fill="FFFFFF"/>
                <w:lang w:eastAsia="lv-LV"/>
              </w:rPr>
              <w:t>)</w:t>
            </w:r>
            <w:r w:rsidRPr="00E97131">
              <w:rPr>
                <w:rFonts w:ascii="Times New Roman" w:eastAsia="Times New Roman" w:hAnsi="Times New Roman" w:cs="Times New Roman"/>
                <w:bCs/>
                <w:color w:val="000000" w:themeColor="text1"/>
                <w:sz w:val="24"/>
                <w:szCs w:val="24"/>
                <w:shd w:val="clear" w:color="auto" w:fill="FFFFFF"/>
                <w:lang w:eastAsia="lv-LV"/>
              </w:rPr>
              <w:t xml:space="preserve"> rekomendācijās, finanšu izlūkošanas dienest</w:t>
            </w:r>
            <w:r w:rsidR="00932E1D">
              <w:rPr>
                <w:rFonts w:ascii="Times New Roman" w:eastAsia="Times New Roman" w:hAnsi="Times New Roman" w:cs="Times New Roman"/>
                <w:bCs/>
                <w:color w:val="000000" w:themeColor="text1"/>
                <w:sz w:val="24"/>
                <w:szCs w:val="24"/>
                <w:shd w:val="clear" w:color="auto" w:fill="FFFFFF"/>
                <w:lang w:eastAsia="lv-LV"/>
              </w:rPr>
              <w:t>s</w:t>
            </w:r>
            <w:r w:rsidRPr="00E97131">
              <w:rPr>
                <w:rFonts w:ascii="Times New Roman" w:eastAsia="Times New Roman" w:hAnsi="Times New Roman" w:cs="Times New Roman"/>
                <w:bCs/>
                <w:color w:val="000000" w:themeColor="text1"/>
                <w:sz w:val="24"/>
                <w:szCs w:val="24"/>
                <w:shd w:val="clear" w:color="auto" w:fill="FFFFFF"/>
                <w:lang w:eastAsia="lv-LV"/>
              </w:rPr>
              <w:t xml:space="preserve"> darbojas kā</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centrālā iestāde, kas saņem ziņojumus par aizdomīgiem darījumiem, kā arī citu</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nacionālajos normatīvajos aktos paredzēto informāciju (piemēram, informāciju par</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skaidras naudas darījumiem, elektroniskajiem paskaitījumiem un cita veida</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deklarācijas par darījumiem, kas sasniedz noteiktu robežvērtību). Tādējādi primāri</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dalībvalstīm ir jānodrošina ziņojumu par aizdomīgiem darījumiem iesniegšana</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finanšu izlūkošanas dienestiem, taču nacionālajos </w:t>
            </w:r>
            <w:r w:rsidR="00826E79">
              <w:rPr>
                <w:rFonts w:ascii="Times New Roman" w:eastAsia="Times New Roman" w:hAnsi="Times New Roman" w:cs="Times New Roman"/>
                <w:bCs/>
                <w:color w:val="000000" w:themeColor="text1"/>
                <w:sz w:val="24"/>
                <w:szCs w:val="24"/>
                <w:shd w:val="clear" w:color="auto" w:fill="FFFFFF"/>
                <w:lang w:eastAsia="lv-LV"/>
              </w:rPr>
              <w:t xml:space="preserve">tiesību </w:t>
            </w:r>
            <w:r w:rsidRPr="00E97131">
              <w:rPr>
                <w:rFonts w:ascii="Times New Roman" w:eastAsia="Times New Roman" w:hAnsi="Times New Roman" w:cs="Times New Roman"/>
                <w:bCs/>
                <w:color w:val="000000" w:themeColor="text1"/>
                <w:sz w:val="24"/>
                <w:szCs w:val="24"/>
                <w:shd w:val="clear" w:color="auto" w:fill="FFFFFF"/>
                <w:lang w:eastAsia="lv-LV"/>
              </w:rPr>
              <w:t>aktos var tikt noteikts cits</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informācijas veids, kas ir iesniedzams </w:t>
            </w:r>
            <w:r w:rsidR="00E97131" w:rsidRPr="00E97131">
              <w:rPr>
                <w:rFonts w:ascii="Times New Roman" w:eastAsia="Times New Roman" w:hAnsi="Times New Roman" w:cs="Times New Roman"/>
                <w:bCs/>
                <w:color w:val="000000" w:themeColor="text1"/>
                <w:sz w:val="24"/>
                <w:szCs w:val="24"/>
                <w:shd w:val="clear" w:color="auto" w:fill="FFFFFF"/>
                <w:lang w:eastAsia="lv-LV"/>
              </w:rPr>
              <w:t>finanšu izlūkošanas vienībā</w:t>
            </w:r>
            <w:r w:rsidR="00932E1D">
              <w:rPr>
                <w:rFonts w:ascii="Times New Roman" w:eastAsia="Times New Roman" w:hAnsi="Times New Roman" w:cs="Times New Roman"/>
                <w:bCs/>
                <w:color w:val="000000" w:themeColor="text1"/>
                <w:sz w:val="24"/>
                <w:szCs w:val="24"/>
                <w:shd w:val="clear" w:color="auto" w:fill="FFFFFF"/>
                <w:lang w:eastAsia="lv-LV"/>
              </w:rPr>
              <w:t>m</w:t>
            </w:r>
            <w:r w:rsidRPr="00E97131">
              <w:rPr>
                <w:rFonts w:ascii="Times New Roman" w:eastAsia="Times New Roman" w:hAnsi="Times New Roman" w:cs="Times New Roman"/>
                <w:bCs/>
                <w:color w:val="000000" w:themeColor="text1"/>
                <w:sz w:val="24"/>
                <w:szCs w:val="24"/>
                <w:shd w:val="clear" w:color="auto" w:fill="FFFFFF"/>
                <w:lang w:eastAsia="lv-LV"/>
              </w:rPr>
              <w:t>.</w:t>
            </w:r>
          </w:p>
          <w:p w14:paraId="62F4AF50" w14:textId="77777777" w:rsidR="00CA17A4" w:rsidRPr="00E97131" w:rsidRDefault="00CA17A4" w:rsidP="00016CC9">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0E775EAB" w14:textId="77777777" w:rsidR="00D91844" w:rsidRDefault="00E97131" w:rsidP="00D91844">
            <w:pPr>
              <w:shd w:val="clear" w:color="auto" w:fill="FFFFFF"/>
              <w:spacing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016CC9">
              <w:rPr>
                <w:rFonts w:ascii="Times New Roman" w:eastAsia="Times New Roman" w:hAnsi="Times New Roman" w:cs="Times New Roman"/>
                <w:iCs/>
                <w:sz w:val="24"/>
                <w:szCs w:val="24"/>
                <w:lang w:eastAsia="lv-LV"/>
              </w:rPr>
              <w:t xml:space="preserve">Attiecīgi līdz </w:t>
            </w:r>
            <w:r w:rsidRPr="00E97131">
              <w:rPr>
                <w:rFonts w:ascii="Times New Roman" w:eastAsia="Times New Roman" w:hAnsi="Times New Roman" w:cs="Times New Roman"/>
                <w:iCs/>
                <w:color w:val="000000" w:themeColor="text1"/>
                <w:sz w:val="24"/>
                <w:szCs w:val="24"/>
                <w:lang w:eastAsia="lv-LV"/>
              </w:rPr>
              <w:t>ar Likuma grozījumiem</w:t>
            </w:r>
            <w:r w:rsidRPr="00E97131">
              <w:rPr>
                <w:rFonts w:ascii="Times New Roman" w:hAnsi="Times New Roman" w:cs="Times New Roman"/>
                <w:iCs/>
                <w:color w:val="000000" w:themeColor="text1"/>
                <w:sz w:val="24"/>
                <w:szCs w:val="24"/>
                <w:vertAlign w:val="superscript"/>
              </w:rPr>
              <w:footnoteReference w:id="1"/>
            </w:r>
            <w:r w:rsidRPr="00E97131">
              <w:rPr>
                <w:rFonts w:ascii="Times New Roman" w:eastAsia="Times New Roman" w:hAnsi="Times New Roman" w:cs="Times New Roman"/>
                <w:iCs/>
                <w:color w:val="000000" w:themeColor="text1"/>
                <w:sz w:val="24"/>
                <w:szCs w:val="24"/>
                <w:lang w:eastAsia="lv-LV"/>
              </w:rPr>
              <w:t>, sākot ar 201</w:t>
            </w:r>
            <w:r w:rsidR="00932E1D">
              <w:rPr>
                <w:rFonts w:ascii="Times New Roman" w:eastAsia="Times New Roman" w:hAnsi="Times New Roman" w:cs="Times New Roman"/>
                <w:iCs/>
                <w:color w:val="000000" w:themeColor="text1"/>
                <w:sz w:val="24"/>
                <w:szCs w:val="24"/>
                <w:lang w:eastAsia="lv-LV"/>
              </w:rPr>
              <w:t>9</w:t>
            </w:r>
            <w:r w:rsidRPr="00E97131">
              <w:rPr>
                <w:rFonts w:ascii="Times New Roman" w:eastAsia="Times New Roman" w:hAnsi="Times New Roman" w:cs="Times New Roman"/>
                <w:iCs/>
                <w:color w:val="000000" w:themeColor="text1"/>
                <w:sz w:val="24"/>
                <w:szCs w:val="24"/>
                <w:lang w:eastAsia="lv-LV"/>
              </w:rPr>
              <w:t xml:space="preserve">.gada 17.decembri tiek paredzēts atteikties no </w:t>
            </w:r>
            <w:r w:rsidRPr="00E97131">
              <w:rPr>
                <w:rFonts w:ascii="Times New Roman" w:eastAsia="Times New Roman" w:hAnsi="Times New Roman" w:cs="Times New Roman"/>
                <w:bCs/>
                <w:color w:val="000000" w:themeColor="text1"/>
                <w:sz w:val="24"/>
                <w:szCs w:val="24"/>
                <w:shd w:val="clear" w:color="auto" w:fill="FFFFFF"/>
                <w:lang w:eastAsia="lv-LV"/>
              </w:rPr>
              <w:t xml:space="preserve">ziņojumiem par neparastiem darījumiem un ieviest pienākumu </w:t>
            </w:r>
            <w:r w:rsidR="00932E1D">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ikuma subjektiem iesniegt sliekšņa deklarācijas.</w:t>
            </w:r>
          </w:p>
          <w:p w14:paraId="4820B034" w14:textId="3CDEEF94" w:rsidR="00E5323B" w:rsidRPr="00EE66E8" w:rsidRDefault="00016CC9" w:rsidP="00D91844">
            <w:pPr>
              <w:shd w:val="clear" w:color="auto" w:fill="FFFFFF"/>
              <w:spacing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 xml:space="preserve">Ievērojot minēto, līdz ar grozījumiem </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Likumā </w:t>
            </w:r>
            <w:r w:rsidRPr="00E97131">
              <w:rPr>
                <w:rFonts w:ascii="Times New Roman" w:eastAsia="Times New Roman" w:hAnsi="Times New Roman" w:cs="Times New Roman"/>
                <w:bCs/>
                <w:color w:val="000000" w:themeColor="text1"/>
                <w:sz w:val="24"/>
                <w:szCs w:val="24"/>
                <w:shd w:val="clear" w:color="auto" w:fill="FFFFFF"/>
                <w:lang w:eastAsia="lv-LV"/>
              </w:rPr>
              <w:t>konceptuāli tiek paredzēts atteikties no ziņojuma</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par neparastu darījumu, paredzot ziņojumu iesniegšanu tikai par aizdomīgiem</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darījumiem. Vienlaikus tiek paredzēts pienākums </w:t>
            </w:r>
            <w:r w:rsidR="005C0A50">
              <w:rPr>
                <w:rFonts w:ascii="Times New Roman" w:eastAsia="Times New Roman" w:hAnsi="Times New Roman" w:cs="Times New Roman"/>
                <w:bCs/>
                <w:color w:val="000000" w:themeColor="text1"/>
                <w:sz w:val="24"/>
                <w:szCs w:val="24"/>
                <w:shd w:val="clear" w:color="auto" w:fill="FFFFFF"/>
                <w:lang w:eastAsia="lv-LV"/>
              </w:rPr>
              <w:t>L</w:t>
            </w:r>
            <w:r w:rsidR="005C0A50" w:rsidRPr="00E97131">
              <w:rPr>
                <w:rFonts w:ascii="Times New Roman" w:eastAsia="Times New Roman" w:hAnsi="Times New Roman" w:cs="Times New Roman"/>
                <w:bCs/>
                <w:color w:val="000000" w:themeColor="text1"/>
                <w:sz w:val="24"/>
                <w:szCs w:val="24"/>
                <w:shd w:val="clear" w:color="auto" w:fill="FFFFFF"/>
                <w:lang w:eastAsia="lv-LV"/>
              </w:rPr>
              <w:t xml:space="preserve">ikuma </w:t>
            </w:r>
            <w:r w:rsidRPr="00E97131">
              <w:rPr>
                <w:rFonts w:ascii="Times New Roman" w:eastAsia="Times New Roman" w:hAnsi="Times New Roman" w:cs="Times New Roman"/>
                <w:bCs/>
                <w:color w:val="000000" w:themeColor="text1"/>
                <w:sz w:val="24"/>
                <w:szCs w:val="24"/>
                <w:shd w:val="clear" w:color="auto" w:fill="FFFFFF"/>
                <w:lang w:eastAsia="lv-LV"/>
              </w:rPr>
              <w:t>subjektiem iesniegt citu</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informāciju - informāciju par sliekšņa deklarācijām, kas tiks uzglabāta </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Finanšu izlūkošanas </w:t>
            </w:r>
            <w:r w:rsidRPr="00E97131">
              <w:rPr>
                <w:rFonts w:ascii="Times New Roman" w:eastAsia="Times New Roman" w:hAnsi="Times New Roman" w:cs="Times New Roman"/>
                <w:bCs/>
                <w:color w:val="000000" w:themeColor="text1"/>
                <w:sz w:val="24"/>
                <w:szCs w:val="24"/>
                <w:shd w:val="clear" w:color="auto" w:fill="FFFFFF"/>
                <w:lang w:eastAsia="lv-LV"/>
              </w:rPr>
              <w:t xml:space="preserve">dienestā un izmantota, veicot </w:t>
            </w:r>
            <w:r w:rsidR="00FA3EC7">
              <w:rPr>
                <w:rFonts w:ascii="Times New Roman" w:eastAsia="Times New Roman" w:hAnsi="Times New Roman" w:cs="Times New Roman"/>
                <w:bCs/>
                <w:color w:val="000000" w:themeColor="text1"/>
                <w:sz w:val="24"/>
                <w:szCs w:val="24"/>
                <w:shd w:val="clear" w:color="auto" w:fill="FFFFFF"/>
                <w:lang w:eastAsia="lv-LV"/>
              </w:rPr>
              <w:t xml:space="preserve">stratēģisko analīzi, kā arī </w:t>
            </w:r>
            <w:r w:rsidRPr="00E97131">
              <w:rPr>
                <w:rFonts w:ascii="Times New Roman" w:eastAsia="Times New Roman" w:hAnsi="Times New Roman" w:cs="Times New Roman"/>
                <w:bCs/>
                <w:color w:val="000000" w:themeColor="text1"/>
                <w:sz w:val="24"/>
                <w:szCs w:val="24"/>
                <w:shd w:val="clear" w:color="auto" w:fill="FFFFFF"/>
                <w:lang w:eastAsia="lv-LV"/>
              </w:rPr>
              <w:t>turpmāku dienesta rīcībā esošo darījumu apstrādi un</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analīzi.</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Plānotajām izmaiņām ir </w:t>
            </w:r>
            <w:r w:rsidR="00E97131" w:rsidRPr="00E97131">
              <w:rPr>
                <w:rFonts w:ascii="Times New Roman" w:eastAsia="Times New Roman" w:hAnsi="Times New Roman" w:cs="Times New Roman"/>
                <w:bCs/>
                <w:color w:val="000000" w:themeColor="text1"/>
                <w:sz w:val="24"/>
                <w:szCs w:val="24"/>
                <w:shd w:val="clear" w:color="auto" w:fill="FFFFFF"/>
                <w:lang w:eastAsia="lv-LV"/>
              </w:rPr>
              <w:t>noteikts</w:t>
            </w:r>
            <w:r w:rsidRPr="00E97131">
              <w:rPr>
                <w:rFonts w:ascii="Times New Roman" w:eastAsia="Times New Roman" w:hAnsi="Times New Roman" w:cs="Times New Roman"/>
                <w:bCs/>
                <w:color w:val="000000" w:themeColor="text1"/>
                <w:sz w:val="24"/>
                <w:szCs w:val="24"/>
                <w:shd w:val="clear" w:color="auto" w:fill="FFFFFF"/>
                <w:lang w:eastAsia="lv-LV"/>
              </w:rPr>
              <w:t xml:space="preserve"> pārejas posm</w:t>
            </w:r>
            <w:r w:rsidR="00932E1D">
              <w:rPr>
                <w:rFonts w:ascii="Times New Roman" w:eastAsia="Times New Roman" w:hAnsi="Times New Roman" w:cs="Times New Roman"/>
                <w:bCs/>
                <w:color w:val="000000" w:themeColor="text1"/>
                <w:sz w:val="24"/>
                <w:szCs w:val="24"/>
                <w:shd w:val="clear" w:color="auto" w:fill="FFFFFF"/>
                <w:lang w:eastAsia="lv-LV"/>
              </w:rPr>
              <w:t>s</w:t>
            </w:r>
            <w:r w:rsidRPr="00E97131">
              <w:rPr>
                <w:rFonts w:ascii="Times New Roman" w:eastAsia="Times New Roman" w:hAnsi="Times New Roman" w:cs="Times New Roman"/>
                <w:bCs/>
                <w:color w:val="000000" w:themeColor="text1"/>
                <w:sz w:val="24"/>
                <w:szCs w:val="24"/>
                <w:shd w:val="clear" w:color="auto" w:fill="FFFFFF"/>
                <w:lang w:eastAsia="lv-LV"/>
              </w:rPr>
              <w:t xml:space="preserve"> – 201</w:t>
            </w:r>
            <w:r w:rsidR="00E97131" w:rsidRPr="00E97131">
              <w:rPr>
                <w:rFonts w:ascii="Times New Roman" w:eastAsia="Times New Roman" w:hAnsi="Times New Roman" w:cs="Times New Roman"/>
                <w:bCs/>
                <w:color w:val="000000" w:themeColor="text1"/>
                <w:sz w:val="24"/>
                <w:szCs w:val="24"/>
                <w:shd w:val="clear" w:color="auto" w:fill="FFFFFF"/>
                <w:lang w:eastAsia="lv-LV"/>
              </w:rPr>
              <w:t>9</w:t>
            </w:r>
            <w:r w:rsidRPr="00E97131">
              <w:rPr>
                <w:rFonts w:ascii="Times New Roman" w:eastAsia="Times New Roman" w:hAnsi="Times New Roman" w:cs="Times New Roman"/>
                <w:bCs/>
                <w:color w:val="000000" w:themeColor="text1"/>
                <w:sz w:val="24"/>
                <w:szCs w:val="24"/>
                <w:shd w:val="clear" w:color="auto" w:fill="FFFFFF"/>
                <w:lang w:eastAsia="lv-LV"/>
              </w:rPr>
              <w:t>.gada</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17.decembris</w:t>
            </w:r>
            <w:r w:rsidRPr="00E97131">
              <w:rPr>
                <w:rFonts w:ascii="Times New Roman" w:eastAsia="Times New Roman" w:hAnsi="Times New Roman" w:cs="Times New Roman"/>
                <w:bCs/>
                <w:color w:val="000000" w:themeColor="text1"/>
                <w:sz w:val="24"/>
                <w:szCs w:val="24"/>
                <w:shd w:val="clear" w:color="auto" w:fill="FFFFFF"/>
                <w:lang w:eastAsia="lv-LV"/>
              </w:rPr>
              <w:t>, līdz</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kuram </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nepieciešams </w:t>
            </w:r>
            <w:r w:rsidRPr="00E97131">
              <w:rPr>
                <w:rFonts w:ascii="Times New Roman" w:eastAsia="Times New Roman" w:hAnsi="Times New Roman" w:cs="Times New Roman"/>
                <w:bCs/>
                <w:color w:val="000000" w:themeColor="text1"/>
                <w:sz w:val="24"/>
                <w:szCs w:val="24"/>
                <w:shd w:val="clear" w:color="auto" w:fill="FFFFFF"/>
                <w:lang w:eastAsia="lv-LV"/>
              </w:rPr>
              <w:t>izstrādāt jaun</w:t>
            </w:r>
            <w:r w:rsidR="00E97131" w:rsidRPr="00E97131">
              <w:rPr>
                <w:rFonts w:ascii="Times New Roman" w:eastAsia="Times New Roman" w:hAnsi="Times New Roman" w:cs="Times New Roman"/>
                <w:bCs/>
                <w:color w:val="000000" w:themeColor="text1"/>
                <w:sz w:val="24"/>
                <w:szCs w:val="24"/>
                <w:shd w:val="clear" w:color="auto" w:fill="FFFFFF"/>
                <w:lang w:eastAsia="lv-LV"/>
              </w:rPr>
              <w:t>us</w:t>
            </w:r>
            <w:r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005C0A50">
              <w:rPr>
                <w:rFonts w:ascii="Times New Roman" w:eastAsia="Times New Roman" w:hAnsi="Times New Roman" w:cs="Times New Roman"/>
                <w:bCs/>
                <w:color w:val="000000" w:themeColor="text1"/>
                <w:sz w:val="24"/>
                <w:szCs w:val="24"/>
                <w:shd w:val="clear" w:color="auto" w:fill="FFFFFF"/>
                <w:lang w:eastAsia="lv-LV"/>
              </w:rPr>
              <w:t>M</w:t>
            </w:r>
            <w:r w:rsidRPr="00E97131">
              <w:rPr>
                <w:rFonts w:ascii="Times New Roman" w:eastAsia="Times New Roman" w:hAnsi="Times New Roman" w:cs="Times New Roman"/>
                <w:bCs/>
                <w:color w:val="000000" w:themeColor="text1"/>
                <w:sz w:val="24"/>
                <w:szCs w:val="24"/>
                <w:shd w:val="clear" w:color="auto" w:fill="FFFFFF"/>
                <w:lang w:eastAsia="lv-LV"/>
              </w:rPr>
              <w:t>inistru kabineta noteikum</w:t>
            </w:r>
            <w:r w:rsidR="00E97131" w:rsidRPr="00E97131">
              <w:rPr>
                <w:rFonts w:ascii="Times New Roman" w:eastAsia="Times New Roman" w:hAnsi="Times New Roman" w:cs="Times New Roman"/>
                <w:bCs/>
                <w:color w:val="000000" w:themeColor="text1"/>
                <w:sz w:val="24"/>
                <w:szCs w:val="24"/>
                <w:shd w:val="clear" w:color="auto" w:fill="FFFFFF"/>
                <w:lang w:eastAsia="lv-LV"/>
              </w:rPr>
              <w:t>us</w:t>
            </w:r>
            <w:r w:rsidRPr="00E97131">
              <w:rPr>
                <w:rFonts w:ascii="Times New Roman" w:eastAsia="Times New Roman" w:hAnsi="Times New Roman" w:cs="Times New Roman"/>
                <w:bCs/>
                <w:color w:val="000000" w:themeColor="text1"/>
                <w:sz w:val="24"/>
                <w:szCs w:val="24"/>
                <w:shd w:val="clear" w:color="auto" w:fill="FFFFFF"/>
                <w:lang w:eastAsia="lv-LV"/>
              </w:rPr>
              <w:t xml:space="preserve">, kas aizstās </w:t>
            </w:r>
            <w:r w:rsidR="00FA3EC7">
              <w:rPr>
                <w:rFonts w:ascii="Times New Roman" w:eastAsia="Times New Roman" w:hAnsi="Times New Roman" w:cs="Times New Roman"/>
                <w:bCs/>
                <w:color w:val="000000" w:themeColor="text1"/>
                <w:sz w:val="24"/>
                <w:szCs w:val="24"/>
                <w:shd w:val="clear" w:color="auto" w:fill="FFFFFF"/>
                <w:lang w:eastAsia="lv-LV"/>
              </w:rPr>
              <w:t>N</w:t>
            </w:r>
            <w:r w:rsidR="00095EC3" w:rsidRPr="00E97131">
              <w:rPr>
                <w:rFonts w:ascii="Times New Roman" w:eastAsia="Times New Roman" w:hAnsi="Times New Roman" w:cs="Times New Roman"/>
                <w:iCs/>
                <w:color w:val="000000" w:themeColor="text1"/>
                <w:sz w:val="24"/>
                <w:szCs w:val="24"/>
                <w:lang w:eastAsia="lv-LV"/>
              </w:rPr>
              <w:t>oteikum</w:t>
            </w:r>
            <w:r w:rsidR="00095EC3">
              <w:rPr>
                <w:rFonts w:ascii="Times New Roman" w:eastAsia="Times New Roman" w:hAnsi="Times New Roman" w:cs="Times New Roman"/>
                <w:iCs/>
                <w:color w:val="000000" w:themeColor="text1"/>
                <w:sz w:val="24"/>
                <w:szCs w:val="24"/>
                <w:lang w:eastAsia="lv-LV"/>
              </w:rPr>
              <w:t>us</w:t>
            </w:r>
            <w:r w:rsidR="00095EC3" w:rsidRPr="00E97131">
              <w:rPr>
                <w:rFonts w:ascii="Times New Roman" w:eastAsia="Times New Roman" w:hAnsi="Times New Roman" w:cs="Times New Roman"/>
                <w:iCs/>
                <w:color w:val="000000" w:themeColor="text1"/>
                <w:sz w:val="24"/>
                <w:szCs w:val="24"/>
                <w:lang w:eastAsia="lv-LV"/>
              </w:rPr>
              <w:t xml:space="preserve"> Nr.</w:t>
            </w:r>
            <w:r w:rsidRPr="00E97131">
              <w:rPr>
                <w:rFonts w:ascii="Times New Roman" w:eastAsia="Times New Roman" w:hAnsi="Times New Roman" w:cs="Times New Roman"/>
                <w:bCs/>
                <w:color w:val="000000" w:themeColor="text1"/>
                <w:sz w:val="24"/>
                <w:szCs w:val="24"/>
                <w:shd w:val="clear" w:color="auto" w:fill="FFFFFF"/>
                <w:lang w:eastAsia="lv-LV"/>
              </w:rPr>
              <w:t>, nosakot gadījumus un kārtību, kādā sniedzama informācija</w:t>
            </w:r>
            <w:r w:rsidR="00E97131" w:rsidRPr="00E97131">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par sliekšņa deklarāciju, tās saturu, kā arī veidlapu.</w:t>
            </w:r>
          </w:p>
        </w:tc>
      </w:tr>
      <w:tr w:rsidR="002C6D96" w:rsidRPr="009F0C6E" w14:paraId="3D59E3C2" w14:textId="77777777" w:rsidTr="00ED78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CE5948" w14:textId="77777777" w:rsidR="00B12102" w:rsidRPr="009F0C6E" w:rsidRDefault="00B12102" w:rsidP="009F0C6E">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843D4BB" w14:textId="77777777" w:rsidR="00B12102" w:rsidRPr="009F0C6E" w:rsidRDefault="00B12102" w:rsidP="009F0C6E">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t xml:space="preserve">Pašreizējā situācija un problēmas, kuru risināšanai tiesību akta projekts </w:t>
            </w:r>
            <w:r w:rsidRPr="009F0C6E">
              <w:rPr>
                <w:rFonts w:ascii="Times New Roman" w:eastAsia="Times New Roman" w:hAnsi="Times New Roman" w:cs="Times New Roman"/>
                <w:iCs/>
                <w:sz w:val="24"/>
                <w:szCs w:val="24"/>
                <w:lang w:eastAsia="lv-LV"/>
              </w:rPr>
              <w:lastRenderedPageBreak/>
              <w:t>izstrādāts, tiesiskā regulējuma mērķis un būtība</w:t>
            </w:r>
          </w:p>
        </w:tc>
        <w:tc>
          <w:tcPr>
            <w:tcW w:w="2960" w:type="pct"/>
            <w:tcBorders>
              <w:top w:val="nil"/>
              <w:left w:val="nil"/>
              <w:bottom w:val="nil"/>
              <w:right w:val="nil"/>
            </w:tcBorders>
          </w:tcPr>
          <w:p w14:paraId="354D0748" w14:textId="19D6618D" w:rsidR="00D91844" w:rsidRDefault="00D91844" w:rsidP="00095EC3">
            <w:pPr>
              <w:shd w:val="clear" w:color="auto" w:fill="FFFFFF"/>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Šobrīd spēkā esošie </w:t>
            </w:r>
            <w:r w:rsidR="00FA3EC7">
              <w:rPr>
                <w:rFonts w:ascii="Times New Roman" w:eastAsia="Times New Roman" w:hAnsi="Times New Roman" w:cs="Times New Roman"/>
                <w:iCs/>
                <w:color w:val="000000" w:themeColor="text1"/>
                <w:sz w:val="24"/>
                <w:szCs w:val="24"/>
                <w:lang w:eastAsia="lv-LV"/>
              </w:rPr>
              <w:t>N</w:t>
            </w:r>
            <w:r w:rsidR="006219E4" w:rsidRPr="00E97131">
              <w:rPr>
                <w:rFonts w:ascii="Times New Roman" w:eastAsia="Times New Roman" w:hAnsi="Times New Roman" w:cs="Times New Roman"/>
                <w:iCs/>
                <w:color w:val="000000" w:themeColor="text1"/>
                <w:sz w:val="24"/>
                <w:szCs w:val="24"/>
                <w:lang w:eastAsia="lv-LV"/>
              </w:rPr>
              <w:t xml:space="preserve">oteikumi Nr. 281 tika izdoti, pamatojoties uz pirms Likuma grozījumiem ietverto deleģējumu, kas paredzēja  deleģējumu izdod noteikumus, kuros apstiprināts neparasta darījuma </w:t>
            </w:r>
            <w:r w:rsidR="006219E4" w:rsidRPr="00E97131">
              <w:rPr>
                <w:rFonts w:ascii="Times New Roman" w:eastAsia="Times New Roman" w:hAnsi="Times New Roman" w:cs="Times New Roman"/>
                <w:iCs/>
                <w:color w:val="000000" w:themeColor="text1"/>
                <w:sz w:val="24"/>
                <w:szCs w:val="24"/>
                <w:lang w:eastAsia="lv-LV"/>
              </w:rPr>
              <w:lastRenderedPageBreak/>
              <w:t>pazīmju saraksts un kārtība, kādā sniedzami ziņojumi par neparastiem vai aizdomīgiem darījumiem, un apstiprina ziņojuma veidlapu.</w:t>
            </w:r>
          </w:p>
          <w:p w14:paraId="6449DEB6" w14:textId="46CCAE71" w:rsidR="00095EC3" w:rsidRDefault="00095EC3" w:rsidP="00095EC3">
            <w:pPr>
              <w:shd w:val="clear" w:color="auto" w:fill="FFFFFF"/>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Vienlaikus ar mērķi padarīt skaidrāku regulējumu un </w:t>
            </w:r>
            <w:r w:rsidR="00932E1D">
              <w:rPr>
                <w:rFonts w:ascii="Times New Roman" w:eastAsia="Times New Roman" w:hAnsi="Times New Roman" w:cs="Times New Roman"/>
                <w:iCs/>
                <w:color w:val="000000" w:themeColor="text1"/>
                <w:sz w:val="24"/>
                <w:szCs w:val="24"/>
                <w:lang w:eastAsia="lv-LV"/>
              </w:rPr>
              <w:t>skaidrākus</w:t>
            </w:r>
            <w:r>
              <w:rPr>
                <w:rFonts w:ascii="Times New Roman" w:eastAsia="Times New Roman" w:hAnsi="Times New Roman" w:cs="Times New Roman"/>
                <w:iCs/>
                <w:color w:val="000000" w:themeColor="text1"/>
                <w:sz w:val="24"/>
                <w:szCs w:val="24"/>
                <w:lang w:eastAsia="lv-LV"/>
              </w:rPr>
              <w:t xml:space="preserve"> Likuma subjektu pienākumus, kā arī ņemot vērā to, ka attiecībā uz sliekšņa deklarāciju un ziņojumu par aizdomīgiem darījumiem saturu un kārtību ir divi deleģējumi, tiek izstrādāt</w:t>
            </w:r>
            <w:r w:rsidR="00932E1D">
              <w:rPr>
                <w:rFonts w:ascii="Times New Roman" w:eastAsia="Times New Roman" w:hAnsi="Times New Roman" w:cs="Times New Roman"/>
                <w:iCs/>
                <w:color w:val="000000" w:themeColor="text1"/>
                <w:sz w:val="24"/>
                <w:szCs w:val="24"/>
                <w:lang w:eastAsia="lv-LV"/>
              </w:rPr>
              <w:t>i</w:t>
            </w:r>
            <w:r>
              <w:rPr>
                <w:rFonts w:ascii="Times New Roman" w:eastAsia="Times New Roman" w:hAnsi="Times New Roman" w:cs="Times New Roman"/>
                <w:iCs/>
                <w:color w:val="000000" w:themeColor="text1"/>
                <w:sz w:val="24"/>
                <w:szCs w:val="24"/>
                <w:lang w:eastAsia="lv-LV"/>
              </w:rPr>
              <w:t xml:space="preserve"> divi </w:t>
            </w:r>
            <w:r w:rsidR="00932E1D">
              <w:rPr>
                <w:rFonts w:ascii="Times New Roman" w:eastAsia="Times New Roman" w:hAnsi="Times New Roman" w:cs="Times New Roman"/>
                <w:iCs/>
                <w:color w:val="000000" w:themeColor="text1"/>
                <w:sz w:val="24"/>
                <w:szCs w:val="24"/>
                <w:lang w:eastAsia="lv-LV"/>
              </w:rPr>
              <w:t>m</w:t>
            </w:r>
            <w:r w:rsidR="005C0A50">
              <w:rPr>
                <w:rFonts w:ascii="Times New Roman" w:eastAsia="Times New Roman" w:hAnsi="Times New Roman" w:cs="Times New Roman"/>
                <w:iCs/>
                <w:color w:val="000000" w:themeColor="text1"/>
                <w:sz w:val="24"/>
                <w:szCs w:val="24"/>
                <w:lang w:eastAsia="lv-LV"/>
              </w:rPr>
              <w:t xml:space="preserve">inistru </w:t>
            </w:r>
            <w:r>
              <w:rPr>
                <w:rFonts w:ascii="Times New Roman" w:eastAsia="Times New Roman" w:hAnsi="Times New Roman" w:cs="Times New Roman"/>
                <w:iCs/>
                <w:color w:val="000000" w:themeColor="text1"/>
                <w:sz w:val="24"/>
                <w:szCs w:val="24"/>
                <w:lang w:eastAsia="lv-LV"/>
              </w:rPr>
              <w:t xml:space="preserve">kabineta noteikumu projekti: </w:t>
            </w:r>
          </w:p>
          <w:p w14:paraId="00F1C6A2" w14:textId="77777777" w:rsidR="00095EC3" w:rsidRPr="004220E3" w:rsidRDefault="00095EC3" w:rsidP="00095EC3">
            <w:pPr>
              <w:pStyle w:val="ListParagraph"/>
              <w:numPr>
                <w:ilvl w:val="0"/>
                <w:numId w:val="11"/>
              </w:numPr>
              <w:shd w:val="clear" w:color="auto" w:fill="FFFFFF"/>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Ministru kabineta noteikumi </w:t>
            </w:r>
            <w:r w:rsidRPr="00056408">
              <w:rPr>
                <w:rFonts w:ascii="Times New Roman" w:eastAsia="Times New Roman" w:hAnsi="Times New Roman" w:cs="Times New Roman"/>
                <w:bCs/>
                <w:color w:val="000000" w:themeColor="text1"/>
                <w:sz w:val="24"/>
                <w:szCs w:val="24"/>
                <w:lang w:eastAsia="lv-LV"/>
              </w:rPr>
              <w:t xml:space="preserve">„Noteikumi par kārtību, kādā sniedzami ziņojumi par aizdomīgiem darījumiem”, </w:t>
            </w:r>
          </w:p>
          <w:p w14:paraId="565DF883" w14:textId="77777777" w:rsidR="00095EC3" w:rsidRPr="004220E3" w:rsidRDefault="00095EC3" w:rsidP="00095EC3">
            <w:pPr>
              <w:pStyle w:val="ListParagraph"/>
              <w:numPr>
                <w:ilvl w:val="0"/>
                <w:numId w:val="11"/>
              </w:numPr>
              <w:shd w:val="clear" w:color="auto" w:fill="FFFFFF"/>
              <w:jc w:val="both"/>
              <w:rPr>
                <w:rFonts w:ascii="Times New Roman" w:eastAsia="Times New Roman" w:hAnsi="Times New Roman" w:cs="Times New Roman"/>
                <w:iCs/>
                <w:color w:val="000000" w:themeColor="text1"/>
                <w:sz w:val="24"/>
                <w:szCs w:val="24"/>
                <w:lang w:eastAsia="lv-LV"/>
              </w:rPr>
            </w:pPr>
            <w:r w:rsidRPr="00056408">
              <w:rPr>
                <w:rFonts w:ascii="Times New Roman" w:hAnsi="Times New Roman" w:cs="Times New Roman"/>
                <w:color w:val="000000"/>
                <w:sz w:val="24"/>
                <w:szCs w:val="24"/>
              </w:rPr>
              <w:t>Ministru kabineta noteikumi „Noteikumi par sliekšņa deklarācijas iesniegšanas kārtību un saturu”</w:t>
            </w:r>
            <w:r>
              <w:rPr>
                <w:rFonts w:ascii="Times New Roman" w:hAnsi="Times New Roman" w:cs="Times New Roman"/>
                <w:color w:val="000000"/>
                <w:sz w:val="24"/>
                <w:szCs w:val="24"/>
              </w:rPr>
              <w:t>.</w:t>
            </w:r>
          </w:p>
          <w:p w14:paraId="44544F39" w14:textId="36F7E6AF" w:rsidR="00924CE2" w:rsidRDefault="00273051" w:rsidP="003A621B">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sidRPr="0071246A">
              <w:rPr>
                <w:rFonts w:ascii="Times New Roman" w:eastAsia="Times New Roman" w:hAnsi="Times New Roman" w:cs="Times New Roman"/>
                <w:iCs/>
                <w:color w:val="000000" w:themeColor="text1"/>
                <w:sz w:val="24"/>
                <w:szCs w:val="24"/>
                <w:lang w:eastAsia="lv-LV"/>
              </w:rPr>
              <w:t xml:space="preserve">Ievērojot minēto, Noteikumu projekts tiek attiecināts tikai uz ziņojumiem par aizdomīgiem darījumiem </w:t>
            </w:r>
            <w:r w:rsidR="00F97CAB">
              <w:rPr>
                <w:rFonts w:ascii="Times New Roman" w:eastAsia="Times New Roman" w:hAnsi="Times New Roman" w:cs="Times New Roman"/>
                <w:iCs/>
                <w:color w:val="000000" w:themeColor="text1"/>
                <w:sz w:val="24"/>
                <w:szCs w:val="24"/>
                <w:lang w:eastAsia="lv-LV"/>
              </w:rPr>
              <w:t>–</w:t>
            </w:r>
            <w:r w:rsidRPr="0071246A">
              <w:rPr>
                <w:rFonts w:ascii="Times New Roman" w:eastAsia="Times New Roman" w:hAnsi="Times New Roman" w:cs="Times New Roman"/>
                <w:iCs/>
                <w:color w:val="000000" w:themeColor="text1"/>
                <w:sz w:val="24"/>
                <w:szCs w:val="24"/>
                <w:lang w:eastAsia="lv-LV"/>
              </w:rPr>
              <w:t xml:space="preserve"> </w:t>
            </w:r>
            <w:r w:rsidRPr="0071246A">
              <w:rPr>
                <w:rFonts w:ascii="Times New Roman" w:hAnsi="Times New Roman" w:cs="Times New Roman"/>
                <w:color w:val="000000" w:themeColor="text1"/>
                <w:sz w:val="24"/>
                <w:szCs w:val="24"/>
                <w:shd w:val="clear" w:color="auto" w:fill="FFFFFF"/>
              </w:rPr>
              <w:t>kārtību, kādā ziņojumi par aizdomīgiem darījumiem</w:t>
            </w:r>
            <w:r w:rsidR="00924CE2">
              <w:rPr>
                <w:rFonts w:ascii="Times New Roman" w:hAnsi="Times New Roman" w:cs="Times New Roman"/>
                <w:color w:val="000000" w:themeColor="text1"/>
                <w:sz w:val="24"/>
                <w:szCs w:val="24"/>
                <w:shd w:val="clear" w:color="auto" w:fill="FFFFFF"/>
              </w:rPr>
              <w:t xml:space="preserve"> (turpmāk – ziņojumi)</w:t>
            </w:r>
            <w:r w:rsidRPr="0071246A">
              <w:rPr>
                <w:rFonts w:ascii="Times New Roman" w:hAnsi="Times New Roman" w:cs="Times New Roman"/>
                <w:color w:val="000000" w:themeColor="text1"/>
                <w:sz w:val="24"/>
                <w:szCs w:val="24"/>
                <w:shd w:val="clear" w:color="auto" w:fill="FFFFFF"/>
              </w:rPr>
              <w:t xml:space="preserve"> iesniedzami, kā </w:t>
            </w:r>
            <w:r w:rsidR="00F97CAB">
              <w:rPr>
                <w:rFonts w:ascii="Times New Roman" w:hAnsi="Times New Roman" w:cs="Times New Roman"/>
                <w:color w:val="000000" w:themeColor="text1"/>
                <w:sz w:val="24"/>
                <w:szCs w:val="24"/>
                <w:shd w:val="clear" w:color="auto" w:fill="FFFFFF"/>
              </w:rPr>
              <w:t xml:space="preserve">arī </w:t>
            </w:r>
            <w:r w:rsidRPr="0071246A">
              <w:rPr>
                <w:rFonts w:ascii="Times New Roman" w:hAnsi="Times New Roman" w:cs="Times New Roman"/>
                <w:color w:val="000000" w:themeColor="text1"/>
                <w:sz w:val="24"/>
                <w:szCs w:val="24"/>
                <w:shd w:val="clear" w:color="auto" w:fill="FFFFFF"/>
              </w:rPr>
              <w:t>tiek apstiprināta</w:t>
            </w:r>
            <w:r w:rsidR="00F97CAB">
              <w:rPr>
                <w:rFonts w:ascii="Times New Roman" w:hAnsi="Times New Roman" w:cs="Times New Roman"/>
                <w:color w:val="000000" w:themeColor="text1"/>
                <w:sz w:val="24"/>
                <w:szCs w:val="24"/>
                <w:shd w:val="clear" w:color="auto" w:fill="FFFFFF"/>
              </w:rPr>
              <w:t>s</w:t>
            </w:r>
            <w:r w:rsidRPr="0071246A">
              <w:rPr>
                <w:rFonts w:ascii="Times New Roman" w:hAnsi="Times New Roman" w:cs="Times New Roman"/>
                <w:color w:val="000000" w:themeColor="text1"/>
                <w:sz w:val="24"/>
                <w:szCs w:val="24"/>
                <w:shd w:val="clear" w:color="auto" w:fill="FFFFFF"/>
              </w:rPr>
              <w:t xml:space="preserve"> ziņojuma veidlapa</w:t>
            </w:r>
            <w:r w:rsidR="00F97CAB">
              <w:rPr>
                <w:rFonts w:ascii="Times New Roman" w:hAnsi="Times New Roman" w:cs="Times New Roman"/>
                <w:color w:val="000000" w:themeColor="text1"/>
                <w:sz w:val="24"/>
                <w:szCs w:val="24"/>
                <w:shd w:val="clear" w:color="auto" w:fill="FFFFFF"/>
              </w:rPr>
              <w:t>s.</w:t>
            </w:r>
            <w:r w:rsidR="00F97CAB" w:rsidRPr="0071246A">
              <w:rPr>
                <w:rFonts w:ascii="Times New Roman" w:hAnsi="Times New Roman" w:cs="Times New Roman"/>
                <w:color w:val="000000" w:themeColor="text1"/>
                <w:sz w:val="24"/>
                <w:szCs w:val="24"/>
                <w:shd w:val="clear" w:color="auto" w:fill="FFFFFF"/>
              </w:rPr>
              <w:t xml:space="preserve"> </w:t>
            </w:r>
            <w:r w:rsidR="00924CE2">
              <w:rPr>
                <w:rFonts w:ascii="Times New Roman" w:eastAsia="Calibri" w:hAnsi="Times New Roman" w:cs="Times New Roman"/>
                <w:bCs/>
                <w:sz w:val="24"/>
                <w:szCs w:val="24"/>
              </w:rPr>
              <w:t xml:space="preserve">Noteikumu projekts atšķirībā no </w:t>
            </w:r>
            <w:r w:rsidR="00924CE2">
              <w:rPr>
                <w:rFonts w:ascii="Times New Roman" w:eastAsia="Times New Roman" w:hAnsi="Times New Roman" w:cs="Times New Roman"/>
                <w:iCs/>
                <w:color w:val="000000" w:themeColor="text1"/>
                <w:sz w:val="24"/>
                <w:szCs w:val="24"/>
                <w:lang w:eastAsia="lv-LV"/>
              </w:rPr>
              <w:t>Noteikumiem Nr.281 ietver šādus galvenos zemāk minētos jautājumus:</w:t>
            </w:r>
          </w:p>
          <w:p w14:paraId="71700D47" w14:textId="23CECE39" w:rsidR="00924CE2" w:rsidRPr="0035301E" w:rsidRDefault="008074B4" w:rsidP="003A621B">
            <w:pPr>
              <w:pStyle w:val="ListParagraph"/>
              <w:numPr>
                <w:ilvl w:val="0"/>
                <w:numId w:val="15"/>
              </w:numPr>
              <w:spacing w:after="0" w:line="240" w:lineRule="auto"/>
              <w:ind w:left="284" w:hanging="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w:t>
            </w:r>
            <w:r w:rsidR="00924CE2" w:rsidRPr="0035301E">
              <w:rPr>
                <w:rFonts w:ascii="Times New Roman" w:eastAsia="Times New Roman" w:hAnsi="Times New Roman" w:cs="Times New Roman"/>
                <w:color w:val="000000" w:themeColor="text1"/>
                <w:sz w:val="24"/>
                <w:szCs w:val="24"/>
                <w:lang w:eastAsia="lv-LV"/>
              </w:rPr>
              <w:t xml:space="preserve">iek svītrota sadaļa par neparasta darījuma pazīmēm, to aizstājot ar </w:t>
            </w:r>
            <w:r w:rsidR="00924CE2" w:rsidRPr="00ED78DE">
              <w:rPr>
                <w:rFonts w:ascii="Times New Roman" w:eastAsia="Times New Roman" w:hAnsi="Times New Roman" w:cs="Times New Roman"/>
                <w:color w:val="000000" w:themeColor="text1"/>
                <w:sz w:val="24"/>
                <w:szCs w:val="24"/>
                <w:lang w:eastAsia="lv-LV"/>
              </w:rPr>
              <w:t>Ministru kabineta noteikumiem „Noteikumi par sliekšņa deklarācijas iesniegšanas kārtību un saturu”</w:t>
            </w:r>
            <w:r w:rsidR="00030B4A">
              <w:rPr>
                <w:rFonts w:ascii="Times New Roman" w:eastAsia="Times New Roman" w:hAnsi="Times New Roman" w:cs="Times New Roman"/>
                <w:color w:val="000000" w:themeColor="text1"/>
                <w:sz w:val="24"/>
                <w:szCs w:val="24"/>
                <w:lang w:eastAsia="lv-LV"/>
              </w:rPr>
              <w:t>;</w:t>
            </w:r>
          </w:p>
          <w:p w14:paraId="54530580" w14:textId="192141F8" w:rsidR="00924CE2" w:rsidRPr="003A621B" w:rsidRDefault="008074B4" w:rsidP="003A621B">
            <w:pPr>
              <w:pStyle w:val="ListParagraph"/>
              <w:numPr>
                <w:ilvl w:val="0"/>
                <w:numId w:val="15"/>
              </w:numPr>
              <w:spacing w:after="0" w:line="240" w:lineRule="auto"/>
              <w:ind w:left="357" w:hanging="35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w:t>
            </w:r>
            <w:r w:rsidR="00924CE2" w:rsidRPr="003A621B">
              <w:rPr>
                <w:rFonts w:ascii="Times New Roman" w:eastAsia="Times New Roman" w:hAnsi="Times New Roman" w:cs="Times New Roman"/>
                <w:color w:val="000000" w:themeColor="text1"/>
                <w:sz w:val="24"/>
                <w:szCs w:val="24"/>
                <w:lang w:eastAsia="lv-LV"/>
              </w:rPr>
              <w:t>iek precizētas Noteikumu pielikumā pievienotās veidlapas</w:t>
            </w:r>
            <w:r w:rsidR="00030B4A">
              <w:rPr>
                <w:rFonts w:ascii="Times New Roman" w:eastAsia="Times New Roman" w:hAnsi="Times New Roman" w:cs="Times New Roman"/>
                <w:color w:val="000000" w:themeColor="text1"/>
                <w:sz w:val="24"/>
                <w:szCs w:val="24"/>
                <w:lang w:eastAsia="lv-LV"/>
              </w:rPr>
              <w:t>;</w:t>
            </w:r>
          </w:p>
          <w:p w14:paraId="1006E448" w14:textId="5069287A" w:rsidR="00924CE2" w:rsidRDefault="008074B4" w:rsidP="00924CE2">
            <w:pPr>
              <w:pStyle w:val="ListParagraph"/>
              <w:numPr>
                <w:ilvl w:val="0"/>
                <w:numId w:val="15"/>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w:t>
            </w:r>
            <w:r w:rsidR="00924CE2" w:rsidRPr="0035301E">
              <w:rPr>
                <w:rFonts w:ascii="Times New Roman" w:eastAsia="Times New Roman" w:hAnsi="Times New Roman" w:cs="Times New Roman"/>
                <w:color w:val="000000" w:themeColor="text1"/>
                <w:sz w:val="24"/>
                <w:szCs w:val="24"/>
                <w:lang w:eastAsia="lv-LV"/>
              </w:rPr>
              <w:t>ai citas personas varētu realizēt ziņošanas pienākumu atbilstoši Likuma</w:t>
            </w:r>
            <w:r w:rsidR="00924CE2">
              <w:rPr>
                <w:rFonts w:ascii="Times New Roman" w:eastAsia="Times New Roman" w:hAnsi="Times New Roman" w:cs="Times New Roman"/>
                <w:color w:val="000000" w:themeColor="text1"/>
                <w:sz w:val="24"/>
                <w:szCs w:val="24"/>
                <w:lang w:eastAsia="lv-LV"/>
              </w:rPr>
              <w:t xml:space="preserve"> 3.panta ceturtās</w:t>
            </w:r>
            <w:r w:rsidR="00FA3EC7">
              <w:rPr>
                <w:rStyle w:val="FootnoteReference"/>
                <w:rFonts w:ascii="Times New Roman" w:eastAsia="Times New Roman" w:hAnsi="Times New Roman" w:cs="Times New Roman"/>
                <w:color w:val="000000" w:themeColor="text1"/>
                <w:sz w:val="24"/>
                <w:szCs w:val="24"/>
                <w:lang w:eastAsia="lv-LV"/>
              </w:rPr>
              <w:footnoteReference w:id="2"/>
            </w:r>
            <w:r w:rsidR="00924CE2">
              <w:rPr>
                <w:rFonts w:ascii="Times New Roman" w:eastAsia="Times New Roman" w:hAnsi="Times New Roman" w:cs="Times New Roman"/>
                <w:color w:val="000000" w:themeColor="text1"/>
                <w:sz w:val="24"/>
                <w:szCs w:val="24"/>
                <w:lang w:eastAsia="lv-LV"/>
              </w:rPr>
              <w:t xml:space="preserve"> daļas</w:t>
            </w:r>
            <w:r w:rsidR="00924CE2" w:rsidRPr="0035301E">
              <w:rPr>
                <w:rFonts w:ascii="Times New Roman" w:eastAsia="Times New Roman" w:hAnsi="Times New Roman" w:cs="Times New Roman"/>
                <w:color w:val="000000" w:themeColor="text1"/>
                <w:sz w:val="24"/>
                <w:szCs w:val="24"/>
                <w:lang w:eastAsia="lv-LV"/>
              </w:rPr>
              <w:t xml:space="preserve"> prasībām, ir izstrādāta jauna veidlapa ziņojumu iesniegšanai papīra formā. </w:t>
            </w:r>
          </w:p>
          <w:p w14:paraId="4C145A30" w14:textId="43D4CF42" w:rsidR="00924CE2" w:rsidRDefault="00924CE2" w:rsidP="006219E4">
            <w:pPr>
              <w:shd w:val="clear" w:color="auto" w:fill="FFFFFF"/>
              <w:jc w:val="both"/>
              <w:rPr>
                <w:rFonts w:ascii="Times New Roman" w:hAnsi="Times New Roman" w:cs="Times New Roman"/>
                <w:color w:val="000000" w:themeColor="text1"/>
                <w:sz w:val="24"/>
                <w:szCs w:val="24"/>
                <w:shd w:val="clear" w:color="auto" w:fill="FFFFFF"/>
              </w:rPr>
            </w:pPr>
          </w:p>
          <w:p w14:paraId="3D1C9846" w14:textId="22EA3136" w:rsidR="0071246A" w:rsidRDefault="0071246A" w:rsidP="00D91844">
            <w:pPr>
              <w:spacing w:after="0" w:line="240" w:lineRule="auto"/>
              <w:ind w:right="107"/>
              <w:jc w:val="center"/>
              <w:rPr>
                <w:rFonts w:ascii="Times New Roman" w:eastAsia="Calibri" w:hAnsi="Times New Roman" w:cs="Times New Roman"/>
                <w:b/>
                <w:bCs/>
                <w:sz w:val="24"/>
                <w:szCs w:val="24"/>
              </w:rPr>
            </w:pPr>
            <w:r w:rsidRPr="0071246A">
              <w:rPr>
                <w:rFonts w:ascii="Times New Roman" w:eastAsia="Calibri" w:hAnsi="Times New Roman" w:cs="Times New Roman"/>
                <w:b/>
                <w:bCs/>
                <w:sz w:val="24"/>
                <w:szCs w:val="24"/>
              </w:rPr>
              <w:t>Noteikumu projekta saturs</w:t>
            </w:r>
          </w:p>
          <w:p w14:paraId="0D6EB7F1" w14:textId="77777777" w:rsidR="00AE67C0" w:rsidRPr="0071246A" w:rsidRDefault="00AE67C0" w:rsidP="00D91844">
            <w:pPr>
              <w:spacing w:after="0" w:line="240" w:lineRule="auto"/>
              <w:ind w:right="107"/>
              <w:jc w:val="center"/>
              <w:rPr>
                <w:rFonts w:ascii="Times New Roman" w:eastAsia="Calibri" w:hAnsi="Times New Roman" w:cs="Times New Roman"/>
                <w:b/>
                <w:bCs/>
                <w:sz w:val="24"/>
                <w:szCs w:val="24"/>
              </w:rPr>
            </w:pPr>
          </w:p>
          <w:p w14:paraId="7EBD8FDE" w14:textId="69CA01FF" w:rsidR="00924CE2" w:rsidRDefault="00AE67C0" w:rsidP="00924CE2">
            <w:pPr>
              <w:pStyle w:val="tv213"/>
              <w:shd w:val="clear" w:color="auto" w:fill="FFFFFF"/>
              <w:spacing w:before="0" w:beforeAutospacing="0" w:after="0" w:afterAutospacing="0" w:line="293" w:lineRule="atLeast"/>
              <w:jc w:val="both"/>
            </w:pPr>
            <w:r w:rsidRPr="003A621B">
              <w:rPr>
                <w:rFonts w:eastAsia="Calibri"/>
                <w:bCs/>
                <w:color w:val="000000" w:themeColor="text1"/>
              </w:rPr>
              <w:t xml:space="preserve">Likuma 30.pants nosaka pienākumu </w:t>
            </w:r>
            <w:r w:rsidRPr="003A621B">
              <w:rPr>
                <w:color w:val="000000" w:themeColor="text1"/>
                <w:shd w:val="clear" w:color="auto" w:fill="FFFFFF"/>
              </w:rPr>
              <w:t>Likuma subjektiem</w:t>
            </w:r>
            <w:r w:rsidR="007F69B6">
              <w:rPr>
                <w:rStyle w:val="FootnoteReference"/>
                <w:color w:val="000000" w:themeColor="text1"/>
                <w:shd w:val="clear" w:color="auto" w:fill="FFFFFF"/>
              </w:rPr>
              <w:footnoteReference w:id="3"/>
            </w:r>
            <w:r w:rsidRPr="003A621B">
              <w:rPr>
                <w:color w:val="000000" w:themeColor="text1"/>
                <w:shd w:val="clear" w:color="auto" w:fill="FFFFFF"/>
              </w:rPr>
              <w:t xml:space="preserve"> nekavējoties ziņot Finanšu izlūkošanas dienestam par katru aizdomīgu darījumu. </w:t>
            </w:r>
          </w:p>
          <w:p w14:paraId="012A36F5" w14:textId="327A84E0" w:rsidR="00924CE2" w:rsidRDefault="00924CE2" w:rsidP="00924CE2">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8A06A8">
              <w:rPr>
                <w:rFonts w:ascii="Times New Roman" w:eastAsia="Times New Roman" w:hAnsi="Times New Roman" w:cs="Times New Roman"/>
                <w:color w:val="000000" w:themeColor="text1"/>
                <w:sz w:val="24"/>
                <w:szCs w:val="24"/>
                <w:lang w:eastAsia="lv-LV"/>
              </w:rPr>
              <w:lastRenderedPageBreak/>
              <w:t>Likuma subjektiem</w:t>
            </w:r>
            <w:r w:rsidR="00030B4A">
              <w:rPr>
                <w:rFonts w:ascii="Times New Roman" w:eastAsia="Times New Roman" w:hAnsi="Times New Roman" w:cs="Times New Roman"/>
                <w:color w:val="000000" w:themeColor="text1"/>
                <w:sz w:val="24"/>
                <w:szCs w:val="24"/>
                <w:lang w:eastAsia="lv-LV"/>
              </w:rPr>
              <w:t xml:space="preserve">, pamatojoties uz </w:t>
            </w:r>
            <w:r w:rsidR="00030B4A" w:rsidRPr="00DE15AA">
              <w:rPr>
                <w:rFonts w:ascii="Times New Roman" w:eastAsia="Times New Roman" w:hAnsi="Times New Roman" w:cs="Times New Roman"/>
                <w:b/>
                <w:color w:val="000000" w:themeColor="text1"/>
                <w:sz w:val="24"/>
                <w:szCs w:val="24"/>
                <w:lang w:eastAsia="lv-LV"/>
              </w:rPr>
              <w:t>Noteikumu projekta 2.punktu</w:t>
            </w:r>
            <w:r w:rsidR="00030B4A">
              <w:rPr>
                <w:rFonts w:ascii="Times New Roman" w:eastAsia="Times New Roman" w:hAnsi="Times New Roman" w:cs="Times New Roman"/>
                <w:color w:val="000000" w:themeColor="text1"/>
                <w:sz w:val="24"/>
                <w:szCs w:val="24"/>
                <w:lang w:eastAsia="lv-LV"/>
              </w:rPr>
              <w:t>,</w:t>
            </w:r>
            <w:r w:rsidRPr="008A06A8">
              <w:rPr>
                <w:rFonts w:ascii="Times New Roman" w:eastAsia="Times New Roman" w:hAnsi="Times New Roman" w:cs="Times New Roman"/>
                <w:color w:val="000000" w:themeColor="text1"/>
                <w:sz w:val="24"/>
                <w:szCs w:val="24"/>
                <w:lang w:eastAsia="lv-LV"/>
              </w:rPr>
              <w:t xml:space="preserve"> ir pienākums ziņojumu iesniegt elektroniski, izmantojot Finanšu izlūkošanas dienestā dienesta uzturēt</w:t>
            </w:r>
            <w:r>
              <w:rPr>
                <w:rFonts w:ascii="Times New Roman" w:eastAsia="Times New Roman" w:hAnsi="Times New Roman" w:cs="Times New Roman"/>
                <w:color w:val="000000" w:themeColor="text1"/>
                <w:sz w:val="24"/>
                <w:szCs w:val="24"/>
                <w:lang w:eastAsia="lv-LV"/>
              </w:rPr>
              <w:t>o</w:t>
            </w:r>
            <w:r w:rsidRPr="008A06A8">
              <w:rPr>
                <w:rFonts w:ascii="Times New Roman" w:eastAsia="Times New Roman" w:hAnsi="Times New Roman" w:cs="Times New Roman"/>
                <w:color w:val="000000" w:themeColor="text1"/>
                <w:sz w:val="24"/>
                <w:szCs w:val="24"/>
                <w:lang w:eastAsia="lv-LV"/>
              </w:rPr>
              <w:t xml:space="preserve"> tīmekļvietn</w:t>
            </w:r>
            <w:r>
              <w:rPr>
                <w:rFonts w:ascii="Times New Roman" w:eastAsia="Times New Roman" w:hAnsi="Times New Roman" w:cs="Times New Roman"/>
                <w:color w:val="000000" w:themeColor="text1"/>
                <w:sz w:val="24"/>
                <w:szCs w:val="24"/>
                <w:lang w:eastAsia="lv-LV"/>
              </w:rPr>
              <w:t>i</w:t>
            </w:r>
            <w:r w:rsidRPr="008A06A8">
              <w:rPr>
                <w:rFonts w:ascii="Times New Roman" w:eastAsia="Times New Roman" w:hAnsi="Times New Roman" w:cs="Times New Roman"/>
                <w:color w:val="000000" w:themeColor="text1"/>
                <w:sz w:val="24"/>
                <w:szCs w:val="24"/>
                <w:lang w:eastAsia="lv-LV"/>
              </w:rPr>
              <w:t xml:space="preserve"> </w:t>
            </w:r>
            <w:r w:rsidRPr="00495638">
              <w:rPr>
                <w:rFonts w:ascii="Times New Roman" w:eastAsia="Times New Roman" w:hAnsi="Times New Roman" w:cs="Times New Roman"/>
                <w:sz w:val="24"/>
                <w:szCs w:val="24"/>
                <w:lang w:eastAsia="lv-LV"/>
              </w:rPr>
              <w:t>https://zinojumi.fid.gov.lv</w:t>
            </w:r>
            <w:r>
              <w:rPr>
                <w:rFonts w:ascii="Times New Roman" w:eastAsia="Times New Roman" w:hAnsi="Times New Roman" w:cs="Times New Roman"/>
                <w:color w:val="000000" w:themeColor="text1"/>
                <w:sz w:val="24"/>
                <w:szCs w:val="24"/>
                <w:lang w:eastAsia="lv-LV"/>
              </w:rPr>
              <w:t>.</w:t>
            </w:r>
          </w:p>
          <w:p w14:paraId="081C2F78" w14:textId="3C55CBD0" w:rsidR="00DE15AA" w:rsidRDefault="00DE15AA" w:rsidP="00924CE2">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p>
          <w:p w14:paraId="2AA0FCCB" w14:textId="49548F13" w:rsidR="00DE15AA" w:rsidRPr="00DE15AA" w:rsidRDefault="00DE15AA" w:rsidP="00DE15AA">
            <w:pPr>
              <w:shd w:val="clear" w:color="auto" w:fill="FFFFFF"/>
              <w:tabs>
                <w:tab w:val="left" w:pos="709"/>
              </w:tabs>
              <w:spacing w:after="0" w:line="293" w:lineRule="atLeast"/>
              <w:jc w:val="both"/>
              <w:rPr>
                <w:rFonts w:ascii="Times New Roman" w:eastAsia="Times New Roman" w:hAnsi="Times New Roman" w:cs="Times New Roman"/>
                <w:color w:val="000000" w:themeColor="text1"/>
                <w:sz w:val="24"/>
                <w:szCs w:val="24"/>
                <w:lang w:eastAsia="lv-LV"/>
              </w:rPr>
            </w:pPr>
            <w:r w:rsidRPr="00DE15AA">
              <w:rPr>
                <w:rFonts w:ascii="Times New Roman" w:eastAsia="Times New Roman" w:hAnsi="Times New Roman" w:cs="Times New Roman"/>
                <w:color w:val="000000" w:themeColor="text1"/>
                <w:sz w:val="24"/>
                <w:szCs w:val="24"/>
                <w:lang w:eastAsia="lv-LV"/>
              </w:rPr>
              <w:t xml:space="preserve">Finanšu izlūkošanas dienests XML shēmas struktūru jeb XML </w:t>
            </w:r>
            <w:proofErr w:type="spellStart"/>
            <w:r w:rsidRPr="00DE15AA">
              <w:rPr>
                <w:rFonts w:ascii="Times New Roman" w:eastAsia="Times New Roman" w:hAnsi="Times New Roman" w:cs="Times New Roman"/>
                <w:color w:val="000000" w:themeColor="text1"/>
                <w:sz w:val="24"/>
                <w:szCs w:val="24"/>
                <w:lang w:eastAsia="lv-LV"/>
              </w:rPr>
              <w:t>Schema</w:t>
            </w:r>
            <w:proofErr w:type="spellEnd"/>
            <w:r w:rsidRPr="00DE15AA">
              <w:rPr>
                <w:rFonts w:ascii="Times New Roman" w:eastAsia="Times New Roman" w:hAnsi="Times New Roman" w:cs="Times New Roman"/>
                <w:color w:val="000000" w:themeColor="text1"/>
                <w:sz w:val="24"/>
                <w:szCs w:val="24"/>
                <w:lang w:eastAsia="lv-LV"/>
              </w:rPr>
              <w:t xml:space="preserve"> </w:t>
            </w:r>
            <w:proofErr w:type="spellStart"/>
            <w:r w:rsidRPr="00DE15AA">
              <w:rPr>
                <w:rFonts w:ascii="Times New Roman" w:eastAsia="Times New Roman" w:hAnsi="Times New Roman" w:cs="Times New Roman"/>
                <w:color w:val="000000" w:themeColor="text1"/>
                <w:sz w:val="24"/>
                <w:szCs w:val="24"/>
                <w:lang w:eastAsia="lv-LV"/>
              </w:rPr>
              <w:t>Definition</w:t>
            </w:r>
            <w:proofErr w:type="spellEnd"/>
            <w:r w:rsidRPr="00DE15AA">
              <w:rPr>
                <w:rFonts w:ascii="Times New Roman" w:eastAsia="Times New Roman" w:hAnsi="Times New Roman" w:cs="Times New Roman"/>
                <w:color w:val="000000" w:themeColor="text1"/>
                <w:sz w:val="24"/>
                <w:szCs w:val="24"/>
                <w:lang w:eastAsia="lv-LV"/>
              </w:rPr>
              <w:t xml:space="preserve"> (turpmāk - XSD) shēmu uzturēs savā tīmekļvietnē, darot to publiski pieejamu Likuma subjektiem un to uzraudzības un kontroles institūcijām.</w:t>
            </w:r>
          </w:p>
          <w:p w14:paraId="4278AD66" w14:textId="77777777" w:rsidR="00DE15AA" w:rsidRDefault="00DE15AA" w:rsidP="00924CE2">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p>
          <w:p w14:paraId="01EB215B" w14:textId="77777777" w:rsidR="00FA3EC7" w:rsidRDefault="00924CE2" w:rsidP="003A621B">
            <w:pPr>
              <w:spacing w:after="0" w:line="240" w:lineRule="auto"/>
              <w:jc w:val="both"/>
              <w:rPr>
                <w:rFonts w:ascii="Times New Roman" w:eastAsia="Times New Roman" w:hAnsi="Times New Roman" w:cs="Times New Roman"/>
                <w:color w:val="000000" w:themeColor="text1"/>
                <w:sz w:val="24"/>
                <w:szCs w:val="24"/>
                <w:lang w:eastAsia="lv-LV"/>
              </w:rPr>
            </w:pPr>
            <w:r w:rsidRPr="003A621B">
              <w:rPr>
                <w:rFonts w:ascii="Times New Roman" w:eastAsia="Times New Roman" w:hAnsi="Times New Roman" w:cs="Times New Roman"/>
                <w:color w:val="000000" w:themeColor="text1"/>
                <w:sz w:val="24"/>
                <w:szCs w:val="24"/>
                <w:lang w:eastAsia="lv-LV"/>
              </w:rPr>
              <w:t xml:space="preserve">Līdz ar Noteikumu projektu </w:t>
            </w:r>
            <w:r w:rsidR="007F69B6">
              <w:rPr>
                <w:rFonts w:ascii="Times New Roman" w:eastAsia="Times New Roman" w:hAnsi="Times New Roman" w:cs="Times New Roman"/>
                <w:color w:val="000000" w:themeColor="text1"/>
                <w:sz w:val="24"/>
                <w:szCs w:val="24"/>
                <w:lang w:eastAsia="lv-LV"/>
              </w:rPr>
              <w:t>t</w:t>
            </w:r>
            <w:r w:rsidRPr="003A621B">
              <w:rPr>
                <w:rFonts w:ascii="Times New Roman" w:eastAsia="Times New Roman" w:hAnsi="Times New Roman" w:cs="Times New Roman"/>
                <w:color w:val="000000" w:themeColor="text1"/>
                <w:sz w:val="24"/>
                <w:szCs w:val="24"/>
                <w:lang w:eastAsia="lv-LV"/>
              </w:rPr>
              <w:t>iek precizētas Noteikumu pielikumā pievienotās veidlapas, ievērojami papildinot sākotnējā Likuma subjekta ziņojumā iekļaujamās informācijas apjomu ar klienta izpētes informāciju (informācija par klienta kontu, līdzekļu atlikumu, klienta ekonomisko darbību, patiesā labuma guvēju, klienta grupu, klienta piesaistītāju, klienta īpašniekiem un ziņojumā iekļauto personu saistību ar politiski nozīmīgu personu). Tiek paredzēts, ka ziņojumam tiek pievienoti klienta izpētes dokumenti un klienta darījumu izpētes dokumenti. Tāpat ziņojuma veidlapā paredzēti lauki informācijas norādīšanai par iespējamo noziedzīgo nodarījumu un konstatētajām darbībām, kas raksturo attiecīgo tipoloģiju. Ziņojuma veidlapas papildu lauki par klienta izpētes informāciju aizpildāmi tikai par ziņojuma iesniedzēja</w:t>
            </w:r>
            <w:r w:rsidR="007F69B6">
              <w:rPr>
                <w:rFonts w:ascii="Times New Roman" w:eastAsia="Times New Roman" w:hAnsi="Times New Roman" w:cs="Times New Roman"/>
                <w:color w:val="000000" w:themeColor="text1"/>
                <w:sz w:val="24"/>
                <w:szCs w:val="24"/>
                <w:lang w:eastAsia="lv-LV"/>
              </w:rPr>
              <w:t xml:space="preserve"> </w:t>
            </w:r>
            <w:r w:rsidRPr="003A621B">
              <w:rPr>
                <w:rFonts w:ascii="Times New Roman" w:eastAsia="Times New Roman" w:hAnsi="Times New Roman" w:cs="Times New Roman"/>
                <w:color w:val="000000" w:themeColor="text1"/>
                <w:sz w:val="24"/>
                <w:szCs w:val="24"/>
                <w:lang w:eastAsia="lv-LV"/>
              </w:rPr>
              <w:t>- Likuma subjekta- klientu.</w:t>
            </w:r>
            <w:r w:rsidR="007F69B6">
              <w:rPr>
                <w:rFonts w:ascii="Times New Roman" w:eastAsia="Times New Roman" w:hAnsi="Times New Roman" w:cs="Times New Roman"/>
                <w:color w:val="000000" w:themeColor="text1"/>
                <w:sz w:val="24"/>
                <w:szCs w:val="24"/>
                <w:lang w:eastAsia="lv-LV"/>
              </w:rPr>
              <w:t xml:space="preserve"> Ar jēdzieniem „alternatīvās adrese valsts” un „alternatīvā adrese” tiek saprasta personu papildus adrese, piemēram, papildus juridiskās personas reģistrētajai adresei, tiek norādīta arī </w:t>
            </w:r>
            <w:proofErr w:type="spellStart"/>
            <w:r w:rsidR="007F69B6">
              <w:rPr>
                <w:rFonts w:ascii="Times New Roman" w:eastAsia="Times New Roman" w:hAnsi="Times New Roman" w:cs="Times New Roman"/>
                <w:color w:val="000000" w:themeColor="text1"/>
                <w:sz w:val="24"/>
                <w:szCs w:val="24"/>
                <w:lang w:eastAsia="lv-LV"/>
              </w:rPr>
              <w:t>korepondences</w:t>
            </w:r>
            <w:proofErr w:type="spellEnd"/>
            <w:r w:rsidR="007F69B6">
              <w:rPr>
                <w:rFonts w:ascii="Times New Roman" w:eastAsia="Times New Roman" w:hAnsi="Times New Roman" w:cs="Times New Roman"/>
                <w:color w:val="000000" w:themeColor="text1"/>
                <w:sz w:val="24"/>
                <w:szCs w:val="24"/>
                <w:lang w:eastAsia="lv-LV"/>
              </w:rPr>
              <w:t xml:space="preserve"> adrese. </w:t>
            </w:r>
          </w:p>
          <w:p w14:paraId="11B32001" w14:textId="77777777" w:rsidR="00FA3EC7" w:rsidRDefault="00FA3EC7" w:rsidP="003A621B">
            <w:pPr>
              <w:spacing w:after="0" w:line="240" w:lineRule="auto"/>
              <w:jc w:val="both"/>
              <w:rPr>
                <w:rFonts w:ascii="Times New Roman" w:eastAsia="Times New Roman" w:hAnsi="Times New Roman" w:cs="Times New Roman"/>
                <w:color w:val="000000" w:themeColor="text1"/>
                <w:sz w:val="24"/>
                <w:szCs w:val="24"/>
                <w:lang w:eastAsia="lv-LV"/>
              </w:rPr>
            </w:pPr>
          </w:p>
          <w:p w14:paraId="2DB462B8" w14:textId="3023C1B8" w:rsidR="00924CE2" w:rsidRPr="003A621B" w:rsidRDefault="007F69B6" w:rsidP="003A621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Papildus norādāms, ka </w:t>
            </w:r>
            <w:r w:rsidR="0026185D">
              <w:rPr>
                <w:rFonts w:ascii="Times New Roman" w:eastAsia="Times New Roman" w:hAnsi="Times New Roman" w:cs="Times New Roman"/>
                <w:color w:val="000000" w:themeColor="text1"/>
                <w:sz w:val="24"/>
                <w:szCs w:val="24"/>
                <w:lang w:eastAsia="lv-LV"/>
              </w:rPr>
              <w:t xml:space="preserve">Likuma subjektiem nebūs obligāti jāaizpilda visi </w:t>
            </w:r>
            <w:r>
              <w:rPr>
                <w:rFonts w:ascii="Times New Roman" w:eastAsia="Times New Roman" w:hAnsi="Times New Roman" w:cs="Times New Roman"/>
                <w:color w:val="000000" w:themeColor="text1"/>
                <w:sz w:val="24"/>
                <w:szCs w:val="24"/>
                <w:lang w:eastAsia="lv-LV"/>
              </w:rPr>
              <w:t xml:space="preserve">Noteikumu projekta 1. pielikumā šobrīd ietvertie lauki, tādējādi nodrošinot iespēju iesniegt ziņojumu arī tad, ja ņemot vērā Likuma subjekta darbības specifiku, </w:t>
            </w:r>
            <w:r w:rsidR="00EE5469">
              <w:rPr>
                <w:rFonts w:ascii="Times New Roman" w:eastAsia="Times New Roman" w:hAnsi="Times New Roman" w:cs="Times New Roman"/>
                <w:color w:val="000000" w:themeColor="text1"/>
                <w:sz w:val="24"/>
                <w:szCs w:val="24"/>
                <w:lang w:eastAsia="lv-LV"/>
              </w:rPr>
              <w:t xml:space="preserve">attiecīgā informācija Likuma subjektiem nav zināma (piemēram attiecībā uz </w:t>
            </w:r>
            <w:proofErr w:type="spellStart"/>
            <w:r w:rsidR="00EE5469">
              <w:rPr>
                <w:rFonts w:ascii="Times New Roman" w:eastAsia="Times New Roman" w:hAnsi="Times New Roman" w:cs="Times New Roman"/>
                <w:color w:val="000000" w:themeColor="text1"/>
                <w:sz w:val="24"/>
                <w:szCs w:val="24"/>
                <w:lang w:eastAsia="lv-LV"/>
              </w:rPr>
              <w:t>nefinanšu</w:t>
            </w:r>
            <w:proofErr w:type="spellEnd"/>
            <w:r w:rsidR="00EE5469">
              <w:rPr>
                <w:rFonts w:ascii="Times New Roman" w:eastAsia="Times New Roman" w:hAnsi="Times New Roman" w:cs="Times New Roman"/>
                <w:color w:val="000000" w:themeColor="text1"/>
                <w:sz w:val="24"/>
                <w:szCs w:val="24"/>
                <w:lang w:eastAsia="lv-LV"/>
              </w:rPr>
              <w:t xml:space="preserve"> sektora Likuma subjektiem lauk</w:t>
            </w:r>
            <w:r w:rsidR="00030B4A">
              <w:rPr>
                <w:rFonts w:ascii="Times New Roman" w:eastAsia="Times New Roman" w:hAnsi="Times New Roman" w:cs="Times New Roman"/>
                <w:color w:val="000000" w:themeColor="text1"/>
                <w:sz w:val="24"/>
                <w:szCs w:val="24"/>
                <w:lang w:eastAsia="lv-LV"/>
              </w:rPr>
              <w:t>i</w:t>
            </w:r>
            <w:r w:rsidR="00EE5469">
              <w:rPr>
                <w:rFonts w:ascii="Times New Roman" w:eastAsia="Times New Roman" w:hAnsi="Times New Roman" w:cs="Times New Roman"/>
                <w:color w:val="000000" w:themeColor="text1"/>
                <w:sz w:val="24"/>
                <w:szCs w:val="24"/>
                <w:lang w:eastAsia="lv-LV"/>
              </w:rPr>
              <w:t xml:space="preserve"> „</w:t>
            </w:r>
            <w:r w:rsidR="00EE5469" w:rsidRPr="003A621B">
              <w:rPr>
                <w:rFonts w:ascii="Times New Roman" w:eastAsia="Times New Roman" w:hAnsi="Times New Roman" w:cs="Times New Roman"/>
                <w:color w:val="000000" w:themeColor="text1"/>
                <w:sz w:val="24"/>
                <w:szCs w:val="24"/>
                <w:lang w:eastAsia="lv-LV"/>
              </w:rPr>
              <w:t>Atlikums klienta kontā (-</w:t>
            </w:r>
            <w:proofErr w:type="spellStart"/>
            <w:r w:rsidR="00EE5469" w:rsidRPr="003A621B">
              <w:rPr>
                <w:rFonts w:ascii="Times New Roman" w:eastAsia="Times New Roman" w:hAnsi="Times New Roman" w:cs="Times New Roman"/>
                <w:color w:val="000000" w:themeColor="text1"/>
                <w:sz w:val="24"/>
                <w:szCs w:val="24"/>
                <w:lang w:eastAsia="lv-LV"/>
              </w:rPr>
              <w:t>os</w:t>
            </w:r>
            <w:proofErr w:type="spellEnd"/>
            <w:r w:rsidR="00EE5469" w:rsidRPr="003A621B">
              <w:rPr>
                <w:rFonts w:ascii="Times New Roman" w:eastAsia="Times New Roman" w:hAnsi="Times New Roman" w:cs="Times New Roman"/>
                <w:color w:val="000000" w:themeColor="text1"/>
                <w:sz w:val="24"/>
                <w:szCs w:val="24"/>
                <w:lang w:eastAsia="lv-LV"/>
              </w:rPr>
              <w:t>) ziņojuma iesniegšanas datumā</w:t>
            </w:r>
            <w:r w:rsidR="00EE5469">
              <w:rPr>
                <w:rFonts w:ascii="Times New Roman" w:eastAsia="Times New Roman" w:hAnsi="Times New Roman" w:cs="Times New Roman"/>
                <w:color w:val="000000" w:themeColor="text1"/>
                <w:sz w:val="24"/>
                <w:szCs w:val="24"/>
                <w:lang w:eastAsia="lv-LV"/>
              </w:rPr>
              <w:t xml:space="preserve">”,  </w:t>
            </w:r>
            <w:r w:rsidR="00EE5469" w:rsidRPr="003A621B">
              <w:rPr>
                <w:rFonts w:ascii="Times New Roman" w:eastAsia="Times New Roman" w:hAnsi="Times New Roman" w:cs="Times New Roman"/>
                <w:color w:val="000000" w:themeColor="text1"/>
                <w:sz w:val="24"/>
                <w:szCs w:val="24"/>
                <w:lang w:eastAsia="lv-LV"/>
              </w:rPr>
              <w:t>Darījuma/ darbības dalībnieka konta informācija u.c.</w:t>
            </w:r>
            <w:r w:rsidR="00030B4A">
              <w:rPr>
                <w:rFonts w:ascii="Times New Roman" w:eastAsia="Times New Roman" w:hAnsi="Times New Roman" w:cs="Times New Roman"/>
                <w:color w:val="000000" w:themeColor="text1"/>
                <w:sz w:val="24"/>
                <w:szCs w:val="24"/>
                <w:lang w:eastAsia="lv-LV"/>
              </w:rPr>
              <w:t xml:space="preserve"> nebūs obligāti aizpildāmi</w:t>
            </w:r>
            <w:r w:rsidR="00EE5469" w:rsidRPr="003A621B">
              <w:rPr>
                <w:rFonts w:ascii="Times New Roman" w:eastAsia="Times New Roman" w:hAnsi="Times New Roman" w:cs="Times New Roman"/>
                <w:color w:val="000000" w:themeColor="text1"/>
                <w:sz w:val="24"/>
                <w:szCs w:val="24"/>
                <w:lang w:eastAsia="lv-LV"/>
              </w:rPr>
              <w:t>).</w:t>
            </w:r>
            <w:r w:rsidR="00275433">
              <w:rPr>
                <w:rFonts w:ascii="Times New Roman" w:eastAsia="Times New Roman" w:hAnsi="Times New Roman" w:cs="Times New Roman"/>
                <w:color w:val="000000" w:themeColor="text1"/>
                <w:sz w:val="24"/>
                <w:szCs w:val="24"/>
                <w:lang w:eastAsia="lv-LV"/>
              </w:rPr>
              <w:t xml:space="preserve"> Veidlapa ir vispārīga</w:t>
            </w:r>
            <w:r w:rsidR="00FA3EC7">
              <w:rPr>
                <w:rFonts w:ascii="Times New Roman" w:eastAsia="Times New Roman" w:hAnsi="Times New Roman" w:cs="Times New Roman"/>
                <w:color w:val="000000" w:themeColor="text1"/>
                <w:sz w:val="24"/>
                <w:szCs w:val="24"/>
                <w:lang w:eastAsia="lv-LV"/>
              </w:rPr>
              <w:t xml:space="preserve"> un</w:t>
            </w:r>
            <w:r w:rsidR="00275433">
              <w:rPr>
                <w:rFonts w:ascii="Times New Roman" w:eastAsia="Times New Roman" w:hAnsi="Times New Roman" w:cs="Times New Roman"/>
                <w:color w:val="000000" w:themeColor="text1"/>
                <w:sz w:val="24"/>
                <w:szCs w:val="24"/>
                <w:lang w:eastAsia="lv-LV"/>
              </w:rPr>
              <w:t xml:space="preserve"> </w:t>
            </w:r>
            <w:r w:rsidR="00E4431F">
              <w:rPr>
                <w:rFonts w:ascii="Times New Roman" w:eastAsia="Times New Roman" w:hAnsi="Times New Roman" w:cs="Times New Roman"/>
                <w:color w:val="000000" w:themeColor="text1"/>
                <w:sz w:val="24"/>
                <w:szCs w:val="24"/>
                <w:lang w:eastAsia="lv-LV"/>
              </w:rPr>
              <w:t xml:space="preserve">tehniski tiks </w:t>
            </w:r>
            <w:r w:rsidR="00275433">
              <w:rPr>
                <w:rFonts w:ascii="Times New Roman" w:eastAsia="Times New Roman" w:hAnsi="Times New Roman" w:cs="Times New Roman"/>
                <w:color w:val="000000" w:themeColor="text1"/>
                <w:sz w:val="24"/>
                <w:szCs w:val="24"/>
                <w:lang w:eastAsia="lv-LV"/>
              </w:rPr>
              <w:t xml:space="preserve">pielāgošana (validācija) noteiktām ziņotāju grupām tiks veikta, publicējot veidlapu Finanšu </w:t>
            </w:r>
            <w:r w:rsidR="00275433">
              <w:rPr>
                <w:rFonts w:ascii="Times New Roman" w:eastAsia="Times New Roman" w:hAnsi="Times New Roman" w:cs="Times New Roman"/>
                <w:color w:val="000000" w:themeColor="text1"/>
                <w:sz w:val="24"/>
                <w:szCs w:val="24"/>
                <w:lang w:eastAsia="lv-LV"/>
              </w:rPr>
              <w:lastRenderedPageBreak/>
              <w:t>izlūkošanas dienesta elektroniskajā vietnē, kā arī ziņojumu sniegšanas procesā.</w:t>
            </w:r>
          </w:p>
          <w:p w14:paraId="0487CC72" w14:textId="7A310B0D" w:rsidR="00924CE2" w:rsidRDefault="00924CE2" w:rsidP="00924CE2">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p>
          <w:p w14:paraId="62C80696" w14:textId="2A8E11A7" w:rsidR="00924CE2" w:rsidRPr="003A621B" w:rsidRDefault="00924CE2" w:rsidP="00924CE2">
            <w:pPr>
              <w:shd w:val="clear" w:color="auto" w:fill="FFFFFF"/>
              <w:spacing w:after="0" w:line="240" w:lineRule="auto"/>
              <w:ind w:right="107"/>
              <w:jc w:val="both"/>
              <w:rPr>
                <w:rFonts w:ascii="Times New Roman" w:eastAsia="Times New Roman" w:hAnsi="Times New Roman" w:cs="Times New Roman"/>
                <w:color w:val="000000" w:themeColor="text1"/>
                <w:sz w:val="24"/>
                <w:szCs w:val="24"/>
                <w:lang w:eastAsia="lv-LV"/>
              </w:rPr>
            </w:pPr>
            <w:r w:rsidRPr="003A621B">
              <w:rPr>
                <w:rFonts w:ascii="Times New Roman" w:eastAsia="Times New Roman" w:hAnsi="Times New Roman" w:cs="Times New Roman"/>
                <w:color w:val="000000" w:themeColor="text1"/>
                <w:sz w:val="24"/>
                <w:szCs w:val="24"/>
                <w:lang w:eastAsia="lv-LV"/>
              </w:rPr>
              <w:t xml:space="preserve">Vienlaikus norādāms, ka </w:t>
            </w:r>
            <w:r w:rsidR="007F69B6" w:rsidRPr="003A621B">
              <w:rPr>
                <w:rFonts w:ascii="Times New Roman" w:eastAsia="Times New Roman" w:hAnsi="Times New Roman" w:cs="Times New Roman"/>
                <w:color w:val="000000" w:themeColor="text1"/>
                <w:sz w:val="24"/>
                <w:szCs w:val="24"/>
                <w:lang w:eastAsia="lv-LV"/>
              </w:rPr>
              <w:t>z</w:t>
            </w:r>
            <w:r w:rsidRPr="003A621B">
              <w:rPr>
                <w:rFonts w:ascii="Times New Roman" w:eastAsia="Times New Roman" w:hAnsi="Times New Roman" w:cs="Times New Roman"/>
                <w:color w:val="000000" w:themeColor="text1"/>
                <w:sz w:val="24"/>
                <w:szCs w:val="24"/>
                <w:lang w:eastAsia="lv-LV"/>
              </w:rPr>
              <w:t>iņojuma iesniegšana neatbrīvo Likuma subjektu no pienākuma iesniegt sliekšņa deklarāciju, ja darījums, uz ko attiecas ziņojums, atbilst kāda</w:t>
            </w:r>
            <w:r w:rsidR="007F69B6" w:rsidRPr="003A621B">
              <w:rPr>
                <w:rFonts w:ascii="Times New Roman" w:eastAsia="Times New Roman" w:hAnsi="Times New Roman" w:cs="Times New Roman"/>
                <w:color w:val="000000" w:themeColor="text1"/>
                <w:sz w:val="24"/>
                <w:szCs w:val="24"/>
                <w:lang w:eastAsia="lv-LV"/>
              </w:rPr>
              <w:t>m</w:t>
            </w:r>
            <w:r w:rsidRPr="003A621B">
              <w:rPr>
                <w:rFonts w:ascii="Times New Roman" w:eastAsia="Times New Roman" w:hAnsi="Times New Roman" w:cs="Times New Roman"/>
                <w:color w:val="000000" w:themeColor="text1"/>
                <w:sz w:val="24"/>
                <w:szCs w:val="24"/>
                <w:lang w:eastAsia="lv-LV"/>
              </w:rPr>
              <w:t xml:space="preserve"> no Ministru kabineta noteikumos par sliekšņa deklarācijas iesniegšanas kārtību un saturu noteiktaj</w:t>
            </w:r>
            <w:r w:rsidR="007F69B6" w:rsidRPr="003A621B">
              <w:rPr>
                <w:rFonts w:ascii="Times New Roman" w:eastAsia="Times New Roman" w:hAnsi="Times New Roman" w:cs="Times New Roman"/>
                <w:color w:val="000000" w:themeColor="text1"/>
                <w:sz w:val="24"/>
                <w:szCs w:val="24"/>
                <w:lang w:eastAsia="lv-LV"/>
              </w:rPr>
              <w:t>iem</w:t>
            </w:r>
            <w:r w:rsidRPr="003A621B">
              <w:rPr>
                <w:rFonts w:ascii="Times New Roman" w:eastAsia="Times New Roman" w:hAnsi="Times New Roman" w:cs="Times New Roman"/>
                <w:color w:val="000000" w:themeColor="text1"/>
                <w:sz w:val="24"/>
                <w:szCs w:val="24"/>
                <w:lang w:eastAsia="lv-LV"/>
              </w:rPr>
              <w:t xml:space="preserve"> sliekšņa deklarācijas </w:t>
            </w:r>
            <w:r w:rsidR="007F69B6" w:rsidRPr="003A621B">
              <w:rPr>
                <w:rFonts w:ascii="Times New Roman" w:eastAsia="Times New Roman" w:hAnsi="Times New Roman" w:cs="Times New Roman"/>
                <w:color w:val="000000" w:themeColor="text1"/>
                <w:sz w:val="24"/>
                <w:szCs w:val="24"/>
                <w:lang w:eastAsia="lv-LV"/>
              </w:rPr>
              <w:t>gadījumiem</w:t>
            </w:r>
            <w:r w:rsidRPr="003A621B">
              <w:rPr>
                <w:rFonts w:ascii="Times New Roman" w:eastAsia="Times New Roman" w:hAnsi="Times New Roman" w:cs="Times New Roman"/>
                <w:color w:val="000000" w:themeColor="text1"/>
                <w:sz w:val="24"/>
                <w:szCs w:val="24"/>
                <w:lang w:eastAsia="lv-LV"/>
              </w:rPr>
              <w:t>.</w:t>
            </w:r>
          </w:p>
          <w:p w14:paraId="2EB1943E" w14:textId="77777777" w:rsidR="00924CE2" w:rsidRPr="003A621B" w:rsidRDefault="00924CE2" w:rsidP="00924CE2">
            <w:pPr>
              <w:pStyle w:val="ListParagraph"/>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eastAsia="lv-LV"/>
              </w:rPr>
            </w:pPr>
          </w:p>
          <w:p w14:paraId="69C50FB8" w14:textId="33F4AF84" w:rsidR="00924CE2" w:rsidRDefault="007F69B6" w:rsidP="003A621B">
            <w:pPr>
              <w:spacing w:after="0" w:line="240" w:lineRule="auto"/>
              <w:jc w:val="both"/>
              <w:rPr>
                <w:rFonts w:ascii="Times New Roman" w:eastAsia="Times New Roman" w:hAnsi="Times New Roman" w:cs="Times New Roman"/>
                <w:color w:val="000000" w:themeColor="text1"/>
                <w:sz w:val="24"/>
                <w:szCs w:val="24"/>
                <w:lang w:eastAsia="lv-LV"/>
              </w:rPr>
            </w:pPr>
            <w:r w:rsidRPr="003A621B">
              <w:rPr>
                <w:rFonts w:ascii="Times New Roman" w:eastAsia="Times New Roman" w:hAnsi="Times New Roman" w:cs="Times New Roman"/>
                <w:color w:val="000000" w:themeColor="text1"/>
                <w:sz w:val="24"/>
                <w:szCs w:val="24"/>
                <w:lang w:eastAsia="lv-LV"/>
              </w:rPr>
              <w:t>Z</w:t>
            </w:r>
            <w:r w:rsidR="00924CE2" w:rsidRPr="003A621B">
              <w:rPr>
                <w:rFonts w:ascii="Times New Roman" w:eastAsia="Times New Roman" w:hAnsi="Times New Roman" w:cs="Times New Roman"/>
                <w:color w:val="000000" w:themeColor="text1"/>
                <w:sz w:val="24"/>
                <w:szCs w:val="24"/>
                <w:lang w:eastAsia="lv-LV"/>
              </w:rPr>
              <w:t xml:space="preserve">iņojumā ietverami visi savstarpēji saistīti darījumi, kas veido darījuma aizdomīgumu. </w:t>
            </w:r>
            <w:r w:rsidRPr="003A621B">
              <w:rPr>
                <w:rFonts w:ascii="Times New Roman" w:eastAsia="Times New Roman" w:hAnsi="Times New Roman" w:cs="Times New Roman"/>
                <w:color w:val="000000" w:themeColor="text1"/>
                <w:sz w:val="24"/>
                <w:szCs w:val="24"/>
                <w:lang w:eastAsia="lv-LV"/>
              </w:rPr>
              <w:t>Savukārt gadījumos, j</w:t>
            </w:r>
            <w:r w:rsidR="00924CE2" w:rsidRPr="003A621B">
              <w:rPr>
                <w:rFonts w:ascii="Times New Roman" w:eastAsia="Times New Roman" w:hAnsi="Times New Roman" w:cs="Times New Roman"/>
                <w:color w:val="000000" w:themeColor="text1"/>
                <w:sz w:val="24"/>
                <w:szCs w:val="24"/>
                <w:lang w:eastAsia="lv-LV"/>
              </w:rPr>
              <w:t>a darījuma aizdomīgumu rada vairāki savstarpēji saistīti darījumi, tad ziņojumā ietver ziņas par visiem attiecīgajiem darījumiem.</w:t>
            </w:r>
          </w:p>
          <w:p w14:paraId="411D5B77" w14:textId="77777777" w:rsidR="00DE15AA" w:rsidRPr="003A621B" w:rsidRDefault="00DE15AA" w:rsidP="00DE15AA">
            <w:pPr>
              <w:pStyle w:val="tv213"/>
              <w:shd w:val="clear" w:color="auto" w:fill="FFFFFF"/>
              <w:spacing w:before="0" w:beforeAutospacing="0" w:after="0" w:afterAutospacing="0" w:line="293" w:lineRule="atLeast"/>
              <w:jc w:val="both"/>
              <w:rPr>
                <w:color w:val="000000" w:themeColor="text1"/>
              </w:rPr>
            </w:pPr>
          </w:p>
          <w:p w14:paraId="2B2FE27A" w14:textId="75FE6C80" w:rsidR="00924CE2" w:rsidRPr="00950401" w:rsidRDefault="00924CE2" w:rsidP="00924CE2">
            <w:pPr>
              <w:pStyle w:val="tv213"/>
              <w:shd w:val="clear" w:color="auto" w:fill="FFFFFF"/>
              <w:spacing w:before="0" w:beforeAutospacing="0" w:after="0" w:afterAutospacing="0"/>
              <w:jc w:val="both"/>
              <w:rPr>
                <w:color w:val="000000" w:themeColor="text1"/>
                <w:shd w:val="clear" w:color="auto" w:fill="FFFFFF"/>
              </w:rPr>
            </w:pPr>
            <w:r w:rsidRPr="00950401">
              <w:rPr>
                <w:color w:val="000000" w:themeColor="text1"/>
              </w:rPr>
              <w:t xml:space="preserve">Likuma 3.panta ceturtajā daļā ir ietverts pienākums arī </w:t>
            </w:r>
            <w:r w:rsidRPr="00950401">
              <w:rPr>
                <w:color w:val="000000" w:themeColor="text1"/>
                <w:shd w:val="clear" w:color="auto" w:fill="FFFFFF"/>
              </w:rPr>
              <w:t>panta pirmajā daļā nenorādītajām personām, kā arī valsts institūcijām, atvasinātām publiskām personām un to institūcijām pildīt Likuma prasības attiecībā uz ziņu sniegšanu par aizdomīgiem darījumiem. Vēl jo vairāk – ar mērķi skaidri nošķirt Likuma subjektus no citām personām, līdz ar grozījumiem Likumā, kas stājās spēkā 2019.gada 29.jūnijā, no 2019.gada 17.decembra minētā daļa tiek izteikta atsevišķā pantā šādā redakcijā:</w:t>
            </w:r>
          </w:p>
          <w:p w14:paraId="67101D10" w14:textId="77777777" w:rsidR="00924CE2" w:rsidRPr="00950401" w:rsidRDefault="00924CE2" w:rsidP="00924CE2">
            <w:pPr>
              <w:pStyle w:val="tv213"/>
              <w:shd w:val="clear" w:color="auto" w:fill="FFFFFF"/>
              <w:spacing w:before="0" w:beforeAutospacing="0" w:after="0" w:afterAutospacing="0"/>
              <w:jc w:val="both"/>
              <w:rPr>
                <w:color w:val="000000" w:themeColor="text1"/>
                <w:shd w:val="clear" w:color="auto" w:fill="FFFFFF"/>
              </w:rPr>
            </w:pPr>
          </w:p>
          <w:p w14:paraId="7037D83C" w14:textId="77777777" w:rsidR="00924CE2" w:rsidRPr="00950401" w:rsidRDefault="00924CE2" w:rsidP="00924CE2">
            <w:pPr>
              <w:shd w:val="clear" w:color="auto" w:fill="FFFFFF"/>
              <w:spacing w:after="0" w:line="240" w:lineRule="auto"/>
              <w:ind w:firstLine="300"/>
              <w:jc w:val="both"/>
              <w:rPr>
                <w:rFonts w:ascii="Times New Roman" w:hAnsi="Times New Roman" w:cs="Times New Roman"/>
                <w:i/>
                <w:color w:val="000000" w:themeColor="text1"/>
                <w:sz w:val="24"/>
                <w:szCs w:val="24"/>
              </w:rPr>
            </w:pPr>
            <w:r w:rsidRPr="00950401">
              <w:rPr>
                <w:rFonts w:ascii="Times New Roman" w:hAnsi="Times New Roman" w:cs="Times New Roman"/>
                <w:b/>
                <w:bCs/>
                <w:i/>
                <w:color w:val="000000" w:themeColor="text1"/>
                <w:sz w:val="24"/>
                <w:szCs w:val="24"/>
              </w:rPr>
              <w:t>„3.</w:t>
            </w:r>
            <w:r w:rsidRPr="00950401">
              <w:rPr>
                <w:rFonts w:ascii="Times New Roman" w:hAnsi="Times New Roman" w:cs="Times New Roman"/>
                <w:b/>
                <w:bCs/>
                <w:i/>
                <w:color w:val="000000" w:themeColor="text1"/>
                <w:sz w:val="24"/>
                <w:szCs w:val="24"/>
                <w:vertAlign w:val="superscript"/>
              </w:rPr>
              <w:t>1</w:t>
            </w:r>
            <w:r w:rsidRPr="00950401">
              <w:rPr>
                <w:rFonts w:ascii="Times New Roman" w:hAnsi="Times New Roman" w:cs="Times New Roman"/>
                <w:b/>
                <w:bCs/>
                <w:i/>
                <w:color w:val="000000" w:themeColor="text1"/>
                <w:sz w:val="24"/>
                <w:szCs w:val="24"/>
              </w:rPr>
              <w:t> pants. Citu personu pienākums attiecībā uz informācijas sniegšanu par aizdomīgiem darījumiem</w:t>
            </w:r>
          </w:p>
          <w:p w14:paraId="296F6571" w14:textId="77777777" w:rsidR="00924CE2" w:rsidRPr="00950401" w:rsidRDefault="00924CE2" w:rsidP="00924CE2">
            <w:pPr>
              <w:shd w:val="clear" w:color="auto" w:fill="FFFFFF"/>
              <w:spacing w:after="0" w:line="240" w:lineRule="auto"/>
              <w:ind w:firstLine="300"/>
              <w:jc w:val="both"/>
              <w:rPr>
                <w:rFonts w:ascii="Times New Roman" w:hAnsi="Times New Roman" w:cs="Times New Roman"/>
                <w:i/>
                <w:color w:val="000000" w:themeColor="text1"/>
                <w:sz w:val="24"/>
                <w:szCs w:val="24"/>
              </w:rPr>
            </w:pPr>
            <w:r w:rsidRPr="00950401">
              <w:rPr>
                <w:rFonts w:ascii="Times New Roman" w:hAnsi="Times New Roman" w:cs="Times New Roman"/>
                <w:i/>
                <w:color w:val="000000" w:themeColor="text1"/>
                <w:sz w:val="24"/>
                <w:szCs w:val="24"/>
              </w:rPr>
              <w:t>Lai novērstu ar noziedzīgi iegūtu līdzekļu legalizāciju un terorisma un proliferācijas finansēšanu saistītas darbības, arī šā likuma 3. pantā nenorādītām personām, kā arī valsts institūcijām, atvasinātām publiskām personām un to institūcijām ir pienākums sniegt Finanšu izlūkošanas dienestam informāciju par katru aizdomīgu darījumu, kā arī to rīcībā esošo informāciju un dokumentus, kas nepieciešami Finanšu izlūkošanas dienestam tā pienākumu veikšanai atbilstoši šā likuma prasībām. Šajā pantā norādītajām personām tiek piemēroti likuma subjektiem paredzētie tiesiskās aizsardzības mehānismi.”</w:t>
            </w:r>
          </w:p>
          <w:p w14:paraId="31936C67" w14:textId="77777777" w:rsidR="00924CE2" w:rsidRPr="00950401" w:rsidRDefault="00924CE2" w:rsidP="00924CE2">
            <w:pPr>
              <w:pStyle w:val="tv213"/>
              <w:shd w:val="clear" w:color="auto" w:fill="FFFFFF"/>
              <w:spacing w:before="0" w:beforeAutospacing="0" w:after="0" w:afterAutospacing="0"/>
              <w:jc w:val="both"/>
              <w:rPr>
                <w:color w:val="000000" w:themeColor="text1"/>
                <w:shd w:val="clear" w:color="auto" w:fill="FFFFFF"/>
              </w:rPr>
            </w:pPr>
          </w:p>
          <w:p w14:paraId="7FB288C6" w14:textId="1B33A32A" w:rsidR="00924CE2" w:rsidRPr="00950401" w:rsidRDefault="00924CE2" w:rsidP="00924CE2">
            <w:pPr>
              <w:pStyle w:val="tv213"/>
              <w:shd w:val="clear" w:color="auto" w:fill="FFFFFF"/>
              <w:spacing w:before="0" w:beforeAutospacing="0" w:after="0" w:afterAutospacing="0"/>
              <w:jc w:val="both"/>
              <w:rPr>
                <w:color w:val="000000" w:themeColor="text1"/>
              </w:rPr>
            </w:pPr>
            <w:r w:rsidRPr="00950401">
              <w:rPr>
                <w:color w:val="000000" w:themeColor="text1"/>
                <w:shd w:val="clear" w:color="auto" w:fill="FFFFFF"/>
              </w:rPr>
              <w:t xml:space="preserve">Norādāms, ka Finanšu izlūkošanas dienests saņem ziņojumus par aizdomīgiem darījumiem arī no Likuma 3.panta pirmajā daļā neminētajiem Likuma subjektiem, kas tiek analizēta ar mērķi novērst vai atklāt noziedzīgi iegūtu līdzekļu legalizāciju, terorisma vai proliferācijas finansēšanu. Vienlaikus, lai atvieglotu un vienlaikus motivētu personas ziņot par attiecīgajiem faktiem, personām netiek noteikts obligāts pienākums aizpildīt Noteikumu projekta 1.pielikumā iekļauto veidlapu, </w:t>
            </w:r>
            <w:r w:rsidRPr="00950401">
              <w:rPr>
                <w:color w:val="000000" w:themeColor="text1"/>
                <w:shd w:val="clear" w:color="auto" w:fill="FFFFFF"/>
              </w:rPr>
              <w:lastRenderedPageBreak/>
              <w:t xml:space="preserve">kuras aizpildīšanai ir nepieciešamas padziļinātākas zināšanas, kā arī fakti, kurus var iegūt, veicot Likumā noteikto klienta izpēti, kas obligāta ir tikai Likuma 3.panta pirmajā daļā minētajiem Likuma subjektiem. Ievērojot minēto, līdz ar </w:t>
            </w:r>
            <w:r w:rsidRPr="00DE15AA">
              <w:rPr>
                <w:b/>
                <w:color w:val="000000" w:themeColor="text1"/>
                <w:shd w:val="clear" w:color="auto" w:fill="FFFFFF"/>
              </w:rPr>
              <w:t xml:space="preserve">Noteikumu projekta </w:t>
            </w:r>
            <w:r w:rsidR="001F6F9E">
              <w:rPr>
                <w:b/>
                <w:color w:val="000000" w:themeColor="text1"/>
                <w:shd w:val="clear" w:color="auto" w:fill="FFFFFF"/>
              </w:rPr>
              <w:t>4</w:t>
            </w:r>
            <w:r w:rsidRPr="00DE15AA">
              <w:rPr>
                <w:b/>
                <w:color w:val="000000" w:themeColor="text1"/>
                <w:shd w:val="clear" w:color="auto" w:fill="FFFFFF"/>
              </w:rPr>
              <w:t>.punktu</w:t>
            </w:r>
            <w:r w:rsidRPr="00950401">
              <w:rPr>
                <w:color w:val="000000" w:themeColor="text1"/>
                <w:shd w:val="clear" w:color="auto" w:fill="FFFFFF"/>
              </w:rPr>
              <w:t xml:space="preserve"> ir noteikts, ka </w:t>
            </w:r>
            <w:r w:rsidR="00DE15AA">
              <w:rPr>
                <w:color w:val="000000" w:themeColor="text1"/>
                <w:shd w:val="clear" w:color="auto" w:fill="FFFFFF"/>
              </w:rPr>
              <w:t>c</w:t>
            </w:r>
            <w:r w:rsidRPr="00950401">
              <w:rPr>
                <w:color w:val="000000" w:themeColor="text1"/>
              </w:rPr>
              <w:t>it</w:t>
            </w:r>
            <w:r w:rsidR="00D8031B">
              <w:rPr>
                <w:color w:val="000000" w:themeColor="text1"/>
              </w:rPr>
              <w:t>as</w:t>
            </w:r>
            <w:r w:rsidRPr="00950401">
              <w:rPr>
                <w:color w:val="000000" w:themeColor="text1"/>
              </w:rPr>
              <w:t xml:space="preserve"> person</w:t>
            </w:r>
            <w:r w:rsidR="00D8031B">
              <w:rPr>
                <w:color w:val="000000" w:themeColor="text1"/>
              </w:rPr>
              <w:t>as</w:t>
            </w:r>
            <w:r w:rsidRPr="00950401">
              <w:rPr>
                <w:color w:val="000000" w:themeColor="text1"/>
              </w:rPr>
              <w:t xml:space="preserve"> </w:t>
            </w:r>
            <w:r w:rsidR="00D8031B">
              <w:rPr>
                <w:color w:val="000000" w:themeColor="text1"/>
              </w:rPr>
              <w:t>var</w:t>
            </w:r>
            <w:r w:rsidRPr="00950401">
              <w:rPr>
                <w:color w:val="000000" w:themeColor="text1"/>
              </w:rPr>
              <w:t xml:space="preserve"> iesniegt ziņojumu papīra formā, aizpildot noteikumu </w:t>
            </w:r>
            <w:hyperlink r:id="rId8" w:anchor="piel1" w:history="1">
              <w:r w:rsidRPr="00950401">
                <w:rPr>
                  <w:color w:val="000000" w:themeColor="text1"/>
                </w:rPr>
                <w:t>2.</w:t>
              </w:r>
            </w:hyperlink>
            <w:r w:rsidRPr="00950401">
              <w:rPr>
                <w:color w:val="000000" w:themeColor="text1"/>
              </w:rPr>
              <w:t xml:space="preserve"> pielikumā minēto veidlapu.  </w:t>
            </w:r>
          </w:p>
          <w:p w14:paraId="71E033B4" w14:textId="77777777" w:rsidR="00AE67C0" w:rsidRPr="003A621B" w:rsidRDefault="00AE67C0" w:rsidP="003A621B">
            <w:pPr>
              <w:pStyle w:val="tv213"/>
              <w:shd w:val="clear" w:color="auto" w:fill="FFFFFF"/>
              <w:spacing w:before="0" w:beforeAutospacing="0" w:after="0" w:afterAutospacing="0" w:line="293" w:lineRule="atLeast"/>
              <w:jc w:val="both"/>
              <w:rPr>
                <w:rFonts w:eastAsia="Calibri"/>
                <w:bCs/>
                <w:color w:val="000000" w:themeColor="text1"/>
              </w:rPr>
            </w:pPr>
          </w:p>
          <w:p w14:paraId="774FF1E2" w14:textId="64E40780" w:rsidR="00EB6228" w:rsidRDefault="008A06A8" w:rsidP="0021078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bookmarkStart w:id="1" w:name="p-638565"/>
            <w:bookmarkEnd w:id="1"/>
            <w:r w:rsidRPr="008A06A8">
              <w:rPr>
                <w:rFonts w:ascii="Times New Roman" w:eastAsia="Times New Roman" w:hAnsi="Times New Roman" w:cs="Times New Roman"/>
                <w:color w:val="000000" w:themeColor="text1"/>
                <w:sz w:val="24"/>
                <w:szCs w:val="24"/>
                <w:lang w:eastAsia="lv-LV"/>
              </w:rPr>
              <w:t xml:space="preserve">Ievērojot to, ka Noteikumu projekts aizstās Noteikumus Nr. 281, līdz ar </w:t>
            </w:r>
            <w:r w:rsidR="00DE15AA" w:rsidRPr="00DE15AA">
              <w:rPr>
                <w:rFonts w:ascii="Times New Roman" w:eastAsia="Times New Roman" w:hAnsi="Times New Roman" w:cs="Times New Roman"/>
                <w:b/>
                <w:color w:val="000000" w:themeColor="text1"/>
                <w:sz w:val="24"/>
                <w:szCs w:val="24"/>
                <w:lang w:eastAsia="lv-LV"/>
              </w:rPr>
              <w:t xml:space="preserve">Noteikumu projekta </w:t>
            </w:r>
            <w:r w:rsidR="00D8031B">
              <w:rPr>
                <w:rFonts w:ascii="Times New Roman" w:eastAsia="Times New Roman" w:hAnsi="Times New Roman" w:cs="Times New Roman"/>
                <w:b/>
                <w:color w:val="000000" w:themeColor="text1"/>
                <w:sz w:val="24"/>
                <w:szCs w:val="24"/>
                <w:lang w:eastAsia="lv-LV"/>
              </w:rPr>
              <w:t>5</w:t>
            </w:r>
            <w:r w:rsidRPr="00DE15AA">
              <w:rPr>
                <w:rFonts w:ascii="Times New Roman" w:eastAsia="Times New Roman" w:hAnsi="Times New Roman" w:cs="Times New Roman"/>
                <w:b/>
                <w:color w:val="000000" w:themeColor="text1"/>
                <w:sz w:val="24"/>
                <w:szCs w:val="24"/>
                <w:lang w:eastAsia="lv-LV"/>
              </w:rPr>
              <w:t>.punktu</w:t>
            </w:r>
            <w:r w:rsidRPr="008A06A8">
              <w:rPr>
                <w:rFonts w:ascii="Times New Roman" w:eastAsia="Times New Roman" w:hAnsi="Times New Roman" w:cs="Times New Roman"/>
                <w:color w:val="000000" w:themeColor="text1"/>
                <w:sz w:val="24"/>
                <w:szCs w:val="24"/>
                <w:lang w:eastAsia="lv-LV"/>
              </w:rPr>
              <w:t xml:space="preserve"> tiek atzīti par spēku zaudējušiem Ministru kabineta 2019. gada 2.jūlija noteikumus Nr. 281 "Noteikumi par neparasta darījuma pazīmju sarakstu un kārtību, kādā sniedzami ziņojumi par neparastiem vai aizdomīgiem darījumiem" </w:t>
            </w:r>
            <w:r w:rsidR="00311B03">
              <w:rPr>
                <w:rFonts w:ascii="Times New Roman" w:eastAsia="Times New Roman" w:hAnsi="Times New Roman" w:cs="Times New Roman"/>
                <w:color w:val="000000" w:themeColor="text1"/>
                <w:sz w:val="24"/>
                <w:szCs w:val="24"/>
                <w:lang w:eastAsia="lv-LV"/>
              </w:rPr>
              <w:t>.</w:t>
            </w:r>
          </w:p>
          <w:p w14:paraId="72D294EC" w14:textId="77777777" w:rsidR="00311B03" w:rsidRDefault="00311B03" w:rsidP="0021078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p>
          <w:p w14:paraId="78C51F97" w14:textId="6E1CA27A" w:rsidR="00311B03" w:rsidRPr="0021078D" w:rsidRDefault="00311B03" w:rsidP="0021078D">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37600C">
              <w:rPr>
                <w:rFonts w:ascii="Times New Roman" w:eastAsia="Times New Roman" w:hAnsi="Times New Roman" w:cs="Times New Roman"/>
                <w:color w:val="000000" w:themeColor="text1"/>
                <w:sz w:val="24"/>
                <w:szCs w:val="24"/>
                <w:lang w:eastAsia="lv-LV"/>
              </w:rPr>
              <w:t xml:space="preserve">Ievērojot to, ka Likuma pārejas noteikumu </w:t>
            </w:r>
            <w:r w:rsidRPr="0037600C">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9</w:t>
            </w:r>
            <w:r w:rsidRPr="0037600C">
              <w:rPr>
                <w:rFonts w:ascii="Times New Roman" w:hAnsi="Times New Roman" w:cs="Times New Roman"/>
                <w:color w:val="000000" w:themeColor="text1"/>
                <w:sz w:val="24"/>
                <w:szCs w:val="24"/>
                <w:shd w:val="clear" w:color="auto" w:fill="FFFFFF"/>
              </w:rPr>
              <w:t xml:space="preserve">. punkts paredz, ka kārtība par sliekšņa deklarāciju iesniegšanu stāsies spēkā 2019.gada 17.decembrī, </w:t>
            </w:r>
            <w:r>
              <w:rPr>
                <w:rFonts w:ascii="Times New Roman" w:hAnsi="Times New Roman" w:cs="Times New Roman"/>
                <w:color w:val="000000" w:themeColor="text1"/>
                <w:sz w:val="24"/>
                <w:szCs w:val="24"/>
                <w:shd w:val="clear" w:color="auto" w:fill="FFFFFF"/>
              </w:rPr>
              <w:t xml:space="preserve">līdz ar </w:t>
            </w:r>
            <w:r w:rsidRPr="00DE7FB6">
              <w:rPr>
                <w:rFonts w:ascii="Times New Roman" w:hAnsi="Times New Roman" w:cs="Times New Roman"/>
                <w:b/>
                <w:color w:val="000000" w:themeColor="text1"/>
                <w:sz w:val="24"/>
                <w:szCs w:val="24"/>
                <w:shd w:val="clear" w:color="auto" w:fill="FFFFFF"/>
              </w:rPr>
              <w:t xml:space="preserve">Noteikum projekta </w:t>
            </w:r>
            <w:r w:rsidR="001F6F9E">
              <w:rPr>
                <w:rFonts w:ascii="Times New Roman" w:hAnsi="Times New Roman" w:cs="Times New Roman"/>
                <w:b/>
                <w:color w:val="000000" w:themeColor="text1"/>
                <w:sz w:val="24"/>
                <w:szCs w:val="24"/>
                <w:shd w:val="clear" w:color="auto" w:fill="FFFFFF"/>
              </w:rPr>
              <w:t>6</w:t>
            </w:r>
            <w:r w:rsidRPr="00DE7FB6">
              <w:rPr>
                <w:rFonts w:ascii="Times New Roman" w:hAnsi="Times New Roman" w:cs="Times New Roman"/>
                <w:b/>
                <w:color w:val="000000" w:themeColor="text1"/>
                <w:sz w:val="24"/>
                <w:szCs w:val="24"/>
                <w:shd w:val="clear" w:color="auto" w:fill="FFFFFF"/>
              </w:rPr>
              <w:t>.punktu</w:t>
            </w:r>
            <w:r>
              <w:rPr>
                <w:rFonts w:ascii="Times New Roman" w:hAnsi="Times New Roman" w:cs="Times New Roman"/>
                <w:color w:val="000000" w:themeColor="text1"/>
                <w:sz w:val="24"/>
                <w:szCs w:val="24"/>
                <w:shd w:val="clear" w:color="auto" w:fill="FFFFFF"/>
              </w:rPr>
              <w:t xml:space="preserve"> </w:t>
            </w:r>
            <w:r w:rsidRPr="0037600C">
              <w:rPr>
                <w:rFonts w:ascii="Times New Roman" w:hAnsi="Times New Roman" w:cs="Times New Roman"/>
                <w:color w:val="000000" w:themeColor="text1"/>
                <w:sz w:val="24"/>
                <w:szCs w:val="24"/>
                <w:shd w:val="clear" w:color="auto" w:fill="FFFFFF"/>
              </w:rPr>
              <w:t xml:space="preserve">tiek noteikts, ka </w:t>
            </w:r>
            <w:r w:rsidRPr="0037600C">
              <w:rPr>
                <w:rFonts w:ascii="Times New Roman" w:eastAsia="Times New Roman" w:hAnsi="Times New Roman" w:cs="Times New Roman"/>
                <w:bCs/>
                <w:color w:val="000000" w:themeColor="text1"/>
                <w:sz w:val="24"/>
                <w:szCs w:val="24"/>
                <w:lang w:eastAsia="lv-LV"/>
              </w:rPr>
              <w:t xml:space="preserve">Noteikumi </w:t>
            </w:r>
            <w:r w:rsidRPr="0037600C">
              <w:rPr>
                <w:rFonts w:ascii="Times New Roman" w:eastAsia="Times New Roman" w:hAnsi="Times New Roman" w:cs="Times New Roman"/>
                <w:color w:val="000000" w:themeColor="text1"/>
                <w:sz w:val="24"/>
                <w:szCs w:val="24"/>
                <w:lang w:eastAsia="lv-LV"/>
              </w:rPr>
              <w:t>stājas spēkā 2019. gada 17. decembrī.</w:t>
            </w:r>
          </w:p>
        </w:tc>
      </w:tr>
      <w:tr w:rsidR="002C6D96" w:rsidRPr="009F0C6E" w14:paraId="3BA27AAC"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365B7" w14:textId="77777777" w:rsidR="00B12102" w:rsidRPr="009F0C6E" w:rsidRDefault="00B12102" w:rsidP="00B12102">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7E1E7F6" w14:textId="77777777" w:rsidR="00B12102" w:rsidRPr="009F0C6E" w:rsidRDefault="00B12102" w:rsidP="00B12102">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08C90F9" w14:textId="2776DFA1" w:rsidR="00B12102" w:rsidRPr="009F0C6E" w:rsidRDefault="008D0EE4" w:rsidP="004E2C5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085161">
              <w:rPr>
                <w:rFonts w:ascii="Times New Roman" w:eastAsia="Times New Roman" w:hAnsi="Times New Roman" w:cs="Times New Roman"/>
                <w:iCs/>
                <w:sz w:val="24"/>
                <w:szCs w:val="24"/>
                <w:lang w:eastAsia="lv-LV"/>
              </w:rPr>
              <w:t>Finanšu izlūko</w:t>
            </w:r>
            <w:r w:rsidR="000272D9">
              <w:rPr>
                <w:rFonts w:ascii="Times New Roman" w:eastAsia="Times New Roman" w:hAnsi="Times New Roman" w:cs="Times New Roman"/>
                <w:iCs/>
                <w:sz w:val="24"/>
                <w:szCs w:val="24"/>
                <w:lang w:eastAsia="lv-LV"/>
              </w:rPr>
              <w:t>šanas dienests</w:t>
            </w:r>
            <w:r>
              <w:rPr>
                <w:rFonts w:ascii="Times New Roman" w:eastAsia="Times New Roman" w:hAnsi="Times New Roman" w:cs="Times New Roman"/>
                <w:iCs/>
                <w:sz w:val="24"/>
                <w:szCs w:val="24"/>
                <w:lang w:eastAsia="lv-LV"/>
              </w:rPr>
              <w:t>.</w:t>
            </w:r>
          </w:p>
        </w:tc>
      </w:tr>
      <w:tr w:rsidR="002C6D96" w:rsidRPr="002C6D96" w14:paraId="5FD2EFAA"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48E6A2" w14:textId="77777777" w:rsidR="00B12102" w:rsidRPr="002C6D96" w:rsidRDefault="00B12102"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EC4BFFF" w14:textId="77777777" w:rsidR="00B12102" w:rsidRPr="002C6D96" w:rsidRDefault="00B12102"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069019" w14:textId="77777777" w:rsidR="00B12102" w:rsidRPr="002C6D96" w:rsidRDefault="00B12102"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3A412BC4"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2E9C5A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38E454" w14:textId="77777777" w:rsidR="00655F2C" w:rsidRPr="002C6D96" w:rsidRDefault="00E5323B" w:rsidP="00AC0522">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D96" w:rsidRPr="002C6D96" w14:paraId="1D9C98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722B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0C2CD0"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Sabiedrības </w:t>
            </w:r>
            <w:proofErr w:type="spellStart"/>
            <w:r w:rsidRPr="002C6D96">
              <w:rPr>
                <w:rFonts w:ascii="Times New Roman" w:eastAsia="Times New Roman" w:hAnsi="Times New Roman" w:cs="Times New Roman"/>
                <w:iCs/>
                <w:sz w:val="24"/>
                <w:szCs w:val="24"/>
                <w:lang w:eastAsia="lv-LV"/>
              </w:rPr>
              <w:t>mērķgrupas</w:t>
            </w:r>
            <w:proofErr w:type="spellEnd"/>
            <w:r w:rsidRPr="002C6D9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B024DC8" w14:textId="77777777" w:rsidR="00E5323B" w:rsidRDefault="004E2C5A" w:rsidP="00BC5462">
            <w:pPr>
              <w:pStyle w:val="tv213"/>
              <w:shd w:val="clear" w:color="auto" w:fill="FFFFFF"/>
              <w:spacing w:before="0" w:beforeAutospacing="0" w:after="0" w:afterAutospacing="0" w:line="293" w:lineRule="atLeast"/>
              <w:jc w:val="both"/>
            </w:pPr>
            <w:r>
              <w:rPr>
                <w:color w:val="000000"/>
              </w:rPr>
              <w:t>Likuma subjekti</w:t>
            </w:r>
            <w:r w:rsidR="00C93CD6">
              <w:rPr>
                <w:color w:val="000000"/>
              </w:rPr>
              <w:t xml:space="preserve"> - </w:t>
            </w:r>
            <w:r w:rsidR="00C93CD6">
              <w:t>kredītiestādes</w:t>
            </w:r>
            <w:r w:rsidR="00FB1F30">
              <w:t xml:space="preserve">, </w:t>
            </w:r>
            <w:r w:rsidR="00C93CD6">
              <w:t>finanšu iestādes</w:t>
            </w:r>
            <w:r w:rsidR="00FB1F30">
              <w:t xml:space="preserve">, </w:t>
            </w:r>
            <w:r w:rsidR="00C93CD6">
              <w:t xml:space="preserve"> ārpakalpojuma grāmatveži, zvērināti revidenti, zvērinātu revidentu komercsabiedrības un nodokļu konsultanti, kā arī jebkura cita persona, kas apņemas sniegt palīdzību nodokļu jautājumos vai rīkojas kā starpnieks šādas palīdzības sniegšanā</w:t>
            </w:r>
            <w:r w:rsidR="00FB1F30">
              <w:t xml:space="preserve">, </w:t>
            </w:r>
            <w:r w:rsidR="00C93CD6">
              <w:t>zvērināti notāri, zvērināti advokāti, citi neatkarīgi juridisko pakalpojumu sniedzēji</w:t>
            </w:r>
            <w:r w:rsidR="00FB1F30">
              <w:t xml:space="preserve">, </w:t>
            </w:r>
            <w:r w:rsidR="00C93CD6">
              <w:t>juridiska veidojuma vai juridiskās personas dibināšanas un darbības nodrošināšanas pakalpojumu sniedzēji</w:t>
            </w:r>
            <w:r w:rsidR="00FB1F30">
              <w:t xml:space="preserve">, </w:t>
            </w:r>
            <w:r w:rsidR="00C93CD6">
              <w:t>personas, kas darbojas kā aģenti vai starpnieki darījumos ar nekustamo īpašumu,</w:t>
            </w:r>
            <w:r w:rsidR="00FB1F30">
              <w:t xml:space="preserve"> </w:t>
            </w:r>
            <w:r w:rsidR="00C93CD6">
              <w:t>izložu un azartspēļu organizētāji</w:t>
            </w:r>
            <w:r w:rsidR="00FB1F30">
              <w:t xml:space="preserve">, </w:t>
            </w:r>
            <w:r w:rsidR="00C93CD6">
              <w:t xml:space="preserve"> personas, kas sniedz inkasācijas pakalpojumus</w:t>
            </w:r>
            <w:r w:rsidR="00FB1F30">
              <w:t xml:space="preserve">, </w:t>
            </w:r>
            <w:r w:rsidR="00C93CD6">
              <w:t>juridiskās vai fiziskās personas, kas nodarbojas ar transportlīdzekļu, kultūras pieminekļu, dārgmetālu, dārgakmeņu, to izstrādājumu vai cita veida preču tirdzniecību, kā arī ar starpniecību minētajos darījumos, parāda atgūšanas pakalpojuma sniedzēji</w:t>
            </w:r>
            <w:r w:rsidR="00FB1F30">
              <w:t xml:space="preserve">, </w:t>
            </w:r>
            <w:r w:rsidR="00C93CD6">
              <w:t xml:space="preserve">virtuālās </w:t>
            </w:r>
            <w:r w:rsidR="00C93CD6">
              <w:lastRenderedPageBreak/>
              <w:t>valūtas pakalpojuma sniedzēji</w:t>
            </w:r>
            <w:r w:rsidR="00FB1F30">
              <w:t xml:space="preserve">, </w:t>
            </w:r>
            <w:r w:rsidR="00C93CD6">
              <w:t>personas, kas darbojas mākslas un antikvāro priekšmetu apritē</w:t>
            </w:r>
            <w:r w:rsidR="0021078D">
              <w:t>.</w:t>
            </w:r>
          </w:p>
          <w:p w14:paraId="1A54746E" w14:textId="77777777" w:rsidR="003A621B" w:rsidRDefault="003A621B" w:rsidP="00BC5462">
            <w:pPr>
              <w:pStyle w:val="tv213"/>
              <w:shd w:val="clear" w:color="auto" w:fill="FFFFFF"/>
              <w:spacing w:before="0" w:beforeAutospacing="0" w:after="0" w:afterAutospacing="0" w:line="293" w:lineRule="atLeast"/>
              <w:jc w:val="both"/>
              <w:rPr>
                <w:iCs/>
              </w:rPr>
            </w:pPr>
          </w:p>
          <w:p w14:paraId="63FF34AC" w14:textId="77777777" w:rsidR="003A621B" w:rsidRPr="003A621B" w:rsidRDefault="003A621B" w:rsidP="00BC5462">
            <w:pPr>
              <w:pStyle w:val="tv213"/>
              <w:shd w:val="clear" w:color="auto" w:fill="FFFFFF"/>
              <w:spacing w:before="0" w:beforeAutospacing="0" w:after="0" w:afterAutospacing="0" w:line="293" w:lineRule="atLeast"/>
              <w:jc w:val="both"/>
            </w:pPr>
            <w:r>
              <w:rPr>
                <w:iCs/>
              </w:rPr>
              <w:t xml:space="preserve">Likuma </w:t>
            </w:r>
            <w:r w:rsidRPr="003A621B">
              <w:t>subjektu klienti, kas plāno veikt vai veic darījumus, iesaistot Likuma subjektu.</w:t>
            </w:r>
          </w:p>
          <w:p w14:paraId="70626AC2" w14:textId="77777777" w:rsidR="003A621B" w:rsidRPr="003A621B" w:rsidRDefault="003A621B" w:rsidP="00BC5462">
            <w:pPr>
              <w:pStyle w:val="tv213"/>
              <w:shd w:val="clear" w:color="auto" w:fill="FFFFFF"/>
              <w:spacing w:before="0" w:beforeAutospacing="0" w:after="0" w:afterAutospacing="0" w:line="293" w:lineRule="atLeast"/>
              <w:jc w:val="both"/>
            </w:pPr>
          </w:p>
          <w:p w14:paraId="522CD963" w14:textId="64E95B35" w:rsidR="003A621B" w:rsidRPr="002C6D96" w:rsidRDefault="003A621B" w:rsidP="00BC5462">
            <w:pPr>
              <w:pStyle w:val="tv213"/>
              <w:shd w:val="clear" w:color="auto" w:fill="FFFFFF"/>
              <w:spacing w:before="0" w:beforeAutospacing="0" w:after="0" w:afterAutospacing="0" w:line="293" w:lineRule="atLeast"/>
              <w:jc w:val="both"/>
              <w:rPr>
                <w:iCs/>
              </w:rPr>
            </w:pPr>
            <w:r w:rsidRPr="003A621B">
              <w:t>Uzraudzības un kontroles institūcijas, kā arī tiesībaizsardzības iestādes.</w:t>
            </w:r>
            <w:r>
              <w:rPr>
                <w:rFonts w:ascii="Arial" w:hAnsi="Arial" w:cs="Arial"/>
                <w:iCs/>
                <w:color w:val="414142"/>
                <w:sz w:val="20"/>
                <w:szCs w:val="20"/>
                <w:shd w:val="clear" w:color="auto" w:fill="FFFFFF"/>
              </w:rPr>
              <w:t xml:space="preserve"> </w:t>
            </w:r>
          </w:p>
        </w:tc>
      </w:tr>
      <w:tr w:rsidR="002C6D96" w:rsidRPr="002C6D96" w14:paraId="6D29B6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6825E"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141BBF"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074097C" w14:textId="0E5565C3" w:rsidR="00FB1F30" w:rsidRPr="00FB1F30" w:rsidRDefault="00FB1F30" w:rsidP="00FB1F30">
            <w:pPr>
              <w:jc w:val="both"/>
              <w:rPr>
                <w:rFonts w:ascii="Times New Roman" w:eastAsia="Times New Roman" w:hAnsi="Times New Roman" w:cs="Times New Roman"/>
                <w:sz w:val="24"/>
                <w:szCs w:val="24"/>
                <w:lang w:eastAsia="lv-LV"/>
              </w:rPr>
            </w:pPr>
            <w:r w:rsidRPr="00FB1F30">
              <w:rPr>
                <w:rFonts w:ascii="Times New Roman" w:eastAsia="Times New Roman" w:hAnsi="Times New Roman" w:cs="Times New Roman"/>
                <w:sz w:val="24"/>
                <w:szCs w:val="24"/>
                <w:lang w:eastAsia="lv-LV"/>
              </w:rPr>
              <w:t xml:space="preserve">Valsts mērogā tiks pastiprināta cīņa </w:t>
            </w:r>
            <w:r w:rsidR="008D3F30">
              <w:rPr>
                <w:rFonts w:ascii="Times New Roman" w:eastAsia="Times New Roman" w:hAnsi="Times New Roman" w:cs="Times New Roman"/>
                <w:sz w:val="24"/>
                <w:szCs w:val="24"/>
                <w:lang w:eastAsia="lv-LV"/>
              </w:rPr>
              <w:t xml:space="preserve">ar </w:t>
            </w:r>
            <w:r w:rsidRPr="00FB1F30">
              <w:rPr>
                <w:rFonts w:ascii="Times New Roman" w:eastAsia="Times New Roman" w:hAnsi="Times New Roman" w:cs="Times New Roman"/>
                <w:sz w:val="24"/>
                <w:szCs w:val="24"/>
                <w:lang w:eastAsia="lv-LV"/>
              </w:rPr>
              <w:t xml:space="preserve">noziedzīgi iegūtu līdzekļu legalizāciju, terorisma vai proliferācijas finansēšanu,  tādējādi stiprinot </w:t>
            </w:r>
            <w:r>
              <w:rPr>
                <w:rFonts w:ascii="Times New Roman" w:eastAsia="Times New Roman" w:hAnsi="Times New Roman" w:cs="Times New Roman"/>
                <w:sz w:val="24"/>
                <w:szCs w:val="24"/>
                <w:lang w:eastAsia="lv-LV"/>
              </w:rPr>
              <w:t>cīņu pret Latvijas finanšu sistēmas izmantošanu noziedzīgiem mērķiem.</w:t>
            </w:r>
            <w:r w:rsidRPr="00FB1F30">
              <w:rPr>
                <w:rFonts w:ascii="Times New Roman" w:eastAsia="Times New Roman" w:hAnsi="Times New Roman" w:cs="Times New Roman"/>
                <w:sz w:val="24"/>
                <w:szCs w:val="24"/>
                <w:lang w:eastAsia="lv-LV"/>
              </w:rPr>
              <w:t xml:space="preserve"> </w:t>
            </w:r>
          </w:p>
          <w:p w14:paraId="36797928" w14:textId="3063CD8E" w:rsidR="00E5323B" w:rsidRPr="002F4D01" w:rsidRDefault="00FB1F30" w:rsidP="004E2C5A">
            <w:pPr>
              <w:spacing w:after="0" w:line="240" w:lineRule="auto"/>
              <w:jc w:val="both"/>
              <w:rPr>
                <w:rFonts w:ascii="Times New Roman" w:eastAsia="Times New Roman" w:hAnsi="Times New Roman" w:cs="Times New Roman"/>
                <w:sz w:val="24"/>
                <w:szCs w:val="24"/>
                <w:lang w:eastAsia="lv-LV"/>
              </w:rPr>
            </w:pPr>
            <w:r w:rsidRPr="00FB1F30">
              <w:rPr>
                <w:rFonts w:ascii="Times New Roman" w:eastAsia="Times New Roman" w:hAnsi="Times New Roman" w:cs="Times New Roman"/>
                <w:sz w:val="24"/>
                <w:szCs w:val="24"/>
                <w:lang w:eastAsia="lv-LV"/>
              </w:rPr>
              <w:t xml:space="preserve">Likuma subjekti </w:t>
            </w:r>
            <w:r w:rsidR="008A06A8">
              <w:rPr>
                <w:rFonts w:ascii="Times New Roman" w:eastAsia="Times New Roman" w:hAnsi="Times New Roman" w:cs="Times New Roman"/>
                <w:sz w:val="24"/>
                <w:szCs w:val="24"/>
                <w:lang w:eastAsia="lv-LV"/>
              </w:rPr>
              <w:t>ziņojumus par aizdomīgiem darījumiem</w:t>
            </w:r>
            <w:r>
              <w:rPr>
                <w:rFonts w:ascii="Times New Roman" w:eastAsia="Times New Roman" w:hAnsi="Times New Roman" w:cs="Times New Roman"/>
                <w:sz w:val="24"/>
                <w:szCs w:val="24"/>
                <w:lang w:eastAsia="lv-LV"/>
              </w:rPr>
              <w:t xml:space="preserve"> </w:t>
            </w:r>
            <w:r w:rsidRPr="00FB1F30">
              <w:rPr>
                <w:rFonts w:ascii="Times New Roman" w:eastAsia="Times New Roman" w:hAnsi="Times New Roman" w:cs="Times New Roman"/>
                <w:sz w:val="24"/>
                <w:szCs w:val="24"/>
                <w:lang w:eastAsia="lv-LV"/>
              </w:rPr>
              <w:t>varēs iesniegt, izmantojot IT risinājumus, tādējādi nepalielinot administratīvo slogu uz tautsaimniecību.</w:t>
            </w:r>
          </w:p>
        </w:tc>
      </w:tr>
      <w:tr w:rsidR="002C6D96" w:rsidRPr="002C6D96" w14:paraId="3782C8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32F03"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6F894A"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F2B7D1" w14:textId="237CDB7A" w:rsidR="00E5323B" w:rsidRPr="004E2C5A" w:rsidRDefault="008D0EE4" w:rsidP="004E2C5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2C6D96" w:rsidRPr="002C6D96" w14:paraId="306F5E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496511"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B715E4"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CFA810" w14:textId="07FC8ACD" w:rsidR="00E5323B" w:rsidRPr="002C6D96" w:rsidRDefault="008D0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2C6D96" w:rsidRPr="002C6D96" w14:paraId="544445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F1BA3"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24166D"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7D481D" w14:textId="77777777" w:rsidR="00E5323B" w:rsidRPr="002C6D96" w:rsidRDefault="00B12102"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14:paraId="5A270AC2"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C6D96" w:rsidRPr="002C6D96" w14:paraId="43C646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490DD"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rsidR="009F0C6E" w:rsidRPr="002C6D96" w14:paraId="5A3AE3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569263" w14:textId="40793797" w:rsidR="009F0C6E" w:rsidRPr="009F0C6E" w:rsidRDefault="009F0C6E" w:rsidP="009F0C6E">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r w:rsidR="008D0EE4">
              <w:rPr>
                <w:rFonts w:ascii="Times New Roman" w:eastAsia="Times New Roman" w:hAnsi="Times New Roman" w:cs="Times New Roman"/>
                <w:bCs/>
                <w:iCs/>
                <w:sz w:val="24"/>
                <w:szCs w:val="24"/>
                <w:lang w:eastAsia="lv-LV"/>
              </w:rPr>
              <w:t>.</w:t>
            </w:r>
          </w:p>
        </w:tc>
      </w:tr>
    </w:tbl>
    <w:p w14:paraId="31E9FE85"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459F55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60589"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rsidR="002C6D96" w:rsidRPr="002C6D96" w14:paraId="1105DBEE"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8FA0EF"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1D9AEE"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430912F" w14:textId="7CE1D2EA" w:rsidR="00056408" w:rsidRPr="00056408" w:rsidRDefault="00056408" w:rsidP="00056408">
            <w:pPr>
              <w:shd w:val="clear" w:color="auto" w:fill="FFFFFF"/>
              <w:jc w:val="both"/>
              <w:rPr>
                <w:rFonts w:ascii="Times New Roman" w:eastAsia="Times New Roman" w:hAnsi="Times New Roman" w:cs="Times New Roman"/>
                <w:bCs/>
                <w:color w:val="000000" w:themeColor="text1"/>
                <w:sz w:val="24"/>
                <w:szCs w:val="24"/>
                <w:lang w:eastAsia="lv-LV"/>
              </w:rPr>
            </w:pPr>
            <w:r w:rsidRPr="00056408">
              <w:rPr>
                <w:rFonts w:ascii="Times New Roman" w:hAnsi="Times New Roman" w:cs="Times New Roman"/>
                <w:sz w:val="24"/>
                <w:szCs w:val="24"/>
              </w:rPr>
              <w:t xml:space="preserve">Vienlaikus ar Noteikumu projektu </w:t>
            </w:r>
            <w:r w:rsidR="00154574">
              <w:rPr>
                <w:rFonts w:ascii="Times New Roman" w:hAnsi="Times New Roman" w:cs="Times New Roman"/>
                <w:sz w:val="24"/>
                <w:szCs w:val="24"/>
              </w:rPr>
              <w:t>M</w:t>
            </w:r>
            <w:r w:rsidR="00154574" w:rsidRPr="00056408">
              <w:rPr>
                <w:rFonts w:ascii="Times New Roman" w:hAnsi="Times New Roman" w:cs="Times New Roman"/>
                <w:sz w:val="24"/>
                <w:szCs w:val="24"/>
              </w:rPr>
              <w:t xml:space="preserve">inistru </w:t>
            </w:r>
            <w:r w:rsidRPr="00056408">
              <w:rPr>
                <w:rFonts w:ascii="Times New Roman" w:hAnsi="Times New Roman" w:cs="Times New Roman"/>
                <w:sz w:val="24"/>
                <w:szCs w:val="24"/>
              </w:rPr>
              <w:t xml:space="preserve">kabinetā tiek virzīti apstiprināšanai </w:t>
            </w:r>
            <w:bookmarkStart w:id="2" w:name="_Hlk14078205"/>
            <w:r w:rsidR="00154574">
              <w:rPr>
                <w:rFonts w:ascii="Times New Roman" w:hAnsi="Times New Roman" w:cs="Times New Roman"/>
                <w:sz w:val="24"/>
                <w:szCs w:val="24"/>
              </w:rPr>
              <w:t xml:space="preserve">Ministru </w:t>
            </w:r>
            <w:r>
              <w:rPr>
                <w:rFonts w:ascii="Times New Roman" w:hAnsi="Times New Roman" w:cs="Times New Roman"/>
                <w:sz w:val="24"/>
                <w:szCs w:val="24"/>
              </w:rPr>
              <w:t>kabineta noteikumi „</w:t>
            </w:r>
            <w:r w:rsidR="008A06A8" w:rsidRPr="00056408">
              <w:rPr>
                <w:rFonts w:ascii="Times New Roman" w:hAnsi="Times New Roman" w:cs="Times New Roman"/>
                <w:color w:val="000000"/>
                <w:sz w:val="24"/>
                <w:szCs w:val="24"/>
              </w:rPr>
              <w:t>Noteikumi par sliekšņa deklarācijas iesniegšanas kārtību un saturu</w:t>
            </w:r>
            <w:r>
              <w:rPr>
                <w:rFonts w:ascii="Times New Roman" w:eastAsia="Times New Roman" w:hAnsi="Times New Roman" w:cs="Times New Roman"/>
                <w:bCs/>
                <w:color w:val="000000" w:themeColor="text1"/>
                <w:sz w:val="24"/>
                <w:szCs w:val="24"/>
                <w:lang w:eastAsia="lv-LV"/>
              </w:rPr>
              <w:t>”</w:t>
            </w:r>
            <w:r w:rsidRPr="00056408">
              <w:rPr>
                <w:rFonts w:ascii="Times New Roman" w:eastAsia="Times New Roman" w:hAnsi="Times New Roman" w:cs="Times New Roman"/>
                <w:bCs/>
                <w:color w:val="000000" w:themeColor="text1"/>
                <w:sz w:val="24"/>
                <w:szCs w:val="24"/>
                <w:lang w:eastAsia="lv-LV"/>
              </w:rPr>
              <w:t>.</w:t>
            </w:r>
          </w:p>
          <w:p w14:paraId="7033DF2E" w14:textId="7E655F07" w:rsidR="00ED3357" w:rsidRPr="00056408" w:rsidRDefault="00056408" w:rsidP="00154574">
            <w:pPr>
              <w:shd w:val="clear" w:color="auto" w:fill="FFFFFF"/>
              <w:jc w:val="both"/>
              <w:rPr>
                <w:rFonts w:ascii="Times New Roman" w:eastAsia="Times New Roman" w:hAnsi="Times New Roman" w:cs="Times New Roman"/>
                <w:bCs/>
                <w:color w:val="000000" w:themeColor="text1"/>
                <w:sz w:val="24"/>
                <w:szCs w:val="24"/>
                <w:lang w:eastAsia="lv-LV"/>
              </w:rPr>
            </w:pPr>
            <w:r w:rsidRPr="00056408">
              <w:rPr>
                <w:rFonts w:ascii="Times New Roman" w:eastAsia="Times New Roman" w:hAnsi="Times New Roman" w:cs="Times New Roman"/>
                <w:bCs/>
                <w:color w:val="000000" w:themeColor="text1"/>
                <w:sz w:val="24"/>
                <w:szCs w:val="24"/>
                <w:lang w:eastAsia="lv-LV"/>
              </w:rPr>
              <w:t xml:space="preserve">Ievērojot minēto gan </w:t>
            </w:r>
            <w:r w:rsidR="00154574">
              <w:rPr>
                <w:rFonts w:ascii="Times New Roman" w:eastAsia="Times New Roman" w:hAnsi="Times New Roman" w:cs="Times New Roman"/>
                <w:bCs/>
                <w:color w:val="000000" w:themeColor="text1"/>
                <w:sz w:val="24"/>
                <w:szCs w:val="24"/>
                <w:lang w:eastAsia="lv-LV"/>
              </w:rPr>
              <w:t>M</w:t>
            </w:r>
            <w:r w:rsidR="00154574" w:rsidRPr="00056408">
              <w:rPr>
                <w:rFonts w:ascii="Times New Roman" w:eastAsia="Times New Roman" w:hAnsi="Times New Roman" w:cs="Times New Roman"/>
                <w:bCs/>
                <w:color w:val="000000" w:themeColor="text1"/>
                <w:sz w:val="24"/>
                <w:szCs w:val="24"/>
                <w:lang w:eastAsia="lv-LV"/>
              </w:rPr>
              <w:t xml:space="preserve">inistru </w:t>
            </w:r>
            <w:r w:rsidRPr="00056408">
              <w:rPr>
                <w:rFonts w:ascii="Times New Roman" w:eastAsia="Times New Roman" w:hAnsi="Times New Roman" w:cs="Times New Roman"/>
                <w:bCs/>
                <w:color w:val="000000" w:themeColor="text1"/>
                <w:sz w:val="24"/>
                <w:szCs w:val="24"/>
                <w:lang w:eastAsia="lv-LV"/>
              </w:rPr>
              <w:t xml:space="preserve">kabineta noteikumiem „Noteikumi par kārtību, kādā sniedzami ziņojumi par aizdomīgiem darījumiem”, gan </w:t>
            </w:r>
            <w:r w:rsidRPr="00056408">
              <w:rPr>
                <w:rFonts w:ascii="Times New Roman" w:hAnsi="Times New Roman" w:cs="Times New Roman"/>
                <w:color w:val="000000"/>
                <w:sz w:val="24"/>
                <w:szCs w:val="24"/>
              </w:rPr>
              <w:t>Ministru kabineta noteikumiem „Noteikumi par sliekšņa deklarācijas iesniegšanas kārtību un saturu” tiek noteikts spēkā stāšanās termiņš 2019.gada 17.decembris.</w:t>
            </w:r>
            <w:bookmarkEnd w:id="2"/>
          </w:p>
        </w:tc>
      </w:tr>
      <w:tr w:rsidR="002C6D96" w:rsidRPr="002C6D96" w14:paraId="277B7FE7"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2E273"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4616F7"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4EBDC9E" w14:textId="259B4FC2" w:rsidR="00ED3357" w:rsidRPr="002C6D96" w:rsidRDefault="008D0EE4" w:rsidP="00ED335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Finanšu ministrija, </w:t>
            </w:r>
            <w:r w:rsidR="008A06A8">
              <w:rPr>
                <w:rFonts w:ascii="Times New Roman" w:eastAsia="Times New Roman" w:hAnsi="Times New Roman" w:cs="Times New Roman"/>
                <w:sz w:val="24"/>
                <w:szCs w:val="24"/>
                <w:lang w:eastAsia="lv-LV"/>
              </w:rPr>
              <w:t>Finanšu izlūkošanas dienests</w:t>
            </w:r>
            <w:r>
              <w:rPr>
                <w:rFonts w:ascii="Times New Roman" w:eastAsia="Times New Roman" w:hAnsi="Times New Roman" w:cs="Times New Roman"/>
                <w:sz w:val="24"/>
                <w:szCs w:val="24"/>
                <w:lang w:eastAsia="lv-LV"/>
              </w:rPr>
              <w:t>.</w:t>
            </w:r>
          </w:p>
        </w:tc>
      </w:tr>
      <w:tr w:rsidR="002C6D96" w:rsidRPr="002C6D96" w14:paraId="25C91BF0"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E686F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1D4F84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461610"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48B76C37" w14:textId="77777777" w:rsidR="00EE4DE9" w:rsidRPr="002C6D96" w:rsidRDefault="00EE4DE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23C5EC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2D1D31"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F0C6E" w:rsidRPr="002C6D96" w14:paraId="00673D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ECE6E38" w14:textId="7F31B4A8" w:rsidR="009F0C6E" w:rsidRPr="009F0C6E" w:rsidRDefault="009F0C6E" w:rsidP="009F0C6E">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p>
        </w:tc>
      </w:tr>
      <w:tr w:rsidR="002C6D96" w:rsidRPr="002C6D96" w14:paraId="142F45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586535" w14:textId="17556CBD"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iCs/>
                <w:sz w:val="24"/>
                <w:szCs w:val="24"/>
                <w:lang w:eastAsia="lv-LV"/>
              </w:rPr>
              <w:lastRenderedPageBreak/>
              <w:t xml:space="preserve">  </w:t>
            </w:r>
            <w:r w:rsidRPr="002C6D96">
              <w:rPr>
                <w:rFonts w:ascii="Times New Roman" w:eastAsia="Times New Roman" w:hAnsi="Times New Roman" w:cs="Times New Roman"/>
                <w:b/>
                <w:bCs/>
                <w:iCs/>
                <w:sz w:val="24"/>
                <w:szCs w:val="24"/>
                <w:lang w:eastAsia="lv-LV"/>
              </w:rPr>
              <w:t>VI. Sabiedrības līdzdalība un komunikācijas aktivitātes</w:t>
            </w:r>
          </w:p>
        </w:tc>
      </w:tr>
      <w:tr w:rsidR="002C6D96" w:rsidRPr="002C6D96" w14:paraId="563327DC" w14:textId="77777777" w:rsidTr="007E40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8334ED"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926CA5"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A0EB49A" w14:textId="20BEB231" w:rsidR="005E20DF" w:rsidRDefault="005E20DF" w:rsidP="005E20DF">
            <w:pPr>
              <w:spacing w:after="0" w:line="240" w:lineRule="auto"/>
              <w:jc w:val="both"/>
              <w:rPr>
                <w:rFonts w:ascii="Times New Roman" w:hAnsi="Times New Roman" w:cs="Times New Roman"/>
                <w:sz w:val="24"/>
                <w:szCs w:val="24"/>
              </w:rPr>
            </w:pPr>
            <w:r w:rsidRPr="005E20DF">
              <w:rPr>
                <w:rFonts w:ascii="Times New Roman" w:hAnsi="Times New Roman" w:cs="Times New Roman"/>
                <w:sz w:val="24"/>
                <w:szCs w:val="24"/>
              </w:rPr>
              <w:t xml:space="preserve">Noteikumu </w:t>
            </w:r>
            <w:r>
              <w:rPr>
                <w:rFonts w:ascii="Times New Roman" w:hAnsi="Times New Roman" w:cs="Times New Roman"/>
                <w:sz w:val="24"/>
                <w:szCs w:val="24"/>
              </w:rPr>
              <w:t xml:space="preserve">projekta </w:t>
            </w:r>
            <w:r w:rsidRPr="005E20DF">
              <w:rPr>
                <w:rFonts w:ascii="Times New Roman" w:hAnsi="Times New Roman" w:cs="Times New Roman"/>
                <w:sz w:val="24"/>
                <w:szCs w:val="24"/>
              </w:rPr>
              <w:t xml:space="preserve">izstrāde notika, konsultējoties ar Latvijas </w:t>
            </w:r>
            <w:r>
              <w:rPr>
                <w:rFonts w:ascii="Times New Roman" w:hAnsi="Times New Roman" w:cs="Times New Roman"/>
                <w:sz w:val="24"/>
                <w:szCs w:val="24"/>
              </w:rPr>
              <w:t>Finanšu</w:t>
            </w:r>
            <w:r w:rsidR="00282CFD">
              <w:rPr>
                <w:rFonts w:ascii="Times New Roman" w:hAnsi="Times New Roman" w:cs="Times New Roman"/>
                <w:sz w:val="24"/>
                <w:szCs w:val="24"/>
              </w:rPr>
              <w:t xml:space="preserve"> nozares</w:t>
            </w:r>
            <w:r>
              <w:rPr>
                <w:rFonts w:ascii="Times New Roman" w:hAnsi="Times New Roman" w:cs="Times New Roman"/>
                <w:sz w:val="24"/>
                <w:szCs w:val="24"/>
              </w:rPr>
              <w:t xml:space="preserve"> asociāciju</w:t>
            </w:r>
            <w:r w:rsidRPr="005E20DF">
              <w:rPr>
                <w:rFonts w:ascii="Times New Roman" w:hAnsi="Times New Roman" w:cs="Times New Roman"/>
                <w:sz w:val="24"/>
                <w:szCs w:val="24"/>
              </w:rPr>
              <w:t>.</w:t>
            </w:r>
          </w:p>
          <w:p w14:paraId="4EC6C742" w14:textId="3AD7176D" w:rsidR="00FA3EC7" w:rsidRDefault="00FA3EC7" w:rsidP="005E20DF">
            <w:pPr>
              <w:spacing w:after="0" w:line="240" w:lineRule="auto"/>
              <w:jc w:val="both"/>
              <w:rPr>
                <w:rFonts w:ascii="Times New Roman" w:hAnsi="Times New Roman" w:cs="Times New Roman"/>
                <w:sz w:val="24"/>
                <w:szCs w:val="24"/>
              </w:rPr>
            </w:pPr>
          </w:p>
          <w:p w14:paraId="7D464088" w14:textId="2E2A2B49" w:rsidR="00FA3EC7" w:rsidRPr="00FA3EC7" w:rsidRDefault="00FA3EC7" w:rsidP="00FA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Nosūtīts saskaņošanai </w:t>
            </w:r>
            <w:r w:rsidRPr="00FA3EC7">
              <w:rPr>
                <w:rFonts w:ascii="Times New Roman" w:hAnsi="Times New Roman" w:cs="Times New Roman"/>
                <w:sz w:val="24"/>
                <w:szCs w:val="24"/>
              </w:rPr>
              <w:t>Tieslietu ministrija</w:t>
            </w:r>
            <w:r w:rsidR="001C5D46">
              <w:rPr>
                <w:rFonts w:ascii="Times New Roman" w:hAnsi="Times New Roman" w:cs="Times New Roman"/>
                <w:sz w:val="24"/>
                <w:szCs w:val="24"/>
              </w:rPr>
              <w:t>i</w:t>
            </w:r>
            <w:r w:rsidRPr="00FA3EC7">
              <w:rPr>
                <w:rFonts w:ascii="Times New Roman" w:hAnsi="Times New Roman" w:cs="Times New Roman"/>
                <w:sz w:val="24"/>
                <w:szCs w:val="24"/>
              </w:rPr>
              <w:t>, Ārlietu ministrija</w:t>
            </w:r>
            <w:r w:rsidR="001C5D46">
              <w:rPr>
                <w:rFonts w:ascii="Times New Roman" w:hAnsi="Times New Roman" w:cs="Times New Roman"/>
                <w:sz w:val="24"/>
                <w:szCs w:val="24"/>
              </w:rPr>
              <w:t>i</w:t>
            </w:r>
            <w:r w:rsidRPr="00FA3EC7">
              <w:rPr>
                <w:rFonts w:ascii="Times New Roman" w:hAnsi="Times New Roman" w:cs="Times New Roman"/>
                <w:sz w:val="24"/>
                <w:szCs w:val="24"/>
              </w:rPr>
              <w:t>, Iekšlietu ministrija</w:t>
            </w:r>
            <w:r w:rsidR="001C5D46">
              <w:rPr>
                <w:rFonts w:ascii="Times New Roman" w:hAnsi="Times New Roman" w:cs="Times New Roman"/>
                <w:sz w:val="24"/>
                <w:szCs w:val="24"/>
              </w:rPr>
              <w:t>i</w:t>
            </w:r>
            <w:r w:rsidRPr="00FA3EC7">
              <w:rPr>
                <w:rFonts w:ascii="Times New Roman" w:hAnsi="Times New Roman" w:cs="Times New Roman"/>
                <w:sz w:val="24"/>
                <w:szCs w:val="24"/>
              </w:rPr>
              <w:t>, Ekonomikas ministrija</w:t>
            </w:r>
            <w:r w:rsidR="001C5D46">
              <w:rPr>
                <w:rFonts w:ascii="Times New Roman" w:hAnsi="Times New Roman" w:cs="Times New Roman"/>
                <w:sz w:val="24"/>
                <w:szCs w:val="24"/>
              </w:rPr>
              <w:t>i</w:t>
            </w:r>
            <w:r w:rsidRPr="00FA3EC7">
              <w:rPr>
                <w:rFonts w:ascii="Times New Roman" w:hAnsi="Times New Roman" w:cs="Times New Roman"/>
                <w:sz w:val="24"/>
                <w:szCs w:val="24"/>
              </w:rPr>
              <w:t>, Kultūras ministrija</w:t>
            </w:r>
            <w:r w:rsidR="001C5D46">
              <w:rPr>
                <w:rFonts w:ascii="Times New Roman" w:hAnsi="Times New Roman" w:cs="Times New Roman"/>
                <w:sz w:val="24"/>
                <w:szCs w:val="24"/>
              </w:rPr>
              <w:t>i</w:t>
            </w:r>
            <w:r w:rsidRPr="00FA3EC7">
              <w:rPr>
                <w:rFonts w:ascii="Times New Roman" w:hAnsi="Times New Roman" w:cs="Times New Roman"/>
                <w:sz w:val="24"/>
                <w:szCs w:val="24"/>
              </w:rPr>
              <w:t>, Ģenerālprokuratūra</w:t>
            </w:r>
            <w:r w:rsidR="001C5D46">
              <w:rPr>
                <w:rFonts w:ascii="Times New Roman" w:hAnsi="Times New Roman" w:cs="Times New Roman"/>
                <w:sz w:val="24"/>
                <w:szCs w:val="24"/>
              </w:rPr>
              <w:t>i</w:t>
            </w:r>
            <w:r w:rsidRPr="00FA3EC7">
              <w:rPr>
                <w:rFonts w:ascii="Times New Roman" w:hAnsi="Times New Roman" w:cs="Times New Roman"/>
                <w:sz w:val="24"/>
                <w:szCs w:val="24"/>
              </w:rPr>
              <w:t>, Finanšu un kapitāla tirgus komisija</w:t>
            </w:r>
            <w:r w:rsidR="001C5D46">
              <w:rPr>
                <w:rFonts w:ascii="Times New Roman" w:hAnsi="Times New Roman" w:cs="Times New Roman"/>
                <w:sz w:val="24"/>
                <w:szCs w:val="24"/>
              </w:rPr>
              <w:t>i</w:t>
            </w:r>
            <w:r w:rsidRPr="00FA3EC7">
              <w:rPr>
                <w:rFonts w:ascii="Times New Roman" w:hAnsi="Times New Roman" w:cs="Times New Roman"/>
                <w:sz w:val="24"/>
                <w:szCs w:val="24"/>
              </w:rPr>
              <w:t>, Latvijas Zvērinātu advokātu padome</w:t>
            </w:r>
            <w:r w:rsidR="001C5D46">
              <w:rPr>
                <w:rFonts w:ascii="Times New Roman" w:hAnsi="Times New Roman" w:cs="Times New Roman"/>
                <w:sz w:val="24"/>
                <w:szCs w:val="24"/>
              </w:rPr>
              <w:t>i</w:t>
            </w:r>
            <w:r w:rsidRPr="00FA3EC7">
              <w:rPr>
                <w:rFonts w:ascii="Times New Roman" w:hAnsi="Times New Roman" w:cs="Times New Roman"/>
                <w:sz w:val="24"/>
                <w:szCs w:val="24"/>
              </w:rPr>
              <w:t>, Latvijas Zvērinātu notāru padome</w:t>
            </w:r>
            <w:r w:rsidR="001C5D46">
              <w:rPr>
                <w:rFonts w:ascii="Times New Roman" w:hAnsi="Times New Roman" w:cs="Times New Roman"/>
                <w:sz w:val="24"/>
                <w:szCs w:val="24"/>
              </w:rPr>
              <w:t>i</w:t>
            </w:r>
            <w:r w:rsidRPr="00FA3EC7">
              <w:rPr>
                <w:rFonts w:ascii="Times New Roman" w:hAnsi="Times New Roman" w:cs="Times New Roman"/>
                <w:sz w:val="24"/>
                <w:szCs w:val="24"/>
              </w:rPr>
              <w:t>, Latvijas Zvērinātu revidentu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Banka</w:t>
            </w:r>
            <w:r w:rsidR="001C5D46">
              <w:rPr>
                <w:rFonts w:ascii="Times New Roman" w:hAnsi="Times New Roman" w:cs="Times New Roman"/>
                <w:sz w:val="24"/>
                <w:szCs w:val="24"/>
              </w:rPr>
              <w:t>i</w:t>
            </w:r>
            <w:r w:rsidRPr="00FA3EC7">
              <w:rPr>
                <w:rFonts w:ascii="Times New Roman" w:hAnsi="Times New Roman" w:cs="Times New Roman"/>
                <w:sz w:val="24"/>
                <w:szCs w:val="24"/>
              </w:rPr>
              <w:t>, Izložu un azartspēļu uzraudzības inspekcija</w:t>
            </w:r>
            <w:r w:rsidR="001C5D46">
              <w:rPr>
                <w:rFonts w:ascii="Times New Roman" w:hAnsi="Times New Roman" w:cs="Times New Roman"/>
                <w:sz w:val="24"/>
                <w:szCs w:val="24"/>
              </w:rPr>
              <w:t>i</w:t>
            </w:r>
            <w:r w:rsidRPr="00FA3EC7">
              <w:rPr>
                <w:rFonts w:ascii="Times New Roman" w:hAnsi="Times New Roman" w:cs="Times New Roman"/>
                <w:sz w:val="24"/>
                <w:szCs w:val="24"/>
              </w:rPr>
              <w:t>, Nacionālā kultūras mantojuma pārvalde</w:t>
            </w:r>
            <w:r w:rsidR="001C5D46">
              <w:rPr>
                <w:rFonts w:ascii="Times New Roman" w:hAnsi="Times New Roman" w:cs="Times New Roman"/>
                <w:sz w:val="24"/>
                <w:szCs w:val="24"/>
              </w:rPr>
              <w:t>i</w:t>
            </w:r>
            <w:r w:rsidRPr="00FA3EC7">
              <w:rPr>
                <w:rFonts w:ascii="Times New Roman" w:hAnsi="Times New Roman" w:cs="Times New Roman"/>
                <w:sz w:val="24"/>
                <w:szCs w:val="24"/>
              </w:rPr>
              <w:t>, Patērētāju tiesību aizsardzības centr</w:t>
            </w:r>
            <w:r w:rsidR="001C5D46">
              <w:rPr>
                <w:rFonts w:ascii="Times New Roman" w:hAnsi="Times New Roman" w:cs="Times New Roman"/>
                <w:sz w:val="24"/>
                <w:szCs w:val="24"/>
              </w:rPr>
              <w:t>am</w:t>
            </w:r>
            <w:r w:rsidRPr="00FA3EC7">
              <w:rPr>
                <w:rFonts w:ascii="Times New Roman" w:hAnsi="Times New Roman" w:cs="Times New Roman"/>
                <w:sz w:val="24"/>
                <w:szCs w:val="24"/>
              </w:rPr>
              <w:t>, Latvijas Finanšu nozares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Maksājumu pakalpojumu un elektroniskās naudas iestāžu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Alternatīvo finanšu pakalpojumu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Darba devēju konfederācija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Apdrošinātāju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Tirdzniecības un rūpniecības kamera</w:t>
            </w:r>
            <w:r w:rsidR="001C5D46">
              <w:rPr>
                <w:rFonts w:ascii="Times New Roman" w:hAnsi="Times New Roman" w:cs="Times New Roman"/>
                <w:sz w:val="24"/>
                <w:szCs w:val="24"/>
              </w:rPr>
              <w:t>i</w:t>
            </w:r>
            <w:r w:rsidRPr="00FA3EC7">
              <w:rPr>
                <w:rFonts w:ascii="Times New Roman" w:hAnsi="Times New Roman" w:cs="Times New Roman"/>
                <w:sz w:val="24"/>
                <w:szCs w:val="24"/>
              </w:rPr>
              <w:t>, Latvijas Privātā un Riska kapitāla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Līzinga devēju asociācija</w:t>
            </w:r>
            <w:r w:rsidR="001C5D46">
              <w:rPr>
                <w:rFonts w:ascii="Times New Roman" w:hAnsi="Times New Roman" w:cs="Times New Roman"/>
                <w:sz w:val="24"/>
                <w:szCs w:val="24"/>
              </w:rPr>
              <w:t>i</w:t>
            </w:r>
            <w:r w:rsidRPr="00FA3EC7">
              <w:rPr>
                <w:rFonts w:ascii="Times New Roman" w:hAnsi="Times New Roman" w:cs="Times New Roman"/>
                <w:sz w:val="24"/>
                <w:szCs w:val="24"/>
              </w:rPr>
              <w:t>, Biedrība</w:t>
            </w:r>
            <w:r w:rsidR="001C5D46">
              <w:rPr>
                <w:rFonts w:ascii="Times New Roman" w:hAnsi="Times New Roman" w:cs="Times New Roman"/>
                <w:sz w:val="24"/>
                <w:szCs w:val="24"/>
              </w:rPr>
              <w:t>i</w:t>
            </w:r>
            <w:r w:rsidRPr="00FA3EC7">
              <w:rPr>
                <w:rFonts w:ascii="Times New Roman" w:hAnsi="Times New Roman" w:cs="Times New Roman"/>
                <w:sz w:val="24"/>
                <w:szCs w:val="24"/>
              </w:rPr>
              <w:t xml:space="preserve"> “Latvijas Spēļu biznesa asociācija”, Latvijas Republikas Grāmatvežu asociācija</w:t>
            </w:r>
            <w:r w:rsidR="001C5D46">
              <w:rPr>
                <w:rFonts w:ascii="Times New Roman" w:hAnsi="Times New Roman" w:cs="Times New Roman"/>
                <w:sz w:val="24"/>
                <w:szCs w:val="24"/>
              </w:rPr>
              <w:t>i</w:t>
            </w:r>
            <w:r w:rsidRPr="00FA3EC7">
              <w:rPr>
                <w:rFonts w:ascii="Times New Roman" w:hAnsi="Times New Roman" w:cs="Times New Roman"/>
                <w:sz w:val="24"/>
                <w:szCs w:val="24"/>
              </w:rPr>
              <w:t>, Latvijas Apdrošināšanas brokeru asociācija</w:t>
            </w:r>
            <w:r w:rsidR="001C5D46">
              <w:rPr>
                <w:rFonts w:ascii="Times New Roman" w:hAnsi="Times New Roman" w:cs="Times New Roman"/>
                <w:sz w:val="24"/>
                <w:szCs w:val="24"/>
              </w:rPr>
              <w:t>i</w:t>
            </w:r>
            <w:r w:rsidRPr="00FA3EC7">
              <w:rPr>
                <w:rFonts w:ascii="Times New Roman" w:hAnsi="Times New Roman" w:cs="Times New Roman"/>
                <w:sz w:val="24"/>
                <w:szCs w:val="24"/>
              </w:rPr>
              <w:t xml:space="preserve">, Latvijas Kooperatīvo </w:t>
            </w:r>
            <w:proofErr w:type="spellStart"/>
            <w:r w:rsidRPr="00FA3EC7">
              <w:rPr>
                <w:rFonts w:ascii="Times New Roman" w:hAnsi="Times New Roman" w:cs="Times New Roman"/>
                <w:sz w:val="24"/>
                <w:szCs w:val="24"/>
              </w:rPr>
              <w:t>krājaizdevu</w:t>
            </w:r>
            <w:proofErr w:type="spellEnd"/>
            <w:r w:rsidRPr="00FA3EC7">
              <w:rPr>
                <w:rFonts w:ascii="Times New Roman" w:hAnsi="Times New Roman" w:cs="Times New Roman"/>
                <w:sz w:val="24"/>
                <w:szCs w:val="24"/>
              </w:rPr>
              <w:t xml:space="preserve"> sabiedrību savienība</w:t>
            </w:r>
            <w:r w:rsidR="001C5D46">
              <w:rPr>
                <w:rFonts w:ascii="Times New Roman" w:hAnsi="Times New Roman" w:cs="Times New Roman"/>
                <w:sz w:val="24"/>
                <w:szCs w:val="24"/>
              </w:rPr>
              <w:t>i.</w:t>
            </w:r>
            <w:r w:rsidRPr="00FA3EC7">
              <w:rPr>
                <w:rFonts w:ascii="Times New Roman" w:hAnsi="Times New Roman" w:cs="Times New Roman"/>
                <w:sz w:val="24"/>
                <w:szCs w:val="24"/>
              </w:rPr>
              <w:t xml:space="preserve"> </w:t>
            </w:r>
          </w:p>
          <w:p w14:paraId="2697B888" w14:textId="77777777" w:rsidR="001C5D46" w:rsidRDefault="001C5D46" w:rsidP="00FA3EC7">
            <w:pPr>
              <w:pStyle w:val="naisf"/>
              <w:spacing w:before="0" w:after="0"/>
              <w:ind w:firstLine="0"/>
              <w:rPr>
                <w:rFonts w:eastAsiaTheme="minorHAnsi"/>
                <w:lang w:eastAsia="en-US"/>
              </w:rPr>
            </w:pPr>
          </w:p>
          <w:p w14:paraId="3B8E178C" w14:textId="0C11EC02" w:rsidR="00AC0522" w:rsidRDefault="003C507D" w:rsidP="00FA3EC7">
            <w:pPr>
              <w:pStyle w:val="naisf"/>
              <w:spacing w:before="0" w:after="0"/>
              <w:ind w:firstLine="0"/>
              <w:rPr>
                <w:rFonts w:eastAsiaTheme="minorHAnsi"/>
                <w:lang w:eastAsia="en-US"/>
              </w:rPr>
            </w:pPr>
            <w:r w:rsidRPr="00AC0522">
              <w:rPr>
                <w:rFonts w:eastAsiaTheme="minorHAnsi"/>
                <w:lang w:eastAsia="en-US"/>
              </w:rPr>
              <w:t>Noteikumu projekts neskar privātpersonas tiešā veidā</w:t>
            </w:r>
            <w:r w:rsidR="00AC0522" w:rsidRPr="00AC0522">
              <w:rPr>
                <w:rFonts w:eastAsiaTheme="minorHAnsi"/>
                <w:lang w:eastAsia="en-US"/>
              </w:rPr>
              <w:t xml:space="preserve"> – tas attiecas uz šīs anotācijas II sadaļa minētajiem Likuma subjektiem</w:t>
            </w:r>
            <w:r w:rsidRPr="00AC0522">
              <w:rPr>
                <w:rFonts w:eastAsiaTheme="minorHAnsi"/>
                <w:lang w:eastAsia="en-US"/>
              </w:rPr>
              <w:t>.</w:t>
            </w:r>
            <w:r w:rsidR="00AC0522" w:rsidRPr="00AC0522">
              <w:rPr>
                <w:rFonts w:eastAsiaTheme="minorHAnsi"/>
                <w:lang w:eastAsia="en-US"/>
              </w:rPr>
              <w:t xml:space="preserve"> Vienlaikus norādām, ka Likuma subjektiem jau līdz šo Noteikumu spēkā stāšanās brīdim bija jāiesniedz Finanšu izlūkošanas dienestam ziņojumi par </w:t>
            </w:r>
            <w:r w:rsidR="008A06A8">
              <w:rPr>
                <w:rFonts w:eastAsiaTheme="minorHAnsi"/>
                <w:lang w:eastAsia="en-US"/>
              </w:rPr>
              <w:t>aizdomīgiem</w:t>
            </w:r>
            <w:r w:rsidR="00AC0522" w:rsidRPr="00AC0522">
              <w:rPr>
                <w:rFonts w:eastAsiaTheme="minorHAnsi"/>
                <w:lang w:eastAsia="en-US"/>
              </w:rPr>
              <w:t xml:space="preserve"> darījumiem.</w:t>
            </w:r>
            <w:r w:rsidRPr="00AC0522">
              <w:rPr>
                <w:rFonts w:eastAsiaTheme="minorHAnsi"/>
                <w:lang w:eastAsia="en-US"/>
              </w:rPr>
              <w:t xml:space="preserve"> </w:t>
            </w:r>
          </w:p>
          <w:p w14:paraId="2CF9E11B" w14:textId="77777777" w:rsidR="00FA3EC7" w:rsidRPr="00AC0522" w:rsidRDefault="00FA3EC7" w:rsidP="00AF65E4">
            <w:pPr>
              <w:pStyle w:val="naisf"/>
              <w:spacing w:before="0" w:after="0"/>
              <w:ind w:firstLine="0"/>
              <w:rPr>
                <w:rFonts w:eastAsiaTheme="minorHAnsi"/>
                <w:lang w:eastAsia="en-US"/>
              </w:rPr>
            </w:pPr>
          </w:p>
          <w:p w14:paraId="545EDC38" w14:textId="7A4EC951" w:rsidR="00E5323B" w:rsidRPr="003C507D" w:rsidRDefault="003C507D" w:rsidP="003C507D">
            <w:pPr>
              <w:pStyle w:val="NormalWeb"/>
              <w:spacing w:before="0" w:after="0"/>
              <w:ind w:firstLine="0"/>
            </w:pPr>
            <w:r w:rsidRPr="00204B33">
              <w:t>Ievērojot iepriekš minēto sabiedrības līdzdalība nav neieciešama.</w:t>
            </w:r>
          </w:p>
        </w:tc>
      </w:tr>
      <w:tr w:rsidR="002C6D96" w:rsidRPr="002C6D96" w14:paraId="0DF893A2" w14:textId="77777777" w:rsidTr="007E40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D02C2"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AF8C2A"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A1103C" w14:textId="6CF936BD" w:rsidR="00E5323B" w:rsidRPr="002C6D96" w:rsidRDefault="008700A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2C6D96" w:rsidRPr="002C6D96" w14:paraId="37E72040" w14:textId="77777777" w:rsidTr="007E40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446C6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00120D"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DC133A5" w14:textId="2FB5DA03" w:rsidR="00E5323B" w:rsidRPr="002C6D96" w:rsidRDefault="008700A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2C6D96" w:rsidRPr="002C6D96" w14:paraId="7713B454" w14:textId="77777777" w:rsidTr="007E40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CD12E3"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E5A6DED"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A50DEB" w14:textId="4360AF3C" w:rsidR="00E5323B" w:rsidRPr="002C6D96" w:rsidRDefault="00DB02A6" w:rsidP="00260AB8">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49F9F10D"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0F06A3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A1675A" w14:textId="77777777" w:rsidR="00655F2C" w:rsidRPr="002C6D96" w:rsidRDefault="00E5323B" w:rsidP="003A621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6D96" w:rsidRPr="002C6D96" w14:paraId="6DE1B6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F4AD2"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D620B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B22928" w14:textId="107392EE" w:rsidR="00E5323B" w:rsidRPr="004E2C5A" w:rsidRDefault="004E2C5A" w:rsidP="00AF65E4">
            <w:pPr>
              <w:spacing w:after="0" w:line="240" w:lineRule="auto"/>
              <w:jc w:val="both"/>
              <w:rPr>
                <w:rFonts w:ascii="Times New Roman" w:eastAsia="Times New Roman" w:hAnsi="Times New Roman" w:cs="Times New Roman"/>
                <w:iCs/>
                <w:sz w:val="24"/>
                <w:szCs w:val="24"/>
                <w:lang w:eastAsia="lv-LV"/>
              </w:rPr>
            </w:pPr>
            <w:r w:rsidRPr="004E2C5A">
              <w:rPr>
                <w:rFonts w:ascii="Times New Roman" w:eastAsia="SimSun" w:hAnsi="Times New Roman" w:cs="Times New Roman"/>
                <w:sz w:val="24"/>
                <w:szCs w:val="24"/>
                <w:lang w:eastAsia="zh-CN"/>
              </w:rPr>
              <w:t>Finanšu izlūkošanas dienests</w:t>
            </w:r>
          </w:p>
        </w:tc>
      </w:tr>
      <w:tr w:rsidR="002C6D96" w:rsidRPr="002C6D96" w14:paraId="5785F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3B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44026"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 xml:space="preserve">Jaunu institūciju izveide, </w:t>
            </w:r>
            <w:r w:rsidRPr="002C6D96">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CFF8D4" w14:textId="29748FFC" w:rsidR="00E5323B" w:rsidRDefault="002C6D96" w:rsidP="005367D9">
            <w:pPr>
              <w:spacing w:after="0" w:line="240" w:lineRule="auto"/>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lastRenderedPageBreak/>
              <w:t>Nav plānota jaunu institūciju izveide, esošu institūciju likvidācija vai reorganizācija</w:t>
            </w:r>
            <w:r w:rsidR="003A621B">
              <w:rPr>
                <w:rFonts w:ascii="Times New Roman" w:eastAsia="Times New Roman" w:hAnsi="Times New Roman" w:cs="Times New Roman"/>
                <w:sz w:val="24"/>
                <w:szCs w:val="24"/>
                <w:lang w:eastAsia="lv-LV"/>
              </w:rPr>
              <w:t>, kā arī paplašināt vai sašaurināt iesaistīto institūciju funkcijas un uzdevumus.</w:t>
            </w:r>
          </w:p>
          <w:p w14:paraId="20EDA2A9" w14:textId="75DD0564" w:rsidR="00EE5469" w:rsidRPr="002C6D96" w:rsidRDefault="00286E6F" w:rsidP="003A62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Projekts tiks realizēts esošo </w:t>
            </w:r>
            <w:r w:rsidR="00EE5469">
              <w:rPr>
                <w:rFonts w:ascii="Times New Roman" w:eastAsia="Times New Roman" w:hAnsi="Times New Roman" w:cs="Times New Roman"/>
                <w:sz w:val="24"/>
                <w:szCs w:val="24"/>
                <w:lang w:eastAsia="lv-LV"/>
              </w:rPr>
              <w:t>cilvēk</w:t>
            </w:r>
            <w:r>
              <w:rPr>
                <w:rFonts w:ascii="Times New Roman" w:eastAsia="Times New Roman" w:hAnsi="Times New Roman" w:cs="Times New Roman"/>
                <w:sz w:val="24"/>
                <w:szCs w:val="24"/>
                <w:lang w:eastAsia="lv-LV"/>
              </w:rPr>
              <w:t>resursu ietvaros.</w:t>
            </w:r>
          </w:p>
        </w:tc>
      </w:tr>
      <w:tr w:rsidR="002C6D96" w:rsidRPr="002C6D96" w14:paraId="17B3B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9003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DABEE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DAC490" w14:textId="61B7AC93" w:rsidR="00E5323B" w:rsidRPr="002C6D96" w:rsidRDefault="002C6D96" w:rsidP="00DB02A6">
            <w:pPr>
              <w:spacing w:after="0" w:line="240" w:lineRule="auto"/>
              <w:jc w:val="both"/>
              <w:rPr>
                <w:rFonts w:ascii="Times New Roman" w:eastAsia="Times New Roman" w:hAnsi="Times New Roman" w:cs="Times New Roman"/>
                <w:iCs/>
                <w:sz w:val="24"/>
                <w:szCs w:val="24"/>
                <w:lang w:eastAsia="lv-LV"/>
              </w:rPr>
            </w:pPr>
            <w:r w:rsidRPr="00DB02A6">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DB02A6">
                <w:rPr>
                  <w:rStyle w:val="Hyperlink"/>
                  <w:rFonts w:ascii="Times New Roman" w:eastAsia="Batang" w:hAnsi="Times New Roman" w:cs="Times New Roman"/>
                  <w:color w:val="auto"/>
                  <w:sz w:val="24"/>
                  <w:szCs w:val="24"/>
                  <w:u w:val="none"/>
                  <w:lang w:eastAsia="lv-LV"/>
                </w:rPr>
                <w:t>www.vestnesis.lv</w:t>
              </w:r>
            </w:hyperlink>
            <w:r w:rsidRPr="00DB02A6">
              <w:rPr>
                <w:rFonts w:ascii="Times New Roman" w:eastAsia="Times New Roman" w:hAnsi="Times New Roman" w:cs="Times New Roman"/>
                <w:sz w:val="24"/>
                <w:szCs w:val="24"/>
                <w:lang w:eastAsia="lv-LV"/>
              </w:rPr>
              <w:t>.</w:t>
            </w:r>
          </w:p>
        </w:tc>
      </w:tr>
    </w:tbl>
    <w:p w14:paraId="3330D64E" w14:textId="5745F986" w:rsidR="00F82274" w:rsidRDefault="00F82274" w:rsidP="00894C55">
      <w:pPr>
        <w:spacing w:after="0" w:line="240" w:lineRule="auto"/>
        <w:rPr>
          <w:rFonts w:ascii="Times New Roman" w:hAnsi="Times New Roman" w:cs="Times New Roman"/>
          <w:sz w:val="24"/>
          <w:szCs w:val="24"/>
        </w:rPr>
      </w:pPr>
    </w:p>
    <w:p w14:paraId="3282611F" w14:textId="77777777" w:rsidR="00271CD3" w:rsidRDefault="00271CD3" w:rsidP="00894C55">
      <w:pPr>
        <w:spacing w:after="0" w:line="240" w:lineRule="auto"/>
        <w:rPr>
          <w:rFonts w:ascii="Times New Roman" w:hAnsi="Times New Roman" w:cs="Times New Roman"/>
          <w:sz w:val="24"/>
          <w:szCs w:val="24"/>
        </w:rPr>
      </w:pPr>
    </w:p>
    <w:p w14:paraId="582C9C18" w14:textId="77777777" w:rsidR="00F82274" w:rsidRPr="002C6D96" w:rsidRDefault="00F82274" w:rsidP="00894C55">
      <w:pPr>
        <w:spacing w:after="0" w:line="240" w:lineRule="auto"/>
        <w:rPr>
          <w:rFonts w:ascii="Times New Roman" w:hAnsi="Times New Roman" w:cs="Times New Roman"/>
          <w:sz w:val="24"/>
          <w:szCs w:val="24"/>
        </w:rPr>
      </w:pPr>
    </w:p>
    <w:p w14:paraId="0D55D432" w14:textId="4FEDD652" w:rsidR="002C6D96" w:rsidRPr="002C6D96" w:rsidRDefault="00056408" w:rsidP="002C6D96">
      <w:pPr>
        <w:tabs>
          <w:tab w:val="left" w:pos="751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ministrs</w:t>
      </w:r>
      <w:r>
        <w:rPr>
          <w:rFonts w:ascii="Times New Roman" w:hAnsi="Times New Roman" w:cs="Times New Roman"/>
          <w:color w:val="000000" w:themeColor="text1"/>
          <w:sz w:val="24"/>
          <w:szCs w:val="24"/>
        </w:rPr>
        <w:tab/>
        <w:t xml:space="preserve">        J.Reirs</w:t>
      </w:r>
    </w:p>
    <w:p w14:paraId="7C141487" w14:textId="09216317" w:rsidR="00E439C7" w:rsidRDefault="00E439C7" w:rsidP="002C6D96">
      <w:pPr>
        <w:tabs>
          <w:tab w:val="left" w:pos="6237"/>
        </w:tabs>
        <w:spacing w:after="0" w:line="240" w:lineRule="auto"/>
        <w:rPr>
          <w:rFonts w:ascii="Times New Roman" w:hAnsi="Times New Roman" w:cs="Times New Roman"/>
          <w:color w:val="000000" w:themeColor="text1"/>
          <w:sz w:val="24"/>
          <w:szCs w:val="24"/>
        </w:rPr>
      </w:pPr>
    </w:p>
    <w:p w14:paraId="60E3272B" w14:textId="77777777" w:rsidR="00E439C7" w:rsidRPr="002C6D96" w:rsidRDefault="00E439C7" w:rsidP="002C6D96">
      <w:pPr>
        <w:tabs>
          <w:tab w:val="left" w:pos="6237"/>
        </w:tabs>
        <w:spacing w:after="0" w:line="240" w:lineRule="auto"/>
        <w:rPr>
          <w:rFonts w:ascii="Times New Roman" w:hAnsi="Times New Roman" w:cs="Times New Roman"/>
          <w:color w:val="000000" w:themeColor="text1"/>
          <w:sz w:val="24"/>
          <w:szCs w:val="24"/>
        </w:rPr>
      </w:pPr>
    </w:p>
    <w:p w14:paraId="56BB5F0D"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4EDB9045"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1A84E303"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2F1246F4"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766C5556"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3E9D2707"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7DB0B386" w14:textId="77777777"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2BBAF35E" w14:textId="6FDC9E45" w:rsidR="003566B9" w:rsidRDefault="003566B9" w:rsidP="003566B9">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Buse, 67095535</w:t>
      </w:r>
    </w:p>
    <w:p w14:paraId="3E171ABD" w14:textId="2859BE0D" w:rsidR="003566B9" w:rsidRDefault="003566B9" w:rsidP="003566B9">
      <w:pPr>
        <w:tabs>
          <w:tab w:val="left" w:pos="6237"/>
        </w:tabs>
        <w:spacing w:after="0" w:line="240" w:lineRule="auto"/>
        <w:rPr>
          <w:rStyle w:val="Hyperlink"/>
          <w:rFonts w:ascii="Times New Roman" w:hAnsi="Times New Roman" w:cs="Times New Roman"/>
          <w:sz w:val="20"/>
          <w:szCs w:val="20"/>
        </w:rPr>
      </w:pPr>
      <w:r w:rsidRPr="00FB2985">
        <w:rPr>
          <w:rFonts w:ascii="Times New Roman" w:hAnsi="Times New Roman" w:cs="Times New Roman"/>
          <w:sz w:val="20"/>
          <w:szCs w:val="20"/>
        </w:rPr>
        <w:t>Dina.Buse@fm.gov.lv</w:t>
      </w:r>
    </w:p>
    <w:p w14:paraId="1022DD6C" w14:textId="77777777" w:rsidR="003566B9" w:rsidRPr="002C6D96" w:rsidRDefault="003566B9" w:rsidP="003566B9">
      <w:pPr>
        <w:tabs>
          <w:tab w:val="left" w:pos="6237"/>
        </w:tabs>
        <w:spacing w:after="0" w:line="240" w:lineRule="auto"/>
        <w:rPr>
          <w:rFonts w:ascii="Times New Roman" w:hAnsi="Times New Roman" w:cs="Times New Roman"/>
          <w:color w:val="000000" w:themeColor="text1"/>
          <w:sz w:val="20"/>
          <w:szCs w:val="20"/>
        </w:rPr>
      </w:pPr>
    </w:p>
    <w:p w14:paraId="1AF24826" w14:textId="797DE2C6" w:rsidR="002C6D96" w:rsidRPr="002C6D96" w:rsidRDefault="00DB02A6" w:rsidP="002C6D96">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Vītola, </w:t>
      </w:r>
      <w:r w:rsidR="00056408">
        <w:rPr>
          <w:rFonts w:ascii="Times New Roman" w:hAnsi="Times New Roman" w:cs="Times New Roman"/>
          <w:color w:val="000000" w:themeColor="text1"/>
          <w:sz w:val="20"/>
          <w:szCs w:val="20"/>
        </w:rPr>
        <w:t>67969496</w:t>
      </w:r>
    </w:p>
    <w:p w14:paraId="5BC697B2" w14:textId="424B5362" w:rsidR="002C6D96" w:rsidRDefault="00BD79CB" w:rsidP="002C6D96">
      <w:pPr>
        <w:tabs>
          <w:tab w:val="left" w:pos="6237"/>
        </w:tabs>
        <w:spacing w:after="0" w:line="240" w:lineRule="auto"/>
        <w:rPr>
          <w:rFonts w:ascii="Times New Roman" w:hAnsi="Times New Roman" w:cs="Times New Roman"/>
          <w:color w:val="000000" w:themeColor="text1"/>
          <w:sz w:val="20"/>
          <w:szCs w:val="20"/>
        </w:rPr>
      </w:pPr>
      <w:r w:rsidRPr="00FB2985">
        <w:rPr>
          <w:rFonts w:ascii="Times New Roman" w:hAnsi="Times New Roman" w:cs="Times New Roman"/>
          <w:sz w:val="20"/>
          <w:szCs w:val="20"/>
        </w:rPr>
        <w:t>Dace.Vitola@kd.gov.lv</w:t>
      </w:r>
      <w:bookmarkStart w:id="3" w:name="_GoBack"/>
      <w:bookmarkEnd w:id="3"/>
    </w:p>
    <w:p w14:paraId="2EA9C413" w14:textId="67ADE125" w:rsidR="00BD79CB" w:rsidRDefault="00BD79CB" w:rsidP="002C6D96">
      <w:pPr>
        <w:tabs>
          <w:tab w:val="left" w:pos="6237"/>
        </w:tabs>
        <w:spacing w:after="0" w:line="240" w:lineRule="auto"/>
        <w:rPr>
          <w:rFonts w:ascii="Times New Roman" w:hAnsi="Times New Roman" w:cs="Times New Roman"/>
          <w:color w:val="000000" w:themeColor="text1"/>
          <w:sz w:val="20"/>
          <w:szCs w:val="20"/>
        </w:rPr>
      </w:pPr>
    </w:p>
    <w:p w14:paraId="20D94C69" w14:textId="42866A7C" w:rsidR="00BD79CB" w:rsidRPr="002C6D96" w:rsidRDefault="00BD79CB" w:rsidP="002C6D96">
      <w:pPr>
        <w:tabs>
          <w:tab w:val="left" w:pos="6237"/>
        </w:tabs>
        <w:spacing w:after="0" w:line="240" w:lineRule="auto"/>
        <w:rPr>
          <w:rFonts w:ascii="Times New Roman" w:hAnsi="Times New Roman" w:cs="Times New Roman"/>
          <w:color w:val="000000" w:themeColor="text1"/>
          <w:sz w:val="20"/>
          <w:szCs w:val="20"/>
        </w:rPr>
      </w:pPr>
    </w:p>
    <w:sectPr w:rsidR="00BD79CB" w:rsidRPr="002C6D9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7213" w14:textId="77777777" w:rsidR="00975FF2" w:rsidRDefault="00975FF2" w:rsidP="00894C55">
      <w:pPr>
        <w:spacing w:after="0" w:line="240" w:lineRule="auto"/>
      </w:pPr>
      <w:r>
        <w:separator/>
      </w:r>
    </w:p>
  </w:endnote>
  <w:endnote w:type="continuationSeparator" w:id="0">
    <w:p w14:paraId="24D01D8D" w14:textId="77777777" w:rsidR="00975FF2" w:rsidRDefault="00975F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0FFC" w14:textId="7FAC1F03" w:rsidR="00894C55" w:rsidRPr="00DE58D0" w:rsidRDefault="00EC5664" w:rsidP="00DE58D0">
    <w:pPr>
      <w:pStyle w:val="Footer"/>
    </w:pPr>
    <w:r>
      <w:rPr>
        <w:rFonts w:ascii="Times New Roman" w:hAnsi="Times New Roman" w:cs="Times New Roman"/>
        <w:sz w:val="20"/>
        <w:szCs w:val="20"/>
      </w:rPr>
      <w:t>FMa</w:t>
    </w:r>
    <w:r w:rsidR="00DE58D0" w:rsidRPr="00DE58D0">
      <w:rPr>
        <w:rFonts w:ascii="Times New Roman" w:hAnsi="Times New Roman" w:cs="Times New Roman"/>
        <w:sz w:val="20"/>
        <w:szCs w:val="20"/>
      </w:rPr>
      <w:t>not_</w:t>
    </w:r>
    <w:r w:rsidR="008A1BAF">
      <w:rPr>
        <w:rFonts w:ascii="Times New Roman" w:hAnsi="Times New Roman" w:cs="Times New Roman"/>
        <w:sz w:val="20"/>
        <w:szCs w:val="20"/>
      </w:rPr>
      <w:t>22</w:t>
    </w:r>
    <w:r w:rsidR="00DE58D0" w:rsidRPr="00DE58D0">
      <w:rPr>
        <w:rFonts w:ascii="Times New Roman" w:hAnsi="Times New Roman" w:cs="Times New Roman"/>
        <w:sz w:val="20"/>
        <w:szCs w:val="20"/>
      </w:rPr>
      <w:t>0819_aizdomigs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6B1C" w14:textId="39780E44" w:rsidR="009A2654" w:rsidRPr="0036462E" w:rsidRDefault="00D404A5" w:rsidP="006219E4">
    <w:pPr>
      <w:shd w:val="clear" w:color="auto" w:fill="FFFFFF"/>
      <w:spacing w:after="0" w:line="240" w:lineRule="auto"/>
      <w:jc w:val="both"/>
      <w:rPr>
        <w:rFonts w:ascii="Times New Roman" w:hAnsi="Times New Roman" w:cs="Times New Roman"/>
        <w:color w:val="000000"/>
        <w:sz w:val="20"/>
        <w:szCs w:val="20"/>
      </w:rPr>
    </w:pPr>
    <w:r w:rsidRPr="0036462E">
      <w:rPr>
        <w:rFonts w:ascii="Times New Roman" w:hAnsi="Times New Roman" w:cs="Times New Roman"/>
        <w:sz w:val="20"/>
        <w:szCs w:val="20"/>
      </w:rPr>
      <w:t>FM</w:t>
    </w:r>
    <w:r w:rsidR="00163F4F">
      <w:rPr>
        <w:rFonts w:ascii="Times New Roman" w:hAnsi="Times New Roman" w:cs="Times New Roman"/>
        <w:sz w:val="20"/>
        <w:szCs w:val="20"/>
      </w:rPr>
      <w:t>a</w:t>
    </w:r>
    <w:r w:rsidR="001B7DA0" w:rsidRPr="0036462E">
      <w:rPr>
        <w:rFonts w:ascii="Times New Roman" w:hAnsi="Times New Roman" w:cs="Times New Roman"/>
        <w:sz w:val="20"/>
        <w:szCs w:val="20"/>
      </w:rPr>
      <w:t>n</w:t>
    </w:r>
    <w:r w:rsidR="002607D7">
      <w:rPr>
        <w:rFonts w:ascii="Times New Roman" w:hAnsi="Times New Roman" w:cs="Times New Roman"/>
        <w:sz w:val="20"/>
        <w:szCs w:val="20"/>
      </w:rPr>
      <w:t>ot_</w:t>
    </w:r>
    <w:r w:rsidR="008A1BAF">
      <w:rPr>
        <w:rFonts w:ascii="Times New Roman" w:hAnsi="Times New Roman" w:cs="Times New Roman"/>
        <w:sz w:val="20"/>
        <w:szCs w:val="20"/>
      </w:rPr>
      <w:t>22</w:t>
    </w:r>
    <w:r w:rsidR="00262189">
      <w:rPr>
        <w:rFonts w:ascii="Times New Roman" w:hAnsi="Times New Roman" w:cs="Times New Roman"/>
        <w:sz w:val="20"/>
        <w:szCs w:val="20"/>
      </w:rPr>
      <w:t>08</w:t>
    </w:r>
    <w:r w:rsidRPr="0036462E">
      <w:rPr>
        <w:rFonts w:ascii="Times New Roman" w:hAnsi="Times New Roman" w:cs="Times New Roman"/>
        <w:sz w:val="20"/>
        <w:szCs w:val="20"/>
      </w:rPr>
      <w:t>19_</w:t>
    </w:r>
    <w:r w:rsidR="0036462E" w:rsidRPr="0036462E">
      <w:rPr>
        <w:rFonts w:ascii="Times New Roman" w:hAnsi="Times New Roman" w:cs="Times New Roman"/>
        <w:sz w:val="20"/>
        <w:szCs w:val="20"/>
      </w:rPr>
      <w:t>aizdomigs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004F" w14:textId="77777777" w:rsidR="00975FF2" w:rsidRDefault="00975FF2" w:rsidP="00894C55">
      <w:pPr>
        <w:spacing w:after="0" w:line="240" w:lineRule="auto"/>
      </w:pPr>
      <w:r>
        <w:separator/>
      </w:r>
    </w:p>
  </w:footnote>
  <w:footnote w:type="continuationSeparator" w:id="0">
    <w:p w14:paraId="21BEB637" w14:textId="77777777" w:rsidR="00975FF2" w:rsidRDefault="00975FF2" w:rsidP="00894C55">
      <w:pPr>
        <w:spacing w:after="0" w:line="240" w:lineRule="auto"/>
      </w:pPr>
      <w:r>
        <w:continuationSeparator/>
      </w:r>
    </w:p>
  </w:footnote>
  <w:footnote w:id="1">
    <w:p w14:paraId="20463977" w14:textId="0CE1C23B" w:rsidR="00E97131" w:rsidRPr="00E97131" w:rsidRDefault="00E97131" w:rsidP="00E97131">
      <w:pPr>
        <w:pStyle w:val="FootnoteText"/>
        <w:jc w:val="both"/>
      </w:pPr>
      <w:r w:rsidRPr="00E97131">
        <w:rPr>
          <w:rStyle w:val="FootnoteReference"/>
        </w:rPr>
        <w:footnoteRef/>
      </w:r>
      <w:r w:rsidRPr="00E97131">
        <w:t xml:space="preserve"> </w:t>
      </w:r>
      <w:r w:rsidRPr="00E97131">
        <w:rPr>
          <w:iCs/>
        </w:rPr>
        <w:t>Noziedzīgi iegūtu līdzekļu legalizācijas un terorisma un proliferācijas finansēšanas novēršanas likuma pārejas noteikumu 3</w:t>
      </w:r>
      <w:r w:rsidR="00CA17A4">
        <w:rPr>
          <w:iCs/>
        </w:rPr>
        <w:t>9</w:t>
      </w:r>
      <w:r w:rsidRPr="00E97131">
        <w:rPr>
          <w:iCs/>
        </w:rPr>
        <w:t>.punkts nosaka, ka regulējums attiecībā uz sliekšņa deklarāciju stājas spēkā 2019.gada 17.decembrī.</w:t>
      </w:r>
    </w:p>
  </w:footnote>
  <w:footnote w:id="2">
    <w:p w14:paraId="6D42B5E2" w14:textId="1C497CCF" w:rsidR="00FA3EC7" w:rsidRDefault="00FA3EC7">
      <w:pPr>
        <w:pStyle w:val="FootnoteText"/>
      </w:pPr>
      <w:r>
        <w:rPr>
          <w:rStyle w:val="FootnoteReference"/>
        </w:rPr>
        <w:footnoteRef/>
      </w:r>
      <w:r>
        <w:t xml:space="preserve"> No 2019.gada 17.decembra Likuma 3.panta ceturtā daļa tiek izteikta jaunā 3.</w:t>
      </w:r>
      <w:r w:rsidRPr="00FA3EC7">
        <w:rPr>
          <w:vertAlign w:val="superscript"/>
        </w:rPr>
        <w:t>1</w:t>
      </w:r>
      <w:r>
        <w:t xml:space="preserve"> pantā.</w:t>
      </w:r>
    </w:p>
  </w:footnote>
  <w:footnote w:id="3">
    <w:p w14:paraId="1718E54A" w14:textId="0A19F278" w:rsidR="007F69B6" w:rsidRPr="003A621B" w:rsidRDefault="007F69B6" w:rsidP="003A621B">
      <w:pPr>
        <w:pStyle w:val="tv213"/>
        <w:shd w:val="clear" w:color="auto" w:fill="FFFFFF"/>
        <w:spacing w:before="0" w:beforeAutospacing="0" w:after="0" w:afterAutospacing="0"/>
        <w:jc w:val="both"/>
        <w:rPr>
          <w:sz w:val="20"/>
          <w:szCs w:val="20"/>
        </w:rPr>
      </w:pPr>
      <w:r>
        <w:rPr>
          <w:rStyle w:val="FootnoteReference"/>
        </w:rPr>
        <w:footnoteRef/>
      </w:r>
      <w:r>
        <w:t xml:space="preserve"> </w:t>
      </w:r>
      <w:r w:rsidRPr="003A621B">
        <w:rPr>
          <w:color w:val="000000"/>
          <w:sz w:val="20"/>
          <w:szCs w:val="20"/>
        </w:rPr>
        <w:t xml:space="preserve">Likuma subjekti, pamatojoties uz Likuma 3.pantu ir   </w:t>
      </w:r>
      <w:r w:rsidRPr="003A621B">
        <w:rPr>
          <w:sz w:val="20"/>
          <w:szCs w:val="20"/>
        </w:rPr>
        <w:t xml:space="preserve">kredītiestādes, finanšu iestādes,  ārpakalpojuma grāmatveži, zvērināti revidenti, zvērinātu revidentu komercsabiedrības un nodokļu konsultanti, kā arī jebkura cita persona, kas apņemas sniegt palīdzību nodokļu jautājumos vai rīkojas kā starpnieks šādas palīdzības sniegšanā, zvērināti notāri, zvērināti advokāti, citi neatkarīgi juridisko pakalpojumu sniedzēji, juridiska veidojuma vai juridiskās personas dibināšanas un darbības nodrošināšanas pakalpojumu sniedzēji, personas, kas darbojas kā aģenti vai starpnieki darījumos ar nekustamo īpašumu, izložu un azartspēļu organizētāji,  personas, kas sniedz inkasācijas pakalpojumus, juridiskās vai fiziskās personas, kas nodarbojas ar transportlīdzekļu, kultūras pieminekļu, dārgmetālu, dārgakmeņu, to izstrādājumu vai cita veida preču tirdzniecību, kā arī ar starpniecību minētajos darījumos, parāda atgūšanas pakalpojuma sniedzēji, virtuālās valūtas pakalpojuma sniedzēji, personas, kas darbojas mākslas un antikvāro priekšmetu apritē.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DDF38A" w14:textId="39E4BA9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29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8"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2"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2"/>
  </w:num>
  <w:num w:numId="3">
    <w:abstractNumId w:val="15"/>
  </w:num>
  <w:num w:numId="4">
    <w:abstractNumId w:val="16"/>
  </w:num>
  <w:num w:numId="5">
    <w:abstractNumId w:val="0"/>
  </w:num>
  <w:num w:numId="6">
    <w:abstractNumId w:val="7"/>
  </w:num>
  <w:num w:numId="7">
    <w:abstractNumId w:val="5"/>
  </w:num>
  <w:num w:numId="8">
    <w:abstractNumId w:val="4"/>
  </w:num>
  <w:num w:numId="9">
    <w:abstractNumId w:val="10"/>
  </w:num>
  <w:num w:numId="10">
    <w:abstractNumId w:val="8"/>
  </w:num>
  <w:num w:numId="11">
    <w:abstractNumId w:val="14"/>
  </w:num>
  <w:num w:numId="12">
    <w:abstractNumId w:val="9"/>
  </w:num>
  <w:num w:numId="13">
    <w:abstractNumId w:val="11"/>
  </w:num>
  <w:num w:numId="14">
    <w:abstractNumId w:val="2"/>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D"/>
    <w:rsid w:val="0000723E"/>
    <w:rsid w:val="00016CC9"/>
    <w:rsid w:val="000272D9"/>
    <w:rsid w:val="00030B4A"/>
    <w:rsid w:val="00040E1F"/>
    <w:rsid w:val="00042DD2"/>
    <w:rsid w:val="00056408"/>
    <w:rsid w:val="00066438"/>
    <w:rsid w:val="000758B2"/>
    <w:rsid w:val="00076143"/>
    <w:rsid w:val="00082330"/>
    <w:rsid w:val="00085161"/>
    <w:rsid w:val="00095EC3"/>
    <w:rsid w:val="000A1AD3"/>
    <w:rsid w:val="000A70EA"/>
    <w:rsid w:val="000C0FA4"/>
    <w:rsid w:val="000E6390"/>
    <w:rsid w:val="00104261"/>
    <w:rsid w:val="00107031"/>
    <w:rsid w:val="00137128"/>
    <w:rsid w:val="00154574"/>
    <w:rsid w:val="00163F4F"/>
    <w:rsid w:val="00176C60"/>
    <w:rsid w:val="0018046E"/>
    <w:rsid w:val="00181BEB"/>
    <w:rsid w:val="00184EBD"/>
    <w:rsid w:val="00196813"/>
    <w:rsid w:val="001B7DA0"/>
    <w:rsid w:val="001C5D46"/>
    <w:rsid w:val="001F6F9E"/>
    <w:rsid w:val="0021078D"/>
    <w:rsid w:val="00222362"/>
    <w:rsid w:val="00243426"/>
    <w:rsid w:val="00251FDD"/>
    <w:rsid w:val="00255C4F"/>
    <w:rsid w:val="002607D7"/>
    <w:rsid w:val="00260AB8"/>
    <w:rsid w:val="0026185D"/>
    <w:rsid w:val="00262189"/>
    <w:rsid w:val="0027045C"/>
    <w:rsid w:val="00271CD3"/>
    <w:rsid w:val="00273051"/>
    <w:rsid w:val="00275433"/>
    <w:rsid w:val="00282CFD"/>
    <w:rsid w:val="00285B3E"/>
    <w:rsid w:val="00286165"/>
    <w:rsid w:val="00286B1F"/>
    <w:rsid w:val="00286E6F"/>
    <w:rsid w:val="002B2132"/>
    <w:rsid w:val="002B60D3"/>
    <w:rsid w:val="002C6D96"/>
    <w:rsid w:val="002E1C05"/>
    <w:rsid w:val="002F4D01"/>
    <w:rsid w:val="00311B03"/>
    <w:rsid w:val="0035301E"/>
    <w:rsid w:val="003566B9"/>
    <w:rsid w:val="0036462E"/>
    <w:rsid w:val="0038003E"/>
    <w:rsid w:val="003833BE"/>
    <w:rsid w:val="003A4F40"/>
    <w:rsid w:val="003A621B"/>
    <w:rsid w:val="003B0BF9"/>
    <w:rsid w:val="003C507D"/>
    <w:rsid w:val="003C7511"/>
    <w:rsid w:val="003E0791"/>
    <w:rsid w:val="003E704B"/>
    <w:rsid w:val="003F1B63"/>
    <w:rsid w:val="003F28AC"/>
    <w:rsid w:val="00435C0C"/>
    <w:rsid w:val="004454FE"/>
    <w:rsid w:val="00456E40"/>
    <w:rsid w:val="0046063F"/>
    <w:rsid w:val="00461D9E"/>
    <w:rsid w:val="00470D11"/>
    <w:rsid w:val="00471F27"/>
    <w:rsid w:val="00492DF7"/>
    <w:rsid w:val="00495638"/>
    <w:rsid w:val="004D2F8E"/>
    <w:rsid w:val="004E2C5A"/>
    <w:rsid w:val="004E7D98"/>
    <w:rsid w:val="0050178F"/>
    <w:rsid w:val="005072B8"/>
    <w:rsid w:val="0053452E"/>
    <w:rsid w:val="005367D9"/>
    <w:rsid w:val="00570CE9"/>
    <w:rsid w:val="00587B0F"/>
    <w:rsid w:val="005A3338"/>
    <w:rsid w:val="005C0A50"/>
    <w:rsid w:val="005D12ED"/>
    <w:rsid w:val="005E20DF"/>
    <w:rsid w:val="006032CB"/>
    <w:rsid w:val="00603424"/>
    <w:rsid w:val="006219E4"/>
    <w:rsid w:val="00655F2C"/>
    <w:rsid w:val="00675D9F"/>
    <w:rsid w:val="00695C3C"/>
    <w:rsid w:val="006B1B47"/>
    <w:rsid w:val="006E1081"/>
    <w:rsid w:val="00702F10"/>
    <w:rsid w:val="00705AE6"/>
    <w:rsid w:val="0071246A"/>
    <w:rsid w:val="00720585"/>
    <w:rsid w:val="0072122E"/>
    <w:rsid w:val="007248EE"/>
    <w:rsid w:val="00735155"/>
    <w:rsid w:val="00766B83"/>
    <w:rsid w:val="00773AF6"/>
    <w:rsid w:val="007862E4"/>
    <w:rsid w:val="00795F71"/>
    <w:rsid w:val="007A3312"/>
    <w:rsid w:val="007B0BD8"/>
    <w:rsid w:val="007B3684"/>
    <w:rsid w:val="007C077D"/>
    <w:rsid w:val="007C0A04"/>
    <w:rsid w:val="007E0A81"/>
    <w:rsid w:val="007E2665"/>
    <w:rsid w:val="007E4094"/>
    <w:rsid w:val="007E5F7A"/>
    <w:rsid w:val="007E73AB"/>
    <w:rsid w:val="007F244C"/>
    <w:rsid w:val="007F69B6"/>
    <w:rsid w:val="008074B4"/>
    <w:rsid w:val="00816C11"/>
    <w:rsid w:val="00826E79"/>
    <w:rsid w:val="008329C4"/>
    <w:rsid w:val="00840748"/>
    <w:rsid w:val="008700AA"/>
    <w:rsid w:val="00872AE0"/>
    <w:rsid w:val="00891ED5"/>
    <w:rsid w:val="00894C55"/>
    <w:rsid w:val="008A06A8"/>
    <w:rsid w:val="008A1BAF"/>
    <w:rsid w:val="008D0EE4"/>
    <w:rsid w:val="008D3F30"/>
    <w:rsid w:val="00924CE2"/>
    <w:rsid w:val="00932E1D"/>
    <w:rsid w:val="0093562B"/>
    <w:rsid w:val="009640D5"/>
    <w:rsid w:val="00975FF2"/>
    <w:rsid w:val="009876CF"/>
    <w:rsid w:val="00993FE2"/>
    <w:rsid w:val="009A2654"/>
    <w:rsid w:val="009D1183"/>
    <w:rsid w:val="009F0C6E"/>
    <w:rsid w:val="009F468A"/>
    <w:rsid w:val="00A04656"/>
    <w:rsid w:val="00A10FC3"/>
    <w:rsid w:val="00A20BBA"/>
    <w:rsid w:val="00A55C9D"/>
    <w:rsid w:val="00A6073E"/>
    <w:rsid w:val="00A65C9C"/>
    <w:rsid w:val="00A74F26"/>
    <w:rsid w:val="00A83D5C"/>
    <w:rsid w:val="00A95474"/>
    <w:rsid w:val="00AC0522"/>
    <w:rsid w:val="00AC5CB8"/>
    <w:rsid w:val="00AD0F51"/>
    <w:rsid w:val="00AE5567"/>
    <w:rsid w:val="00AE67C0"/>
    <w:rsid w:val="00AF1239"/>
    <w:rsid w:val="00AF65E4"/>
    <w:rsid w:val="00B12102"/>
    <w:rsid w:val="00B16480"/>
    <w:rsid w:val="00B2165C"/>
    <w:rsid w:val="00B217C5"/>
    <w:rsid w:val="00B31336"/>
    <w:rsid w:val="00B43020"/>
    <w:rsid w:val="00B5700F"/>
    <w:rsid w:val="00BA20AA"/>
    <w:rsid w:val="00BA568C"/>
    <w:rsid w:val="00BC5462"/>
    <w:rsid w:val="00BD4425"/>
    <w:rsid w:val="00BD79CB"/>
    <w:rsid w:val="00C070CC"/>
    <w:rsid w:val="00C14D4C"/>
    <w:rsid w:val="00C25B49"/>
    <w:rsid w:val="00C32E2C"/>
    <w:rsid w:val="00C66828"/>
    <w:rsid w:val="00C705BA"/>
    <w:rsid w:val="00C8583D"/>
    <w:rsid w:val="00C93CD6"/>
    <w:rsid w:val="00CA17A4"/>
    <w:rsid w:val="00CB09D6"/>
    <w:rsid w:val="00CB2501"/>
    <w:rsid w:val="00CC0D2D"/>
    <w:rsid w:val="00CC78FE"/>
    <w:rsid w:val="00CD296A"/>
    <w:rsid w:val="00CE5657"/>
    <w:rsid w:val="00CE775E"/>
    <w:rsid w:val="00CF6A0C"/>
    <w:rsid w:val="00D133F8"/>
    <w:rsid w:val="00D14A3E"/>
    <w:rsid w:val="00D20C7E"/>
    <w:rsid w:val="00D404A5"/>
    <w:rsid w:val="00D7171E"/>
    <w:rsid w:val="00D71B91"/>
    <w:rsid w:val="00D8031B"/>
    <w:rsid w:val="00D91844"/>
    <w:rsid w:val="00D928CE"/>
    <w:rsid w:val="00D942A7"/>
    <w:rsid w:val="00D9461C"/>
    <w:rsid w:val="00D96ED4"/>
    <w:rsid w:val="00D97F48"/>
    <w:rsid w:val="00DB02A6"/>
    <w:rsid w:val="00DC229D"/>
    <w:rsid w:val="00DE15AA"/>
    <w:rsid w:val="00DE58D0"/>
    <w:rsid w:val="00DF433A"/>
    <w:rsid w:val="00E10676"/>
    <w:rsid w:val="00E3716B"/>
    <w:rsid w:val="00E439C7"/>
    <w:rsid w:val="00E4431F"/>
    <w:rsid w:val="00E5323B"/>
    <w:rsid w:val="00E67FA0"/>
    <w:rsid w:val="00E84E67"/>
    <w:rsid w:val="00E8749E"/>
    <w:rsid w:val="00E90C01"/>
    <w:rsid w:val="00E97131"/>
    <w:rsid w:val="00EA486E"/>
    <w:rsid w:val="00EB6228"/>
    <w:rsid w:val="00EC5664"/>
    <w:rsid w:val="00ED3357"/>
    <w:rsid w:val="00ED78DE"/>
    <w:rsid w:val="00EE017F"/>
    <w:rsid w:val="00EE4DE9"/>
    <w:rsid w:val="00EE5469"/>
    <w:rsid w:val="00EE66E8"/>
    <w:rsid w:val="00F155A7"/>
    <w:rsid w:val="00F57B0C"/>
    <w:rsid w:val="00F70B55"/>
    <w:rsid w:val="00F76528"/>
    <w:rsid w:val="00F82274"/>
    <w:rsid w:val="00F85551"/>
    <w:rsid w:val="00F97C3C"/>
    <w:rsid w:val="00F97CAB"/>
    <w:rsid w:val="00FA3EC7"/>
    <w:rsid w:val="00FA42F8"/>
    <w:rsid w:val="00FB1F30"/>
    <w:rsid w:val="00FB2985"/>
    <w:rsid w:val="00FB40E8"/>
    <w:rsid w:val="00FF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55470"/>
  <w15:docId w15:val="{4D80AA51-572B-4E67-B5A4-52ABF6E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
    <w:basedOn w:val="Normal"/>
    <w:link w:val="ListParagraphChar"/>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character" w:customStyle="1" w:styleId="Heading3Char">
    <w:name w:val="Heading 3 Char"/>
    <w:basedOn w:val="DefaultParagraphFont"/>
    <w:link w:val="Heading3"/>
    <w:rsid w:val="009F468A"/>
    <w:rPr>
      <w:rFonts w:ascii="Times New Roman" w:eastAsia="Times New Roman" w:hAnsi="Times New Roman" w:cs="Times New Roman"/>
      <w:sz w:val="28"/>
      <w:szCs w:val="20"/>
    </w:rPr>
  </w:style>
  <w:style w:type="paragraph" w:customStyle="1" w:styleId="tv213">
    <w:name w:val="tv213"/>
    <w:basedOn w:val="Normal"/>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9F0C6E"/>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9F0C6E"/>
    <w:rPr>
      <w:vertAlign w:val="superscript"/>
    </w:rPr>
  </w:style>
  <w:style w:type="paragraph" w:styleId="NormalWeb">
    <w:name w:val="Normal (Web)"/>
    <w:basedOn w:val="Normal"/>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locked/>
    <w:rsid w:val="009F0C6E"/>
  </w:style>
  <w:style w:type="paragraph" w:styleId="BodyText">
    <w:name w:val="Body Text"/>
    <w:basedOn w:val="Normal"/>
    <w:link w:val="BodyTextChar"/>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9F0C6E"/>
    <w:rPr>
      <w:rFonts w:ascii="Times New Roman" w:eastAsia="Times New Roman" w:hAnsi="Times New Roman" w:cs="Times New Roman"/>
      <w:sz w:val="24"/>
      <w:szCs w:val="24"/>
      <w:lang w:eastAsia="lv-LV"/>
    </w:rPr>
  </w:style>
  <w:style w:type="character" w:styleId="Strong">
    <w:name w:val="Strong"/>
    <w:uiPriority w:val="22"/>
    <w:qFormat/>
    <w:rsid w:val="00DB02A6"/>
    <w:rPr>
      <w:b/>
      <w:bCs/>
    </w:rPr>
  </w:style>
  <w:style w:type="character" w:customStyle="1" w:styleId="UnresolvedMention1">
    <w:name w:val="Unresolved Mention1"/>
    <w:basedOn w:val="DefaultParagraphFont"/>
    <w:uiPriority w:val="99"/>
    <w:semiHidden/>
    <w:unhideWhenUsed/>
    <w:rsid w:val="00D96ED4"/>
    <w:rPr>
      <w:color w:val="605E5C"/>
      <w:shd w:val="clear" w:color="auto" w:fill="E1DFDD"/>
    </w:rPr>
  </w:style>
  <w:style w:type="paragraph" w:customStyle="1" w:styleId="naisf">
    <w:name w:val="naisf"/>
    <w:basedOn w:val="Normal"/>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840748"/>
    <w:pPr>
      <w:spacing w:after="0" w:line="240" w:lineRule="auto"/>
    </w:pPr>
  </w:style>
  <w:style w:type="character" w:customStyle="1" w:styleId="UnresolvedMention2">
    <w:name w:val="Unresolved Mention2"/>
    <w:basedOn w:val="DefaultParagraphFont"/>
    <w:uiPriority w:val="99"/>
    <w:semiHidden/>
    <w:unhideWhenUsed/>
    <w:rsid w:val="00924CE2"/>
    <w:rPr>
      <w:color w:val="605E5C"/>
      <w:shd w:val="clear" w:color="auto" w:fill="E1DFDD"/>
    </w:rPr>
  </w:style>
  <w:style w:type="paragraph" w:customStyle="1" w:styleId="naisc">
    <w:name w:val="naisc"/>
    <w:basedOn w:val="Normal"/>
    <w:rsid w:val="00924CE2"/>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2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56EB-4100-4C7B-8B0B-DEA91598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10952</Words>
  <Characters>6243</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kārtību, kādā sniedzami ziņojumi par aizdomīgiem darījumiem" sākotnējās ietekmes novērtējuma ziņojums</vt:lpstr>
      <vt:lpstr>Likumprojekta „Grozījumi Ēku energoefektivitātes likumā” sākotnējās ietekmes novērtējuma ziņojums </vt:lpstr>
    </vt:vector>
  </TitlesOfParts>
  <Company>Finanšu ministrija</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kārtību, kādā sniedzami ziņojumi par aizdomīgiem darījumiem" sākotnējās ietekmes novērtējuma ziņojums</dc:title>
  <dc:subject>Anotācija</dc:subject>
  <dc:creator>Dina Buse</dc:creator>
  <dc:description>67095535, Dina.Buse@fm.gov.lv</dc:description>
  <cp:lastModifiedBy>Baiba Zvirgzdiņa</cp:lastModifiedBy>
  <cp:revision>27</cp:revision>
  <cp:lastPrinted>2019-07-31T12:37:00Z</cp:lastPrinted>
  <dcterms:created xsi:type="dcterms:W3CDTF">2019-08-20T07:16:00Z</dcterms:created>
  <dcterms:modified xsi:type="dcterms:W3CDTF">2019-08-22T06:48:00Z</dcterms:modified>
  <cp:contentStatus/>
</cp:coreProperties>
</file>