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53DA" w14:textId="77777777" w:rsidR="008E2E49" w:rsidRPr="005A4D04" w:rsidRDefault="008E2E49" w:rsidP="008E2E49">
      <w:pPr>
        <w:pStyle w:val="naislab"/>
        <w:spacing w:before="0" w:after="0"/>
        <w:ind w:firstLine="720"/>
      </w:pPr>
      <w:bookmarkStart w:id="0" w:name="_Hlk16603394"/>
      <w:r w:rsidRPr="005A4D04">
        <w:t>4.pielikums</w:t>
      </w:r>
    </w:p>
    <w:p w14:paraId="00DE7A5C" w14:textId="77777777" w:rsidR="008E2E49" w:rsidRPr="005A4D04" w:rsidRDefault="008E2E49" w:rsidP="008E2E49">
      <w:pPr>
        <w:pStyle w:val="naislab"/>
        <w:spacing w:before="0" w:after="0"/>
        <w:ind w:firstLine="720"/>
      </w:pPr>
      <w:r w:rsidRPr="005A4D04">
        <w:t>Ministru kabineta</w:t>
      </w:r>
    </w:p>
    <w:p w14:paraId="7208DCAF" w14:textId="77777777" w:rsidR="008E2E49" w:rsidRPr="005A4D04" w:rsidRDefault="008E2E49" w:rsidP="008E2E49">
      <w:pPr>
        <w:pStyle w:val="naislab"/>
        <w:spacing w:before="0" w:after="0"/>
        <w:ind w:firstLine="720"/>
      </w:pPr>
      <w:r w:rsidRPr="005A4D04">
        <w:t>2009.gada 7.aprīļa</w:t>
      </w:r>
    </w:p>
    <w:p w14:paraId="5907076E" w14:textId="77777777" w:rsidR="008E2E49" w:rsidRPr="005A4D04" w:rsidRDefault="008E2E49" w:rsidP="008E2E49">
      <w:pPr>
        <w:pStyle w:val="naislab"/>
        <w:spacing w:before="0" w:after="0"/>
        <w:ind w:firstLine="720"/>
      </w:pPr>
      <w:r w:rsidRPr="005A4D04">
        <w:t>noteikumiem Nr.300</w:t>
      </w:r>
    </w:p>
    <w:p w14:paraId="7DB4F4E1" w14:textId="77777777" w:rsidR="008E2E49" w:rsidRPr="00712B66" w:rsidRDefault="008E2E49" w:rsidP="008E2E49">
      <w:pPr>
        <w:pStyle w:val="naislab"/>
        <w:spacing w:before="0" w:after="0"/>
        <w:ind w:firstLine="720"/>
        <w:rPr>
          <w:sz w:val="28"/>
          <w:szCs w:val="28"/>
        </w:rPr>
      </w:pPr>
      <w:r w:rsidRPr="00712B66">
        <w:rPr>
          <w:sz w:val="28"/>
          <w:szCs w:val="28"/>
        </w:rPr>
        <w:t> </w:t>
      </w:r>
    </w:p>
    <w:p w14:paraId="2223477D" w14:textId="77777777" w:rsidR="008E2E49" w:rsidRPr="00810B6F" w:rsidRDefault="008E2E49" w:rsidP="008E2E49">
      <w:pPr>
        <w:pStyle w:val="naisnod"/>
        <w:spacing w:before="0" w:after="0"/>
        <w:ind w:firstLine="720"/>
      </w:pPr>
      <w:r w:rsidRPr="00810B6F">
        <w:t>Izziņa par atzinumos sniegtajiem iebildumiem</w:t>
      </w:r>
    </w:p>
    <w:tbl>
      <w:tblPr>
        <w:tblW w:w="0" w:type="auto"/>
        <w:jc w:val="center"/>
        <w:tblLook w:val="00A0" w:firstRow="1" w:lastRow="0" w:firstColumn="1" w:lastColumn="0" w:noHBand="0" w:noVBand="0"/>
      </w:tblPr>
      <w:tblGrid>
        <w:gridCol w:w="12268"/>
      </w:tblGrid>
      <w:tr w:rsidR="008E2E49" w:rsidRPr="00810B6F" w14:paraId="73367DAF" w14:textId="77777777" w:rsidTr="00935D50">
        <w:trPr>
          <w:jc w:val="center"/>
        </w:trPr>
        <w:tc>
          <w:tcPr>
            <w:tcW w:w="12268" w:type="dxa"/>
            <w:tcBorders>
              <w:bottom w:val="single" w:sz="6" w:space="0" w:color="000000"/>
            </w:tcBorders>
          </w:tcPr>
          <w:p w14:paraId="3E7A41AE" w14:textId="1FC419FE" w:rsidR="008E2E49" w:rsidRPr="00100123" w:rsidRDefault="00954A6F" w:rsidP="007D6B81">
            <w:pPr>
              <w:shd w:val="clear" w:color="auto" w:fill="FFFFFF"/>
              <w:jc w:val="center"/>
              <w:rPr>
                <w:b/>
                <w:bCs/>
              </w:rPr>
            </w:pPr>
            <w:r>
              <w:rPr>
                <w:b/>
              </w:rPr>
              <w:t xml:space="preserve">Ministru kabineta noteikumu projektam </w:t>
            </w:r>
            <w:bookmarkStart w:id="1" w:name="_Hlk13664824"/>
            <w:r w:rsidR="007D6B81">
              <w:rPr>
                <w:b/>
              </w:rPr>
              <w:t>„</w:t>
            </w:r>
            <w:r w:rsidRPr="0036572B">
              <w:rPr>
                <w:b/>
                <w:bCs/>
                <w:color w:val="000000" w:themeColor="text1"/>
              </w:rPr>
              <w:t xml:space="preserve">Noteikumi par </w:t>
            </w:r>
            <w:r w:rsidRPr="0028266F">
              <w:rPr>
                <w:b/>
                <w:bCs/>
                <w:color w:val="000000" w:themeColor="text1"/>
              </w:rPr>
              <w:t>sliekšņa deklarācijas iesniegšanas kārtību un saturu</w:t>
            </w:r>
            <w:bookmarkEnd w:id="1"/>
            <w:r w:rsidR="008E2E49" w:rsidRPr="00810B6F">
              <w:rPr>
                <w:b/>
                <w:bCs/>
              </w:rPr>
              <w:t>”</w:t>
            </w:r>
          </w:p>
        </w:tc>
      </w:tr>
    </w:tbl>
    <w:p w14:paraId="0C809BBD" w14:textId="77777777" w:rsidR="008E2E49" w:rsidRPr="00712B66" w:rsidRDefault="008E2E49" w:rsidP="004D51F9">
      <w:pPr>
        <w:pStyle w:val="naisc"/>
        <w:spacing w:before="0" w:after="0"/>
        <w:ind w:firstLine="1080"/>
      </w:pPr>
      <w:r w:rsidRPr="00712B66">
        <w:t>(dokumenta veids un nosaukums)</w:t>
      </w:r>
    </w:p>
    <w:p w14:paraId="29FBBB98" w14:textId="100689FF" w:rsidR="0023118E" w:rsidRDefault="0023118E">
      <w:pPr>
        <w:rPr>
          <w:b/>
        </w:rPr>
      </w:pPr>
    </w:p>
    <w:p w14:paraId="77A50635" w14:textId="2A44BC62" w:rsidR="008E2E49" w:rsidRPr="00712B66" w:rsidRDefault="008E2E49" w:rsidP="008E2E49">
      <w:pPr>
        <w:pStyle w:val="naisf"/>
        <w:spacing w:before="0" w:after="0"/>
        <w:ind w:firstLine="0"/>
        <w:rPr>
          <w:b/>
        </w:rPr>
      </w:pPr>
      <w:r w:rsidRPr="00712B66">
        <w:rPr>
          <w:b/>
        </w:rPr>
        <w:t>Informācija par starpministriju (starpinstitūciju) sanāksmi vai elektronisko saskaņošanu</w:t>
      </w:r>
    </w:p>
    <w:p w14:paraId="10EC18F1" w14:textId="77777777" w:rsidR="008E2E49" w:rsidRPr="00712B66" w:rsidRDefault="008E2E49" w:rsidP="008E2E49">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8E2E49" w:rsidRPr="00712B66" w14:paraId="6DDCFF3E" w14:textId="77777777" w:rsidTr="00935D50">
        <w:tc>
          <w:tcPr>
            <w:tcW w:w="6345" w:type="dxa"/>
          </w:tcPr>
          <w:p w14:paraId="4C85886D" w14:textId="77777777" w:rsidR="008E2E49" w:rsidRPr="00712B66" w:rsidRDefault="008E2E49" w:rsidP="00935D50">
            <w:pPr>
              <w:pStyle w:val="naisf"/>
              <w:spacing w:before="0" w:after="0"/>
              <w:ind w:firstLine="0"/>
            </w:pPr>
            <w:r w:rsidRPr="00712B66">
              <w:t>Datums</w:t>
            </w:r>
          </w:p>
        </w:tc>
        <w:tc>
          <w:tcPr>
            <w:tcW w:w="6237" w:type="dxa"/>
            <w:gridSpan w:val="3"/>
            <w:tcBorders>
              <w:bottom w:val="single" w:sz="4" w:space="0" w:color="auto"/>
            </w:tcBorders>
          </w:tcPr>
          <w:p w14:paraId="39CFA440" w14:textId="2E1E993A" w:rsidR="008E2E49" w:rsidRPr="00712B66" w:rsidRDefault="00EC4C0E" w:rsidP="00BF4CA9">
            <w:pPr>
              <w:pStyle w:val="NormalWeb"/>
              <w:spacing w:before="0" w:beforeAutospacing="0" w:after="0" w:afterAutospacing="0"/>
              <w:jc w:val="both"/>
            </w:pPr>
            <w:r w:rsidRPr="00CE5808">
              <w:rPr>
                <w:color w:val="000000" w:themeColor="text1"/>
              </w:rPr>
              <w:t>2019</w:t>
            </w:r>
            <w:r w:rsidR="008B1EB0" w:rsidRPr="00CE5808">
              <w:rPr>
                <w:color w:val="000000" w:themeColor="text1"/>
              </w:rPr>
              <w:t xml:space="preserve">.gada </w:t>
            </w:r>
            <w:r w:rsidR="007D6B81">
              <w:rPr>
                <w:color w:val="000000" w:themeColor="text1"/>
              </w:rPr>
              <w:t>8</w:t>
            </w:r>
            <w:r w:rsidR="00E2744E" w:rsidRPr="00CE5808">
              <w:rPr>
                <w:color w:val="000000" w:themeColor="text1"/>
              </w:rPr>
              <w:t>.</w:t>
            </w:r>
            <w:r w:rsidR="007D6B81">
              <w:rPr>
                <w:color w:val="000000" w:themeColor="text1"/>
              </w:rPr>
              <w:t>augustā</w:t>
            </w:r>
            <w:r w:rsidR="00BF4CA9">
              <w:rPr>
                <w:color w:val="000000" w:themeColor="text1"/>
              </w:rPr>
              <w:t>, 2019.gada 16.augustā</w:t>
            </w:r>
            <w:r w:rsidR="00421E32" w:rsidRPr="00CE5808">
              <w:rPr>
                <w:color w:val="000000" w:themeColor="text1"/>
              </w:rPr>
              <w:t xml:space="preserve"> (elektroniskā saskaņošana pirms virzības saskaņošanai Ministru kabineta sēdē)</w:t>
            </w:r>
          </w:p>
        </w:tc>
      </w:tr>
      <w:tr w:rsidR="008E2E49" w:rsidRPr="00712B66" w14:paraId="6C2CDD3B" w14:textId="77777777" w:rsidTr="00935D50">
        <w:tc>
          <w:tcPr>
            <w:tcW w:w="6345" w:type="dxa"/>
          </w:tcPr>
          <w:p w14:paraId="5238DF1D" w14:textId="77777777" w:rsidR="008E2E49" w:rsidRPr="00712B66" w:rsidRDefault="008E2E49" w:rsidP="00935D50">
            <w:pPr>
              <w:pStyle w:val="naisf"/>
              <w:spacing w:before="0" w:after="0"/>
              <w:ind w:firstLine="0"/>
            </w:pPr>
          </w:p>
        </w:tc>
        <w:tc>
          <w:tcPr>
            <w:tcW w:w="6237" w:type="dxa"/>
            <w:gridSpan w:val="3"/>
            <w:tcBorders>
              <w:top w:val="single" w:sz="4" w:space="0" w:color="auto"/>
            </w:tcBorders>
          </w:tcPr>
          <w:p w14:paraId="6AD44375" w14:textId="77777777" w:rsidR="008E2E49" w:rsidRPr="00712B66" w:rsidRDefault="008E2E49" w:rsidP="00EB58A7">
            <w:pPr>
              <w:pStyle w:val="NormalWeb"/>
              <w:spacing w:before="0" w:beforeAutospacing="0" w:after="0" w:afterAutospacing="0"/>
            </w:pPr>
          </w:p>
        </w:tc>
      </w:tr>
      <w:tr w:rsidR="008E2E49" w:rsidRPr="00712B66" w14:paraId="4FBB5F18" w14:textId="77777777" w:rsidTr="00935D50">
        <w:tc>
          <w:tcPr>
            <w:tcW w:w="6345" w:type="dxa"/>
          </w:tcPr>
          <w:p w14:paraId="103018D9" w14:textId="77777777" w:rsidR="008E2E49" w:rsidRPr="00712B66" w:rsidRDefault="008E2E49" w:rsidP="00935D50">
            <w:pPr>
              <w:pStyle w:val="naiskr"/>
              <w:spacing w:before="0" w:after="0"/>
            </w:pPr>
            <w:r>
              <w:t>Saskaņošanas d</w:t>
            </w:r>
            <w:r w:rsidRPr="00712B66">
              <w:t>alībnieki</w:t>
            </w:r>
          </w:p>
        </w:tc>
        <w:tc>
          <w:tcPr>
            <w:tcW w:w="6237" w:type="dxa"/>
            <w:gridSpan w:val="3"/>
          </w:tcPr>
          <w:p w14:paraId="2035EC6A" w14:textId="32749BDA" w:rsidR="008E2E49" w:rsidRPr="00712B66" w:rsidRDefault="007D6B81" w:rsidP="007C43A3">
            <w:pPr>
              <w:jc w:val="both"/>
            </w:pPr>
            <w:r w:rsidRPr="007D6B81">
              <w:rPr>
                <w:bCs/>
              </w:rPr>
              <w:t>Tieslietu ministrija, Ārlietu ministrija, Iekšlietu ministrija, Ekonomikas ministrija, Kultūras ministrija, Ģenerālprokuratūra, Finanšu izlūkošanas dienests, Finanšu un kapitāla tirgus komisija, Latvijas Zvērinātu advokātu padome, Latvijas Zvērinātu notāru padome, Latvijas Zvērinātu revidentu asociācija, Latvijas Banka, Izložu un azartspēļu uzraudzības inspekcija, Nacionālā kultūras mantojuma pārvalde, Patērētāju tiesību aizsardzības centrs, Latvijas Finanšu nozares asociācija, Latvijas Maksājumu pakalpojumu un elektroniskās naudas iestāžu asociācija, Latvijas Alternatīvo finanšu pakalpojumu asociācija, Latvijas Darba devēju konfederācija, Latvijas Apdrošinātāju asociācija, Latvijas Tirdzniecības un rūpniecības kamera, Latvijas Privātā un Riska kapitāla asociācija, Latvijas Līzinga devēju asociācija, Biedrība “Latvijas Spēļu biznesa asociācija”, Latvijas Republikas Grāmatvežu asociācija, Latvijas Apdrošināšanas brokeru asociācija, Latvijas Kooperatīvo krājaizdevu sabiedrību savienība</w:t>
            </w:r>
          </w:p>
        </w:tc>
      </w:tr>
      <w:tr w:rsidR="008E2E49" w:rsidRPr="00712B66" w14:paraId="712BA7ED" w14:textId="77777777" w:rsidTr="00935D50">
        <w:trPr>
          <w:trHeight w:val="285"/>
        </w:trPr>
        <w:tc>
          <w:tcPr>
            <w:tcW w:w="6708" w:type="dxa"/>
            <w:gridSpan w:val="2"/>
          </w:tcPr>
          <w:p w14:paraId="34955A9A" w14:textId="77777777" w:rsidR="008E2E49" w:rsidRPr="00712B66" w:rsidRDefault="008E2E49" w:rsidP="00935D50">
            <w:pPr>
              <w:pStyle w:val="naiskr"/>
              <w:spacing w:before="0" w:after="0"/>
            </w:pPr>
            <w:r>
              <w:lastRenderedPageBreak/>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14:paraId="60C18901" w14:textId="77777777" w:rsidR="008E2E49" w:rsidRPr="00510FC2" w:rsidRDefault="008E2E49" w:rsidP="00935D50">
            <w:pPr>
              <w:pStyle w:val="naiskr"/>
              <w:spacing w:before="0" w:after="0"/>
              <w:ind w:firstLine="720"/>
            </w:pPr>
          </w:p>
        </w:tc>
        <w:tc>
          <w:tcPr>
            <w:tcW w:w="5034" w:type="dxa"/>
          </w:tcPr>
          <w:p w14:paraId="7BB1DB01" w14:textId="73E263A8" w:rsidR="008E2E49" w:rsidRPr="00510FC2" w:rsidRDefault="00FB1C3F" w:rsidP="0049066C">
            <w:pPr>
              <w:pStyle w:val="naiskr"/>
              <w:spacing w:before="0" w:after="0"/>
              <w:jc w:val="both"/>
              <w:rPr>
                <w:color w:val="FF0000"/>
              </w:rPr>
            </w:pPr>
            <w:r w:rsidRPr="00510FC2">
              <w:rPr>
                <w:bCs/>
              </w:rPr>
              <w:t>Tieslietu ministrija</w:t>
            </w:r>
          </w:p>
        </w:tc>
      </w:tr>
      <w:tr w:rsidR="008E2E49" w:rsidRPr="00712B66" w14:paraId="5C54C091" w14:textId="77777777" w:rsidTr="00935D50">
        <w:trPr>
          <w:trHeight w:val="465"/>
        </w:trPr>
        <w:tc>
          <w:tcPr>
            <w:tcW w:w="12582" w:type="dxa"/>
            <w:gridSpan w:val="4"/>
          </w:tcPr>
          <w:p w14:paraId="32D624F6" w14:textId="77777777" w:rsidR="008E2E49" w:rsidRPr="00712B66" w:rsidRDefault="008E2E49" w:rsidP="00935D50">
            <w:pPr>
              <w:pStyle w:val="naisc"/>
              <w:spacing w:before="0" w:after="0"/>
              <w:jc w:val="left"/>
            </w:pPr>
          </w:p>
        </w:tc>
      </w:tr>
      <w:tr w:rsidR="008E2E49" w:rsidRPr="00712B66" w14:paraId="06F11ED9" w14:textId="77777777" w:rsidTr="00935D50">
        <w:tc>
          <w:tcPr>
            <w:tcW w:w="6708" w:type="dxa"/>
            <w:gridSpan w:val="2"/>
          </w:tcPr>
          <w:p w14:paraId="3A6C544A" w14:textId="77777777" w:rsidR="008E2E49" w:rsidRPr="00712B66" w:rsidRDefault="008E2E49" w:rsidP="00935D50">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68EA7E03" w14:textId="37CEDC86" w:rsidR="008E2E49" w:rsidRPr="00712B66" w:rsidRDefault="009A2C69" w:rsidP="0032427F">
            <w:pPr>
              <w:pStyle w:val="naiskr"/>
              <w:spacing w:before="0" w:after="0"/>
              <w:jc w:val="center"/>
            </w:pPr>
            <w:r>
              <w:t>-</w:t>
            </w:r>
          </w:p>
        </w:tc>
      </w:tr>
    </w:tbl>
    <w:p w14:paraId="6B391191" w14:textId="77777777" w:rsidR="008E2E49" w:rsidRPr="00712B66" w:rsidRDefault="008E2E49" w:rsidP="00017B29">
      <w:pPr>
        <w:pStyle w:val="naisf"/>
        <w:spacing w:before="0" w:after="0"/>
        <w:ind w:firstLine="0"/>
      </w:pPr>
    </w:p>
    <w:p w14:paraId="0763E45C" w14:textId="77777777" w:rsidR="008E2E49" w:rsidRPr="00712B66" w:rsidRDefault="008E2E49" w:rsidP="008E2E49">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1E3C5A7E" w14:textId="77777777" w:rsidR="008E2E49" w:rsidRPr="00712B66" w:rsidRDefault="008E2E49" w:rsidP="00703243">
      <w:pPr>
        <w:pStyle w:val="naisf"/>
        <w:spacing w:before="0" w:after="0"/>
        <w:ind w:firstLine="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549"/>
        <w:gridCol w:w="428"/>
        <w:gridCol w:w="3260"/>
        <w:gridCol w:w="2491"/>
        <w:gridCol w:w="1053"/>
        <w:gridCol w:w="3969"/>
      </w:tblGrid>
      <w:tr w:rsidR="008E2E49" w:rsidRPr="00104C26" w14:paraId="7B4FE279" w14:textId="77777777" w:rsidTr="00D5294E">
        <w:tc>
          <w:tcPr>
            <w:tcW w:w="559" w:type="dxa"/>
            <w:tcBorders>
              <w:top w:val="single" w:sz="6" w:space="0" w:color="000000"/>
              <w:left w:val="single" w:sz="6" w:space="0" w:color="000000"/>
              <w:bottom w:val="single" w:sz="6" w:space="0" w:color="000000"/>
              <w:right w:val="single" w:sz="6" w:space="0" w:color="000000"/>
            </w:tcBorders>
            <w:vAlign w:val="center"/>
          </w:tcPr>
          <w:p w14:paraId="0C6848AD" w14:textId="77777777" w:rsidR="008E2E49" w:rsidRPr="00104C26" w:rsidRDefault="008E2E49" w:rsidP="00104C26">
            <w:pPr>
              <w:pStyle w:val="naisc"/>
              <w:spacing w:before="0" w:after="0"/>
              <w:rPr>
                <w:sz w:val="20"/>
                <w:szCs w:val="20"/>
              </w:rPr>
            </w:pPr>
            <w:r w:rsidRPr="00104C26">
              <w:rPr>
                <w:sz w:val="20"/>
                <w:szCs w:val="20"/>
              </w:rPr>
              <w:t>Nr. p.k.</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17B8D178" w14:textId="77777777" w:rsidR="008E2E49" w:rsidRPr="00104C26" w:rsidRDefault="008E2E49" w:rsidP="00104C26">
            <w:pPr>
              <w:pStyle w:val="naisc"/>
              <w:spacing w:before="0" w:after="0"/>
              <w:ind w:firstLine="12"/>
              <w:rPr>
                <w:sz w:val="20"/>
                <w:szCs w:val="20"/>
              </w:rPr>
            </w:pPr>
            <w:r w:rsidRPr="00104C26">
              <w:rPr>
                <w:sz w:val="20"/>
                <w:szCs w:val="20"/>
              </w:rPr>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28489A0C" w14:textId="77777777" w:rsidR="008E2E49" w:rsidRPr="00104C26" w:rsidRDefault="008E2E49" w:rsidP="00104C26">
            <w:pPr>
              <w:pStyle w:val="naisc"/>
              <w:spacing w:before="0" w:after="0"/>
              <w:ind w:right="3"/>
              <w:rPr>
                <w:sz w:val="20"/>
                <w:szCs w:val="20"/>
              </w:rPr>
            </w:pPr>
            <w:r w:rsidRPr="00104C26">
              <w:rPr>
                <w:sz w:val="20"/>
                <w:szCs w:val="20"/>
              </w:rPr>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044A93B5" w14:textId="77777777" w:rsidR="008E2E49" w:rsidRPr="00104C26" w:rsidRDefault="008E2E49" w:rsidP="00104C26">
            <w:pPr>
              <w:pStyle w:val="naisc"/>
              <w:spacing w:before="0" w:after="0"/>
              <w:ind w:firstLine="21"/>
              <w:rPr>
                <w:sz w:val="20"/>
                <w:szCs w:val="20"/>
              </w:rPr>
            </w:pPr>
            <w:r w:rsidRPr="00104C26">
              <w:rPr>
                <w:sz w:val="20"/>
                <w:szCs w:val="20"/>
              </w:rPr>
              <w:t>Atbildīgās ministrijas norāde par to, ka iebildums ir ņemts vērā, vai informācija par saskaņošanā panākto alternatīvo risinājumu</w:t>
            </w:r>
          </w:p>
        </w:tc>
        <w:tc>
          <w:tcPr>
            <w:tcW w:w="3969" w:type="dxa"/>
            <w:tcBorders>
              <w:top w:val="single" w:sz="4" w:space="0" w:color="auto"/>
              <w:left w:val="single" w:sz="4" w:space="0" w:color="auto"/>
              <w:bottom w:val="single" w:sz="4" w:space="0" w:color="auto"/>
            </w:tcBorders>
            <w:vAlign w:val="center"/>
          </w:tcPr>
          <w:p w14:paraId="3C1135F6" w14:textId="77777777" w:rsidR="008E2E49" w:rsidRPr="00104C26" w:rsidRDefault="008E2E49" w:rsidP="00104C26">
            <w:pPr>
              <w:jc w:val="center"/>
              <w:rPr>
                <w:sz w:val="20"/>
                <w:szCs w:val="20"/>
              </w:rPr>
            </w:pPr>
            <w:r w:rsidRPr="00104C26">
              <w:rPr>
                <w:sz w:val="20"/>
                <w:szCs w:val="20"/>
              </w:rPr>
              <w:t>Projekta attiecīgā punkta (panta) galīgā redakcija</w:t>
            </w:r>
          </w:p>
        </w:tc>
      </w:tr>
      <w:tr w:rsidR="008E2E49" w:rsidRPr="00104C26" w14:paraId="4EE17C69" w14:textId="77777777" w:rsidTr="00D5294E">
        <w:tc>
          <w:tcPr>
            <w:tcW w:w="559" w:type="dxa"/>
            <w:tcBorders>
              <w:top w:val="single" w:sz="6" w:space="0" w:color="000000"/>
              <w:left w:val="single" w:sz="6" w:space="0" w:color="000000"/>
              <w:bottom w:val="single" w:sz="6" w:space="0" w:color="000000"/>
              <w:right w:val="single" w:sz="6" w:space="0" w:color="000000"/>
            </w:tcBorders>
          </w:tcPr>
          <w:p w14:paraId="42B0406E" w14:textId="77777777" w:rsidR="008E2E49" w:rsidRPr="00104C26" w:rsidRDefault="008E2E49" w:rsidP="00104C26">
            <w:pPr>
              <w:pStyle w:val="naisc"/>
              <w:spacing w:before="0" w:after="0"/>
              <w:rPr>
                <w:sz w:val="20"/>
                <w:szCs w:val="20"/>
              </w:rPr>
            </w:pPr>
            <w:r w:rsidRPr="00104C26">
              <w:rPr>
                <w:sz w:val="20"/>
                <w:szCs w:val="20"/>
              </w:rPr>
              <w:t>1</w:t>
            </w:r>
          </w:p>
        </w:tc>
        <w:tc>
          <w:tcPr>
            <w:tcW w:w="2977" w:type="dxa"/>
            <w:gridSpan w:val="2"/>
            <w:tcBorders>
              <w:top w:val="single" w:sz="6" w:space="0" w:color="000000"/>
              <w:left w:val="single" w:sz="6" w:space="0" w:color="000000"/>
              <w:bottom w:val="single" w:sz="6" w:space="0" w:color="000000"/>
              <w:right w:val="single" w:sz="6" w:space="0" w:color="000000"/>
            </w:tcBorders>
          </w:tcPr>
          <w:p w14:paraId="7EA49B31" w14:textId="77777777" w:rsidR="008E2E49" w:rsidRPr="00104C26" w:rsidRDefault="008E2E49" w:rsidP="00104C26">
            <w:pPr>
              <w:pStyle w:val="naisc"/>
              <w:spacing w:before="0" w:after="0"/>
              <w:ind w:firstLine="720"/>
              <w:rPr>
                <w:sz w:val="20"/>
                <w:szCs w:val="20"/>
              </w:rPr>
            </w:pPr>
            <w:r w:rsidRPr="00104C26">
              <w:rPr>
                <w:sz w:val="20"/>
                <w:szCs w:val="20"/>
              </w:rPr>
              <w:t>2</w:t>
            </w:r>
          </w:p>
        </w:tc>
        <w:tc>
          <w:tcPr>
            <w:tcW w:w="3260" w:type="dxa"/>
            <w:tcBorders>
              <w:top w:val="single" w:sz="6" w:space="0" w:color="000000"/>
              <w:left w:val="single" w:sz="6" w:space="0" w:color="000000"/>
              <w:bottom w:val="single" w:sz="6" w:space="0" w:color="000000"/>
              <w:right w:val="single" w:sz="6" w:space="0" w:color="000000"/>
            </w:tcBorders>
          </w:tcPr>
          <w:p w14:paraId="0BE2A1D6" w14:textId="77777777" w:rsidR="008E2E49" w:rsidRPr="00104C26" w:rsidRDefault="008E2E49" w:rsidP="00104C26">
            <w:pPr>
              <w:pStyle w:val="naisc"/>
              <w:spacing w:before="0" w:after="0"/>
              <w:ind w:firstLine="720"/>
              <w:rPr>
                <w:sz w:val="20"/>
                <w:szCs w:val="20"/>
              </w:rPr>
            </w:pPr>
            <w:r w:rsidRPr="00104C26">
              <w:rPr>
                <w:sz w:val="20"/>
                <w:szCs w:val="20"/>
              </w:rPr>
              <w:t>3</w:t>
            </w:r>
          </w:p>
        </w:tc>
        <w:tc>
          <w:tcPr>
            <w:tcW w:w="3544" w:type="dxa"/>
            <w:gridSpan w:val="2"/>
            <w:tcBorders>
              <w:top w:val="single" w:sz="6" w:space="0" w:color="000000"/>
              <w:left w:val="single" w:sz="6" w:space="0" w:color="000000"/>
              <w:bottom w:val="single" w:sz="6" w:space="0" w:color="000000"/>
              <w:right w:val="single" w:sz="6" w:space="0" w:color="000000"/>
            </w:tcBorders>
          </w:tcPr>
          <w:p w14:paraId="10674C1D" w14:textId="77777777" w:rsidR="008E2E49" w:rsidRPr="00104C26" w:rsidRDefault="008E2E49" w:rsidP="00104C26">
            <w:pPr>
              <w:pStyle w:val="naisc"/>
              <w:spacing w:before="0" w:after="0"/>
              <w:ind w:firstLine="720"/>
              <w:rPr>
                <w:sz w:val="20"/>
                <w:szCs w:val="20"/>
              </w:rPr>
            </w:pPr>
            <w:r w:rsidRPr="00104C26">
              <w:rPr>
                <w:sz w:val="20"/>
                <w:szCs w:val="20"/>
              </w:rPr>
              <w:t>4</w:t>
            </w:r>
          </w:p>
        </w:tc>
        <w:tc>
          <w:tcPr>
            <w:tcW w:w="3969" w:type="dxa"/>
            <w:tcBorders>
              <w:top w:val="single" w:sz="4" w:space="0" w:color="auto"/>
              <w:left w:val="single" w:sz="4" w:space="0" w:color="auto"/>
              <w:bottom w:val="single" w:sz="4" w:space="0" w:color="auto"/>
            </w:tcBorders>
          </w:tcPr>
          <w:p w14:paraId="65DF9EF1" w14:textId="77777777" w:rsidR="008E2E49" w:rsidRPr="00104C26" w:rsidRDefault="008E2E49" w:rsidP="00104C26">
            <w:pPr>
              <w:jc w:val="center"/>
              <w:rPr>
                <w:sz w:val="20"/>
                <w:szCs w:val="20"/>
              </w:rPr>
            </w:pPr>
            <w:r w:rsidRPr="00104C26">
              <w:rPr>
                <w:sz w:val="20"/>
                <w:szCs w:val="20"/>
              </w:rPr>
              <w:t>5</w:t>
            </w:r>
          </w:p>
        </w:tc>
      </w:tr>
      <w:tr w:rsidR="00BE6D52" w:rsidRPr="00BE6D52" w14:paraId="4DACA23A" w14:textId="77777777" w:rsidTr="00D5294E">
        <w:tc>
          <w:tcPr>
            <w:tcW w:w="559" w:type="dxa"/>
            <w:tcBorders>
              <w:top w:val="single" w:sz="6" w:space="0" w:color="000000"/>
              <w:left w:val="single" w:sz="6" w:space="0" w:color="000000"/>
              <w:bottom w:val="single" w:sz="6" w:space="0" w:color="000000"/>
              <w:right w:val="single" w:sz="6" w:space="0" w:color="000000"/>
            </w:tcBorders>
          </w:tcPr>
          <w:p w14:paraId="1C78FEE0" w14:textId="77777777" w:rsidR="00BE6D52" w:rsidRPr="00BE6D52" w:rsidRDefault="00BE6D52" w:rsidP="00BE6D52">
            <w:pPr>
              <w:pStyle w:val="naisc"/>
              <w:spacing w:before="0" w:after="0"/>
              <w:rPr>
                <w:sz w:val="20"/>
                <w:szCs w:val="20"/>
              </w:rPr>
            </w:pPr>
          </w:p>
        </w:tc>
        <w:tc>
          <w:tcPr>
            <w:tcW w:w="2977" w:type="dxa"/>
            <w:gridSpan w:val="2"/>
            <w:tcBorders>
              <w:top w:val="single" w:sz="6" w:space="0" w:color="000000"/>
              <w:left w:val="single" w:sz="6" w:space="0" w:color="000000"/>
              <w:bottom w:val="single" w:sz="6" w:space="0" w:color="000000"/>
              <w:right w:val="single" w:sz="6" w:space="0" w:color="000000"/>
            </w:tcBorders>
          </w:tcPr>
          <w:p w14:paraId="111AEEDF" w14:textId="77777777" w:rsidR="00BE6D52" w:rsidRPr="00BE6D52" w:rsidRDefault="00BE6D52" w:rsidP="00BE6D52">
            <w:pPr>
              <w:shd w:val="clear" w:color="auto" w:fill="FFFFFF"/>
              <w:tabs>
                <w:tab w:val="left" w:pos="993"/>
              </w:tabs>
              <w:jc w:val="both"/>
              <w:rPr>
                <w:b/>
                <w:sz w:val="20"/>
                <w:szCs w:val="20"/>
              </w:rPr>
            </w:pPr>
            <w:r w:rsidRPr="00BE6D52">
              <w:rPr>
                <w:b/>
                <w:sz w:val="20"/>
                <w:szCs w:val="20"/>
              </w:rPr>
              <w:t>Noteikumu projekta 2., 6.un 7.punkts</w:t>
            </w:r>
          </w:p>
          <w:p w14:paraId="514A98FC" w14:textId="158B4863" w:rsidR="00BE6D52" w:rsidRPr="00BE6D52" w:rsidRDefault="00BE6D52" w:rsidP="00BE6D52">
            <w:pPr>
              <w:shd w:val="clear" w:color="auto" w:fill="FFFFFF"/>
              <w:tabs>
                <w:tab w:val="left" w:pos="993"/>
              </w:tabs>
              <w:jc w:val="both"/>
              <w:rPr>
                <w:color w:val="000000" w:themeColor="text1"/>
                <w:sz w:val="20"/>
                <w:szCs w:val="20"/>
              </w:rPr>
            </w:pPr>
            <w:r w:rsidRPr="00BE6D52">
              <w:rPr>
                <w:color w:val="000000" w:themeColor="text1"/>
                <w:sz w:val="20"/>
                <w:szCs w:val="20"/>
              </w:rPr>
              <w:t>„2.</w:t>
            </w:r>
            <w:hyperlink r:id="rId8" w:tgtFrame="_blank" w:history="1">
              <w:r w:rsidRPr="00BE6D52">
                <w:rPr>
                  <w:color w:val="000000" w:themeColor="text1"/>
                  <w:sz w:val="20"/>
                  <w:szCs w:val="20"/>
                </w:rPr>
                <w:t>Noziedzīgi iegūtu līdzekļu legalizācijas un terorisma un proliferācijas finansēšanas novēršanas likumā</w:t>
              </w:r>
            </w:hyperlink>
            <w:r w:rsidRPr="00BE6D52">
              <w:rPr>
                <w:color w:val="000000" w:themeColor="text1"/>
                <w:sz w:val="20"/>
                <w:szCs w:val="20"/>
              </w:rPr>
              <w:t> (turpmāk – likums) noteiktiem likuma subjektiem (turpmāk – likuma subjekti) atbilstoši likuma prasībām ir pienākums reizi nedēļā sniegt informāciju Finanšu izlūkošanas dienestam par katru iepriekšējā periodā veiktu darījumu (turpmāk – darījums), kura pazīmes atbilst vismaz vienai no šajos noteikumos minētajām pazīmēm.”</w:t>
            </w:r>
          </w:p>
          <w:p w14:paraId="1B64CDB1" w14:textId="0533BCF8" w:rsidR="00BE6D52" w:rsidRPr="00BE6D52" w:rsidRDefault="00BE6D52" w:rsidP="00BE6D52">
            <w:pPr>
              <w:shd w:val="clear" w:color="auto" w:fill="FFFFFF"/>
              <w:tabs>
                <w:tab w:val="left" w:pos="993"/>
              </w:tabs>
              <w:jc w:val="both"/>
              <w:rPr>
                <w:color w:val="000000" w:themeColor="text1"/>
                <w:sz w:val="20"/>
                <w:szCs w:val="20"/>
              </w:rPr>
            </w:pPr>
          </w:p>
          <w:p w14:paraId="2B518867" w14:textId="59E91A1D" w:rsidR="00BE6D52" w:rsidRPr="00BE6D52" w:rsidRDefault="00BE6D52" w:rsidP="00BE6D52">
            <w:pPr>
              <w:shd w:val="clear" w:color="auto" w:fill="FFFFFF"/>
              <w:jc w:val="both"/>
              <w:rPr>
                <w:color w:val="000000" w:themeColor="text1"/>
                <w:sz w:val="20"/>
                <w:szCs w:val="20"/>
              </w:rPr>
            </w:pPr>
            <w:r w:rsidRPr="00BE6D52">
              <w:rPr>
                <w:color w:val="000000" w:themeColor="text1"/>
                <w:sz w:val="20"/>
                <w:szCs w:val="20"/>
              </w:rPr>
              <w:t xml:space="preserve">„6. Likuma subjektiem ir pienākums iesniegt Finanšu izlūkošanas dienestam sliekšņa </w:t>
            </w:r>
            <w:r w:rsidRPr="00BE6D52">
              <w:rPr>
                <w:color w:val="000000" w:themeColor="text1"/>
                <w:sz w:val="20"/>
                <w:szCs w:val="20"/>
              </w:rPr>
              <w:lastRenderedPageBreak/>
              <w:t>deklarāciju par  šādiem darījumiem:</w:t>
            </w:r>
            <w:r w:rsidR="00FB1C3F">
              <w:rPr>
                <w:color w:val="000000" w:themeColor="text1"/>
                <w:sz w:val="20"/>
                <w:szCs w:val="20"/>
              </w:rPr>
              <w:t>”</w:t>
            </w:r>
            <w:r w:rsidRPr="00BE6D52">
              <w:rPr>
                <w:color w:val="000000" w:themeColor="text1"/>
                <w:sz w:val="20"/>
                <w:szCs w:val="20"/>
              </w:rPr>
              <w:t xml:space="preserve"> </w:t>
            </w:r>
          </w:p>
          <w:p w14:paraId="778C35AD" w14:textId="77777777" w:rsidR="00BE6D52" w:rsidRPr="00BE6D52" w:rsidRDefault="00BE6D52" w:rsidP="00BE6D52">
            <w:pPr>
              <w:pStyle w:val="ListParagraph"/>
              <w:shd w:val="clear" w:color="auto" w:fill="FFFFFF"/>
              <w:ind w:left="1080"/>
              <w:rPr>
                <w:b/>
                <w:bCs/>
                <w:color w:val="000000" w:themeColor="text1"/>
                <w:sz w:val="20"/>
                <w:szCs w:val="20"/>
              </w:rPr>
            </w:pPr>
            <w:bookmarkStart w:id="2" w:name="n3"/>
            <w:bookmarkStart w:id="3" w:name="n-638559"/>
            <w:bookmarkEnd w:id="2"/>
            <w:bookmarkEnd w:id="3"/>
          </w:p>
          <w:p w14:paraId="68D6951D" w14:textId="3602A9A6" w:rsidR="00BE6D52" w:rsidRPr="00BE6D52" w:rsidRDefault="00BE6D52" w:rsidP="00406109">
            <w:pPr>
              <w:shd w:val="clear" w:color="auto" w:fill="FFFFFF"/>
              <w:tabs>
                <w:tab w:val="left" w:pos="709"/>
              </w:tabs>
              <w:jc w:val="both"/>
              <w:rPr>
                <w:b/>
                <w:sz w:val="20"/>
                <w:szCs w:val="20"/>
              </w:rPr>
            </w:pPr>
            <w:r w:rsidRPr="00BE6D52">
              <w:rPr>
                <w:color w:val="000000" w:themeColor="text1"/>
                <w:sz w:val="20"/>
                <w:szCs w:val="20"/>
              </w:rPr>
              <w:t xml:space="preserve">„7.Likuma subjektiem ir pienākums sliekšņa deklarāciju iesniegt elektroniski, izmantojot Finanšu izlūkošanas dienesta uzturēto tīmekļvietni </w:t>
            </w:r>
            <w:r w:rsidRPr="00902F5D">
              <w:rPr>
                <w:sz w:val="20"/>
                <w:szCs w:val="20"/>
              </w:rPr>
              <w:t>https://zinojumi.fid.gov.lv</w:t>
            </w:r>
            <w:r w:rsidR="00406109">
              <w:rPr>
                <w:color w:val="000000" w:themeColor="text1"/>
                <w:sz w:val="20"/>
                <w:szCs w:val="20"/>
              </w:rPr>
              <w:t xml:space="preserve"> (turpmāk – e-pakalpojums).”</w:t>
            </w:r>
          </w:p>
        </w:tc>
        <w:tc>
          <w:tcPr>
            <w:tcW w:w="3260" w:type="dxa"/>
            <w:tcBorders>
              <w:top w:val="single" w:sz="6" w:space="0" w:color="000000"/>
              <w:left w:val="single" w:sz="6" w:space="0" w:color="000000"/>
              <w:bottom w:val="single" w:sz="6" w:space="0" w:color="000000"/>
              <w:right w:val="single" w:sz="6" w:space="0" w:color="000000"/>
            </w:tcBorders>
          </w:tcPr>
          <w:p w14:paraId="23FFB9F6" w14:textId="77777777" w:rsidR="00BE6D52" w:rsidRPr="00BE6D52" w:rsidRDefault="00BE6D52" w:rsidP="00BE6D52">
            <w:pPr>
              <w:pStyle w:val="NormalWeb"/>
              <w:spacing w:before="0" w:beforeAutospacing="0" w:after="0" w:afterAutospacing="0"/>
              <w:ind w:right="13"/>
              <w:jc w:val="center"/>
              <w:rPr>
                <w:b/>
                <w:sz w:val="20"/>
                <w:szCs w:val="20"/>
              </w:rPr>
            </w:pPr>
            <w:r w:rsidRPr="00BE6D52">
              <w:rPr>
                <w:b/>
                <w:sz w:val="20"/>
                <w:szCs w:val="20"/>
              </w:rPr>
              <w:lastRenderedPageBreak/>
              <w:t>Tieslietu ministrija</w:t>
            </w:r>
          </w:p>
          <w:p w14:paraId="1F7B826C" w14:textId="77777777" w:rsidR="00BE6D52" w:rsidRPr="00BE6D52" w:rsidRDefault="00BE6D52" w:rsidP="00BE6D52">
            <w:pPr>
              <w:jc w:val="both"/>
              <w:rPr>
                <w:sz w:val="20"/>
                <w:szCs w:val="20"/>
              </w:rPr>
            </w:pPr>
          </w:p>
          <w:p w14:paraId="72F48CB1" w14:textId="54D23657" w:rsidR="00BE6D52" w:rsidRPr="00BE6D52" w:rsidRDefault="00BE6D52" w:rsidP="00BE6D52">
            <w:pPr>
              <w:jc w:val="both"/>
              <w:rPr>
                <w:sz w:val="20"/>
                <w:szCs w:val="20"/>
              </w:rPr>
            </w:pPr>
            <w:r w:rsidRPr="00BE6D52">
              <w:rPr>
                <w:sz w:val="20"/>
                <w:szCs w:val="20"/>
              </w:rPr>
              <w:t>Vēršam uzmanību uz to, ka Ministru kabineta 2009. gada 3. februāra noteikumu Nr. 108 "Normatīvo aktu projektu sagatavošanas noteikumi" 3.2. apakšpunkts noteic, ka normatīvā akta projektā neietver normas, kas dublē augstāka juridiska spēka normatīvā akta tiesību normās ietverto regulējumu. Ievērojot minēto, lūdzam precizēt projekta 2. punktā, 6. punkta ievaddaļā un 7. punktā ietverto regulējumu, jo tas daļēji dublē likuma 31.</w:t>
            </w:r>
            <w:r w:rsidRPr="00BE6D52">
              <w:rPr>
                <w:sz w:val="20"/>
                <w:szCs w:val="20"/>
                <w:vertAlign w:val="superscript"/>
              </w:rPr>
              <w:t>2</w:t>
            </w:r>
            <w:r w:rsidRPr="00BE6D52">
              <w:rPr>
                <w:sz w:val="20"/>
                <w:szCs w:val="20"/>
              </w:rPr>
              <w:t> panta pirmajā daļā ietverto regulējumu.</w:t>
            </w:r>
          </w:p>
          <w:p w14:paraId="0B236D27" w14:textId="77777777" w:rsidR="00BE6D52" w:rsidRPr="00BE6D52" w:rsidRDefault="00BE6D52" w:rsidP="00BE6D52">
            <w:pPr>
              <w:pStyle w:val="NormalWeb"/>
              <w:spacing w:before="0" w:beforeAutospacing="0" w:after="0" w:afterAutospacing="0"/>
              <w:ind w:right="13"/>
              <w:jc w:val="center"/>
              <w:rPr>
                <w:sz w:val="20"/>
                <w:szCs w:val="20"/>
              </w:rPr>
            </w:pPr>
          </w:p>
        </w:tc>
        <w:tc>
          <w:tcPr>
            <w:tcW w:w="3544" w:type="dxa"/>
            <w:gridSpan w:val="2"/>
            <w:tcBorders>
              <w:top w:val="single" w:sz="6" w:space="0" w:color="000000"/>
              <w:left w:val="single" w:sz="6" w:space="0" w:color="000000"/>
              <w:bottom w:val="single" w:sz="6" w:space="0" w:color="000000"/>
              <w:right w:val="single" w:sz="6" w:space="0" w:color="000000"/>
            </w:tcBorders>
          </w:tcPr>
          <w:p w14:paraId="5440B4CD" w14:textId="0DEFBACA" w:rsidR="00BE6D52" w:rsidRDefault="00DF4003" w:rsidP="00DF4003">
            <w:pPr>
              <w:pStyle w:val="naisc"/>
              <w:spacing w:before="0" w:after="0"/>
              <w:rPr>
                <w:b/>
                <w:sz w:val="20"/>
                <w:szCs w:val="20"/>
              </w:rPr>
            </w:pPr>
            <w:r w:rsidRPr="00DF4003">
              <w:rPr>
                <w:b/>
                <w:sz w:val="20"/>
                <w:szCs w:val="20"/>
              </w:rPr>
              <w:t xml:space="preserve">Iebildums </w:t>
            </w:r>
            <w:r w:rsidR="009446A4" w:rsidRPr="00DF4003">
              <w:rPr>
                <w:b/>
                <w:sz w:val="20"/>
                <w:szCs w:val="20"/>
              </w:rPr>
              <w:t>ņemts vērā</w:t>
            </w:r>
          </w:p>
          <w:p w14:paraId="62B04A8F" w14:textId="77777777" w:rsidR="00DF4003" w:rsidRPr="00DF4003" w:rsidRDefault="00DF4003" w:rsidP="00DF4003">
            <w:pPr>
              <w:pStyle w:val="naisc"/>
              <w:spacing w:before="0" w:after="0"/>
              <w:rPr>
                <w:b/>
                <w:sz w:val="20"/>
                <w:szCs w:val="20"/>
              </w:rPr>
            </w:pPr>
          </w:p>
          <w:p w14:paraId="691F2F0E" w14:textId="11097DDE" w:rsidR="009446A4" w:rsidRPr="00BE6D52" w:rsidRDefault="009446A4" w:rsidP="00DF4003">
            <w:pPr>
              <w:pStyle w:val="naisc"/>
              <w:spacing w:before="0" w:after="0"/>
              <w:jc w:val="both"/>
              <w:rPr>
                <w:b/>
                <w:sz w:val="20"/>
                <w:szCs w:val="20"/>
              </w:rPr>
            </w:pPr>
            <w:r w:rsidRPr="00DF4003">
              <w:rPr>
                <w:sz w:val="20"/>
                <w:szCs w:val="20"/>
              </w:rPr>
              <w:t>Ir precizēt</w:t>
            </w:r>
            <w:r w:rsidR="00510FC2">
              <w:rPr>
                <w:sz w:val="20"/>
                <w:szCs w:val="20"/>
              </w:rPr>
              <w:t>s</w:t>
            </w:r>
            <w:r w:rsidRPr="00DF4003">
              <w:rPr>
                <w:sz w:val="20"/>
                <w:szCs w:val="20"/>
              </w:rPr>
              <w:t xml:space="preserve"> Noteikumu projekta 2.punkts  </w:t>
            </w:r>
            <w:r w:rsidR="00510FC2">
              <w:rPr>
                <w:sz w:val="20"/>
                <w:szCs w:val="20"/>
              </w:rPr>
              <w:t>5</w:t>
            </w:r>
            <w:r w:rsidRPr="00DF4003">
              <w:rPr>
                <w:sz w:val="20"/>
                <w:szCs w:val="20"/>
              </w:rPr>
              <w:t>.punkta ievaddaļa</w:t>
            </w:r>
            <w:r w:rsidR="00DF4003">
              <w:rPr>
                <w:sz w:val="20"/>
                <w:szCs w:val="20"/>
              </w:rPr>
              <w:t xml:space="preserve"> un </w:t>
            </w:r>
            <w:r w:rsidR="00510FC2">
              <w:rPr>
                <w:sz w:val="20"/>
                <w:szCs w:val="20"/>
              </w:rPr>
              <w:t>6</w:t>
            </w:r>
            <w:r w:rsidR="00DF4003">
              <w:rPr>
                <w:sz w:val="20"/>
                <w:szCs w:val="20"/>
              </w:rPr>
              <w:t>.punkts</w:t>
            </w:r>
            <w:r w:rsidRPr="00DF4003">
              <w:rPr>
                <w:sz w:val="20"/>
                <w:szCs w:val="20"/>
              </w:rPr>
              <w:t xml:space="preserve">. </w:t>
            </w:r>
          </w:p>
        </w:tc>
        <w:tc>
          <w:tcPr>
            <w:tcW w:w="3969" w:type="dxa"/>
            <w:tcBorders>
              <w:top w:val="single" w:sz="4" w:space="0" w:color="auto"/>
              <w:left w:val="single" w:sz="4" w:space="0" w:color="auto"/>
              <w:bottom w:val="single" w:sz="4" w:space="0" w:color="auto"/>
            </w:tcBorders>
          </w:tcPr>
          <w:p w14:paraId="5A6EEF2C" w14:textId="489D9375" w:rsidR="009446A4" w:rsidRPr="00DF4003" w:rsidRDefault="009446A4" w:rsidP="00DF4003">
            <w:pPr>
              <w:shd w:val="clear" w:color="auto" w:fill="FFFFFF"/>
              <w:tabs>
                <w:tab w:val="left" w:pos="993"/>
              </w:tabs>
              <w:jc w:val="both"/>
              <w:rPr>
                <w:b/>
                <w:sz w:val="20"/>
                <w:szCs w:val="20"/>
              </w:rPr>
            </w:pPr>
            <w:r w:rsidRPr="00DF4003">
              <w:rPr>
                <w:b/>
                <w:sz w:val="20"/>
                <w:szCs w:val="20"/>
              </w:rPr>
              <w:t xml:space="preserve">Noteikumu projekta 2., </w:t>
            </w:r>
            <w:r w:rsidR="00510FC2">
              <w:rPr>
                <w:b/>
                <w:sz w:val="20"/>
                <w:szCs w:val="20"/>
              </w:rPr>
              <w:t>5</w:t>
            </w:r>
            <w:r w:rsidRPr="00DF4003">
              <w:rPr>
                <w:b/>
                <w:sz w:val="20"/>
                <w:szCs w:val="20"/>
              </w:rPr>
              <w:t xml:space="preserve">.un </w:t>
            </w:r>
            <w:r w:rsidR="00510FC2">
              <w:rPr>
                <w:b/>
                <w:sz w:val="20"/>
                <w:szCs w:val="20"/>
              </w:rPr>
              <w:t>6</w:t>
            </w:r>
            <w:r w:rsidRPr="00DF4003">
              <w:rPr>
                <w:b/>
                <w:sz w:val="20"/>
                <w:szCs w:val="20"/>
              </w:rPr>
              <w:t>.punkts</w:t>
            </w:r>
          </w:p>
          <w:p w14:paraId="30208C88" w14:textId="27D1426F" w:rsidR="00BE6D52" w:rsidRPr="00DF4003" w:rsidRDefault="009446A4" w:rsidP="00DF4003">
            <w:pPr>
              <w:pStyle w:val="NoSpacing"/>
              <w:jc w:val="both"/>
              <w:rPr>
                <w:rFonts w:ascii="Times New Roman" w:eastAsia="Times New Roman" w:hAnsi="Times New Roman"/>
                <w:color w:val="000000" w:themeColor="text1"/>
                <w:sz w:val="20"/>
                <w:szCs w:val="20"/>
                <w:lang w:eastAsia="lv-LV"/>
              </w:rPr>
            </w:pPr>
            <w:bookmarkStart w:id="4" w:name="_Hlk16684232"/>
            <w:r w:rsidRPr="00DF4003">
              <w:rPr>
                <w:rFonts w:ascii="Times New Roman" w:eastAsia="Times New Roman" w:hAnsi="Times New Roman"/>
                <w:color w:val="000000" w:themeColor="text1"/>
                <w:sz w:val="20"/>
                <w:szCs w:val="20"/>
                <w:lang w:eastAsia="lv-LV"/>
              </w:rPr>
              <w:t>„2.</w:t>
            </w:r>
            <w:hyperlink r:id="rId9" w:tgtFrame="_blank" w:history="1">
              <w:r w:rsidRPr="00DF4003">
                <w:rPr>
                  <w:rFonts w:ascii="Times New Roman" w:eastAsia="Times New Roman" w:hAnsi="Times New Roman"/>
                  <w:color w:val="000000" w:themeColor="text1"/>
                  <w:sz w:val="20"/>
                  <w:szCs w:val="20"/>
                  <w:lang w:eastAsia="lv-LV"/>
                </w:rPr>
                <w:t>Noziedzīgi iegūtu līdzekļu legalizācijas un terorisma un proliferācijas finansēšanas novēršanas likum</w:t>
              </w:r>
            </w:hyperlink>
            <w:r w:rsidRPr="00DF4003">
              <w:rPr>
                <w:rFonts w:ascii="Times New Roman" w:eastAsia="Times New Roman" w:hAnsi="Times New Roman"/>
                <w:color w:val="000000" w:themeColor="text1"/>
                <w:sz w:val="20"/>
                <w:szCs w:val="20"/>
                <w:lang w:eastAsia="lv-LV"/>
              </w:rPr>
              <w:t>a subjekti</w:t>
            </w:r>
            <w:bookmarkEnd w:id="4"/>
            <w:r w:rsidRPr="00DF4003">
              <w:rPr>
                <w:rFonts w:ascii="Times New Roman" w:eastAsia="Times New Roman" w:hAnsi="Times New Roman"/>
                <w:color w:val="000000" w:themeColor="text1"/>
                <w:sz w:val="20"/>
                <w:szCs w:val="20"/>
                <w:lang w:eastAsia="lv-LV"/>
              </w:rPr>
              <w:t xml:space="preserve"> (turpmāk – likuma subjekti) reizi nedēļā sniedz </w:t>
            </w:r>
            <w:r w:rsidR="009B7AEF">
              <w:rPr>
                <w:rFonts w:ascii="Times New Roman" w:eastAsia="Times New Roman" w:hAnsi="Times New Roman"/>
                <w:color w:val="000000" w:themeColor="text1"/>
                <w:sz w:val="20"/>
                <w:szCs w:val="20"/>
                <w:lang w:eastAsia="lv-LV"/>
              </w:rPr>
              <w:t>sliekšņa deklarāciju</w:t>
            </w:r>
            <w:r w:rsidRPr="00DF4003">
              <w:rPr>
                <w:rFonts w:ascii="Times New Roman" w:eastAsia="Times New Roman" w:hAnsi="Times New Roman"/>
                <w:color w:val="000000" w:themeColor="text1"/>
                <w:sz w:val="20"/>
                <w:szCs w:val="20"/>
                <w:lang w:eastAsia="lv-LV"/>
              </w:rPr>
              <w:t xml:space="preserve"> Finanšu izlūkošanas dienestam par katru iepriekšējā periodā veiktu darījumu</w:t>
            </w:r>
            <w:r w:rsidR="009B7AEF" w:rsidRPr="009B7AEF">
              <w:rPr>
                <w:rFonts w:ascii="Times New Roman" w:eastAsia="Times New Roman" w:hAnsi="Times New Roman"/>
                <w:color w:val="000000" w:themeColor="text1"/>
                <w:sz w:val="20"/>
                <w:szCs w:val="20"/>
                <w:lang w:eastAsia="lv-LV"/>
              </w:rPr>
              <w:t xml:space="preserve"> starp likuma subjektu un viņa klientiem</w:t>
            </w:r>
            <w:r w:rsidRPr="00DF4003">
              <w:rPr>
                <w:rFonts w:ascii="Times New Roman" w:eastAsia="Times New Roman" w:hAnsi="Times New Roman"/>
                <w:color w:val="000000" w:themeColor="text1"/>
                <w:sz w:val="20"/>
                <w:szCs w:val="20"/>
                <w:lang w:eastAsia="lv-LV"/>
              </w:rPr>
              <w:t xml:space="preserve"> (turpmāk – darījums) šajos noteikumos noteiktajos gadījumos.”</w:t>
            </w:r>
          </w:p>
          <w:p w14:paraId="29E8BCA8" w14:textId="77777777" w:rsidR="009446A4" w:rsidRPr="00DF4003" w:rsidRDefault="009446A4" w:rsidP="00DF4003">
            <w:pPr>
              <w:pStyle w:val="NoSpacing"/>
              <w:jc w:val="both"/>
              <w:rPr>
                <w:rFonts w:ascii="Times New Roman" w:eastAsia="Times New Roman" w:hAnsi="Times New Roman"/>
                <w:color w:val="000000" w:themeColor="text1"/>
                <w:sz w:val="20"/>
                <w:szCs w:val="20"/>
                <w:lang w:eastAsia="lv-LV"/>
              </w:rPr>
            </w:pPr>
          </w:p>
          <w:p w14:paraId="609A35A6" w14:textId="7BC43F99" w:rsidR="009446A4" w:rsidRPr="00DF4003" w:rsidRDefault="009446A4" w:rsidP="00DF4003">
            <w:pPr>
              <w:shd w:val="clear" w:color="auto" w:fill="FFFFFF"/>
              <w:jc w:val="both"/>
              <w:rPr>
                <w:color w:val="000000" w:themeColor="text1"/>
                <w:sz w:val="20"/>
                <w:szCs w:val="20"/>
              </w:rPr>
            </w:pPr>
            <w:r w:rsidRPr="00DF4003">
              <w:rPr>
                <w:color w:val="000000" w:themeColor="text1"/>
                <w:sz w:val="20"/>
                <w:szCs w:val="20"/>
              </w:rPr>
              <w:t>„</w:t>
            </w:r>
            <w:r w:rsidR="00510FC2">
              <w:rPr>
                <w:color w:val="000000" w:themeColor="text1"/>
                <w:sz w:val="20"/>
                <w:szCs w:val="20"/>
              </w:rPr>
              <w:t>5</w:t>
            </w:r>
            <w:r w:rsidRPr="00DF4003">
              <w:rPr>
                <w:color w:val="000000" w:themeColor="text1"/>
                <w:sz w:val="20"/>
                <w:szCs w:val="20"/>
              </w:rPr>
              <w:t>.Likuma subjekti iesniedz Finanšu izlūkošanas dienestam sliekšņa deklarāciju šādos gadījumos:”</w:t>
            </w:r>
          </w:p>
          <w:p w14:paraId="7AC8CE52" w14:textId="04A02398" w:rsidR="009446A4" w:rsidRPr="00DF4003" w:rsidRDefault="009446A4" w:rsidP="00DF4003">
            <w:pPr>
              <w:shd w:val="clear" w:color="auto" w:fill="FFFFFF"/>
              <w:jc w:val="both"/>
              <w:rPr>
                <w:color w:val="000000" w:themeColor="text1"/>
                <w:sz w:val="20"/>
                <w:szCs w:val="20"/>
              </w:rPr>
            </w:pPr>
          </w:p>
          <w:p w14:paraId="1CB4D260" w14:textId="4375F7C1" w:rsidR="009446A4" w:rsidRPr="00DF4003" w:rsidRDefault="009446A4" w:rsidP="00DF4003">
            <w:pPr>
              <w:shd w:val="clear" w:color="auto" w:fill="FFFFFF"/>
              <w:tabs>
                <w:tab w:val="left" w:pos="709"/>
              </w:tabs>
              <w:jc w:val="both"/>
              <w:rPr>
                <w:color w:val="000000" w:themeColor="text1"/>
                <w:sz w:val="20"/>
                <w:szCs w:val="20"/>
              </w:rPr>
            </w:pPr>
            <w:r w:rsidRPr="00DF4003">
              <w:rPr>
                <w:color w:val="000000" w:themeColor="text1"/>
                <w:sz w:val="20"/>
                <w:szCs w:val="20"/>
              </w:rPr>
              <w:t>„</w:t>
            </w:r>
            <w:r w:rsidR="00510FC2">
              <w:rPr>
                <w:color w:val="000000" w:themeColor="text1"/>
                <w:sz w:val="20"/>
                <w:szCs w:val="20"/>
              </w:rPr>
              <w:t>6</w:t>
            </w:r>
            <w:r w:rsidRPr="00DF4003">
              <w:rPr>
                <w:color w:val="000000" w:themeColor="text1"/>
                <w:sz w:val="20"/>
                <w:szCs w:val="20"/>
              </w:rPr>
              <w:t>. Likuma subjekti sliekšņa deklarāciju iesnie</w:t>
            </w:r>
            <w:r w:rsidR="00DF4003">
              <w:rPr>
                <w:color w:val="000000" w:themeColor="text1"/>
                <w:sz w:val="20"/>
                <w:szCs w:val="20"/>
              </w:rPr>
              <w:t>dz</w:t>
            </w:r>
            <w:r w:rsidRPr="00DF4003">
              <w:rPr>
                <w:color w:val="000000" w:themeColor="text1"/>
                <w:sz w:val="20"/>
                <w:szCs w:val="20"/>
              </w:rPr>
              <w:t xml:space="preserve"> elektroniski, izmantojot Finanšu izlūkošanas dienesta uzturēto tīmekļvietni </w:t>
            </w:r>
            <w:r w:rsidRPr="00902F5D">
              <w:rPr>
                <w:sz w:val="20"/>
                <w:szCs w:val="20"/>
              </w:rPr>
              <w:t>https://zinojumi.fid.gov.lv</w:t>
            </w:r>
            <w:r w:rsidRPr="00DF4003">
              <w:rPr>
                <w:color w:val="000000" w:themeColor="text1"/>
                <w:sz w:val="20"/>
                <w:szCs w:val="20"/>
              </w:rPr>
              <w:t xml:space="preserve">” </w:t>
            </w:r>
          </w:p>
          <w:p w14:paraId="0E821ED1" w14:textId="642250FA" w:rsidR="009446A4" w:rsidRPr="009446A4" w:rsidRDefault="009446A4" w:rsidP="009446A4">
            <w:pPr>
              <w:shd w:val="clear" w:color="auto" w:fill="FFFFFF"/>
              <w:spacing w:line="293" w:lineRule="atLeast"/>
              <w:jc w:val="both"/>
              <w:rPr>
                <w:color w:val="000000" w:themeColor="text1"/>
              </w:rPr>
            </w:pPr>
          </w:p>
          <w:p w14:paraId="6C5D2DA2" w14:textId="6BBC17C4" w:rsidR="009446A4" w:rsidRPr="00BE6D52" w:rsidRDefault="009446A4" w:rsidP="00BE6D52">
            <w:pPr>
              <w:pStyle w:val="NoSpacing"/>
              <w:jc w:val="both"/>
              <w:rPr>
                <w:rFonts w:ascii="Times New Roman" w:hAnsi="Times New Roman"/>
                <w:b/>
                <w:i/>
                <w:sz w:val="20"/>
                <w:szCs w:val="20"/>
              </w:rPr>
            </w:pPr>
          </w:p>
        </w:tc>
      </w:tr>
      <w:tr w:rsidR="00DF4003" w:rsidRPr="00BE6D52" w14:paraId="411A8F3B" w14:textId="77777777" w:rsidTr="00D5294E">
        <w:tc>
          <w:tcPr>
            <w:tcW w:w="559" w:type="dxa"/>
            <w:tcBorders>
              <w:top w:val="single" w:sz="6" w:space="0" w:color="000000"/>
              <w:left w:val="single" w:sz="6" w:space="0" w:color="000000"/>
              <w:bottom w:val="single" w:sz="6" w:space="0" w:color="000000"/>
              <w:right w:val="single" w:sz="6" w:space="0" w:color="000000"/>
            </w:tcBorders>
          </w:tcPr>
          <w:p w14:paraId="7B212A53" w14:textId="77777777" w:rsidR="00DF4003" w:rsidRPr="00BE6D52" w:rsidRDefault="00DF4003" w:rsidP="00BE6D52">
            <w:pPr>
              <w:pStyle w:val="naisc"/>
              <w:spacing w:before="0" w:after="0"/>
              <w:rPr>
                <w:sz w:val="20"/>
                <w:szCs w:val="20"/>
              </w:rPr>
            </w:pPr>
          </w:p>
        </w:tc>
        <w:tc>
          <w:tcPr>
            <w:tcW w:w="2977" w:type="dxa"/>
            <w:gridSpan w:val="2"/>
            <w:tcBorders>
              <w:top w:val="single" w:sz="6" w:space="0" w:color="000000"/>
              <w:left w:val="single" w:sz="6" w:space="0" w:color="000000"/>
              <w:bottom w:val="single" w:sz="6" w:space="0" w:color="000000"/>
              <w:right w:val="single" w:sz="6" w:space="0" w:color="000000"/>
            </w:tcBorders>
          </w:tcPr>
          <w:p w14:paraId="2CD1E029" w14:textId="2AB7E94E" w:rsidR="00DF4003" w:rsidRPr="00DF4003" w:rsidRDefault="00DF4003" w:rsidP="00DF4003">
            <w:pPr>
              <w:shd w:val="clear" w:color="auto" w:fill="FFFFFF"/>
              <w:tabs>
                <w:tab w:val="left" w:pos="567"/>
                <w:tab w:val="left" w:pos="993"/>
              </w:tabs>
              <w:jc w:val="both"/>
              <w:rPr>
                <w:b/>
                <w:color w:val="000000" w:themeColor="text1"/>
                <w:sz w:val="20"/>
                <w:szCs w:val="20"/>
              </w:rPr>
            </w:pPr>
            <w:r w:rsidRPr="00DF4003">
              <w:rPr>
                <w:b/>
                <w:color w:val="000000" w:themeColor="text1"/>
                <w:sz w:val="20"/>
                <w:szCs w:val="20"/>
              </w:rPr>
              <w:t xml:space="preserve">Noteikumu projekta 4.punkts: </w:t>
            </w:r>
          </w:p>
          <w:p w14:paraId="1E40E28B" w14:textId="78588B14" w:rsidR="00DF4003" w:rsidRPr="00DF4003" w:rsidRDefault="00DF4003" w:rsidP="00DF4003">
            <w:pPr>
              <w:shd w:val="clear" w:color="auto" w:fill="FFFFFF"/>
              <w:tabs>
                <w:tab w:val="left" w:pos="567"/>
                <w:tab w:val="left" w:pos="993"/>
              </w:tabs>
              <w:jc w:val="both"/>
              <w:rPr>
                <w:color w:val="000000" w:themeColor="text1"/>
                <w:sz w:val="20"/>
                <w:szCs w:val="20"/>
              </w:rPr>
            </w:pPr>
            <w:r w:rsidRPr="00DF4003">
              <w:rPr>
                <w:color w:val="000000" w:themeColor="text1"/>
                <w:sz w:val="20"/>
                <w:szCs w:val="20"/>
              </w:rPr>
              <w:t>„4.Sliekšņa deklarācijas iesniegšana neatbrīvo likuma subjektu no pienākuma iesniegt ziņojumu par aizdomīgu darījumu.”</w:t>
            </w:r>
          </w:p>
          <w:p w14:paraId="4261A159" w14:textId="77777777" w:rsidR="00DF4003" w:rsidRPr="00BE6D52" w:rsidRDefault="00DF4003" w:rsidP="00BE6D52">
            <w:pPr>
              <w:shd w:val="clear" w:color="auto" w:fill="FFFFFF"/>
              <w:tabs>
                <w:tab w:val="left" w:pos="993"/>
              </w:tabs>
              <w:jc w:val="both"/>
              <w:rPr>
                <w:b/>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235F660" w14:textId="77777777" w:rsidR="00DF4003" w:rsidRPr="00510FC2" w:rsidRDefault="00DF4003" w:rsidP="00DF4003">
            <w:pPr>
              <w:pStyle w:val="NormalWeb"/>
              <w:spacing w:before="0" w:beforeAutospacing="0" w:after="0" w:afterAutospacing="0"/>
              <w:ind w:right="13"/>
              <w:jc w:val="center"/>
              <w:rPr>
                <w:b/>
                <w:sz w:val="20"/>
                <w:szCs w:val="20"/>
              </w:rPr>
            </w:pPr>
            <w:r w:rsidRPr="00510FC2">
              <w:rPr>
                <w:b/>
                <w:sz w:val="20"/>
                <w:szCs w:val="20"/>
              </w:rPr>
              <w:t>Tieslietu ministrija</w:t>
            </w:r>
          </w:p>
          <w:p w14:paraId="6960D0C5" w14:textId="77777777" w:rsidR="00DF4003" w:rsidRPr="00510FC2" w:rsidRDefault="00DF4003" w:rsidP="00DF4003">
            <w:pPr>
              <w:rPr>
                <w:sz w:val="20"/>
                <w:szCs w:val="20"/>
              </w:rPr>
            </w:pPr>
          </w:p>
          <w:p w14:paraId="36779C17" w14:textId="66D41856" w:rsidR="00DF4003" w:rsidRPr="00BE6D52" w:rsidRDefault="00DF4003" w:rsidP="00DB6AA8">
            <w:pPr>
              <w:jc w:val="both"/>
              <w:rPr>
                <w:b/>
                <w:sz w:val="20"/>
                <w:szCs w:val="20"/>
              </w:rPr>
            </w:pPr>
            <w:r w:rsidRPr="00510FC2">
              <w:rPr>
                <w:sz w:val="20"/>
                <w:szCs w:val="20"/>
              </w:rPr>
              <w:t>Projekta 4. punkts noteic, ka sliekšņa deklarācijas iesniegšana neatbrīvo likuma subjektu no pienākuma iesniegt ziņojumu par aizdomīgu darījumu. Vēršam uzmanību uz to, ka projektā nevar tikt ietverts regulējums, kas attiecas uz ziņojumiem par aizdomīgiem darījumiem, ievērojot, ka tas neatbilst likuma 31.</w:t>
            </w:r>
            <w:r w:rsidRPr="00510FC2">
              <w:rPr>
                <w:sz w:val="20"/>
                <w:szCs w:val="20"/>
                <w:vertAlign w:val="superscript"/>
              </w:rPr>
              <w:t>3</w:t>
            </w:r>
            <w:r w:rsidRPr="00510FC2">
              <w:rPr>
                <w:sz w:val="20"/>
                <w:szCs w:val="20"/>
              </w:rPr>
              <w:t> pantā ietvertajam pilnvarojumam Ministru kabinetam. Turklāt attiecībā uz ziņojumiem par aizdomīgiem darījumiem tiks izdoti atsevišķi Ministru kabineta noteikumi atbilstoši likuma 31. panta otrajā daļā ietvertajam pilnvarojumam Ministru kabinetam. Ievērojot minēto, lūdzam svītrot projekta 4. punktu.</w:t>
            </w:r>
          </w:p>
        </w:tc>
        <w:tc>
          <w:tcPr>
            <w:tcW w:w="3544" w:type="dxa"/>
            <w:gridSpan w:val="2"/>
            <w:tcBorders>
              <w:top w:val="single" w:sz="6" w:space="0" w:color="000000"/>
              <w:left w:val="single" w:sz="6" w:space="0" w:color="000000"/>
              <w:bottom w:val="single" w:sz="6" w:space="0" w:color="000000"/>
              <w:right w:val="single" w:sz="6" w:space="0" w:color="000000"/>
            </w:tcBorders>
          </w:tcPr>
          <w:p w14:paraId="25ABE025" w14:textId="592EC017" w:rsidR="00DF4003" w:rsidRPr="00DF4003" w:rsidRDefault="00DF4003" w:rsidP="00DF4003">
            <w:pPr>
              <w:pStyle w:val="naisc"/>
              <w:spacing w:before="0" w:after="0"/>
              <w:rPr>
                <w:b/>
                <w:sz w:val="20"/>
                <w:szCs w:val="20"/>
              </w:rPr>
            </w:pPr>
            <w:r w:rsidRPr="00DF4003">
              <w:rPr>
                <w:b/>
                <w:sz w:val="20"/>
                <w:szCs w:val="20"/>
              </w:rPr>
              <w:t>Iebildums ņemts vērā</w:t>
            </w:r>
          </w:p>
        </w:tc>
        <w:tc>
          <w:tcPr>
            <w:tcW w:w="3969" w:type="dxa"/>
            <w:tcBorders>
              <w:top w:val="single" w:sz="4" w:space="0" w:color="auto"/>
              <w:left w:val="single" w:sz="4" w:space="0" w:color="auto"/>
              <w:bottom w:val="single" w:sz="4" w:space="0" w:color="auto"/>
            </w:tcBorders>
          </w:tcPr>
          <w:p w14:paraId="4DC2B159" w14:textId="2EE865CA" w:rsidR="00DF4003" w:rsidRPr="00DF4003" w:rsidRDefault="00DF4003" w:rsidP="00DF4003">
            <w:pPr>
              <w:shd w:val="clear" w:color="auto" w:fill="FFFFFF"/>
              <w:tabs>
                <w:tab w:val="left" w:pos="993"/>
              </w:tabs>
              <w:jc w:val="both"/>
              <w:rPr>
                <w:b/>
                <w:sz w:val="20"/>
                <w:szCs w:val="20"/>
              </w:rPr>
            </w:pPr>
            <w:r>
              <w:rPr>
                <w:sz w:val="20"/>
                <w:szCs w:val="20"/>
              </w:rPr>
              <w:t>Noteikumu projekta 4.punkts svītrots. Precizēta anotācija</w:t>
            </w:r>
            <w:r w:rsidR="00510FC2">
              <w:rPr>
                <w:sz w:val="20"/>
                <w:szCs w:val="20"/>
              </w:rPr>
              <w:t>.</w:t>
            </w:r>
          </w:p>
        </w:tc>
      </w:tr>
      <w:tr w:rsidR="00BE6D52" w:rsidRPr="00104C26" w14:paraId="5B5CB1A4" w14:textId="77777777" w:rsidTr="00D5294E">
        <w:tc>
          <w:tcPr>
            <w:tcW w:w="559" w:type="dxa"/>
            <w:tcBorders>
              <w:top w:val="single" w:sz="6" w:space="0" w:color="000000"/>
              <w:left w:val="single" w:sz="6" w:space="0" w:color="000000"/>
              <w:bottom w:val="single" w:sz="6" w:space="0" w:color="000000"/>
              <w:right w:val="single" w:sz="6" w:space="0" w:color="000000"/>
            </w:tcBorders>
          </w:tcPr>
          <w:p w14:paraId="6C5610D4" w14:textId="77777777" w:rsidR="00BE6D52" w:rsidRPr="00104C26" w:rsidRDefault="00BE6D52" w:rsidP="00104C26">
            <w:pPr>
              <w:pStyle w:val="naisc"/>
              <w:spacing w:before="0" w:after="0"/>
              <w:rPr>
                <w:sz w:val="20"/>
                <w:szCs w:val="20"/>
              </w:rPr>
            </w:pPr>
          </w:p>
        </w:tc>
        <w:tc>
          <w:tcPr>
            <w:tcW w:w="2977" w:type="dxa"/>
            <w:gridSpan w:val="2"/>
            <w:tcBorders>
              <w:top w:val="single" w:sz="6" w:space="0" w:color="000000"/>
              <w:left w:val="single" w:sz="6" w:space="0" w:color="000000"/>
              <w:bottom w:val="single" w:sz="6" w:space="0" w:color="000000"/>
              <w:right w:val="single" w:sz="6" w:space="0" w:color="000000"/>
            </w:tcBorders>
          </w:tcPr>
          <w:p w14:paraId="3CD09717" w14:textId="2A26D1AC" w:rsidR="00BE6D52" w:rsidRDefault="0094122E" w:rsidP="00104C26">
            <w:pPr>
              <w:shd w:val="clear" w:color="auto" w:fill="FFFFFF"/>
              <w:tabs>
                <w:tab w:val="left" w:pos="993"/>
              </w:tabs>
              <w:jc w:val="both"/>
              <w:rPr>
                <w:b/>
                <w:sz w:val="20"/>
                <w:szCs w:val="20"/>
              </w:rPr>
            </w:pPr>
            <w:r>
              <w:rPr>
                <w:b/>
                <w:sz w:val="20"/>
                <w:szCs w:val="20"/>
              </w:rPr>
              <w:t>Noteikumu projekta II nodaļa</w:t>
            </w:r>
          </w:p>
        </w:tc>
        <w:tc>
          <w:tcPr>
            <w:tcW w:w="3260" w:type="dxa"/>
            <w:tcBorders>
              <w:top w:val="single" w:sz="6" w:space="0" w:color="000000"/>
              <w:left w:val="single" w:sz="6" w:space="0" w:color="000000"/>
              <w:bottom w:val="single" w:sz="6" w:space="0" w:color="000000"/>
              <w:right w:val="single" w:sz="6" w:space="0" w:color="000000"/>
            </w:tcBorders>
          </w:tcPr>
          <w:p w14:paraId="10F1E919" w14:textId="717FEBD0" w:rsidR="00BE6D52" w:rsidRDefault="00BE6D52" w:rsidP="00FB1C3F">
            <w:pPr>
              <w:pStyle w:val="NormalWeb"/>
              <w:spacing w:before="0" w:beforeAutospacing="0" w:after="0" w:afterAutospacing="0"/>
              <w:ind w:right="11"/>
              <w:jc w:val="center"/>
              <w:rPr>
                <w:sz w:val="20"/>
                <w:szCs w:val="20"/>
              </w:rPr>
            </w:pPr>
            <w:r w:rsidRPr="00FB1C3F">
              <w:rPr>
                <w:b/>
                <w:sz w:val="20"/>
                <w:szCs w:val="20"/>
              </w:rPr>
              <w:t>Tieslietu ministrija</w:t>
            </w:r>
          </w:p>
          <w:p w14:paraId="53868D16" w14:textId="77777777" w:rsidR="00DB6AA8" w:rsidRPr="00DB6AA8" w:rsidRDefault="00DB6AA8" w:rsidP="00DB6AA8">
            <w:pPr>
              <w:pStyle w:val="NormalWeb"/>
              <w:spacing w:before="0" w:beforeAutospacing="0" w:after="0" w:afterAutospacing="0"/>
              <w:ind w:right="11"/>
              <w:rPr>
                <w:sz w:val="20"/>
                <w:szCs w:val="20"/>
              </w:rPr>
            </w:pPr>
          </w:p>
          <w:p w14:paraId="294133C9" w14:textId="484A9F34" w:rsidR="00BE6D52" w:rsidRPr="00FB1C3F" w:rsidRDefault="00BE6D52" w:rsidP="00FB1C3F">
            <w:pPr>
              <w:pStyle w:val="NormalWeb"/>
              <w:spacing w:before="0" w:beforeAutospacing="0" w:after="0" w:afterAutospacing="0"/>
              <w:ind w:right="11"/>
              <w:jc w:val="both"/>
              <w:rPr>
                <w:sz w:val="20"/>
                <w:szCs w:val="20"/>
              </w:rPr>
            </w:pPr>
            <w:r w:rsidRPr="00FB1C3F">
              <w:rPr>
                <w:sz w:val="20"/>
                <w:szCs w:val="20"/>
              </w:rPr>
              <w:t>Vēršam uzmanību uz to, ka Noziedzīgi iegūtu līdzekļu legalizācijas un terorisma un proliferācijas finansēšanas novēršanas likuma (turpmāk – likums) 31.</w:t>
            </w:r>
            <w:r w:rsidRPr="00FB1C3F">
              <w:rPr>
                <w:sz w:val="20"/>
                <w:szCs w:val="20"/>
                <w:vertAlign w:val="superscript"/>
              </w:rPr>
              <w:t>3</w:t>
            </w:r>
            <w:r w:rsidRPr="00FB1C3F">
              <w:rPr>
                <w:sz w:val="20"/>
                <w:szCs w:val="20"/>
              </w:rPr>
              <w:t xml:space="preserve"> pants noteic, ka Ministru kabinets nosaka gadījumus, kad iesniedzama sliekšņa deklarācija, sliekšņa deklarācijas </w:t>
            </w:r>
            <w:r w:rsidRPr="00FB1C3F">
              <w:rPr>
                <w:sz w:val="20"/>
                <w:szCs w:val="20"/>
              </w:rPr>
              <w:lastRenderedPageBreak/>
              <w:t>iesniegšanas kārtību un saturu, kā arī apstiprina sliekšņa deklarācijas veidlapu. Līdz ar to projekts ir jāizstrādā atbilstoši likuma 31.</w:t>
            </w:r>
            <w:r w:rsidRPr="00FB1C3F">
              <w:rPr>
                <w:sz w:val="20"/>
                <w:szCs w:val="20"/>
                <w:vertAlign w:val="superscript"/>
              </w:rPr>
              <w:t>3</w:t>
            </w:r>
            <w:r w:rsidRPr="00FB1C3F">
              <w:rPr>
                <w:sz w:val="20"/>
                <w:szCs w:val="20"/>
              </w:rPr>
              <w:t xml:space="preserve"> pantā ietvertajam pilnvarojumam Ministru kabinetam, proti, projektā ir jāparedz </w:t>
            </w:r>
            <w:r w:rsidRPr="00FB1C3F">
              <w:rPr>
                <w:sz w:val="20"/>
                <w:szCs w:val="20"/>
                <w:u w:val="single"/>
              </w:rPr>
              <w:t>gadījumi, kad iesniedzama sliekšņa deklarācija, sliekšņa deklarācijas iesniegšanas kārtība un saturs, kā arī jāapstiprina sliekšņa deklarācijas veidlapu</w:t>
            </w:r>
            <w:r w:rsidRPr="00FB1C3F">
              <w:rPr>
                <w:sz w:val="20"/>
                <w:szCs w:val="20"/>
              </w:rPr>
              <w:t>. Savukārt, piemēram, no likuma 31.</w:t>
            </w:r>
            <w:r w:rsidRPr="00FB1C3F">
              <w:rPr>
                <w:sz w:val="20"/>
                <w:szCs w:val="20"/>
                <w:vertAlign w:val="superscript"/>
              </w:rPr>
              <w:t>3</w:t>
            </w:r>
            <w:r w:rsidRPr="00FB1C3F">
              <w:rPr>
                <w:sz w:val="20"/>
                <w:szCs w:val="20"/>
              </w:rPr>
              <w:t> pantā ietvertā pilnvarojuma Ministru kabinetam neizriet tiesības noteikt projekta II nodaļā minētās sliekšņa deklarācijas pazīmes. Papildus vēršam uzmanību uz to, ka jēdziens "kārtība" nozīmē norises īstenošanas veidu vai darbības organizāciju, proti, attiecīgais pilnvarojums likuma 31.</w:t>
            </w:r>
            <w:r w:rsidRPr="00FB1C3F">
              <w:rPr>
                <w:sz w:val="20"/>
                <w:szCs w:val="20"/>
                <w:vertAlign w:val="superscript"/>
              </w:rPr>
              <w:t>3</w:t>
            </w:r>
            <w:r w:rsidRPr="00FB1C3F">
              <w:rPr>
                <w:sz w:val="20"/>
                <w:szCs w:val="20"/>
              </w:rPr>
              <w:t> pantā paredz tiesības Ministru kabinetam regulēt attiecīgā jautājuma procesuālo aspektu (</w:t>
            </w:r>
            <w:r w:rsidRPr="00FB1C3F">
              <w:rPr>
                <w:i/>
                <w:iCs/>
                <w:sz w:val="20"/>
                <w:szCs w:val="20"/>
              </w:rPr>
              <w:t>skat. Satversmes tiesas 2012. gada 2. maija sprieduma lietā Nr. 2011-17-03 13.3. apakšpunktu</w:t>
            </w:r>
            <w:r w:rsidRPr="00FB1C3F">
              <w:rPr>
                <w:sz w:val="20"/>
                <w:szCs w:val="20"/>
              </w:rPr>
              <w:t>). Ievērojot minēto, lūdzam precizēt projekta saturu atbilstoši likuma 31.</w:t>
            </w:r>
            <w:r w:rsidRPr="00FB1C3F">
              <w:rPr>
                <w:sz w:val="20"/>
                <w:szCs w:val="20"/>
                <w:vertAlign w:val="superscript"/>
              </w:rPr>
              <w:t>3</w:t>
            </w:r>
            <w:r w:rsidRPr="00FB1C3F">
              <w:rPr>
                <w:sz w:val="20"/>
                <w:szCs w:val="20"/>
              </w:rPr>
              <w:t> pantā ietvertajam pilnvarojumam Ministru kabinetam.</w:t>
            </w:r>
          </w:p>
        </w:tc>
        <w:tc>
          <w:tcPr>
            <w:tcW w:w="3544" w:type="dxa"/>
            <w:gridSpan w:val="2"/>
            <w:tcBorders>
              <w:top w:val="single" w:sz="6" w:space="0" w:color="000000"/>
              <w:left w:val="single" w:sz="6" w:space="0" w:color="000000"/>
              <w:bottom w:val="single" w:sz="6" w:space="0" w:color="000000"/>
              <w:right w:val="single" w:sz="6" w:space="0" w:color="000000"/>
            </w:tcBorders>
          </w:tcPr>
          <w:p w14:paraId="456C651C" w14:textId="3D7A0A6D" w:rsidR="00BE6D52" w:rsidRPr="00104C26" w:rsidRDefault="0094122E" w:rsidP="00104C26">
            <w:pPr>
              <w:pStyle w:val="naisc"/>
              <w:spacing w:before="0" w:after="0"/>
              <w:rPr>
                <w:b/>
                <w:sz w:val="20"/>
                <w:szCs w:val="20"/>
              </w:rPr>
            </w:pPr>
            <w:r>
              <w:rPr>
                <w:b/>
                <w:sz w:val="20"/>
                <w:szCs w:val="20"/>
              </w:rPr>
              <w:lastRenderedPageBreak/>
              <w:t>Iebildums ņemts vērā</w:t>
            </w:r>
          </w:p>
        </w:tc>
        <w:tc>
          <w:tcPr>
            <w:tcW w:w="3969" w:type="dxa"/>
            <w:tcBorders>
              <w:top w:val="single" w:sz="4" w:space="0" w:color="auto"/>
              <w:left w:val="single" w:sz="4" w:space="0" w:color="auto"/>
              <w:bottom w:val="single" w:sz="4" w:space="0" w:color="auto"/>
            </w:tcBorders>
          </w:tcPr>
          <w:p w14:paraId="2434C18E" w14:textId="77777777" w:rsidR="0094122E" w:rsidRPr="00510FC2" w:rsidRDefault="0094122E" w:rsidP="0094122E">
            <w:pPr>
              <w:pStyle w:val="NoSpacing"/>
              <w:jc w:val="both"/>
              <w:rPr>
                <w:rFonts w:ascii="Times New Roman" w:hAnsi="Times New Roman"/>
                <w:sz w:val="20"/>
                <w:szCs w:val="20"/>
              </w:rPr>
            </w:pPr>
            <w:r w:rsidRPr="00510FC2">
              <w:rPr>
                <w:rFonts w:ascii="Times New Roman" w:hAnsi="Times New Roman"/>
                <w:sz w:val="20"/>
                <w:szCs w:val="20"/>
              </w:rPr>
              <w:t>Precizēts Noteikumu projekta 5.punkts:</w:t>
            </w:r>
          </w:p>
          <w:p w14:paraId="38039281" w14:textId="54F70983" w:rsidR="0094122E" w:rsidRPr="0094122E" w:rsidRDefault="0094122E" w:rsidP="0094122E">
            <w:pPr>
              <w:pStyle w:val="NoSpacing"/>
              <w:jc w:val="both"/>
              <w:rPr>
                <w:rFonts w:ascii="Times New Roman" w:eastAsia="Times New Roman" w:hAnsi="Times New Roman"/>
                <w:color w:val="000000" w:themeColor="text1"/>
                <w:sz w:val="20"/>
                <w:szCs w:val="20"/>
                <w:lang w:eastAsia="lv-LV"/>
              </w:rPr>
            </w:pPr>
            <w:r w:rsidRPr="0094122E">
              <w:rPr>
                <w:rFonts w:ascii="Times New Roman" w:eastAsia="Times New Roman" w:hAnsi="Times New Roman"/>
                <w:color w:val="000000" w:themeColor="text1"/>
                <w:sz w:val="20"/>
                <w:szCs w:val="20"/>
                <w:lang w:eastAsia="lv-LV"/>
              </w:rPr>
              <w:t xml:space="preserve">Likuma subjekti iesniedz Finanšu izlūkošanas dienestam sliekšņa deklarāciju šādos gadījumos: </w:t>
            </w:r>
          </w:p>
          <w:p w14:paraId="7C183733" w14:textId="3045D3BE" w:rsidR="0094122E" w:rsidRPr="009B7AEF" w:rsidRDefault="0094122E" w:rsidP="0094122E">
            <w:pPr>
              <w:pStyle w:val="ListParagraph"/>
              <w:numPr>
                <w:ilvl w:val="1"/>
                <w:numId w:val="23"/>
              </w:numPr>
              <w:shd w:val="clear" w:color="auto" w:fill="FFFFFF"/>
              <w:ind w:left="851" w:hanging="567"/>
              <w:jc w:val="both"/>
              <w:rPr>
                <w:color w:val="000000" w:themeColor="text1"/>
                <w:sz w:val="20"/>
                <w:szCs w:val="20"/>
              </w:rPr>
            </w:pPr>
            <w:r w:rsidRPr="009B7AEF">
              <w:rPr>
                <w:color w:val="000000" w:themeColor="text1"/>
                <w:sz w:val="20"/>
                <w:szCs w:val="20"/>
              </w:rPr>
              <w:t>attiecībā uz visiem likuma subjektiem</w:t>
            </w:r>
            <w:r w:rsidR="009B7AEF" w:rsidRPr="009B7AEF">
              <w:rPr>
                <w:color w:val="000000" w:themeColor="text1"/>
                <w:sz w:val="20"/>
                <w:szCs w:val="20"/>
              </w:rPr>
              <w:t xml:space="preserve">, ciktāl tie nodrošina pakalpojumus, kas saistīti ar skaidras naudas </w:t>
            </w:r>
            <w:r w:rsidR="003D7066">
              <w:rPr>
                <w:color w:val="000000" w:themeColor="text1"/>
                <w:sz w:val="20"/>
                <w:szCs w:val="20"/>
              </w:rPr>
              <w:t>darījumiem</w:t>
            </w:r>
            <w:r w:rsidR="009B7AEF" w:rsidRPr="009B7AEF">
              <w:rPr>
                <w:color w:val="000000" w:themeColor="text1"/>
                <w:sz w:val="20"/>
                <w:szCs w:val="20"/>
              </w:rPr>
              <w:t>, vai pārrobežu maksājumiem</w:t>
            </w:r>
            <w:r w:rsidRPr="009B7AEF">
              <w:rPr>
                <w:color w:val="000000" w:themeColor="text1"/>
                <w:sz w:val="20"/>
                <w:szCs w:val="20"/>
              </w:rPr>
              <w:t>:</w:t>
            </w:r>
          </w:p>
          <w:p w14:paraId="480AA5A6" w14:textId="79C2FE4D" w:rsidR="0094122E" w:rsidRPr="0094122E" w:rsidRDefault="0094122E" w:rsidP="0094122E">
            <w:pPr>
              <w:pStyle w:val="ListParagraph"/>
              <w:numPr>
                <w:ilvl w:val="2"/>
                <w:numId w:val="23"/>
              </w:numPr>
              <w:shd w:val="clear" w:color="auto" w:fill="FFFFFF"/>
              <w:ind w:left="1418" w:hanging="567"/>
              <w:jc w:val="both"/>
              <w:rPr>
                <w:color w:val="000000" w:themeColor="text1"/>
                <w:sz w:val="20"/>
                <w:szCs w:val="20"/>
              </w:rPr>
            </w:pPr>
            <w:r w:rsidRPr="009B7AEF">
              <w:rPr>
                <w:color w:val="000000" w:themeColor="text1"/>
                <w:sz w:val="20"/>
                <w:szCs w:val="20"/>
              </w:rPr>
              <w:lastRenderedPageBreak/>
              <w:t>klients veic skaidras</w:t>
            </w:r>
            <w:r w:rsidRPr="0094122E">
              <w:rPr>
                <w:color w:val="000000" w:themeColor="text1"/>
                <w:sz w:val="20"/>
                <w:szCs w:val="20"/>
              </w:rPr>
              <w:t xml:space="preserve"> naudas </w:t>
            </w:r>
            <w:r w:rsidR="003D7066">
              <w:rPr>
                <w:color w:val="000000" w:themeColor="text1"/>
                <w:sz w:val="20"/>
                <w:szCs w:val="20"/>
              </w:rPr>
              <w:t>darījumu</w:t>
            </w:r>
            <w:r w:rsidRPr="0094122E">
              <w:rPr>
                <w:color w:val="000000" w:themeColor="text1"/>
                <w:sz w:val="20"/>
                <w:szCs w:val="20"/>
              </w:rPr>
              <w:t>, kura apmērs ir ekvivalents 7 000 </w:t>
            </w:r>
            <w:r w:rsidRPr="0094122E">
              <w:rPr>
                <w:i/>
                <w:color w:val="000000" w:themeColor="text1"/>
                <w:sz w:val="20"/>
                <w:szCs w:val="20"/>
              </w:rPr>
              <w:t>euro</w:t>
            </w:r>
            <w:r w:rsidRPr="0094122E">
              <w:rPr>
                <w:color w:val="000000" w:themeColor="text1"/>
                <w:sz w:val="20"/>
                <w:szCs w:val="20"/>
              </w:rPr>
              <w:t xml:space="preserve"> vai vairāk; </w:t>
            </w:r>
          </w:p>
          <w:p w14:paraId="5B81B08A" w14:textId="77777777" w:rsidR="0094122E" w:rsidRPr="0094122E" w:rsidRDefault="0094122E" w:rsidP="0094122E">
            <w:pPr>
              <w:pStyle w:val="ListParagraph"/>
              <w:numPr>
                <w:ilvl w:val="2"/>
                <w:numId w:val="23"/>
              </w:numPr>
              <w:shd w:val="clear" w:color="auto" w:fill="FFFFFF"/>
              <w:ind w:left="1418" w:hanging="567"/>
              <w:jc w:val="both"/>
              <w:rPr>
                <w:color w:val="000000" w:themeColor="text1"/>
                <w:sz w:val="20"/>
                <w:szCs w:val="20"/>
              </w:rPr>
            </w:pPr>
            <w:r w:rsidRPr="0094122E">
              <w:rPr>
                <w:color w:val="000000" w:themeColor="text1"/>
                <w:sz w:val="20"/>
                <w:szCs w:val="20"/>
              </w:rPr>
              <w:t xml:space="preserve">klients </w:t>
            </w:r>
            <w:proofErr w:type="spellStart"/>
            <w:r w:rsidRPr="0094122E">
              <w:rPr>
                <w:color w:val="000000" w:themeColor="text1"/>
                <w:sz w:val="20"/>
                <w:szCs w:val="20"/>
              </w:rPr>
              <w:t>nosūta</w:t>
            </w:r>
            <w:proofErr w:type="spellEnd"/>
            <w:r w:rsidRPr="0094122E">
              <w:rPr>
                <w:color w:val="000000" w:themeColor="text1"/>
                <w:sz w:val="20"/>
                <w:szCs w:val="20"/>
              </w:rPr>
              <w:t xml:space="preserve"> vai saņem pārrobežu maksājumu, kura apmērs ir ekvivalents 500 000 </w:t>
            </w:r>
            <w:r w:rsidRPr="0094122E">
              <w:rPr>
                <w:i/>
                <w:color w:val="000000" w:themeColor="text1"/>
                <w:sz w:val="20"/>
                <w:szCs w:val="20"/>
              </w:rPr>
              <w:t>euro</w:t>
            </w:r>
            <w:r w:rsidRPr="0094122E">
              <w:rPr>
                <w:color w:val="000000" w:themeColor="text1"/>
                <w:sz w:val="20"/>
                <w:szCs w:val="20"/>
              </w:rPr>
              <w:t xml:space="preserve"> vai vairāk.</w:t>
            </w:r>
          </w:p>
          <w:p w14:paraId="195E72CE" w14:textId="77777777" w:rsidR="0094122E" w:rsidRPr="0094122E" w:rsidRDefault="0094122E" w:rsidP="0094122E">
            <w:pPr>
              <w:pStyle w:val="tv213"/>
              <w:numPr>
                <w:ilvl w:val="1"/>
                <w:numId w:val="23"/>
              </w:numPr>
              <w:shd w:val="clear" w:color="auto" w:fill="FFFFFF"/>
              <w:spacing w:before="0" w:beforeAutospacing="0" w:after="0" w:afterAutospacing="0"/>
              <w:ind w:left="851" w:hanging="567"/>
              <w:jc w:val="both"/>
              <w:rPr>
                <w:sz w:val="20"/>
                <w:szCs w:val="20"/>
              </w:rPr>
            </w:pPr>
            <w:r w:rsidRPr="0094122E">
              <w:rPr>
                <w:rFonts w:ascii="Arial" w:hAnsi="Arial" w:cs="Arial"/>
                <w:color w:val="414142"/>
                <w:sz w:val="20"/>
                <w:szCs w:val="20"/>
                <w:shd w:val="clear" w:color="auto" w:fill="FFFFFF"/>
              </w:rPr>
              <w:t> </w:t>
            </w:r>
            <w:r w:rsidRPr="0094122E">
              <w:rPr>
                <w:color w:val="000000" w:themeColor="text1"/>
                <w:sz w:val="20"/>
                <w:szCs w:val="20"/>
              </w:rPr>
              <w:t xml:space="preserve">attiecībā uz apdrošināšanas komersantiem un </w:t>
            </w:r>
            <w:r w:rsidRPr="0094122E">
              <w:rPr>
                <w:sz w:val="20"/>
                <w:szCs w:val="20"/>
              </w:rPr>
              <w:t>starpniekiem,</w:t>
            </w:r>
            <w:r w:rsidRPr="0094122E">
              <w:rPr>
                <w:rFonts w:ascii="Arial" w:hAnsi="Arial" w:cs="Arial"/>
                <w:color w:val="414142"/>
                <w:sz w:val="20"/>
                <w:szCs w:val="20"/>
              </w:rPr>
              <w:t xml:space="preserve"> </w:t>
            </w:r>
            <w:r w:rsidRPr="0094122E">
              <w:rPr>
                <w:color w:val="000000" w:themeColor="text1"/>
                <w:sz w:val="20"/>
                <w:szCs w:val="20"/>
              </w:rPr>
              <w:t xml:space="preserve">ciktāl tie veic vai sniedz dzīvības apdrošināšanas vai citus ar līdzekļu uzkrāšanu saistītus apdrošināšanas pakalpojumus – </w:t>
            </w:r>
            <w:r w:rsidRPr="0094122E">
              <w:rPr>
                <w:sz w:val="20"/>
                <w:szCs w:val="20"/>
              </w:rPr>
              <w:t xml:space="preserve">izmaksātās apdrošināšanas atlīdzības </w:t>
            </w:r>
            <w:r w:rsidRPr="0094122E">
              <w:rPr>
                <w:color w:val="000000" w:themeColor="text1"/>
                <w:sz w:val="20"/>
                <w:szCs w:val="20"/>
              </w:rPr>
              <w:t>vai atpirkumu summa</w:t>
            </w:r>
            <w:r w:rsidRPr="0094122E">
              <w:rPr>
                <w:sz w:val="20"/>
                <w:szCs w:val="20"/>
              </w:rPr>
              <w:t xml:space="preserve"> ir ekvivalenta 100 000 </w:t>
            </w:r>
            <w:r w:rsidRPr="0094122E">
              <w:rPr>
                <w:i/>
                <w:sz w:val="20"/>
                <w:szCs w:val="20"/>
              </w:rPr>
              <w:t>euro</w:t>
            </w:r>
            <w:r w:rsidRPr="0094122E">
              <w:rPr>
                <w:sz w:val="20"/>
                <w:szCs w:val="20"/>
              </w:rPr>
              <w:t> vai vairāk;</w:t>
            </w:r>
          </w:p>
          <w:p w14:paraId="5767060D" w14:textId="77777777" w:rsidR="0094122E" w:rsidRPr="0094122E" w:rsidRDefault="0094122E" w:rsidP="0094122E">
            <w:pPr>
              <w:pStyle w:val="tv213"/>
              <w:numPr>
                <w:ilvl w:val="1"/>
                <w:numId w:val="23"/>
              </w:numPr>
              <w:shd w:val="clear" w:color="auto" w:fill="FFFFFF"/>
              <w:spacing w:before="0" w:beforeAutospacing="0" w:after="0" w:afterAutospacing="0"/>
              <w:ind w:left="851" w:hanging="567"/>
              <w:jc w:val="both"/>
              <w:rPr>
                <w:sz w:val="20"/>
                <w:szCs w:val="20"/>
              </w:rPr>
            </w:pPr>
            <w:r w:rsidRPr="0094122E">
              <w:rPr>
                <w:color w:val="000000" w:themeColor="text1"/>
                <w:sz w:val="20"/>
                <w:szCs w:val="20"/>
              </w:rPr>
              <w:t xml:space="preserve">attiecībā uz privātajiem </w:t>
            </w:r>
            <w:r w:rsidRPr="0094122E">
              <w:rPr>
                <w:sz w:val="20"/>
                <w:szCs w:val="20"/>
              </w:rPr>
              <w:t>pensiju fondiem - izmaksātā papildpensijas kapitāla summa ir ekvivalenta 100 000 </w:t>
            </w:r>
            <w:r w:rsidRPr="0094122E">
              <w:rPr>
                <w:i/>
                <w:sz w:val="20"/>
                <w:szCs w:val="20"/>
              </w:rPr>
              <w:t>euro</w:t>
            </w:r>
            <w:r w:rsidRPr="0094122E">
              <w:rPr>
                <w:sz w:val="20"/>
                <w:szCs w:val="20"/>
              </w:rPr>
              <w:t> vai vairāk;</w:t>
            </w:r>
          </w:p>
          <w:p w14:paraId="266009ED" w14:textId="77777777" w:rsidR="0094122E" w:rsidRPr="0094122E" w:rsidRDefault="0094122E" w:rsidP="0094122E">
            <w:pPr>
              <w:pStyle w:val="tv213"/>
              <w:numPr>
                <w:ilvl w:val="1"/>
                <w:numId w:val="23"/>
              </w:numPr>
              <w:shd w:val="clear" w:color="auto" w:fill="FFFFFF"/>
              <w:spacing w:before="0" w:beforeAutospacing="0" w:after="0" w:afterAutospacing="0"/>
              <w:ind w:left="851" w:hanging="567"/>
              <w:jc w:val="both"/>
              <w:rPr>
                <w:color w:val="000000" w:themeColor="text1"/>
                <w:sz w:val="20"/>
                <w:szCs w:val="20"/>
              </w:rPr>
            </w:pPr>
            <w:r w:rsidRPr="0094122E">
              <w:rPr>
                <w:sz w:val="20"/>
                <w:szCs w:val="20"/>
              </w:rPr>
              <w:t xml:space="preserve">attiecībā uz </w:t>
            </w:r>
            <w:r w:rsidRPr="0094122E">
              <w:rPr>
                <w:sz w:val="20"/>
                <w:szCs w:val="20"/>
                <w:shd w:val="clear" w:color="auto" w:fill="FFFFFF"/>
              </w:rPr>
              <w:t>kapitālsabiedrībām un kredītiestādēm, kas nodarbojas ar ārvalstu valūtas skaidrās naudas pirkšanu un pārdošanu</w:t>
            </w:r>
            <w:r w:rsidRPr="0094122E">
              <w:rPr>
                <w:sz w:val="20"/>
                <w:szCs w:val="20"/>
              </w:rPr>
              <w:t xml:space="preserve"> – darījums, kurā klients pērk vai pārdod </w:t>
            </w:r>
            <w:r w:rsidRPr="0094122E">
              <w:rPr>
                <w:color w:val="000000" w:themeColor="text1"/>
                <w:sz w:val="20"/>
                <w:szCs w:val="20"/>
              </w:rPr>
              <w:t>ārvalstu valūtu skaidrā naudā, kuras apmērs ir ekvivalents 5 000 </w:t>
            </w:r>
            <w:r w:rsidRPr="0094122E">
              <w:rPr>
                <w:i/>
                <w:iCs/>
                <w:color w:val="000000" w:themeColor="text1"/>
                <w:sz w:val="20"/>
                <w:szCs w:val="20"/>
              </w:rPr>
              <w:t>euro</w:t>
            </w:r>
            <w:r w:rsidRPr="0094122E">
              <w:rPr>
                <w:color w:val="000000" w:themeColor="text1"/>
                <w:sz w:val="20"/>
                <w:szCs w:val="20"/>
              </w:rPr>
              <w:t> vai vairāk;</w:t>
            </w:r>
          </w:p>
          <w:p w14:paraId="4D697D79" w14:textId="77777777" w:rsidR="0094122E" w:rsidRPr="0094122E" w:rsidRDefault="0094122E" w:rsidP="0094122E">
            <w:pPr>
              <w:pStyle w:val="ListParagraph"/>
              <w:numPr>
                <w:ilvl w:val="1"/>
                <w:numId w:val="23"/>
              </w:numPr>
              <w:shd w:val="clear" w:color="auto" w:fill="FFFFFF"/>
              <w:ind w:left="851" w:hanging="567"/>
              <w:jc w:val="both"/>
              <w:rPr>
                <w:color w:val="000000" w:themeColor="text1"/>
                <w:sz w:val="20"/>
                <w:szCs w:val="20"/>
              </w:rPr>
            </w:pPr>
            <w:r w:rsidRPr="0094122E">
              <w:rPr>
                <w:color w:val="000000" w:themeColor="text1"/>
                <w:sz w:val="20"/>
                <w:szCs w:val="20"/>
              </w:rPr>
              <w:t xml:space="preserve">attiecībā uz izložu un azartspēļu organizētājiem - darījums, kura apmērs ir ekvivalents 2 000 </w:t>
            </w:r>
            <w:r w:rsidRPr="0094122E">
              <w:rPr>
                <w:i/>
                <w:color w:val="000000" w:themeColor="text1"/>
                <w:sz w:val="20"/>
                <w:szCs w:val="20"/>
              </w:rPr>
              <w:t>euro</w:t>
            </w:r>
            <w:r w:rsidRPr="0094122E">
              <w:rPr>
                <w:color w:val="000000" w:themeColor="text1"/>
                <w:sz w:val="20"/>
                <w:szCs w:val="20"/>
              </w:rPr>
              <w:t xml:space="preserve"> vai vairāk un kurā klientam izmaksā laimestu vai veic norēķinus ar klientu, kā arī ja klients pērk, pārdod vai maina spēles dalības līdzekļus vai šajā nolūkā maina valūtu, papildina interaktīvo azartspēļu un interaktīvo izložu kontu vai no tā izņem līdzekļus apmērā, kas ir ekvivalents 2 000 </w:t>
            </w:r>
            <w:r w:rsidRPr="0094122E">
              <w:rPr>
                <w:i/>
                <w:color w:val="000000" w:themeColor="text1"/>
                <w:sz w:val="20"/>
                <w:szCs w:val="20"/>
              </w:rPr>
              <w:t>euro</w:t>
            </w:r>
            <w:r w:rsidRPr="0094122E">
              <w:rPr>
                <w:color w:val="000000" w:themeColor="text1"/>
                <w:sz w:val="20"/>
                <w:szCs w:val="20"/>
              </w:rPr>
              <w:t xml:space="preserve"> vai vairāk;</w:t>
            </w:r>
          </w:p>
          <w:p w14:paraId="62FF6385" w14:textId="77777777" w:rsidR="0094122E" w:rsidRPr="0094122E" w:rsidRDefault="0094122E" w:rsidP="0094122E">
            <w:pPr>
              <w:pStyle w:val="ListParagraph"/>
              <w:numPr>
                <w:ilvl w:val="1"/>
                <w:numId w:val="23"/>
              </w:numPr>
              <w:shd w:val="clear" w:color="auto" w:fill="FFFFFF"/>
              <w:ind w:left="851" w:hanging="567"/>
              <w:jc w:val="both"/>
              <w:rPr>
                <w:color w:val="000000" w:themeColor="text1"/>
                <w:sz w:val="20"/>
                <w:szCs w:val="20"/>
              </w:rPr>
            </w:pPr>
            <w:r w:rsidRPr="0094122E">
              <w:rPr>
                <w:color w:val="000000" w:themeColor="text1"/>
                <w:sz w:val="20"/>
                <w:szCs w:val="20"/>
              </w:rPr>
              <w:lastRenderedPageBreak/>
              <w:t xml:space="preserve">attiecībā uz personām, kas nodarbojas mākslas un antikvāro priekšmetu apritē – darījuma apmērs ir ekvivalents 50 000 </w:t>
            </w:r>
            <w:r w:rsidRPr="0094122E">
              <w:rPr>
                <w:i/>
                <w:color w:val="000000" w:themeColor="text1"/>
                <w:sz w:val="20"/>
                <w:szCs w:val="20"/>
              </w:rPr>
              <w:t>euro</w:t>
            </w:r>
            <w:r w:rsidRPr="0094122E">
              <w:rPr>
                <w:color w:val="000000" w:themeColor="text1"/>
                <w:sz w:val="20"/>
                <w:szCs w:val="20"/>
              </w:rPr>
              <w:t xml:space="preserve"> vai vairāk.</w:t>
            </w:r>
          </w:p>
          <w:p w14:paraId="6A6FBAC3" w14:textId="66C5E7BD" w:rsidR="0094122E" w:rsidRPr="00104C26" w:rsidRDefault="0094122E" w:rsidP="0094122E">
            <w:pPr>
              <w:pStyle w:val="NoSpacing"/>
              <w:jc w:val="both"/>
              <w:rPr>
                <w:rFonts w:ascii="Times New Roman" w:hAnsi="Times New Roman"/>
                <w:b/>
                <w:i/>
                <w:sz w:val="20"/>
                <w:szCs w:val="20"/>
              </w:rPr>
            </w:pPr>
          </w:p>
        </w:tc>
      </w:tr>
      <w:tr w:rsidR="00DF4003" w:rsidRPr="00104C26" w14:paraId="1B93E52E" w14:textId="77777777" w:rsidTr="00D5294E">
        <w:tc>
          <w:tcPr>
            <w:tcW w:w="559" w:type="dxa"/>
            <w:tcBorders>
              <w:top w:val="single" w:sz="6" w:space="0" w:color="000000"/>
              <w:left w:val="single" w:sz="6" w:space="0" w:color="000000"/>
              <w:bottom w:val="single" w:sz="6" w:space="0" w:color="000000"/>
              <w:right w:val="single" w:sz="6" w:space="0" w:color="000000"/>
            </w:tcBorders>
          </w:tcPr>
          <w:p w14:paraId="7DB4474D" w14:textId="77777777" w:rsidR="00DF4003" w:rsidRPr="00104C26" w:rsidRDefault="00DF4003" w:rsidP="00104C26">
            <w:pPr>
              <w:pStyle w:val="naisc"/>
              <w:spacing w:before="0" w:after="0"/>
              <w:rPr>
                <w:sz w:val="20"/>
                <w:szCs w:val="20"/>
              </w:rPr>
            </w:pPr>
          </w:p>
        </w:tc>
        <w:tc>
          <w:tcPr>
            <w:tcW w:w="2977" w:type="dxa"/>
            <w:gridSpan w:val="2"/>
            <w:tcBorders>
              <w:top w:val="single" w:sz="6" w:space="0" w:color="000000"/>
              <w:left w:val="single" w:sz="6" w:space="0" w:color="000000"/>
              <w:bottom w:val="single" w:sz="6" w:space="0" w:color="000000"/>
              <w:right w:val="single" w:sz="6" w:space="0" w:color="000000"/>
            </w:tcBorders>
          </w:tcPr>
          <w:p w14:paraId="1FCA4492" w14:textId="30417D37" w:rsidR="00DF4003" w:rsidRPr="00DF4003" w:rsidRDefault="00DF4003" w:rsidP="00DF4003">
            <w:pPr>
              <w:shd w:val="clear" w:color="auto" w:fill="FFFFFF"/>
              <w:tabs>
                <w:tab w:val="left" w:pos="709"/>
              </w:tabs>
              <w:jc w:val="both"/>
              <w:rPr>
                <w:b/>
                <w:sz w:val="20"/>
                <w:szCs w:val="20"/>
              </w:rPr>
            </w:pPr>
            <w:r w:rsidRPr="00DF4003">
              <w:rPr>
                <w:b/>
                <w:sz w:val="20"/>
                <w:szCs w:val="20"/>
              </w:rPr>
              <w:t>Noteikumu projekta 8., 9. un 10.punkts</w:t>
            </w:r>
          </w:p>
          <w:p w14:paraId="0A1CC15A" w14:textId="77777777" w:rsidR="00DF4003" w:rsidRPr="00DF4003" w:rsidRDefault="00DF4003" w:rsidP="00DF4003">
            <w:pPr>
              <w:shd w:val="clear" w:color="auto" w:fill="FFFFFF"/>
              <w:tabs>
                <w:tab w:val="left" w:pos="709"/>
              </w:tabs>
              <w:jc w:val="both"/>
              <w:rPr>
                <w:sz w:val="20"/>
                <w:szCs w:val="20"/>
              </w:rPr>
            </w:pPr>
          </w:p>
          <w:p w14:paraId="10FABC33" w14:textId="5AC30CF3" w:rsidR="00DF4003" w:rsidRPr="00DF4003" w:rsidRDefault="00DF4003" w:rsidP="00DF4003">
            <w:pPr>
              <w:shd w:val="clear" w:color="auto" w:fill="FFFFFF"/>
              <w:tabs>
                <w:tab w:val="left" w:pos="709"/>
              </w:tabs>
              <w:jc w:val="both"/>
              <w:rPr>
                <w:sz w:val="20"/>
                <w:szCs w:val="20"/>
              </w:rPr>
            </w:pPr>
            <w:r w:rsidRPr="00DF4003">
              <w:rPr>
                <w:sz w:val="20"/>
                <w:szCs w:val="20"/>
              </w:rPr>
              <w:t xml:space="preserve">„8.Iesniedzot sliekšņa deklarāciju, likuma subjekts aizpilda veidlapu tiešsaistes formā vai augšupielādē </w:t>
            </w:r>
            <w:proofErr w:type="spellStart"/>
            <w:r w:rsidRPr="00DF4003">
              <w:rPr>
                <w:i/>
                <w:iCs/>
                <w:sz w:val="20"/>
                <w:szCs w:val="20"/>
              </w:rPr>
              <w:t>Extensible</w:t>
            </w:r>
            <w:proofErr w:type="spellEnd"/>
            <w:r w:rsidRPr="00DF4003">
              <w:rPr>
                <w:i/>
                <w:iCs/>
                <w:sz w:val="20"/>
                <w:szCs w:val="20"/>
              </w:rPr>
              <w:t xml:space="preserve"> </w:t>
            </w:r>
            <w:proofErr w:type="spellStart"/>
            <w:r w:rsidRPr="00DF4003">
              <w:rPr>
                <w:i/>
                <w:iCs/>
                <w:sz w:val="20"/>
                <w:szCs w:val="20"/>
              </w:rPr>
              <w:t>Markup</w:t>
            </w:r>
            <w:proofErr w:type="spellEnd"/>
            <w:r w:rsidRPr="00DF4003">
              <w:rPr>
                <w:i/>
                <w:iCs/>
                <w:sz w:val="20"/>
                <w:szCs w:val="20"/>
              </w:rPr>
              <w:t xml:space="preserve"> </w:t>
            </w:r>
            <w:proofErr w:type="spellStart"/>
            <w:r w:rsidRPr="00DF4003">
              <w:rPr>
                <w:i/>
                <w:iCs/>
                <w:sz w:val="20"/>
                <w:szCs w:val="20"/>
              </w:rPr>
              <w:t>Language</w:t>
            </w:r>
            <w:proofErr w:type="spellEnd"/>
            <w:r w:rsidRPr="00DF4003">
              <w:rPr>
                <w:sz w:val="20"/>
                <w:szCs w:val="20"/>
              </w:rPr>
              <w:t xml:space="preserve"> (turpmāk - XML) datni atbilstoši šo noteikumu pielikumā noteiktajam datu saturam.”</w:t>
            </w:r>
          </w:p>
          <w:p w14:paraId="7E12B1A3" w14:textId="77777777" w:rsidR="00DF4003" w:rsidRPr="00DF4003" w:rsidRDefault="00DF4003" w:rsidP="00DF4003">
            <w:pPr>
              <w:pStyle w:val="ListParagraph"/>
              <w:rPr>
                <w:sz w:val="20"/>
                <w:szCs w:val="20"/>
              </w:rPr>
            </w:pPr>
          </w:p>
          <w:p w14:paraId="2E35B480" w14:textId="59B273A9" w:rsidR="00DF4003" w:rsidRPr="00DF4003" w:rsidRDefault="00DF4003" w:rsidP="00DF4003">
            <w:pPr>
              <w:shd w:val="clear" w:color="auto" w:fill="FFFFFF"/>
              <w:tabs>
                <w:tab w:val="left" w:pos="709"/>
              </w:tabs>
              <w:jc w:val="both"/>
              <w:rPr>
                <w:sz w:val="20"/>
                <w:szCs w:val="20"/>
              </w:rPr>
            </w:pPr>
            <w:r w:rsidRPr="00DF4003">
              <w:rPr>
                <w:sz w:val="20"/>
                <w:szCs w:val="20"/>
              </w:rPr>
              <w:t xml:space="preserve">„9.Finanšu izlūkošanas dienests XML shēmas struktūru jeb </w:t>
            </w:r>
            <w:r w:rsidRPr="00DF4003">
              <w:rPr>
                <w:i/>
                <w:iCs/>
                <w:sz w:val="20"/>
                <w:szCs w:val="20"/>
              </w:rPr>
              <w:t xml:space="preserve">XML </w:t>
            </w:r>
            <w:proofErr w:type="spellStart"/>
            <w:r w:rsidRPr="00DF4003">
              <w:rPr>
                <w:i/>
                <w:iCs/>
                <w:sz w:val="20"/>
                <w:szCs w:val="20"/>
              </w:rPr>
              <w:t>Schema</w:t>
            </w:r>
            <w:proofErr w:type="spellEnd"/>
            <w:r w:rsidRPr="00DF4003">
              <w:rPr>
                <w:i/>
                <w:iCs/>
                <w:sz w:val="20"/>
                <w:szCs w:val="20"/>
              </w:rPr>
              <w:t xml:space="preserve"> </w:t>
            </w:r>
            <w:proofErr w:type="spellStart"/>
            <w:r w:rsidRPr="00DF4003">
              <w:rPr>
                <w:i/>
                <w:iCs/>
                <w:sz w:val="20"/>
                <w:szCs w:val="20"/>
              </w:rPr>
              <w:t>Definition</w:t>
            </w:r>
            <w:proofErr w:type="spellEnd"/>
            <w:r w:rsidRPr="00DF4003">
              <w:rPr>
                <w:sz w:val="20"/>
                <w:szCs w:val="20"/>
              </w:rPr>
              <w:t xml:space="preserve"> (turpmāk - XSD) shēmu uztur savā tīmekļvietnē www.fid.gov.lv, darot to pieejamu likuma subjektiem un to uzraudzības un kontroles institūcijām.”</w:t>
            </w:r>
          </w:p>
          <w:p w14:paraId="5D5A56C2" w14:textId="77777777" w:rsidR="00DF4003" w:rsidRPr="00DF4003" w:rsidRDefault="00DF4003" w:rsidP="00DF4003">
            <w:pPr>
              <w:pStyle w:val="ListParagraph"/>
              <w:rPr>
                <w:sz w:val="20"/>
                <w:szCs w:val="20"/>
              </w:rPr>
            </w:pPr>
          </w:p>
          <w:p w14:paraId="6DBF3C85" w14:textId="79BAA0C5" w:rsidR="00DF4003" w:rsidRPr="00DF4003" w:rsidRDefault="00DF4003" w:rsidP="00DF4003">
            <w:pPr>
              <w:shd w:val="clear" w:color="auto" w:fill="FFFFFF"/>
              <w:tabs>
                <w:tab w:val="left" w:pos="709"/>
              </w:tabs>
              <w:jc w:val="both"/>
              <w:rPr>
                <w:sz w:val="20"/>
                <w:szCs w:val="20"/>
              </w:rPr>
            </w:pPr>
            <w:r w:rsidRPr="00DF4003">
              <w:rPr>
                <w:sz w:val="20"/>
                <w:szCs w:val="20"/>
              </w:rPr>
              <w:t>„10.Ja Finanšu izlūkošanas dienests veic būtiskas izmaiņas šo noteikumu 9.punktā minētajā XSD shēmā, tad ne vēlāk kā divus mēnešus pirms izmaiņu stāšanās spēkā Finanšu izlūkošanas dienests publicē jauno XSD shēmu.”</w:t>
            </w:r>
          </w:p>
          <w:p w14:paraId="082041FF" w14:textId="77777777" w:rsidR="00DF4003" w:rsidRPr="00DF4003" w:rsidRDefault="00DF4003" w:rsidP="00DF4003">
            <w:pPr>
              <w:shd w:val="clear" w:color="auto" w:fill="FFFFFF"/>
              <w:tabs>
                <w:tab w:val="left" w:pos="993"/>
              </w:tabs>
              <w:jc w:val="both"/>
              <w:rPr>
                <w:b/>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701151A0" w14:textId="77777777" w:rsidR="00DF4003" w:rsidRPr="00DF4003" w:rsidRDefault="00DF4003" w:rsidP="00DF4003">
            <w:pPr>
              <w:pStyle w:val="NormalWeb"/>
              <w:spacing w:before="0" w:after="0"/>
              <w:ind w:right="13"/>
              <w:jc w:val="center"/>
              <w:rPr>
                <w:b/>
                <w:sz w:val="20"/>
                <w:szCs w:val="20"/>
              </w:rPr>
            </w:pPr>
            <w:r w:rsidRPr="00DF4003">
              <w:rPr>
                <w:b/>
                <w:sz w:val="20"/>
                <w:szCs w:val="20"/>
              </w:rPr>
              <w:t>Tieslietu ministrija</w:t>
            </w:r>
          </w:p>
          <w:p w14:paraId="6C5BBBAE" w14:textId="6AD37102" w:rsidR="00DF4003" w:rsidRDefault="00DF4003" w:rsidP="00DF4003">
            <w:pPr>
              <w:jc w:val="both"/>
              <w:rPr>
                <w:sz w:val="20"/>
                <w:szCs w:val="20"/>
              </w:rPr>
            </w:pPr>
            <w:r w:rsidRPr="00DF4003">
              <w:rPr>
                <w:sz w:val="20"/>
                <w:szCs w:val="20"/>
              </w:rPr>
              <w:t xml:space="preserve">Vēršam uzmanību uz to, ka projekta 8., 9. un 10. punktā ietvertais regulējums par XML datni, XML shēmu un XSD shēmu ir neskaidrs. Turklāt vēršam uzmanību uz to, ka projektā būtu jāparedz sliekšņa deklarācijas iesniegšanas kārtība un saturs, kā arī jāapstiprina sliekšņa deklarācijas veidlapu. Tāpat papildus vēršam uzmanību uz to, ka normatīvā akta projektu raksta, ievērojot valsts valodas prasības, kā arī tam ir jābūt lakoniskam un saprotamam </w:t>
            </w:r>
            <w:r w:rsidRPr="00DF4003">
              <w:rPr>
                <w:i/>
                <w:iCs/>
                <w:sz w:val="20"/>
                <w:szCs w:val="20"/>
              </w:rPr>
              <w:t xml:space="preserve">(skat. Ministru kabineta 2009. gada 3. februāra noteikumu Nr. 108 "Normatīvo aktu projektu sagatavošanas noteikumi" 2.1. un 2.2. apakšpunkts). </w:t>
            </w:r>
            <w:r w:rsidRPr="00DF4003">
              <w:rPr>
                <w:sz w:val="20"/>
                <w:szCs w:val="20"/>
              </w:rPr>
              <w:t>Ievērojot minēto, lūdzam precizēt projekta 8., 9. un 10. punktā ietverto regulējumu.</w:t>
            </w:r>
          </w:p>
          <w:p w14:paraId="4CA336DD" w14:textId="2C7C8DBC" w:rsidR="0094122E" w:rsidRDefault="0094122E" w:rsidP="00DF4003">
            <w:pPr>
              <w:jc w:val="both"/>
              <w:rPr>
                <w:sz w:val="20"/>
                <w:szCs w:val="20"/>
              </w:rPr>
            </w:pPr>
          </w:p>
          <w:p w14:paraId="58909233" w14:textId="489B1B51" w:rsidR="00DF4003" w:rsidRPr="00BE6D52" w:rsidRDefault="0094122E" w:rsidP="00DB6AA8">
            <w:pPr>
              <w:jc w:val="both"/>
              <w:rPr>
                <w:b/>
              </w:rPr>
            </w:pPr>
            <w:r w:rsidRPr="0094122E">
              <w:rPr>
                <w:sz w:val="20"/>
                <w:szCs w:val="20"/>
              </w:rPr>
              <w:t xml:space="preserve">Papildus lūdzam </w:t>
            </w:r>
            <w:r w:rsidRPr="0094122E">
              <w:rPr>
                <w:bCs/>
                <w:sz w:val="20"/>
                <w:szCs w:val="20"/>
              </w:rPr>
              <w:t>p</w:t>
            </w:r>
            <w:r w:rsidRPr="0094122E">
              <w:rPr>
                <w:sz w:val="20"/>
                <w:szCs w:val="20"/>
              </w:rPr>
              <w:t xml:space="preserve">rojekta sākotnējās </w:t>
            </w:r>
            <w:r w:rsidRPr="0094122E">
              <w:rPr>
                <w:i/>
                <w:sz w:val="20"/>
                <w:szCs w:val="20"/>
              </w:rPr>
              <w:t>(ex-ante)</w:t>
            </w:r>
            <w:r w:rsidRPr="0094122E">
              <w:rPr>
                <w:sz w:val="20"/>
                <w:szCs w:val="20"/>
              </w:rPr>
              <w:t xml:space="preserve"> ietekmes novērtējuma ziņojuma (turpmāk – anotācija) I sadaļas 2. punktā skaidrot gan iepriekš minētā regulējuma, gan cita projektā ietvertā regulējuma mērķi un būtību </w:t>
            </w:r>
            <w:r w:rsidRPr="0094122E">
              <w:rPr>
                <w:i/>
                <w:iCs/>
                <w:sz w:val="20"/>
                <w:szCs w:val="20"/>
              </w:rPr>
              <w:t>(Smiltēna A., Bloma I. Tiesību akta projekta ietekmes sākotnējā izvērtēšana. [</w:t>
            </w:r>
            <w:proofErr w:type="spellStart"/>
            <w:r w:rsidRPr="0094122E">
              <w:rPr>
                <w:i/>
                <w:iCs/>
                <w:sz w:val="20"/>
                <w:szCs w:val="20"/>
              </w:rPr>
              <w:t>B.v</w:t>
            </w:r>
            <w:proofErr w:type="spellEnd"/>
            <w:r w:rsidRPr="0094122E">
              <w:rPr>
                <w:i/>
                <w:iCs/>
                <w:sz w:val="20"/>
                <w:szCs w:val="20"/>
              </w:rPr>
              <w:t xml:space="preserve">.]: Valsts kanceleja, 2014, 17. lpp.), </w:t>
            </w:r>
            <w:r w:rsidRPr="0094122E">
              <w:rPr>
                <w:sz w:val="20"/>
                <w:szCs w:val="20"/>
              </w:rPr>
              <w:t xml:space="preserve">necitējot projektā ietvertās normas. Turklāt vēršam </w:t>
            </w:r>
            <w:r w:rsidRPr="0094122E">
              <w:rPr>
                <w:sz w:val="20"/>
                <w:szCs w:val="20"/>
              </w:rPr>
              <w:lastRenderedPageBreak/>
              <w:t>uzmanību uz to, ka anotācijas I sadaļas 2. punktu aizpilda atbilstoši Ministru kabineta 2009. gada 15. decembra instrukcijas Nr. 19 ''Tiesību akta projekta sākotnējās ietekmes izvērtēšanas kārtība'' (turpmāk – instrukcija) 14. punktā noteiktajām prasībām.</w:t>
            </w:r>
          </w:p>
        </w:tc>
        <w:tc>
          <w:tcPr>
            <w:tcW w:w="3544" w:type="dxa"/>
            <w:gridSpan w:val="2"/>
            <w:tcBorders>
              <w:top w:val="single" w:sz="6" w:space="0" w:color="000000"/>
              <w:left w:val="single" w:sz="6" w:space="0" w:color="000000"/>
              <w:bottom w:val="single" w:sz="6" w:space="0" w:color="000000"/>
              <w:right w:val="single" w:sz="6" w:space="0" w:color="000000"/>
            </w:tcBorders>
          </w:tcPr>
          <w:p w14:paraId="3D45A211" w14:textId="7BD8600C" w:rsidR="00DF4003" w:rsidRPr="00104C26" w:rsidRDefault="003864E0" w:rsidP="00104C26">
            <w:pPr>
              <w:pStyle w:val="naisc"/>
              <w:spacing w:before="0" w:after="0"/>
              <w:rPr>
                <w:b/>
                <w:sz w:val="20"/>
                <w:szCs w:val="20"/>
              </w:rPr>
            </w:pPr>
            <w:r>
              <w:rPr>
                <w:b/>
                <w:sz w:val="20"/>
                <w:szCs w:val="20"/>
              </w:rPr>
              <w:lastRenderedPageBreak/>
              <w:t>Ņemts vērā</w:t>
            </w:r>
          </w:p>
        </w:tc>
        <w:tc>
          <w:tcPr>
            <w:tcW w:w="3969" w:type="dxa"/>
            <w:tcBorders>
              <w:top w:val="single" w:sz="4" w:space="0" w:color="auto"/>
              <w:left w:val="single" w:sz="4" w:space="0" w:color="auto"/>
              <w:bottom w:val="single" w:sz="4" w:space="0" w:color="auto"/>
            </w:tcBorders>
          </w:tcPr>
          <w:p w14:paraId="33674376" w14:textId="2495BCE4" w:rsidR="0094122E" w:rsidRPr="003864E0" w:rsidRDefault="003864E0" w:rsidP="0094122E">
            <w:pPr>
              <w:pStyle w:val="NoSpacing"/>
              <w:jc w:val="both"/>
              <w:rPr>
                <w:rFonts w:ascii="Times New Roman" w:hAnsi="Times New Roman"/>
                <w:b/>
                <w:sz w:val="20"/>
                <w:szCs w:val="20"/>
              </w:rPr>
            </w:pPr>
            <w:r w:rsidRPr="0094122E">
              <w:rPr>
                <w:rFonts w:ascii="Times New Roman" w:hAnsi="Times New Roman"/>
                <w:sz w:val="20"/>
                <w:szCs w:val="20"/>
              </w:rPr>
              <w:t>Svītrots Noteikumu 9.un 10.punkts</w:t>
            </w:r>
            <w:r w:rsidR="0094122E">
              <w:rPr>
                <w:rFonts w:ascii="Times New Roman" w:hAnsi="Times New Roman"/>
                <w:sz w:val="20"/>
                <w:szCs w:val="20"/>
              </w:rPr>
              <w:t xml:space="preserve">. </w:t>
            </w:r>
            <w:r w:rsidR="0094122E" w:rsidRPr="0094122E">
              <w:rPr>
                <w:rFonts w:ascii="Times New Roman" w:hAnsi="Times New Roman"/>
                <w:sz w:val="20"/>
                <w:szCs w:val="20"/>
              </w:rPr>
              <w:t>Precizēta anotācija</w:t>
            </w:r>
            <w:r w:rsidR="00510FC2">
              <w:rPr>
                <w:rFonts w:ascii="Times New Roman" w:hAnsi="Times New Roman"/>
                <w:sz w:val="20"/>
                <w:szCs w:val="20"/>
              </w:rPr>
              <w:t>.</w:t>
            </w:r>
          </w:p>
        </w:tc>
      </w:tr>
      <w:tr w:rsidR="008111BD" w:rsidRPr="00104C26" w14:paraId="0209F3EA" w14:textId="77777777" w:rsidTr="00935D50">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43FBC000" w14:textId="77777777" w:rsidR="004A0D58" w:rsidRPr="00104C26" w:rsidRDefault="004A0D58" w:rsidP="00104C26">
            <w:pPr>
              <w:pStyle w:val="naiskr"/>
              <w:spacing w:before="0" w:after="0"/>
              <w:rPr>
                <w:sz w:val="20"/>
                <w:szCs w:val="20"/>
              </w:rPr>
            </w:pPr>
          </w:p>
          <w:p w14:paraId="23157E22" w14:textId="77777777" w:rsidR="008111BD" w:rsidRPr="00104C26" w:rsidRDefault="008111BD" w:rsidP="00104C26">
            <w:pPr>
              <w:pStyle w:val="naiskr"/>
              <w:spacing w:before="0" w:after="0"/>
              <w:rPr>
                <w:sz w:val="20"/>
                <w:szCs w:val="20"/>
              </w:rPr>
            </w:pPr>
            <w:r w:rsidRPr="00104C26">
              <w:rPr>
                <w:sz w:val="20"/>
                <w:szCs w:val="20"/>
              </w:rPr>
              <w:t>Atbildīgā amatpersona</w:t>
            </w:r>
          </w:p>
        </w:tc>
        <w:tc>
          <w:tcPr>
            <w:tcW w:w="6179" w:type="dxa"/>
            <w:gridSpan w:val="3"/>
          </w:tcPr>
          <w:p w14:paraId="0A949AF9" w14:textId="77777777" w:rsidR="008111BD" w:rsidRPr="00104C26" w:rsidRDefault="008111BD" w:rsidP="00104C26">
            <w:pPr>
              <w:pStyle w:val="naiskr"/>
              <w:spacing w:before="0" w:after="0"/>
              <w:rPr>
                <w:sz w:val="20"/>
                <w:szCs w:val="20"/>
              </w:rPr>
            </w:pPr>
          </w:p>
        </w:tc>
      </w:tr>
      <w:tr w:rsidR="008111BD" w:rsidRPr="00104C26" w14:paraId="377262CC" w14:textId="77777777" w:rsidTr="00935D50">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52DF06FD" w14:textId="77777777" w:rsidR="008111BD" w:rsidRPr="00104C26" w:rsidRDefault="008111BD" w:rsidP="00104C26">
            <w:pPr>
              <w:pStyle w:val="naiskr"/>
              <w:spacing w:before="0" w:after="0"/>
              <w:ind w:firstLine="720"/>
              <w:rPr>
                <w:sz w:val="20"/>
                <w:szCs w:val="20"/>
              </w:rPr>
            </w:pPr>
          </w:p>
        </w:tc>
        <w:tc>
          <w:tcPr>
            <w:tcW w:w="6179" w:type="dxa"/>
            <w:gridSpan w:val="3"/>
            <w:tcBorders>
              <w:top w:val="single" w:sz="6" w:space="0" w:color="000000"/>
            </w:tcBorders>
          </w:tcPr>
          <w:p w14:paraId="511BED7B" w14:textId="77777777" w:rsidR="008111BD" w:rsidRPr="00104C26" w:rsidRDefault="008111BD" w:rsidP="00104C26">
            <w:pPr>
              <w:pStyle w:val="naisc"/>
              <w:spacing w:before="0" w:after="0"/>
              <w:ind w:firstLine="720"/>
              <w:rPr>
                <w:sz w:val="20"/>
                <w:szCs w:val="20"/>
              </w:rPr>
            </w:pPr>
            <w:r w:rsidRPr="00104C26">
              <w:rPr>
                <w:sz w:val="20"/>
                <w:szCs w:val="20"/>
              </w:rPr>
              <w:t>(paraksts)*</w:t>
            </w:r>
          </w:p>
        </w:tc>
      </w:tr>
    </w:tbl>
    <w:bookmarkEnd w:id="0"/>
    <w:p w14:paraId="2EB1B9EB" w14:textId="77777777" w:rsidR="00FB1C3F" w:rsidRDefault="00FB1C3F" w:rsidP="00FB1C3F">
      <w:pPr>
        <w:pStyle w:val="naisf"/>
        <w:spacing w:before="0" w:after="0"/>
        <w:ind w:firstLine="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733648D4" w14:textId="4D4BC27F" w:rsidR="00FB1C3F" w:rsidRDefault="00FB1C3F" w:rsidP="00FB1C3F">
      <w:r>
        <w:t xml:space="preserve"> </w:t>
      </w:r>
      <w:r w:rsidR="001822C9" w:rsidRPr="001822C9">
        <w:t>Dina Buse</w:t>
      </w:r>
    </w:p>
    <w:tbl>
      <w:tblPr>
        <w:tblW w:w="0" w:type="auto"/>
        <w:tblLook w:val="00A0" w:firstRow="1" w:lastRow="0" w:firstColumn="1" w:lastColumn="0" w:noHBand="0" w:noVBand="0"/>
      </w:tblPr>
      <w:tblGrid>
        <w:gridCol w:w="8268"/>
      </w:tblGrid>
      <w:tr w:rsidR="00FB1C3F" w:rsidRPr="00712B66" w14:paraId="61320585" w14:textId="77777777" w:rsidTr="00DE13A6">
        <w:tc>
          <w:tcPr>
            <w:tcW w:w="8268" w:type="dxa"/>
            <w:tcBorders>
              <w:top w:val="single" w:sz="4" w:space="0" w:color="000000"/>
            </w:tcBorders>
          </w:tcPr>
          <w:p w14:paraId="0494F2C4" w14:textId="77777777" w:rsidR="00FB1C3F" w:rsidRPr="00712B66" w:rsidRDefault="00FB1C3F" w:rsidP="00DE13A6">
            <w:pPr>
              <w:jc w:val="center"/>
            </w:pPr>
            <w:r>
              <w:t>(</w:t>
            </w:r>
            <w:r w:rsidRPr="00712B66">
              <w:t xml:space="preserve">par projektu atbildīgās amatpersonas </w:t>
            </w:r>
            <w:r>
              <w:t xml:space="preserve">vārds un </w:t>
            </w:r>
            <w:r w:rsidRPr="00712B66">
              <w:t>uzvārds</w:t>
            </w:r>
            <w:r>
              <w:t>)</w:t>
            </w:r>
          </w:p>
        </w:tc>
      </w:tr>
      <w:tr w:rsidR="00FB1C3F" w:rsidRPr="00712B66" w14:paraId="3A2612ED" w14:textId="77777777" w:rsidTr="00DE13A6">
        <w:tc>
          <w:tcPr>
            <w:tcW w:w="8268" w:type="dxa"/>
            <w:tcBorders>
              <w:bottom w:val="single" w:sz="4" w:space="0" w:color="000000"/>
            </w:tcBorders>
          </w:tcPr>
          <w:p w14:paraId="570AA19F" w14:textId="77777777" w:rsidR="00FB1C3F" w:rsidRDefault="00FB1C3F" w:rsidP="00DE13A6"/>
          <w:p w14:paraId="4DE73697" w14:textId="6CFA0099" w:rsidR="00FB1C3F" w:rsidRPr="00712B66" w:rsidRDefault="001822C9" w:rsidP="00DE13A6">
            <w:r w:rsidRPr="001822C9">
              <w:t>Finanšu tirgus politikas departamenta direktores vietniece, Kredītiestāžu un maksājumu pakalpojumu politikas nodaļas vadītāja</w:t>
            </w:r>
          </w:p>
        </w:tc>
      </w:tr>
      <w:tr w:rsidR="00FB1C3F" w:rsidRPr="00712B66" w14:paraId="5999810D" w14:textId="77777777" w:rsidTr="00DE13A6">
        <w:tc>
          <w:tcPr>
            <w:tcW w:w="8268" w:type="dxa"/>
            <w:tcBorders>
              <w:top w:val="single" w:sz="4" w:space="0" w:color="000000"/>
            </w:tcBorders>
          </w:tcPr>
          <w:p w14:paraId="61B0E04B" w14:textId="77777777" w:rsidR="00FB1C3F" w:rsidRPr="00712B66" w:rsidRDefault="00FB1C3F" w:rsidP="00DE13A6">
            <w:pPr>
              <w:jc w:val="center"/>
            </w:pPr>
            <w:r>
              <w:t>(</w:t>
            </w:r>
            <w:r w:rsidRPr="00712B66">
              <w:t>amats</w:t>
            </w:r>
            <w:r>
              <w:t>)</w:t>
            </w:r>
          </w:p>
        </w:tc>
      </w:tr>
      <w:tr w:rsidR="00FB1C3F" w:rsidRPr="00712B66" w14:paraId="74DE0579" w14:textId="77777777" w:rsidTr="00DE13A6">
        <w:tc>
          <w:tcPr>
            <w:tcW w:w="8268" w:type="dxa"/>
            <w:tcBorders>
              <w:bottom w:val="single" w:sz="4" w:space="0" w:color="000000"/>
            </w:tcBorders>
          </w:tcPr>
          <w:p w14:paraId="0E3D4E9C" w14:textId="77777777" w:rsidR="00FB1C3F" w:rsidRDefault="00FB1C3F" w:rsidP="00DE13A6">
            <w:r w:rsidRPr="00126349">
              <w:t>Tālrunis:</w:t>
            </w:r>
            <w:r>
              <w:t xml:space="preserve"> </w:t>
            </w:r>
          </w:p>
          <w:p w14:paraId="60FD6A25" w14:textId="4BFC39D8" w:rsidR="00FB1C3F" w:rsidRPr="00712B66" w:rsidRDefault="001822C9" w:rsidP="00DE13A6">
            <w:r w:rsidRPr="001822C9">
              <w:rPr>
                <w:rFonts w:eastAsia="Calibri"/>
              </w:rPr>
              <w:t>67095535</w:t>
            </w:r>
          </w:p>
        </w:tc>
      </w:tr>
      <w:tr w:rsidR="00FB1C3F" w:rsidRPr="00712B66" w14:paraId="7B5FFE6A" w14:textId="77777777" w:rsidTr="00DE13A6">
        <w:tc>
          <w:tcPr>
            <w:tcW w:w="8268" w:type="dxa"/>
            <w:tcBorders>
              <w:top w:val="single" w:sz="4" w:space="0" w:color="000000"/>
            </w:tcBorders>
          </w:tcPr>
          <w:p w14:paraId="0484F2B7" w14:textId="77777777" w:rsidR="00FB1C3F" w:rsidRPr="00712B66" w:rsidRDefault="00FB1C3F" w:rsidP="00DE13A6">
            <w:pPr>
              <w:jc w:val="center"/>
            </w:pPr>
            <w:r>
              <w:t>(</w:t>
            </w:r>
            <w:r w:rsidRPr="00712B66">
              <w:t>tālruņa un faksa numurs</w:t>
            </w:r>
            <w:r>
              <w:t>)</w:t>
            </w:r>
          </w:p>
        </w:tc>
      </w:tr>
      <w:tr w:rsidR="00FB1C3F" w:rsidRPr="00712B66" w14:paraId="7C058C12" w14:textId="77777777" w:rsidTr="00DE13A6">
        <w:tc>
          <w:tcPr>
            <w:tcW w:w="8268" w:type="dxa"/>
            <w:tcBorders>
              <w:bottom w:val="single" w:sz="4" w:space="0" w:color="000000"/>
            </w:tcBorders>
          </w:tcPr>
          <w:p w14:paraId="2CB02198" w14:textId="76B8BFD6" w:rsidR="00FB1C3F" w:rsidRPr="00AA5A16" w:rsidRDefault="001822C9" w:rsidP="00DE13A6">
            <w:pPr>
              <w:rPr>
                <w:color w:val="0000FF"/>
                <w:u w:val="single"/>
              </w:rPr>
            </w:pPr>
            <w:r w:rsidRPr="001822C9">
              <w:rPr>
                <w:rStyle w:val="Hyperlink"/>
              </w:rPr>
              <w:t>Dina.</w:t>
            </w:r>
            <w:bookmarkStart w:id="5" w:name="_GoBack"/>
            <w:bookmarkEnd w:id="5"/>
            <w:r w:rsidRPr="001822C9">
              <w:rPr>
                <w:rStyle w:val="Hyperlink"/>
              </w:rPr>
              <w:t>Buse@fm.gov.lv</w:t>
            </w:r>
          </w:p>
        </w:tc>
      </w:tr>
      <w:tr w:rsidR="00FB1C3F" w:rsidRPr="00712B66" w14:paraId="321C740B" w14:textId="77777777" w:rsidTr="00DE13A6">
        <w:tc>
          <w:tcPr>
            <w:tcW w:w="8268" w:type="dxa"/>
            <w:tcBorders>
              <w:top w:val="single" w:sz="4" w:space="0" w:color="000000"/>
            </w:tcBorders>
          </w:tcPr>
          <w:p w14:paraId="7AE05864" w14:textId="77777777" w:rsidR="001822C9" w:rsidRDefault="00FB1C3F" w:rsidP="001822C9">
            <w:pPr>
              <w:jc w:val="center"/>
            </w:pPr>
            <w:r>
              <w:t>(</w:t>
            </w:r>
            <w:r w:rsidRPr="00712B66">
              <w:t>e-pasta adrese</w:t>
            </w:r>
            <w:r>
              <w:t>)</w:t>
            </w:r>
          </w:p>
          <w:p w14:paraId="7BDB9628" w14:textId="50039C9A" w:rsidR="0030777E" w:rsidRPr="00712B66" w:rsidRDefault="0030777E" w:rsidP="001822C9"/>
        </w:tc>
      </w:tr>
    </w:tbl>
    <w:p w14:paraId="5BBB3E00" w14:textId="77777777" w:rsidR="001822C9" w:rsidRPr="001822C9" w:rsidRDefault="001822C9" w:rsidP="001822C9">
      <w:pPr>
        <w:jc w:val="both"/>
        <w:rPr>
          <w:rFonts w:eastAsia="Calibri"/>
          <w:sz w:val="20"/>
          <w:szCs w:val="20"/>
        </w:rPr>
      </w:pPr>
      <w:r w:rsidRPr="001822C9">
        <w:rPr>
          <w:rFonts w:eastAsia="Calibri"/>
          <w:sz w:val="20"/>
          <w:szCs w:val="20"/>
        </w:rPr>
        <w:t>Buse, 67095535</w:t>
      </w:r>
    </w:p>
    <w:p w14:paraId="20D49DA5" w14:textId="39465EB7" w:rsidR="00FB1C3F" w:rsidRDefault="001822C9" w:rsidP="001822C9">
      <w:pPr>
        <w:jc w:val="both"/>
      </w:pPr>
      <w:r w:rsidRPr="001822C9">
        <w:rPr>
          <w:rFonts w:eastAsia="Calibri"/>
          <w:sz w:val="20"/>
          <w:szCs w:val="20"/>
        </w:rPr>
        <w:t>Dina.Buse@fm.gov.lv</w:t>
      </w:r>
    </w:p>
    <w:sectPr w:rsidR="00FB1C3F" w:rsidSect="00935D50">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2CA70" w14:textId="77777777" w:rsidR="00697DF4" w:rsidRDefault="00697DF4">
      <w:r>
        <w:separator/>
      </w:r>
    </w:p>
  </w:endnote>
  <w:endnote w:type="continuationSeparator" w:id="0">
    <w:p w14:paraId="404F10C0" w14:textId="77777777" w:rsidR="00697DF4" w:rsidRDefault="0069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C0CE4" w14:textId="7E8986B7" w:rsidR="00954A6F" w:rsidRPr="007D6B81" w:rsidRDefault="00D5278F" w:rsidP="007D6B81">
    <w:pPr>
      <w:pStyle w:val="Footer"/>
      <w:rPr>
        <w:sz w:val="20"/>
        <w:szCs w:val="20"/>
      </w:rPr>
    </w:pPr>
    <w:r>
      <w:rPr>
        <w:sz w:val="20"/>
        <w:szCs w:val="20"/>
      </w:rPr>
      <w:t>FMizz_22</w:t>
    </w:r>
    <w:r w:rsidR="007D6B81">
      <w:rPr>
        <w:sz w:val="20"/>
        <w:szCs w:val="20"/>
      </w:rPr>
      <w:t>0819_slieksnis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6AA0" w14:textId="20D92EA6" w:rsidR="00954A6F" w:rsidRPr="007642FE" w:rsidRDefault="00D5278F" w:rsidP="00935D50">
    <w:pPr>
      <w:pStyle w:val="Footer"/>
      <w:rPr>
        <w:sz w:val="20"/>
        <w:szCs w:val="20"/>
      </w:rPr>
    </w:pPr>
    <w:r>
      <w:rPr>
        <w:sz w:val="20"/>
        <w:szCs w:val="20"/>
      </w:rPr>
      <w:t>FMizz_22</w:t>
    </w:r>
    <w:r w:rsidR="00954A6F">
      <w:rPr>
        <w:sz w:val="20"/>
        <w:szCs w:val="20"/>
      </w:rPr>
      <w:t>0</w:t>
    </w:r>
    <w:r w:rsidR="007D6B81">
      <w:rPr>
        <w:sz w:val="20"/>
        <w:szCs w:val="20"/>
      </w:rPr>
      <w:t>8</w:t>
    </w:r>
    <w:r w:rsidR="00954A6F">
      <w:rPr>
        <w:sz w:val="20"/>
        <w:szCs w:val="20"/>
      </w:rPr>
      <w:t>19_</w:t>
    </w:r>
    <w:r w:rsidR="007D6B81">
      <w:rPr>
        <w:sz w:val="20"/>
        <w:szCs w:val="20"/>
      </w:rPr>
      <w:t>slieksnis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26159" w14:textId="77777777" w:rsidR="00697DF4" w:rsidRDefault="00697DF4">
      <w:r>
        <w:separator/>
      </w:r>
    </w:p>
  </w:footnote>
  <w:footnote w:type="continuationSeparator" w:id="0">
    <w:p w14:paraId="29B9FA62" w14:textId="77777777" w:rsidR="00697DF4" w:rsidRDefault="0069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38E7" w14:textId="77777777" w:rsidR="00954A6F" w:rsidRDefault="00954A6F" w:rsidP="00935D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EF19F" w14:textId="77777777" w:rsidR="00954A6F" w:rsidRDefault="00954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BBCB9" w14:textId="09925A35" w:rsidR="00954A6F" w:rsidRDefault="00954A6F" w:rsidP="00935D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2F5D">
      <w:rPr>
        <w:rStyle w:val="PageNumber"/>
        <w:noProof/>
      </w:rPr>
      <w:t>6</w:t>
    </w:r>
    <w:r>
      <w:rPr>
        <w:rStyle w:val="PageNumber"/>
      </w:rPr>
      <w:fldChar w:fldCharType="end"/>
    </w:r>
  </w:p>
  <w:p w14:paraId="19C3BFCE" w14:textId="77777777" w:rsidR="00954A6F" w:rsidRDefault="00954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1CC"/>
    <w:multiLevelType w:val="multilevel"/>
    <w:tmpl w:val="D55602C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9F38B5"/>
    <w:multiLevelType w:val="hybridMultilevel"/>
    <w:tmpl w:val="950EA02E"/>
    <w:lvl w:ilvl="0" w:tplc="DAC082FC">
      <w:start w:val="3"/>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88D3D27"/>
    <w:multiLevelType w:val="multilevel"/>
    <w:tmpl w:val="D55602C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FD1D70"/>
    <w:multiLevelType w:val="hybridMultilevel"/>
    <w:tmpl w:val="33E89E7E"/>
    <w:lvl w:ilvl="0" w:tplc="D8F25256">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6141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2FD9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E7E8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C73E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2ED5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877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87FB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21E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B83A80"/>
    <w:multiLevelType w:val="hybridMultilevel"/>
    <w:tmpl w:val="08CE3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6472D7"/>
    <w:multiLevelType w:val="hybridMultilevel"/>
    <w:tmpl w:val="C764BD02"/>
    <w:lvl w:ilvl="0" w:tplc="9FE6D85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ACB6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497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9632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6318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612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5667F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C8D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22657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C30908"/>
    <w:multiLevelType w:val="hybridMultilevel"/>
    <w:tmpl w:val="A1BC52E4"/>
    <w:lvl w:ilvl="0" w:tplc="5C989F02">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7" w15:restartNumberingAfterBreak="0">
    <w:nsid w:val="1FB10C10"/>
    <w:multiLevelType w:val="hybridMultilevel"/>
    <w:tmpl w:val="957C417C"/>
    <w:lvl w:ilvl="0" w:tplc="EAF205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0E94E9D"/>
    <w:multiLevelType w:val="hybridMultilevel"/>
    <w:tmpl w:val="69C629AA"/>
    <w:lvl w:ilvl="0" w:tplc="A57ABE30">
      <w:start w:val="1"/>
      <w:numFmt w:val="bullet"/>
      <w:lvlText w:val="-"/>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7E3142">
      <w:start w:val="1"/>
      <w:numFmt w:val="bullet"/>
      <w:lvlText w:val="o"/>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41136">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22790">
      <w:start w:val="1"/>
      <w:numFmt w:val="bullet"/>
      <w:lvlText w:val="•"/>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4F1D0">
      <w:start w:val="1"/>
      <w:numFmt w:val="bullet"/>
      <w:lvlText w:val="o"/>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A63C4">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645B0">
      <w:start w:val="1"/>
      <w:numFmt w:val="bullet"/>
      <w:lvlText w:val="•"/>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088DB8">
      <w:start w:val="1"/>
      <w:numFmt w:val="bullet"/>
      <w:lvlText w:val="o"/>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AB47A">
      <w:start w:val="1"/>
      <w:numFmt w:val="bullet"/>
      <w:lvlText w:val="▪"/>
      <w:lvlJc w:val="left"/>
      <w:pPr>
        <w:ind w:left="6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93700D"/>
    <w:multiLevelType w:val="hybridMultilevel"/>
    <w:tmpl w:val="E856A6F8"/>
    <w:lvl w:ilvl="0" w:tplc="12DA93D8">
      <w:start w:val="1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82B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8C4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E600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088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5AFB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F6C7F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C023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04DA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526958"/>
    <w:multiLevelType w:val="hybridMultilevel"/>
    <w:tmpl w:val="D45C8566"/>
    <w:lvl w:ilvl="0" w:tplc="810293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C4513A0"/>
    <w:multiLevelType w:val="hybridMultilevel"/>
    <w:tmpl w:val="16BA541C"/>
    <w:lvl w:ilvl="0" w:tplc="C41E290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735B16"/>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3" w15:restartNumberingAfterBreak="0">
    <w:nsid w:val="35414A3C"/>
    <w:multiLevelType w:val="hybridMultilevel"/>
    <w:tmpl w:val="89CCD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662491"/>
    <w:multiLevelType w:val="hybridMultilevel"/>
    <w:tmpl w:val="AB824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FB3033"/>
    <w:multiLevelType w:val="hybridMultilevel"/>
    <w:tmpl w:val="B85E8782"/>
    <w:lvl w:ilvl="0" w:tplc="E9AE5ACC">
      <w:start w:val="1"/>
      <w:numFmt w:val="bullet"/>
      <w:lvlText w:val="-"/>
      <w:lvlJc w:val="left"/>
      <w:pPr>
        <w:ind w:left="365" w:hanging="360"/>
      </w:pPr>
      <w:rPr>
        <w:rFonts w:ascii="Times New Roman" w:eastAsia="Times New Roman" w:hAnsi="Times New Roman" w:cs="Times New Roman" w:hint="default"/>
        <w:b w:val="0"/>
      </w:rPr>
    </w:lvl>
    <w:lvl w:ilvl="1" w:tplc="04260003" w:tentative="1">
      <w:start w:val="1"/>
      <w:numFmt w:val="bullet"/>
      <w:lvlText w:val="o"/>
      <w:lvlJc w:val="left"/>
      <w:pPr>
        <w:ind w:left="1085" w:hanging="360"/>
      </w:pPr>
      <w:rPr>
        <w:rFonts w:ascii="Courier New" w:hAnsi="Courier New" w:cs="Courier New" w:hint="default"/>
      </w:rPr>
    </w:lvl>
    <w:lvl w:ilvl="2" w:tplc="04260005" w:tentative="1">
      <w:start w:val="1"/>
      <w:numFmt w:val="bullet"/>
      <w:lvlText w:val=""/>
      <w:lvlJc w:val="left"/>
      <w:pPr>
        <w:ind w:left="1805" w:hanging="360"/>
      </w:pPr>
      <w:rPr>
        <w:rFonts w:ascii="Wingdings" w:hAnsi="Wingdings" w:hint="default"/>
      </w:rPr>
    </w:lvl>
    <w:lvl w:ilvl="3" w:tplc="04260001" w:tentative="1">
      <w:start w:val="1"/>
      <w:numFmt w:val="bullet"/>
      <w:lvlText w:val=""/>
      <w:lvlJc w:val="left"/>
      <w:pPr>
        <w:ind w:left="2525" w:hanging="360"/>
      </w:pPr>
      <w:rPr>
        <w:rFonts w:ascii="Symbol" w:hAnsi="Symbol" w:hint="default"/>
      </w:rPr>
    </w:lvl>
    <w:lvl w:ilvl="4" w:tplc="04260003" w:tentative="1">
      <w:start w:val="1"/>
      <w:numFmt w:val="bullet"/>
      <w:lvlText w:val="o"/>
      <w:lvlJc w:val="left"/>
      <w:pPr>
        <w:ind w:left="3245" w:hanging="360"/>
      </w:pPr>
      <w:rPr>
        <w:rFonts w:ascii="Courier New" w:hAnsi="Courier New" w:cs="Courier New" w:hint="default"/>
      </w:rPr>
    </w:lvl>
    <w:lvl w:ilvl="5" w:tplc="04260005" w:tentative="1">
      <w:start w:val="1"/>
      <w:numFmt w:val="bullet"/>
      <w:lvlText w:val=""/>
      <w:lvlJc w:val="left"/>
      <w:pPr>
        <w:ind w:left="3965" w:hanging="360"/>
      </w:pPr>
      <w:rPr>
        <w:rFonts w:ascii="Wingdings" w:hAnsi="Wingdings" w:hint="default"/>
      </w:rPr>
    </w:lvl>
    <w:lvl w:ilvl="6" w:tplc="04260001" w:tentative="1">
      <w:start w:val="1"/>
      <w:numFmt w:val="bullet"/>
      <w:lvlText w:val=""/>
      <w:lvlJc w:val="left"/>
      <w:pPr>
        <w:ind w:left="4685" w:hanging="360"/>
      </w:pPr>
      <w:rPr>
        <w:rFonts w:ascii="Symbol" w:hAnsi="Symbol" w:hint="default"/>
      </w:rPr>
    </w:lvl>
    <w:lvl w:ilvl="7" w:tplc="04260003" w:tentative="1">
      <w:start w:val="1"/>
      <w:numFmt w:val="bullet"/>
      <w:lvlText w:val="o"/>
      <w:lvlJc w:val="left"/>
      <w:pPr>
        <w:ind w:left="5405" w:hanging="360"/>
      </w:pPr>
      <w:rPr>
        <w:rFonts w:ascii="Courier New" w:hAnsi="Courier New" w:cs="Courier New" w:hint="default"/>
      </w:rPr>
    </w:lvl>
    <w:lvl w:ilvl="8" w:tplc="04260005" w:tentative="1">
      <w:start w:val="1"/>
      <w:numFmt w:val="bullet"/>
      <w:lvlText w:val=""/>
      <w:lvlJc w:val="left"/>
      <w:pPr>
        <w:ind w:left="6125" w:hanging="360"/>
      </w:pPr>
      <w:rPr>
        <w:rFonts w:ascii="Wingdings" w:hAnsi="Wingdings" w:hint="default"/>
      </w:rPr>
    </w:lvl>
  </w:abstractNum>
  <w:abstractNum w:abstractNumId="16" w15:restartNumberingAfterBreak="0">
    <w:nsid w:val="3D0E0072"/>
    <w:multiLevelType w:val="multilevel"/>
    <w:tmpl w:val="A5E4981C"/>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15:restartNumberingAfterBreak="0">
    <w:nsid w:val="464A4B5B"/>
    <w:multiLevelType w:val="multilevel"/>
    <w:tmpl w:val="557CD41A"/>
    <w:lvl w:ilvl="0">
      <w:start w:val="6"/>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15:restartNumberingAfterBreak="0">
    <w:nsid w:val="46AC7CDB"/>
    <w:multiLevelType w:val="hybridMultilevel"/>
    <w:tmpl w:val="3CE46F18"/>
    <w:lvl w:ilvl="0" w:tplc="50D8C208">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9" w15:restartNumberingAfterBreak="0">
    <w:nsid w:val="4B2511EC"/>
    <w:multiLevelType w:val="hybridMultilevel"/>
    <w:tmpl w:val="97DA334A"/>
    <w:lvl w:ilvl="0" w:tplc="FF88CA3A">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25D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4127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CF25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2991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4D5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6CD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2ACD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0B06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835539"/>
    <w:multiLevelType w:val="hybridMultilevel"/>
    <w:tmpl w:val="7C402AA0"/>
    <w:lvl w:ilvl="0" w:tplc="ADD20382">
      <w:start w:val="1"/>
      <w:numFmt w:val="bullet"/>
      <w:lvlText w:val="-"/>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8E2A12">
      <w:start w:val="1"/>
      <w:numFmt w:val="bullet"/>
      <w:lvlText w:val="o"/>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E47652">
      <w:start w:val="1"/>
      <w:numFmt w:val="bullet"/>
      <w:lvlText w:val="▪"/>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052D4">
      <w:start w:val="1"/>
      <w:numFmt w:val="bullet"/>
      <w:lvlText w:val="•"/>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48C128">
      <w:start w:val="1"/>
      <w:numFmt w:val="bullet"/>
      <w:lvlText w:val="o"/>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6B410">
      <w:start w:val="1"/>
      <w:numFmt w:val="bullet"/>
      <w:lvlText w:val="▪"/>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02CF8">
      <w:start w:val="1"/>
      <w:numFmt w:val="bullet"/>
      <w:lvlText w:val="•"/>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AE4E8">
      <w:start w:val="1"/>
      <w:numFmt w:val="bullet"/>
      <w:lvlText w:val="o"/>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4DCE0">
      <w:start w:val="1"/>
      <w:numFmt w:val="bullet"/>
      <w:lvlText w:val="▪"/>
      <w:lvlJc w:val="left"/>
      <w:pPr>
        <w:ind w:left="6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6972CB3"/>
    <w:multiLevelType w:val="hybridMultilevel"/>
    <w:tmpl w:val="EF9A9E54"/>
    <w:lvl w:ilvl="0" w:tplc="FF7CCFB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382803"/>
    <w:multiLevelType w:val="hybridMultilevel"/>
    <w:tmpl w:val="6D20C8EE"/>
    <w:lvl w:ilvl="0" w:tplc="DA0ED6F8">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4A810">
      <w:start w:val="1"/>
      <w:numFmt w:val="bullet"/>
      <w:lvlText w:val="o"/>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29E88">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A975E">
      <w:start w:val="1"/>
      <w:numFmt w:val="bullet"/>
      <w:lvlText w:val="•"/>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69FBA">
      <w:start w:val="1"/>
      <w:numFmt w:val="bullet"/>
      <w:lvlText w:val="o"/>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288B34">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C7472">
      <w:start w:val="1"/>
      <w:numFmt w:val="bullet"/>
      <w:lvlText w:val="•"/>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24A94">
      <w:start w:val="1"/>
      <w:numFmt w:val="bullet"/>
      <w:lvlText w:val="o"/>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4AB06">
      <w:start w:val="1"/>
      <w:numFmt w:val="bullet"/>
      <w:lvlText w:val="▪"/>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0"/>
  </w:num>
  <w:num w:numId="3">
    <w:abstractNumId w:val="4"/>
  </w:num>
  <w:num w:numId="4">
    <w:abstractNumId w:val="15"/>
  </w:num>
  <w:num w:numId="5">
    <w:abstractNumId w:val="13"/>
  </w:num>
  <w:num w:numId="6">
    <w:abstractNumId w:val="6"/>
  </w:num>
  <w:num w:numId="7">
    <w:abstractNumId w:val="7"/>
  </w:num>
  <w:num w:numId="8">
    <w:abstractNumId w:val="18"/>
  </w:num>
  <w:num w:numId="9">
    <w:abstractNumId w:val="14"/>
  </w:num>
  <w:num w:numId="10">
    <w:abstractNumId w:val="11"/>
  </w:num>
  <w:num w:numId="11">
    <w:abstractNumId w:val="8"/>
  </w:num>
  <w:num w:numId="12">
    <w:abstractNumId w:val="5"/>
  </w:num>
  <w:num w:numId="13">
    <w:abstractNumId w:val="20"/>
  </w:num>
  <w:num w:numId="14">
    <w:abstractNumId w:val="3"/>
  </w:num>
  <w:num w:numId="15">
    <w:abstractNumId w:val="22"/>
  </w:num>
  <w:num w:numId="16">
    <w:abstractNumId w:val="19"/>
  </w:num>
  <w:num w:numId="17">
    <w:abstractNumId w:val="9"/>
  </w:num>
  <w:num w:numId="18">
    <w:abstractNumId w:val="12"/>
  </w:num>
  <w:num w:numId="19">
    <w:abstractNumId w:val="0"/>
  </w:num>
  <w:num w:numId="20">
    <w:abstractNumId w:val="2"/>
  </w:num>
  <w:num w:numId="21">
    <w:abstractNumId w:val="1"/>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49"/>
    <w:rsid w:val="00000F77"/>
    <w:rsid w:val="00001C6F"/>
    <w:rsid w:val="00006870"/>
    <w:rsid w:val="00013043"/>
    <w:rsid w:val="00015D14"/>
    <w:rsid w:val="0001645F"/>
    <w:rsid w:val="0001721C"/>
    <w:rsid w:val="00017B29"/>
    <w:rsid w:val="000219F2"/>
    <w:rsid w:val="00024722"/>
    <w:rsid w:val="00026D7C"/>
    <w:rsid w:val="000302B7"/>
    <w:rsid w:val="000349EF"/>
    <w:rsid w:val="00037C64"/>
    <w:rsid w:val="00040FF8"/>
    <w:rsid w:val="0004229C"/>
    <w:rsid w:val="00043525"/>
    <w:rsid w:val="000519B8"/>
    <w:rsid w:val="00052628"/>
    <w:rsid w:val="0005585A"/>
    <w:rsid w:val="00060538"/>
    <w:rsid w:val="000633FC"/>
    <w:rsid w:val="00070434"/>
    <w:rsid w:val="00070492"/>
    <w:rsid w:val="000715C2"/>
    <w:rsid w:val="0007289D"/>
    <w:rsid w:val="00074FA6"/>
    <w:rsid w:val="00075140"/>
    <w:rsid w:val="000754FA"/>
    <w:rsid w:val="00076EDC"/>
    <w:rsid w:val="00077890"/>
    <w:rsid w:val="000804AE"/>
    <w:rsid w:val="00081376"/>
    <w:rsid w:val="000856AC"/>
    <w:rsid w:val="0008583C"/>
    <w:rsid w:val="00092070"/>
    <w:rsid w:val="000974C1"/>
    <w:rsid w:val="000A0108"/>
    <w:rsid w:val="000A21A2"/>
    <w:rsid w:val="000A41E8"/>
    <w:rsid w:val="000A472A"/>
    <w:rsid w:val="000B18AC"/>
    <w:rsid w:val="000B6D5D"/>
    <w:rsid w:val="000C0747"/>
    <w:rsid w:val="000C08A9"/>
    <w:rsid w:val="000C3F57"/>
    <w:rsid w:val="000D2735"/>
    <w:rsid w:val="000D2983"/>
    <w:rsid w:val="000D4968"/>
    <w:rsid w:val="000D584B"/>
    <w:rsid w:val="000D6591"/>
    <w:rsid w:val="000D666F"/>
    <w:rsid w:val="000D6758"/>
    <w:rsid w:val="000E25B8"/>
    <w:rsid w:val="000E38E0"/>
    <w:rsid w:val="000F2ED6"/>
    <w:rsid w:val="000F30EB"/>
    <w:rsid w:val="000F64A5"/>
    <w:rsid w:val="000F678C"/>
    <w:rsid w:val="00100123"/>
    <w:rsid w:val="001038BD"/>
    <w:rsid w:val="00104C26"/>
    <w:rsid w:val="00110D20"/>
    <w:rsid w:val="0011515B"/>
    <w:rsid w:val="00116896"/>
    <w:rsid w:val="00117549"/>
    <w:rsid w:val="00117DF9"/>
    <w:rsid w:val="001247F4"/>
    <w:rsid w:val="00130A71"/>
    <w:rsid w:val="001342B8"/>
    <w:rsid w:val="0013433A"/>
    <w:rsid w:val="00135653"/>
    <w:rsid w:val="00135B2C"/>
    <w:rsid w:val="00140DE3"/>
    <w:rsid w:val="00144AE3"/>
    <w:rsid w:val="00144B2E"/>
    <w:rsid w:val="001461B9"/>
    <w:rsid w:val="00150132"/>
    <w:rsid w:val="0015195C"/>
    <w:rsid w:val="0015327E"/>
    <w:rsid w:val="00154629"/>
    <w:rsid w:val="00155685"/>
    <w:rsid w:val="0015642E"/>
    <w:rsid w:val="00170EEB"/>
    <w:rsid w:val="00173A67"/>
    <w:rsid w:val="00176ABF"/>
    <w:rsid w:val="001822C9"/>
    <w:rsid w:val="00186AE4"/>
    <w:rsid w:val="00193499"/>
    <w:rsid w:val="0019576E"/>
    <w:rsid w:val="0019597D"/>
    <w:rsid w:val="001A17A0"/>
    <w:rsid w:val="001A1FDA"/>
    <w:rsid w:val="001A368B"/>
    <w:rsid w:val="001A481B"/>
    <w:rsid w:val="001B0D52"/>
    <w:rsid w:val="001B157C"/>
    <w:rsid w:val="001B28F0"/>
    <w:rsid w:val="001B4E42"/>
    <w:rsid w:val="001B503C"/>
    <w:rsid w:val="001B537F"/>
    <w:rsid w:val="001C10AF"/>
    <w:rsid w:val="001C2282"/>
    <w:rsid w:val="001D09EC"/>
    <w:rsid w:val="001D2212"/>
    <w:rsid w:val="001D4EAC"/>
    <w:rsid w:val="001D50A8"/>
    <w:rsid w:val="001E05C3"/>
    <w:rsid w:val="001E05CE"/>
    <w:rsid w:val="001E1E72"/>
    <w:rsid w:val="001E37B1"/>
    <w:rsid w:val="001F32CD"/>
    <w:rsid w:val="001F4B0A"/>
    <w:rsid w:val="001F74EF"/>
    <w:rsid w:val="002013C7"/>
    <w:rsid w:val="00210540"/>
    <w:rsid w:val="00210BF9"/>
    <w:rsid w:val="00211DF8"/>
    <w:rsid w:val="00212A68"/>
    <w:rsid w:val="00214E39"/>
    <w:rsid w:val="00214F3E"/>
    <w:rsid w:val="002162A6"/>
    <w:rsid w:val="002176BF"/>
    <w:rsid w:val="00226406"/>
    <w:rsid w:val="0023118E"/>
    <w:rsid w:val="002333A8"/>
    <w:rsid w:val="002335A2"/>
    <w:rsid w:val="00234352"/>
    <w:rsid w:val="00235B64"/>
    <w:rsid w:val="00242A58"/>
    <w:rsid w:val="00242FFD"/>
    <w:rsid w:val="002465EB"/>
    <w:rsid w:val="0025375E"/>
    <w:rsid w:val="00254FDE"/>
    <w:rsid w:val="002559C7"/>
    <w:rsid w:val="002576E7"/>
    <w:rsid w:val="002612C5"/>
    <w:rsid w:val="00263946"/>
    <w:rsid w:val="002703C1"/>
    <w:rsid w:val="00271F5E"/>
    <w:rsid w:val="00272772"/>
    <w:rsid w:val="00272FE4"/>
    <w:rsid w:val="00273490"/>
    <w:rsid w:val="002739BC"/>
    <w:rsid w:val="00273F85"/>
    <w:rsid w:val="00276135"/>
    <w:rsid w:val="00277492"/>
    <w:rsid w:val="002775B4"/>
    <w:rsid w:val="00281938"/>
    <w:rsid w:val="00282B07"/>
    <w:rsid w:val="00282C4E"/>
    <w:rsid w:val="002849B0"/>
    <w:rsid w:val="00286DE5"/>
    <w:rsid w:val="0028749F"/>
    <w:rsid w:val="00291F87"/>
    <w:rsid w:val="0029515D"/>
    <w:rsid w:val="002A23A0"/>
    <w:rsid w:val="002A72E5"/>
    <w:rsid w:val="002C088C"/>
    <w:rsid w:val="002C1F4F"/>
    <w:rsid w:val="002C2DB8"/>
    <w:rsid w:val="002C3360"/>
    <w:rsid w:val="002C3796"/>
    <w:rsid w:val="002C3AD8"/>
    <w:rsid w:val="002C58A8"/>
    <w:rsid w:val="002C5A83"/>
    <w:rsid w:val="002D3A45"/>
    <w:rsid w:val="002D6B3F"/>
    <w:rsid w:val="002D6C87"/>
    <w:rsid w:val="002E0DB9"/>
    <w:rsid w:val="002E7290"/>
    <w:rsid w:val="002F107D"/>
    <w:rsid w:val="002F61A6"/>
    <w:rsid w:val="002F68BF"/>
    <w:rsid w:val="00300D3F"/>
    <w:rsid w:val="00304E7A"/>
    <w:rsid w:val="00306318"/>
    <w:rsid w:val="0030777E"/>
    <w:rsid w:val="00311E1E"/>
    <w:rsid w:val="00311F5F"/>
    <w:rsid w:val="00312B6A"/>
    <w:rsid w:val="00316438"/>
    <w:rsid w:val="00321F1B"/>
    <w:rsid w:val="00323F80"/>
    <w:rsid w:val="0032427F"/>
    <w:rsid w:val="00331B89"/>
    <w:rsid w:val="00332E60"/>
    <w:rsid w:val="0033365D"/>
    <w:rsid w:val="003345B8"/>
    <w:rsid w:val="00337AA1"/>
    <w:rsid w:val="00343D84"/>
    <w:rsid w:val="003467BB"/>
    <w:rsid w:val="003503A6"/>
    <w:rsid w:val="003575B0"/>
    <w:rsid w:val="003608A8"/>
    <w:rsid w:val="00362722"/>
    <w:rsid w:val="00363323"/>
    <w:rsid w:val="003708A5"/>
    <w:rsid w:val="0037120B"/>
    <w:rsid w:val="00371958"/>
    <w:rsid w:val="0037487F"/>
    <w:rsid w:val="003804F5"/>
    <w:rsid w:val="00381354"/>
    <w:rsid w:val="003864E0"/>
    <w:rsid w:val="00387A27"/>
    <w:rsid w:val="00387D7F"/>
    <w:rsid w:val="003906A4"/>
    <w:rsid w:val="00392307"/>
    <w:rsid w:val="003927DC"/>
    <w:rsid w:val="003A0A55"/>
    <w:rsid w:val="003A1870"/>
    <w:rsid w:val="003A3920"/>
    <w:rsid w:val="003A40B8"/>
    <w:rsid w:val="003A4813"/>
    <w:rsid w:val="003A563A"/>
    <w:rsid w:val="003A56AF"/>
    <w:rsid w:val="003A593A"/>
    <w:rsid w:val="003A714B"/>
    <w:rsid w:val="003A74E2"/>
    <w:rsid w:val="003B6D51"/>
    <w:rsid w:val="003C45A6"/>
    <w:rsid w:val="003C4779"/>
    <w:rsid w:val="003D2A7A"/>
    <w:rsid w:val="003D3941"/>
    <w:rsid w:val="003D3FAD"/>
    <w:rsid w:val="003D5349"/>
    <w:rsid w:val="003D7066"/>
    <w:rsid w:val="003D72B5"/>
    <w:rsid w:val="003E08E2"/>
    <w:rsid w:val="003E144A"/>
    <w:rsid w:val="003E6697"/>
    <w:rsid w:val="003E6944"/>
    <w:rsid w:val="003E6DAF"/>
    <w:rsid w:val="003E7205"/>
    <w:rsid w:val="003F3041"/>
    <w:rsid w:val="003F43CF"/>
    <w:rsid w:val="003F6DAD"/>
    <w:rsid w:val="00406109"/>
    <w:rsid w:val="00407AF7"/>
    <w:rsid w:val="00410321"/>
    <w:rsid w:val="004126C6"/>
    <w:rsid w:val="00413EF7"/>
    <w:rsid w:val="004208EB"/>
    <w:rsid w:val="00421E32"/>
    <w:rsid w:val="00424912"/>
    <w:rsid w:val="00425183"/>
    <w:rsid w:val="0042558D"/>
    <w:rsid w:val="00432142"/>
    <w:rsid w:val="004337E5"/>
    <w:rsid w:val="0043695A"/>
    <w:rsid w:val="00437A86"/>
    <w:rsid w:val="00446187"/>
    <w:rsid w:val="004471EF"/>
    <w:rsid w:val="0045020D"/>
    <w:rsid w:val="00450CE7"/>
    <w:rsid w:val="00452BAD"/>
    <w:rsid w:val="00453057"/>
    <w:rsid w:val="0045360A"/>
    <w:rsid w:val="00454664"/>
    <w:rsid w:val="004707C4"/>
    <w:rsid w:val="00471532"/>
    <w:rsid w:val="0047660F"/>
    <w:rsid w:val="0048552F"/>
    <w:rsid w:val="004856A5"/>
    <w:rsid w:val="00486BEC"/>
    <w:rsid w:val="0049066C"/>
    <w:rsid w:val="004934DA"/>
    <w:rsid w:val="00495B7F"/>
    <w:rsid w:val="00496898"/>
    <w:rsid w:val="004A0D58"/>
    <w:rsid w:val="004A0ED9"/>
    <w:rsid w:val="004A1B7D"/>
    <w:rsid w:val="004A4E9D"/>
    <w:rsid w:val="004B0DE5"/>
    <w:rsid w:val="004B31FF"/>
    <w:rsid w:val="004B3BE5"/>
    <w:rsid w:val="004B5ED1"/>
    <w:rsid w:val="004B739F"/>
    <w:rsid w:val="004C2D75"/>
    <w:rsid w:val="004C31AD"/>
    <w:rsid w:val="004C4CC1"/>
    <w:rsid w:val="004C5AF6"/>
    <w:rsid w:val="004C647E"/>
    <w:rsid w:val="004C71B3"/>
    <w:rsid w:val="004D0766"/>
    <w:rsid w:val="004D2811"/>
    <w:rsid w:val="004D2D63"/>
    <w:rsid w:val="004D325D"/>
    <w:rsid w:val="004D3A87"/>
    <w:rsid w:val="004D51F9"/>
    <w:rsid w:val="004E043A"/>
    <w:rsid w:val="004E2ED3"/>
    <w:rsid w:val="004E5150"/>
    <w:rsid w:val="004F38A9"/>
    <w:rsid w:val="004F61F3"/>
    <w:rsid w:val="004F6983"/>
    <w:rsid w:val="00502418"/>
    <w:rsid w:val="005029F1"/>
    <w:rsid w:val="005032BC"/>
    <w:rsid w:val="00510FC2"/>
    <w:rsid w:val="005122E8"/>
    <w:rsid w:val="0051562F"/>
    <w:rsid w:val="00520388"/>
    <w:rsid w:val="00521912"/>
    <w:rsid w:val="005264F2"/>
    <w:rsid w:val="00536D96"/>
    <w:rsid w:val="00540A2A"/>
    <w:rsid w:val="00542A1A"/>
    <w:rsid w:val="0054319D"/>
    <w:rsid w:val="00544641"/>
    <w:rsid w:val="005463DC"/>
    <w:rsid w:val="00546ABA"/>
    <w:rsid w:val="00552C29"/>
    <w:rsid w:val="00553FC2"/>
    <w:rsid w:val="00555166"/>
    <w:rsid w:val="00555F3E"/>
    <w:rsid w:val="00556805"/>
    <w:rsid w:val="00560DCE"/>
    <w:rsid w:val="00564CF2"/>
    <w:rsid w:val="0056606D"/>
    <w:rsid w:val="00567206"/>
    <w:rsid w:val="0056721A"/>
    <w:rsid w:val="00567BE2"/>
    <w:rsid w:val="0057010E"/>
    <w:rsid w:val="005755CB"/>
    <w:rsid w:val="00575E67"/>
    <w:rsid w:val="00576848"/>
    <w:rsid w:val="005768DC"/>
    <w:rsid w:val="00577EE0"/>
    <w:rsid w:val="005807BD"/>
    <w:rsid w:val="005814FF"/>
    <w:rsid w:val="00585B54"/>
    <w:rsid w:val="005876AC"/>
    <w:rsid w:val="005926D2"/>
    <w:rsid w:val="00594FA5"/>
    <w:rsid w:val="005A06BC"/>
    <w:rsid w:val="005A2952"/>
    <w:rsid w:val="005A3FCA"/>
    <w:rsid w:val="005A60F4"/>
    <w:rsid w:val="005B15D7"/>
    <w:rsid w:val="005B5574"/>
    <w:rsid w:val="005B603B"/>
    <w:rsid w:val="005C1B21"/>
    <w:rsid w:val="005C3DF2"/>
    <w:rsid w:val="005D0235"/>
    <w:rsid w:val="005D05F2"/>
    <w:rsid w:val="005D2B90"/>
    <w:rsid w:val="005E3C65"/>
    <w:rsid w:val="005E5C19"/>
    <w:rsid w:val="005F0584"/>
    <w:rsid w:val="005F14FD"/>
    <w:rsid w:val="005F5428"/>
    <w:rsid w:val="005F5828"/>
    <w:rsid w:val="005F633E"/>
    <w:rsid w:val="00600769"/>
    <w:rsid w:val="0060267E"/>
    <w:rsid w:val="006061B3"/>
    <w:rsid w:val="006115CB"/>
    <w:rsid w:val="00613F7B"/>
    <w:rsid w:val="00614D12"/>
    <w:rsid w:val="00615B2D"/>
    <w:rsid w:val="00615DFB"/>
    <w:rsid w:val="00617B7F"/>
    <w:rsid w:val="00620B72"/>
    <w:rsid w:val="00622C80"/>
    <w:rsid w:val="00625A47"/>
    <w:rsid w:val="00626BA3"/>
    <w:rsid w:val="0063048F"/>
    <w:rsid w:val="00630DA0"/>
    <w:rsid w:val="00632D5B"/>
    <w:rsid w:val="0063305E"/>
    <w:rsid w:val="006334FA"/>
    <w:rsid w:val="006366E7"/>
    <w:rsid w:val="00637B8B"/>
    <w:rsid w:val="00642D7B"/>
    <w:rsid w:val="00650CAA"/>
    <w:rsid w:val="00653F8D"/>
    <w:rsid w:val="00655824"/>
    <w:rsid w:val="00660FE2"/>
    <w:rsid w:val="00661BF9"/>
    <w:rsid w:val="006647AD"/>
    <w:rsid w:val="00673F17"/>
    <w:rsid w:val="00674283"/>
    <w:rsid w:val="006747B9"/>
    <w:rsid w:val="006748BC"/>
    <w:rsid w:val="00683895"/>
    <w:rsid w:val="00685C94"/>
    <w:rsid w:val="006872FE"/>
    <w:rsid w:val="00694C99"/>
    <w:rsid w:val="00697DF4"/>
    <w:rsid w:val="006A4602"/>
    <w:rsid w:val="006A6728"/>
    <w:rsid w:val="006B1F05"/>
    <w:rsid w:val="006C0A0E"/>
    <w:rsid w:val="006C3007"/>
    <w:rsid w:val="006C54A8"/>
    <w:rsid w:val="006C5C7E"/>
    <w:rsid w:val="006D65C0"/>
    <w:rsid w:val="006E03BB"/>
    <w:rsid w:val="006E0592"/>
    <w:rsid w:val="006E0ED8"/>
    <w:rsid w:val="006E2CA4"/>
    <w:rsid w:val="006E46BC"/>
    <w:rsid w:val="006E4CA4"/>
    <w:rsid w:val="006E58E9"/>
    <w:rsid w:val="006F139F"/>
    <w:rsid w:val="006F2CD0"/>
    <w:rsid w:val="0070009C"/>
    <w:rsid w:val="007010A7"/>
    <w:rsid w:val="00703243"/>
    <w:rsid w:val="007035E1"/>
    <w:rsid w:val="00703A29"/>
    <w:rsid w:val="0070480D"/>
    <w:rsid w:val="00704C00"/>
    <w:rsid w:val="00704F07"/>
    <w:rsid w:val="007052D5"/>
    <w:rsid w:val="00705A32"/>
    <w:rsid w:val="007065AA"/>
    <w:rsid w:val="00706D01"/>
    <w:rsid w:val="007113A6"/>
    <w:rsid w:val="00713A49"/>
    <w:rsid w:val="00716984"/>
    <w:rsid w:val="00716E0A"/>
    <w:rsid w:val="0072458E"/>
    <w:rsid w:val="007253F7"/>
    <w:rsid w:val="00725CF7"/>
    <w:rsid w:val="00732527"/>
    <w:rsid w:val="00742C24"/>
    <w:rsid w:val="00743507"/>
    <w:rsid w:val="00747688"/>
    <w:rsid w:val="00752B5C"/>
    <w:rsid w:val="007536E6"/>
    <w:rsid w:val="00754B9E"/>
    <w:rsid w:val="0076046E"/>
    <w:rsid w:val="007613E3"/>
    <w:rsid w:val="007642FE"/>
    <w:rsid w:val="00767211"/>
    <w:rsid w:val="00772A30"/>
    <w:rsid w:val="007736E6"/>
    <w:rsid w:val="00773CD5"/>
    <w:rsid w:val="00780DC5"/>
    <w:rsid w:val="00783F12"/>
    <w:rsid w:val="00785213"/>
    <w:rsid w:val="00787B54"/>
    <w:rsid w:val="00787D84"/>
    <w:rsid w:val="0079460A"/>
    <w:rsid w:val="00794D7D"/>
    <w:rsid w:val="00797279"/>
    <w:rsid w:val="007A0403"/>
    <w:rsid w:val="007A12C6"/>
    <w:rsid w:val="007A6E02"/>
    <w:rsid w:val="007B2D01"/>
    <w:rsid w:val="007B42BB"/>
    <w:rsid w:val="007B4A00"/>
    <w:rsid w:val="007C237A"/>
    <w:rsid w:val="007C2D48"/>
    <w:rsid w:val="007C3E22"/>
    <w:rsid w:val="007C43A3"/>
    <w:rsid w:val="007C6ECC"/>
    <w:rsid w:val="007D045B"/>
    <w:rsid w:val="007D04F8"/>
    <w:rsid w:val="007D1F4A"/>
    <w:rsid w:val="007D1FB1"/>
    <w:rsid w:val="007D6B81"/>
    <w:rsid w:val="007E0069"/>
    <w:rsid w:val="007E320E"/>
    <w:rsid w:val="007E33F6"/>
    <w:rsid w:val="007E46D9"/>
    <w:rsid w:val="007E6003"/>
    <w:rsid w:val="007E7B49"/>
    <w:rsid w:val="007F3050"/>
    <w:rsid w:val="007F4A18"/>
    <w:rsid w:val="007F7871"/>
    <w:rsid w:val="008000F6"/>
    <w:rsid w:val="00800107"/>
    <w:rsid w:val="0080609E"/>
    <w:rsid w:val="008111BD"/>
    <w:rsid w:val="008118EB"/>
    <w:rsid w:val="00811C40"/>
    <w:rsid w:val="00813B8D"/>
    <w:rsid w:val="008167DE"/>
    <w:rsid w:val="00817E2F"/>
    <w:rsid w:val="00821B7A"/>
    <w:rsid w:val="008233C8"/>
    <w:rsid w:val="00823B92"/>
    <w:rsid w:val="0083246F"/>
    <w:rsid w:val="0083292C"/>
    <w:rsid w:val="00836DAC"/>
    <w:rsid w:val="00837165"/>
    <w:rsid w:val="008426AF"/>
    <w:rsid w:val="00843BC1"/>
    <w:rsid w:val="00844A1A"/>
    <w:rsid w:val="00845286"/>
    <w:rsid w:val="008457F8"/>
    <w:rsid w:val="008463F9"/>
    <w:rsid w:val="008501B6"/>
    <w:rsid w:val="0085123C"/>
    <w:rsid w:val="00851C4D"/>
    <w:rsid w:val="008530DF"/>
    <w:rsid w:val="008548E7"/>
    <w:rsid w:val="00860287"/>
    <w:rsid w:val="008627A1"/>
    <w:rsid w:val="008638A3"/>
    <w:rsid w:val="00865AAD"/>
    <w:rsid w:val="00870D9A"/>
    <w:rsid w:val="008718E0"/>
    <w:rsid w:val="008746D9"/>
    <w:rsid w:val="00874DE3"/>
    <w:rsid w:val="00875B68"/>
    <w:rsid w:val="008808D1"/>
    <w:rsid w:val="00882DF8"/>
    <w:rsid w:val="00890E60"/>
    <w:rsid w:val="00890FD9"/>
    <w:rsid w:val="00891D59"/>
    <w:rsid w:val="00892B08"/>
    <w:rsid w:val="008935FA"/>
    <w:rsid w:val="008955D3"/>
    <w:rsid w:val="008A1A05"/>
    <w:rsid w:val="008A446D"/>
    <w:rsid w:val="008A49BF"/>
    <w:rsid w:val="008A5A1B"/>
    <w:rsid w:val="008A6576"/>
    <w:rsid w:val="008B1EB0"/>
    <w:rsid w:val="008B3C38"/>
    <w:rsid w:val="008B40A0"/>
    <w:rsid w:val="008B671A"/>
    <w:rsid w:val="008C0969"/>
    <w:rsid w:val="008C0D14"/>
    <w:rsid w:val="008C3E04"/>
    <w:rsid w:val="008D18FE"/>
    <w:rsid w:val="008D251A"/>
    <w:rsid w:val="008D37CB"/>
    <w:rsid w:val="008D5E14"/>
    <w:rsid w:val="008E0731"/>
    <w:rsid w:val="008E1268"/>
    <w:rsid w:val="008E2E49"/>
    <w:rsid w:val="008E4551"/>
    <w:rsid w:val="008E52C1"/>
    <w:rsid w:val="008E7408"/>
    <w:rsid w:val="008F01A6"/>
    <w:rsid w:val="008F0FD4"/>
    <w:rsid w:val="008F3C9E"/>
    <w:rsid w:val="00901A13"/>
    <w:rsid w:val="00902717"/>
    <w:rsid w:val="00902F5D"/>
    <w:rsid w:val="009053A1"/>
    <w:rsid w:val="009066C5"/>
    <w:rsid w:val="00907238"/>
    <w:rsid w:val="00907E4E"/>
    <w:rsid w:val="00910C9A"/>
    <w:rsid w:val="00913015"/>
    <w:rsid w:val="00922874"/>
    <w:rsid w:val="00923D6A"/>
    <w:rsid w:val="0092465C"/>
    <w:rsid w:val="00925C01"/>
    <w:rsid w:val="009269D7"/>
    <w:rsid w:val="0093273D"/>
    <w:rsid w:val="009336F1"/>
    <w:rsid w:val="00935D50"/>
    <w:rsid w:val="0094122E"/>
    <w:rsid w:val="009413FA"/>
    <w:rsid w:val="0094354D"/>
    <w:rsid w:val="00943771"/>
    <w:rsid w:val="00943C06"/>
    <w:rsid w:val="009446A4"/>
    <w:rsid w:val="00945816"/>
    <w:rsid w:val="009504CA"/>
    <w:rsid w:val="00950ACC"/>
    <w:rsid w:val="009528CC"/>
    <w:rsid w:val="0095296C"/>
    <w:rsid w:val="00953C41"/>
    <w:rsid w:val="00954A6F"/>
    <w:rsid w:val="00954B04"/>
    <w:rsid w:val="00960398"/>
    <w:rsid w:val="0096316D"/>
    <w:rsid w:val="0096765A"/>
    <w:rsid w:val="0097140B"/>
    <w:rsid w:val="00974A46"/>
    <w:rsid w:val="00977D17"/>
    <w:rsid w:val="00981E29"/>
    <w:rsid w:val="009845F2"/>
    <w:rsid w:val="009853B0"/>
    <w:rsid w:val="00993A85"/>
    <w:rsid w:val="009940E2"/>
    <w:rsid w:val="009956F8"/>
    <w:rsid w:val="00995FAC"/>
    <w:rsid w:val="0099763C"/>
    <w:rsid w:val="009A2C69"/>
    <w:rsid w:val="009A3608"/>
    <w:rsid w:val="009A4812"/>
    <w:rsid w:val="009A4AA7"/>
    <w:rsid w:val="009A67A8"/>
    <w:rsid w:val="009A6E51"/>
    <w:rsid w:val="009A7E4B"/>
    <w:rsid w:val="009B22D7"/>
    <w:rsid w:val="009B5482"/>
    <w:rsid w:val="009B7AEF"/>
    <w:rsid w:val="009C022F"/>
    <w:rsid w:val="009C327E"/>
    <w:rsid w:val="009C4637"/>
    <w:rsid w:val="009C6D11"/>
    <w:rsid w:val="009D086D"/>
    <w:rsid w:val="009D0ACC"/>
    <w:rsid w:val="009D0B04"/>
    <w:rsid w:val="009D1E2C"/>
    <w:rsid w:val="009D2EB2"/>
    <w:rsid w:val="009D6188"/>
    <w:rsid w:val="009E08DB"/>
    <w:rsid w:val="009E2CA1"/>
    <w:rsid w:val="009E447A"/>
    <w:rsid w:val="009F45B6"/>
    <w:rsid w:val="00A004EC"/>
    <w:rsid w:val="00A0373D"/>
    <w:rsid w:val="00A054B8"/>
    <w:rsid w:val="00A16AB4"/>
    <w:rsid w:val="00A17A73"/>
    <w:rsid w:val="00A23BB1"/>
    <w:rsid w:val="00A24863"/>
    <w:rsid w:val="00A25C11"/>
    <w:rsid w:val="00A3343A"/>
    <w:rsid w:val="00A33B58"/>
    <w:rsid w:val="00A34191"/>
    <w:rsid w:val="00A424E9"/>
    <w:rsid w:val="00A42F3D"/>
    <w:rsid w:val="00A4469E"/>
    <w:rsid w:val="00A46D12"/>
    <w:rsid w:val="00A47C85"/>
    <w:rsid w:val="00A5418F"/>
    <w:rsid w:val="00A575A5"/>
    <w:rsid w:val="00A6008D"/>
    <w:rsid w:val="00A62F43"/>
    <w:rsid w:val="00A64615"/>
    <w:rsid w:val="00A728D4"/>
    <w:rsid w:val="00A76239"/>
    <w:rsid w:val="00A76C37"/>
    <w:rsid w:val="00A80DEC"/>
    <w:rsid w:val="00A84716"/>
    <w:rsid w:val="00A84782"/>
    <w:rsid w:val="00A9408E"/>
    <w:rsid w:val="00A970A3"/>
    <w:rsid w:val="00A97D04"/>
    <w:rsid w:val="00AA7A57"/>
    <w:rsid w:val="00AB35C2"/>
    <w:rsid w:val="00AB52D6"/>
    <w:rsid w:val="00AB6B85"/>
    <w:rsid w:val="00AB738A"/>
    <w:rsid w:val="00AC6E67"/>
    <w:rsid w:val="00AC70D4"/>
    <w:rsid w:val="00AD0C57"/>
    <w:rsid w:val="00AD51AC"/>
    <w:rsid w:val="00AD7139"/>
    <w:rsid w:val="00AD78DB"/>
    <w:rsid w:val="00AF0375"/>
    <w:rsid w:val="00AF1511"/>
    <w:rsid w:val="00B00BB2"/>
    <w:rsid w:val="00B060F2"/>
    <w:rsid w:val="00B116CC"/>
    <w:rsid w:val="00B1247A"/>
    <w:rsid w:val="00B15945"/>
    <w:rsid w:val="00B1691E"/>
    <w:rsid w:val="00B222E7"/>
    <w:rsid w:val="00B3322F"/>
    <w:rsid w:val="00B36B8D"/>
    <w:rsid w:val="00B37155"/>
    <w:rsid w:val="00B37C52"/>
    <w:rsid w:val="00B42C1C"/>
    <w:rsid w:val="00B42DF3"/>
    <w:rsid w:val="00B44276"/>
    <w:rsid w:val="00B44C21"/>
    <w:rsid w:val="00B45396"/>
    <w:rsid w:val="00B52424"/>
    <w:rsid w:val="00B533E2"/>
    <w:rsid w:val="00B53592"/>
    <w:rsid w:val="00B53840"/>
    <w:rsid w:val="00B605AB"/>
    <w:rsid w:val="00B60F2E"/>
    <w:rsid w:val="00B6100E"/>
    <w:rsid w:val="00B64497"/>
    <w:rsid w:val="00B64866"/>
    <w:rsid w:val="00B65CB3"/>
    <w:rsid w:val="00B70F36"/>
    <w:rsid w:val="00B72A52"/>
    <w:rsid w:val="00B72DF3"/>
    <w:rsid w:val="00B733C1"/>
    <w:rsid w:val="00B760A4"/>
    <w:rsid w:val="00B77A87"/>
    <w:rsid w:val="00B8192E"/>
    <w:rsid w:val="00B82290"/>
    <w:rsid w:val="00B84F39"/>
    <w:rsid w:val="00B87F7B"/>
    <w:rsid w:val="00B9611D"/>
    <w:rsid w:val="00B96C59"/>
    <w:rsid w:val="00BA048B"/>
    <w:rsid w:val="00BA23D4"/>
    <w:rsid w:val="00BA27F7"/>
    <w:rsid w:val="00BA5B9A"/>
    <w:rsid w:val="00BB05FF"/>
    <w:rsid w:val="00BB0C73"/>
    <w:rsid w:val="00BB366C"/>
    <w:rsid w:val="00BB3C46"/>
    <w:rsid w:val="00BC217C"/>
    <w:rsid w:val="00BC4567"/>
    <w:rsid w:val="00BC6048"/>
    <w:rsid w:val="00BD0397"/>
    <w:rsid w:val="00BE3E23"/>
    <w:rsid w:val="00BE4AC2"/>
    <w:rsid w:val="00BE4B5B"/>
    <w:rsid w:val="00BE5080"/>
    <w:rsid w:val="00BE6D52"/>
    <w:rsid w:val="00BE79AB"/>
    <w:rsid w:val="00BF12D2"/>
    <w:rsid w:val="00BF1F23"/>
    <w:rsid w:val="00BF444B"/>
    <w:rsid w:val="00BF4CA9"/>
    <w:rsid w:val="00BF5789"/>
    <w:rsid w:val="00BF72CC"/>
    <w:rsid w:val="00BF76EC"/>
    <w:rsid w:val="00BF7EC5"/>
    <w:rsid w:val="00C00449"/>
    <w:rsid w:val="00C060C1"/>
    <w:rsid w:val="00C10360"/>
    <w:rsid w:val="00C14CA3"/>
    <w:rsid w:val="00C22163"/>
    <w:rsid w:val="00C23341"/>
    <w:rsid w:val="00C243DA"/>
    <w:rsid w:val="00C252E6"/>
    <w:rsid w:val="00C30202"/>
    <w:rsid w:val="00C30DE4"/>
    <w:rsid w:val="00C348DD"/>
    <w:rsid w:val="00C427E2"/>
    <w:rsid w:val="00C442A2"/>
    <w:rsid w:val="00C447C5"/>
    <w:rsid w:val="00C46194"/>
    <w:rsid w:val="00C47BC4"/>
    <w:rsid w:val="00C47F06"/>
    <w:rsid w:val="00C50C63"/>
    <w:rsid w:val="00C52768"/>
    <w:rsid w:val="00C65605"/>
    <w:rsid w:val="00C673FA"/>
    <w:rsid w:val="00C67CD8"/>
    <w:rsid w:val="00C7012C"/>
    <w:rsid w:val="00C70DE8"/>
    <w:rsid w:val="00C71294"/>
    <w:rsid w:val="00C83BE7"/>
    <w:rsid w:val="00C8655E"/>
    <w:rsid w:val="00C922C8"/>
    <w:rsid w:val="00C924B4"/>
    <w:rsid w:val="00C92651"/>
    <w:rsid w:val="00C94C3A"/>
    <w:rsid w:val="00C96B59"/>
    <w:rsid w:val="00C97B60"/>
    <w:rsid w:val="00CB2FF5"/>
    <w:rsid w:val="00CB70A9"/>
    <w:rsid w:val="00CC1BE4"/>
    <w:rsid w:val="00CC3AF8"/>
    <w:rsid w:val="00CC6BE0"/>
    <w:rsid w:val="00CC6EE5"/>
    <w:rsid w:val="00CD22E7"/>
    <w:rsid w:val="00CD33F4"/>
    <w:rsid w:val="00CD5954"/>
    <w:rsid w:val="00CD7046"/>
    <w:rsid w:val="00CE1293"/>
    <w:rsid w:val="00CE3BB4"/>
    <w:rsid w:val="00CE3EF0"/>
    <w:rsid w:val="00CE4880"/>
    <w:rsid w:val="00CE50DD"/>
    <w:rsid w:val="00CE518C"/>
    <w:rsid w:val="00CE5808"/>
    <w:rsid w:val="00CE6271"/>
    <w:rsid w:val="00CF1E45"/>
    <w:rsid w:val="00CF2CAB"/>
    <w:rsid w:val="00CF3170"/>
    <w:rsid w:val="00CF38D3"/>
    <w:rsid w:val="00CF3FFF"/>
    <w:rsid w:val="00CF5D28"/>
    <w:rsid w:val="00D01012"/>
    <w:rsid w:val="00D02EF9"/>
    <w:rsid w:val="00D031BC"/>
    <w:rsid w:val="00D11859"/>
    <w:rsid w:val="00D139F4"/>
    <w:rsid w:val="00D163A5"/>
    <w:rsid w:val="00D17756"/>
    <w:rsid w:val="00D21698"/>
    <w:rsid w:val="00D22988"/>
    <w:rsid w:val="00D2576D"/>
    <w:rsid w:val="00D263C7"/>
    <w:rsid w:val="00D269F5"/>
    <w:rsid w:val="00D314DB"/>
    <w:rsid w:val="00D318F7"/>
    <w:rsid w:val="00D333D4"/>
    <w:rsid w:val="00D419DB"/>
    <w:rsid w:val="00D4395C"/>
    <w:rsid w:val="00D45872"/>
    <w:rsid w:val="00D502F8"/>
    <w:rsid w:val="00D5278F"/>
    <w:rsid w:val="00D5294E"/>
    <w:rsid w:val="00D5566D"/>
    <w:rsid w:val="00D561D5"/>
    <w:rsid w:val="00D5725A"/>
    <w:rsid w:val="00D626A3"/>
    <w:rsid w:val="00D65F21"/>
    <w:rsid w:val="00D67B54"/>
    <w:rsid w:val="00D71F63"/>
    <w:rsid w:val="00D73CFB"/>
    <w:rsid w:val="00D75AF8"/>
    <w:rsid w:val="00D81D95"/>
    <w:rsid w:val="00D85311"/>
    <w:rsid w:val="00D905D0"/>
    <w:rsid w:val="00D90D69"/>
    <w:rsid w:val="00D916B4"/>
    <w:rsid w:val="00D93128"/>
    <w:rsid w:val="00D9555D"/>
    <w:rsid w:val="00DA0E6E"/>
    <w:rsid w:val="00DA176B"/>
    <w:rsid w:val="00DA2A4D"/>
    <w:rsid w:val="00DA2CD7"/>
    <w:rsid w:val="00DA4286"/>
    <w:rsid w:val="00DA4BB2"/>
    <w:rsid w:val="00DA4BC3"/>
    <w:rsid w:val="00DB0364"/>
    <w:rsid w:val="00DB0409"/>
    <w:rsid w:val="00DB0B80"/>
    <w:rsid w:val="00DB1B51"/>
    <w:rsid w:val="00DB4488"/>
    <w:rsid w:val="00DB4C1E"/>
    <w:rsid w:val="00DB6AA8"/>
    <w:rsid w:val="00DC1149"/>
    <w:rsid w:val="00DC5B7A"/>
    <w:rsid w:val="00DE31C0"/>
    <w:rsid w:val="00DE4CFA"/>
    <w:rsid w:val="00DF0CFE"/>
    <w:rsid w:val="00DF1670"/>
    <w:rsid w:val="00DF1FBB"/>
    <w:rsid w:val="00DF4003"/>
    <w:rsid w:val="00DF52D4"/>
    <w:rsid w:val="00DF6128"/>
    <w:rsid w:val="00DF7B5A"/>
    <w:rsid w:val="00E002CA"/>
    <w:rsid w:val="00E01CCA"/>
    <w:rsid w:val="00E021B1"/>
    <w:rsid w:val="00E07544"/>
    <w:rsid w:val="00E07A00"/>
    <w:rsid w:val="00E13ECB"/>
    <w:rsid w:val="00E168B2"/>
    <w:rsid w:val="00E17536"/>
    <w:rsid w:val="00E22533"/>
    <w:rsid w:val="00E231E8"/>
    <w:rsid w:val="00E26444"/>
    <w:rsid w:val="00E26F2E"/>
    <w:rsid w:val="00E2744E"/>
    <w:rsid w:val="00E32E50"/>
    <w:rsid w:val="00E3379A"/>
    <w:rsid w:val="00E3383F"/>
    <w:rsid w:val="00E37BB0"/>
    <w:rsid w:val="00E435AC"/>
    <w:rsid w:val="00E45622"/>
    <w:rsid w:val="00E53F1A"/>
    <w:rsid w:val="00E54C4D"/>
    <w:rsid w:val="00E601D2"/>
    <w:rsid w:val="00E623CA"/>
    <w:rsid w:val="00E652E5"/>
    <w:rsid w:val="00E70736"/>
    <w:rsid w:val="00E749E9"/>
    <w:rsid w:val="00E75F75"/>
    <w:rsid w:val="00E75FC1"/>
    <w:rsid w:val="00E81CAE"/>
    <w:rsid w:val="00E8343E"/>
    <w:rsid w:val="00E9190A"/>
    <w:rsid w:val="00E93625"/>
    <w:rsid w:val="00E93C4A"/>
    <w:rsid w:val="00E97217"/>
    <w:rsid w:val="00EA40B6"/>
    <w:rsid w:val="00EB021F"/>
    <w:rsid w:val="00EB0D8D"/>
    <w:rsid w:val="00EB3591"/>
    <w:rsid w:val="00EB4F77"/>
    <w:rsid w:val="00EB523B"/>
    <w:rsid w:val="00EB58A7"/>
    <w:rsid w:val="00EB5961"/>
    <w:rsid w:val="00EC0FA7"/>
    <w:rsid w:val="00EC335D"/>
    <w:rsid w:val="00EC36E4"/>
    <w:rsid w:val="00EC3769"/>
    <w:rsid w:val="00EC4C0E"/>
    <w:rsid w:val="00EC54F0"/>
    <w:rsid w:val="00ED013A"/>
    <w:rsid w:val="00ED2FB0"/>
    <w:rsid w:val="00ED3B44"/>
    <w:rsid w:val="00ED3F02"/>
    <w:rsid w:val="00ED4756"/>
    <w:rsid w:val="00EE2B92"/>
    <w:rsid w:val="00EE2F11"/>
    <w:rsid w:val="00EE643A"/>
    <w:rsid w:val="00EF39AA"/>
    <w:rsid w:val="00F05918"/>
    <w:rsid w:val="00F124F7"/>
    <w:rsid w:val="00F14F62"/>
    <w:rsid w:val="00F15397"/>
    <w:rsid w:val="00F16350"/>
    <w:rsid w:val="00F23544"/>
    <w:rsid w:val="00F259AC"/>
    <w:rsid w:val="00F31D04"/>
    <w:rsid w:val="00F33917"/>
    <w:rsid w:val="00F35C9C"/>
    <w:rsid w:val="00F42690"/>
    <w:rsid w:val="00F443F1"/>
    <w:rsid w:val="00F451A3"/>
    <w:rsid w:val="00F45798"/>
    <w:rsid w:val="00F46375"/>
    <w:rsid w:val="00F4678A"/>
    <w:rsid w:val="00F50248"/>
    <w:rsid w:val="00F626B6"/>
    <w:rsid w:val="00F6358E"/>
    <w:rsid w:val="00F6480F"/>
    <w:rsid w:val="00F66649"/>
    <w:rsid w:val="00F67075"/>
    <w:rsid w:val="00F7364D"/>
    <w:rsid w:val="00F76C37"/>
    <w:rsid w:val="00F77A29"/>
    <w:rsid w:val="00F82CAB"/>
    <w:rsid w:val="00F841D8"/>
    <w:rsid w:val="00F90610"/>
    <w:rsid w:val="00F968C7"/>
    <w:rsid w:val="00F96E92"/>
    <w:rsid w:val="00FA2C5C"/>
    <w:rsid w:val="00FA2D7F"/>
    <w:rsid w:val="00FB1C3F"/>
    <w:rsid w:val="00FC00D8"/>
    <w:rsid w:val="00FC463D"/>
    <w:rsid w:val="00FC4A9D"/>
    <w:rsid w:val="00FC6B5B"/>
    <w:rsid w:val="00FD1DE9"/>
    <w:rsid w:val="00FD34B5"/>
    <w:rsid w:val="00FD3A2C"/>
    <w:rsid w:val="00FD65D2"/>
    <w:rsid w:val="00FD6EFF"/>
    <w:rsid w:val="00FE0845"/>
    <w:rsid w:val="00FE7376"/>
    <w:rsid w:val="00FF1549"/>
    <w:rsid w:val="00FF7B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AD4B4A"/>
  <w15:chartTrackingRefBased/>
  <w15:docId w15:val="{36057C4A-9675-4FCA-8C13-2C177D49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9AB"/>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E2E49"/>
    <w:rPr>
      <w:rFonts w:cs="Times New Roman"/>
      <w:color w:val="0000FF"/>
      <w:u w:val="single"/>
    </w:rPr>
  </w:style>
  <w:style w:type="paragraph" w:styleId="NormalWeb">
    <w:name w:val="Normal (Web)"/>
    <w:basedOn w:val="Normal"/>
    <w:uiPriority w:val="99"/>
    <w:rsid w:val="008E2E49"/>
    <w:pPr>
      <w:spacing w:before="100" w:beforeAutospacing="1" w:after="100" w:afterAutospacing="1"/>
    </w:pPr>
  </w:style>
  <w:style w:type="paragraph" w:customStyle="1" w:styleId="naisf">
    <w:name w:val="naisf"/>
    <w:basedOn w:val="Normal"/>
    <w:rsid w:val="008E2E49"/>
    <w:pPr>
      <w:spacing w:before="75" w:after="75"/>
      <w:ind w:firstLine="375"/>
      <w:jc w:val="both"/>
    </w:pPr>
  </w:style>
  <w:style w:type="paragraph" w:customStyle="1" w:styleId="naisnod">
    <w:name w:val="naisnod"/>
    <w:basedOn w:val="Normal"/>
    <w:uiPriority w:val="99"/>
    <w:rsid w:val="008E2E49"/>
    <w:pPr>
      <w:spacing w:before="150" w:after="150"/>
      <w:jc w:val="center"/>
    </w:pPr>
    <w:rPr>
      <w:b/>
      <w:bCs/>
    </w:rPr>
  </w:style>
  <w:style w:type="paragraph" w:customStyle="1" w:styleId="naislab">
    <w:name w:val="naislab"/>
    <w:basedOn w:val="Normal"/>
    <w:uiPriority w:val="99"/>
    <w:rsid w:val="008E2E49"/>
    <w:pPr>
      <w:spacing w:before="75" w:after="75"/>
      <w:jc w:val="right"/>
    </w:pPr>
  </w:style>
  <w:style w:type="paragraph" w:customStyle="1" w:styleId="naiskr">
    <w:name w:val="naiskr"/>
    <w:basedOn w:val="Normal"/>
    <w:rsid w:val="008E2E49"/>
    <w:pPr>
      <w:spacing w:before="75" w:after="75"/>
    </w:pPr>
  </w:style>
  <w:style w:type="paragraph" w:customStyle="1" w:styleId="naisc">
    <w:name w:val="naisc"/>
    <w:basedOn w:val="Normal"/>
    <w:rsid w:val="008E2E49"/>
    <w:pPr>
      <w:spacing w:before="75" w:after="75"/>
      <w:jc w:val="center"/>
    </w:pPr>
  </w:style>
  <w:style w:type="paragraph" w:styleId="Header">
    <w:name w:val="header"/>
    <w:basedOn w:val="Normal"/>
    <w:link w:val="HeaderChar"/>
    <w:uiPriority w:val="99"/>
    <w:rsid w:val="008E2E49"/>
    <w:pPr>
      <w:tabs>
        <w:tab w:val="center" w:pos="4153"/>
        <w:tab w:val="right" w:pos="8306"/>
      </w:tabs>
    </w:pPr>
  </w:style>
  <w:style w:type="character" w:customStyle="1" w:styleId="HeaderChar">
    <w:name w:val="Header Char"/>
    <w:basedOn w:val="DefaultParagraphFont"/>
    <w:link w:val="Header"/>
    <w:uiPriority w:val="99"/>
    <w:rsid w:val="008E2E49"/>
    <w:rPr>
      <w:rFonts w:eastAsia="Times New Roman" w:cs="Times New Roman"/>
      <w:szCs w:val="24"/>
      <w:lang w:eastAsia="lv-LV"/>
    </w:rPr>
  </w:style>
  <w:style w:type="character" w:styleId="PageNumber">
    <w:name w:val="page number"/>
    <w:uiPriority w:val="99"/>
    <w:rsid w:val="008E2E49"/>
    <w:rPr>
      <w:rFonts w:cs="Times New Roman"/>
    </w:rPr>
  </w:style>
  <w:style w:type="paragraph" w:styleId="Footer">
    <w:name w:val="footer"/>
    <w:basedOn w:val="Normal"/>
    <w:link w:val="FooterChar"/>
    <w:uiPriority w:val="99"/>
    <w:rsid w:val="008E2E49"/>
    <w:pPr>
      <w:tabs>
        <w:tab w:val="center" w:pos="4153"/>
        <w:tab w:val="right" w:pos="8306"/>
      </w:tabs>
    </w:pPr>
  </w:style>
  <w:style w:type="character" w:customStyle="1" w:styleId="FooterChar">
    <w:name w:val="Footer Char"/>
    <w:basedOn w:val="DefaultParagraphFont"/>
    <w:link w:val="Footer"/>
    <w:uiPriority w:val="99"/>
    <w:rsid w:val="008E2E49"/>
    <w:rPr>
      <w:rFonts w:eastAsia="Times New Roman" w:cs="Times New Roman"/>
      <w:szCs w:val="24"/>
      <w:lang w:eastAsia="lv-LV"/>
    </w:rPr>
  </w:style>
  <w:style w:type="paragraph" w:styleId="ListParagraph">
    <w:name w:val="List Paragraph"/>
    <w:basedOn w:val="Normal"/>
    <w:uiPriority w:val="34"/>
    <w:qFormat/>
    <w:rsid w:val="008E2E49"/>
    <w:pPr>
      <w:ind w:left="720"/>
      <w:contextualSpacing/>
    </w:pPr>
  </w:style>
  <w:style w:type="character" w:styleId="CommentReference">
    <w:name w:val="annotation reference"/>
    <w:basedOn w:val="DefaultParagraphFont"/>
    <w:uiPriority w:val="99"/>
    <w:semiHidden/>
    <w:unhideWhenUsed/>
    <w:rsid w:val="00144AE3"/>
    <w:rPr>
      <w:sz w:val="16"/>
      <w:szCs w:val="16"/>
    </w:rPr>
  </w:style>
  <w:style w:type="paragraph" w:styleId="CommentText">
    <w:name w:val="annotation text"/>
    <w:basedOn w:val="Normal"/>
    <w:link w:val="CommentTextChar"/>
    <w:uiPriority w:val="99"/>
    <w:semiHidden/>
    <w:unhideWhenUsed/>
    <w:rsid w:val="00144AE3"/>
    <w:rPr>
      <w:sz w:val="20"/>
      <w:szCs w:val="20"/>
    </w:rPr>
  </w:style>
  <w:style w:type="character" w:customStyle="1" w:styleId="CommentTextChar">
    <w:name w:val="Comment Text Char"/>
    <w:basedOn w:val="DefaultParagraphFont"/>
    <w:link w:val="CommentText"/>
    <w:uiPriority w:val="99"/>
    <w:semiHidden/>
    <w:rsid w:val="00144AE3"/>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44AE3"/>
    <w:rPr>
      <w:b/>
      <w:bCs/>
    </w:rPr>
  </w:style>
  <w:style w:type="character" w:customStyle="1" w:styleId="CommentSubjectChar">
    <w:name w:val="Comment Subject Char"/>
    <w:basedOn w:val="CommentTextChar"/>
    <w:link w:val="CommentSubject"/>
    <w:uiPriority w:val="99"/>
    <w:semiHidden/>
    <w:rsid w:val="00144AE3"/>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14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AE3"/>
    <w:rPr>
      <w:rFonts w:ascii="Segoe UI" w:eastAsia="Times New Roman" w:hAnsi="Segoe UI" w:cs="Segoe UI"/>
      <w:sz w:val="18"/>
      <w:szCs w:val="18"/>
      <w:lang w:eastAsia="lv-LV"/>
    </w:rPr>
  </w:style>
  <w:style w:type="paragraph" w:customStyle="1" w:styleId="Nobeigums">
    <w:name w:val="Nobeigums"/>
    <w:basedOn w:val="Normal"/>
    <w:rsid w:val="00B84F39"/>
    <w:rPr>
      <w:szCs w:val="20"/>
      <w:lang w:val="en-US" w:eastAsia="en-US"/>
    </w:rPr>
  </w:style>
  <w:style w:type="paragraph" w:styleId="NoSpacing">
    <w:name w:val="No Spacing"/>
    <w:uiPriority w:val="1"/>
    <w:qFormat/>
    <w:rsid w:val="00070434"/>
    <w:pPr>
      <w:suppressAutoHyphens/>
      <w:autoSpaceDN w:val="0"/>
      <w:textAlignment w:val="baseline"/>
    </w:pPr>
    <w:rPr>
      <w:rFonts w:ascii="Calibri" w:eastAsia="Calibri" w:hAnsi="Calibri" w:cs="Times New Roman"/>
      <w:sz w:val="22"/>
    </w:rPr>
  </w:style>
  <w:style w:type="paragraph" w:customStyle="1" w:styleId="tv213">
    <w:name w:val="tv213"/>
    <w:basedOn w:val="Normal"/>
    <w:rsid w:val="00BE6D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222">
      <w:bodyDiv w:val="1"/>
      <w:marLeft w:val="0"/>
      <w:marRight w:val="0"/>
      <w:marTop w:val="0"/>
      <w:marBottom w:val="0"/>
      <w:divBdr>
        <w:top w:val="none" w:sz="0" w:space="0" w:color="auto"/>
        <w:left w:val="none" w:sz="0" w:space="0" w:color="auto"/>
        <w:bottom w:val="none" w:sz="0" w:space="0" w:color="auto"/>
        <w:right w:val="none" w:sz="0" w:space="0" w:color="auto"/>
      </w:divBdr>
    </w:div>
    <w:div w:id="93402221">
      <w:bodyDiv w:val="1"/>
      <w:marLeft w:val="0"/>
      <w:marRight w:val="0"/>
      <w:marTop w:val="0"/>
      <w:marBottom w:val="0"/>
      <w:divBdr>
        <w:top w:val="none" w:sz="0" w:space="0" w:color="auto"/>
        <w:left w:val="none" w:sz="0" w:space="0" w:color="auto"/>
        <w:bottom w:val="none" w:sz="0" w:space="0" w:color="auto"/>
        <w:right w:val="none" w:sz="0" w:space="0" w:color="auto"/>
      </w:divBdr>
    </w:div>
    <w:div w:id="512692169">
      <w:bodyDiv w:val="1"/>
      <w:marLeft w:val="0"/>
      <w:marRight w:val="0"/>
      <w:marTop w:val="0"/>
      <w:marBottom w:val="0"/>
      <w:divBdr>
        <w:top w:val="none" w:sz="0" w:space="0" w:color="auto"/>
        <w:left w:val="none" w:sz="0" w:space="0" w:color="auto"/>
        <w:bottom w:val="none" w:sz="0" w:space="0" w:color="auto"/>
        <w:right w:val="none" w:sz="0" w:space="0" w:color="auto"/>
      </w:divBdr>
    </w:div>
    <w:div w:id="534847544">
      <w:bodyDiv w:val="1"/>
      <w:marLeft w:val="0"/>
      <w:marRight w:val="0"/>
      <w:marTop w:val="0"/>
      <w:marBottom w:val="0"/>
      <w:divBdr>
        <w:top w:val="none" w:sz="0" w:space="0" w:color="auto"/>
        <w:left w:val="none" w:sz="0" w:space="0" w:color="auto"/>
        <w:bottom w:val="none" w:sz="0" w:space="0" w:color="auto"/>
        <w:right w:val="none" w:sz="0" w:space="0" w:color="auto"/>
      </w:divBdr>
    </w:div>
    <w:div w:id="682515015">
      <w:bodyDiv w:val="1"/>
      <w:marLeft w:val="0"/>
      <w:marRight w:val="0"/>
      <w:marTop w:val="0"/>
      <w:marBottom w:val="0"/>
      <w:divBdr>
        <w:top w:val="none" w:sz="0" w:space="0" w:color="auto"/>
        <w:left w:val="none" w:sz="0" w:space="0" w:color="auto"/>
        <w:bottom w:val="none" w:sz="0" w:space="0" w:color="auto"/>
        <w:right w:val="none" w:sz="0" w:space="0" w:color="auto"/>
      </w:divBdr>
    </w:div>
    <w:div w:id="743793222">
      <w:bodyDiv w:val="1"/>
      <w:marLeft w:val="0"/>
      <w:marRight w:val="0"/>
      <w:marTop w:val="0"/>
      <w:marBottom w:val="0"/>
      <w:divBdr>
        <w:top w:val="none" w:sz="0" w:space="0" w:color="auto"/>
        <w:left w:val="none" w:sz="0" w:space="0" w:color="auto"/>
        <w:bottom w:val="none" w:sz="0" w:space="0" w:color="auto"/>
        <w:right w:val="none" w:sz="0" w:space="0" w:color="auto"/>
      </w:divBdr>
    </w:div>
    <w:div w:id="814760335">
      <w:bodyDiv w:val="1"/>
      <w:marLeft w:val="0"/>
      <w:marRight w:val="0"/>
      <w:marTop w:val="0"/>
      <w:marBottom w:val="0"/>
      <w:divBdr>
        <w:top w:val="none" w:sz="0" w:space="0" w:color="auto"/>
        <w:left w:val="none" w:sz="0" w:space="0" w:color="auto"/>
        <w:bottom w:val="none" w:sz="0" w:space="0" w:color="auto"/>
        <w:right w:val="none" w:sz="0" w:space="0" w:color="auto"/>
      </w:divBdr>
    </w:div>
    <w:div w:id="836923182">
      <w:bodyDiv w:val="1"/>
      <w:marLeft w:val="0"/>
      <w:marRight w:val="0"/>
      <w:marTop w:val="0"/>
      <w:marBottom w:val="0"/>
      <w:divBdr>
        <w:top w:val="none" w:sz="0" w:space="0" w:color="auto"/>
        <w:left w:val="none" w:sz="0" w:space="0" w:color="auto"/>
        <w:bottom w:val="none" w:sz="0" w:space="0" w:color="auto"/>
        <w:right w:val="none" w:sz="0" w:space="0" w:color="auto"/>
      </w:divBdr>
    </w:div>
    <w:div w:id="1468861474">
      <w:bodyDiv w:val="1"/>
      <w:marLeft w:val="0"/>
      <w:marRight w:val="0"/>
      <w:marTop w:val="0"/>
      <w:marBottom w:val="0"/>
      <w:divBdr>
        <w:top w:val="none" w:sz="0" w:space="0" w:color="auto"/>
        <w:left w:val="none" w:sz="0" w:space="0" w:color="auto"/>
        <w:bottom w:val="none" w:sz="0" w:space="0" w:color="auto"/>
        <w:right w:val="none" w:sz="0" w:space="0" w:color="auto"/>
      </w:divBdr>
    </w:div>
    <w:div w:id="152150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8987-noziedzigi-iegutu-lidzeklu-legalizacijas-un-terorisma-finansesanas-noversan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78987-noziedzigi-iegutu-lidzeklu-legalizacijas-un-terorisma-finansesanas-noversan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6E3AD-2C56-450A-BA5E-6869E738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7049</Words>
  <Characters>4018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noteikumju projektam "Noteikumi par sliekšņa deklarācijas iesniegšanas kārtību un saturu"</vt:lpstr>
    </vt:vector>
  </TitlesOfParts>
  <Company>Finanšu ministrija</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noteikumju projektam "Noteikumi par sliekšņa deklarācijas iesniegšanas kārtību un saturu"</dc:title>
  <dc:subject>Izziņa</dc:subject>
  <dc:creator>Dina Buse</dc:creator>
  <cp:keywords/>
  <dc:description>67095535, dina.buse@fm.gov.lv</dc:description>
  <cp:lastModifiedBy>Baiba Zvirgzdiņa</cp:lastModifiedBy>
  <cp:revision>12</cp:revision>
  <dcterms:created xsi:type="dcterms:W3CDTF">2019-08-20T11:42:00Z</dcterms:created>
  <dcterms:modified xsi:type="dcterms:W3CDTF">2019-08-22T06:51:00Z</dcterms:modified>
</cp:coreProperties>
</file>