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18" w:rsidRDefault="00DD5918" w:rsidP="00DB0AC9">
      <w:pPr>
        <w:shd w:val="clear" w:color="auto" w:fill="FFFFFF"/>
        <w:ind w:firstLine="300"/>
        <w:jc w:val="center"/>
        <w:rPr>
          <w:b/>
        </w:rPr>
      </w:pPr>
      <w:r>
        <w:rPr>
          <w:b/>
        </w:rPr>
        <w:t>Ministru kabineta n</w:t>
      </w:r>
      <w:r w:rsidRPr="000D66A6">
        <w:rPr>
          <w:b/>
        </w:rPr>
        <w:t xml:space="preserve">oteikumu projekta </w:t>
      </w:r>
      <w:bookmarkStart w:id="0" w:name="OLE_LINK5"/>
      <w:bookmarkStart w:id="1" w:name="OLE_LINK6"/>
      <w:bookmarkStart w:id="2" w:name="OLE_LINK3"/>
      <w:r w:rsidRPr="000D66A6">
        <w:rPr>
          <w:b/>
        </w:rPr>
        <w:t>“Grozījumi Ministru kabineta 2010.gada 14.septembra noteikumos Nr.850 “Kriminālprocesa informācijas sistēmas noteikumi”</w:t>
      </w:r>
      <w:bookmarkEnd w:id="0"/>
      <w:bookmarkEnd w:id="1"/>
      <w:bookmarkEnd w:id="2"/>
      <w:r>
        <w:rPr>
          <w:b/>
        </w:rPr>
        <w:t xml:space="preserve">” </w:t>
      </w:r>
      <w:r w:rsidRPr="000D66A6">
        <w:rPr>
          <w:b/>
        </w:rPr>
        <w:t>sākotnējās ietekmes novērtējuma ziņojums (anotācija)</w:t>
      </w:r>
    </w:p>
    <w:p w:rsidR="00DB0AC9" w:rsidRPr="00796233"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369"/>
        <w:gridCol w:w="5918"/>
      </w:tblGrid>
      <w:tr w:rsidR="00DB0AC9" w:rsidRPr="00796233" w:rsidTr="00BD02FB">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796233" w:rsidRDefault="00DB0AC9" w:rsidP="00BD02FB">
            <w:pPr>
              <w:jc w:val="center"/>
              <w:rPr>
                <w:b/>
                <w:iCs/>
              </w:rPr>
            </w:pPr>
            <w:r w:rsidRPr="00796233">
              <w:rPr>
                <w:b/>
                <w:iCs/>
              </w:rPr>
              <w:t xml:space="preserve">Tiesību akta projekta anotācijas kopsavilkums </w:t>
            </w:r>
          </w:p>
        </w:tc>
      </w:tr>
      <w:tr w:rsidR="00DB0AC9" w:rsidRPr="00796233" w:rsidTr="00BD02FB">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E4481F" w:rsidRDefault="00DB0AC9" w:rsidP="00DB0AC9">
            <w:pPr>
              <w:rPr>
                <w:iCs/>
                <w:sz w:val="24"/>
                <w:szCs w:val="24"/>
              </w:rPr>
            </w:pPr>
            <w:r w:rsidRPr="00E4481F">
              <w:rPr>
                <w:iCs/>
                <w:sz w:val="24"/>
                <w:szCs w:val="24"/>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5918" w:rsidRPr="00B369BF" w:rsidRDefault="00DD5918" w:rsidP="00BC6715">
            <w:pPr>
              <w:tabs>
                <w:tab w:val="num" w:pos="720"/>
              </w:tabs>
              <w:ind w:left="34"/>
              <w:jc w:val="both"/>
              <w:rPr>
                <w:sz w:val="24"/>
                <w:szCs w:val="24"/>
              </w:rPr>
            </w:pPr>
            <w:r w:rsidRPr="000D66A6">
              <w:rPr>
                <w:sz w:val="24"/>
                <w:szCs w:val="24"/>
              </w:rPr>
              <w:t>Ministru kabineta noteikumu projekt</w:t>
            </w:r>
            <w:r>
              <w:rPr>
                <w:sz w:val="24"/>
                <w:szCs w:val="24"/>
              </w:rPr>
              <w:t>a</w:t>
            </w:r>
            <w:r w:rsidRPr="000D66A6">
              <w:rPr>
                <w:sz w:val="24"/>
                <w:szCs w:val="24"/>
              </w:rPr>
              <w:t xml:space="preserve"> “Grozījumi Ministru kabineta 2010.gada 14.septembra noteikumos Nr.850 “Kriminālprocesa informācijas sistēmas noteikumi””</w:t>
            </w:r>
            <w:r w:rsidRPr="000D66A6">
              <w:rPr>
                <w:b/>
                <w:sz w:val="24"/>
                <w:szCs w:val="24"/>
              </w:rPr>
              <w:t xml:space="preserve"> </w:t>
            </w:r>
            <w:r w:rsidRPr="000D66A6">
              <w:rPr>
                <w:sz w:val="24"/>
                <w:szCs w:val="24"/>
              </w:rPr>
              <w:t xml:space="preserve">(turpmāk – projekts) </w:t>
            </w:r>
            <w:r>
              <w:rPr>
                <w:iCs/>
                <w:sz w:val="24"/>
                <w:szCs w:val="24"/>
                <w:lang w:val="sv-SE"/>
              </w:rPr>
              <w:t>m</w:t>
            </w:r>
            <w:r w:rsidRPr="0065407F">
              <w:rPr>
                <w:iCs/>
                <w:sz w:val="24"/>
                <w:szCs w:val="24"/>
                <w:lang w:val="sv-SE"/>
              </w:rPr>
              <w:t xml:space="preserve">ērķis ir pilnveidot </w:t>
            </w:r>
            <w:r>
              <w:rPr>
                <w:iCs/>
                <w:sz w:val="24"/>
                <w:szCs w:val="24"/>
                <w:lang w:val="sv-SE"/>
              </w:rPr>
              <w:t xml:space="preserve">Kriminālprocesa informācijas sistēmas </w:t>
            </w:r>
            <w:r w:rsidRPr="00A3259A">
              <w:rPr>
                <w:rStyle w:val="spelle"/>
                <w:sz w:val="24"/>
                <w:szCs w:val="24"/>
              </w:rPr>
              <w:t>(turpmāk</w:t>
            </w:r>
            <w:r>
              <w:rPr>
                <w:rStyle w:val="spelle"/>
                <w:sz w:val="24"/>
                <w:szCs w:val="24"/>
              </w:rPr>
              <w:t xml:space="preserve"> – </w:t>
            </w:r>
            <w:r w:rsidRPr="00A3259A">
              <w:rPr>
                <w:rStyle w:val="spelle"/>
                <w:sz w:val="24"/>
                <w:szCs w:val="24"/>
              </w:rPr>
              <w:t>KRASS)</w:t>
            </w:r>
            <w:r>
              <w:rPr>
                <w:iCs/>
                <w:sz w:val="24"/>
                <w:szCs w:val="24"/>
                <w:lang w:val="sv-SE"/>
              </w:rPr>
              <w:t xml:space="preserve"> darbību regulējošo normatīvo aktu, lai nodrošinātu </w:t>
            </w:r>
            <w:r w:rsidRPr="00A3259A">
              <w:rPr>
                <w:sz w:val="24"/>
                <w:szCs w:val="24"/>
              </w:rPr>
              <w:t>Eiropas Parlamenta un Padomes 2014.gada 3</w:t>
            </w:r>
            <w:r>
              <w:rPr>
                <w:sz w:val="24"/>
                <w:szCs w:val="24"/>
              </w:rPr>
              <w:t>.</w:t>
            </w:r>
            <w:r w:rsidRPr="00A3259A">
              <w:rPr>
                <w:sz w:val="24"/>
                <w:szCs w:val="24"/>
              </w:rPr>
              <w:t xml:space="preserve">aprīļa direktīvas 2014/42/ES par nozieguma rīku un noziedzīgi iegūtu līdzekļu iesaldēšanu un konfiskāciju Eiropas Savienībā </w:t>
            </w:r>
            <w:r w:rsidRPr="00A3259A">
              <w:rPr>
                <w:rStyle w:val="spelle"/>
                <w:sz w:val="24"/>
                <w:szCs w:val="24"/>
              </w:rPr>
              <w:t>11.panta 1.punkta a) apakšpunkta izpildi</w:t>
            </w:r>
            <w:r>
              <w:rPr>
                <w:rStyle w:val="spelle"/>
                <w:sz w:val="24"/>
                <w:szCs w:val="24"/>
              </w:rPr>
              <w:t>, kā arī vairotu</w:t>
            </w:r>
            <w:r w:rsidRPr="00D63EEB">
              <w:rPr>
                <w:sz w:val="24"/>
                <w:szCs w:val="24"/>
              </w:rPr>
              <w:t xml:space="preserve"> procesa virzītāja izpratni par </w:t>
            </w:r>
            <w:r w:rsidRPr="00B369BF">
              <w:rPr>
                <w:rStyle w:val="spelle"/>
                <w:sz w:val="24"/>
                <w:szCs w:val="24"/>
              </w:rPr>
              <w:t>KRASS</w:t>
            </w:r>
            <w:r w:rsidRPr="00B369BF">
              <w:rPr>
                <w:sz w:val="24"/>
                <w:szCs w:val="24"/>
              </w:rPr>
              <w:t xml:space="preserve"> izmantošanu un tajā ievadāmās ziņas apjomu.</w:t>
            </w:r>
          </w:p>
          <w:p w:rsidR="005E5398" w:rsidRPr="00C7720A" w:rsidRDefault="00DD5918" w:rsidP="00C7720A">
            <w:pPr>
              <w:jc w:val="both"/>
            </w:pPr>
            <w:r>
              <w:rPr>
                <w:sz w:val="24"/>
                <w:szCs w:val="24"/>
              </w:rPr>
              <w:t>P</w:t>
            </w:r>
            <w:r w:rsidRPr="00F56282">
              <w:rPr>
                <w:sz w:val="24"/>
                <w:szCs w:val="24"/>
              </w:rPr>
              <w:t>rojekt</w:t>
            </w:r>
            <w:r>
              <w:rPr>
                <w:sz w:val="24"/>
                <w:szCs w:val="24"/>
              </w:rPr>
              <w:t>a 1.2., 1.3., 1.4.,1.7. un 1.8.apakšpunkts</w:t>
            </w:r>
            <w:r w:rsidRPr="00F56282">
              <w:rPr>
                <w:sz w:val="24"/>
                <w:szCs w:val="24"/>
              </w:rPr>
              <w:t xml:space="preserve"> stāsies spēkā nākamajā dienā pēc tā publicēšanas oficiālajā izdevumā “Latvijas Vēstnesis”. </w:t>
            </w:r>
            <w:r>
              <w:rPr>
                <w:sz w:val="24"/>
                <w:szCs w:val="24"/>
              </w:rPr>
              <w:t>Savukārt</w:t>
            </w:r>
            <w:r w:rsidRPr="00F56282">
              <w:rPr>
                <w:sz w:val="24"/>
                <w:szCs w:val="24"/>
              </w:rPr>
              <w:t xml:space="preserve"> projekta 1.1., 1.5. un 1.6.apakšpunkts stā</w:t>
            </w:r>
            <w:r>
              <w:rPr>
                <w:sz w:val="24"/>
                <w:szCs w:val="24"/>
              </w:rPr>
              <w:t>sies</w:t>
            </w:r>
            <w:r w:rsidRPr="00F56282">
              <w:rPr>
                <w:sz w:val="24"/>
                <w:szCs w:val="24"/>
              </w:rPr>
              <w:t xml:space="preserve"> spēkā 2023.gada 1.janvārī.</w:t>
            </w:r>
          </w:p>
        </w:tc>
      </w:tr>
    </w:tbl>
    <w:p w:rsidR="00DB0AC9" w:rsidRPr="00796233"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829"/>
        <w:gridCol w:w="5960"/>
      </w:tblGrid>
      <w:tr w:rsidR="00DB0AC9" w:rsidRPr="00796233" w:rsidTr="00BD02FB">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BD02FB">
            <w:pPr>
              <w:jc w:val="center"/>
              <w:rPr>
                <w:b/>
                <w:bCs/>
              </w:rPr>
            </w:pPr>
            <w:r w:rsidRPr="00796233">
              <w:rPr>
                <w:b/>
                <w:bCs/>
              </w:rPr>
              <w:t>I. Tiesību akta projekta izstrādes nepieciešamība</w:t>
            </w:r>
          </w:p>
        </w:tc>
      </w:tr>
      <w:tr w:rsidR="00DB0AC9" w:rsidRPr="00796233" w:rsidTr="00BD02FB">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E36DF7" w:rsidRDefault="00E36DF7" w:rsidP="00E36DF7">
            <w:pPr>
              <w:suppressAutoHyphens/>
              <w:jc w:val="both"/>
              <w:textAlignment w:val="baseline"/>
            </w:pPr>
            <w:r>
              <w:t>P</w:t>
            </w:r>
            <w:r w:rsidRPr="000D66A6">
              <w:t>rojekts izstrādāts, lai izpildītu</w:t>
            </w:r>
            <w:r>
              <w:t>:</w:t>
            </w:r>
            <w:r w:rsidRPr="000D66A6">
              <w:t xml:space="preserve"> </w:t>
            </w:r>
          </w:p>
          <w:p w:rsidR="00E36DF7" w:rsidRDefault="00E36DF7" w:rsidP="00E36DF7">
            <w:pPr>
              <w:pStyle w:val="ListParagraph"/>
              <w:numPr>
                <w:ilvl w:val="0"/>
                <w:numId w:val="7"/>
              </w:numPr>
              <w:suppressAutoHyphens/>
              <w:ind w:left="275" w:hanging="275"/>
              <w:jc w:val="both"/>
              <w:textAlignment w:val="baseline"/>
              <w:rPr>
                <w:rStyle w:val="spelle"/>
                <w:rFonts w:ascii="Times New Roman" w:hAnsi="Times New Roman" w:cs="Times New Roman"/>
                <w:sz w:val="24"/>
                <w:szCs w:val="24"/>
              </w:rPr>
            </w:pPr>
            <w:r w:rsidRPr="00A3259A">
              <w:rPr>
                <w:rFonts w:ascii="Times New Roman" w:hAnsi="Times New Roman" w:cs="Times New Roman"/>
                <w:bCs/>
                <w:kern w:val="32"/>
                <w:sz w:val="24"/>
                <w:szCs w:val="24"/>
                <w:lang w:eastAsia="x-none"/>
              </w:rPr>
              <w:t xml:space="preserve">Ministru Kabineta 2016.gada 9.augusta sēdes protokollēmuma </w:t>
            </w:r>
            <w:r w:rsidRPr="00A3259A">
              <w:rPr>
                <w:rFonts w:ascii="Times New Roman" w:hAnsi="Times New Roman" w:cs="Times New Roman"/>
                <w:sz w:val="24"/>
                <w:szCs w:val="24"/>
              </w:rPr>
              <w:t xml:space="preserve">Nr.39 21§ 5.punktā doto uzdevumu, kas paredz </w:t>
            </w:r>
            <w:r w:rsidRPr="00A3259A">
              <w:rPr>
                <w:rStyle w:val="spelle"/>
                <w:rFonts w:ascii="Times New Roman" w:hAnsi="Times New Roman" w:cs="Times New Roman"/>
                <w:sz w:val="24"/>
                <w:szCs w:val="24"/>
              </w:rPr>
              <w:t xml:space="preserve">pilnveidot </w:t>
            </w:r>
            <w:r>
              <w:rPr>
                <w:rStyle w:val="spelle"/>
                <w:rFonts w:ascii="Times New Roman" w:hAnsi="Times New Roman" w:cs="Times New Roman"/>
                <w:sz w:val="24"/>
                <w:szCs w:val="24"/>
              </w:rPr>
              <w:t>KRASS</w:t>
            </w:r>
            <w:r w:rsidRPr="00A3259A">
              <w:rPr>
                <w:rStyle w:val="spelle"/>
                <w:rFonts w:ascii="Times New Roman" w:hAnsi="Times New Roman" w:cs="Times New Roman"/>
                <w:sz w:val="24"/>
                <w:szCs w:val="24"/>
              </w:rPr>
              <w:t xml:space="preserve">, kā arī veikt nepieciešamos grozījumus KRASS darbību regulējošajā normatīvajā aktā, lai nodrošinātu </w:t>
            </w:r>
            <w:r w:rsidRPr="00A3259A">
              <w:rPr>
                <w:rFonts w:ascii="Times New Roman" w:hAnsi="Times New Roman" w:cs="Times New Roman"/>
                <w:sz w:val="24"/>
                <w:szCs w:val="24"/>
              </w:rPr>
              <w:t xml:space="preserve">Eiropas Parlamenta un Padomes 2014.gada 3.aprīļa direktīvas 2014/42/ES par nozieguma rīku un noziedzīgi iegūtu līdzekļu iesaldēšanu un konfiskāciju Eiropas Savienībā </w:t>
            </w:r>
            <w:r w:rsidRPr="00A3259A">
              <w:rPr>
                <w:rStyle w:val="spelle"/>
                <w:rFonts w:ascii="Times New Roman" w:hAnsi="Times New Roman" w:cs="Times New Roman"/>
                <w:sz w:val="24"/>
                <w:szCs w:val="24"/>
              </w:rPr>
              <w:t>11.panta 1.punkta a) apakšpunkta izpildi.</w:t>
            </w:r>
          </w:p>
          <w:p w:rsidR="00DB0AC9" w:rsidRPr="00E36DF7" w:rsidRDefault="00E36DF7" w:rsidP="00E36DF7">
            <w:pPr>
              <w:pStyle w:val="ListParagraph"/>
              <w:numPr>
                <w:ilvl w:val="0"/>
                <w:numId w:val="7"/>
              </w:numPr>
              <w:suppressAutoHyphens/>
              <w:ind w:left="275" w:hanging="275"/>
              <w:jc w:val="both"/>
              <w:textAlignment w:val="baseline"/>
              <w:rPr>
                <w:rFonts w:ascii="Times New Roman" w:hAnsi="Times New Roman" w:cs="Times New Roman"/>
                <w:sz w:val="24"/>
                <w:szCs w:val="24"/>
              </w:rPr>
            </w:pPr>
            <w:r>
              <w:rPr>
                <w:rFonts w:ascii="Times New Roman" w:hAnsi="Times New Roman" w:cs="Times New Roman"/>
                <w:sz w:val="24"/>
                <w:szCs w:val="24"/>
              </w:rPr>
              <w:t>Valsts kontroles lietderības revīzijas “Pirmstiesas izmeklēšanas efektivitāte Valsts policijā”, kas tika veikta pamatojoties uz  Otrās revīzijas departamenta 2016.gada 3.februāra revīzijas uzdevumu Nr.2.4.1-6/2016, ziņojuma 13.1.ieteikumu.</w:t>
            </w:r>
          </w:p>
        </w:tc>
      </w:tr>
      <w:tr w:rsidR="00DB0AC9" w:rsidRPr="00796233"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E36DF7" w:rsidRPr="00717AB8" w:rsidRDefault="00E36DF7" w:rsidP="00E36DF7">
            <w:pPr>
              <w:jc w:val="both"/>
              <w:rPr>
                <w:rStyle w:val="spelle"/>
              </w:rPr>
            </w:pPr>
            <w:r w:rsidRPr="000D66A6">
              <w:t xml:space="preserve">2014.gada 3.aprīlī stājās spēkā Eiropas Parlamenta un Padomes direktīva 2014/42/ES par nozieguma rīku un noziedzīgi iegūtu līdzekļu iesaldēšanu un konfiskāciju Eiropas Savienībā. Direktīvas </w:t>
            </w:r>
            <w:r w:rsidRPr="000D66A6">
              <w:rPr>
                <w:rStyle w:val="spelle"/>
              </w:rPr>
              <w:t>11</w:t>
            </w:r>
            <w:r>
              <w:rPr>
                <w:rStyle w:val="spelle"/>
              </w:rPr>
              <w:t xml:space="preserve">.panta 1.punkta a) </w:t>
            </w:r>
            <w:r w:rsidRPr="00717AB8">
              <w:rPr>
                <w:rStyle w:val="spelle"/>
              </w:rPr>
              <w:t>apakšpunktā noteikts, ka dalībvalstīs regulāri vāc un glabā attiecīgo iestāžu visaptverošus statistiskos datus. Apkopotos statistiskos datus katru gadu nosūta Komisijai un tajos ietver izpildīto iesaldēšanas rīkojumu skaitu.</w:t>
            </w:r>
          </w:p>
          <w:p w:rsidR="00E36DF7" w:rsidRPr="000D66A6" w:rsidRDefault="00E36DF7" w:rsidP="00E36DF7">
            <w:pPr>
              <w:jc w:val="both"/>
              <w:rPr>
                <w:bCs/>
              </w:rPr>
            </w:pPr>
            <w:r w:rsidRPr="000D66A6">
              <w:rPr>
                <w:rStyle w:val="spelle"/>
              </w:rPr>
              <w:t>2014.gada 16.septembrī Ministru kabineta sēdē (protokols Nr.49, 64</w:t>
            </w:r>
            <w:r w:rsidRPr="000D66A6">
              <w:t>§)</w:t>
            </w:r>
            <w:r w:rsidRPr="000D66A6">
              <w:rPr>
                <w:rStyle w:val="spelle"/>
              </w:rPr>
              <w:t xml:space="preserve"> tika apstiprināts </w:t>
            </w:r>
            <w:r>
              <w:rPr>
                <w:bCs/>
              </w:rPr>
              <w:t>i</w:t>
            </w:r>
            <w:r w:rsidRPr="000D66A6">
              <w:rPr>
                <w:bCs/>
              </w:rPr>
              <w:t xml:space="preserve">nformatīvais ziņojums </w:t>
            </w:r>
            <w:r>
              <w:rPr>
                <w:bCs/>
              </w:rPr>
              <w:t>“</w:t>
            </w:r>
            <w:r w:rsidRPr="000D66A6">
              <w:rPr>
                <w:bCs/>
              </w:rPr>
              <w:t xml:space="preserve">Par priekšlikumiem noziedzīgi iegūtu līdzekļu legalizācijas un </w:t>
            </w:r>
            <w:r w:rsidRPr="000D66A6">
              <w:rPr>
                <w:bCs/>
              </w:rPr>
              <w:lastRenderedPageBreak/>
              <w:t>terorisma finansēšanas risku novērtēšanas institucionālajam modelim</w:t>
            </w:r>
            <w:r>
              <w:rPr>
                <w:bCs/>
              </w:rPr>
              <w:t>” (turpmāk – informatīvais ziņojums)</w:t>
            </w:r>
            <w:r w:rsidRPr="000D66A6">
              <w:rPr>
                <w:bCs/>
              </w:rPr>
              <w:t>.</w:t>
            </w:r>
          </w:p>
          <w:p w:rsidR="00E36DF7" w:rsidRPr="000D66A6" w:rsidRDefault="00E36DF7" w:rsidP="00E36DF7">
            <w:pPr>
              <w:jc w:val="both"/>
              <w:rPr>
                <w:bCs/>
              </w:rPr>
            </w:pPr>
            <w:r w:rsidRPr="000D66A6">
              <w:rPr>
                <w:bCs/>
              </w:rPr>
              <w:t xml:space="preserve">Informatīvais ziņojums paredzēja, ka Finanšu ministrija un Tieslietu ministrija atbilstoši savām kompetences jomām ir </w:t>
            </w:r>
            <w:r w:rsidRPr="000D66A6">
              <w:rPr>
                <w:iCs/>
              </w:rPr>
              <w:t>noziedzīgi iegūtu līdzekļu legalizācijas un terorisma finansēšanas</w:t>
            </w:r>
            <w:r w:rsidRPr="000D66A6">
              <w:t xml:space="preserve"> risku novēršanas</w:t>
            </w:r>
            <w:r w:rsidRPr="000D66A6">
              <w:rPr>
                <w:bCs/>
              </w:rPr>
              <w:t xml:space="preserve"> politikas veidojošās institūcijas.</w:t>
            </w:r>
          </w:p>
          <w:p w:rsidR="00E36DF7" w:rsidRPr="000D66A6" w:rsidRDefault="00E36DF7" w:rsidP="00E36DF7">
            <w:pPr>
              <w:jc w:val="both"/>
            </w:pPr>
            <w:r w:rsidRPr="000D66A6">
              <w:rPr>
                <w:bCs/>
              </w:rPr>
              <w:t xml:space="preserve">Savukārt </w:t>
            </w:r>
            <w:r w:rsidRPr="000D66A6">
              <w:t xml:space="preserve">par atbildīgo institūciju </w:t>
            </w:r>
            <w:r w:rsidRPr="000D66A6">
              <w:rPr>
                <w:iCs/>
              </w:rPr>
              <w:t>noziedzīgi iegūtu līdzekļu legalizācijas un terorisma finansēšanas</w:t>
            </w:r>
            <w:r w:rsidRPr="000D66A6">
              <w:t xml:space="preserve"> risku novērtēšanai (turpmāk</w:t>
            </w:r>
            <w:r>
              <w:t xml:space="preserve"> – </w:t>
            </w:r>
            <w:r w:rsidRPr="000D66A6">
              <w:t>NILLTF</w:t>
            </w:r>
            <w:r w:rsidRPr="00264016">
              <w:t>)</w:t>
            </w:r>
            <w:r w:rsidRPr="000D66A6">
              <w:t xml:space="preserve"> tika noteikts </w:t>
            </w:r>
            <w:r w:rsidR="00181413">
              <w:t>Finanšu izlūkošanas</w:t>
            </w:r>
            <w:r w:rsidRPr="000D66A6">
              <w:t xml:space="preserve"> dienests.</w:t>
            </w:r>
          </w:p>
          <w:p w:rsidR="00E36DF7" w:rsidRPr="000D66A6" w:rsidRDefault="00E36DF7" w:rsidP="00E36DF7">
            <w:pPr>
              <w:pStyle w:val="NormalWeb"/>
              <w:spacing w:before="0" w:beforeAutospacing="0" w:after="0" w:afterAutospacing="0"/>
              <w:jc w:val="both"/>
            </w:pPr>
            <w:r w:rsidRPr="000D66A6">
              <w:t xml:space="preserve">Lai nodrošinātu </w:t>
            </w:r>
            <w:r w:rsidR="00181413">
              <w:t>Finanšu izlūkošanas</w:t>
            </w:r>
            <w:r w:rsidRPr="000D66A6">
              <w:t xml:space="preserve"> dienestu ar NILLTF risku izvērtēšanai nepieciešamo informāciju un statistiskajiem datiem, informatīvā ziņojuma 2.tabulā ir noteiktas par statistisko datu uzskaiti un ziņošanu atbildīgās institūcijas, kā arī aptuvenais NILLTF risku novērtēšanai nepieciešamo statistisko datu saturs.</w:t>
            </w:r>
          </w:p>
          <w:p w:rsidR="00E36DF7" w:rsidRPr="000D66A6" w:rsidRDefault="00E36DF7" w:rsidP="00E36DF7">
            <w:pPr>
              <w:pStyle w:val="NormalWeb"/>
              <w:spacing w:before="0" w:beforeAutospacing="0" w:after="0" w:afterAutospacing="0"/>
              <w:jc w:val="both"/>
            </w:pPr>
            <w:r w:rsidRPr="000D66A6">
              <w:t>Saskaņā ar informatīvā ziņojuma 2.tabulā noteikto, Iekšlietu ministrijas Informācijas centram (turpmāk – Informācijas centrs) nepieciešams nodrošināt sekojošo statistisko datu sagatavošanu:</w:t>
            </w:r>
          </w:p>
          <w:p w:rsidR="00E36DF7" w:rsidRPr="000D66A6" w:rsidRDefault="00E36DF7" w:rsidP="00E36DF7">
            <w:pPr>
              <w:tabs>
                <w:tab w:val="num" w:pos="175"/>
              </w:tabs>
              <w:spacing w:before="120"/>
              <w:ind w:left="34" w:hanging="34"/>
              <w:jc w:val="both"/>
            </w:pPr>
            <w:r w:rsidRPr="000D66A6">
              <w:t>- Kriminālprocesu kvantitatīvie rādītāji: informācija par uzsāktajiem kriminālprocesiem un veiktajām darbībām (aizdomās turētie, apsūdzētie; predikatīvie noziegumi, uzliktie aresti, arestu skaits, vērtība utt.);</w:t>
            </w:r>
          </w:p>
          <w:p w:rsidR="00E36DF7" w:rsidRPr="000D66A6" w:rsidRDefault="00E36DF7" w:rsidP="00E36DF7">
            <w:pPr>
              <w:tabs>
                <w:tab w:val="num" w:pos="720"/>
              </w:tabs>
              <w:ind w:left="34" w:hanging="34"/>
              <w:jc w:val="both"/>
            </w:pPr>
            <w:r w:rsidRPr="000D66A6">
              <w:t>-  Reģistrēto un konstatēto zaudējumu apmēru (kas uzrādīts iesniegumos, konstatēts izmeklēšanā utt.);</w:t>
            </w:r>
          </w:p>
          <w:p w:rsidR="00E36DF7" w:rsidRDefault="00E36DF7" w:rsidP="00E36DF7">
            <w:pPr>
              <w:tabs>
                <w:tab w:val="num" w:pos="720"/>
              </w:tabs>
              <w:ind w:left="34" w:hanging="34"/>
              <w:jc w:val="both"/>
            </w:pPr>
            <w:r w:rsidRPr="000D66A6">
              <w:t xml:space="preserve">- Kriminālprocesu kvalitatīvie rādītāji: kriminālprocesu izmeklēšanas dinamika, tajā skaitā visas darbības kriminālprocesā līdz tā nosūtīšanai uz tiesu dažādos griezumos (gada laikā uzsākto kriminālprocesu skaits un šī gada ietvaros kriminālvajāšanā nodoto lietu skaits, lietu skaits, kas gada laikā nodots  kriminālvajāšanai, uzliktie aresti izmeklēšanas posmā, kriminālvajāšanas posmā, biežākās pantu kombinācijas, procesu skaits, kuros izdalīti materiāli par noziedzīgi iegūtu mantu un līdzekļi konfiscēti cietušā vai </w:t>
            </w:r>
            <w:r>
              <w:t>v</w:t>
            </w:r>
            <w:r w:rsidRPr="000D66A6">
              <w:t>alsts labā, izbeigtie procesi, iemesli procesu izbeigšanai u</w:t>
            </w:r>
            <w:r>
              <w:t>.</w:t>
            </w:r>
            <w:r w:rsidRPr="000D66A6">
              <w:t>t</w:t>
            </w:r>
            <w:r>
              <w:t>ml</w:t>
            </w:r>
            <w:r w:rsidRPr="000D66A6">
              <w:t>.).</w:t>
            </w:r>
          </w:p>
          <w:p w:rsidR="00E36DF7" w:rsidRDefault="00E36DF7" w:rsidP="00E36DF7">
            <w:pPr>
              <w:tabs>
                <w:tab w:val="num" w:pos="720"/>
              </w:tabs>
              <w:ind w:left="34" w:hanging="34"/>
              <w:jc w:val="both"/>
            </w:pPr>
            <w:r w:rsidRPr="000D66A6">
              <w:t>Informācija par valstī uzsāktajiem kriminālprocesiem, reģistrētajiem noziedzīgajiem nodarījumiem, procesa virzītājiem, personām, kurām ir tiesības uz aizstāvību un cietušajām personām, tiek uzkrāta KRASS. KRASS darbību regulē Ministru kabineta 2010.gada 14.septembra noteikumi Nr.850 “Kriminālprocesa informācijas sistēmas noteikumi”</w:t>
            </w:r>
            <w:r>
              <w:t xml:space="preserve"> (turpmāk – noteikumi).</w:t>
            </w:r>
          </w:p>
          <w:p w:rsidR="00E36DF7" w:rsidRPr="000D66A6" w:rsidRDefault="00E36DF7" w:rsidP="00E36DF7">
            <w:pPr>
              <w:tabs>
                <w:tab w:val="num" w:pos="720"/>
              </w:tabs>
              <w:ind w:left="34" w:hanging="34"/>
              <w:jc w:val="both"/>
            </w:pPr>
            <w:r>
              <w:t xml:space="preserve">Noteikumi </w:t>
            </w:r>
            <w:r w:rsidRPr="000D66A6">
              <w:t>nosaka</w:t>
            </w:r>
            <w:r>
              <w:t xml:space="preserve"> KRASS</w:t>
            </w:r>
            <w:r w:rsidRPr="000D66A6">
              <w:t xml:space="preserve"> iekļaujamo ziņu apjomu, ziņu iekļaušanas, izmantošanas, dzēšanas kārtību, ziņu glabāšanas termiņus, kā arī institūcijas, kurām piešķir piekļuvi KRASS. </w:t>
            </w:r>
            <w:r w:rsidR="00181413">
              <w:t>Finanšu izlūkošanas</w:t>
            </w:r>
            <w:r w:rsidRPr="000D66A6">
              <w:t xml:space="preserve"> dienestam piekļuve KRASS uz doto brīdi </w:t>
            </w:r>
            <w:r>
              <w:t xml:space="preserve">noteikumos </w:t>
            </w:r>
            <w:r w:rsidRPr="000D66A6">
              <w:t>nav paredzēta.</w:t>
            </w:r>
          </w:p>
          <w:p w:rsidR="00E36DF7" w:rsidRDefault="00567196" w:rsidP="00E36DF7">
            <w:pPr>
              <w:tabs>
                <w:tab w:val="num" w:pos="720"/>
              </w:tabs>
              <w:ind w:left="34" w:hanging="34"/>
              <w:jc w:val="both"/>
            </w:pPr>
            <w:r>
              <w:lastRenderedPageBreak/>
              <w:t>Finanšu izlūkošanas</w:t>
            </w:r>
            <w:r w:rsidR="00E36DF7" w:rsidRPr="000D66A6">
              <w:t xml:space="preserve"> dienests informāciju no valsts un pašvaldību </w:t>
            </w:r>
            <w:r w:rsidR="001D4990">
              <w:t>institūcijām</w:t>
            </w:r>
            <w:r w:rsidR="001D4990" w:rsidRPr="000D66A6">
              <w:t xml:space="preserve"> </w:t>
            </w:r>
            <w:r w:rsidR="00E36DF7" w:rsidRPr="000D66A6">
              <w:t>saņem, pamatojoties uz Noziedzīgi iegūtu līdzekļu legalizācijas un terori</w:t>
            </w:r>
            <w:r w:rsidR="00E36DF7">
              <w:t>sma finansēšanas likuma 54.panta</w:t>
            </w:r>
            <w:r w:rsidR="00E36DF7" w:rsidRPr="000D66A6">
              <w:t xml:space="preserve"> un Ministru kabineta 2008.gada 22.decembra noteikumiem Nr.1092 “Kārtība, kādā valsts un pašvaldību institūcijas sniedz informāciju Noziedzīgi iegūtu līdzekļu legalizācijas novēršanas dienestam</w:t>
            </w:r>
            <w:r w:rsidR="00E36DF7">
              <w:t>”</w:t>
            </w:r>
            <w:r w:rsidR="00E36DF7" w:rsidRPr="000D66A6">
              <w:t xml:space="preserve">. </w:t>
            </w:r>
            <w:r w:rsidR="00E36DF7">
              <w:t>Iepriekš m</w:t>
            </w:r>
            <w:r w:rsidR="00E36DF7" w:rsidRPr="000D66A6">
              <w:t xml:space="preserve">inētie normatīvie akti nosaka valsts un pašvaldību institūcijām pienākumu sniegt </w:t>
            </w:r>
            <w:r w:rsidR="001D4990">
              <w:t>Finanšu izlūkošanas</w:t>
            </w:r>
            <w:r w:rsidR="00E36DF7" w:rsidRPr="000D66A6">
              <w:t xml:space="preserve"> dienestam tā funkciju veikšanai pieprasīto informāciju, bet nenosaka konkrētu saņemamo ziņu apjomu. Līdz ar to nepieciešams veikt grozījumus </w:t>
            </w:r>
            <w:r w:rsidR="00E36DF7">
              <w:t xml:space="preserve">noteikumu </w:t>
            </w:r>
            <w:r w:rsidR="00E36DF7" w:rsidRPr="000D66A6">
              <w:t>18.</w:t>
            </w:r>
            <w:r w:rsidR="00E36DF7">
              <w:t>punktā</w:t>
            </w:r>
            <w:r w:rsidR="00E36DF7" w:rsidRPr="000D66A6">
              <w:t xml:space="preserve">, nosakot </w:t>
            </w:r>
            <w:r w:rsidR="001D4990">
              <w:t>Finanšu izlūkošanas</w:t>
            </w:r>
            <w:r w:rsidR="00E36DF7" w:rsidRPr="000D66A6">
              <w:t xml:space="preserve"> dienestam saņemamo ziņu apjomu no KRASS.</w:t>
            </w:r>
          </w:p>
          <w:p w:rsidR="00E36DF7" w:rsidRPr="00717AB8" w:rsidRDefault="001D4990" w:rsidP="00E36DF7">
            <w:pPr>
              <w:tabs>
                <w:tab w:val="num" w:pos="720"/>
              </w:tabs>
              <w:ind w:left="34" w:hanging="34"/>
              <w:jc w:val="both"/>
            </w:pPr>
            <w:r>
              <w:t>Finanšu izlūkošanas</w:t>
            </w:r>
            <w:r w:rsidR="00E36DF7" w:rsidRPr="00717AB8">
              <w:t xml:space="preserve"> dienests, regulāri apkopojot, analizējot un sniedzot statistisko informāciju NILLTF risku novērtēšanas jomā, ir konstatējis, ka </w:t>
            </w:r>
            <w:r>
              <w:t>Finanšu izlūkošanas</w:t>
            </w:r>
            <w:r w:rsidR="00E36DF7" w:rsidRPr="00717AB8">
              <w:t xml:space="preserve"> dienestam pieejamie Latvijā uzskaitītie statistiskie dati vairākās pozīcijās nenosedz nepieciešamo datu apjomu, kā arī dažādās institūcijās uzskaitītie dati savstarpēji nesakrīt, jo tie tiek vākti pēc dažādām metodoloģijām. Līdz ar to, ir nepieciešami attiecīgi pilnveidojumi arī KRASS programmatūrā. KRASS tiks izstrādāta iespēja procesa virzītājiem norādīt ziņas par </w:t>
            </w:r>
            <w:r>
              <w:t>Finanšu izlūkošanas</w:t>
            </w:r>
            <w:r w:rsidR="00E36DF7" w:rsidRPr="00717AB8">
              <w:t xml:space="preserve"> dienesta saņemtajiem rīkojumiem par līdzekļu iesaldēšanu, kā arī p</w:t>
            </w:r>
            <w:r w:rsidR="00E36DF7">
              <w:t>ilnveidotas ievades formas par kriminālprocesā pieņemtajiem</w:t>
            </w:r>
            <w:r w:rsidR="00E36DF7" w:rsidRPr="00717AB8">
              <w:t xml:space="preserve"> dokumenti</w:t>
            </w:r>
            <w:r w:rsidR="00E36DF7">
              <w:t xml:space="preserve">em </w:t>
            </w:r>
            <w:r w:rsidR="00E36DF7" w:rsidRPr="00717AB8">
              <w:t>(</w:t>
            </w:r>
            <w:r w:rsidR="00E36DF7" w:rsidRPr="005F1D78">
              <w:t>piem., lēmums par aresta uzlikšanu mantai, protokols par aresta uzlikšanu mantai, lēmums par rīcību ar izņemto mantu).</w:t>
            </w:r>
          </w:p>
          <w:p w:rsidR="00E36DF7" w:rsidRPr="000D42BD" w:rsidRDefault="00E36DF7" w:rsidP="00E36DF7">
            <w:pPr>
              <w:tabs>
                <w:tab w:val="num" w:pos="720"/>
              </w:tabs>
              <w:ind w:left="34" w:firstLine="524"/>
              <w:jc w:val="both"/>
              <w:rPr>
                <w:color w:val="000000" w:themeColor="text1"/>
              </w:rPr>
            </w:pPr>
            <w:r w:rsidRPr="00717AB8">
              <w:t xml:space="preserve">Lai </w:t>
            </w:r>
            <w:r w:rsidR="001D4990">
              <w:t>Finanšu izlūkošanas</w:t>
            </w:r>
            <w:r w:rsidRPr="00717AB8">
              <w:t xml:space="preserve"> dienests varētu veikt kvantitatīvo un kvalitatīvo datu analīzi, statistisko pārskatu sagatavošanu un nodrošinātu informācijas apmaiņu ar ārvalsts dienestiem, </w:t>
            </w:r>
            <w:r w:rsidR="001D4990">
              <w:t>Finanšu izlūkošanas</w:t>
            </w:r>
            <w:r w:rsidRPr="00717AB8">
              <w:t xml:space="preserve"> dienestam KRASS tiks izveidotas piekļuves tiesības</w:t>
            </w:r>
            <w:r>
              <w:t xml:space="preserve">, kas nodrošinās piekļuvi noteiktām KRASS </w:t>
            </w:r>
            <w:r w:rsidRPr="006876DF">
              <w:t>iekļautām ziņām, kas ļaus pārliecināties vai kriminālprocesā ir cietušais, z</w:t>
            </w:r>
            <w:r w:rsidRPr="007C7FC9">
              <w:t>iņām par konstatēto materiālā zaudējuma summu, ziņām par cietušajam pieteikto un atlīdzināto kaitējuma kompensācijas apmēru, kā arī ziņām par kriminālprocesā pieņemtajiem lēmumu veidiem (meta datiem</w:t>
            </w:r>
            <w:r>
              <w:t xml:space="preserve"> </w:t>
            </w:r>
            <w:r w:rsidRPr="007C7FC9">
              <w:t xml:space="preserve">- nosaukums, dokumenta pieņemšanas datums, persona pret kuru dokuments pieņemts). </w:t>
            </w:r>
            <w:r w:rsidRPr="000D42BD">
              <w:rPr>
                <w:color w:val="000000" w:themeColor="text1"/>
              </w:rPr>
              <w:t xml:space="preserve">Piekļuvi augšupielādētajām dokumentu sagatavēm, </w:t>
            </w:r>
            <w:r w:rsidR="001D4990">
              <w:t>Finanšu izlūkošanas</w:t>
            </w:r>
            <w:r w:rsidRPr="000D42BD">
              <w:rPr>
                <w:color w:val="000000" w:themeColor="text1"/>
              </w:rPr>
              <w:t xml:space="preserve"> dienests varēs saņemt tikai ar procesa virzītāja atļauju.</w:t>
            </w:r>
          </w:p>
          <w:p w:rsidR="00E36DF7" w:rsidRPr="000D42BD" w:rsidRDefault="00E36DF7" w:rsidP="00E36DF7">
            <w:pPr>
              <w:tabs>
                <w:tab w:val="num" w:pos="720"/>
              </w:tabs>
              <w:ind w:left="34" w:firstLine="524"/>
              <w:jc w:val="both"/>
              <w:rPr>
                <w:color w:val="000000" w:themeColor="text1"/>
              </w:rPr>
            </w:pPr>
            <w:r w:rsidRPr="000D42BD">
              <w:rPr>
                <w:color w:val="000000" w:themeColor="text1"/>
              </w:rPr>
              <w:t xml:space="preserve">Pamatojoties uz Valsts kontroles Otrās revīzijas departamenta 2016.gada 3.februāra revīzijas uzdevumu Nr.2.4.1-6/2016, Valsts policijā tika veikta lietderības revīzija “Pirmstiesas izmeklēšanas efektivitāte Valsts policijā”. Revīzijas ietvaros Valsts policijā veiktajā aptaujā, tika secināts, ka procesa virzītājiem ir dažāda izpratne par KRASS ievadāmajām ziņām, kas noved pie nepilnīgas datu </w:t>
            </w:r>
            <w:r w:rsidRPr="000D42BD">
              <w:rPr>
                <w:color w:val="000000" w:themeColor="text1"/>
              </w:rPr>
              <w:lastRenderedPageBreak/>
              <w:t>ievades KRASS. Pamatojoties uz izdarītajiem secinājumiem, Valsts kontrole uzdeva Informācijas centram veikt attiecīgus grozījumus noteikumos, lai nodrošinātu procesa virzītāja izpratni par KRASS izmantošanu un tajā ievadāmās ziņas apjomu.</w:t>
            </w:r>
          </w:p>
          <w:p w:rsidR="00E36DF7" w:rsidRPr="000D42BD" w:rsidRDefault="00E36DF7" w:rsidP="00E36DF7">
            <w:pPr>
              <w:tabs>
                <w:tab w:val="num" w:pos="720"/>
              </w:tabs>
              <w:ind w:left="34" w:firstLine="524"/>
              <w:jc w:val="both"/>
              <w:rPr>
                <w:color w:val="000000" w:themeColor="text1"/>
              </w:rPr>
            </w:pPr>
            <w:r w:rsidRPr="000D42BD">
              <w:rPr>
                <w:color w:val="000000" w:themeColor="text1"/>
              </w:rPr>
              <w:t>Noteikumi paredz KRASS ievadīt ziņas par visiem kriminālprocesā pieņemtajiem procesuālajiem lēmumiem, izņemot tos, kuri ir pieņemti saistībā ar speciālo procesuālo aizsardzību un speciālajām izmeklēšanas darbībām.</w:t>
            </w:r>
          </w:p>
          <w:p w:rsidR="00E36DF7" w:rsidRPr="000D42BD" w:rsidRDefault="00E36DF7" w:rsidP="00E36DF7">
            <w:pPr>
              <w:tabs>
                <w:tab w:val="num" w:pos="720"/>
              </w:tabs>
              <w:ind w:left="34" w:firstLine="524"/>
              <w:jc w:val="both"/>
              <w:rPr>
                <w:color w:val="000000" w:themeColor="text1"/>
              </w:rPr>
            </w:pPr>
            <w:r w:rsidRPr="000D42BD">
              <w:rPr>
                <w:color w:val="000000" w:themeColor="text1"/>
              </w:rPr>
              <w:t>Projekts paredz KRASS uzkrāt gan ziņas par kriminālprocesā pieņemtajiem dokumentiem (meta datus – piem., nosaukums, dokumenta pieņemšanas datums, persona attiecībā uz kuru dokuments pieņemts, juridiskā kvalifikācija, pamatojums, iestāde, amatpersona, kas pieņēmusi dokumentu), gan arī tiesības augšupielādēt sagatavoto dokumentu sagataves un dokumentu atvasinājumus.</w:t>
            </w:r>
          </w:p>
          <w:p w:rsidR="00E36DF7" w:rsidRPr="000D42BD" w:rsidRDefault="00E36DF7" w:rsidP="00E36DF7">
            <w:pPr>
              <w:tabs>
                <w:tab w:val="num" w:pos="720"/>
              </w:tabs>
              <w:ind w:left="34" w:firstLine="524"/>
              <w:jc w:val="both"/>
              <w:rPr>
                <w:color w:val="000000" w:themeColor="text1"/>
              </w:rPr>
            </w:pPr>
            <w:r w:rsidRPr="000D42BD">
              <w:rPr>
                <w:color w:val="000000" w:themeColor="text1"/>
              </w:rPr>
              <w:t xml:space="preserve">Precizējot KRASS ievadāmo ziņu apjomu, tika ņemts vērā pirmstiesas izmeklēšanas iestāžu praktiskā nepieciešamība šādu ziņu ievadei, uzkrāšanai, apstrādei un iespējas attiecīgos datus noskaidrot kriminālprocesā, to nozīme noziedzīgo nodarījumu analīzē, kā arī ziņām, kādas nepieciešamas statistisko datu sagatavošanā, izpildot Eiropas Savienības saistības, piem., </w:t>
            </w:r>
            <w:r w:rsidRPr="000D42BD">
              <w:rPr>
                <w:rStyle w:val="st1"/>
                <w:color w:val="000000" w:themeColor="text1"/>
              </w:rPr>
              <w:t>Eiropas Savienības Statistikas biroja</w:t>
            </w:r>
            <w:r w:rsidRPr="000D42BD">
              <w:rPr>
                <w:color w:val="000000" w:themeColor="text1"/>
              </w:rPr>
              <w:t>, Apvienoto Nāciju Organizācijas Narkotiku un noziedzības novēršanas biroja u.c. pieprasījumus.</w:t>
            </w:r>
          </w:p>
          <w:p w:rsidR="00E36DF7" w:rsidRPr="000D42BD" w:rsidRDefault="00E36DF7" w:rsidP="00E36DF7">
            <w:pPr>
              <w:tabs>
                <w:tab w:val="num" w:pos="720"/>
              </w:tabs>
              <w:ind w:left="34" w:firstLine="524"/>
              <w:jc w:val="both"/>
              <w:rPr>
                <w:color w:val="000000" w:themeColor="text1"/>
              </w:rPr>
            </w:pPr>
            <w:r w:rsidRPr="000D42BD">
              <w:rPr>
                <w:color w:val="000000" w:themeColor="text1"/>
              </w:rPr>
              <w:t>Tādēļ no noteikumiem tiek izslēgta prasība ievadīt ziņas par noziedzīga nodarījuma slēpšanas paņēmienu, iestādēm, dienestiem un informācijas sistēmām, kas veicināja personas noskaidrošanu, noziedzīgā nodarījuma atklāšanā izmantotiem zinātniskajiem līdzekļiem un metodēm, ziņas par ģimenes stāvokli personām, kurām ir tiesības uz aizstāvību, kā arī ziņas par cietušās personas ģimenes stāvokli, mācību vietu, nodarbošanos, izglītību un personai sniegto palīdzības veidu. Pēc procesa virzītāja izvēles, izmeklētāja tiešā priekšnieka, uzraugošā prokurora vai amatā augstāka prokurora norādes krimināltiesisko attiecību ātrākai noregulēšanai, KRASS var augšupielādēt arī sagatavoto dokumentu sagataves un dokumentu atsavinājumus.</w:t>
            </w:r>
          </w:p>
          <w:p w:rsidR="00E36DF7" w:rsidRPr="000D42BD" w:rsidRDefault="004A1F48" w:rsidP="00E36DF7">
            <w:pPr>
              <w:tabs>
                <w:tab w:val="num" w:pos="720"/>
              </w:tabs>
              <w:ind w:left="34" w:firstLine="524"/>
              <w:jc w:val="both"/>
              <w:rPr>
                <w:color w:val="000000" w:themeColor="text1"/>
              </w:rPr>
            </w:pPr>
            <w:r>
              <w:rPr>
                <w:color w:val="000000" w:themeColor="text1"/>
              </w:rPr>
              <w:t>Ar projektu</w:t>
            </w:r>
            <w:r w:rsidR="00E36DF7" w:rsidRPr="000D42BD">
              <w:rPr>
                <w:color w:val="000000" w:themeColor="text1"/>
              </w:rPr>
              <w:t xml:space="preserve"> paredz</w:t>
            </w:r>
            <w:r>
              <w:rPr>
                <w:color w:val="000000" w:themeColor="text1"/>
              </w:rPr>
              <w:t>ēts noteikt</w:t>
            </w:r>
            <w:r w:rsidR="00E36DF7" w:rsidRPr="000D42BD">
              <w:rPr>
                <w:color w:val="000000" w:themeColor="text1"/>
              </w:rPr>
              <w:t>, ka kriminiāllietas numuru iestādēm, kuras uzsāk kriminālprocesu piešķir Informācijas centrs. Numurs sastāv no 11 cipariem. Pirmais cipars ir “1”, kas norāda, ka tas ir kriminālprocess, otrais cipars norāda resoru, trešais, ceturtais un piektais cipars — iestādi, kurā uzsākts kriminālprocess, sestais, septītais, astotais un devītais cipars norāda kārtas numuru kalendārajā gadā, desmitais un vienpadsmitais cipars — kriminālprocesa uzsākšanas gadskaitļa pēdējos divus ciparus.</w:t>
            </w:r>
          </w:p>
          <w:p w:rsidR="00E36DF7" w:rsidRPr="000D42BD" w:rsidRDefault="00E36DF7" w:rsidP="00E36DF7">
            <w:pPr>
              <w:tabs>
                <w:tab w:val="num" w:pos="720"/>
              </w:tabs>
              <w:ind w:left="34" w:firstLine="524"/>
              <w:jc w:val="both"/>
              <w:rPr>
                <w:color w:val="000000" w:themeColor="text1"/>
              </w:rPr>
            </w:pPr>
            <w:r w:rsidRPr="000D42BD">
              <w:rPr>
                <w:color w:val="000000" w:themeColor="text1"/>
              </w:rPr>
              <w:t xml:space="preserve">Tiek precizēts noteikumu 14.punkts, nosakot ziņu apjomu, iestādes un institūcijas, kuras var saņemt attiecīgās </w:t>
            </w:r>
            <w:r w:rsidRPr="000D42BD">
              <w:rPr>
                <w:color w:val="000000" w:themeColor="text1"/>
              </w:rPr>
              <w:lastRenderedPageBreak/>
              <w:t xml:space="preserve">ziņas bez procesa virzītāja atļaujas. Augšupielādēto dokumentu sagataves un dokumentu atvasinājumus, sistēmas lietotāji varēs saņemt tikai ar procesa virzītāja atļauju. </w:t>
            </w:r>
          </w:p>
          <w:p w:rsidR="00E36DF7" w:rsidRPr="000D42BD" w:rsidRDefault="00E36DF7" w:rsidP="00E36DF7">
            <w:pPr>
              <w:tabs>
                <w:tab w:val="num" w:pos="720"/>
              </w:tabs>
              <w:ind w:left="34" w:firstLine="524"/>
              <w:jc w:val="both"/>
              <w:rPr>
                <w:color w:val="000000" w:themeColor="text1"/>
              </w:rPr>
            </w:pPr>
            <w:r w:rsidRPr="000D42BD">
              <w:rPr>
                <w:color w:val="000000" w:themeColor="text1"/>
              </w:rPr>
              <w:t xml:space="preserve">Lai izslēgtu datu ievades dublēšanos, veicinātu elektronisko datu apriti un nodrošinātu ievadīto datu kvalitāti, tiek paredzēts, ka sistēmā esošos datus tiešsaistes datu pārraides režīmā iekļauj citās sistēmās un saņem no citām sistēmām, atbilstoši attiecīgo sistēmu regulējošo normatīvo aktu noteiktajam apjomam un kārtībai. </w:t>
            </w:r>
          </w:p>
          <w:p w:rsidR="00E36DF7" w:rsidRPr="000D42BD" w:rsidRDefault="00E36DF7" w:rsidP="00E36DF7">
            <w:pPr>
              <w:suppressAutoHyphens/>
              <w:spacing w:before="80"/>
              <w:ind w:firstLine="360"/>
              <w:jc w:val="both"/>
              <w:textAlignment w:val="baseline"/>
              <w:rPr>
                <w:color w:val="000000" w:themeColor="text1"/>
              </w:rPr>
            </w:pPr>
            <w:r w:rsidRPr="000D42BD">
              <w:rPr>
                <w:color w:val="000000" w:themeColor="text1"/>
              </w:rPr>
              <w:t xml:space="preserve">Projekts paredz, ka ziņas par </w:t>
            </w:r>
            <w:r w:rsidRPr="000D42BD">
              <w:rPr>
                <w:bCs/>
                <w:color w:val="000000" w:themeColor="text1"/>
              </w:rPr>
              <w:t xml:space="preserve">procesa virzītāja atļauju par personai piemērotā drošības līdzekļa noteikumu izmaiņām, KRASS </w:t>
            </w:r>
            <w:r w:rsidRPr="000D42BD">
              <w:rPr>
                <w:color w:val="000000" w:themeColor="text1"/>
              </w:rPr>
              <w:t xml:space="preserve">ievada dokumenta pieņemšanas dienā, savukārt ziņas par datumu, kad pret personu tiek uzsākts kriminālprocess, kad persona tiek iesaistīta procesuālo darbību veikšanā vai procesa virzītājs atklātībai darījis zināmu informāciju par kriminālprocesa uzsākšanu pret personu. </w:t>
            </w:r>
          </w:p>
          <w:p w:rsidR="00E36DF7" w:rsidRPr="000D42BD" w:rsidRDefault="00E36DF7" w:rsidP="00E36DF7">
            <w:pPr>
              <w:suppressAutoHyphens/>
              <w:spacing w:before="80"/>
              <w:ind w:firstLine="360"/>
              <w:jc w:val="both"/>
              <w:textAlignment w:val="baseline"/>
              <w:rPr>
                <w:color w:val="000000" w:themeColor="text1"/>
              </w:rPr>
            </w:pPr>
            <w:r w:rsidRPr="000D42BD">
              <w:rPr>
                <w:color w:val="000000" w:themeColor="text1"/>
              </w:rPr>
              <w:t>Lai sistēmā iekļautās ziņas (datus) varētu izdrukāt un pievienot krimināllietas materiāliem, noteikumu projekts paredz, ka elektroniski sagatavotās ziņas no KRASS ir derīgas bez paraksta. Ja no KRASS tiek izdrukātas procesuālo dokumentu sagataves, tās tiek parakstītas līdzšinējā kārtībā, atbilstoši spēkā esošai likumdošanai.</w:t>
            </w:r>
          </w:p>
          <w:p w:rsidR="00E36DF7" w:rsidRPr="000D42BD" w:rsidRDefault="00E36DF7" w:rsidP="00E36DF7">
            <w:pPr>
              <w:pStyle w:val="NormalWeb"/>
              <w:spacing w:before="0" w:beforeAutospacing="0" w:after="0" w:afterAutospacing="0"/>
              <w:ind w:firstLine="459"/>
              <w:jc w:val="both"/>
              <w:rPr>
                <w:color w:val="000000" w:themeColor="text1"/>
              </w:rPr>
            </w:pPr>
            <w:r w:rsidRPr="000D42BD">
              <w:rPr>
                <w:color w:val="000000" w:themeColor="text1"/>
              </w:rPr>
              <w:t>Mainoties normām, tiek precizēts saņemamais ziņu apjoms Juridiskās palīdzības administrācijai un Nacionālajam veselības dienestam.</w:t>
            </w:r>
          </w:p>
          <w:p w:rsidR="00E36DF7" w:rsidRPr="000D42BD" w:rsidRDefault="00E36DF7" w:rsidP="00E36DF7">
            <w:pPr>
              <w:pStyle w:val="NormalWeb"/>
              <w:spacing w:before="0" w:beforeAutospacing="0" w:after="0" w:afterAutospacing="0"/>
              <w:jc w:val="both"/>
              <w:rPr>
                <w:color w:val="000000" w:themeColor="text1"/>
              </w:rPr>
            </w:pPr>
            <w:r w:rsidRPr="000D42BD">
              <w:rPr>
                <w:color w:val="000000" w:themeColor="text1"/>
              </w:rPr>
              <w:t>Tāpat tiek paredzēts, ka ziņas, kā arī dokumentu sagataves un dokumentu atvasinājumus no KRASS saņems Valsts probācijas dienests (turpmāk – Dienests), ekspertīžu iestādes, kā arī Latvijas Transportlīdzekļu apdrošināšanas birojs (turpmāk – LTAB) un apdrošināšanas sabiedrības, kuras veic sauszemes transportlīdzekļu īpašnieku civiltiesiskās atbildības obligāto apdrošināšanu (turpmāk – OCTA), lai varētu pieņemt lēmumu par apdrošināšanas atlīdzību saskaņā ar Sauszemes transportlīdzekļu īpašnieku civiltiesiskās atbildības obligātās apdrošināšanas likumu (turpmāk – OCTA likums)  tajos gadījumos, kad ierosinātas krimināllietas par ceļu satiksmes noteikumu un transportlīdzekļu ekspluatācijas noteikumu pārkāpumiem, kas uzsāktas pēc Krimināllikuma 260.p., 262.p., 262.</w:t>
            </w:r>
            <w:r w:rsidRPr="000D42BD">
              <w:rPr>
                <w:color w:val="000000" w:themeColor="text1"/>
                <w:vertAlign w:val="superscript"/>
              </w:rPr>
              <w:t>1</w:t>
            </w:r>
            <w:r w:rsidRPr="000D42BD">
              <w:rPr>
                <w:color w:val="000000" w:themeColor="text1"/>
              </w:rPr>
              <w:t>,  263.p., 264.p. un 265.p.</w:t>
            </w:r>
          </w:p>
          <w:p w:rsidR="00E36DF7" w:rsidRPr="000D42BD" w:rsidRDefault="00E36DF7" w:rsidP="00E36DF7">
            <w:pPr>
              <w:pStyle w:val="NormalWeb"/>
              <w:spacing w:before="0" w:beforeAutospacing="0" w:after="0" w:afterAutospacing="0"/>
              <w:jc w:val="both"/>
              <w:rPr>
                <w:color w:val="000000" w:themeColor="text1"/>
              </w:rPr>
            </w:pPr>
            <w:r w:rsidRPr="000D42BD">
              <w:rPr>
                <w:color w:val="000000" w:themeColor="text1"/>
              </w:rPr>
              <w:t xml:space="preserve">Lai saskaņā ar OCTA likumu apdrošināšanas sabiedrības un LTAB pieņemtu lēmumu par apdrošināšanas atlīdzības izmaksu, to rīcībā ir jābūt pilnīgai informācijai par ceļu satiksmes negadījumu un jāizpildās vairākiem nosacījumiem. Apdrošināšanas atlīdzības izmaksa veicama, ja nodarītie zaudējumi ir aprēķināmi, ir zināmi ceļu satiksmes negadījuma apstākļi un ir iespējams izvērtēt un noteikt ceļu satiksmes negadījumā iesaistīto personu atbildību par nodarītajiem zaudējumiem. Šobrīd gadījumos, kad ierosināts </w:t>
            </w:r>
            <w:r w:rsidRPr="000D42BD">
              <w:rPr>
                <w:color w:val="000000" w:themeColor="text1"/>
              </w:rPr>
              <w:lastRenderedPageBreak/>
              <w:t>kriminālprocess un nav pieejama informācija par ceļu satiksmes negadījuma apstākļiem, ceļu satiksmes negadījumā cietušajām personām -  apdrošināšanas atlīdzības izmaksu, bet valsts institūcijām un pašvaldībām – kompensējamo izdevumu atlīdzināšanu (OCTA likuma 24.pants) nākas gaidīt līdz brīdim, kamēr būs zināms gala nolēmums kriminālprocesā, jo apdrošināšanas sabiedrību un LTAB rīcībā nav nepieciešamās informācijas, lai izvērtētu un noteiktu ceļu satiksmes negadījumā iesaistīto personu atbildību par nodarītajiem zaudējumiem.</w:t>
            </w:r>
          </w:p>
          <w:p w:rsidR="00E36DF7" w:rsidRPr="000D42BD" w:rsidRDefault="00E36DF7" w:rsidP="00E36DF7">
            <w:pPr>
              <w:pStyle w:val="NormalWeb"/>
              <w:spacing w:before="0" w:beforeAutospacing="0" w:after="0" w:afterAutospacing="0"/>
              <w:jc w:val="both"/>
              <w:rPr>
                <w:color w:val="000000" w:themeColor="text1"/>
              </w:rPr>
            </w:pPr>
            <w:r w:rsidRPr="000D42BD">
              <w:rPr>
                <w:color w:val="000000" w:themeColor="text1"/>
              </w:rPr>
              <w:t>Tā kā saskaņā ar grozījumiem OCTA likumā, kas LR Saeimā pieņemti 2019.gada 27.martā  un spēkā stājas 2019.gada 1.maijā, prettiesiski iegūtu, zagtu transportlīdzekļu (t.i., noziedzīga nodarījuma rezultātā iegūtu transportlīdzekļu)  nodarītie zaudējumi tiks segti no OCTA polisēm, ja transportlīdzeklis būs apdrošināts, vai no OCTA Garantijas fonda, ja transportlīdzeklim nebūs OCTA polises, tad attiecīgi  apdrošināšanas sabiedrībām un LTAB, kad izmaksa veicama no OCTA Garantijas fonda,  lēmuma par apdrošināšanas atlīdzību pieņemšanai nepieciešams pārliecināties, vai transportlīdzeklis nav vadīts prettiesiski, t.i., vai transportlīdzeklis nav zagts (informācija par gadījumiem, kad ierosinātas krimināllietas par gadījumiem, kad transportlīdzeklis vadīts noziedzīga nodarījuma rezultātā pēc Krimināllikuma 175.p., 176.p., 177., 178.p., 179.p., 180.p., 183. un 185.p.).</w:t>
            </w:r>
          </w:p>
          <w:p w:rsidR="00E36DF7" w:rsidRDefault="00E36DF7" w:rsidP="00E36DF7">
            <w:pPr>
              <w:pStyle w:val="NormalWeb"/>
              <w:spacing w:before="0" w:beforeAutospacing="0" w:after="0" w:afterAutospacing="0"/>
              <w:ind w:firstLine="459"/>
              <w:jc w:val="both"/>
            </w:pPr>
            <w:r w:rsidRPr="000D42BD">
              <w:rPr>
                <w:color w:val="000000" w:themeColor="text1"/>
              </w:rPr>
              <w:t xml:space="preserve">Saskaņā ar Kriminālprocesa likuma 95.panta pirmo daļu cietušais kriminālprocesā var būt fiziskā vai juridiskā persona, kurai ar noziedzīgu nodarījumu radīts kaitējums, proti, morāls aizskārums, fiziskas ciešanas vai mantisks zaudējums. Valsts probācijas dienests (turpmāk – Dienests) organizē un vada izlīguma procesu visās kriminālprocesa stadijās un par visiem noziedzīgajiem nodarījumiem, kur tas ir iespējams. Izlīguma procesa organizēšana tiek uzsākta, ja ir saņemts cietušā vai noziedzīgā nodarījuma izdarītāja rakstisks iesniegums, procesa virzītāja pieprasījums vai tiesneša ierosinājums lietās par audzinoša rakstura piespiedu līdzekļa piemērošanu bērniem. Lai kvalitatīvi organizētu un vadītu izlīguma procesu gadījumos, kad ir saņemts cietušā vai noziedzīgā nodarījuma izdarītāja rakstisks iesniegums, starpniekam ir nepieciešams pieprasīt informāciju no procesa virzītāja par noziedzīgo nodarījumu un otras personas kontaktinformāciju. </w:t>
            </w:r>
            <w:r w:rsidRPr="00541B8B">
              <w:t>Ņemot vērā, ka Dienests strādā ar cietušajiem – fiziskām personām un juridiskām personām, Dienestam ir nepieciešama informācija par abiem cietušo veidiem</w:t>
            </w:r>
            <w:r>
              <w:t>.</w:t>
            </w:r>
          </w:p>
          <w:p w:rsidR="00E36DF7" w:rsidRDefault="00E36DF7" w:rsidP="00E36DF7">
            <w:pPr>
              <w:pStyle w:val="NormalWeb"/>
              <w:spacing w:before="0" w:beforeAutospacing="0" w:after="0" w:afterAutospacing="0"/>
              <w:ind w:firstLine="459"/>
              <w:jc w:val="both"/>
            </w:pPr>
            <w:r w:rsidRPr="000D42BD">
              <w:rPr>
                <w:color w:val="000000" w:themeColor="text1"/>
              </w:rPr>
              <w:t xml:space="preserve"> Ņemot vēro to, ka Informācijas centrs, veicot sistēmas pārziņa funkcijas nodrošina ievadīto datu kvalitātes pārbaudi, kļūdu labošanu KRASS, </w:t>
            </w:r>
            <w:r>
              <w:t xml:space="preserve">veic ziņu izsniegšanu no KRASS, kā arī sagatavo no KRASS statistiskos datus, projekts nosaka arī </w:t>
            </w:r>
            <w:r w:rsidRPr="000054FA">
              <w:t>Informācijas centram piekļuves tiesību apjomu.</w:t>
            </w:r>
          </w:p>
          <w:p w:rsidR="00E36DF7" w:rsidRDefault="00E36DF7" w:rsidP="00E36DF7">
            <w:pPr>
              <w:pStyle w:val="NormalWeb"/>
              <w:spacing w:before="0" w:beforeAutospacing="0" w:after="0" w:afterAutospacing="0"/>
              <w:ind w:firstLine="459"/>
              <w:jc w:val="both"/>
            </w:pPr>
            <w:r>
              <w:lastRenderedPageBreak/>
              <w:t>Lai nodrošinātu kriminālprocesa noslēpuma saglabāšanu, tiek svītrots noteikumu 20.pants, kas paredzēja Informācijas centram kā sistēmas pārzinim tiesības izsniegt ziņas no KRASS. Turpmāk ziņas no KRASS, iestādēm, kas nav KRASS lietotāji, sniegs procesa virzītāji.</w:t>
            </w:r>
            <w:r w:rsidDel="00A84012">
              <w:t xml:space="preserve"> </w:t>
            </w:r>
          </w:p>
          <w:p w:rsidR="00E23151" w:rsidRPr="00E23151" w:rsidRDefault="00E36DF7" w:rsidP="00E36DF7">
            <w:pPr>
              <w:pStyle w:val="tv213limenis2"/>
              <w:spacing w:before="0" w:beforeAutospacing="0" w:after="0" w:afterAutospacing="0"/>
              <w:jc w:val="both"/>
            </w:pPr>
            <w:r w:rsidRPr="00B410F1">
              <w:t xml:space="preserve">Lai nodrošinātu piekļuves piešķiršanu </w:t>
            </w:r>
            <w:r>
              <w:t>KRASS</w:t>
            </w:r>
            <w:r w:rsidRPr="00B410F1">
              <w:t xml:space="preserve">, </w:t>
            </w:r>
            <w:r>
              <w:t>Informācijas centrs</w:t>
            </w:r>
            <w:r w:rsidRPr="00B410F1">
              <w:t xml:space="preserve"> izveido</w:t>
            </w:r>
            <w:r>
              <w:t>s</w:t>
            </w:r>
            <w:r w:rsidRPr="00B410F1">
              <w:t xml:space="preserve"> </w:t>
            </w:r>
            <w:r>
              <w:t>KRASS</w:t>
            </w:r>
            <w:r w:rsidRPr="00B410F1">
              <w:t xml:space="preserve"> lietotāja rekvizītus un nosūt</w:t>
            </w:r>
            <w:r>
              <w:t>īs</w:t>
            </w:r>
            <w:r w:rsidRPr="00B410F1">
              <w:t xml:space="preserve"> tos ar pasta starpniecību </w:t>
            </w:r>
            <w:r>
              <w:t xml:space="preserve">šajos noteikumos minētajām </w:t>
            </w:r>
            <w:r w:rsidRPr="00B410F1">
              <w:t>iestād</w:t>
            </w:r>
            <w:r>
              <w:t>ām un institūcijām.</w:t>
            </w:r>
          </w:p>
        </w:tc>
      </w:tr>
      <w:tr w:rsidR="00DB0AC9" w:rsidRPr="00796233"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253920">
            <w:pPr>
              <w:spacing w:after="120"/>
              <w:jc w:val="both"/>
            </w:pPr>
            <w:r w:rsidRPr="00D829E0">
              <w:t>Iekšlietu ministrija</w:t>
            </w:r>
            <w:r w:rsidR="00E61FA4">
              <w:t xml:space="preserve">s Informācijas centrs, </w:t>
            </w:r>
            <w:r w:rsidR="00EB2F63">
              <w:t>Finanšu izlūkošanas</w:t>
            </w:r>
            <w:r w:rsidR="00EB2F63" w:rsidRPr="000D66A6">
              <w:t xml:space="preserve"> </w:t>
            </w:r>
            <w:r w:rsidR="00E61FA4">
              <w:t>dienests.</w:t>
            </w:r>
          </w:p>
        </w:tc>
      </w:tr>
      <w:tr w:rsidR="00DB0AC9" w:rsidRPr="00796233" w:rsidTr="00BD02FB">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E61FA4" w:rsidP="00E61FA4">
            <w:pPr>
              <w:jc w:val="both"/>
            </w:pPr>
            <w:r>
              <w:t xml:space="preserve">Lai nodrošinātu dokumentu (t.sk video ierakstu) sagatavju un dokumentu atvasinājumu augšupielādi, </w:t>
            </w:r>
            <w:r w:rsidRPr="00717AB8">
              <w:t>svarīga nozīme ir ātrdarbīgu datu pārraides kanālu pieejamībai Valsts policijas struktūrvienībām. Šobrīd 95% Valsts policijā ir pieejams datu pārraides tīkla pieslēgums ar ātrumu no 2 – 10Mb/s. Liela apjoma videodatu augšupielādei/lejupielādei šāds ātrums nav pietiekams, tādēļ, lai nodrošinātu KRASS sistēmas jaunās (plānojamās) funkcionalitātes efektīvu darbību visos datu tīkla pieslēgumu punktos, kuros būs nepieciešama piekļuve, KRASS nepieciešams nodrošināt datu pārraides ātrumu 100Mb/s., kam nepieciešams papildus finansējums.</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829"/>
        <w:gridCol w:w="5960"/>
      </w:tblGrid>
      <w:tr w:rsidR="00DB0AC9" w:rsidRPr="00796233" w:rsidTr="00BD02FB">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BD02FB">
            <w:pPr>
              <w:jc w:val="center"/>
              <w:rPr>
                <w:b/>
                <w:bCs/>
              </w:rPr>
            </w:pPr>
            <w:r w:rsidRPr="00796233">
              <w:rPr>
                <w:b/>
                <w:bCs/>
              </w:rPr>
              <w:t>II. Tiesību akta projekta ietekme uz sabiedrību, tautsaimniecības attīstību un administratīvo slogu</w:t>
            </w:r>
          </w:p>
        </w:tc>
      </w:tr>
      <w:tr w:rsidR="00DB0AC9" w:rsidRPr="0022794C"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233136" w:rsidRPr="00AC3190" w:rsidRDefault="00EB2F63" w:rsidP="003E095E">
            <w:pPr>
              <w:spacing w:after="120"/>
              <w:jc w:val="both"/>
              <w:rPr>
                <w:rFonts w:eastAsiaTheme="minorHAnsi" w:cstheme="minorBidi"/>
              </w:rPr>
            </w:pPr>
            <w:r>
              <w:t>Finanšu izlūkošanas</w:t>
            </w:r>
            <w:r w:rsidR="00E61FA4" w:rsidRPr="0036063D">
              <w:t xml:space="preserve"> dienests, tiesībsargājošās iestādes, </w:t>
            </w:r>
            <w:r w:rsidR="00E61FA4" w:rsidRPr="0036063D">
              <w:rPr>
                <w:color w:val="000000"/>
                <w:spacing w:val="-2"/>
              </w:rPr>
              <w:t>ceļu satiksmes negadījumā iesaistītās personas, lai nodrošinātu ātrāku apdrošināšanas atlīdzības izmaksu</w:t>
            </w:r>
            <w:r w:rsidR="00E61FA4">
              <w:rPr>
                <w:color w:val="000000"/>
                <w:spacing w:val="-2"/>
              </w:rPr>
              <w:t xml:space="preserve">, </w:t>
            </w:r>
            <w:r w:rsidR="00E61FA4" w:rsidRPr="009F0305">
              <w:rPr>
                <w:color w:val="000000"/>
                <w:spacing w:val="-2"/>
              </w:rPr>
              <w:t xml:space="preserve">LTAB un </w:t>
            </w:r>
            <w:r w:rsidR="00E61FA4">
              <w:rPr>
                <w:color w:val="000000"/>
                <w:spacing w:val="-2"/>
              </w:rPr>
              <w:t>apdrošināšanas sabiedrības, kurām ir tiesības veikt OCTA.</w:t>
            </w:r>
          </w:p>
        </w:tc>
      </w:tr>
      <w:tr w:rsidR="00DB0AC9" w:rsidRPr="00796233" w:rsidTr="00501742">
        <w:trPr>
          <w:trHeight w:val="1471"/>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AC3190" w:rsidRPr="00D829E0" w:rsidRDefault="00E61FA4">
            <w:pPr>
              <w:spacing w:after="120"/>
              <w:jc w:val="both"/>
            </w:pPr>
            <w:r w:rsidRPr="00A640B9">
              <w:t xml:space="preserve">Ar noteikumu projektu tiks samazināts administratīvais slogs </w:t>
            </w:r>
            <w:r w:rsidR="00EB2F63">
              <w:t>Finanšu izlūkošanas</w:t>
            </w:r>
            <w:r w:rsidRPr="00A640B9">
              <w:t xml:space="preserve"> dienestam, vienlaikus paplašinot jau šobrīd </w:t>
            </w:r>
            <w:r w:rsidR="00EB2F63">
              <w:t>Finanšu izlūkošanas</w:t>
            </w:r>
            <w:r w:rsidRPr="00A640B9">
              <w:t xml:space="preserve"> dienestam noteiktās tiesības saņemt informāciju, jo tiks būtiski samazināta rakstveida dokumentu plūsma starp </w:t>
            </w:r>
            <w:r w:rsidR="00EB2F63">
              <w:t>Finanšu izlūkošanas</w:t>
            </w:r>
            <w:r w:rsidRPr="00A640B9">
              <w:t xml:space="preserve"> dienestu un tiesībsargājošajām iestādēm, Informācijas centru.</w:t>
            </w:r>
          </w:p>
        </w:tc>
      </w:tr>
      <w:tr w:rsidR="00DB0AC9" w:rsidRPr="00796233" w:rsidTr="00BD02F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501742" w:rsidRDefault="00E61FA4" w:rsidP="0039407A">
            <w:pPr>
              <w:jc w:val="both"/>
            </w:pPr>
            <w:r w:rsidRPr="000D66A6">
              <w:t>Administratīvo izmaksu monetārs novērtējums</w:t>
            </w:r>
            <w:r>
              <w:t xml:space="preserve"> pievienots pielikumā.</w:t>
            </w:r>
          </w:p>
        </w:tc>
      </w:tr>
      <w:tr w:rsidR="00DB0AC9" w:rsidRPr="00796233" w:rsidTr="00BD02F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501742" w:rsidP="00BD02FB">
            <w:r>
              <w:t>Projekts šo jomu neskar.</w:t>
            </w:r>
          </w:p>
        </w:tc>
      </w:tr>
      <w:tr w:rsidR="00DB0AC9" w:rsidRPr="00796233" w:rsidTr="00BD02FB">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t>Nav</w:t>
            </w:r>
          </w:p>
        </w:tc>
      </w:tr>
    </w:tbl>
    <w:p w:rsidR="00DB0AC9" w:rsidRDefault="00DB0AC9" w:rsidP="003C17D9">
      <w:pPr>
        <w:shd w:val="clear" w:color="auto" w:fill="FFFFFF"/>
        <w:ind w:firstLine="300"/>
      </w:pPr>
      <w:r w:rsidRPr="00796233">
        <w:rPr>
          <w:rFonts w:ascii="Arial" w:hAnsi="Arial" w:cs="Arial"/>
        </w:rPr>
        <w:t> </w:t>
      </w:r>
    </w:p>
    <w:p w:rsidR="00DB0AC9" w:rsidRDefault="00DB0AC9" w:rsidP="003C17D9">
      <w:pPr>
        <w:shd w:val="clear" w:color="auto" w:fill="FFFFFF"/>
        <w:rPr>
          <w:sz w:val="22"/>
          <w:szCs w:val="22"/>
        </w:rPr>
      </w:pPr>
    </w:p>
    <w:p w:rsidR="00E577A0" w:rsidRDefault="00E577A0" w:rsidP="003C17D9">
      <w:pPr>
        <w:shd w:val="clear" w:color="auto" w:fill="FFFFFF"/>
        <w:rPr>
          <w:sz w:val="22"/>
          <w:szCs w:val="22"/>
        </w:rPr>
      </w:pPr>
    </w:p>
    <w:p w:rsidR="002675C2" w:rsidRDefault="002675C2" w:rsidP="003C17D9">
      <w:pPr>
        <w:shd w:val="clear" w:color="auto" w:fill="FFFFFF"/>
        <w:rPr>
          <w:sz w:val="22"/>
          <w:szCs w:val="22"/>
        </w:rPr>
      </w:pPr>
    </w:p>
    <w:p w:rsidR="002675C2" w:rsidRDefault="002675C2" w:rsidP="003C17D9">
      <w:pPr>
        <w:shd w:val="clear" w:color="auto" w:fill="FFFFFF"/>
        <w:rPr>
          <w:sz w:val="22"/>
          <w:szCs w:val="22"/>
        </w:rPr>
      </w:pPr>
    </w:p>
    <w:p w:rsidR="002675C2" w:rsidRDefault="002675C2" w:rsidP="003C17D9">
      <w:pPr>
        <w:shd w:val="clear" w:color="auto" w:fill="FFFFFF"/>
        <w:rPr>
          <w:sz w:val="22"/>
          <w:szCs w:val="22"/>
        </w:rPr>
      </w:pPr>
    </w:p>
    <w:p w:rsidR="002675C2" w:rsidRDefault="002675C2" w:rsidP="003C17D9">
      <w:pPr>
        <w:shd w:val="clear" w:color="auto" w:fill="FFFFFF"/>
        <w:rPr>
          <w:sz w:val="22"/>
          <w:szCs w:val="22"/>
        </w:rPr>
      </w:pPr>
    </w:p>
    <w:tbl>
      <w:tblPr>
        <w:tblW w:w="9311" w:type="dxa"/>
        <w:tblCellSpacing w:w="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560"/>
        <w:gridCol w:w="1417"/>
        <w:gridCol w:w="1134"/>
        <w:gridCol w:w="1134"/>
        <w:gridCol w:w="1089"/>
        <w:gridCol w:w="993"/>
        <w:gridCol w:w="1133"/>
        <w:gridCol w:w="851"/>
      </w:tblGrid>
      <w:tr w:rsidR="002675C2" w:rsidRPr="00352EC2" w:rsidTr="007D5F29">
        <w:trPr>
          <w:tblCellSpacing w:w="15" w:type="dxa"/>
        </w:trPr>
        <w:tc>
          <w:tcPr>
            <w:tcW w:w="9251" w:type="dxa"/>
            <w:gridSpan w:val="8"/>
            <w:vAlign w:val="center"/>
            <w:hideMark/>
          </w:tcPr>
          <w:p w:rsidR="002675C2" w:rsidRPr="00352EC2" w:rsidRDefault="002675C2" w:rsidP="00C206AE">
            <w:pPr>
              <w:spacing w:before="100" w:beforeAutospacing="1" w:after="100" w:afterAutospacing="1" w:line="360" w:lineRule="auto"/>
              <w:ind w:firstLine="300"/>
              <w:jc w:val="center"/>
              <w:rPr>
                <w:b/>
                <w:bCs/>
                <w:color w:val="414142"/>
              </w:rPr>
            </w:pPr>
            <w:r w:rsidRPr="00352EC2">
              <w:rPr>
                <w:b/>
                <w:bCs/>
                <w:color w:val="414142"/>
              </w:rPr>
              <w:t>III. Tiesību akta projekta ietekme uz valsts budžetu un pašvaldību budžetiem</w:t>
            </w:r>
          </w:p>
        </w:tc>
      </w:tr>
      <w:tr w:rsidR="002675C2" w:rsidRPr="00352EC2" w:rsidTr="007D5F29">
        <w:trPr>
          <w:trHeight w:val="412"/>
          <w:tblCellSpacing w:w="15" w:type="dxa"/>
        </w:trPr>
        <w:tc>
          <w:tcPr>
            <w:tcW w:w="1515" w:type="dxa"/>
            <w:vMerge w:val="restart"/>
            <w:vAlign w:val="center"/>
            <w:hideMark/>
          </w:tcPr>
          <w:p w:rsidR="002675C2" w:rsidRPr="00352EC2" w:rsidRDefault="002675C2" w:rsidP="00C206AE">
            <w:pPr>
              <w:spacing w:before="100" w:beforeAutospacing="1" w:after="100" w:afterAutospacing="1" w:line="360" w:lineRule="auto"/>
              <w:ind w:firstLine="300"/>
              <w:jc w:val="center"/>
            </w:pPr>
            <w:r w:rsidRPr="00352EC2">
              <w:t>Rādītāji</w:t>
            </w:r>
          </w:p>
        </w:tc>
        <w:tc>
          <w:tcPr>
            <w:tcW w:w="2521" w:type="dxa"/>
            <w:gridSpan w:val="2"/>
            <w:vMerge w:val="restart"/>
            <w:vAlign w:val="center"/>
            <w:hideMark/>
          </w:tcPr>
          <w:p w:rsidR="002675C2" w:rsidRPr="00BB2DC4" w:rsidRDefault="002675C2" w:rsidP="00C206AE">
            <w:pPr>
              <w:spacing w:before="100" w:beforeAutospacing="1" w:after="100" w:afterAutospacing="1" w:line="360" w:lineRule="auto"/>
              <w:ind w:firstLine="300"/>
              <w:jc w:val="center"/>
            </w:pPr>
            <w:r w:rsidRPr="00BB2DC4">
              <w:t>2019</w:t>
            </w:r>
          </w:p>
        </w:tc>
        <w:tc>
          <w:tcPr>
            <w:tcW w:w="5155" w:type="dxa"/>
            <w:gridSpan w:val="5"/>
            <w:vAlign w:val="center"/>
            <w:hideMark/>
          </w:tcPr>
          <w:p w:rsidR="002675C2" w:rsidRPr="00BB2DC4" w:rsidRDefault="002675C2" w:rsidP="00C206AE">
            <w:pPr>
              <w:spacing w:before="100" w:beforeAutospacing="1" w:after="100" w:afterAutospacing="1" w:line="360" w:lineRule="auto"/>
              <w:ind w:firstLine="300"/>
              <w:jc w:val="center"/>
            </w:pPr>
          </w:p>
        </w:tc>
      </w:tr>
      <w:tr w:rsidR="002675C2" w:rsidRPr="00352EC2" w:rsidTr="007D5F29">
        <w:trPr>
          <w:tblCellSpacing w:w="15" w:type="dxa"/>
        </w:trPr>
        <w:tc>
          <w:tcPr>
            <w:tcW w:w="1515" w:type="dxa"/>
            <w:vMerge/>
            <w:vAlign w:val="center"/>
            <w:hideMark/>
          </w:tcPr>
          <w:p w:rsidR="002675C2" w:rsidRPr="00352EC2" w:rsidRDefault="002675C2" w:rsidP="00C206AE"/>
        </w:tc>
        <w:tc>
          <w:tcPr>
            <w:tcW w:w="2521" w:type="dxa"/>
            <w:gridSpan w:val="2"/>
            <w:vMerge/>
            <w:vAlign w:val="center"/>
            <w:hideMark/>
          </w:tcPr>
          <w:p w:rsidR="002675C2" w:rsidRPr="00BB2DC4" w:rsidRDefault="002675C2" w:rsidP="00C206AE"/>
        </w:tc>
        <w:tc>
          <w:tcPr>
            <w:tcW w:w="2193" w:type="dxa"/>
            <w:gridSpan w:val="2"/>
            <w:vAlign w:val="center"/>
            <w:hideMark/>
          </w:tcPr>
          <w:p w:rsidR="002675C2" w:rsidRPr="00BB2DC4" w:rsidRDefault="002675C2" w:rsidP="00C206AE">
            <w:pPr>
              <w:spacing w:before="100" w:beforeAutospacing="1" w:after="100" w:afterAutospacing="1" w:line="360" w:lineRule="auto"/>
              <w:ind w:firstLine="300"/>
              <w:jc w:val="center"/>
            </w:pPr>
            <w:r w:rsidRPr="00BB2DC4">
              <w:t>2020</w:t>
            </w:r>
          </w:p>
        </w:tc>
        <w:tc>
          <w:tcPr>
            <w:tcW w:w="2096" w:type="dxa"/>
            <w:gridSpan w:val="2"/>
            <w:vAlign w:val="center"/>
            <w:hideMark/>
          </w:tcPr>
          <w:p w:rsidR="002675C2" w:rsidRPr="00BB2DC4" w:rsidRDefault="002675C2" w:rsidP="00C206AE">
            <w:pPr>
              <w:spacing w:before="100" w:beforeAutospacing="1" w:after="100" w:afterAutospacing="1" w:line="360" w:lineRule="auto"/>
              <w:ind w:firstLine="300"/>
              <w:jc w:val="center"/>
            </w:pPr>
            <w:r w:rsidRPr="00BB2DC4">
              <w:t>2021</w:t>
            </w:r>
          </w:p>
        </w:tc>
        <w:tc>
          <w:tcPr>
            <w:tcW w:w="806" w:type="dxa"/>
            <w:vAlign w:val="center"/>
            <w:hideMark/>
          </w:tcPr>
          <w:p w:rsidR="002675C2" w:rsidRPr="00BB2DC4" w:rsidRDefault="002675C2" w:rsidP="002675C2">
            <w:pPr>
              <w:spacing w:before="100" w:beforeAutospacing="1" w:after="100" w:afterAutospacing="1" w:line="360" w:lineRule="auto"/>
              <w:jc w:val="center"/>
            </w:pPr>
            <w:r w:rsidRPr="00BB2DC4">
              <w:t>2022</w:t>
            </w:r>
          </w:p>
        </w:tc>
      </w:tr>
      <w:tr w:rsidR="002675C2" w:rsidRPr="00352EC2" w:rsidTr="007D5F29">
        <w:trPr>
          <w:tblCellSpacing w:w="15" w:type="dxa"/>
        </w:trPr>
        <w:tc>
          <w:tcPr>
            <w:tcW w:w="1515" w:type="dxa"/>
            <w:vMerge/>
            <w:vAlign w:val="center"/>
            <w:hideMark/>
          </w:tcPr>
          <w:p w:rsidR="002675C2" w:rsidRPr="00352EC2" w:rsidRDefault="002675C2" w:rsidP="00C206AE"/>
        </w:tc>
        <w:tc>
          <w:tcPr>
            <w:tcW w:w="1387" w:type="dxa"/>
            <w:vAlign w:val="center"/>
            <w:hideMark/>
          </w:tcPr>
          <w:p w:rsidR="002675C2" w:rsidRPr="007F4026" w:rsidRDefault="002675C2" w:rsidP="00C206AE">
            <w:pPr>
              <w:spacing w:before="100" w:beforeAutospacing="1" w:after="100" w:afterAutospacing="1"/>
              <w:ind w:firstLine="300"/>
              <w:jc w:val="center"/>
            </w:pPr>
            <w:r w:rsidRPr="007F4026">
              <w:t>saskaņā ar valsts budžetu kārtējam gadam</w:t>
            </w:r>
          </w:p>
        </w:tc>
        <w:tc>
          <w:tcPr>
            <w:tcW w:w="1104" w:type="dxa"/>
            <w:vAlign w:val="center"/>
            <w:hideMark/>
          </w:tcPr>
          <w:p w:rsidR="002675C2" w:rsidRPr="007F4026" w:rsidRDefault="002675C2" w:rsidP="00C206AE">
            <w:pPr>
              <w:spacing w:before="100" w:beforeAutospacing="1" w:after="100" w:afterAutospacing="1"/>
              <w:ind w:firstLine="300"/>
              <w:jc w:val="center"/>
            </w:pPr>
            <w:r w:rsidRPr="007F4026">
              <w:t>izmaiņas kārtējā gadā, salīdzinot ar valsts budžetu kārtējam gadam</w:t>
            </w:r>
          </w:p>
        </w:tc>
        <w:tc>
          <w:tcPr>
            <w:tcW w:w="1104" w:type="dxa"/>
            <w:vAlign w:val="center"/>
            <w:hideMark/>
          </w:tcPr>
          <w:p w:rsidR="002675C2" w:rsidRPr="007F4026" w:rsidRDefault="002675C2" w:rsidP="00C206AE">
            <w:pPr>
              <w:spacing w:before="100" w:beforeAutospacing="1" w:after="100" w:afterAutospacing="1"/>
              <w:ind w:firstLine="300"/>
              <w:jc w:val="center"/>
            </w:pPr>
            <w:r w:rsidRPr="007F4026">
              <w:t>saskaņā ar vidēja termiņa budžeta ietvaru</w:t>
            </w:r>
          </w:p>
        </w:tc>
        <w:tc>
          <w:tcPr>
            <w:tcW w:w="1059" w:type="dxa"/>
            <w:vAlign w:val="center"/>
            <w:hideMark/>
          </w:tcPr>
          <w:p w:rsidR="002675C2" w:rsidRPr="007F4026" w:rsidRDefault="002675C2" w:rsidP="00C206AE">
            <w:pPr>
              <w:spacing w:before="100" w:beforeAutospacing="1" w:after="100" w:afterAutospacing="1"/>
            </w:pPr>
            <w:r w:rsidRPr="007F4026">
              <w:t xml:space="preserve">izmaiņas, salīdzinot ar vidēja termiņa budžeta ietvaru </w:t>
            </w:r>
            <w:r>
              <w:t>2020.</w:t>
            </w:r>
            <w:r w:rsidRPr="007F4026">
              <w:t xml:space="preserve"> gadam </w:t>
            </w:r>
          </w:p>
        </w:tc>
        <w:tc>
          <w:tcPr>
            <w:tcW w:w="963" w:type="dxa"/>
            <w:vAlign w:val="center"/>
            <w:hideMark/>
          </w:tcPr>
          <w:p w:rsidR="002675C2" w:rsidRPr="007F4026" w:rsidRDefault="002675C2" w:rsidP="00C206AE">
            <w:pPr>
              <w:spacing w:before="100" w:beforeAutospacing="1" w:after="100" w:afterAutospacing="1"/>
            </w:pPr>
            <w:r w:rsidRPr="007F4026">
              <w:t>saskaņā ar vidēja termiņa budžeta ietvaru</w:t>
            </w:r>
          </w:p>
        </w:tc>
        <w:tc>
          <w:tcPr>
            <w:tcW w:w="1103" w:type="dxa"/>
            <w:vAlign w:val="center"/>
            <w:hideMark/>
          </w:tcPr>
          <w:p w:rsidR="002675C2" w:rsidRPr="007F4026" w:rsidRDefault="002675C2" w:rsidP="00C206AE">
            <w:pPr>
              <w:spacing w:before="100" w:beforeAutospacing="1" w:after="100" w:afterAutospacing="1"/>
            </w:pPr>
            <w:r w:rsidRPr="007F4026">
              <w:t xml:space="preserve">izmaiņas, salīdzinot ar vidēja termiņa budžeta ietvaru </w:t>
            </w:r>
            <w:r>
              <w:t>2021.</w:t>
            </w:r>
            <w:r w:rsidRPr="007F4026">
              <w:t xml:space="preserve"> gadam </w:t>
            </w:r>
          </w:p>
        </w:tc>
        <w:tc>
          <w:tcPr>
            <w:tcW w:w="806" w:type="dxa"/>
            <w:vAlign w:val="center"/>
            <w:hideMark/>
          </w:tcPr>
          <w:p w:rsidR="002675C2" w:rsidRPr="007F4026" w:rsidRDefault="002675C2" w:rsidP="00C206AE">
            <w:pPr>
              <w:spacing w:before="100" w:beforeAutospacing="1" w:after="100" w:afterAutospacing="1"/>
            </w:pPr>
            <w:r w:rsidRPr="007F4026">
              <w:t>izmaiņas, salīdzinot ar v</w:t>
            </w:r>
            <w:r>
              <w:t xml:space="preserve">idēja termiņa budžeta ietvaru </w:t>
            </w:r>
            <w:r>
              <w:br/>
              <w:t>2021.</w:t>
            </w:r>
            <w:r w:rsidRPr="007F4026">
              <w:t xml:space="preserve"> gadam </w:t>
            </w:r>
          </w:p>
        </w:tc>
      </w:tr>
      <w:tr w:rsidR="002675C2" w:rsidRPr="00352EC2" w:rsidTr="007D5F29">
        <w:trPr>
          <w:tblCellSpacing w:w="15" w:type="dxa"/>
        </w:trPr>
        <w:tc>
          <w:tcPr>
            <w:tcW w:w="1515" w:type="dxa"/>
            <w:vAlign w:val="center"/>
            <w:hideMark/>
          </w:tcPr>
          <w:p w:rsidR="002675C2" w:rsidRPr="00352EC2" w:rsidRDefault="002675C2" w:rsidP="00C206AE">
            <w:pPr>
              <w:spacing w:before="100" w:beforeAutospacing="1" w:after="100" w:afterAutospacing="1" w:line="360" w:lineRule="auto"/>
              <w:ind w:firstLine="300"/>
              <w:jc w:val="center"/>
            </w:pPr>
            <w:r w:rsidRPr="00352EC2">
              <w:t>1</w:t>
            </w:r>
          </w:p>
        </w:tc>
        <w:tc>
          <w:tcPr>
            <w:tcW w:w="1387" w:type="dxa"/>
            <w:vAlign w:val="center"/>
            <w:hideMark/>
          </w:tcPr>
          <w:p w:rsidR="002675C2" w:rsidRPr="00352EC2" w:rsidRDefault="002675C2" w:rsidP="00C206AE">
            <w:pPr>
              <w:spacing w:before="100" w:beforeAutospacing="1" w:after="100" w:afterAutospacing="1" w:line="360" w:lineRule="auto"/>
              <w:ind w:firstLine="300"/>
              <w:jc w:val="center"/>
            </w:pPr>
            <w:r w:rsidRPr="00352EC2">
              <w:t>2</w:t>
            </w:r>
          </w:p>
        </w:tc>
        <w:tc>
          <w:tcPr>
            <w:tcW w:w="1104" w:type="dxa"/>
            <w:vAlign w:val="center"/>
            <w:hideMark/>
          </w:tcPr>
          <w:p w:rsidR="002675C2" w:rsidRPr="00352EC2" w:rsidRDefault="002675C2" w:rsidP="00C206AE">
            <w:pPr>
              <w:spacing w:before="100" w:beforeAutospacing="1" w:after="100" w:afterAutospacing="1" w:line="360" w:lineRule="auto"/>
              <w:ind w:firstLine="300"/>
              <w:jc w:val="center"/>
            </w:pPr>
            <w:r w:rsidRPr="00352EC2">
              <w:t>3</w:t>
            </w:r>
          </w:p>
        </w:tc>
        <w:tc>
          <w:tcPr>
            <w:tcW w:w="1104" w:type="dxa"/>
            <w:vAlign w:val="center"/>
            <w:hideMark/>
          </w:tcPr>
          <w:p w:rsidR="002675C2" w:rsidRPr="00352EC2" w:rsidRDefault="002675C2" w:rsidP="00C206AE">
            <w:pPr>
              <w:spacing w:before="100" w:beforeAutospacing="1" w:after="100" w:afterAutospacing="1" w:line="360" w:lineRule="auto"/>
              <w:ind w:firstLine="300"/>
              <w:jc w:val="center"/>
            </w:pPr>
            <w:r w:rsidRPr="00352EC2">
              <w:t>4</w:t>
            </w:r>
          </w:p>
        </w:tc>
        <w:tc>
          <w:tcPr>
            <w:tcW w:w="1059" w:type="dxa"/>
            <w:vAlign w:val="center"/>
            <w:hideMark/>
          </w:tcPr>
          <w:p w:rsidR="002675C2" w:rsidRPr="00352EC2" w:rsidRDefault="002675C2" w:rsidP="00C206AE">
            <w:pPr>
              <w:spacing w:before="100" w:beforeAutospacing="1" w:after="100" w:afterAutospacing="1" w:line="360" w:lineRule="auto"/>
              <w:ind w:firstLine="300"/>
              <w:jc w:val="center"/>
            </w:pPr>
            <w:r w:rsidRPr="00352EC2">
              <w:t>5</w:t>
            </w:r>
          </w:p>
        </w:tc>
        <w:tc>
          <w:tcPr>
            <w:tcW w:w="963" w:type="dxa"/>
            <w:vAlign w:val="center"/>
            <w:hideMark/>
          </w:tcPr>
          <w:p w:rsidR="002675C2" w:rsidRPr="00352EC2" w:rsidRDefault="002675C2" w:rsidP="00C206AE">
            <w:pPr>
              <w:spacing w:before="100" w:beforeAutospacing="1" w:after="100" w:afterAutospacing="1" w:line="360" w:lineRule="auto"/>
              <w:ind w:firstLine="300"/>
              <w:jc w:val="center"/>
            </w:pPr>
            <w:r w:rsidRPr="00352EC2">
              <w:t>6</w:t>
            </w:r>
          </w:p>
        </w:tc>
        <w:tc>
          <w:tcPr>
            <w:tcW w:w="1103" w:type="dxa"/>
            <w:vAlign w:val="center"/>
            <w:hideMark/>
          </w:tcPr>
          <w:p w:rsidR="002675C2" w:rsidRPr="00352EC2" w:rsidRDefault="002675C2" w:rsidP="00C206AE">
            <w:pPr>
              <w:spacing w:before="100" w:beforeAutospacing="1" w:after="100" w:afterAutospacing="1" w:line="360" w:lineRule="auto"/>
              <w:ind w:firstLine="300"/>
              <w:jc w:val="center"/>
            </w:pPr>
            <w:r w:rsidRPr="00352EC2">
              <w:t>7</w:t>
            </w:r>
          </w:p>
        </w:tc>
        <w:tc>
          <w:tcPr>
            <w:tcW w:w="806" w:type="dxa"/>
            <w:vAlign w:val="center"/>
            <w:hideMark/>
          </w:tcPr>
          <w:p w:rsidR="002675C2" w:rsidRPr="00352EC2" w:rsidRDefault="002675C2" w:rsidP="00C206AE">
            <w:pPr>
              <w:spacing w:before="100" w:beforeAutospacing="1" w:after="100" w:afterAutospacing="1" w:line="360" w:lineRule="auto"/>
              <w:ind w:firstLine="300"/>
              <w:jc w:val="center"/>
            </w:pPr>
            <w:r w:rsidRPr="00352EC2">
              <w:t>8</w:t>
            </w:r>
          </w:p>
        </w:tc>
      </w:tr>
      <w:tr w:rsidR="002675C2" w:rsidRPr="00352EC2" w:rsidTr="007D5F29">
        <w:trPr>
          <w:tblCellSpacing w:w="15" w:type="dxa"/>
        </w:trPr>
        <w:tc>
          <w:tcPr>
            <w:tcW w:w="1515" w:type="dxa"/>
            <w:hideMark/>
          </w:tcPr>
          <w:p w:rsidR="002675C2" w:rsidRPr="00352EC2" w:rsidRDefault="002675C2" w:rsidP="00C206AE">
            <w:r w:rsidRPr="00352EC2">
              <w:t>1. Budžeta ieņēmumi</w:t>
            </w:r>
          </w:p>
        </w:tc>
        <w:tc>
          <w:tcPr>
            <w:tcW w:w="1387"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059" w:type="dxa"/>
            <w:vAlign w:val="center"/>
            <w:hideMark/>
          </w:tcPr>
          <w:p w:rsidR="002675C2" w:rsidRPr="00352EC2" w:rsidRDefault="002675C2" w:rsidP="00C206AE">
            <w:r w:rsidRPr="00352EC2">
              <w:t> </w:t>
            </w:r>
            <w:r>
              <w:t>0</w:t>
            </w:r>
          </w:p>
        </w:tc>
        <w:tc>
          <w:tcPr>
            <w:tcW w:w="963" w:type="dxa"/>
            <w:vAlign w:val="center"/>
            <w:hideMark/>
          </w:tcPr>
          <w:p w:rsidR="002675C2" w:rsidRPr="00352EC2" w:rsidRDefault="002675C2" w:rsidP="00C206AE">
            <w:r w:rsidRPr="00352EC2">
              <w:t> </w:t>
            </w:r>
            <w:r>
              <w:t>0</w:t>
            </w:r>
          </w:p>
        </w:tc>
        <w:tc>
          <w:tcPr>
            <w:tcW w:w="1103" w:type="dxa"/>
            <w:vAlign w:val="center"/>
            <w:hideMark/>
          </w:tcPr>
          <w:p w:rsidR="002675C2" w:rsidRPr="00352EC2" w:rsidRDefault="002675C2" w:rsidP="00C206AE">
            <w:r w:rsidRPr="00352EC2">
              <w:t> </w:t>
            </w:r>
            <w:r>
              <w:t>0</w:t>
            </w:r>
          </w:p>
        </w:tc>
        <w:tc>
          <w:tcPr>
            <w:tcW w:w="806" w:type="dxa"/>
            <w:vAlign w:val="center"/>
            <w:hideMark/>
          </w:tcPr>
          <w:p w:rsidR="002675C2" w:rsidRPr="00352EC2" w:rsidRDefault="002675C2" w:rsidP="00C206AE">
            <w:r w:rsidRPr="00352EC2">
              <w:t> </w:t>
            </w:r>
            <w:r>
              <w:t>0</w:t>
            </w:r>
          </w:p>
        </w:tc>
      </w:tr>
      <w:tr w:rsidR="002675C2" w:rsidRPr="00352EC2" w:rsidTr="007D5F29">
        <w:trPr>
          <w:tblCellSpacing w:w="15" w:type="dxa"/>
        </w:trPr>
        <w:tc>
          <w:tcPr>
            <w:tcW w:w="1515" w:type="dxa"/>
            <w:hideMark/>
          </w:tcPr>
          <w:p w:rsidR="002675C2" w:rsidRPr="00352EC2" w:rsidRDefault="002675C2" w:rsidP="00C206AE">
            <w:r w:rsidRPr="00352EC2">
              <w:t>1.1. valsts pamatbudžets, tai skaitā ieņēmumi no maksas pakalpojumiem un citi pašu ieņēmumi</w:t>
            </w:r>
          </w:p>
        </w:tc>
        <w:tc>
          <w:tcPr>
            <w:tcW w:w="1387"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059" w:type="dxa"/>
            <w:vAlign w:val="center"/>
            <w:hideMark/>
          </w:tcPr>
          <w:p w:rsidR="002675C2" w:rsidRPr="00352EC2" w:rsidRDefault="002675C2" w:rsidP="00C206AE">
            <w:r w:rsidRPr="00352EC2">
              <w:t> </w:t>
            </w:r>
            <w:r>
              <w:t>0</w:t>
            </w:r>
          </w:p>
        </w:tc>
        <w:tc>
          <w:tcPr>
            <w:tcW w:w="963" w:type="dxa"/>
            <w:vAlign w:val="center"/>
            <w:hideMark/>
          </w:tcPr>
          <w:p w:rsidR="002675C2" w:rsidRPr="00352EC2" w:rsidRDefault="002675C2" w:rsidP="00C206AE">
            <w:r w:rsidRPr="00352EC2">
              <w:t> </w:t>
            </w:r>
            <w:r>
              <w:t>0</w:t>
            </w:r>
          </w:p>
        </w:tc>
        <w:tc>
          <w:tcPr>
            <w:tcW w:w="1103" w:type="dxa"/>
            <w:vAlign w:val="center"/>
            <w:hideMark/>
          </w:tcPr>
          <w:p w:rsidR="002675C2" w:rsidRPr="00352EC2" w:rsidRDefault="002675C2" w:rsidP="00C206AE">
            <w:r w:rsidRPr="00352EC2">
              <w:t> </w:t>
            </w:r>
            <w:r>
              <w:t>0</w:t>
            </w:r>
          </w:p>
        </w:tc>
        <w:tc>
          <w:tcPr>
            <w:tcW w:w="806" w:type="dxa"/>
            <w:vAlign w:val="center"/>
            <w:hideMark/>
          </w:tcPr>
          <w:p w:rsidR="002675C2" w:rsidRPr="00352EC2" w:rsidRDefault="002675C2" w:rsidP="00C206AE">
            <w:r w:rsidRPr="00352EC2">
              <w:t> </w:t>
            </w:r>
            <w:r>
              <w:t>0</w:t>
            </w:r>
          </w:p>
        </w:tc>
      </w:tr>
      <w:tr w:rsidR="002675C2" w:rsidRPr="00352EC2" w:rsidTr="007D5F29">
        <w:trPr>
          <w:tblCellSpacing w:w="15" w:type="dxa"/>
        </w:trPr>
        <w:tc>
          <w:tcPr>
            <w:tcW w:w="1515" w:type="dxa"/>
            <w:hideMark/>
          </w:tcPr>
          <w:p w:rsidR="002675C2" w:rsidRPr="00352EC2" w:rsidRDefault="002675C2" w:rsidP="00C206AE">
            <w:r w:rsidRPr="00352EC2">
              <w:t>1.2. valsts speciālais budžets</w:t>
            </w:r>
          </w:p>
        </w:tc>
        <w:tc>
          <w:tcPr>
            <w:tcW w:w="1387"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059" w:type="dxa"/>
            <w:vAlign w:val="center"/>
            <w:hideMark/>
          </w:tcPr>
          <w:p w:rsidR="002675C2" w:rsidRPr="00352EC2" w:rsidRDefault="002675C2" w:rsidP="00C206AE">
            <w:r w:rsidRPr="00352EC2">
              <w:t> </w:t>
            </w:r>
            <w:r>
              <w:t>0</w:t>
            </w:r>
          </w:p>
        </w:tc>
        <w:tc>
          <w:tcPr>
            <w:tcW w:w="963" w:type="dxa"/>
            <w:vAlign w:val="center"/>
            <w:hideMark/>
          </w:tcPr>
          <w:p w:rsidR="002675C2" w:rsidRPr="00352EC2" w:rsidRDefault="002675C2" w:rsidP="00C206AE">
            <w:r w:rsidRPr="00352EC2">
              <w:t> </w:t>
            </w:r>
            <w:r>
              <w:t>0</w:t>
            </w:r>
          </w:p>
        </w:tc>
        <w:tc>
          <w:tcPr>
            <w:tcW w:w="1103" w:type="dxa"/>
            <w:vAlign w:val="center"/>
            <w:hideMark/>
          </w:tcPr>
          <w:p w:rsidR="002675C2" w:rsidRPr="00352EC2" w:rsidRDefault="002675C2" w:rsidP="00C206AE">
            <w:r w:rsidRPr="00352EC2">
              <w:t> </w:t>
            </w:r>
            <w:r>
              <w:t>0</w:t>
            </w:r>
          </w:p>
        </w:tc>
        <w:tc>
          <w:tcPr>
            <w:tcW w:w="806" w:type="dxa"/>
            <w:vAlign w:val="center"/>
            <w:hideMark/>
          </w:tcPr>
          <w:p w:rsidR="002675C2" w:rsidRPr="00352EC2" w:rsidRDefault="002675C2" w:rsidP="00C206AE">
            <w:r w:rsidRPr="00352EC2">
              <w:t> </w:t>
            </w:r>
            <w:r>
              <w:t>0</w:t>
            </w:r>
          </w:p>
        </w:tc>
      </w:tr>
      <w:tr w:rsidR="002675C2" w:rsidRPr="00352EC2" w:rsidTr="007D5F29">
        <w:trPr>
          <w:tblCellSpacing w:w="15" w:type="dxa"/>
        </w:trPr>
        <w:tc>
          <w:tcPr>
            <w:tcW w:w="1515" w:type="dxa"/>
            <w:hideMark/>
          </w:tcPr>
          <w:p w:rsidR="002675C2" w:rsidRPr="00352EC2" w:rsidRDefault="002675C2" w:rsidP="00C206AE">
            <w:r w:rsidRPr="00352EC2">
              <w:t>1.3. pašvaldību budžets</w:t>
            </w:r>
          </w:p>
        </w:tc>
        <w:tc>
          <w:tcPr>
            <w:tcW w:w="1387"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059" w:type="dxa"/>
            <w:vAlign w:val="center"/>
            <w:hideMark/>
          </w:tcPr>
          <w:p w:rsidR="002675C2" w:rsidRPr="00352EC2" w:rsidRDefault="002675C2" w:rsidP="00C206AE">
            <w:r w:rsidRPr="00352EC2">
              <w:t> </w:t>
            </w:r>
            <w:r>
              <w:t>0</w:t>
            </w:r>
          </w:p>
        </w:tc>
        <w:tc>
          <w:tcPr>
            <w:tcW w:w="963" w:type="dxa"/>
            <w:vAlign w:val="center"/>
            <w:hideMark/>
          </w:tcPr>
          <w:p w:rsidR="002675C2" w:rsidRPr="00352EC2" w:rsidRDefault="002675C2" w:rsidP="00C206AE">
            <w:r w:rsidRPr="00352EC2">
              <w:t> </w:t>
            </w:r>
            <w:r>
              <w:t>0</w:t>
            </w:r>
          </w:p>
        </w:tc>
        <w:tc>
          <w:tcPr>
            <w:tcW w:w="1103" w:type="dxa"/>
            <w:vAlign w:val="center"/>
            <w:hideMark/>
          </w:tcPr>
          <w:p w:rsidR="002675C2" w:rsidRPr="00352EC2" w:rsidRDefault="002675C2" w:rsidP="00C206AE">
            <w:r w:rsidRPr="00352EC2">
              <w:t> </w:t>
            </w:r>
            <w:r>
              <w:t>0</w:t>
            </w:r>
          </w:p>
        </w:tc>
        <w:tc>
          <w:tcPr>
            <w:tcW w:w="806" w:type="dxa"/>
            <w:vAlign w:val="center"/>
            <w:hideMark/>
          </w:tcPr>
          <w:p w:rsidR="002675C2" w:rsidRPr="00352EC2" w:rsidRDefault="002675C2" w:rsidP="00C206AE">
            <w:r w:rsidRPr="00352EC2">
              <w:t> </w:t>
            </w:r>
            <w:r>
              <w:t>0</w:t>
            </w:r>
          </w:p>
        </w:tc>
      </w:tr>
      <w:tr w:rsidR="002675C2" w:rsidRPr="00352EC2" w:rsidTr="007D5F29">
        <w:trPr>
          <w:tblCellSpacing w:w="15" w:type="dxa"/>
        </w:trPr>
        <w:tc>
          <w:tcPr>
            <w:tcW w:w="1515" w:type="dxa"/>
            <w:hideMark/>
          </w:tcPr>
          <w:p w:rsidR="002675C2" w:rsidRPr="00352EC2" w:rsidRDefault="002675C2" w:rsidP="00C206AE">
            <w:r w:rsidRPr="00352EC2">
              <w:t>2. Budžeta izdevumi</w:t>
            </w:r>
          </w:p>
        </w:tc>
        <w:tc>
          <w:tcPr>
            <w:tcW w:w="1387"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104" w:type="dxa"/>
          </w:tcPr>
          <w:p w:rsidR="002675C2" w:rsidRPr="00352EC2" w:rsidRDefault="002675C2" w:rsidP="00C206AE">
            <w:r>
              <w:t>0</w:t>
            </w:r>
          </w:p>
        </w:tc>
        <w:tc>
          <w:tcPr>
            <w:tcW w:w="1059" w:type="dxa"/>
            <w:hideMark/>
          </w:tcPr>
          <w:p w:rsidR="002675C2" w:rsidRPr="00352EC2" w:rsidRDefault="002675C2" w:rsidP="00C206AE">
            <w:r w:rsidRPr="003C492D">
              <w:t> 299 979</w:t>
            </w:r>
          </w:p>
        </w:tc>
        <w:tc>
          <w:tcPr>
            <w:tcW w:w="963" w:type="dxa"/>
            <w:vAlign w:val="center"/>
            <w:hideMark/>
          </w:tcPr>
          <w:p w:rsidR="002675C2" w:rsidRPr="00352EC2" w:rsidRDefault="002675C2" w:rsidP="00C206AE">
            <w:r w:rsidRPr="00352EC2">
              <w:t> </w:t>
            </w:r>
            <w:r>
              <w:t>0</w:t>
            </w:r>
          </w:p>
        </w:tc>
        <w:tc>
          <w:tcPr>
            <w:tcW w:w="1103" w:type="dxa"/>
            <w:hideMark/>
          </w:tcPr>
          <w:p w:rsidR="002675C2" w:rsidRPr="00352EC2" w:rsidRDefault="002675C2" w:rsidP="00C206AE">
            <w:r w:rsidRPr="003C492D">
              <w:t>86 011</w:t>
            </w:r>
          </w:p>
        </w:tc>
        <w:tc>
          <w:tcPr>
            <w:tcW w:w="806" w:type="dxa"/>
            <w:hideMark/>
          </w:tcPr>
          <w:p w:rsidR="002675C2" w:rsidRPr="00352EC2" w:rsidRDefault="002675C2" w:rsidP="00C206AE">
            <w:r w:rsidRPr="003C492D">
              <w:t>86 011</w:t>
            </w:r>
          </w:p>
        </w:tc>
      </w:tr>
      <w:tr w:rsidR="002675C2" w:rsidRPr="00352EC2" w:rsidTr="007D5F29">
        <w:trPr>
          <w:tblCellSpacing w:w="15" w:type="dxa"/>
        </w:trPr>
        <w:tc>
          <w:tcPr>
            <w:tcW w:w="1515" w:type="dxa"/>
            <w:hideMark/>
          </w:tcPr>
          <w:p w:rsidR="002675C2" w:rsidRPr="00352EC2" w:rsidRDefault="002675C2" w:rsidP="00C206AE">
            <w:r w:rsidRPr="00352EC2">
              <w:t>2.1. valsts pamatbudžets</w:t>
            </w:r>
          </w:p>
        </w:tc>
        <w:tc>
          <w:tcPr>
            <w:tcW w:w="1387"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104" w:type="dxa"/>
          </w:tcPr>
          <w:p w:rsidR="002675C2" w:rsidRPr="00352EC2" w:rsidRDefault="002675C2" w:rsidP="00C206AE">
            <w:r>
              <w:t>0</w:t>
            </w:r>
          </w:p>
        </w:tc>
        <w:tc>
          <w:tcPr>
            <w:tcW w:w="1059" w:type="dxa"/>
            <w:hideMark/>
          </w:tcPr>
          <w:p w:rsidR="002675C2" w:rsidRPr="00352EC2" w:rsidRDefault="002675C2" w:rsidP="00C206AE">
            <w:r w:rsidRPr="003C492D">
              <w:t> 299 979</w:t>
            </w:r>
          </w:p>
        </w:tc>
        <w:tc>
          <w:tcPr>
            <w:tcW w:w="963" w:type="dxa"/>
            <w:vAlign w:val="center"/>
            <w:hideMark/>
          </w:tcPr>
          <w:p w:rsidR="002675C2" w:rsidRPr="00352EC2" w:rsidRDefault="002675C2" w:rsidP="00C206AE">
            <w:r w:rsidRPr="00352EC2">
              <w:t> </w:t>
            </w:r>
            <w:r>
              <w:t>0</w:t>
            </w:r>
          </w:p>
        </w:tc>
        <w:tc>
          <w:tcPr>
            <w:tcW w:w="1103" w:type="dxa"/>
            <w:hideMark/>
          </w:tcPr>
          <w:p w:rsidR="002675C2" w:rsidRPr="00352EC2" w:rsidRDefault="002675C2" w:rsidP="00C206AE">
            <w:r w:rsidRPr="003C492D">
              <w:t>86 011</w:t>
            </w:r>
          </w:p>
        </w:tc>
        <w:tc>
          <w:tcPr>
            <w:tcW w:w="806" w:type="dxa"/>
            <w:hideMark/>
          </w:tcPr>
          <w:p w:rsidR="002675C2" w:rsidRPr="00352EC2" w:rsidRDefault="002675C2" w:rsidP="00C206AE">
            <w:r w:rsidRPr="003C492D">
              <w:t>86 011</w:t>
            </w:r>
          </w:p>
        </w:tc>
      </w:tr>
      <w:tr w:rsidR="002675C2" w:rsidRPr="00352EC2" w:rsidTr="007D5F29">
        <w:trPr>
          <w:tblCellSpacing w:w="15" w:type="dxa"/>
        </w:trPr>
        <w:tc>
          <w:tcPr>
            <w:tcW w:w="1515" w:type="dxa"/>
            <w:hideMark/>
          </w:tcPr>
          <w:p w:rsidR="002675C2" w:rsidRPr="00352EC2" w:rsidRDefault="002675C2" w:rsidP="00C206AE">
            <w:r w:rsidRPr="00352EC2">
              <w:t>2.2. valsts speciālais budžets</w:t>
            </w:r>
          </w:p>
        </w:tc>
        <w:tc>
          <w:tcPr>
            <w:tcW w:w="1387"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104" w:type="dxa"/>
          </w:tcPr>
          <w:p w:rsidR="002675C2" w:rsidRPr="00352EC2" w:rsidRDefault="002675C2" w:rsidP="00C206AE">
            <w:r>
              <w:t>0</w:t>
            </w:r>
          </w:p>
        </w:tc>
        <w:tc>
          <w:tcPr>
            <w:tcW w:w="1059" w:type="dxa"/>
            <w:hideMark/>
          </w:tcPr>
          <w:p w:rsidR="002675C2" w:rsidRPr="00352EC2" w:rsidRDefault="002675C2" w:rsidP="00C206AE">
            <w:r w:rsidRPr="003C492D">
              <w:t> </w:t>
            </w:r>
            <w:r>
              <w:t>0</w:t>
            </w:r>
          </w:p>
        </w:tc>
        <w:tc>
          <w:tcPr>
            <w:tcW w:w="963" w:type="dxa"/>
            <w:vAlign w:val="center"/>
            <w:hideMark/>
          </w:tcPr>
          <w:p w:rsidR="002675C2" w:rsidRPr="00352EC2" w:rsidRDefault="002675C2" w:rsidP="00C206AE">
            <w:r w:rsidRPr="00352EC2">
              <w:t> </w:t>
            </w:r>
            <w:r>
              <w:t>0</w:t>
            </w:r>
          </w:p>
        </w:tc>
        <w:tc>
          <w:tcPr>
            <w:tcW w:w="1103" w:type="dxa"/>
            <w:hideMark/>
          </w:tcPr>
          <w:p w:rsidR="002675C2" w:rsidRPr="00352EC2" w:rsidRDefault="002675C2" w:rsidP="00C206AE">
            <w:r w:rsidRPr="003C492D">
              <w:t> </w:t>
            </w:r>
            <w:r>
              <w:t>0</w:t>
            </w:r>
          </w:p>
        </w:tc>
        <w:tc>
          <w:tcPr>
            <w:tcW w:w="806" w:type="dxa"/>
            <w:hideMark/>
          </w:tcPr>
          <w:p w:rsidR="002675C2" w:rsidRPr="00352EC2" w:rsidRDefault="002675C2" w:rsidP="00C206AE">
            <w:r w:rsidRPr="003C492D">
              <w:t> </w:t>
            </w:r>
            <w:r>
              <w:t>0</w:t>
            </w:r>
          </w:p>
        </w:tc>
      </w:tr>
      <w:tr w:rsidR="002675C2" w:rsidRPr="00352EC2" w:rsidTr="007D5F29">
        <w:trPr>
          <w:tblCellSpacing w:w="15" w:type="dxa"/>
        </w:trPr>
        <w:tc>
          <w:tcPr>
            <w:tcW w:w="1515" w:type="dxa"/>
            <w:hideMark/>
          </w:tcPr>
          <w:p w:rsidR="002675C2" w:rsidRPr="00352EC2" w:rsidRDefault="002675C2" w:rsidP="00C206AE">
            <w:r w:rsidRPr="00352EC2">
              <w:t>2.3. pašvaldību budžets</w:t>
            </w:r>
          </w:p>
        </w:tc>
        <w:tc>
          <w:tcPr>
            <w:tcW w:w="1387"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104" w:type="dxa"/>
          </w:tcPr>
          <w:p w:rsidR="002675C2" w:rsidRPr="00352EC2" w:rsidRDefault="002675C2" w:rsidP="00C206AE">
            <w:r>
              <w:t>0</w:t>
            </w:r>
          </w:p>
        </w:tc>
        <w:tc>
          <w:tcPr>
            <w:tcW w:w="1059" w:type="dxa"/>
            <w:hideMark/>
          </w:tcPr>
          <w:p w:rsidR="002675C2" w:rsidRPr="00352EC2" w:rsidRDefault="002675C2" w:rsidP="00C206AE">
            <w:r w:rsidRPr="003C492D">
              <w:t> </w:t>
            </w:r>
            <w:r>
              <w:t>0</w:t>
            </w:r>
          </w:p>
        </w:tc>
        <w:tc>
          <w:tcPr>
            <w:tcW w:w="963" w:type="dxa"/>
            <w:vAlign w:val="center"/>
            <w:hideMark/>
          </w:tcPr>
          <w:p w:rsidR="002675C2" w:rsidRPr="00352EC2" w:rsidRDefault="002675C2" w:rsidP="00C206AE">
            <w:r w:rsidRPr="00352EC2">
              <w:t> </w:t>
            </w:r>
            <w:r>
              <w:t>0</w:t>
            </w:r>
          </w:p>
        </w:tc>
        <w:tc>
          <w:tcPr>
            <w:tcW w:w="1103" w:type="dxa"/>
            <w:hideMark/>
          </w:tcPr>
          <w:p w:rsidR="002675C2" w:rsidRPr="00352EC2" w:rsidRDefault="002675C2" w:rsidP="00C206AE">
            <w:r w:rsidRPr="003C492D">
              <w:t> </w:t>
            </w:r>
            <w:r>
              <w:t>0</w:t>
            </w:r>
          </w:p>
        </w:tc>
        <w:tc>
          <w:tcPr>
            <w:tcW w:w="806" w:type="dxa"/>
            <w:hideMark/>
          </w:tcPr>
          <w:p w:rsidR="002675C2" w:rsidRPr="00352EC2" w:rsidRDefault="002675C2" w:rsidP="00C206AE">
            <w:r w:rsidRPr="003C492D">
              <w:t> </w:t>
            </w:r>
            <w:r>
              <w:t>0</w:t>
            </w:r>
          </w:p>
        </w:tc>
      </w:tr>
      <w:tr w:rsidR="002675C2" w:rsidRPr="00352EC2" w:rsidTr="007D5F29">
        <w:trPr>
          <w:tblCellSpacing w:w="15" w:type="dxa"/>
        </w:trPr>
        <w:tc>
          <w:tcPr>
            <w:tcW w:w="1515" w:type="dxa"/>
            <w:hideMark/>
          </w:tcPr>
          <w:p w:rsidR="002675C2" w:rsidRPr="00352EC2" w:rsidRDefault="002675C2" w:rsidP="00C206AE">
            <w:r w:rsidRPr="00352EC2">
              <w:lastRenderedPageBreak/>
              <w:t>3. Finansiālā ietekme</w:t>
            </w:r>
          </w:p>
        </w:tc>
        <w:tc>
          <w:tcPr>
            <w:tcW w:w="1387"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104" w:type="dxa"/>
          </w:tcPr>
          <w:p w:rsidR="002675C2" w:rsidRPr="00352EC2" w:rsidRDefault="002675C2" w:rsidP="00C206AE">
            <w:r>
              <w:t>0</w:t>
            </w:r>
          </w:p>
        </w:tc>
        <w:tc>
          <w:tcPr>
            <w:tcW w:w="1059" w:type="dxa"/>
            <w:hideMark/>
          </w:tcPr>
          <w:p w:rsidR="002675C2" w:rsidRPr="00352EC2" w:rsidRDefault="002675C2" w:rsidP="00C206AE">
            <w:r w:rsidRPr="003C492D">
              <w:t> -299 979</w:t>
            </w:r>
          </w:p>
        </w:tc>
        <w:tc>
          <w:tcPr>
            <w:tcW w:w="963" w:type="dxa"/>
            <w:vAlign w:val="center"/>
            <w:hideMark/>
          </w:tcPr>
          <w:p w:rsidR="002675C2" w:rsidRPr="00352EC2" w:rsidRDefault="002675C2" w:rsidP="00C206AE">
            <w:r w:rsidRPr="00352EC2">
              <w:t> </w:t>
            </w:r>
            <w:r>
              <w:t>0</w:t>
            </w:r>
          </w:p>
        </w:tc>
        <w:tc>
          <w:tcPr>
            <w:tcW w:w="1103" w:type="dxa"/>
            <w:hideMark/>
          </w:tcPr>
          <w:p w:rsidR="002675C2" w:rsidRPr="00352EC2" w:rsidRDefault="002675C2" w:rsidP="00C206AE">
            <w:r w:rsidRPr="003C492D">
              <w:t>-86 011</w:t>
            </w:r>
          </w:p>
        </w:tc>
        <w:tc>
          <w:tcPr>
            <w:tcW w:w="806" w:type="dxa"/>
            <w:hideMark/>
          </w:tcPr>
          <w:p w:rsidR="002675C2" w:rsidRPr="00352EC2" w:rsidRDefault="002675C2" w:rsidP="00C206AE">
            <w:r w:rsidRPr="003C492D">
              <w:t>-86 011</w:t>
            </w:r>
          </w:p>
        </w:tc>
      </w:tr>
      <w:tr w:rsidR="002675C2" w:rsidRPr="00352EC2" w:rsidTr="007D5F29">
        <w:trPr>
          <w:tblCellSpacing w:w="15" w:type="dxa"/>
        </w:trPr>
        <w:tc>
          <w:tcPr>
            <w:tcW w:w="1515" w:type="dxa"/>
            <w:hideMark/>
          </w:tcPr>
          <w:p w:rsidR="002675C2" w:rsidRPr="00352EC2" w:rsidRDefault="002675C2" w:rsidP="00C206AE">
            <w:r w:rsidRPr="00352EC2">
              <w:t>3.1. valsts pamatbudžets</w:t>
            </w:r>
          </w:p>
        </w:tc>
        <w:tc>
          <w:tcPr>
            <w:tcW w:w="1387"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104" w:type="dxa"/>
          </w:tcPr>
          <w:p w:rsidR="002675C2" w:rsidRPr="00352EC2" w:rsidRDefault="002675C2" w:rsidP="00C206AE">
            <w:r>
              <w:t>0</w:t>
            </w:r>
          </w:p>
        </w:tc>
        <w:tc>
          <w:tcPr>
            <w:tcW w:w="1059" w:type="dxa"/>
            <w:hideMark/>
          </w:tcPr>
          <w:p w:rsidR="002675C2" w:rsidRPr="00352EC2" w:rsidRDefault="002675C2" w:rsidP="00C206AE">
            <w:r w:rsidRPr="003C492D">
              <w:t> -299 979</w:t>
            </w:r>
          </w:p>
        </w:tc>
        <w:tc>
          <w:tcPr>
            <w:tcW w:w="963" w:type="dxa"/>
            <w:vAlign w:val="center"/>
            <w:hideMark/>
          </w:tcPr>
          <w:p w:rsidR="002675C2" w:rsidRPr="00352EC2" w:rsidRDefault="002675C2" w:rsidP="00C206AE">
            <w:r w:rsidRPr="00352EC2">
              <w:t> </w:t>
            </w:r>
            <w:r>
              <w:t>0</w:t>
            </w:r>
          </w:p>
        </w:tc>
        <w:tc>
          <w:tcPr>
            <w:tcW w:w="1103" w:type="dxa"/>
            <w:hideMark/>
          </w:tcPr>
          <w:p w:rsidR="002675C2" w:rsidRPr="00352EC2" w:rsidRDefault="002675C2" w:rsidP="00C206AE">
            <w:r w:rsidRPr="003C492D">
              <w:t>-86 011</w:t>
            </w:r>
          </w:p>
        </w:tc>
        <w:tc>
          <w:tcPr>
            <w:tcW w:w="806" w:type="dxa"/>
            <w:hideMark/>
          </w:tcPr>
          <w:p w:rsidR="002675C2" w:rsidRPr="00352EC2" w:rsidRDefault="002675C2" w:rsidP="00C206AE">
            <w:r w:rsidRPr="003C492D">
              <w:t>-86 011</w:t>
            </w:r>
          </w:p>
        </w:tc>
      </w:tr>
      <w:tr w:rsidR="002675C2" w:rsidRPr="00352EC2" w:rsidTr="007D5F29">
        <w:trPr>
          <w:tblCellSpacing w:w="15" w:type="dxa"/>
        </w:trPr>
        <w:tc>
          <w:tcPr>
            <w:tcW w:w="1515" w:type="dxa"/>
            <w:hideMark/>
          </w:tcPr>
          <w:p w:rsidR="002675C2" w:rsidRPr="00352EC2" w:rsidRDefault="002675C2" w:rsidP="00C206AE">
            <w:r w:rsidRPr="00352EC2">
              <w:t>3.2. speciālais budžets</w:t>
            </w:r>
          </w:p>
        </w:tc>
        <w:tc>
          <w:tcPr>
            <w:tcW w:w="1387" w:type="dxa"/>
            <w:vAlign w:val="center"/>
            <w:hideMark/>
          </w:tcPr>
          <w:p w:rsidR="002675C2" w:rsidRPr="00352EC2" w:rsidRDefault="002675C2" w:rsidP="00C206AE">
            <w:r w:rsidRPr="00352EC2">
              <w:t> </w:t>
            </w:r>
          </w:p>
        </w:tc>
        <w:tc>
          <w:tcPr>
            <w:tcW w:w="1104" w:type="dxa"/>
            <w:vAlign w:val="center"/>
            <w:hideMark/>
          </w:tcPr>
          <w:p w:rsidR="002675C2" w:rsidRPr="00352EC2" w:rsidRDefault="002675C2" w:rsidP="00C206AE">
            <w:r w:rsidRPr="00352EC2">
              <w:t> </w:t>
            </w:r>
          </w:p>
        </w:tc>
        <w:tc>
          <w:tcPr>
            <w:tcW w:w="1104" w:type="dxa"/>
            <w:vAlign w:val="center"/>
            <w:hideMark/>
          </w:tcPr>
          <w:p w:rsidR="002675C2" w:rsidRPr="00352EC2" w:rsidRDefault="002675C2" w:rsidP="00C206AE">
            <w:r w:rsidRPr="00352EC2">
              <w:t> </w:t>
            </w:r>
          </w:p>
        </w:tc>
        <w:tc>
          <w:tcPr>
            <w:tcW w:w="1059" w:type="dxa"/>
            <w:vAlign w:val="center"/>
            <w:hideMark/>
          </w:tcPr>
          <w:p w:rsidR="002675C2" w:rsidRPr="00352EC2" w:rsidRDefault="002675C2" w:rsidP="00C206AE">
            <w:r w:rsidRPr="00352EC2">
              <w:t> </w:t>
            </w:r>
          </w:p>
        </w:tc>
        <w:tc>
          <w:tcPr>
            <w:tcW w:w="963" w:type="dxa"/>
            <w:vAlign w:val="center"/>
            <w:hideMark/>
          </w:tcPr>
          <w:p w:rsidR="002675C2" w:rsidRPr="00352EC2" w:rsidRDefault="002675C2" w:rsidP="00C206AE">
            <w:r w:rsidRPr="00352EC2">
              <w:t> </w:t>
            </w:r>
          </w:p>
        </w:tc>
        <w:tc>
          <w:tcPr>
            <w:tcW w:w="1103" w:type="dxa"/>
            <w:hideMark/>
          </w:tcPr>
          <w:p w:rsidR="002675C2" w:rsidRPr="00352EC2" w:rsidRDefault="002675C2" w:rsidP="00C206AE">
            <w:r w:rsidRPr="003C492D">
              <w:t> </w:t>
            </w:r>
          </w:p>
        </w:tc>
        <w:tc>
          <w:tcPr>
            <w:tcW w:w="806" w:type="dxa"/>
            <w:vAlign w:val="center"/>
            <w:hideMark/>
          </w:tcPr>
          <w:p w:rsidR="002675C2" w:rsidRPr="00352EC2" w:rsidRDefault="002675C2" w:rsidP="00C206AE">
            <w:r w:rsidRPr="00352EC2">
              <w:t> </w:t>
            </w:r>
          </w:p>
        </w:tc>
      </w:tr>
      <w:tr w:rsidR="002675C2" w:rsidRPr="00352EC2" w:rsidTr="007D5F29">
        <w:trPr>
          <w:tblCellSpacing w:w="15" w:type="dxa"/>
        </w:trPr>
        <w:tc>
          <w:tcPr>
            <w:tcW w:w="1515" w:type="dxa"/>
            <w:hideMark/>
          </w:tcPr>
          <w:p w:rsidR="002675C2" w:rsidRPr="00352EC2" w:rsidRDefault="002675C2" w:rsidP="00C206AE">
            <w:r w:rsidRPr="00352EC2">
              <w:t>3.3. pašvaldību budžets</w:t>
            </w:r>
          </w:p>
        </w:tc>
        <w:tc>
          <w:tcPr>
            <w:tcW w:w="1387" w:type="dxa"/>
            <w:vAlign w:val="center"/>
            <w:hideMark/>
          </w:tcPr>
          <w:p w:rsidR="002675C2" w:rsidRPr="00352EC2" w:rsidRDefault="002675C2" w:rsidP="00C206AE">
            <w:r w:rsidRPr="00352EC2">
              <w:t> </w:t>
            </w:r>
          </w:p>
        </w:tc>
        <w:tc>
          <w:tcPr>
            <w:tcW w:w="1104" w:type="dxa"/>
            <w:vAlign w:val="center"/>
            <w:hideMark/>
          </w:tcPr>
          <w:p w:rsidR="002675C2" w:rsidRPr="00352EC2" w:rsidRDefault="002675C2" w:rsidP="00C206AE">
            <w:r w:rsidRPr="00352EC2">
              <w:t> </w:t>
            </w:r>
          </w:p>
        </w:tc>
        <w:tc>
          <w:tcPr>
            <w:tcW w:w="1104" w:type="dxa"/>
            <w:vAlign w:val="center"/>
            <w:hideMark/>
          </w:tcPr>
          <w:p w:rsidR="002675C2" w:rsidRPr="00352EC2" w:rsidRDefault="002675C2" w:rsidP="00C206AE">
            <w:r w:rsidRPr="00352EC2">
              <w:t> </w:t>
            </w:r>
          </w:p>
        </w:tc>
        <w:tc>
          <w:tcPr>
            <w:tcW w:w="1059" w:type="dxa"/>
            <w:vAlign w:val="center"/>
            <w:hideMark/>
          </w:tcPr>
          <w:p w:rsidR="002675C2" w:rsidRPr="00352EC2" w:rsidRDefault="002675C2" w:rsidP="00C206AE">
            <w:r w:rsidRPr="00352EC2">
              <w:t> </w:t>
            </w:r>
          </w:p>
        </w:tc>
        <w:tc>
          <w:tcPr>
            <w:tcW w:w="963" w:type="dxa"/>
            <w:vAlign w:val="center"/>
            <w:hideMark/>
          </w:tcPr>
          <w:p w:rsidR="002675C2" w:rsidRPr="00352EC2" w:rsidRDefault="002675C2" w:rsidP="00C206AE">
            <w:r w:rsidRPr="00352EC2">
              <w:t> </w:t>
            </w:r>
          </w:p>
        </w:tc>
        <w:tc>
          <w:tcPr>
            <w:tcW w:w="1103" w:type="dxa"/>
            <w:hideMark/>
          </w:tcPr>
          <w:p w:rsidR="002675C2" w:rsidRPr="00352EC2" w:rsidRDefault="002675C2" w:rsidP="00C206AE">
            <w:r w:rsidRPr="003C492D">
              <w:t> </w:t>
            </w:r>
          </w:p>
        </w:tc>
        <w:tc>
          <w:tcPr>
            <w:tcW w:w="806" w:type="dxa"/>
            <w:vAlign w:val="center"/>
            <w:hideMark/>
          </w:tcPr>
          <w:p w:rsidR="002675C2" w:rsidRPr="00352EC2" w:rsidRDefault="002675C2" w:rsidP="00C206AE">
            <w:r w:rsidRPr="00352EC2">
              <w:t> </w:t>
            </w:r>
          </w:p>
        </w:tc>
      </w:tr>
      <w:tr w:rsidR="002675C2" w:rsidRPr="00352EC2" w:rsidTr="007D5F29">
        <w:trPr>
          <w:tblCellSpacing w:w="15" w:type="dxa"/>
        </w:trPr>
        <w:tc>
          <w:tcPr>
            <w:tcW w:w="1515" w:type="dxa"/>
            <w:hideMark/>
          </w:tcPr>
          <w:p w:rsidR="002675C2" w:rsidRPr="00352EC2" w:rsidRDefault="002675C2" w:rsidP="00C206AE">
            <w:r w:rsidRPr="00352EC2">
              <w:t>4. Finanšu līdzekļi papildu izdevumu finansēšanai (kompensējošu izdevumu samazinājumu norāda ar "+" zīmi)</w:t>
            </w:r>
          </w:p>
        </w:tc>
        <w:tc>
          <w:tcPr>
            <w:tcW w:w="1387" w:type="dxa"/>
            <w:vAlign w:val="center"/>
            <w:hideMark/>
          </w:tcPr>
          <w:p w:rsidR="002675C2" w:rsidRPr="00352EC2" w:rsidRDefault="002675C2" w:rsidP="00C206AE">
            <w:pPr>
              <w:jc w:val="center"/>
            </w:pPr>
            <w:r w:rsidRPr="003C492D">
              <w:t>X</w:t>
            </w:r>
          </w:p>
        </w:tc>
        <w:tc>
          <w:tcPr>
            <w:tcW w:w="1104" w:type="dxa"/>
            <w:vAlign w:val="center"/>
            <w:hideMark/>
          </w:tcPr>
          <w:p w:rsidR="002675C2" w:rsidRPr="00352EC2" w:rsidRDefault="002675C2" w:rsidP="00C206AE">
            <w:r w:rsidRPr="00352EC2">
              <w:t> </w:t>
            </w:r>
            <w:r>
              <w:t>0</w:t>
            </w:r>
          </w:p>
        </w:tc>
        <w:tc>
          <w:tcPr>
            <w:tcW w:w="1104" w:type="dxa"/>
            <w:vAlign w:val="center"/>
            <w:hideMark/>
          </w:tcPr>
          <w:p w:rsidR="002675C2" w:rsidRPr="00352EC2" w:rsidRDefault="002675C2" w:rsidP="00C206AE">
            <w:r w:rsidRPr="00352EC2">
              <w:t> </w:t>
            </w:r>
            <w:r>
              <w:t>0</w:t>
            </w:r>
          </w:p>
        </w:tc>
        <w:tc>
          <w:tcPr>
            <w:tcW w:w="1059" w:type="dxa"/>
            <w:vAlign w:val="center"/>
            <w:hideMark/>
          </w:tcPr>
          <w:p w:rsidR="002675C2" w:rsidRPr="00352EC2" w:rsidRDefault="002675C2" w:rsidP="00C206AE">
            <w:r w:rsidRPr="00352EC2">
              <w:t> </w:t>
            </w:r>
            <w:r>
              <w:t>0</w:t>
            </w:r>
          </w:p>
        </w:tc>
        <w:tc>
          <w:tcPr>
            <w:tcW w:w="963" w:type="dxa"/>
            <w:vAlign w:val="center"/>
            <w:hideMark/>
          </w:tcPr>
          <w:p w:rsidR="002675C2" w:rsidRPr="00352EC2" w:rsidRDefault="002675C2" w:rsidP="00C206AE">
            <w:r w:rsidRPr="00352EC2">
              <w:t> </w:t>
            </w:r>
            <w:r>
              <w:t>0</w:t>
            </w:r>
          </w:p>
        </w:tc>
        <w:tc>
          <w:tcPr>
            <w:tcW w:w="1103" w:type="dxa"/>
            <w:hideMark/>
          </w:tcPr>
          <w:p w:rsidR="002675C2" w:rsidRPr="00352EC2" w:rsidRDefault="002675C2" w:rsidP="00C206AE">
            <w:r w:rsidRPr="003C492D">
              <w:t> </w:t>
            </w:r>
            <w:r>
              <w:t>0</w:t>
            </w:r>
          </w:p>
        </w:tc>
        <w:tc>
          <w:tcPr>
            <w:tcW w:w="806" w:type="dxa"/>
            <w:vAlign w:val="center"/>
            <w:hideMark/>
          </w:tcPr>
          <w:p w:rsidR="002675C2" w:rsidRPr="00352EC2" w:rsidRDefault="002675C2" w:rsidP="00C206AE">
            <w:r w:rsidRPr="00352EC2">
              <w:t> </w:t>
            </w:r>
            <w:r>
              <w:t>0</w:t>
            </w:r>
          </w:p>
        </w:tc>
      </w:tr>
      <w:tr w:rsidR="002675C2" w:rsidRPr="00352EC2" w:rsidTr="007D5F29">
        <w:trPr>
          <w:tblCellSpacing w:w="15" w:type="dxa"/>
        </w:trPr>
        <w:tc>
          <w:tcPr>
            <w:tcW w:w="1515" w:type="dxa"/>
            <w:hideMark/>
          </w:tcPr>
          <w:p w:rsidR="002675C2" w:rsidRPr="00352EC2" w:rsidRDefault="002675C2" w:rsidP="00C206AE">
            <w:r w:rsidRPr="00352EC2">
              <w:t>5. Precizēta finansiālā ietekme</w:t>
            </w:r>
          </w:p>
        </w:tc>
        <w:tc>
          <w:tcPr>
            <w:tcW w:w="1387" w:type="dxa"/>
            <w:vMerge w:val="restart"/>
            <w:vAlign w:val="center"/>
            <w:hideMark/>
          </w:tcPr>
          <w:p w:rsidR="002675C2" w:rsidRPr="00352EC2" w:rsidRDefault="002675C2" w:rsidP="00C206AE">
            <w:pPr>
              <w:jc w:val="center"/>
            </w:pPr>
            <w:r w:rsidRPr="003C492D">
              <w:t>X</w:t>
            </w:r>
          </w:p>
        </w:tc>
        <w:tc>
          <w:tcPr>
            <w:tcW w:w="1104" w:type="dxa"/>
            <w:vAlign w:val="center"/>
            <w:hideMark/>
          </w:tcPr>
          <w:p w:rsidR="002675C2" w:rsidRPr="00352EC2" w:rsidRDefault="002675C2" w:rsidP="00C206AE">
            <w:r w:rsidRPr="00352EC2">
              <w:t> </w:t>
            </w:r>
          </w:p>
        </w:tc>
        <w:tc>
          <w:tcPr>
            <w:tcW w:w="1104" w:type="dxa"/>
            <w:vMerge w:val="restart"/>
            <w:vAlign w:val="center"/>
            <w:hideMark/>
          </w:tcPr>
          <w:p w:rsidR="002675C2" w:rsidRPr="00352EC2" w:rsidRDefault="002675C2" w:rsidP="00C206AE">
            <w:r w:rsidRPr="00352EC2">
              <w:t> </w:t>
            </w:r>
          </w:p>
        </w:tc>
        <w:tc>
          <w:tcPr>
            <w:tcW w:w="1059" w:type="dxa"/>
            <w:vAlign w:val="center"/>
            <w:hideMark/>
          </w:tcPr>
          <w:p w:rsidR="002675C2" w:rsidRPr="00352EC2" w:rsidRDefault="002675C2" w:rsidP="00C206AE">
            <w:r w:rsidRPr="00352EC2">
              <w:t> </w:t>
            </w:r>
            <w:r>
              <w:t>-299 979</w:t>
            </w:r>
          </w:p>
        </w:tc>
        <w:tc>
          <w:tcPr>
            <w:tcW w:w="963" w:type="dxa"/>
            <w:vMerge w:val="restart"/>
            <w:vAlign w:val="center"/>
            <w:hideMark/>
          </w:tcPr>
          <w:p w:rsidR="002675C2" w:rsidRPr="00352EC2" w:rsidRDefault="002675C2" w:rsidP="00C206AE">
            <w:r w:rsidRPr="00352EC2">
              <w:t> </w:t>
            </w:r>
          </w:p>
        </w:tc>
        <w:tc>
          <w:tcPr>
            <w:tcW w:w="1103" w:type="dxa"/>
            <w:hideMark/>
          </w:tcPr>
          <w:p w:rsidR="002675C2" w:rsidRPr="00352EC2" w:rsidRDefault="002675C2" w:rsidP="00C206AE">
            <w:r w:rsidRPr="003C492D">
              <w:t> </w:t>
            </w:r>
            <w:r>
              <w:t>  -86 011</w:t>
            </w:r>
          </w:p>
        </w:tc>
        <w:tc>
          <w:tcPr>
            <w:tcW w:w="806" w:type="dxa"/>
            <w:hideMark/>
          </w:tcPr>
          <w:p w:rsidR="002675C2" w:rsidRPr="00352EC2" w:rsidRDefault="002675C2" w:rsidP="00C206AE">
            <w:r w:rsidRPr="003C492D">
              <w:t>-86 011</w:t>
            </w:r>
          </w:p>
        </w:tc>
      </w:tr>
      <w:tr w:rsidR="002675C2" w:rsidRPr="00352EC2" w:rsidTr="007D5F29">
        <w:trPr>
          <w:tblCellSpacing w:w="15" w:type="dxa"/>
        </w:trPr>
        <w:tc>
          <w:tcPr>
            <w:tcW w:w="1515" w:type="dxa"/>
            <w:hideMark/>
          </w:tcPr>
          <w:p w:rsidR="002675C2" w:rsidRPr="00352EC2" w:rsidRDefault="002675C2" w:rsidP="00C206AE">
            <w:r w:rsidRPr="00352EC2">
              <w:t>5.1. valsts pamatbudžets</w:t>
            </w:r>
          </w:p>
        </w:tc>
        <w:tc>
          <w:tcPr>
            <w:tcW w:w="1387" w:type="dxa"/>
            <w:vMerge/>
            <w:vAlign w:val="center"/>
            <w:hideMark/>
          </w:tcPr>
          <w:p w:rsidR="002675C2" w:rsidRPr="00352EC2" w:rsidRDefault="002675C2" w:rsidP="00C206AE"/>
        </w:tc>
        <w:tc>
          <w:tcPr>
            <w:tcW w:w="1104" w:type="dxa"/>
            <w:vAlign w:val="center"/>
            <w:hideMark/>
          </w:tcPr>
          <w:p w:rsidR="002675C2" w:rsidRPr="00352EC2" w:rsidRDefault="002675C2" w:rsidP="00C206AE">
            <w:r w:rsidRPr="00352EC2">
              <w:t> </w:t>
            </w:r>
          </w:p>
        </w:tc>
        <w:tc>
          <w:tcPr>
            <w:tcW w:w="1104" w:type="dxa"/>
            <w:vMerge/>
            <w:vAlign w:val="center"/>
            <w:hideMark/>
          </w:tcPr>
          <w:p w:rsidR="002675C2" w:rsidRPr="00352EC2" w:rsidRDefault="002675C2" w:rsidP="00C206AE"/>
        </w:tc>
        <w:tc>
          <w:tcPr>
            <w:tcW w:w="1059" w:type="dxa"/>
            <w:vAlign w:val="center"/>
            <w:hideMark/>
          </w:tcPr>
          <w:p w:rsidR="002675C2" w:rsidRPr="00352EC2" w:rsidRDefault="002675C2" w:rsidP="00C206AE">
            <w:r w:rsidRPr="00352EC2">
              <w:t> </w:t>
            </w:r>
            <w:r>
              <w:t>-299 979</w:t>
            </w:r>
          </w:p>
        </w:tc>
        <w:tc>
          <w:tcPr>
            <w:tcW w:w="963" w:type="dxa"/>
            <w:vMerge/>
            <w:vAlign w:val="center"/>
            <w:hideMark/>
          </w:tcPr>
          <w:p w:rsidR="002675C2" w:rsidRPr="00352EC2" w:rsidRDefault="002675C2" w:rsidP="00C206AE"/>
        </w:tc>
        <w:tc>
          <w:tcPr>
            <w:tcW w:w="1103" w:type="dxa"/>
            <w:hideMark/>
          </w:tcPr>
          <w:p w:rsidR="002675C2" w:rsidRPr="00352EC2" w:rsidRDefault="002675C2" w:rsidP="00C206AE">
            <w:r w:rsidRPr="003C492D">
              <w:t> </w:t>
            </w:r>
            <w:r>
              <w:t>  -86 011</w:t>
            </w:r>
          </w:p>
        </w:tc>
        <w:tc>
          <w:tcPr>
            <w:tcW w:w="806" w:type="dxa"/>
            <w:hideMark/>
          </w:tcPr>
          <w:p w:rsidR="002675C2" w:rsidRPr="00352EC2" w:rsidRDefault="002675C2" w:rsidP="00C206AE">
            <w:r w:rsidRPr="003C492D">
              <w:t>-86 011</w:t>
            </w:r>
          </w:p>
        </w:tc>
      </w:tr>
      <w:tr w:rsidR="002675C2" w:rsidRPr="00352EC2" w:rsidTr="007D5F29">
        <w:trPr>
          <w:tblCellSpacing w:w="15" w:type="dxa"/>
        </w:trPr>
        <w:tc>
          <w:tcPr>
            <w:tcW w:w="1515" w:type="dxa"/>
            <w:hideMark/>
          </w:tcPr>
          <w:p w:rsidR="002675C2" w:rsidRPr="00352EC2" w:rsidRDefault="002675C2" w:rsidP="00C206AE">
            <w:r w:rsidRPr="00352EC2">
              <w:t>5.2. speciālais budžets</w:t>
            </w:r>
          </w:p>
        </w:tc>
        <w:tc>
          <w:tcPr>
            <w:tcW w:w="1387" w:type="dxa"/>
            <w:vMerge/>
            <w:vAlign w:val="center"/>
            <w:hideMark/>
          </w:tcPr>
          <w:p w:rsidR="002675C2" w:rsidRPr="00352EC2" w:rsidRDefault="002675C2" w:rsidP="00C206AE"/>
        </w:tc>
        <w:tc>
          <w:tcPr>
            <w:tcW w:w="1104" w:type="dxa"/>
            <w:vAlign w:val="center"/>
            <w:hideMark/>
          </w:tcPr>
          <w:p w:rsidR="002675C2" w:rsidRPr="00352EC2" w:rsidRDefault="002675C2" w:rsidP="00C206AE">
            <w:r w:rsidRPr="00352EC2">
              <w:t> </w:t>
            </w:r>
          </w:p>
        </w:tc>
        <w:tc>
          <w:tcPr>
            <w:tcW w:w="1104" w:type="dxa"/>
            <w:vMerge/>
            <w:vAlign w:val="center"/>
            <w:hideMark/>
          </w:tcPr>
          <w:p w:rsidR="002675C2" w:rsidRPr="00352EC2" w:rsidRDefault="002675C2" w:rsidP="00C206AE"/>
        </w:tc>
        <w:tc>
          <w:tcPr>
            <w:tcW w:w="1059" w:type="dxa"/>
            <w:vAlign w:val="center"/>
            <w:hideMark/>
          </w:tcPr>
          <w:p w:rsidR="002675C2" w:rsidRPr="00352EC2" w:rsidRDefault="002675C2" w:rsidP="00C206AE">
            <w:r w:rsidRPr="00352EC2">
              <w:t> </w:t>
            </w:r>
            <w:r>
              <w:t>0</w:t>
            </w:r>
          </w:p>
        </w:tc>
        <w:tc>
          <w:tcPr>
            <w:tcW w:w="963" w:type="dxa"/>
            <w:vMerge/>
            <w:vAlign w:val="center"/>
            <w:hideMark/>
          </w:tcPr>
          <w:p w:rsidR="002675C2" w:rsidRPr="00352EC2" w:rsidRDefault="002675C2" w:rsidP="00C206AE"/>
        </w:tc>
        <w:tc>
          <w:tcPr>
            <w:tcW w:w="1103" w:type="dxa"/>
          </w:tcPr>
          <w:p w:rsidR="002675C2" w:rsidRPr="00352EC2" w:rsidRDefault="002675C2" w:rsidP="00C206AE">
            <w:r>
              <w:t>0</w:t>
            </w:r>
          </w:p>
        </w:tc>
        <w:tc>
          <w:tcPr>
            <w:tcW w:w="806" w:type="dxa"/>
            <w:vAlign w:val="center"/>
            <w:hideMark/>
          </w:tcPr>
          <w:p w:rsidR="002675C2" w:rsidRPr="00352EC2" w:rsidRDefault="002675C2" w:rsidP="00C206AE">
            <w:r w:rsidRPr="00352EC2">
              <w:t> </w:t>
            </w:r>
            <w:r>
              <w:t>0</w:t>
            </w:r>
          </w:p>
        </w:tc>
      </w:tr>
      <w:tr w:rsidR="002675C2" w:rsidRPr="00352EC2" w:rsidTr="007D5F29">
        <w:trPr>
          <w:tblCellSpacing w:w="15" w:type="dxa"/>
        </w:trPr>
        <w:tc>
          <w:tcPr>
            <w:tcW w:w="1515" w:type="dxa"/>
            <w:hideMark/>
          </w:tcPr>
          <w:p w:rsidR="002675C2" w:rsidRPr="00352EC2" w:rsidRDefault="002675C2" w:rsidP="00C206AE">
            <w:r w:rsidRPr="00352EC2">
              <w:t>5.3. pašvaldību budžets</w:t>
            </w:r>
          </w:p>
        </w:tc>
        <w:tc>
          <w:tcPr>
            <w:tcW w:w="1387" w:type="dxa"/>
            <w:vMerge/>
            <w:vAlign w:val="center"/>
            <w:hideMark/>
          </w:tcPr>
          <w:p w:rsidR="002675C2" w:rsidRPr="00352EC2" w:rsidRDefault="002675C2" w:rsidP="00C206AE"/>
        </w:tc>
        <w:tc>
          <w:tcPr>
            <w:tcW w:w="1104" w:type="dxa"/>
            <w:vAlign w:val="center"/>
            <w:hideMark/>
          </w:tcPr>
          <w:p w:rsidR="002675C2" w:rsidRPr="00352EC2" w:rsidRDefault="002675C2" w:rsidP="00C206AE">
            <w:r w:rsidRPr="00352EC2">
              <w:t> </w:t>
            </w:r>
          </w:p>
        </w:tc>
        <w:tc>
          <w:tcPr>
            <w:tcW w:w="1104" w:type="dxa"/>
            <w:vMerge/>
            <w:vAlign w:val="center"/>
            <w:hideMark/>
          </w:tcPr>
          <w:p w:rsidR="002675C2" w:rsidRPr="00352EC2" w:rsidRDefault="002675C2" w:rsidP="00C206AE"/>
        </w:tc>
        <w:tc>
          <w:tcPr>
            <w:tcW w:w="1059" w:type="dxa"/>
            <w:vAlign w:val="center"/>
            <w:hideMark/>
          </w:tcPr>
          <w:p w:rsidR="002675C2" w:rsidRPr="00352EC2" w:rsidRDefault="002675C2" w:rsidP="00C206AE">
            <w:r w:rsidRPr="00352EC2">
              <w:t> </w:t>
            </w:r>
            <w:r>
              <w:t>0</w:t>
            </w:r>
          </w:p>
        </w:tc>
        <w:tc>
          <w:tcPr>
            <w:tcW w:w="963" w:type="dxa"/>
            <w:vMerge/>
            <w:vAlign w:val="center"/>
            <w:hideMark/>
          </w:tcPr>
          <w:p w:rsidR="002675C2" w:rsidRPr="00352EC2" w:rsidRDefault="002675C2" w:rsidP="00C206AE"/>
        </w:tc>
        <w:tc>
          <w:tcPr>
            <w:tcW w:w="1103" w:type="dxa"/>
          </w:tcPr>
          <w:p w:rsidR="002675C2" w:rsidRPr="00352EC2" w:rsidRDefault="002675C2" w:rsidP="00C206AE">
            <w:r>
              <w:t>0</w:t>
            </w:r>
          </w:p>
        </w:tc>
        <w:tc>
          <w:tcPr>
            <w:tcW w:w="806" w:type="dxa"/>
            <w:vAlign w:val="center"/>
            <w:hideMark/>
          </w:tcPr>
          <w:p w:rsidR="002675C2" w:rsidRPr="00352EC2" w:rsidRDefault="002675C2" w:rsidP="00C206AE">
            <w:r w:rsidRPr="00352EC2">
              <w:t> </w:t>
            </w:r>
            <w:r>
              <w:t>0</w:t>
            </w:r>
          </w:p>
        </w:tc>
      </w:tr>
      <w:tr w:rsidR="002675C2" w:rsidRPr="00352EC2" w:rsidTr="007D5F29">
        <w:trPr>
          <w:tblCellSpacing w:w="15" w:type="dxa"/>
        </w:trPr>
        <w:tc>
          <w:tcPr>
            <w:tcW w:w="1515" w:type="dxa"/>
            <w:hideMark/>
          </w:tcPr>
          <w:p w:rsidR="002675C2" w:rsidRPr="00352EC2" w:rsidRDefault="002675C2" w:rsidP="00C206AE">
            <w:r w:rsidRPr="00352EC2">
              <w:t>6. Detalizēts ieņēmumu un izdevumu aprēķins (ja nepieciešams, detalizētu ieņēmumu un izdevumu aprēķinu var pievienot anotācijas pielikumā)</w:t>
            </w:r>
          </w:p>
        </w:tc>
        <w:tc>
          <w:tcPr>
            <w:tcW w:w="7706" w:type="dxa"/>
            <w:gridSpan w:val="7"/>
            <w:vMerge w:val="restart"/>
            <w:vAlign w:val="center"/>
            <w:hideMark/>
          </w:tcPr>
          <w:p w:rsidR="002675C2" w:rsidRPr="002675C2" w:rsidRDefault="002675C2" w:rsidP="002675C2">
            <w:pPr>
              <w:spacing w:before="75" w:after="75"/>
              <w:ind w:left="180"/>
              <w:jc w:val="both"/>
              <w:rPr>
                <w:highlight w:val="yellow"/>
              </w:rPr>
            </w:pPr>
            <w:r w:rsidRPr="002675C2">
              <w:t> Iekšlietu ministrijai (Iekšlietu ministrijas Informācijas centram) budžeta apakšprogrammā 02.03.00 “Vienotās sakaru un informācijas sistēmas uzturēšana un vadība“ izmaiņu veikšanai informācijas sistēmā “Kriminālprocesa informācijas sistēma” – informācijas sistēmas funkcionalitātes, procesuālo dokumentu šablonu pilnveidošana, tehniskās specifikācijas izstrāde, projektēšana programmatūras izmaiņu izstrāde un testēšana, kā arī  datu pārraides ātruma palielināšana un abonēšanas maksas segšana.</w:t>
            </w:r>
          </w:p>
          <w:p w:rsidR="002675C2" w:rsidRPr="002675C2" w:rsidRDefault="002675C2" w:rsidP="00C206AE">
            <w:pPr>
              <w:spacing w:before="75" w:after="75"/>
              <w:jc w:val="both"/>
            </w:pPr>
            <w:r w:rsidRPr="002675C2">
              <w:t xml:space="preserve">        2020.gadā nepieciešams papildu finansējums  299 979 EUR apmērā, tajā skaitā: </w:t>
            </w:r>
          </w:p>
          <w:p w:rsidR="002675C2" w:rsidRPr="002675C2" w:rsidRDefault="002675C2" w:rsidP="00C206AE">
            <w:pPr>
              <w:spacing w:before="75" w:after="75"/>
              <w:ind w:left="180" w:firstLine="284"/>
              <w:jc w:val="both"/>
              <w:rPr>
                <w:i/>
              </w:rPr>
            </w:pPr>
            <w:r w:rsidRPr="002675C2">
              <w:t>Uzturēšanas izdevumi 100 645 EUR:</w:t>
            </w:r>
          </w:p>
          <w:p w:rsidR="002675C2" w:rsidRPr="002675C2" w:rsidRDefault="002675C2" w:rsidP="002675C2">
            <w:pPr>
              <w:pStyle w:val="ListParagraph"/>
              <w:numPr>
                <w:ilvl w:val="0"/>
                <w:numId w:val="8"/>
              </w:numPr>
              <w:suppressAutoHyphens/>
              <w:spacing w:after="0" w:line="240" w:lineRule="auto"/>
              <w:jc w:val="both"/>
              <w:rPr>
                <w:rFonts w:ascii="Times New Roman" w:eastAsia="Times New Roman" w:hAnsi="Times New Roman" w:cs="Times New Roman"/>
                <w:sz w:val="24"/>
                <w:szCs w:val="24"/>
                <w:lang w:eastAsia="lv-LV"/>
              </w:rPr>
            </w:pPr>
            <w:r w:rsidRPr="002675C2">
              <w:rPr>
                <w:rFonts w:ascii="Times New Roman" w:eastAsia="Times New Roman" w:hAnsi="Times New Roman" w:cs="Times New Roman"/>
                <w:sz w:val="24"/>
                <w:szCs w:val="24"/>
                <w:lang w:eastAsia="lv-LV"/>
              </w:rPr>
              <w:t>34¹ pieslēguma punkti x 2 529,72² EUR</w:t>
            </w:r>
            <w:r w:rsidRPr="002675C2">
              <w:rPr>
                <w:rFonts w:ascii="Times New Roman" w:eastAsia="Times New Roman" w:hAnsi="Times New Roman" w:cs="Times New Roman"/>
                <w:i/>
                <w:sz w:val="24"/>
                <w:szCs w:val="24"/>
                <w:lang w:eastAsia="lv-LV"/>
              </w:rPr>
              <w:t xml:space="preserve"> </w:t>
            </w:r>
            <w:r w:rsidRPr="002675C2">
              <w:rPr>
                <w:rFonts w:ascii="Times New Roman" w:eastAsia="Times New Roman" w:hAnsi="Times New Roman" w:cs="Times New Roman"/>
                <w:sz w:val="24"/>
                <w:szCs w:val="24"/>
                <w:lang w:eastAsia="lv-LV"/>
              </w:rPr>
              <w:t>= 86 011 EUR (ar pievienotās vērtības nodokli) (EKK 2211 “Valsts nozīmes datu pārraides tīkla pakalpojumi (pieslēguma punkta abonēšanas maksa, pieslēguma punkta ierīkošanas maksa un citi izdevumi”)</w:t>
            </w:r>
          </w:p>
          <w:p w:rsidR="002675C2" w:rsidRPr="002675C2" w:rsidRDefault="002675C2" w:rsidP="002675C2">
            <w:pPr>
              <w:pStyle w:val="ListParagraph"/>
              <w:numPr>
                <w:ilvl w:val="0"/>
                <w:numId w:val="8"/>
              </w:numPr>
              <w:suppressAutoHyphens/>
              <w:spacing w:after="0" w:line="240" w:lineRule="auto"/>
              <w:jc w:val="both"/>
              <w:rPr>
                <w:rFonts w:ascii="Times New Roman" w:eastAsia="Times New Roman" w:hAnsi="Times New Roman" w:cs="Times New Roman"/>
                <w:sz w:val="24"/>
                <w:szCs w:val="24"/>
                <w:lang w:eastAsia="lv-LV"/>
              </w:rPr>
            </w:pPr>
            <w:r w:rsidRPr="002675C2">
              <w:rPr>
                <w:rFonts w:ascii="Times New Roman" w:eastAsia="Times New Roman" w:hAnsi="Times New Roman" w:cs="Times New Roman"/>
                <w:sz w:val="24"/>
                <w:szCs w:val="24"/>
                <w:lang w:eastAsia="lv-LV"/>
              </w:rPr>
              <w:t>34¹ pieslēguma punkti x 430,42³ EUR</w:t>
            </w:r>
            <w:r w:rsidRPr="002675C2">
              <w:rPr>
                <w:rFonts w:ascii="Times New Roman" w:eastAsia="Times New Roman" w:hAnsi="Times New Roman" w:cs="Times New Roman"/>
                <w:i/>
                <w:sz w:val="24"/>
                <w:szCs w:val="24"/>
                <w:lang w:eastAsia="lv-LV"/>
              </w:rPr>
              <w:t xml:space="preserve"> </w:t>
            </w:r>
            <w:r w:rsidRPr="002675C2">
              <w:rPr>
                <w:rFonts w:ascii="Times New Roman" w:eastAsia="Times New Roman" w:hAnsi="Times New Roman" w:cs="Times New Roman"/>
                <w:sz w:val="24"/>
                <w:szCs w:val="24"/>
                <w:lang w:eastAsia="lv-LV"/>
              </w:rPr>
              <w:t xml:space="preserve">= 14 634 EUR (ar pievienotās vērtības nodokli) (EKK 2249 “Pārējie remontdarbu un iestāžu </w:t>
            </w:r>
            <w:r w:rsidRPr="002675C2">
              <w:rPr>
                <w:rFonts w:ascii="Times New Roman" w:eastAsia="Times New Roman" w:hAnsi="Times New Roman" w:cs="Times New Roman"/>
                <w:sz w:val="24"/>
                <w:szCs w:val="24"/>
                <w:lang w:eastAsia="lv-LV"/>
              </w:rPr>
              <w:lastRenderedPageBreak/>
              <w:t>uzturēšanas pakalpojumi”)</w:t>
            </w:r>
          </w:p>
          <w:p w:rsidR="002675C2" w:rsidRPr="002675C2" w:rsidRDefault="002675C2" w:rsidP="00C206AE">
            <w:pPr>
              <w:spacing w:before="75" w:after="75"/>
              <w:ind w:left="180" w:firstLine="284"/>
              <w:jc w:val="both"/>
              <w:rPr>
                <w:i/>
              </w:rPr>
            </w:pPr>
            <w:r w:rsidRPr="002675C2">
              <w:t>Kapitālie izdevumi 199 334 EUR</w:t>
            </w:r>
          </w:p>
          <w:p w:rsidR="002675C2" w:rsidRPr="002675C2" w:rsidRDefault="002675C2" w:rsidP="002675C2">
            <w:pPr>
              <w:pStyle w:val="ListParagraph"/>
              <w:numPr>
                <w:ilvl w:val="0"/>
                <w:numId w:val="8"/>
              </w:numPr>
              <w:suppressAutoHyphens/>
              <w:spacing w:after="0" w:line="240" w:lineRule="auto"/>
              <w:jc w:val="both"/>
              <w:rPr>
                <w:rFonts w:ascii="Times New Roman" w:eastAsia="Times New Roman" w:hAnsi="Times New Roman" w:cs="Times New Roman"/>
                <w:sz w:val="24"/>
                <w:szCs w:val="24"/>
                <w:lang w:eastAsia="lv-LV"/>
              </w:rPr>
            </w:pPr>
            <w:r w:rsidRPr="002675C2">
              <w:rPr>
                <w:rFonts w:ascii="Times New Roman" w:eastAsia="Times New Roman" w:hAnsi="Times New Roman" w:cs="Times New Roman"/>
                <w:sz w:val="24"/>
                <w:szCs w:val="24"/>
                <w:lang w:eastAsia="lv-LV"/>
              </w:rPr>
              <w:t>370,20⁴ cilvēkdienas x 538,45⁵ EUR = 199 334 EUR (ar pievienotās vērtības nodokli) (EKK 5140 “Nemateriālo ieguldījumu izveidošana”)</w:t>
            </w:r>
          </w:p>
          <w:p w:rsidR="002675C2" w:rsidRPr="002675C2" w:rsidRDefault="002675C2" w:rsidP="00C206AE">
            <w:pPr>
              <w:spacing w:before="75" w:after="75"/>
              <w:jc w:val="both"/>
            </w:pPr>
            <w:r w:rsidRPr="002675C2">
              <w:t xml:space="preserve">         2021.gadā un turpmāk ik gadu nepieciešams papildu finansējums  86 011 EUR  apmērā, tajā skaitā: </w:t>
            </w:r>
          </w:p>
          <w:p w:rsidR="002675C2" w:rsidRPr="002675C2" w:rsidRDefault="002675C2" w:rsidP="00C206AE">
            <w:pPr>
              <w:spacing w:before="75" w:after="75"/>
              <w:ind w:left="180" w:firstLine="284"/>
              <w:jc w:val="both"/>
              <w:rPr>
                <w:i/>
              </w:rPr>
            </w:pPr>
            <w:r w:rsidRPr="002675C2">
              <w:t>Uzturēšanas izdevumi 86 011 EUR</w:t>
            </w:r>
          </w:p>
          <w:p w:rsidR="002675C2" w:rsidRPr="002675C2" w:rsidRDefault="002675C2" w:rsidP="00C206AE">
            <w:pPr>
              <w:suppressAutoHyphens/>
              <w:jc w:val="both"/>
              <w:rPr>
                <w:u w:val="single"/>
              </w:rPr>
            </w:pPr>
            <w:r w:rsidRPr="002675C2">
              <w:t>34¹ pieslēguma punkti x 2 529,72² EUR</w:t>
            </w:r>
            <w:r w:rsidRPr="002675C2">
              <w:rPr>
                <w:i/>
              </w:rPr>
              <w:t xml:space="preserve"> </w:t>
            </w:r>
            <w:r w:rsidRPr="002675C2">
              <w:t>= 86 011 EUR (ar pievienotās vērtības nodokli) (EKK 2211 “Valsts nozīmes datu pārraides tīkla pakalpojumi (pieslēguma punkta abonēšanas maksa, pieslēguma punkta ierīkošanas maksa un citi izdevumi”)</w:t>
            </w:r>
          </w:p>
          <w:p w:rsidR="002675C2" w:rsidRPr="002675C2" w:rsidRDefault="002675C2" w:rsidP="00C206AE">
            <w:pPr>
              <w:suppressAutoHyphens/>
              <w:jc w:val="both"/>
              <w:rPr>
                <w:u w:val="single"/>
              </w:rPr>
            </w:pPr>
          </w:p>
          <w:p w:rsidR="002675C2" w:rsidRPr="002675C2" w:rsidRDefault="002675C2" w:rsidP="00C206AE">
            <w:pPr>
              <w:suppressAutoHyphens/>
              <w:jc w:val="both"/>
            </w:pPr>
            <w:r w:rsidRPr="002675C2">
              <w:rPr>
                <w:u w:val="single"/>
              </w:rPr>
              <w:t>¹</w:t>
            </w:r>
            <w:r w:rsidRPr="002675C2">
              <w:t>Pieslēguma punktu skaits aprēķināts pamatojoties uz esošo datu pieslēgumu punktu analīzi.</w:t>
            </w:r>
          </w:p>
          <w:p w:rsidR="002675C2" w:rsidRPr="002675C2" w:rsidRDefault="002675C2" w:rsidP="00C206AE">
            <w:pPr>
              <w:suppressAutoHyphens/>
              <w:jc w:val="both"/>
            </w:pPr>
            <w:r w:rsidRPr="002675C2">
              <w:t>²Pieslēguma punkta abonēšanas izmaksas noteiktas saskaņā ar esošo līgumu par datu pārraides tīkla izveidošanu un datu pārraides pakalpojumu nodrošināšanu.</w:t>
            </w:r>
          </w:p>
          <w:p w:rsidR="002675C2" w:rsidRPr="002675C2" w:rsidRDefault="002675C2" w:rsidP="00C206AE">
            <w:pPr>
              <w:suppressAutoHyphens/>
              <w:jc w:val="both"/>
            </w:pPr>
            <w:r w:rsidRPr="002675C2">
              <w:t>³Pieslēguma punkta ātruma palielināšanas izmaksas noteiktas saskaņā ar esošo līgumu par datu pārraides tīkla izveidošanu un datu pārraides pakalpojumu nodrošināšanu.</w:t>
            </w:r>
          </w:p>
          <w:p w:rsidR="002675C2" w:rsidRPr="002675C2" w:rsidRDefault="002675C2" w:rsidP="00C206AE">
            <w:pPr>
              <w:suppressAutoHyphens/>
              <w:jc w:val="both"/>
            </w:pPr>
          </w:p>
          <w:p w:rsidR="002675C2" w:rsidRPr="002675C2" w:rsidRDefault="002675C2" w:rsidP="00C206AE">
            <w:pPr>
              <w:suppressAutoHyphens/>
              <w:jc w:val="both"/>
            </w:pPr>
            <w:r w:rsidRPr="002675C2">
              <w:t>⁴Cilvēkdienu skaits aprēķināts pamatojoties veicamo darbu analīzi un līdzīgu darbu veikšanai patērēto laiku citās Informācijas centra uzturētajās sistēmās.</w:t>
            </w:r>
          </w:p>
          <w:p w:rsidR="002675C2" w:rsidRPr="002675C2" w:rsidRDefault="002675C2" w:rsidP="00C206AE">
            <w:r w:rsidRPr="002675C2">
              <w:t>⁵Vienas cilvēkdienas izmaksas noteiktas saskaņā ar līdzvērtīgu informācijas sistēmu pilnveidošanas  pakalpojumu saņemšanu.</w:t>
            </w:r>
          </w:p>
          <w:p w:rsidR="002675C2" w:rsidRPr="00352EC2" w:rsidRDefault="002675C2" w:rsidP="00C206AE"/>
        </w:tc>
      </w:tr>
      <w:tr w:rsidR="002675C2" w:rsidRPr="00352EC2" w:rsidTr="007D5F29">
        <w:trPr>
          <w:tblCellSpacing w:w="15" w:type="dxa"/>
        </w:trPr>
        <w:tc>
          <w:tcPr>
            <w:tcW w:w="1515" w:type="dxa"/>
            <w:hideMark/>
          </w:tcPr>
          <w:p w:rsidR="002675C2" w:rsidRPr="00352EC2" w:rsidRDefault="002675C2" w:rsidP="00C206AE">
            <w:r w:rsidRPr="00352EC2">
              <w:t>6.1. detalizēts ieņēmumu aprēķins</w:t>
            </w:r>
          </w:p>
        </w:tc>
        <w:tc>
          <w:tcPr>
            <w:tcW w:w="7706" w:type="dxa"/>
            <w:gridSpan w:val="7"/>
            <w:vMerge/>
            <w:vAlign w:val="center"/>
            <w:hideMark/>
          </w:tcPr>
          <w:p w:rsidR="002675C2" w:rsidRPr="00352EC2" w:rsidRDefault="002675C2" w:rsidP="00C206AE">
            <w:pPr>
              <w:rPr>
                <w:color w:val="414142"/>
              </w:rPr>
            </w:pPr>
          </w:p>
        </w:tc>
      </w:tr>
      <w:tr w:rsidR="002675C2" w:rsidRPr="00352EC2" w:rsidTr="007D5F29">
        <w:trPr>
          <w:tblCellSpacing w:w="15" w:type="dxa"/>
        </w:trPr>
        <w:tc>
          <w:tcPr>
            <w:tcW w:w="1515" w:type="dxa"/>
            <w:hideMark/>
          </w:tcPr>
          <w:p w:rsidR="002675C2" w:rsidRPr="00352EC2" w:rsidRDefault="002675C2" w:rsidP="00C206AE">
            <w:r w:rsidRPr="00352EC2">
              <w:t xml:space="preserve">6.2. detalizēts izdevumu </w:t>
            </w:r>
            <w:r w:rsidRPr="00352EC2">
              <w:lastRenderedPageBreak/>
              <w:t>aprēķins</w:t>
            </w:r>
          </w:p>
        </w:tc>
        <w:tc>
          <w:tcPr>
            <w:tcW w:w="7706" w:type="dxa"/>
            <w:gridSpan w:val="7"/>
            <w:vMerge/>
            <w:vAlign w:val="center"/>
            <w:hideMark/>
          </w:tcPr>
          <w:p w:rsidR="002675C2" w:rsidRPr="00352EC2" w:rsidRDefault="002675C2" w:rsidP="00C206AE">
            <w:pPr>
              <w:rPr>
                <w:color w:val="414142"/>
              </w:rPr>
            </w:pPr>
          </w:p>
        </w:tc>
      </w:tr>
      <w:tr w:rsidR="002675C2" w:rsidRPr="00352EC2" w:rsidTr="007D5F29">
        <w:trPr>
          <w:tblCellSpacing w:w="15" w:type="dxa"/>
        </w:trPr>
        <w:tc>
          <w:tcPr>
            <w:tcW w:w="1515" w:type="dxa"/>
            <w:hideMark/>
          </w:tcPr>
          <w:p w:rsidR="002675C2" w:rsidRPr="00352EC2" w:rsidRDefault="002675C2" w:rsidP="00C206AE">
            <w:r w:rsidRPr="00352EC2">
              <w:lastRenderedPageBreak/>
              <w:t>7. Amata vietu skaita izmaiņas</w:t>
            </w:r>
          </w:p>
        </w:tc>
        <w:tc>
          <w:tcPr>
            <w:tcW w:w="7706" w:type="dxa"/>
            <w:gridSpan w:val="7"/>
            <w:hideMark/>
          </w:tcPr>
          <w:p w:rsidR="002675C2" w:rsidRPr="00352EC2" w:rsidRDefault="002675C2" w:rsidP="00C206AE">
            <w:pPr>
              <w:jc w:val="both"/>
            </w:pPr>
            <w:r w:rsidRPr="003C492D">
              <w:t>Nav</w:t>
            </w:r>
          </w:p>
        </w:tc>
      </w:tr>
      <w:tr w:rsidR="002675C2" w:rsidRPr="00BB2DC4" w:rsidTr="007D5F29">
        <w:trPr>
          <w:tblCellSpacing w:w="15" w:type="dxa"/>
        </w:trPr>
        <w:tc>
          <w:tcPr>
            <w:tcW w:w="1515" w:type="dxa"/>
            <w:hideMark/>
          </w:tcPr>
          <w:p w:rsidR="002675C2" w:rsidRPr="00BB2DC4" w:rsidRDefault="002675C2" w:rsidP="00C206AE">
            <w:r w:rsidRPr="00BB2DC4">
              <w:t>8. Cita informācija</w:t>
            </w:r>
          </w:p>
        </w:tc>
        <w:tc>
          <w:tcPr>
            <w:tcW w:w="7706" w:type="dxa"/>
            <w:gridSpan w:val="7"/>
            <w:hideMark/>
          </w:tcPr>
          <w:p w:rsidR="002675C2" w:rsidRPr="00BB2DC4" w:rsidRDefault="002675C2" w:rsidP="00C206AE">
            <w:pPr>
              <w:jc w:val="both"/>
            </w:pPr>
            <w:r w:rsidRPr="00BB2DC4">
              <w:t>Lai veiktu izmaiņas KRASS, jautājumu par papildu nepieciešamo finansējumu Iekšlietu ministrijas budžeta apakšprogrammā 02.03.00 “Vienotās sakaru un informācijas sistēmas uzturēšana un vadība” 2020.gadā 299 979 EUR, 2021.gadā un turpmāk ik gadu 86 011 EUR apmērā izskatīt Ministru kabinetā kopā ar visu ministriju un citu centrālo valsts iestāžu priekšlikumiem prioritārajiem pasākumiem likumprojekta “Par valsts budžetu 2020.gadam” un likumprojekta “Par vidējā termiņa budžeta ietvaru 2020., 2021. un 2022.gadam”sagatavošanas un izskatīšanas procesā atbilstoši valsts budžeta finansiālajām iespējām.</w:t>
            </w:r>
          </w:p>
        </w:tc>
      </w:tr>
    </w:tbl>
    <w:p w:rsidR="00E577A0" w:rsidRDefault="00E577A0" w:rsidP="003C17D9">
      <w:pPr>
        <w:shd w:val="clear" w:color="auto" w:fill="FFFFFF"/>
        <w:rPr>
          <w:sz w:val="22"/>
          <w:szCs w:val="22"/>
        </w:rPr>
      </w:pPr>
    </w:p>
    <w:p w:rsidR="00E577A0" w:rsidRPr="003A34EC" w:rsidRDefault="00E577A0" w:rsidP="003C17D9">
      <w:pPr>
        <w:shd w:val="clear" w:color="auto" w:fill="FFFFFF"/>
        <w:rPr>
          <w:sz w:val="22"/>
          <w:szCs w:val="22"/>
        </w:rPr>
      </w:pPr>
    </w:p>
    <w:tbl>
      <w:tblPr>
        <w:tblW w:w="510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28"/>
      </w:tblGrid>
      <w:tr w:rsidR="00DB0AC9" w:rsidRPr="003A34EC" w:rsidTr="009A158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BD02FB">
            <w:pPr>
              <w:jc w:val="center"/>
              <w:rPr>
                <w:b/>
                <w:bCs/>
              </w:rPr>
            </w:pPr>
            <w:r w:rsidRPr="003A34EC">
              <w:rPr>
                <w:b/>
                <w:bCs/>
              </w:rPr>
              <w:t>IV. Tiesību akta projekta ietekme uz spēkā esošo tiesību normu sistēmu</w:t>
            </w:r>
          </w:p>
        </w:tc>
      </w:tr>
      <w:tr w:rsidR="00F71CF1" w:rsidRPr="003A34EC" w:rsidTr="009A1583">
        <w:trPr>
          <w:jc w:val="center"/>
        </w:trPr>
        <w:tc>
          <w:tcPr>
            <w:tcW w:w="5000" w:type="pct"/>
            <w:tcBorders>
              <w:top w:val="outset" w:sz="6" w:space="0" w:color="414142"/>
              <w:left w:val="outset" w:sz="6" w:space="0" w:color="414142"/>
              <w:bottom w:val="outset" w:sz="6" w:space="0" w:color="414142"/>
              <w:right w:val="outset" w:sz="6" w:space="0" w:color="414142"/>
            </w:tcBorders>
          </w:tcPr>
          <w:p w:rsidR="00F71CF1" w:rsidRPr="00D829E0" w:rsidRDefault="00F71CF1" w:rsidP="00F71CF1">
            <w:pPr>
              <w:jc w:val="center"/>
            </w:pPr>
            <w:r>
              <w:t>Projekts šo jomu neskar.</w:t>
            </w:r>
          </w:p>
        </w:tc>
      </w:tr>
    </w:tbl>
    <w:p w:rsidR="00DB0AC9" w:rsidRPr="003A34EC" w:rsidRDefault="00DB0AC9" w:rsidP="00DB0AC9">
      <w:pPr>
        <w:shd w:val="clear" w:color="auto" w:fill="FFFFFF"/>
        <w:ind w:firstLine="300"/>
      </w:pPr>
      <w:r w:rsidRPr="003A34EC">
        <w:rPr>
          <w:rFonts w:ascii="Arial" w:hAnsi="Arial" w:cs="Arial"/>
        </w:rPr>
        <w:t> </w:t>
      </w:r>
    </w:p>
    <w:p w:rsidR="00DB0AC9" w:rsidRDefault="00DB0AC9" w:rsidP="005970FA">
      <w:pPr>
        <w:shd w:val="clear" w:color="auto" w:fill="FFFFFF"/>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740"/>
        <w:gridCol w:w="5992"/>
      </w:tblGrid>
      <w:tr w:rsidR="004C33C9" w:rsidRPr="00537804" w:rsidTr="00C206A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C33C9" w:rsidRPr="00537804" w:rsidRDefault="004C33C9" w:rsidP="00C206AE">
            <w:pPr>
              <w:jc w:val="center"/>
              <w:rPr>
                <w:b/>
                <w:bCs/>
              </w:rPr>
            </w:pPr>
            <w:r>
              <w:rPr>
                <w:b/>
                <w:bCs/>
              </w:rPr>
              <w:t>V</w:t>
            </w:r>
            <w:r w:rsidRPr="00537804">
              <w:rPr>
                <w:b/>
                <w:bCs/>
              </w:rPr>
              <w:t xml:space="preserve">. </w:t>
            </w:r>
            <w:r w:rsidRPr="003A34EC">
              <w:rPr>
                <w:b/>
                <w:bCs/>
              </w:rPr>
              <w:t>Tiesību akta projekta atbilstība Latvijas Republikas starptautiskajām saistībām</w:t>
            </w:r>
          </w:p>
        </w:tc>
      </w:tr>
      <w:tr w:rsidR="004C33C9" w:rsidRPr="00537804" w:rsidTr="00C206AE">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4C33C9" w:rsidRPr="00537804" w:rsidRDefault="004C33C9" w:rsidP="00C206AE">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4C33C9" w:rsidRPr="00537804" w:rsidRDefault="004C33C9" w:rsidP="00C206AE">
            <w:r>
              <w:t>Saistības pret Eiropas Savienību</w:t>
            </w:r>
          </w:p>
        </w:tc>
        <w:tc>
          <w:tcPr>
            <w:tcW w:w="3221" w:type="pct"/>
            <w:tcBorders>
              <w:top w:val="outset" w:sz="6" w:space="0" w:color="414142"/>
              <w:left w:val="outset" w:sz="6" w:space="0" w:color="414142"/>
              <w:bottom w:val="outset" w:sz="6" w:space="0" w:color="414142"/>
              <w:right w:val="outset" w:sz="6" w:space="0" w:color="414142"/>
            </w:tcBorders>
            <w:hideMark/>
          </w:tcPr>
          <w:p w:rsidR="004C33C9" w:rsidRPr="00D829E0" w:rsidRDefault="004C33C9" w:rsidP="00C206AE">
            <w:pPr>
              <w:spacing w:after="120"/>
              <w:jc w:val="both"/>
            </w:pPr>
            <w:r w:rsidRPr="00BB2DC4">
              <w:t xml:space="preserve">Eiropas Parlamenta un Padomes 2014. gada 3. aprīļa direktīvas 2014/42/ES par nozieguma rīku un noziedzīgi </w:t>
            </w:r>
            <w:r w:rsidRPr="00BB2DC4">
              <w:lastRenderedPageBreak/>
              <w:t xml:space="preserve">iegūtu līdzekļu iesaldēšanu un konfiskāciju Eiropas Savienībā </w:t>
            </w:r>
            <w:r w:rsidRPr="00BB2DC4">
              <w:rPr>
                <w:rStyle w:val="spelle"/>
              </w:rPr>
              <w:t>11. panta 1. punkta a) apakšpunkta ieviešana</w:t>
            </w:r>
          </w:p>
        </w:tc>
      </w:tr>
      <w:tr w:rsidR="004C33C9" w:rsidRPr="00537804" w:rsidTr="00C206AE">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4C33C9" w:rsidRPr="00537804" w:rsidRDefault="004C33C9" w:rsidP="00C206AE">
            <w:r>
              <w:lastRenderedPageBreak/>
              <w:t>2</w:t>
            </w:r>
            <w:r w:rsidRPr="00537804">
              <w:t>.</w:t>
            </w:r>
          </w:p>
        </w:tc>
        <w:tc>
          <w:tcPr>
            <w:tcW w:w="1473" w:type="pct"/>
            <w:tcBorders>
              <w:top w:val="outset" w:sz="6" w:space="0" w:color="414142"/>
              <w:left w:val="outset" w:sz="6" w:space="0" w:color="414142"/>
              <w:bottom w:val="outset" w:sz="6" w:space="0" w:color="414142"/>
              <w:right w:val="outset" w:sz="6" w:space="0" w:color="414142"/>
            </w:tcBorders>
            <w:hideMark/>
          </w:tcPr>
          <w:p w:rsidR="004C33C9" w:rsidRPr="00537804" w:rsidRDefault="004C33C9" w:rsidP="00C206AE">
            <w:r>
              <w:t>Citas starptautiskās saistības</w:t>
            </w:r>
          </w:p>
        </w:tc>
        <w:tc>
          <w:tcPr>
            <w:tcW w:w="3221" w:type="pct"/>
            <w:tcBorders>
              <w:top w:val="outset" w:sz="6" w:space="0" w:color="414142"/>
              <w:left w:val="outset" w:sz="6" w:space="0" w:color="414142"/>
              <w:bottom w:val="outset" w:sz="6" w:space="0" w:color="414142"/>
              <w:right w:val="outset" w:sz="6" w:space="0" w:color="414142"/>
            </w:tcBorders>
            <w:hideMark/>
          </w:tcPr>
          <w:p w:rsidR="004C33C9" w:rsidRPr="00D829E0" w:rsidRDefault="004C33C9" w:rsidP="00C206AE">
            <w:pPr>
              <w:spacing w:after="120"/>
            </w:pPr>
            <w:r>
              <w:t>Projekts šo jomu neskar.</w:t>
            </w:r>
          </w:p>
        </w:tc>
      </w:tr>
      <w:tr w:rsidR="004C33C9" w:rsidRPr="00537804" w:rsidTr="00C206AE">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4C33C9" w:rsidRPr="00537804" w:rsidRDefault="004C33C9" w:rsidP="00C206AE">
            <w:r>
              <w:t>3</w:t>
            </w:r>
            <w:r w:rsidRPr="00537804">
              <w:t>.</w:t>
            </w:r>
          </w:p>
        </w:tc>
        <w:tc>
          <w:tcPr>
            <w:tcW w:w="1473" w:type="pct"/>
            <w:tcBorders>
              <w:top w:val="outset" w:sz="6" w:space="0" w:color="414142"/>
              <w:left w:val="outset" w:sz="6" w:space="0" w:color="414142"/>
              <w:bottom w:val="outset" w:sz="6" w:space="0" w:color="414142"/>
              <w:right w:val="outset" w:sz="6" w:space="0" w:color="414142"/>
            </w:tcBorders>
            <w:hideMark/>
          </w:tcPr>
          <w:p w:rsidR="004C33C9" w:rsidRPr="00537804" w:rsidRDefault="004C33C9" w:rsidP="00C206AE">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4C33C9" w:rsidRPr="00D829E0" w:rsidRDefault="004C33C9" w:rsidP="00C206AE">
            <w:pPr>
              <w:spacing w:after="120"/>
            </w:pPr>
            <w:r>
              <w:t>Nav</w:t>
            </w:r>
          </w:p>
        </w:tc>
      </w:tr>
    </w:tbl>
    <w:p w:rsidR="004C33C9" w:rsidRDefault="004C33C9" w:rsidP="005970FA">
      <w:pPr>
        <w:shd w:val="clear" w:color="auto" w:fill="FFFFFF"/>
      </w:pPr>
    </w:p>
    <w:p w:rsidR="004C33C9" w:rsidRPr="00537804" w:rsidRDefault="004C33C9" w:rsidP="005970FA">
      <w:pPr>
        <w:shd w:val="clear" w:color="auto" w:fill="FFFFFF"/>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740"/>
        <w:gridCol w:w="5992"/>
      </w:tblGrid>
      <w:tr w:rsidR="00DB0AC9" w:rsidRPr="00537804" w:rsidTr="00BD02FB">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BD02FB">
            <w:pPr>
              <w:jc w:val="center"/>
              <w:rPr>
                <w:b/>
                <w:bCs/>
              </w:rPr>
            </w:pPr>
            <w:r w:rsidRPr="00537804">
              <w:rPr>
                <w:b/>
                <w:bCs/>
              </w:rPr>
              <w:t>VI. Sabiedrības līdzdalība un komunikācijas aktivitātes</w:t>
            </w:r>
          </w:p>
        </w:tc>
      </w:tr>
      <w:tr w:rsidR="00A26BC0" w:rsidRPr="00537804" w:rsidTr="00BD02FB">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F71CF1">
            <w:pPr>
              <w:spacing w:after="120"/>
              <w:jc w:val="both"/>
            </w:pPr>
            <w:r w:rsidRPr="00D829E0">
              <w:t xml:space="preserve">Par </w:t>
            </w:r>
            <w:r w:rsidR="00F71CF1">
              <w:t xml:space="preserve">Ministru kabineta noteikumu </w:t>
            </w:r>
            <w:r w:rsidRPr="00D829E0">
              <w:t xml:space="preserve">projektu informēta sabiedrība, informāciju publicējot Iekšlietu ministrijas </w:t>
            </w:r>
            <w:r w:rsidR="00F71CF1">
              <w:t>tīmekļa vietnē</w:t>
            </w:r>
            <w:r w:rsidRPr="00D829E0">
              <w:t>.</w:t>
            </w:r>
          </w:p>
        </w:tc>
      </w:tr>
      <w:tr w:rsidR="00A26BC0" w:rsidRPr="00537804" w:rsidTr="00BD02FB">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2B3FFD" w:rsidP="00F71CF1">
            <w:pPr>
              <w:spacing w:after="120"/>
              <w:jc w:val="both"/>
            </w:pPr>
            <w:r w:rsidRPr="00427D5E">
              <w:rPr>
                <w:color w:val="000000"/>
              </w:rPr>
              <w:t xml:space="preserve">Projektam nodrošināta sabiedrības līdzdalība 2017.gada </w:t>
            </w:r>
            <w:r>
              <w:rPr>
                <w:color w:val="000000"/>
              </w:rPr>
              <w:t>11.oktobrī</w:t>
            </w:r>
            <w:r w:rsidRPr="00427D5E">
              <w:rPr>
                <w:color w:val="000000"/>
              </w:rPr>
              <w:t xml:space="preserve"> ievietojot paziņojumu Iekšlietu ministrijas mājaslapā sadaļā “Sabiedrības līdzdalība”. Tika lūgts sniegt rakstveida atzinumu (nosūtot to uz Iekšlietu ministrijas Informācijas centra </w:t>
            </w:r>
            <w:r>
              <w:rPr>
                <w:color w:val="000000"/>
              </w:rPr>
              <w:t xml:space="preserve">atbildīgās amatpersonas </w:t>
            </w:r>
            <w:r w:rsidRPr="00427D5E">
              <w:rPr>
                <w:color w:val="000000"/>
              </w:rPr>
              <w:t xml:space="preserve">e-pasta adresi) par projektu </w:t>
            </w:r>
            <w:r>
              <w:rPr>
                <w:color w:val="000000"/>
              </w:rPr>
              <w:t>mēneša</w:t>
            </w:r>
            <w:r w:rsidRPr="00427D5E">
              <w:rPr>
                <w:color w:val="000000"/>
              </w:rPr>
              <w:t xml:space="preserve"> laikā no paziņojuma izvietošanas dienas.</w:t>
            </w:r>
          </w:p>
        </w:tc>
      </w:tr>
      <w:tr w:rsidR="00A26BC0" w:rsidRPr="00537804" w:rsidTr="00BD02F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F71CF1">
            <w:pPr>
              <w:spacing w:after="120"/>
            </w:pPr>
            <w:r w:rsidRPr="00D829E0">
              <w:t xml:space="preserve">Par </w:t>
            </w:r>
            <w:r w:rsidR="00F71CF1">
              <w:t>Ministru kabineta noteikumu projektu</w:t>
            </w:r>
            <w:r w:rsidRPr="00D829E0">
              <w:t xml:space="preserve"> </w:t>
            </w:r>
            <w:r w:rsidR="009D78D5">
              <w:t>komentāri</w:t>
            </w:r>
            <w:r w:rsidRPr="00D829E0">
              <w:t xml:space="preserve"> nav saņemti.</w:t>
            </w:r>
          </w:p>
        </w:tc>
      </w:tr>
      <w:tr w:rsidR="00A26BC0" w:rsidRPr="00537804" w:rsidTr="00BD02F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BD02FB">
            <w:pPr>
              <w:spacing w:after="120"/>
            </w:pPr>
            <w:r>
              <w:t>Nav</w:t>
            </w:r>
          </w:p>
        </w:tc>
      </w:tr>
    </w:tbl>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2"/>
        <w:gridCol w:w="3470"/>
        <w:gridCol w:w="5317"/>
      </w:tblGrid>
      <w:tr w:rsidR="00DB0AC9" w:rsidRPr="00537804" w:rsidTr="00BD02FB">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BD02FB">
            <w:pPr>
              <w:jc w:val="center"/>
              <w:rPr>
                <w:b/>
                <w:bCs/>
              </w:rPr>
            </w:pPr>
            <w:r w:rsidRPr="00537804">
              <w:rPr>
                <w:b/>
                <w:bCs/>
              </w:rPr>
              <w:t>VII. Tiesību akta projekta izpildes nodrošināšana un tās ietekme uz institūcijām</w:t>
            </w:r>
          </w:p>
        </w:tc>
      </w:tr>
      <w:tr w:rsidR="005E5398" w:rsidRPr="00537804" w:rsidTr="00BD02FB">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3E000A" w:rsidP="00EB2F63">
            <w:pPr>
              <w:spacing w:after="120"/>
              <w:jc w:val="both"/>
            </w:pPr>
            <w:r>
              <w:t>Iekšlietu ministrijas Informācijas centrs</w:t>
            </w:r>
            <w:r w:rsidR="00EB2F63">
              <w:t>,</w:t>
            </w:r>
            <w:r w:rsidR="002B3FFD">
              <w:t xml:space="preserve"> </w:t>
            </w:r>
            <w:r w:rsidR="00EB2F63">
              <w:t>t</w:t>
            </w:r>
            <w:r w:rsidR="002B3FFD">
              <w:t xml:space="preserve">iesībsargājošās iestādes, </w:t>
            </w:r>
            <w:r w:rsidR="00EB2F63">
              <w:t>Finanšu izlūkošanas</w:t>
            </w:r>
            <w:r w:rsidR="002B3FFD" w:rsidRPr="000D66A6">
              <w:t xml:space="preserve"> dienests</w:t>
            </w:r>
            <w:r w:rsidR="002B3FFD">
              <w:t>.</w:t>
            </w:r>
          </w:p>
        </w:tc>
      </w:tr>
      <w:tr w:rsidR="005E5398" w:rsidRPr="00537804" w:rsidTr="00BD02FB">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Projekta izpildes ietekme uz pārvaldes funkcijām un institucionālo struktūru.</w:t>
            </w:r>
          </w:p>
          <w:p w:rsidR="005E5398" w:rsidRPr="00537804" w:rsidRDefault="005E5398" w:rsidP="00BD02FB">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C432E1" w:rsidRDefault="00EB2F63" w:rsidP="00C432E1">
            <w:pPr>
              <w:spacing w:after="120"/>
              <w:jc w:val="both"/>
            </w:pPr>
            <w:r>
              <w:t>Finanšu izlūkošanas</w:t>
            </w:r>
            <w:r w:rsidR="002B3FFD" w:rsidRPr="000D66A6">
              <w:t xml:space="preserve"> dienest</w:t>
            </w:r>
            <w:r w:rsidR="002B3FFD">
              <w:t>am</w:t>
            </w:r>
            <w:r w:rsidR="002B3FFD" w:rsidRPr="000D66A6">
              <w:t xml:space="preserve"> </w:t>
            </w:r>
            <w:r w:rsidR="002B3FFD" w:rsidRPr="00117F23">
              <w:t xml:space="preserve">tiesības paplašinās, paredzot  tiesības pieprasīt un saņemt informāciju, kas nepieciešama </w:t>
            </w:r>
            <w:r w:rsidR="002B3FFD" w:rsidRPr="000D66A6">
              <w:t>NILLTF</w:t>
            </w:r>
            <w:r w:rsidR="002B3FFD" w:rsidRPr="00117F23">
              <w:t xml:space="preserve"> risku novērtēšanai, sadarbībai ar ārvalstu dienestiem un statistisko pārskatu sagatavošanai</w:t>
            </w:r>
            <w:r w:rsidR="002B3FFD">
              <w:t>.</w:t>
            </w:r>
          </w:p>
        </w:tc>
      </w:tr>
      <w:tr w:rsidR="005E5398" w:rsidRPr="00537804" w:rsidTr="00BD02FB">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BD02FB">
            <w:pPr>
              <w:spacing w:after="120"/>
            </w:pPr>
            <w:r w:rsidRPr="00D829E0">
              <w:t>Nav</w:t>
            </w:r>
          </w:p>
        </w:tc>
      </w:tr>
    </w:tbl>
    <w:p w:rsidR="002C1B6D" w:rsidRPr="00D829E0" w:rsidRDefault="002C1B6D"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r>
      <w:r w:rsidR="00AE4511">
        <w:t>Sandis Ģirģens</w:t>
      </w:r>
    </w:p>
    <w:p w:rsidR="005E5398" w:rsidRPr="00D829E0" w:rsidRDefault="005E5398" w:rsidP="005E5398">
      <w:pPr>
        <w:spacing w:after="120"/>
        <w:ind w:firstLine="720"/>
      </w:pPr>
    </w:p>
    <w:p w:rsidR="005E5398" w:rsidRPr="00D829E0" w:rsidRDefault="005E5398" w:rsidP="005E5398">
      <w:pPr>
        <w:spacing w:after="120"/>
      </w:pPr>
      <w:r w:rsidRPr="00D829E0">
        <w:t>Vīza:</w:t>
      </w:r>
    </w:p>
    <w:p w:rsidR="002F7404" w:rsidRPr="00D829E0" w:rsidRDefault="005E5398" w:rsidP="009E04C5">
      <w:pPr>
        <w:tabs>
          <w:tab w:val="left" w:pos="6237"/>
        </w:tabs>
        <w:spacing w:after="120"/>
      </w:pPr>
      <w:r w:rsidRPr="00D829E0">
        <w:t>valsts sekretārs</w:t>
      </w:r>
      <w:r w:rsidRPr="00D829E0">
        <w:tab/>
        <w:t>Dimitrijs Trofimovs</w:t>
      </w:r>
      <w:bookmarkStart w:id="3" w:name="_GoBack"/>
      <w:bookmarkEnd w:id="3"/>
    </w:p>
    <w:p w:rsidR="002F7404" w:rsidRPr="004E79ED" w:rsidRDefault="002F7404" w:rsidP="002F7404">
      <w:pPr>
        <w:pStyle w:val="NoSpacing"/>
        <w:rPr>
          <w:sz w:val="18"/>
          <w:szCs w:val="18"/>
        </w:rPr>
      </w:pPr>
      <w:r w:rsidRPr="004E79ED">
        <w:rPr>
          <w:sz w:val="18"/>
          <w:szCs w:val="18"/>
        </w:rPr>
        <w:t xml:space="preserve">S.Klementjeva, 67208509 </w:t>
      </w:r>
    </w:p>
    <w:p w:rsidR="002F7404" w:rsidRPr="004E79ED" w:rsidRDefault="008C4F4A" w:rsidP="002F7404">
      <w:pPr>
        <w:rPr>
          <w:b/>
          <w:sz w:val="18"/>
          <w:szCs w:val="18"/>
        </w:rPr>
      </w:pPr>
      <w:hyperlink r:id="rId7" w:history="1">
        <w:r w:rsidR="002F7404" w:rsidRPr="00E87883">
          <w:rPr>
            <w:rStyle w:val="Hyperlink"/>
            <w:sz w:val="18"/>
            <w:szCs w:val="18"/>
          </w:rPr>
          <w:t>sarmite.klementjeva@ic.iem.gov.lv</w:t>
        </w:r>
      </w:hyperlink>
      <w:r w:rsidR="002F7404">
        <w:rPr>
          <w:sz w:val="18"/>
          <w:szCs w:val="18"/>
        </w:rPr>
        <w:t xml:space="preserve"> </w:t>
      </w:r>
      <w:r w:rsidR="002F7404" w:rsidRPr="004E79ED">
        <w:rPr>
          <w:sz w:val="18"/>
          <w:szCs w:val="18"/>
        </w:rPr>
        <w:t xml:space="preserve">  </w:t>
      </w:r>
    </w:p>
    <w:p w:rsidR="00355B27" w:rsidRPr="00E4481F" w:rsidRDefault="00355B27" w:rsidP="002F7404">
      <w:pPr>
        <w:rPr>
          <w:sz w:val="20"/>
          <w:szCs w:val="20"/>
        </w:rPr>
      </w:pPr>
    </w:p>
    <w:sectPr w:rsidR="00355B27" w:rsidRPr="00E4481F" w:rsidSect="00EE59FC">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4A" w:rsidRDefault="008C4F4A" w:rsidP="00DB0AC9">
      <w:r>
        <w:separator/>
      </w:r>
    </w:p>
  </w:endnote>
  <w:endnote w:type="continuationSeparator" w:id="0">
    <w:p w:rsidR="008C4F4A" w:rsidRDefault="008C4F4A"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98" w:rsidRPr="003B0562" w:rsidRDefault="00A92CFE" w:rsidP="003B0562">
    <w:pPr>
      <w:pStyle w:val="Footer"/>
      <w:jc w:val="both"/>
      <w:rPr>
        <w:sz w:val="20"/>
        <w:szCs w:val="20"/>
      </w:rPr>
    </w:pPr>
    <w:r>
      <w:rPr>
        <w:sz w:val="20"/>
        <w:szCs w:val="20"/>
      </w:rPr>
      <w:t>IEMAnot_</w:t>
    </w:r>
    <w:r w:rsidR="009E04C5">
      <w:rPr>
        <w:sz w:val="20"/>
        <w:szCs w:val="20"/>
      </w:rPr>
      <w:t>16</w:t>
    </w:r>
    <w:r>
      <w:rPr>
        <w:sz w:val="20"/>
        <w:szCs w:val="20"/>
      </w:rPr>
      <w:t>07</w:t>
    </w:r>
    <w:r w:rsidR="003B0562">
      <w:rPr>
        <w:sz w:val="20"/>
        <w:szCs w:val="20"/>
      </w:rPr>
      <w:t>19_KRASS; Ministru kabineta noteikumu projekta „</w:t>
    </w:r>
    <w:r w:rsidR="003B0562" w:rsidRPr="00014CC4">
      <w:rPr>
        <w:sz w:val="20"/>
        <w:szCs w:val="20"/>
      </w:rPr>
      <w:t>Grozījumi Ministru kabineta 2010.gada 14.septembra noteikumos Nr.850 “Kriminālprocesa informācijas sistēmas noteikumi”</w:t>
    </w:r>
    <w:r w:rsidR="003B0562" w:rsidRPr="00014CC4">
      <w:rPr>
        <w:bCs/>
        <w:sz w:val="20"/>
        <w:szCs w:val="20"/>
      </w:rPr>
      <w:t>”</w:t>
    </w:r>
    <w:r w:rsidR="003B0562" w:rsidRPr="00014CC4">
      <w:rPr>
        <w:sz w:val="20"/>
        <w:szCs w:val="20"/>
      </w:rPr>
      <w:t xml:space="preserve"> </w:t>
    </w:r>
    <w:r w:rsidR="003B0562">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98" w:rsidRPr="00E4481F" w:rsidRDefault="00C56ADE" w:rsidP="00E4481F">
    <w:pPr>
      <w:pStyle w:val="Footer"/>
      <w:jc w:val="both"/>
      <w:rPr>
        <w:sz w:val="20"/>
        <w:szCs w:val="20"/>
      </w:rPr>
    </w:pPr>
    <w:r>
      <w:rPr>
        <w:sz w:val="20"/>
        <w:szCs w:val="20"/>
      </w:rPr>
      <w:t>IEMAnot_</w:t>
    </w:r>
    <w:r w:rsidR="009E04C5">
      <w:rPr>
        <w:sz w:val="20"/>
        <w:szCs w:val="20"/>
      </w:rPr>
      <w:t>16</w:t>
    </w:r>
    <w:r w:rsidR="00A92CFE">
      <w:rPr>
        <w:sz w:val="20"/>
        <w:szCs w:val="20"/>
      </w:rPr>
      <w:t>07</w:t>
    </w:r>
    <w:r w:rsidR="003B0562">
      <w:rPr>
        <w:sz w:val="20"/>
        <w:szCs w:val="20"/>
      </w:rPr>
      <w:t>19</w:t>
    </w:r>
    <w:r w:rsidR="00E4481F">
      <w:rPr>
        <w:sz w:val="20"/>
        <w:szCs w:val="20"/>
      </w:rPr>
      <w:t>_</w:t>
    </w:r>
    <w:r w:rsidR="003B0562">
      <w:rPr>
        <w:sz w:val="20"/>
        <w:szCs w:val="20"/>
      </w:rPr>
      <w:t>KRASS</w:t>
    </w:r>
    <w:r w:rsidR="00E4481F">
      <w:rPr>
        <w:sz w:val="20"/>
        <w:szCs w:val="20"/>
      </w:rPr>
      <w:t>; Ministru kabineta noteikumu projekta „</w:t>
    </w:r>
    <w:r w:rsidR="003B0562" w:rsidRPr="00014CC4">
      <w:rPr>
        <w:sz w:val="20"/>
        <w:szCs w:val="20"/>
      </w:rPr>
      <w:t>Grozījumi Ministru kabineta 2010.gada 14.septembra noteikumos Nr.850 “Kriminālprocesa informācijas sistēmas noteikumi”</w:t>
    </w:r>
    <w:r w:rsidR="003B0562" w:rsidRPr="00014CC4">
      <w:rPr>
        <w:bCs/>
        <w:sz w:val="20"/>
        <w:szCs w:val="20"/>
      </w:rPr>
      <w:t>”</w:t>
    </w:r>
    <w:r w:rsidR="003B0562" w:rsidRPr="00014CC4">
      <w:rPr>
        <w:sz w:val="20"/>
        <w:szCs w:val="20"/>
      </w:rPr>
      <w:t xml:space="preserve"> </w:t>
    </w:r>
    <w:r w:rsidR="00E4481F">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4A" w:rsidRDefault="008C4F4A" w:rsidP="00DB0AC9">
      <w:r>
        <w:separator/>
      </w:r>
    </w:p>
  </w:footnote>
  <w:footnote w:type="continuationSeparator" w:id="0">
    <w:p w:rsidR="008C4F4A" w:rsidRDefault="008C4F4A"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rsidR="00DB0AC9" w:rsidRDefault="00703D40">
        <w:pPr>
          <w:pStyle w:val="Header"/>
          <w:jc w:val="center"/>
        </w:pPr>
        <w:r>
          <w:fldChar w:fldCharType="begin"/>
        </w:r>
        <w:r>
          <w:instrText xml:space="preserve"> PAGE   \* MERGEFORMAT </w:instrText>
        </w:r>
        <w:r>
          <w:fldChar w:fldCharType="separate"/>
        </w:r>
        <w:r w:rsidR="009E04C5">
          <w:rPr>
            <w:noProof/>
          </w:rPr>
          <w:t>11</w:t>
        </w:r>
        <w:r>
          <w:rPr>
            <w:noProof/>
          </w:rPr>
          <w:fldChar w:fldCharType="end"/>
        </w:r>
      </w:p>
    </w:sdtContent>
  </w:sdt>
  <w:p w:rsidR="00DB0AC9" w:rsidRDefault="00DB0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BC261B"/>
    <w:multiLevelType w:val="multilevel"/>
    <w:tmpl w:val="129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964540"/>
    <w:multiLevelType w:val="hybridMultilevel"/>
    <w:tmpl w:val="23D4F050"/>
    <w:lvl w:ilvl="0" w:tplc="50AADF4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E1F210C"/>
    <w:multiLevelType w:val="hybridMultilevel"/>
    <w:tmpl w:val="153C0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AC9"/>
    <w:rsid w:val="00012554"/>
    <w:rsid w:val="0001731C"/>
    <w:rsid w:val="00030099"/>
    <w:rsid w:val="00034CBA"/>
    <w:rsid w:val="00041399"/>
    <w:rsid w:val="000619BD"/>
    <w:rsid w:val="000A4B00"/>
    <w:rsid w:val="000D42DC"/>
    <w:rsid w:val="000D4C59"/>
    <w:rsid w:val="000D5A11"/>
    <w:rsid w:val="00100D1C"/>
    <w:rsid w:val="001202F6"/>
    <w:rsid w:val="00153D7F"/>
    <w:rsid w:val="001702AC"/>
    <w:rsid w:val="00175489"/>
    <w:rsid w:val="00181413"/>
    <w:rsid w:val="00197418"/>
    <w:rsid w:val="001A7BF7"/>
    <w:rsid w:val="001D4990"/>
    <w:rsid w:val="001E24A5"/>
    <w:rsid w:val="001F04C5"/>
    <w:rsid w:val="001F46BD"/>
    <w:rsid w:val="002019E8"/>
    <w:rsid w:val="00211917"/>
    <w:rsid w:val="00216F8D"/>
    <w:rsid w:val="0022794C"/>
    <w:rsid w:val="00233136"/>
    <w:rsid w:val="00253920"/>
    <w:rsid w:val="0026479F"/>
    <w:rsid w:val="002675C2"/>
    <w:rsid w:val="0028578C"/>
    <w:rsid w:val="002A2EC3"/>
    <w:rsid w:val="002A6761"/>
    <w:rsid w:val="002B3076"/>
    <w:rsid w:val="002B3FFD"/>
    <w:rsid w:val="002B4691"/>
    <w:rsid w:val="002C1B6D"/>
    <w:rsid w:val="002C6B9E"/>
    <w:rsid w:val="002F5808"/>
    <w:rsid w:val="002F7404"/>
    <w:rsid w:val="003228BA"/>
    <w:rsid w:val="00341FDD"/>
    <w:rsid w:val="00355A4E"/>
    <w:rsid w:val="00355B27"/>
    <w:rsid w:val="00361824"/>
    <w:rsid w:val="00371D81"/>
    <w:rsid w:val="0039407A"/>
    <w:rsid w:val="003B0562"/>
    <w:rsid w:val="003C17D9"/>
    <w:rsid w:val="003D2B9E"/>
    <w:rsid w:val="003D4AF6"/>
    <w:rsid w:val="003E000A"/>
    <w:rsid w:val="003E095E"/>
    <w:rsid w:val="00426197"/>
    <w:rsid w:val="00441051"/>
    <w:rsid w:val="00442541"/>
    <w:rsid w:val="00446103"/>
    <w:rsid w:val="004807F7"/>
    <w:rsid w:val="00480E97"/>
    <w:rsid w:val="00492553"/>
    <w:rsid w:val="00494598"/>
    <w:rsid w:val="004A033F"/>
    <w:rsid w:val="004A1F48"/>
    <w:rsid w:val="004C33C9"/>
    <w:rsid w:val="004E5A42"/>
    <w:rsid w:val="004E6766"/>
    <w:rsid w:val="004F2758"/>
    <w:rsid w:val="004F463D"/>
    <w:rsid w:val="00501742"/>
    <w:rsid w:val="00567196"/>
    <w:rsid w:val="005970FA"/>
    <w:rsid w:val="005B2D66"/>
    <w:rsid w:val="005E5398"/>
    <w:rsid w:val="005F0F30"/>
    <w:rsid w:val="00610CFD"/>
    <w:rsid w:val="006124DA"/>
    <w:rsid w:val="00680009"/>
    <w:rsid w:val="00681396"/>
    <w:rsid w:val="006B2D49"/>
    <w:rsid w:val="006F4644"/>
    <w:rsid w:val="00700A0D"/>
    <w:rsid w:val="00703D40"/>
    <w:rsid w:val="00707F96"/>
    <w:rsid w:val="0071393E"/>
    <w:rsid w:val="00720FB2"/>
    <w:rsid w:val="00723AEB"/>
    <w:rsid w:val="0073513D"/>
    <w:rsid w:val="007B72BB"/>
    <w:rsid w:val="007D5F29"/>
    <w:rsid w:val="007D7014"/>
    <w:rsid w:val="007E2F76"/>
    <w:rsid w:val="007E676C"/>
    <w:rsid w:val="007F3D3B"/>
    <w:rsid w:val="008224D5"/>
    <w:rsid w:val="00841311"/>
    <w:rsid w:val="00845802"/>
    <w:rsid w:val="0084754B"/>
    <w:rsid w:val="008573BD"/>
    <w:rsid w:val="00884A91"/>
    <w:rsid w:val="008B0A8A"/>
    <w:rsid w:val="008B0DF9"/>
    <w:rsid w:val="008C3036"/>
    <w:rsid w:val="008C4F4A"/>
    <w:rsid w:val="00903864"/>
    <w:rsid w:val="009A1583"/>
    <w:rsid w:val="009D78D5"/>
    <w:rsid w:val="009E04C5"/>
    <w:rsid w:val="00A147A5"/>
    <w:rsid w:val="00A15BE3"/>
    <w:rsid w:val="00A26BC0"/>
    <w:rsid w:val="00A342BB"/>
    <w:rsid w:val="00A92CFE"/>
    <w:rsid w:val="00AB0169"/>
    <w:rsid w:val="00AC3190"/>
    <w:rsid w:val="00AC5E1C"/>
    <w:rsid w:val="00AC711D"/>
    <w:rsid w:val="00AD706C"/>
    <w:rsid w:val="00AE4511"/>
    <w:rsid w:val="00AE5628"/>
    <w:rsid w:val="00AE6BA3"/>
    <w:rsid w:val="00B111CC"/>
    <w:rsid w:val="00B14BDD"/>
    <w:rsid w:val="00B47460"/>
    <w:rsid w:val="00B7575D"/>
    <w:rsid w:val="00BA467E"/>
    <w:rsid w:val="00BC6715"/>
    <w:rsid w:val="00BE154B"/>
    <w:rsid w:val="00C1237D"/>
    <w:rsid w:val="00C213CB"/>
    <w:rsid w:val="00C31E03"/>
    <w:rsid w:val="00C364E7"/>
    <w:rsid w:val="00C432E1"/>
    <w:rsid w:val="00C5188C"/>
    <w:rsid w:val="00C55D49"/>
    <w:rsid w:val="00C56ADE"/>
    <w:rsid w:val="00C7720A"/>
    <w:rsid w:val="00C966BB"/>
    <w:rsid w:val="00CC10A2"/>
    <w:rsid w:val="00CD3A78"/>
    <w:rsid w:val="00CE041E"/>
    <w:rsid w:val="00CE12BB"/>
    <w:rsid w:val="00D47E57"/>
    <w:rsid w:val="00D623FB"/>
    <w:rsid w:val="00D76363"/>
    <w:rsid w:val="00D822BD"/>
    <w:rsid w:val="00D87B80"/>
    <w:rsid w:val="00DB0AC9"/>
    <w:rsid w:val="00DD5918"/>
    <w:rsid w:val="00DE1F06"/>
    <w:rsid w:val="00E16084"/>
    <w:rsid w:val="00E23151"/>
    <w:rsid w:val="00E32F8B"/>
    <w:rsid w:val="00E36DF7"/>
    <w:rsid w:val="00E40407"/>
    <w:rsid w:val="00E4481F"/>
    <w:rsid w:val="00E577A0"/>
    <w:rsid w:val="00E61FA4"/>
    <w:rsid w:val="00E65480"/>
    <w:rsid w:val="00EB2F63"/>
    <w:rsid w:val="00EE59FC"/>
    <w:rsid w:val="00EF06A9"/>
    <w:rsid w:val="00EF6309"/>
    <w:rsid w:val="00F71CF1"/>
    <w:rsid w:val="00F7428A"/>
    <w:rsid w:val="00F75A9B"/>
    <w:rsid w:val="00F96EE5"/>
    <w:rsid w:val="00FA6AA9"/>
    <w:rsid w:val="00FD31F9"/>
    <w:rsid w:val="00FE50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10FE-49E5-41F3-9075-2806CCF5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 w:type="character" w:customStyle="1" w:styleId="spelle">
    <w:name w:val="spelle"/>
    <w:rsid w:val="00DD5918"/>
  </w:style>
  <w:style w:type="paragraph" w:styleId="NormalWeb">
    <w:name w:val="Normal (Web)"/>
    <w:basedOn w:val="Normal"/>
    <w:uiPriority w:val="99"/>
    <w:unhideWhenUsed/>
    <w:rsid w:val="00E36DF7"/>
    <w:pPr>
      <w:spacing w:before="100" w:beforeAutospacing="1" w:after="100" w:afterAutospacing="1"/>
    </w:pPr>
  </w:style>
  <w:style w:type="paragraph" w:styleId="CommentText">
    <w:name w:val="annotation text"/>
    <w:basedOn w:val="Normal"/>
    <w:link w:val="CommentTextChar"/>
    <w:uiPriority w:val="99"/>
    <w:unhideWhenUsed/>
    <w:rsid w:val="00E36DF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36DF7"/>
    <w:rPr>
      <w:sz w:val="20"/>
      <w:szCs w:val="20"/>
    </w:rPr>
  </w:style>
  <w:style w:type="character" w:customStyle="1" w:styleId="st1">
    <w:name w:val="st1"/>
    <w:basedOn w:val="DefaultParagraphFont"/>
    <w:rsid w:val="00E36DF7"/>
  </w:style>
  <w:style w:type="paragraph" w:styleId="NoSpacing">
    <w:name w:val="No Spacing"/>
    <w:uiPriority w:val="1"/>
    <w:qFormat/>
    <w:rsid w:val="002F7404"/>
    <w:pPr>
      <w:spacing w:after="0" w:line="240" w:lineRule="auto"/>
      <w:jc w:val="both"/>
    </w:pPr>
    <w:rPr>
      <w:rFonts w:ascii="Times New Roman" w:eastAsia="Calibri" w:hAnsi="Times New Roman" w:cs="Times New Roman"/>
      <w:sz w:val="28"/>
    </w:rPr>
  </w:style>
  <w:style w:type="paragraph" w:customStyle="1" w:styleId="tvhtml">
    <w:name w:val="tv_html"/>
    <w:basedOn w:val="Normal"/>
    <w:rsid w:val="002675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mite.klementjeva@ic.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11</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Signe Koritko</cp:lastModifiedBy>
  <cp:revision>154</cp:revision>
  <dcterms:created xsi:type="dcterms:W3CDTF">2017-12-28T10:42:00Z</dcterms:created>
  <dcterms:modified xsi:type="dcterms:W3CDTF">2019-07-15T22:24:00Z</dcterms:modified>
</cp:coreProperties>
</file>