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B5" w:rsidRPr="005D10D8" w:rsidRDefault="00C555B5" w:rsidP="00C555B5">
      <w:pPr>
        <w:pStyle w:val="naisnod"/>
        <w:spacing w:before="0" w:after="0"/>
      </w:pPr>
      <w:r w:rsidRPr="005D10D8">
        <w:t>Izziņa par atzinumos sniegtajiem iebildumiem</w:t>
      </w:r>
    </w:p>
    <w:tbl>
      <w:tblPr>
        <w:tblW w:w="0" w:type="auto"/>
        <w:jc w:val="center"/>
        <w:tblLook w:val="00A0" w:firstRow="1" w:lastRow="0" w:firstColumn="1" w:lastColumn="0" w:noHBand="0" w:noVBand="0"/>
      </w:tblPr>
      <w:tblGrid>
        <w:gridCol w:w="10188"/>
      </w:tblGrid>
      <w:tr w:rsidR="00C555B5" w:rsidRPr="005D10D8" w:rsidTr="00EA2B49">
        <w:trPr>
          <w:jc w:val="center"/>
        </w:trPr>
        <w:tc>
          <w:tcPr>
            <w:tcW w:w="10188" w:type="dxa"/>
          </w:tcPr>
          <w:p w:rsidR="00C555B5" w:rsidRPr="005D10D8" w:rsidRDefault="00C555B5" w:rsidP="00EA2B49">
            <w:pPr>
              <w:jc w:val="center"/>
              <w:rPr>
                <w:b/>
              </w:rPr>
            </w:pPr>
            <w:r w:rsidRPr="005D10D8">
              <w:rPr>
                <w:b/>
              </w:rPr>
              <w:t xml:space="preserve">par </w:t>
            </w:r>
            <w:r w:rsidR="00034648" w:rsidRPr="007967FC">
              <w:rPr>
                <w:b/>
                <w:bCs/>
              </w:rPr>
              <w:t>Ministru kabineta noteikumu projekta “Grozījumi Ministru kabineta 2012.gada 21.februāra noteikumos Nr.13</w:t>
            </w:r>
            <w:r w:rsidR="00396BFC">
              <w:rPr>
                <w:b/>
                <w:bCs/>
              </w:rPr>
              <w:t>4</w:t>
            </w:r>
            <w:r w:rsidR="00034648" w:rsidRPr="007967FC">
              <w:rPr>
                <w:b/>
                <w:bCs/>
              </w:rPr>
              <w:t xml:space="preserve"> "</w:t>
            </w:r>
            <w:hyperlink r:id="rId7" w:tgtFrame="_blank" w:history="1">
              <w:r w:rsidR="00396BFC">
                <w:rPr>
                  <w:b/>
                  <w:bCs/>
                </w:rPr>
                <w:t>Personu</w:t>
              </w:r>
            </w:hyperlink>
            <w:r w:rsidR="00396BFC">
              <w:rPr>
                <w:b/>
                <w:bCs/>
              </w:rPr>
              <w:t xml:space="preserve"> apliecinošu dokumentu noteikumi</w:t>
            </w:r>
            <w:r w:rsidR="00034648" w:rsidRPr="007967FC">
              <w:rPr>
                <w:b/>
                <w:bCs/>
              </w:rPr>
              <w:t>”</w:t>
            </w:r>
            <w:r w:rsidRPr="005D10D8">
              <w:rPr>
                <w:b/>
                <w:bCs/>
              </w:rPr>
              <w:t>” (VSS</w:t>
            </w:r>
            <w:r w:rsidRPr="005D10D8">
              <w:rPr>
                <w:b/>
              </w:rPr>
              <w:t>-</w:t>
            </w:r>
            <w:r w:rsidR="00034648">
              <w:rPr>
                <w:b/>
              </w:rPr>
              <w:t>63</w:t>
            </w:r>
            <w:r w:rsidR="00396BFC">
              <w:rPr>
                <w:b/>
              </w:rPr>
              <w:t>3</w:t>
            </w:r>
            <w:r w:rsidRPr="005D10D8">
              <w:rPr>
                <w:b/>
              </w:rPr>
              <w:t>)</w:t>
            </w:r>
          </w:p>
          <w:p w:rsidR="00C555B5" w:rsidRPr="005D10D8" w:rsidRDefault="00C555B5" w:rsidP="00EA2B49">
            <w:pPr>
              <w:jc w:val="center"/>
              <w:rPr>
                <w:b/>
              </w:rPr>
            </w:pPr>
          </w:p>
        </w:tc>
      </w:tr>
    </w:tbl>
    <w:p w:rsidR="00C555B5" w:rsidRPr="005D10D8" w:rsidRDefault="00C555B5" w:rsidP="00C555B5">
      <w:pPr>
        <w:pStyle w:val="naisf"/>
        <w:spacing w:before="0" w:after="0"/>
        <w:ind w:firstLine="0"/>
        <w:jc w:val="center"/>
        <w:rPr>
          <w:b/>
        </w:rPr>
      </w:pPr>
      <w:r w:rsidRPr="005D10D8">
        <w:rPr>
          <w:b/>
        </w:rPr>
        <w:t>I. Jautājumi, par kuriem saskaņošanā vienošanās nav panākta</w:t>
      </w:r>
    </w:p>
    <w:p w:rsidR="00C555B5" w:rsidRPr="005D10D8" w:rsidRDefault="00C555B5" w:rsidP="00C555B5">
      <w:pPr>
        <w:pStyle w:val="naisf"/>
        <w:spacing w:before="0" w:after="0"/>
        <w:ind w:firstLine="0"/>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1920"/>
      </w:tblGrid>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C555B5" w:rsidRPr="005D10D8" w:rsidRDefault="00C555B5" w:rsidP="00EA2B49">
            <w:pPr>
              <w:jc w:val="center"/>
            </w:pPr>
            <w:r w:rsidRPr="005D10D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2951"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311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2459" w:type="dxa"/>
            <w:tcBorders>
              <w:top w:val="single" w:sz="4" w:space="0" w:color="auto"/>
              <w:left w:val="single" w:sz="4" w:space="0" w:color="auto"/>
              <w:bottom w:val="single" w:sz="4" w:space="0" w:color="auto"/>
              <w:right w:val="single" w:sz="4" w:space="0" w:color="auto"/>
            </w:tcBorders>
          </w:tcPr>
          <w:p w:rsidR="00C555B5" w:rsidRPr="005D10D8" w:rsidRDefault="00C555B5" w:rsidP="00EA2B49">
            <w:pPr>
              <w:jc w:val="center"/>
            </w:pPr>
            <w:r w:rsidRPr="005D10D8">
              <w:t>5</w:t>
            </w:r>
          </w:p>
        </w:tc>
        <w:tc>
          <w:tcPr>
            <w:tcW w:w="1920"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6</w:t>
            </w:r>
          </w:p>
        </w:tc>
      </w:tr>
      <w:tr w:rsidR="00C555B5" w:rsidRPr="005D10D8" w:rsidTr="00C555B5">
        <w:tc>
          <w:tcPr>
            <w:tcW w:w="735" w:type="dxa"/>
            <w:tcBorders>
              <w:left w:val="single" w:sz="6" w:space="0" w:color="000000"/>
              <w:bottom w:val="single" w:sz="4" w:space="0" w:color="auto"/>
              <w:right w:val="single" w:sz="6" w:space="0" w:color="000000"/>
            </w:tcBorders>
          </w:tcPr>
          <w:p w:rsidR="00C555B5" w:rsidRPr="005D10D8" w:rsidRDefault="00C555B5" w:rsidP="00EA2B49">
            <w:pPr>
              <w:jc w:val="center"/>
            </w:pPr>
            <w:r w:rsidRPr="005D10D8">
              <w:t>1.</w:t>
            </w:r>
          </w:p>
        </w:tc>
        <w:tc>
          <w:tcPr>
            <w:tcW w:w="2951" w:type="dxa"/>
            <w:tcBorders>
              <w:left w:val="single" w:sz="6" w:space="0" w:color="000000"/>
              <w:bottom w:val="single" w:sz="4" w:space="0" w:color="auto"/>
              <w:right w:val="single" w:sz="6" w:space="0" w:color="000000"/>
            </w:tcBorders>
          </w:tcPr>
          <w:p w:rsidR="00C555B5" w:rsidRPr="005D10D8" w:rsidRDefault="00C555B5" w:rsidP="00240CB3">
            <w:pPr>
              <w:pStyle w:val="ListParagraph"/>
              <w:ind w:left="0"/>
              <w:jc w:val="both"/>
              <w:rPr>
                <w:lang w:val="lv-LV"/>
              </w:rPr>
            </w:pPr>
          </w:p>
        </w:tc>
        <w:tc>
          <w:tcPr>
            <w:tcW w:w="3118" w:type="dxa"/>
            <w:tcBorders>
              <w:left w:val="single" w:sz="6" w:space="0" w:color="000000"/>
              <w:bottom w:val="single" w:sz="4" w:space="0" w:color="auto"/>
              <w:right w:val="single" w:sz="6" w:space="0" w:color="000000"/>
            </w:tcBorders>
          </w:tcPr>
          <w:p w:rsidR="00C555B5" w:rsidRPr="005D10D8" w:rsidRDefault="00C555B5" w:rsidP="005D10D8">
            <w:pPr>
              <w:jc w:val="both"/>
            </w:pPr>
          </w:p>
        </w:tc>
        <w:tc>
          <w:tcPr>
            <w:tcW w:w="2977" w:type="dxa"/>
            <w:tcBorders>
              <w:left w:val="single" w:sz="6" w:space="0" w:color="000000"/>
              <w:bottom w:val="single" w:sz="4" w:space="0" w:color="auto"/>
              <w:right w:val="single" w:sz="6" w:space="0" w:color="000000"/>
            </w:tcBorders>
          </w:tcPr>
          <w:p w:rsidR="00256207" w:rsidRPr="005D10D8" w:rsidRDefault="00256207" w:rsidP="00256207">
            <w:pPr>
              <w:jc w:val="both"/>
            </w:pPr>
          </w:p>
        </w:tc>
        <w:tc>
          <w:tcPr>
            <w:tcW w:w="2459" w:type="dxa"/>
            <w:tcBorders>
              <w:top w:val="single" w:sz="4" w:space="0" w:color="auto"/>
              <w:left w:val="single" w:sz="4" w:space="0" w:color="auto"/>
              <w:bottom w:val="single" w:sz="4" w:space="0" w:color="auto"/>
              <w:right w:val="single" w:sz="4" w:space="0" w:color="auto"/>
            </w:tcBorders>
          </w:tcPr>
          <w:p w:rsidR="001B4E7E" w:rsidRPr="005D10D8" w:rsidRDefault="001B4E7E" w:rsidP="001B4E7E">
            <w:pPr>
              <w:jc w:val="both"/>
              <w:rPr>
                <w:b/>
              </w:rPr>
            </w:pPr>
          </w:p>
        </w:tc>
        <w:tc>
          <w:tcPr>
            <w:tcW w:w="1920" w:type="dxa"/>
            <w:tcBorders>
              <w:top w:val="single" w:sz="4" w:space="0" w:color="auto"/>
              <w:left w:val="single" w:sz="4" w:space="0" w:color="auto"/>
              <w:bottom w:val="single" w:sz="4" w:space="0" w:color="auto"/>
            </w:tcBorders>
          </w:tcPr>
          <w:p w:rsidR="00C555B5" w:rsidRPr="005D10D8" w:rsidRDefault="00C555B5" w:rsidP="001B4E7E">
            <w:pPr>
              <w:jc w:val="both"/>
            </w:pPr>
          </w:p>
        </w:tc>
      </w:tr>
    </w:tbl>
    <w:p w:rsidR="00C555B5" w:rsidRPr="005D10D8" w:rsidRDefault="00C555B5" w:rsidP="00C555B5">
      <w:pPr>
        <w:pStyle w:val="naisf"/>
        <w:spacing w:before="0" w:after="0"/>
        <w:ind w:firstLine="0"/>
      </w:pPr>
    </w:p>
    <w:p w:rsidR="00C555B5" w:rsidRPr="005D10D8" w:rsidRDefault="00C555B5" w:rsidP="00C555B5">
      <w:pPr>
        <w:pStyle w:val="naisf"/>
        <w:spacing w:before="0" w:after="0"/>
        <w:ind w:firstLine="0"/>
        <w:rPr>
          <w:b/>
        </w:rPr>
      </w:pPr>
      <w:r w:rsidRPr="005D10D8">
        <w:rPr>
          <w:b/>
        </w:rPr>
        <w:t xml:space="preserve">Informācija par </w:t>
      </w:r>
      <w:proofErr w:type="spellStart"/>
      <w:r w:rsidRPr="005D10D8">
        <w:rPr>
          <w:b/>
        </w:rPr>
        <w:t>starpministriju</w:t>
      </w:r>
      <w:proofErr w:type="spellEnd"/>
      <w:r w:rsidRPr="005D10D8">
        <w:rPr>
          <w:b/>
        </w:rPr>
        <w:t xml:space="preserve"> (starpinstitūciju) sanāksmi vai elektronisko saskaņošanu</w:t>
      </w:r>
    </w:p>
    <w:p w:rsidR="00C555B5" w:rsidRPr="005D10D8" w:rsidRDefault="00C555B5" w:rsidP="00C555B5">
      <w:pPr>
        <w:pStyle w:val="naisf"/>
        <w:spacing w:before="0" w:after="0"/>
        <w:ind w:firstLine="0"/>
        <w:rPr>
          <w:b/>
        </w:rPr>
      </w:pPr>
    </w:p>
    <w:tbl>
      <w:tblPr>
        <w:tblW w:w="12582" w:type="dxa"/>
        <w:tblLook w:val="00A0" w:firstRow="1" w:lastRow="0" w:firstColumn="1" w:lastColumn="0" w:noHBand="0" w:noVBand="0"/>
      </w:tblPr>
      <w:tblGrid>
        <w:gridCol w:w="6157"/>
        <w:gridCol w:w="349"/>
        <w:gridCol w:w="1230"/>
        <w:gridCol w:w="4846"/>
      </w:tblGrid>
      <w:tr w:rsidR="00C555B5" w:rsidRPr="005D10D8" w:rsidTr="00EA2B49">
        <w:tc>
          <w:tcPr>
            <w:tcW w:w="6157" w:type="dxa"/>
          </w:tcPr>
          <w:p w:rsidR="00C555B5" w:rsidRPr="005D10D8" w:rsidRDefault="00C555B5" w:rsidP="00EA2B49">
            <w:pPr>
              <w:pStyle w:val="naisf"/>
              <w:spacing w:before="0" w:after="0"/>
              <w:ind w:firstLine="0"/>
            </w:pPr>
            <w:r w:rsidRPr="005D10D8">
              <w:t>Datums</w:t>
            </w:r>
          </w:p>
        </w:tc>
        <w:tc>
          <w:tcPr>
            <w:tcW w:w="6425" w:type="dxa"/>
            <w:gridSpan w:val="3"/>
          </w:tcPr>
          <w:p w:rsidR="00C555B5" w:rsidRPr="003D4DD3" w:rsidRDefault="00712208" w:rsidP="00240CB3">
            <w:pPr>
              <w:pStyle w:val="NormalWeb"/>
              <w:spacing w:before="0" w:beforeAutospacing="0" w:after="0" w:afterAutospacing="0"/>
              <w:ind w:left="114"/>
              <w:rPr>
                <w:highlight w:val="yellow"/>
              </w:rPr>
            </w:pPr>
            <w:r w:rsidRPr="00712208">
              <w:t>No 31.07.2019 līdz 07.08.2019</w:t>
            </w:r>
          </w:p>
        </w:tc>
      </w:tr>
      <w:tr w:rsidR="00C555B5" w:rsidRPr="005D10D8" w:rsidTr="00EA2B49">
        <w:tc>
          <w:tcPr>
            <w:tcW w:w="6157" w:type="dxa"/>
          </w:tcPr>
          <w:p w:rsidR="00C555B5" w:rsidRPr="005D10D8" w:rsidRDefault="00C555B5" w:rsidP="00EA2B49">
            <w:pPr>
              <w:pStyle w:val="naisf"/>
              <w:spacing w:before="0" w:after="0"/>
              <w:ind w:firstLine="0"/>
            </w:pPr>
          </w:p>
        </w:tc>
        <w:tc>
          <w:tcPr>
            <w:tcW w:w="6425" w:type="dxa"/>
            <w:gridSpan w:val="3"/>
          </w:tcPr>
          <w:p w:rsidR="00C555B5" w:rsidRPr="005D10D8" w:rsidRDefault="00C555B5" w:rsidP="00EA2B49">
            <w:pPr>
              <w:pStyle w:val="NormalWeb"/>
              <w:spacing w:before="0" w:beforeAutospacing="0" w:after="0" w:afterAutospacing="0"/>
            </w:pPr>
          </w:p>
        </w:tc>
      </w:tr>
      <w:tr w:rsidR="00C555B5" w:rsidRPr="005D10D8" w:rsidTr="00EA2B49">
        <w:tc>
          <w:tcPr>
            <w:tcW w:w="6157" w:type="dxa"/>
          </w:tcPr>
          <w:p w:rsidR="00C555B5" w:rsidRPr="005D10D8" w:rsidRDefault="00C555B5" w:rsidP="00EA2B49">
            <w:pPr>
              <w:pStyle w:val="naiskr"/>
              <w:spacing w:before="0" w:after="0"/>
            </w:pPr>
            <w:r w:rsidRPr="005D10D8">
              <w:t>Saskaņošanas dalībnieki</w:t>
            </w:r>
          </w:p>
        </w:tc>
        <w:tc>
          <w:tcPr>
            <w:tcW w:w="6425" w:type="dxa"/>
            <w:gridSpan w:val="3"/>
          </w:tcPr>
          <w:p w:rsidR="00C555B5" w:rsidRPr="005D10D8" w:rsidRDefault="00C01230" w:rsidP="00396BFC">
            <w:pPr>
              <w:pStyle w:val="naisf"/>
              <w:spacing w:before="0" w:after="0"/>
              <w:ind w:left="364" w:firstLine="0"/>
            </w:pPr>
            <w:r>
              <w:t xml:space="preserve">Tieslietu ministrija, Finanšu </w:t>
            </w:r>
            <w:r w:rsidR="00396BFC">
              <w:t xml:space="preserve">ministrija, Ārlietu ministrija </w:t>
            </w:r>
            <w:r>
              <w:t>un Vides un reģionālās attīstības ministrija</w:t>
            </w:r>
          </w:p>
        </w:tc>
      </w:tr>
      <w:tr w:rsidR="00C555B5" w:rsidRPr="005D10D8" w:rsidTr="00EA2B49">
        <w:trPr>
          <w:trHeight w:val="285"/>
        </w:trPr>
        <w:tc>
          <w:tcPr>
            <w:tcW w:w="6157" w:type="dxa"/>
          </w:tcPr>
          <w:p w:rsidR="00C555B5" w:rsidRPr="005D10D8" w:rsidRDefault="00C555B5" w:rsidP="00EA2B49">
            <w:pPr>
              <w:pStyle w:val="naiskr"/>
              <w:spacing w:before="0" w:after="0"/>
            </w:pPr>
          </w:p>
        </w:tc>
        <w:tc>
          <w:tcPr>
            <w:tcW w:w="1579" w:type="dxa"/>
            <w:gridSpan w:val="2"/>
          </w:tcPr>
          <w:p w:rsidR="00C555B5" w:rsidRPr="005D10D8" w:rsidRDefault="00C555B5" w:rsidP="00EA2B49">
            <w:pPr>
              <w:pStyle w:val="naiskr"/>
              <w:spacing w:before="0" w:after="0"/>
              <w:ind w:firstLine="720"/>
            </w:pPr>
          </w:p>
        </w:tc>
        <w:tc>
          <w:tcPr>
            <w:tcW w:w="4846" w:type="dxa"/>
          </w:tcPr>
          <w:p w:rsidR="00C555B5" w:rsidRPr="005D10D8" w:rsidRDefault="00C555B5" w:rsidP="00EA2B49">
            <w:pPr>
              <w:pStyle w:val="naiskr"/>
              <w:spacing w:before="0" w:after="0"/>
              <w:ind w:firstLine="12"/>
            </w:pPr>
          </w:p>
        </w:tc>
      </w:tr>
      <w:tr w:rsidR="00C555B5" w:rsidRPr="005D10D8" w:rsidTr="00EA2B49">
        <w:trPr>
          <w:trHeight w:val="383"/>
        </w:trPr>
        <w:tc>
          <w:tcPr>
            <w:tcW w:w="6506" w:type="dxa"/>
            <w:gridSpan w:val="2"/>
          </w:tcPr>
          <w:p w:rsidR="00C555B5" w:rsidRPr="005D10D8" w:rsidRDefault="00C555B5" w:rsidP="00EA2B49">
            <w:pPr>
              <w:pStyle w:val="naiskr"/>
              <w:spacing w:before="0" w:after="0"/>
            </w:pPr>
            <w:r w:rsidRPr="005D10D8">
              <w:t>Saskaņošanas dalībnieki izskatīja šādu ministriju (citu institūciju) iebildumus</w:t>
            </w:r>
          </w:p>
        </w:tc>
        <w:tc>
          <w:tcPr>
            <w:tcW w:w="6076" w:type="dxa"/>
            <w:gridSpan w:val="2"/>
          </w:tcPr>
          <w:p w:rsidR="00C555B5" w:rsidRPr="005D10D8" w:rsidRDefault="00712208" w:rsidP="00712208">
            <w:pPr>
              <w:pStyle w:val="naiskr"/>
              <w:spacing w:before="0" w:after="0"/>
              <w:ind w:left="15" w:firstLine="12"/>
            </w:pPr>
            <w:r>
              <w:t>Tieslietu ministrija, Ārlietu ministrija un Vides un reģionālās attīstības ministrija</w:t>
            </w:r>
          </w:p>
        </w:tc>
      </w:tr>
      <w:tr w:rsidR="00C555B5" w:rsidRPr="005D10D8" w:rsidTr="00EA2B49">
        <w:tc>
          <w:tcPr>
            <w:tcW w:w="6506" w:type="dxa"/>
            <w:gridSpan w:val="2"/>
          </w:tcPr>
          <w:p w:rsidR="00C555B5" w:rsidRPr="005D10D8" w:rsidRDefault="00C555B5" w:rsidP="00EA2B49">
            <w:pPr>
              <w:pStyle w:val="naiskr"/>
              <w:spacing w:before="0" w:after="0"/>
            </w:pPr>
          </w:p>
          <w:p w:rsidR="00C555B5" w:rsidRPr="005D10D8" w:rsidRDefault="00C555B5" w:rsidP="00EA2B49">
            <w:pPr>
              <w:pStyle w:val="naiskr"/>
              <w:spacing w:before="0" w:after="0"/>
            </w:pPr>
            <w:r w:rsidRPr="005D10D8">
              <w:t>Ministrijas (citas institūcijas), kuras nav ieradušās uz sanāksmi vai kuras nav atbildējušas uz uzaicinājumu piedalīties elektroniskajā saskaņošanā</w:t>
            </w:r>
          </w:p>
        </w:tc>
        <w:tc>
          <w:tcPr>
            <w:tcW w:w="6076" w:type="dxa"/>
            <w:gridSpan w:val="2"/>
          </w:tcPr>
          <w:p w:rsidR="00C555B5" w:rsidRPr="005D10D8" w:rsidRDefault="00C555B5" w:rsidP="00EA2B49">
            <w:pPr>
              <w:pStyle w:val="naiskr"/>
              <w:spacing w:before="0" w:after="0"/>
              <w:ind w:firstLine="720"/>
            </w:pPr>
          </w:p>
          <w:p w:rsidR="00C555B5" w:rsidRPr="005D10D8" w:rsidRDefault="00712208" w:rsidP="00EA2B49">
            <w:r>
              <w:t>Finanšu ministrija</w:t>
            </w:r>
          </w:p>
          <w:p w:rsidR="00C555B5" w:rsidRPr="005D10D8" w:rsidRDefault="00C555B5" w:rsidP="00EA2B49"/>
        </w:tc>
      </w:tr>
    </w:tbl>
    <w:p w:rsidR="00643E1C" w:rsidRDefault="00643E1C"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Pr="005D10D8" w:rsidRDefault="00034648" w:rsidP="00C555B5">
      <w:pPr>
        <w:pStyle w:val="naisf"/>
        <w:spacing w:before="0" w:after="0"/>
        <w:ind w:firstLine="0"/>
        <w:jc w:val="center"/>
        <w:rPr>
          <w:b/>
        </w:rPr>
      </w:pPr>
    </w:p>
    <w:p w:rsidR="00C555B5" w:rsidRPr="005D10D8" w:rsidRDefault="00C555B5" w:rsidP="00C555B5">
      <w:pPr>
        <w:pStyle w:val="naisf"/>
        <w:spacing w:before="0" w:after="0"/>
        <w:ind w:firstLine="0"/>
        <w:jc w:val="center"/>
        <w:rPr>
          <w:b/>
        </w:rPr>
      </w:pPr>
      <w:r w:rsidRPr="005D10D8">
        <w:rPr>
          <w:b/>
        </w:rPr>
        <w:lastRenderedPageBreak/>
        <w:t>II. Jautājumi, par kuriem saskaņošanā vienošanās ir panākta</w:t>
      </w:r>
    </w:p>
    <w:p w:rsidR="00C555B5" w:rsidRPr="005D10D8" w:rsidRDefault="00C555B5" w:rsidP="00C555B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3086"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4394"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3118"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5</w:t>
            </w:r>
          </w:p>
        </w:tc>
      </w:tr>
      <w:tr w:rsidR="003D4DD3" w:rsidRPr="005D10D8" w:rsidTr="00EA2B49">
        <w:tc>
          <w:tcPr>
            <w:tcW w:w="708" w:type="dxa"/>
            <w:tcBorders>
              <w:top w:val="single" w:sz="6" w:space="0" w:color="000000"/>
              <w:left w:val="single" w:sz="6" w:space="0" w:color="000000"/>
              <w:bottom w:val="single" w:sz="6" w:space="0" w:color="000000"/>
              <w:right w:val="single" w:sz="6" w:space="0" w:color="000000"/>
            </w:tcBorders>
          </w:tcPr>
          <w:p w:rsidR="003D4DD3" w:rsidRPr="005D10D8" w:rsidRDefault="003D4DD3" w:rsidP="00EA2B49">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rsidR="003D4DD3" w:rsidRPr="005D10D8" w:rsidRDefault="006A6743" w:rsidP="003D4DD3">
            <w:pPr>
              <w:pStyle w:val="naisc"/>
              <w:spacing w:before="0" w:after="0"/>
              <w:jc w:val="both"/>
            </w:pPr>
            <w:r>
              <w:t>Projektā nav iekļauta piedāvātā norma</w:t>
            </w:r>
          </w:p>
        </w:tc>
        <w:tc>
          <w:tcPr>
            <w:tcW w:w="4394" w:type="dxa"/>
            <w:tcBorders>
              <w:top w:val="single" w:sz="6" w:space="0" w:color="000000"/>
              <w:left w:val="single" w:sz="6" w:space="0" w:color="000000"/>
              <w:bottom w:val="single" w:sz="6" w:space="0" w:color="000000"/>
              <w:right w:val="single" w:sz="6" w:space="0" w:color="000000"/>
            </w:tcBorders>
          </w:tcPr>
          <w:p w:rsidR="003D4DD3" w:rsidRPr="003D4DD3" w:rsidRDefault="00396BFC" w:rsidP="00EA2B49">
            <w:pPr>
              <w:pStyle w:val="naisc"/>
              <w:spacing w:before="0" w:after="0"/>
              <w:rPr>
                <w:b/>
              </w:rPr>
            </w:pPr>
            <w:r>
              <w:rPr>
                <w:b/>
              </w:rPr>
              <w:t>Ārlietu</w:t>
            </w:r>
            <w:r w:rsidR="003D4DD3" w:rsidRPr="003D4DD3">
              <w:rPr>
                <w:b/>
              </w:rPr>
              <w:t xml:space="preserve"> ministrija</w:t>
            </w:r>
          </w:p>
          <w:p w:rsidR="00396BFC" w:rsidRPr="00370A89" w:rsidRDefault="00396BFC" w:rsidP="00396BFC">
            <w:pPr>
              <w:tabs>
                <w:tab w:val="left" w:pos="567"/>
              </w:tabs>
              <w:jc w:val="both"/>
            </w:pPr>
            <w:r w:rsidRPr="00370A89">
              <w:t>Ministru kabineta 2012. gada 21. februāra noteikumu Nr. 134 "Personu apliecinošu dokumentu noteikumi" (turpmāk – Noteikumi Nr. 134) 18. punkta otrais teikums noteic, ka Latvijas pārstāvniecība personai, kura uzturas ārvalstī un ir informējusi pārstāvniecību, ka objektīvu iemeslu dēļ (piemēram, veselības stāvokļa vai dzīvesvietas attāluma dēļ) nevar ierasties pārstāvniecībā, pasi vai personas apliecību, kurā nav iekļauti sertifikāti, var nosūtīt ar ierakstītu pasta sūtījumu vai kurjerpastu. Tādējādi šis punkts noteic apstākļus personu apliecinoša dokumenta saņemšanai pa pastu. Attiecībā uz personu apliecībām šis punkts noteic, ka pa pastu nav nosūtāma personas apliecība, kurā iekļauti sertifikāti. Sertifikāti tiek iekļauti personas apliecības mikroshēmā  un ir izmantojami personas elektroniskai autentifikācijai un dokumentu elektroniskai parakstīšanai (sk. Noteikumu Nr. 134 11. punktu).</w:t>
            </w:r>
          </w:p>
          <w:p w:rsidR="00396BFC" w:rsidRPr="00370A89" w:rsidRDefault="00396BFC" w:rsidP="00396BFC">
            <w:pPr>
              <w:tabs>
                <w:tab w:val="left" w:pos="567"/>
              </w:tabs>
              <w:jc w:val="both"/>
            </w:pPr>
            <w:r w:rsidRPr="00370A89">
              <w:tab/>
              <w:t xml:space="preserve">Ārlietu ministrija norāda, ka ārvalstī dzīvojošai personai personu apliecinošu </w:t>
            </w:r>
            <w:r w:rsidRPr="00370A89">
              <w:lastRenderedPageBreak/>
              <w:t xml:space="preserve">dokumentu kārtošanai ir jāierodas personīgi Latvijā vai kādā no Latvijas diplomātiskajām vai konsulārajām pārstāvniecībām ārvalstīs (turpmāk – pārstāvniecība), kas personai var nozīmēt ne vien gara ceļa mērošanu savas dzīvesvietas valsts ietvaros, bet arī došanos uz citu valsti vai kontinentu. Tas personai rada būtisku laika un finansiālo resursu slogu. Tādējādi, ja persona vēlas saņemt personas apliecību ar sertifikātiem, tai ir jādodas uz Latviju vai pārstāvniecību vēlreiz, tādējādi dubultojas arī ieguldāmo resursu slogs. Šāda sloga esamība arī attur personas no sertifikātu iegūšanas, un līdz ar to tiek kavēta elektronisko pakalpojumu izmantošana valsts pārvaldē. </w:t>
            </w:r>
          </w:p>
          <w:p w:rsidR="00396BFC" w:rsidRPr="00370A89" w:rsidRDefault="00396BFC" w:rsidP="00396BFC">
            <w:pPr>
              <w:tabs>
                <w:tab w:val="left" w:pos="567"/>
              </w:tabs>
              <w:jc w:val="both"/>
            </w:pPr>
            <w:r w:rsidRPr="00370A89">
              <w:tab/>
              <w:t xml:space="preserve">Ārlietu ministrija atzīmē, ka liegums sūtīt pa pastu personas apliecību ar sertifikātiem ir saistīts ar drošības apsvērumiem. Tomēr Ārlietu ministrija arī atzīmē, ka, lai lietotu sertifikātus, ir nepieciešami personīgās identifikācijas numuri (turpmāk – PIN) (sk. Noteikumu Nr. 134 42. punktu). Personu apliecībā iekļautie sertifikāti nav lietojami, ja personai nav PIN. Tādējādi, ja sūtījumā pa pastu personas apliecība ar sertifikātiem un PIN ir vienkopus, pastāv risks neautorizētai sertifikātu lietošanai. Savukārt, ja PIN un personas apliecība tiktu sūtīti atsevišķos sūtījumos, tiktu nodrošināta iespēja personai saņemt personas apliecību ar sertifikātiem pa pastu un vienlaikus būtu </w:t>
            </w:r>
            <w:r w:rsidRPr="00370A89">
              <w:lastRenderedPageBreak/>
              <w:t>novērsti riski neautorizētai sertifikātu lietošanai.</w:t>
            </w:r>
          </w:p>
          <w:p w:rsidR="00396BFC" w:rsidRPr="00370A89" w:rsidRDefault="00396BFC" w:rsidP="00396BFC">
            <w:pPr>
              <w:tabs>
                <w:tab w:val="left" w:pos="567"/>
              </w:tabs>
              <w:jc w:val="both"/>
            </w:pPr>
            <w:r w:rsidRPr="00370A89">
              <w:tab/>
              <w:t>Ārlietu ministrija vērš uzmanību uz Valsts pārvaldes iekārtas likuma 10. pantu, kas noteic valsts pārvaldes principus. Likuma 10. panta sestā daļa noteic, ka valsts pārvalde savā darbībā pastāvīgi pārbauda un uzlabo sabiedrībai sniegto pakalpojumu kvalitāti. Tās pienākums ir vienkāršot un uzlabot procedūras privātpersonas labā. Tāpat arī 10. panta astotā daļa noteic, ka valsts pārvaldi organizē pēc iespējas ērti un pieejami privātpersonai. Savukārt Diasporas likuma 4. pants noteic diasporas politikas uzdevumus. 4. panta 10. punkts kā diasporas politikas uzdevumu noteic nodrošināt diasporas locekļiem valsts pārvaldes pakalpojumu pieejamību. Izpildot šo uzdevumu, ir jāievēro Diasporas likuma 5. panta otrās daļas 3. punktā noteikto interešu ievērošanas principu — risinot ar diasporu saistītus jautājumus, izvērtēt diasporas intereses, tiesības, vajadzības un iespējas.</w:t>
            </w:r>
          </w:p>
          <w:p w:rsidR="00396BFC" w:rsidRPr="00370A89" w:rsidRDefault="00396BFC" w:rsidP="00396BFC">
            <w:pPr>
              <w:tabs>
                <w:tab w:val="left" w:pos="567"/>
              </w:tabs>
              <w:jc w:val="both"/>
            </w:pPr>
            <w:r w:rsidRPr="00370A89">
              <w:tab/>
              <w:t>Ņemot vērā iepriekš minēto, Ārlietu ministrija lūdz Noteikumu projektā noteikt, ka:</w:t>
            </w:r>
          </w:p>
          <w:p w:rsidR="00396BFC" w:rsidRPr="00370A89" w:rsidRDefault="00396BFC" w:rsidP="00396BFC">
            <w:pPr>
              <w:widowControl w:val="0"/>
              <w:numPr>
                <w:ilvl w:val="0"/>
                <w:numId w:val="3"/>
              </w:numPr>
              <w:tabs>
                <w:tab w:val="left" w:pos="567"/>
              </w:tabs>
              <w:jc w:val="both"/>
            </w:pPr>
            <w:r w:rsidRPr="00370A89">
              <w:t xml:space="preserve">  Noteikumu Nr. 134 18. punktā un 44. punktā tiek svītroti vārdi “kurā nav iekļauti sertifikāti”;</w:t>
            </w:r>
          </w:p>
          <w:p w:rsidR="003D4DD3" w:rsidRPr="003D4DD3" w:rsidRDefault="00396BFC" w:rsidP="006D4701">
            <w:pPr>
              <w:widowControl w:val="0"/>
              <w:numPr>
                <w:ilvl w:val="0"/>
                <w:numId w:val="3"/>
              </w:numPr>
              <w:tabs>
                <w:tab w:val="left" w:pos="567"/>
              </w:tabs>
              <w:jc w:val="both"/>
            </w:pPr>
            <w:r w:rsidRPr="00370A89">
              <w:t xml:space="preserve">  Noteikumu Nr. 134 18. punkts tiek papildināts ar noteikumu, ka personas apliecība, kurā iekļauti sertifikāti, nosūtāma atsevišķā </w:t>
            </w:r>
            <w:r w:rsidRPr="00370A89">
              <w:lastRenderedPageBreak/>
              <w:t>sūtījumā no PIN un  PIN atbloķēšanas koda.</w:t>
            </w:r>
          </w:p>
        </w:tc>
        <w:tc>
          <w:tcPr>
            <w:tcW w:w="2977" w:type="dxa"/>
            <w:tcBorders>
              <w:top w:val="single" w:sz="6" w:space="0" w:color="000000"/>
              <w:left w:val="single" w:sz="6" w:space="0" w:color="000000"/>
              <w:bottom w:val="single" w:sz="6" w:space="0" w:color="000000"/>
              <w:right w:val="single" w:sz="6" w:space="0" w:color="000000"/>
            </w:tcBorders>
          </w:tcPr>
          <w:p w:rsidR="003D4DD3" w:rsidRPr="003D4DD3" w:rsidRDefault="007F40D3" w:rsidP="007F40D3">
            <w:pPr>
              <w:pStyle w:val="naisc"/>
              <w:spacing w:before="0" w:after="0"/>
              <w:rPr>
                <w:b/>
              </w:rPr>
            </w:pPr>
            <w:r>
              <w:rPr>
                <w:b/>
              </w:rPr>
              <w:lastRenderedPageBreak/>
              <w:t>Iebildums ņ</w:t>
            </w:r>
            <w:r w:rsidR="003D4DD3" w:rsidRPr="003D4DD3">
              <w:rPr>
                <w:b/>
              </w:rPr>
              <w:t>emts vērā</w:t>
            </w:r>
          </w:p>
        </w:tc>
        <w:tc>
          <w:tcPr>
            <w:tcW w:w="3118" w:type="dxa"/>
            <w:tcBorders>
              <w:top w:val="single" w:sz="4" w:space="0" w:color="auto"/>
              <w:left w:val="single" w:sz="4" w:space="0" w:color="auto"/>
              <w:bottom w:val="single" w:sz="4" w:space="0" w:color="auto"/>
            </w:tcBorders>
          </w:tcPr>
          <w:p w:rsidR="00396BFC" w:rsidRPr="000D6389" w:rsidRDefault="00396BFC" w:rsidP="00396BFC">
            <w:pPr>
              <w:pStyle w:val="NoSpacing"/>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Pr="000D6389">
              <w:rPr>
                <w:rFonts w:ascii="Times New Roman" w:hAnsi="Times New Roman" w:cs="Times New Roman"/>
                <w:sz w:val="24"/>
                <w:szCs w:val="24"/>
              </w:rPr>
              <w:t>18.punktā:</w:t>
            </w:r>
          </w:p>
          <w:p w:rsidR="00396BFC" w:rsidRPr="000D6389" w:rsidRDefault="00396BFC" w:rsidP="00925B44">
            <w:pPr>
              <w:pStyle w:val="NoSpacing"/>
              <w:numPr>
                <w:ilvl w:val="2"/>
                <w:numId w:val="5"/>
              </w:numPr>
              <w:tabs>
                <w:tab w:val="left" w:pos="1701"/>
                <w:tab w:val="left" w:pos="2268"/>
              </w:tabs>
              <w:ind w:left="59" w:firstLine="0"/>
              <w:jc w:val="both"/>
              <w:rPr>
                <w:rFonts w:ascii="Times New Roman" w:hAnsi="Times New Roman" w:cs="Times New Roman"/>
                <w:sz w:val="24"/>
                <w:szCs w:val="24"/>
              </w:rPr>
            </w:pPr>
            <w:r w:rsidRPr="000D6389">
              <w:rPr>
                <w:rFonts w:ascii="Times New Roman" w:hAnsi="Times New Roman" w:cs="Times New Roman"/>
                <w:sz w:val="24"/>
                <w:szCs w:val="24"/>
              </w:rPr>
              <w:t>svītrot otrajā teikumā vārdus “kurā nav iekļauti sertifikāti”;</w:t>
            </w:r>
          </w:p>
          <w:p w:rsidR="00396BFC" w:rsidRPr="000D6389" w:rsidRDefault="00396BFC" w:rsidP="00925B44">
            <w:pPr>
              <w:pStyle w:val="NoSpacing"/>
              <w:numPr>
                <w:ilvl w:val="2"/>
                <w:numId w:val="5"/>
              </w:numPr>
              <w:tabs>
                <w:tab w:val="left" w:pos="1701"/>
                <w:tab w:val="left" w:pos="2268"/>
              </w:tabs>
              <w:ind w:left="59" w:firstLine="0"/>
              <w:jc w:val="both"/>
              <w:rPr>
                <w:rFonts w:ascii="Times New Roman" w:hAnsi="Times New Roman" w:cs="Times New Roman"/>
                <w:sz w:val="24"/>
                <w:szCs w:val="24"/>
              </w:rPr>
            </w:pPr>
            <w:r w:rsidRPr="000D6389">
              <w:rPr>
                <w:rFonts w:ascii="Times New Roman" w:hAnsi="Times New Roman" w:cs="Times New Roman"/>
                <w:sz w:val="24"/>
                <w:szCs w:val="24"/>
              </w:rPr>
              <w:t xml:space="preserve">papildināt ar jaunu teikumu </w:t>
            </w:r>
            <w:r w:rsidR="00712208">
              <w:rPr>
                <w:rFonts w:ascii="Times New Roman" w:hAnsi="Times New Roman" w:cs="Times New Roman"/>
                <w:sz w:val="24"/>
                <w:szCs w:val="24"/>
              </w:rPr>
              <w:t xml:space="preserve">pirms pēdējā teikuma </w:t>
            </w:r>
            <w:r w:rsidRPr="000D6389">
              <w:rPr>
                <w:rFonts w:ascii="Times New Roman" w:hAnsi="Times New Roman" w:cs="Times New Roman"/>
                <w:sz w:val="24"/>
                <w:szCs w:val="24"/>
              </w:rPr>
              <w:t>šādā redakcijā: “Ja personas apliecības mikroshēmā ir iekļauta 11.punktā noteiktā informācija, PIN1, PIN2 un PUK kodus un personas apliecību nosūta atsevišķos sūtījumos”;</w:t>
            </w:r>
          </w:p>
          <w:p w:rsidR="003D4DD3" w:rsidRDefault="003D4DD3" w:rsidP="003D4DD3">
            <w:pPr>
              <w:jc w:val="both"/>
            </w:pPr>
          </w:p>
          <w:p w:rsidR="000A2717" w:rsidRPr="000A2717" w:rsidRDefault="000A2717" w:rsidP="000A2717">
            <w:pPr>
              <w:jc w:val="both"/>
              <w:rPr>
                <w:rFonts w:eastAsiaTheme="minorHAnsi"/>
              </w:rPr>
            </w:pPr>
            <w:r>
              <w:rPr>
                <w:rFonts w:eastAsiaTheme="minorHAnsi"/>
              </w:rPr>
              <w:t>1.13.  s</w:t>
            </w:r>
            <w:r w:rsidRPr="000A2717">
              <w:rPr>
                <w:rFonts w:eastAsiaTheme="minorHAnsi"/>
              </w:rPr>
              <w:t>vītrot 44.punktā vārdus “kurā nav iekļauti sertifikāti”;</w:t>
            </w:r>
          </w:p>
          <w:p w:rsidR="000A2717" w:rsidRPr="000A2717" w:rsidRDefault="000A2717" w:rsidP="003D4DD3">
            <w:pPr>
              <w:jc w:val="both"/>
            </w:pPr>
          </w:p>
          <w:p w:rsidR="00925B44" w:rsidRPr="005D10D8" w:rsidRDefault="00925B44" w:rsidP="003D4DD3">
            <w:pPr>
              <w:jc w:val="both"/>
            </w:pPr>
          </w:p>
        </w:tc>
      </w:tr>
      <w:tr w:rsidR="007F40D3" w:rsidRPr="005D10D8" w:rsidTr="00EA2B49">
        <w:tc>
          <w:tcPr>
            <w:tcW w:w="708" w:type="dxa"/>
            <w:tcBorders>
              <w:top w:val="single" w:sz="6" w:space="0" w:color="000000"/>
              <w:left w:val="single" w:sz="6" w:space="0" w:color="000000"/>
              <w:bottom w:val="single" w:sz="6" w:space="0" w:color="000000"/>
              <w:right w:val="single" w:sz="6" w:space="0" w:color="000000"/>
            </w:tcBorders>
          </w:tcPr>
          <w:p w:rsidR="007F40D3" w:rsidRPr="005D10D8" w:rsidRDefault="007F40D3" w:rsidP="007F40D3">
            <w:pPr>
              <w:pStyle w:val="naisc"/>
              <w:spacing w:before="0" w:after="0"/>
            </w:pPr>
            <w:r>
              <w:lastRenderedPageBreak/>
              <w:t>1.</w:t>
            </w:r>
          </w:p>
        </w:tc>
        <w:tc>
          <w:tcPr>
            <w:tcW w:w="3086" w:type="dxa"/>
            <w:tcBorders>
              <w:top w:val="single" w:sz="6" w:space="0" w:color="000000"/>
              <w:left w:val="single" w:sz="6" w:space="0" w:color="000000"/>
              <w:bottom w:val="single" w:sz="6" w:space="0" w:color="000000"/>
              <w:right w:val="single" w:sz="6" w:space="0" w:color="000000"/>
            </w:tcBorders>
          </w:tcPr>
          <w:p w:rsidR="00925B44" w:rsidRPr="00883C54" w:rsidRDefault="00925B44" w:rsidP="00925B44">
            <w:pPr>
              <w:pStyle w:val="NoSpacing"/>
              <w:numPr>
                <w:ilvl w:val="1"/>
                <w:numId w:val="6"/>
              </w:numPr>
              <w:ind w:left="27" w:firstLine="0"/>
              <w:jc w:val="both"/>
              <w:rPr>
                <w:rFonts w:ascii="Times New Roman" w:hAnsi="Times New Roman" w:cs="Times New Roman"/>
                <w:sz w:val="24"/>
                <w:szCs w:val="24"/>
              </w:rPr>
            </w:pPr>
            <w:r w:rsidRPr="00883C54">
              <w:rPr>
                <w:rFonts w:ascii="Times New Roman" w:hAnsi="Times New Roman" w:cs="Times New Roman"/>
                <w:sz w:val="24"/>
                <w:szCs w:val="24"/>
              </w:rPr>
              <w:t>papildināt 24.2.apakšpunktu ar palīgteikumu šādā redakcijā:</w:t>
            </w:r>
          </w:p>
          <w:p w:rsidR="00925B44" w:rsidRPr="00883C54" w:rsidRDefault="00925B44" w:rsidP="00925B44">
            <w:pPr>
              <w:shd w:val="clear" w:color="auto" w:fill="FFFFFF"/>
              <w:spacing w:line="293" w:lineRule="atLeast"/>
              <w:jc w:val="both"/>
              <w:rPr>
                <w:rFonts w:eastAsiaTheme="minorHAnsi"/>
                <w:lang w:eastAsia="en-US"/>
              </w:rPr>
            </w:pPr>
            <w:r w:rsidRPr="00883C54">
              <w:rPr>
                <w:rFonts w:eastAsiaTheme="minorHAnsi"/>
                <w:lang w:eastAsia="en-US"/>
              </w:rPr>
              <w:t>“ja personai ir aktivizēts oficiālās elektroniskās adreses konts, informācija tiek nosūtīta uz oficiālo elektronisko adresi.”;</w:t>
            </w:r>
          </w:p>
          <w:p w:rsidR="00925B44" w:rsidRPr="00925B44" w:rsidRDefault="00925B44" w:rsidP="00925B44">
            <w:pPr>
              <w:pStyle w:val="ListParagraph"/>
              <w:ind w:left="27"/>
              <w:rPr>
                <w:rFonts w:eastAsiaTheme="minorHAnsi"/>
                <w:lang w:val="lv-LV"/>
              </w:rPr>
            </w:pPr>
          </w:p>
          <w:p w:rsidR="00925B44" w:rsidRPr="00883C54" w:rsidRDefault="00925B44" w:rsidP="00925B44">
            <w:pPr>
              <w:pStyle w:val="NoSpacing"/>
              <w:numPr>
                <w:ilvl w:val="1"/>
                <w:numId w:val="6"/>
              </w:numPr>
              <w:ind w:left="27" w:firstLine="0"/>
              <w:jc w:val="both"/>
              <w:rPr>
                <w:rFonts w:ascii="Times New Roman" w:hAnsi="Times New Roman" w:cs="Times New Roman"/>
                <w:sz w:val="24"/>
                <w:szCs w:val="24"/>
              </w:rPr>
            </w:pPr>
            <w:r w:rsidRPr="00883C54">
              <w:rPr>
                <w:rFonts w:ascii="Times New Roman" w:hAnsi="Times New Roman" w:cs="Times New Roman"/>
                <w:sz w:val="24"/>
                <w:szCs w:val="24"/>
              </w:rPr>
              <w:t xml:space="preserve">  izteikt 32.3.apakšpunktu šādā redakcijā:</w:t>
            </w:r>
          </w:p>
          <w:p w:rsidR="00925B44" w:rsidRPr="00883C54" w:rsidRDefault="00925B44" w:rsidP="00925B44">
            <w:pPr>
              <w:pStyle w:val="NoSpacing"/>
              <w:ind w:left="27"/>
              <w:jc w:val="both"/>
              <w:rPr>
                <w:rFonts w:ascii="Times New Roman" w:hAnsi="Times New Roman" w:cs="Times New Roman"/>
                <w:sz w:val="24"/>
                <w:szCs w:val="24"/>
              </w:rPr>
            </w:pPr>
            <w:r w:rsidRPr="00925B44">
              <w:rPr>
                <w:rFonts w:ascii="Times New Roman" w:hAnsi="Times New Roman" w:cs="Times New Roman"/>
                <w:sz w:val="24"/>
                <w:szCs w:val="24"/>
              </w:rPr>
              <w:t>32.3. norāda kontaktinformāciju (elektroniskā pasta adresi vai mobilā tālruņa numuru) paziņojumu saņemšanai no centra vai attiecīgo informāciju norāda, saņemot personas apliecību, ja personai aktivizēts oficiālās elektroniskās adreses konts, paziņojumu nosūta uz oficiālo elektronisko adresi</w:t>
            </w:r>
            <w:r w:rsidRPr="00883C54">
              <w:rPr>
                <w:rFonts w:ascii="Times New Roman" w:hAnsi="Times New Roman" w:cs="Times New Roman"/>
                <w:sz w:val="24"/>
                <w:szCs w:val="24"/>
              </w:rPr>
              <w:t xml:space="preserve">”; </w:t>
            </w:r>
          </w:p>
          <w:p w:rsidR="007F40D3" w:rsidRPr="00925B44" w:rsidRDefault="007F40D3" w:rsidP="007F40D3">
            <w:pPr>
              <w:pStyle w:val="naisc"/>
              <w:spacing w:before="0" w:after="0"/>
              <w:jc w:val="both"/>
              <w:rPr>
                <w:rFonts w:eastAsiaTheme="minorHAnsi"/>
                <w:lang w:eastAsia="en-US"/>
              </w:rPr>
            </w:pPr>
          </w:p>
        </w:tc>
        <w:tc>
          <w:tcPr>
            <w:tcW w:w="4394" w:type="dxa"/>
            <w:tcBorders>
              <w:top w:val="single" w:sz="6" w:space="0" w:color="000000"/>
              <w:left w:val="single" w:sz="6" w:space="0" w:color="000000"/>
              <w:bottom w:val="single" w:sz="6" w:space="0" w:color="000000"/>
              <w:right w:val="single" w:sz="6" w:space="0" w:color="000000"/>
            </w:tcBorders>
          </w:tcPr>
          <w:p w:rsidR="007F40D3" w:rsidRPr="007F40D3" w:rsidRDefault="00925B44" w:rsidP="007F40D3">
            <w:pPr>
              <w:pStyle w:val="naisc"/>
              <w:spacing w:before="0" w:after="0"/>
              <w:rPr>
                <w:b/>
              </w:rPr>
            </w:pPr>
            <w:r>
              <w:rPr>
                <w:b/>
              </w:rPr>
              <w:t>Vides aizsardzības un reģionālās attīstības ministrija</w:t>
            </w:r>
          </w:p>
          <w:p w:rsidR="00925B44" w:rsidRPr="002E75D7" w:rsidRDefault="00925B44" w:rsidP="009B6FA6">
            <w:pPr>
              <w:pStyle w:val="BodyText"/>
              <w:tabs>
                <w:tab w:val="left" w:pos="1134"/>
              </w:tabs>
              <w:spacing w:after="0" w:line="240" w:lineRule="auto"/>
              <w:contextualSpacing/>
              <w:jc w:val="both"/>
              <w:rPr>
                <w:rFonts w:ascii="Times New Roman" w:eastAsia="Times New Roman" w:hAnsi="Times New Roman"/>
                <w:sz w:val="24"/>
                <w:szCs w:val="24"/>
              </w:rPr>
            </w:pPr>
            <w:r w:rsidRPr="002E75D7">
              <w:rPr>
                <w:rFonts w:ascii="Times New Roman" w:eastAsia="Times New Roman" w:hAnsi="Times New Roman"/>
                <w:sz w:val="24"/>
                <w:szCs w:val="24"/>
              </w:rPr>
              <w:t xml:space="preserve">Lūdzam </w:t>
            </w:r>
            <w:r>
              <w:rPr>
                <w:rFonts w:ascii="Times New Roman" w:eastAsia="Times New Roman" w:hAnsi="Times New Roman"/>
                <w:sz w:val="24"/>
                <w:szCs w:val="24"/>
              </w:rPr>
              <w:t>izslēgt</w:t>
            </w:r>
            <w:r w:rsidRPr="002E75D7">
              <w:rPr>
                <w:rFonts w:ascii="Times New Roman" w:eastAsia="Times New Roman" w:hAnsi="Times New Roman"/>
                <w:sz w:val="24"/>
                <w:szCs w:val="24"/>
              </w:rPr>
              <w:t xml:space="preserve"> projekta 1.10. </w:t>
            </w:r>
            <w:r>
              <w:rPr>
                <w:rFonts w:ascii="Times New Roman" w:eastAsia="Times New Roman" w:hAnsi="Times New Roman"/>
                <w:sz w:val="24"/>
                <w:szCs w:val="24"/>
              </w:rPr>
              <w:t>un 1.11. </w:t>
            </w:r>
            <w:r w:rsidRPr="002E75D7">
              <w:rPr>
                <w:rFonts w:ascii="Times New Roman" w:eastAsia="Times New Roman" w:hAnsi="Times New Roman"/>
                <w:sz w:val="24"/>
                <w:szCs w:val="24"/>
              </w:rPr>
              <w:t>apakšpunktus, ņemot vērā sekojošus apsvērumus:</w:t>
            </w:r>
          </w:p>
          <w:p w:rsidR="00925B44" w:rsidRDefault="00925B44" w:rsidP="00925B44">
            <w:pPr>
              <w:pStyle w:val="BodyText"/>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normas</w:t>
            </w:r>
            <w:r w:rsidRPr="00E05F52">
              <w:rPr>
                <w:rFonts w:ascii="Times New Roman" w:eastAsia="Times New Roman" w:hAnsi="Times New Roman"/>
                <w:sz w:val="24"/>
                <w:szCs w:val="24"/>
              </w:rPr>
              <w:t xml:space="preserve"> nav gramatiski </w:t>
            </w:r>
            <w:r>
              <w:rPr>
                <w:rFonts w:ascii="Times New Roman" w:eastAsia="Times New Roman" w:hAnsi="Times New Roman"/>
                <w:sz w:val="24"/>
                <w:szCs w:val="24"/>
              </w:rPr>
              <w:t>precīzas;</w:t>
            </w:r>
          </w:p>
          <w:p w:rsidR="00925B44" w:rsidRDefault="00925B44" w:rsidP="00925B44">
            <w:pPr>
              <w:pStyle w:val="BodyText"/>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saskaņā ar Administratīvā procesa likumā paredzēto objektīvās izmeklēšanas principu un Valsts pārvaldes iekārtas likumā noteikto labas pārvaldības principu oficiālā elektroniskā adrese (turpmāk – e-adrese) nav jāpaziņo</w:t>
            </w:r>
            <w:r w:rsidRPr="00E05F52">
              <w:rPr>
                <w:rFonts w:ascii="Times New Roman" w:eastAsia="Times New Roman" w:hAnsi="Times New Roman"/>
                <w:sz w:val="24"/>
                <w:szCs w:val="24"/>
              </w:rPr>
              <w:t xml:space="preserve">, iestādei pašai </w:t>
            </w:r>
            <w:r>
              <w:rPr>
                <w:rFonts w:ascii="Times New Roman" w:eastAsia="Times New Roman" w:hAnsi="Times New Roman"/>
                <w:sz w:val="24"/>
                <w:szCs w:val="24"/>
              </w:rPr>
              <w:t>ir pienākums pārliecināties par to, vai personai ir aktivizēts e-adreses konts;</w:t>
            </w:r>
          </w:p>
          <w:p w:rsidR="00925B44" w:rsidRDefault="00925B44" w:rsidP="00925B44">
            <w:pPr>
              <w:pStyle w:val="BodyText"/>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atbilstoši Oficiālās elektroniskās adreses likuma 12. panta pirmajai daļai, j</w:t>
            </w:r>
            <w:r w:rsidRPr="00E05F52">
              <w:rPr>
                <w:rFonts w:ascii="Times New Roman" w:eastAsia="Times New Roman" w:hAnsi="Times New Roman"/>
                <w:sz w:val="24"/>
                <w:szCs w:val="24"/>
              </w:rPr>
              <w:t>a persona vēlas, tā var lūgt (</w:t>
            </w:r>
            <w:r>
              <w:rPr>
                <w:rFonts w:ascii="Times New Roman" w:eastAsia="Times New Roman" w:hAnsi="Times New Roman"/>
                <w:sz w:val="24"/>
                <w:szCs w:val="24"/>
              </w:rPr>
              <w:t xml:space="preserve">lūgumu </w:t>
            </w:r>
            <w:r w:rsidRPr="00E05F52">
              <w:rPr>
                <w:rFonts w:ascii="Times New Roman" w:eastAsia="Times New Roman" w:hAnsi="Times New Roman"/>
                <w:sz w:val="24"/>
                <w:szCs w:val="24"/>
              </w:rPr>
              <w:t>pamatojot), lai</w:t>
            </w:r>
            <w:r>
              <w:rPr>
                <w:rFonts w:ascii="Times New Roman" w:eastAsia="Times New Roman" w:hAnsi="Times New Roman"/>
                <w:sz w:val="24"/>
                <w:szCs w:val="24"/>
              </w:rPr>
              <w:t xml:space="preserve"> iestāde</w:t>
            </w:r>
            <w:r w:rsidRPr="00E05F52">
              <w:rPr>
                <w:rFonts w:ascii="Times New Roman" w:eastAsia="Times New Roman" w:hAnsi="Times New Roman"/>
                <w:sz w:val="24"/>
                <w:szCs w:val="24"/>
              </w:rPr>
              <w:t xml:space="preserve"> </w:t>
            </w:r>
            <w:r>
              <w:rPr>
                <w:rFonts w:ascii="Times New Roman" w:eastAsia="Times New Roman" w:hAnsi="Times New Roman"/>
                <w:sz w:val="24"/>
                <w:szCs w:val="24"/>
              </w:rPr>
              <w:t>izmanto citu saziņas kanālu</w:t>
            </w:r>
            <w:r w:rsidRPr="00E05F52">
              <w:rPr>
                <w:rFonts w:ascii="Times New Roman" w:eastAsia="Times New Roman" w:hAnsi="Times New Roman"/>
                <w:sz w:val="24"/>
                <w:szCs w:val="24"/>
              </w:rPr>
              <w:t xml:space="preserve">, arī tad, ja šai personai ir aktivizēta e-adrese. Līdz ar to, apgalvojums - ja personai ir aktivizēts oficiālās elektroniskās adreses konts, informācija tiek nosūtīta </w:t>
            </w:r>
            <w:r>
              <w:rPr>
                <w:rFonts w:ascii="Times New Roman" w:eastAsia="Times New Roman" w:hAnsi="Times New Roman"/>
                <w:sz w:val="24"/>
                <w:szCs w:val="24"/>
              </w:rPr>
              <w:t xml:space="preserve">uz oficiālo elektronisko adresi - </w:t>
            </w:r>
            <w:r w:rsidRPr="00E05F52">
              <w:rPr>
                <w:rFonts w:ascii="Times New Roman" w:eastAsia="Times New Roman" w:hAnsi="Times New Roman"/>
                <w:sz w:val="24"/>
                <w:szCs w:val="24"/>
              </w:rPr>
              <w:t>nav tiesiski korekts</w:t>
            </w:r>
            <w:r>
              <w:rPr>
                <w:rFonts w:ascii="Times New Roman" w:eastAsia="Times New Roman" w:hAnsi="Times New Roman"/>
                <w:sz w:val="24"/>
                <w:szCs w:val="24"/>
              </w:rPr>
              <w:t>;</w:t>
            </w:r>
          </w:p>
          <w:p w:rsidR="006D4701" w:rsidRPr="003D4DD3" w:rsidRDefault="00925B44" w:rsidP="006D4701">
            <w:pPr>
              <w:pStyle w:val="BodyText"/>
              <w:spacing w:after="0" w:line="240" w:lineRule="auto"/>
              <w:ind w:firstLine="720"/>
              <w:contextualSpacing/>
              <w:jc w:val="both"/>
            </w:pPr>
            <w:r>
              <w:rPr>
                <w:rFonts w:ascii="Times New Roman" w:eastAsia="Times New Roman" w:hAnsi="Times New Roman"/>
                <w:sz w:val="24"/>
                <w:szCs w:val="24"/>
              </w:rPr>
              <w:t xml:space="preserve">- Oficiālās elektroniskās adreses likuma 12. panta pirmajā daļā paredzēts, ja </w:t>
            </w:r>
            <w:r w:rsidRPr="00ED4B39">
              <w:rPr>
                <w:rFonts w:ascii="Times New Roman" w:eastAsia="Times New Roman" w:hAnsi="Times New Roman"/>
                <w:sz w:val="24"/>
                <w:szCs w:val="24"/>
              </w:rPr>
              <w:t>ir aktivizēts oficiālās elektroniskās adreses konts, valsts iestāde un privātpersona sazinās elektroniski un elektronisko dokumentu nosūta, izmantojot oficiālo elektronisko adresi.</w:t>
            </w:r>
            <w:r>
              <w:rPr>
                <w:rFonts w:ascii="Times New Roman" w:eastAsia="Times New Roman" w:hAnsi="Times New Roman"/>
                <w:sz w:val="24"/>
                <w:szCs w:val="24"/>
              </w:rPr>
              <w:t xml:space="preserve"> Līdz ar to, projektā nav nepieciešams dublēt iepriekš citēto normu.</w:t>
            </w:r>
          </w:p>
        </w:tc>
        <w:tc>
          <w:tcPr>
            <w:tcW w:w="2977" w:type="dxa"/>
            <w:tcBorders>
              <w:top w:val="single" w:sz="6" w:space="0" w:color="000000"/>
              <w:left w:val="single" w:sz="6" w:space="0" w:color="000000"/>
              <w:bottom w:val="single" w:sz="6" w:space="0" w:color="000000"/>
              <w:right w:val="single" w:sz="6" w:space="0" w:color="000000"/>
            </w:tcBorders>
          </w:tcPr>
          <w:p w:rsidR="007F40D3" w:rsidRPr="007F40D3" w:rsidRDefault="007F40D3" w:rsidP="007F40D3">
            <w:pPr>
              <w:pStyle w:val="naisc"/>
              <w:spacing w:before="0" w:after="0"/>
              <w:rPr>
                <w:b/>
              </w:rPr>
            </w:pPr>
            <w:r w:rsidRPr="007F40D3">
              <w:rPr>
                <w:b/>
              </w:rPr>
              <w:t>Iebildums ņemts vērā</w:t>
            </w:r>
          </w:p>
        </w:tc>
        <w:tc>
          <w:tcPr>
            <w:tcW w:w="3118" w:type="dxa"/>
            <w:tcBorders>
              <w:top w:val="single" w:sz="4" w:space="0" w:color="auto"/>
              <w:left w:val="single" w:sz="4" w:space="0" w:color="auto"/>
              <w:bottom w:val="single" w:sz="4" w:space="0" w:color="auto"/>
            </w:tcBorders>
          </w:tcPr>
          <w:p w:rsidR="007F40D3" w:rsidRDefault="00925B44" w:rsidP="007F40D3">
            <w:pPr>
              <w:pStyle w:val="naisc"/>
              <w:spacing w:before="0" w:after="0"/>
              <w:jc w:val="both"/>
            </w:pPr>
            <w:r>
              <w:t>Normas no projekta izslēgtas</w:t>
            </w:r>
          </w:p>
          <w:p w:rsidR="009B6FA6" w:rsidRPr="005D10D8" w:rsidRDefault="009B6FA6" w:rsidP="009B6FA6">
            <w:pPr>
              <w:pStyle w:val="NoSpacing"/>
            </w:pPr>
          </w:p>
          <w:p w:rsidR="007F40D3" w:rsidRPr="005D10D8" w:rsidRDefault="007F40D3" w:rsidP="007F40D3">
            <w:pPr>
              <w:pStyle w:val="naisc"/>
              <w:spacing w:before="0" w:after="0"/>
              <w:jc w:val="both"/>
            </w:pPr>
          </w:p>
        </w:tc>
      </w:tr>
      <w:tr w:rsidR="009B6FA6" w:rsidRPr="005D10D8" w:rsidTr="00EA2B49">
        <w:tc>
          <w:tcPr>
            <w:tcW w:w="708" w:type="dxa"/>
            <w:tcBorders>
              <w:top w:val="single" w:sz="6" w:space="0" w:color="000000"/>
              <w:left w:val="single" w:sz="6" w:space="0" w:color="000000"/>
              <w:bottom w:val="single" w:sz="6" w:space="0" w:color="000000"/>
              <w:right w:val="single" w:sz="6" w:space="0" w:color="000000"/>
            </w:tcBorders>
          </w:tcPr>
          <w:p w:rsidR="009B6FA6" w:rsidRDefault="005569F5" w:rsidP="007F40D3">
            <w:pPr>
              <w:pStyle w:val="naisc"/>
              <w:spacing w:before="0" w:after="0"/>
            </w:pPr>
            <w:r>
              <w:lastRenderedPageBreak/>
              <w:t>2.</w:t>
            </w:r>
          </w:p>
        </w:tc>
        <w:tc>
          <w:tcPr>
            <w:tcW w:w="3086" w:type="dxa"/>
            <w:tcBorders>
              <w:top w:val="single" w:sz="6" w:space="0" w:color="000000"/>
              <w:left w:val="single" w:sz="6" w:space="0" w:color="000000"/>
              <w:bottom w:val="single" w:sz="6" w:space="0" w:color="000000"/>
              <w:right w:val="single" w:sz="6" w:space="0" w:color="000000"/>
            </w:tcBorders>
          </w:tcPr>
          <w:p w:rsidR="005569F5" w:rsidRPr="005569F5" w:rsidRDefault="005569F5" w:rsidP="005569F5">
            <w:pPr>
              <w:pStyle w:val="NoSpacing"/>
              <w:numPr>
                <w:ilvl w:val="1"/>
                <w:numId w:val="8"/>
              </w:numPr>
              <w:jc w:val="both"/>
              <w:rPr>
                <w:rFonts w:ascii="Times New Roman" w:hAnsi="Times New Roman" w:cs="Times New Roman"/>
                <w:sz w:val="24"/>
                <w:szCs w:val="24"/>
              </w:rPr>
            </w:pPr>
            <w:r w:rsidRPr="005569F5">
              <w:rPr>
                <w:rFonts w:ascii="Times New Roman" w:hAnsi="Times New Roman" w:cs="Times New Roman"/>
                <w:sz w:val="24"/>
                <w:szCs w:val="24"/>
              </w:rPr>
              <w:t xml:space="preserve"> izteikt 42.</w:t>
            </w:r>
            <w:r w:rsidRPr="005569F5">
              <w:rPr>
                <w:rFonts w:ascii="Times New Roman" w:eastAsia="Times New Roman" w:hAnsi="Times New Roman" w:cs="Times New Roman"/>
                <w:color w:val="414142"/>
                <w:sz w:val="24"/>
                <w:szCs w:val="24"/>
                <w:vertAlign w:val="superscript"/>
                <w:lang w:eastAsia="lv-LV"/>
              </w:rPr>
              <w:t>1</w:t>
            </w:r>
            <w:r w:rsidRPr="005569F5">
              <w:rPr>
                <w:rFonts w:ascii="Times New Roman" w:hAnsi="Times New Roman" w:cs="Times New Roman"/>
                <w:sz w:val="24"/>
                <w:szCs w:val="24"/>
              </w:rPr>
              <w:t>apakšpunktu šādā redakcijā:</w:t>
            </w:r>
          </w:p>
          <w:p w:rsidR="009B6FA6" w:rsidRPr="005569F5" w:rsidRDefault="005569F5" w:rsidP="006D4701">
            <w:pPr>
              <w:pStyle w:val="ListParagraph"/>
              <w:ind w:left="0"/>
              <w:jc w:val="both"/>
            </w:pPr>
            <w:r w:rsidRPr="005569F5">
              <w:rPr>
                <w:rFonts w:eastAsiaTheme="minorHAnsi"/>
                <w:lang w:val="lv-LV"/>
              </w:rPr>
              <w:t>“42.1 Personai, kura saņem personas apliecību ar kontakta mikroshēmā iekļautiem sertifikātiem, centrs nodrošina 120 neierobežotu skaitu elektronisko dokumentu iezīmēšanu ar laika zīmogu tiešsaistes režīmā un elektroniskās identitātes apliecināšanas reizes  bez maksas.”</w:t>
            </w:r>
          </w:p>
        </w:tc>
        <w:tc>
          <w:tcPr>
            <w:tcW w:w="4394" w:type="dxa"/>
            <w:tcBorders>
              <w:top w:val="single" w:sz="6" w:space="0" w:color="000000"/>
              <w:left w:val="single" w:sz="6" w:space="0" w:color="000000"/>
              <w:bottom w:val="single" w:sz="6" w:space="0" w:color="000000"/>
              <w:right w:val="single" w:sz="6" w:space="0" w:color="000000"/>
            </w:tcBorders>
          </w:tcPr>
          <w:p w:rsidR="00E32F15" w:rsidRPr="007F40D3" w:rsidRDefault="00E32F15" w:rsidP="00E32F15">
            <w:pPr>
              <w:pStyle w:val="naisc"/>
              <w:spacing w:before="0" w:after="0"/>
              <w:rPr>
                <w:b/>
              </w:rPr>
            </w:pPr>
            <w:r>
              <w:rPr>
                <w:b/>
              </w:rPr>
              <w:t>Vides aizsardzības un reģionālās attīstības ministrija</w:t>
            </w:r>
          </w:p>
          <w:p w:rsidR="005569F5" w:rsidRPr="005569F5" w:rsidRDefault="005569F5" w:rsidP="005569F5">
            <w:pPr>
              <w:pStyle w:val="BodyText"/>
              <w:tabs>
                <w:tab w:val="left" w:pos="1134"/>
              </w:tabs>
              <w:spacing w:after="0" w:line="240" w:lineRule="auto"/>
              <w:contextualSpacing/>
              <w:jc w:val="both"/>
              <w:rPr>
                <w:rFonts w:ascii="Times New Roman" w:eastAsia="Times New Roman" w:hAnsi="Times New Roman"/>
                <w:sz w:val="24"/>
                <w:szCs w:val="24"/>
              </w:rPr>
            </w:pPr>
            <w:r w:rsidRPr="005569F5">
              <w:rPr>
                <w:rFonts w:ascii="Times New Roman" w:eastAsia="Times New Roman" w:hAnsi="Times New Roman"/>
                <w:sz w:val="24"/>
                <w:szCs w:val="24"/>
              </w:rPr>
              <w:t>Lūdzam izslēgt projekta 1.13. apakšpunktā skaitli “120”, jo saskaņā ar Ministra kabineta iepriekš nolemto, tiek paredzēts, ka personu apliecībās (eID) kartēs iekļaujams neierobežots skaits bezmaksas sertifikātu.</w:t>
            </w:r>
          </w:p>
          <w:p w:rsidR="009B6FA6" w:rsidRPr="005569F5" w:rsidRDefault="009B6FA6" w:rsidP="007F40D3">
            <w:pPr>
              <w:pStyle w:val="naisc"/>
              <w:spacing w:before="0" w:after="0"/>
              <w:rPr>
                <w:b/>
              </w:rPr>
            </w:pPr>
          </w:p>
        </w:tc>
        <w:tc>
          <w:tcPr>
            <w:tcW w:w="2977" w:type="dxa"/>
            <w:tcBorders>
              <w:top w:val="single" w:sz="6" w:space="0" w:color="000000"/>
              <w:left w:val="single" w:sz="6" w:space="0" w:color="000000"/>
              <w:bottom w:val="single" w:sz="6" w:space="0" w:color="000000"/>
              <w:right w:val="single" w:sz="6" w:space="0" w:color="000000"/>
            </w:tcBorders>
          </w:tcPr>
          <w:p w:rsidR="009B6FA6" w:rsidRPr="005569F5" w:rsidRDefault="00E32F15" w:rsidP="00E32F15">
            <w:pPr>
              <w:pStyle w:val="ListParagraph"/>
              <w:ind w:left="0"/>
              <w:jc w:val="both"/>
              <w:rPr>
                <w:b/>
                <w:lang w:val="lv-LV"/>
              </w:rPr>
            </w:pPr>
            <w:proofErr w:type="spellStart"/>
            <w:r w:rsidRPr="007F40D3">
              <w:rPr>
                <w:b/>
              </w:rPr>
              <w:t>Iebildums</w:t>
            </w:r>
            <w:proofErr w:type="spellEnd"/>
            <w:r w:rsidRPr="007F40D3">
              <w:rPr>
                <w:b/>
              </w:rPr>
              <w:t xml:space="preserve"> </w:t>
            </w:r>
            <w:proofErr w:type="spellStart"/>
            <w:r w:rsidRPr="007F40D3">
              <w:rPr>
                <w:b/>
              </w:rPr>
              <w:t>ņemts</w:t>
            </w:r>
            <w:proofErr w:type="spellEnd"/>
            <w:r w:rsidRPr="007F40D3">
              <w:rPr>
                <w:b/>
              </w:rPr>
              <w:t xml:space="preserve"> </w:t>
            </w:r>
            <w:proofErr w:type="spellStart"/>
            <w:r w:rsidRPr="007F40D3">
              <w:rPr>
                <w:b/>
              </w:rPr>
              <w:t>vērā</w:t>
            </w:r>
            <w:proofErr w:type="spellEnd"/>
          </w:p>
        </w:tc>
        <w:tc>
          <w:tcPr>
            <w:tcW w:w="3118" w:type="dxa"/>
            <w:tcBorders>
              <w:top w:val="single" w:sz="4" w:space="0" w:color="auto"/>
              <w:left w:val="single" w:sz="4" w:space="0" w:color="auto"/>
              <w:bottom w:val="single" w:sz="4" w:space="0" w:color="auto"/>
            </w:tcBorders>
          </w:tcPr>
          <w:p w:rsidR="00E32F15" w:rsidRPr="005569F5" w:rsidRDefault="00E32F15" w:rsidP="00E32F15">
            <w:pPr>
              <w:pStyle w:val="NoSpacing"/>
              <w:numPr>
                <w:ilvl w:val="1"/>
                <w:numId w:val="6"/>
              </w:numPr>
              <w:ind w:left="0" w:firstLine="59"/>
              <w:jc w:val="both"/>
              <w:rPr>
                <w:rFonts w:ascii="Times New Roman" w:hAnsi="Times New Roman" w:cs="Times New Roman"/>
                <w:sz w:val="24"/>
                <w:szCs w:val="24"/>
              </w:rPr>
            </w:pPr>
            <w:r>
              <w:rPr>
                <w:rFonts w:ascii="Times New Roman" w:hAnsi="Times New Roman" w:cs="Times New Roman"/>
                <w:sz w:val="24"/>
                <w:szCs w:val="24"/>
              </w:rPr>
              <w:t xml:space="preserve"> </w:t>
            </w:r>
            <w:r w:rsidRPr="005569F5">
              <w:rPr>
                <w:rFonts w:ascii="Times New Roman" w:hAnsi="Times New Roman" w:cs="Times New Roman"/>
                <w:sz w:val="24"/>
                <w:szCs w:val="24"/>
              </w:rPr>
              <w:t>izteikt 42.</w:t>
            </w:r>
            <w:r w:rsidRPr="005569F5">
              <w:rPr>
                <w:rFonts w:ascii="Times New Roman" w:eastAsia="Times New Roman" w:hAnsi="Times New Roman" w:cs="Times New Roman"/>
                <w:color w:val="414142"/>
                <w:sz w:val="24"/>
                <w:szCs w:val="24"/>
                <w:vertAlign w:val="superscript"/>
                <w:lang w:eastAsia="lv-LV"/>
              </w:rPr>
              <w:t>1</w:t>
            </w:r>
            <w:r w:rsidRPr="005569F5">
              <w:rPr>
                <w:rFonts w:ascii="Times New Roman" w:hAnsi="Times New Roman" w:cs="Times New Roman"/>
                <w:sz w:val="24"/>
                <w:szCs w:val="24"/>
              </w:rPr>
              <w:t>apakšpunktu šādā redakcijā:</w:t>
            </w:r>
          </w:p>
          <w:p w:rsidR="009B6FA6" w:rsidRDefault="00E32F15" w:rsidP="00E32F15">
            <w:pPr>
              <w:pStyle w:val="ListParagraph"/>
              <w:ind w:left="0" w:firstLine="59"/>
              <w:jc w:val="both"/>
              <w:rPr>
                <w:rFonts w:eastAsiaTheme="minorHAnsi"/>
                <w:lang w:val="lv-LV"/>
              </w:rPr>
            </w:pPr>
            <w:r w:rsidRPr="005569F5">
              <w:rPr>
                <w:rFonts w:eastAsiaTheme="minorHAnsi"/>
                <w:lang w:val="lv-LV"/>
              </w:rPr>
              <w:t>“</w:t>
            </w:r>
            <w:r w:rsidRPr="005569F5">
              <w:rPr>
                <w:color w:val="414142"/>
                <w:lang w:val="lv-LV" w:eastAsia="lv-LV"/>
              </w:rPr>
              <w:t>42.¹</w:t>
            </w:r>
            <w:r w:rsidRPr="005569F5">
              <w:rPr>
                <w:color w:val="414142"/>
                <w:lang w:val="lv-LV"/>
              </w:rPr>
              <w:t xml:space="preserve"> </w:t>
            </w:r>
            <w:r w:rsidRPr="005569F5">
              <w:rPr>
                <w:rFonts w:eastAsiaTheme="minorHAnsi"/>
                <w:lang w:val="lv-LV"/>
              </w:rPr>
              <w:t>Personai, kura saņem personas apliecību ar mikroshēmā iekļautiem sertifikātiem, centrs nodrošina elektronisko dokumentu iezīmēšan</w:t>
            </w:r>
            <w:r w:rsidR="006A6743">
              <w:rPr>
                <w:rFonts w:eastAsiaTheme="minorHAnsi"/>
                <w:lang w:val="lv-LV"/>
              </w:rPr>
              <w:t xml:space="preserve">u </w:t>
            </w:r>
            <w:r w:rsidRPr="005569F5">
              <w:rPr>
                <w:rFonts w:eastAsiaTheme="minorHAnsi"/>
                <w:lang w:val="lv-LV"/>
              </w:rPr>
              <w:t>ar laika zīmogu tiešsaistes režīmā un elektroniskās identitātes apliecināšan</w:t>
            </w:r>
            <w:r w:rsidR="006A6743">
              <w:rPr>
                <w:rFonts w:eastAsiaTheme="minorHAnsi"/>
                <w:lang w:val="lv-LV"/>
              </w:rPr>
              <w:t>u</w:t>
            </w:r>
            <w:r w:rsidRPr="005569F5">
              <w:rPr>
                <w:rFonts w:eastAsiaTheme="minorHAnsi"/>
                <w:lang w:val="lv-LV"/>
              </w:rPr>
              <w:t xml:space="preserve"> bez maksas.”</w:t>
            </w:r>
          </w:p>
          <w:p w:rsidR="00E32F15" w:rsidRDefault="00E32F15" w:rsidP="00E32F15">
            <w:pPr>
              <w:pStyle w:val="ListParagraph"/>
              <w:ind w:left="0" w:firstLine="59"/>
              <w:jc w:val="both"/>
            </w:pPr>
          </w:p>
        </w:tc>
      </w:tr>
      <w:tr w:rsidR="009B6FA6" w:rsidRPr="005D10D8" w:rsidTr="00EA2B49">
        <w:tc>
          <w:tcPr>
            <w:tcW w:w="708" w:type="dxa"/>
            <w:tcBorders>
              <w:top w:val="single" w:sz="6" w:space="0" w:color="000000"/>
              <w:left w:val="single" w:sz="6" w:space="0" w:color="000000"/>
              <w:bottom w:val="single" w:sz="6" w:space="0" w:color="000000"/>
              <w:right w:val="single" w:sz="6" w:space="0" w:color="000000"/>
            </w:tcBorders>
          </w:tcPr>
          <w:p w:rsidR="009B6FA6" w:rsidRDefault="00E32F15" w:rsidP="007F40D3">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rsidR="00E32F15" w:rsidRPr="00883C54" w:rsidRDefault="00E32F15" w:rsidP="00E32F15">
            <w:pPr>
              <w:pStyle w:val="NoSpacing"/>
              <w:numPr>
                <w:ilvl w:val="1"/>
                <w:numId w:val="11"/>
              </w:numPr>
              <w:ind w:left="0" w:firstLine="37"/>
              <w:jc w:val="both"/>
              <w:rPr>
                <w:rFonts w:ascii="Times New Roman" w:hAnsi="Times New Roman" w:cs="Times New Roman"/>
                <w:sz w:val="24"/>
                <w:szCs w:val="24"/>
              </w:rPr>
            </w:pPr>
            <w:r>
              <w:rPr>
                <w:rFonts w:ascii="Times New Roman" w:hAnsi="Times New Roman" w:cs="Times New Roman"/>
                <w:sz w:val="24"/>
                <w:szCs w:val="24"/>
              </w:rPr>
              <w:t xml:space="preserve"> </w:t>
            </w:r>
            <w:r w:rsidRPr="00883C54">
              <w:rPr>
                <w:rFonts w:ascii="Times New Roman" w:hAnsi="Times New Roman" w:cs="Times New Roman"/>
                <w:sz w:val="24"/>
                <w:szCs w:val="24"/>
              </w:rPr>
              <w:t>papildināt 24.2.apakšpunktu ar palīgteikumu šādā redakcijā:</w:t>
            </w:r>
          </w:p>
          <w:p w:rsidR="00E32F15" w:rsidRPr="00883C54" w:rsidRDefault="00E32F15" w:rsidP="00E32F15">
            <w:pPr>
              <w:shd w:val="clear" w:color="auto" w:fill="FFFFFF"/>
              <w:spacing w:line="293" w:lineRule="atLeast"/>
              <w:ind w:firstLine="37"/>
              <w:jc w:val="both"/>
              <w:rPr>
                <w:rFonts w:eastAsiaTheme="minorHAnsi"/>
                <w:lang w:eastAsia="en-US"/>
              </w:rPr>
            </w:pPr>
            <w:r w:rsidRPr="00883C54">
              <w:rPr>
                <w:rFonts w:eastAsiaTheme="minorHAnsi"/>
                <w:lang w:eastAsia="en-US"/>
              </w:rPr>
              <w:t>“ja personai ir aktivizēts oficiālās elektroniskās adreses konts, informācija tiek nosūtīta uz oficiālo elektronisko adresi.”;</w:t>
            </w:r>
          </w:p>
          <w:p w:rsidR="00E32F15" w:rsidRPr="00925B44" w:rsidRDefault="00E32F15" w:rsidP="00E32F15">
            <w:pPr>
              <w:pStyle w:val="ListParagraph"/>
              <w:ind w:left="0" w:firstLine="37"/>
              <w:rPr>
                <w:rFonts w:eastAsiaTheme="minorHAnsi"/>
                <w:lang w:val="lv-LV"/>
              </w:rPr>
            </w:pPr>
          </w:p>
          <w:p w:rsidR="00E32F15" w:rsidRPr="00883C54" w:rsidRDefault="00E32F15" w:rsidP="00E32F15">
            <w:pPr>
              <w:pStyle w:val="NoSpacing"/>
              <w:numPr>
                <w:ilvl w:val="1"/>
                <w:numId w:val="11"/>
              </w:numPr>
              <w:ind w:left="0" w:firstLine="37"/>
              <w:jc w:val="both"/>
              <w:rPr>
                <w:rFonts w:ascii="Times New Roman" w:hAnsi="Times New Roman" w:cs="Times New Roman"/>
                <w:sz w:val="24"/>
                <w:szCs w:val="24"/>
              </w:rPr>
            </w:pPr>
            <w:r w:rsidRPr="00883C54">
              <w:rPr>
                <w:rFonts w:ascii="Times New Roman" w:hAnsi="Times New Roman" w:cs="Times New Roman"/>
                <w:sz w:val="24"/>
                <w:szCs w:val="24"/>
              </w:rPr>
              <w:t xml:space="preserve">  izteikt 32.3.apakšpunktu šādā redakcijā:</w:t>
            </w:r>
          </w:p>
          <w:p w:rsidR="009B6FA6" w:rsidRPr="00883C54" w:rsidRDefault="00E32F15" w:rsidP="006D4701">
            <w:pPr>
              <w:pStyle w:val="NoSpacing"/>
              <w:ind w:firstLine="37"/>
              <w:jc w:val="both"/>
              <w:rPr>
                <w:rFonts w:ascii="Times New Roman" w:hAnsi="Times New Roman" w:cs="Times New Roman"/>
                <w:sz w:val="24"/>
                <w:szCs w:val="24"/>
              </w:rPr>
            </w:pPr>
            <w:r w:rsidRPr="00925B44">
              <w:rPr>
                <w:rFonts w:ascii="Times New Roman" w:hAnsi="Times New Roman" w:cs="Times New Roman"/>
                <w:sz w:val="24"/>
                <w:szCs w:val="24"/>
              </w:rPr>
              <w:t xml:space="preserve">32.3. norāda kontaktinformāciju (elektroniskā pasta adresi vai mobilā tālruņa numuru) paziņojumu saņemšanai no centra vai attiecīgo informāciju norāda, saņemot personas apliecību, ja personai aktivizēts oficiālās elektroniskās adreses konts, </w:t>
            </w:r>
            <w:r w:rsidRPr="00925B44">
              <w:rPr>
                <w:rFonts w:ascii="Times New Roman" w:hAnsi="Times New Roman" w:cs="Times New Roman"/>
                <w:sz w:val="24"/>
                <w:szCs w:val="24"/>
              </w:rPr>
              <w:lastRenderedPageBreak/>
              <w:t>paziņojumu nosūta uz oficiālo elektronisko adresi</w:t>
            </w:r>
            <w:r w:rsidRPr="00883C54">
              <w:rPr>
                <w:rFonts w:ascii="Times New Roman" w:hAnsi="Times New Roman" w:cs="Times New Roman"/>
                <w:sz w:val="24"/>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tcPr>
          <w:p w:rsidR="009B6FA6" w:rsidRDefault="00E32F15" w:rsidP="007F40D3">
            <w:pPr>
              <w:pStyle w:val="naisc"/>
              <w:spacing w:before="0" w:after="0"/>
              <w:rPr>
                <w:b/>
              </w:rPr>
            </w:pPr>
            <w:r>
              <w:rPr>
                <w:b/>
              </w:rPr>
              <w:lastRenderedPageBreak/>
              <w:t>Tieslietu ministrija</w:t>
            </w:r>
          </w:p>
          <w:p w:rsidR="00E32F15" w:rsidRPr="00E32F15" w:rsidRDefault="00E32F15" w:rsidP="00E32F15">
            <w:pPr>
              <w:pStyle w:val="naisc"/>
              <w:spacing w:before="0" w:after="0"/>
              <w:jc w:val="both"/>
            </w:pPr>
            <w:r>
              <w:t>Projekta 1.10. un 1.11.apakšpunktā ietverts regulējums, kas paredz, ja personai ir aktivizēts oficiālās elektroniskās adreses konts, informācija tiek nosūtīta uz oficiālo elektronisko adresi. Norādām, ka abos punktos minētā norma jāveido kā atsevišķs teikums, nevis kā palīgteikums, jo citādi Ministru kabineta 2012.gada 21.februāra noteikumu Nr.134 "Personu apliecinošu dokumentu noteikumi" 24.2. un 32.3.apakšpunkta  piedāvātās redakcijas nav loģiskas.</w:t>
            </w:r>
          </w:p>
        </w:tc>
        <w:tc>
          <w:tcPr>
            <w:tcW w:w="2977" w:type="dxa"/>
            <w:tcBorders>
              <w:top w:val="single" w:sz="6" w:space="0" w:color="000000"/>
              <w:left w:val="single" w:sz="6" w:space="0" w:color="000000"/>
              <w:bottom w:val="single" w:sz="6" w:space="0" w:color="000000"/>
              <w:right w:val="single" w:sz="6" w:space="0" w:color="000000"/>
            </w:tcBorders>
          </w:tcPr>
          <w:p w:rsidR="009B6FA6" w:rsidRPr="007F40D3" w:rsidRDefault="00E32F15" w:rsidP="007F40D3">
            <w:pPr>
              <w:pStyle w:val="naisc"/>
              <w:spacing w:before="0" w:after="0"/>
              <w:rPr>
                <w:b/>
              </w:rPr>
            </w:pPr>
            <w:r>
              <w:rPr>
                <w:b/>
              </w:rPr>
              <w:t>Iebildums ņemts vērā</w:t>
            </w:r>
          </w:p>
        </w:tc>
        <w:tc>
          <w:tcPr>
            <w:tcW w:w="3118" w:type="dxa"/>
            <w:tcBorders>
              <w:top w:val="single" w:sz="4" w:space="0" w:color="auto"/>
              <w:left w:val="single" w:sz="4" w:space="0" w:color="auto"/>
              <w:bottom w:val="single" w:sz="4" w:space="0" w:color="auto"/>
            </w:tcBorders>
          </w:tcPr>
          <w:p w:rsidR="00E32F15" w:rsidRDefault="00E32F15" w:rsidP="00E32F15">
            <w:pPr>
              <w:pStyle w:val="naisc"/>
              <w:spacing w:before="0" w:after="0"/>
              <w:jc w:val="both"/>
            </w:pPr>
            <w:r>
              <w:t>Normas no projekta izslēgtas</w:t>
            </w:r>
          </w:p>
          <w:p w:rsidR="009B6FA6" w:rsidRDefault="009B6FA6" w:rsidP="007F40D3">
            <w:pPr>
              <w:pStyle w:val="naisc"/>
              <w:spacing w:before="0" w:after="0"/>
              <w:jc w:val="both"/>
            </w:pPr>
          </w:p>
        </w:tc>
      </w:tr>
      <w:tr w:rsidR="00E32F15" w:rsidRPr="005D10D8" w:rsidTr="00EA2B49">
        <w:tc>
          <w:tcPr>
            <w:tcW w:w="708" w:type="dxa"/>
            <w:tcBorders>
              <w:top w:val="single" w:sz="6" w:space="0" w:color="000000"/>
              <w:left w:val="single" w:sz="6" w:space="0" w:color="000000"/>
              <w:bottom w:val="single" w:sz="6" w:space="0" w:color="000000"/>
              <w:right w:val="single" w:sz="6" w:space="0" w:color="000000"/>
            </w:tcBorders>
          </w:tcPr>
          <w:p w:rsidR="00E32F15" w:rsidRDefault="00E32F15" w:rsidP="007F40D3">
            <w:pPr>
              <w:pStyle w:val="naisc"/>
              <w:spacing w:before="0" w:after="0"/>
            </w:pPr>
            <w:r>
              <w:t>2.</w:t>
            </w:r>
          </w:p>
        </w:tc>
        <w:tc>
          <w:tcPr>
            <w:tcW w:w="3086" w:type="dxa"/>
            <w:tcBorders>
              <w:top w:val="single" w:sz="6" w:space="0" w:color="000000"/>
              <w:left w:val="single" w:sz="6" w:space="0" w:color="000000"/>
              <w:bottom w:val="single" w:sz="6" w:space="0" w:color="000000"/>
              <w:right w:val="single" w:sz="6" w:space="0" w:color="000000"/>
            </w:tcBorders>
          </w:tcPr>
          <w:p w:rsidR="00E32F15" w:rsidRPr="005569F5" w:rsidRDefault="00E32F15" w:rsidP="00E32F15">
            <w:pPr>
              <w:pStyle w:val="NoSpacing"/>
              <w:numPr>
                <w:ilvl w:val="1"/>
                <w:numId w:val="6"/>
              </w:numPr>
              <w:ind w:lef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569F5">
              <w:rPr>
                <w:rFonts w:ascii="Times New Roman" w:hAnsi="Times New Roman" w:cs="Times New Roman"/>
                <w:sz w:val="24"/>
                <w:szCs w:val="24"/>
              </w:rPr>
              <w:t>izteikt 42.</w:t>
            </w:r>
            <w:r w:rsidRPr="005569F5">
              <w:rPr>
                <w:rFonts w:ascii="Times New Roman" w:eastAsia="Times New Roman" w:hAnsi="Times New Roman" w:cs="Times New Roman"/>
                <w:color w:val="414142"/>
                <w:sz w:val="24"/>
                <w:szCs w:val="24"/>
                <w:vertAlign w:val="superscript"/>
                <w:lang w:eastAsia="lv-LV"/>
              </w:rPr>
              <w:t>1</w:t>
            </w:r>
            <w:r w:rsidRPr="005569F5">
              <w:rPr>
                <w:rFonts w:ascii="Times New Roman" w:hAnsi="Times New Roman" w:cs="Times New Roman"/>
                <w:sz w:val="24"/>
                <w:szCs w:val="24"/>
              </w:rPr>
              <w:t>apakšpunktu šādā redakcijā:</w:t>
            </w:r>
          </w:p>
          <w:p w:rsidR="00E32F15" w:rsidRPr="005569F5" w:rsidRDefault="00E32F15" w:rsidP="00E32F15">
            <w:pPr>
              <w:pStyle w:val="ListParagraph"/>
              <w:ind w:left="0"/>
              <w:jc w:val="both"/>
              <w:rPr>
                <w:rFonts w:eastAsiaTheme="minorHAnsi"/>
                <w:lang w:val="lv-LV"/>
              </w:rPr>
            </w:pPr>
            <w:r w:rsidRPr="005569F5">
              <w:rPr>
                <w:rFonts w:eastAsiaTheme="minorHAnsi"/>
                <w:lang w:val="lv-LV"/>
              </w:rPr>
              <w:t>“42.1 Personai, kura saņem personas apliecību ar kontakta mikroshēmā iekļautiem sertifikātiem, centrs nodrošina 120 neierobežotu skaitu elektronisko dokumentu iezīmēšanu ar laika zīmogu tiešsaistes režīmā un elektroniskās identitātes apliecināšanas reizes  bez maksas.”</w:t>
            </w:r>
          </w:p>
          <w:p w:rsidR="00E32F15" w:rsidRPr="00883C54" w:rsidRDefault="00E32F15" w:rsidP="009B6FA6">
            <w:pPr>
              <w:pStyle w:val="NoSpacing"/>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E32F15" w:rsidRPr="00E32F15" w:rsidRDefault="00E32F15" w:rsidP="00E32F15">
            <w:pPr>
              <w:ind w:firstLine="720"/>
              <w:jc w:val="center"/>
              <w:rPr>
                <w:b/>
              </w:rPr>
            </w:pPr>
            <w:r w:rsidRPr="00E32F15">
              <w:rPr>
                <w:b/>
              </w:rPr>
              <w:t>Tieslietu ministrija</w:t>
            </w:r>
          </w:p>
          <w:p w:rsidR="00E32F15" w:rsidRDefault="00E32F15" w:rsidP="00E32F15">
            <w:pPr>
              <w:ind w:firstLine="720"/>
              <w:jc w:val="both"/>
            </w:pPr>
            <w:r>
              <w:t xml:space="preserve">Projekta anotācijā ir rakstīts: "Ņemot vērā, ka no šī gada 1.janvāra sertifikācijas pakalpojumu sniedzējs [..] nodrošina </w:t>
            </w:r>
            <w:r>
              <w:rPr>
                <w:u w:val="single"/>
              </w:rPr>
              <w:t>neierobežotu skaitu elektronisko dokumentu</w:t>
            </w:r>
            <w:r>
              <w:t xml:space="preserve">, līdzšinējo 120 dokumentu vietā, </w:t>
            </w:r>
            <w:r>
              <w:rPr>
                <w:u w:val="single"/>
              </w:rPr>
              <w:t>iezīmēšanu ar laika zīmogu tiešsaistes režīmā</w:t>
            </w:r>
            <w:r>
              <w:t xml:space="preserve"> un elektroniskās identitātes apliecināšanas reizes  bez maksas neierobežotu skaitu, Projektā precizēta atbilstošā norma."</w:t>
            </w:r>
          </w:p>
          <w:p w:rsidR="00E32F15" w:rsidRDefault="00E32F15" w:rsidP="00E32F15">
            <w:pPr>
              <w:pStyle w:val="naisc"/>
              <w:spacing w:before="0" w:after="0"/>
              <w:jc w:val="both"/>
              <w:rPr>
                <w:b/>
              </w:rPr>
            </w:pPr>
            <w:r>
              <w:t xml:space="preserve">Kā redzams projekta 1.13.apakšpunktā, normas tekstā, iespējams, kļūdas dēļ ir saglabāta atsauce uz </w:t>
            </w:r>
            <w:r>
              <w:rPr>
                <w:b/>
                <w:bCs/>
              </w:rPr>
              <w:t>120</w:t>
            </w:r>
            <w:r>
              <w:t xml:space="preserve">  šādā redakcijā: "42.1 Personai, kura saņem personas apliecību ar kontakta mikroshēmā iekļautiem sertifikātiem, centrs nodrošina </w:t>
            </w:r>
            <w:r>
              <w:rPr>
                <w:b/>
                <w:bCs/>
              </w:rPr>
              <w:t>120 neierobežotu skaitu</w:t>
            </w:r>
            <w:r>
              <w:t xml:space="preserve"> elektronisko dokumentu iezīmēšanu ar laika zīmogu tiešsaistes režīmā un elektroniskās identitātes apliecināšanas reizes  bez maksas." Līdz ar to normas tekstā nav izprotama "120" un "neierobežotu skaitu" līdzās pastāvēšana. Lūdzam precizēt projekta 1.13.apakšpunktu.</w:t>
            </w:r>
          </w:p>
        </w:tc>
        <w:tc>
          <w:tcPr>
            <w:tcW w:w="2977" w:type="dxa"/>
            <w:tcBorders>
              <w:top w:val="single" w:sz="6" w:space="0" w:color="000000"/>
              <w:left w:val="single" w:sz="6" w:space="0" w:color="000000"/>
              <w:bottom w:val="single" w:sz="6" w:space="0" w:color="000000"/>
              <w:right w:val="single" w:sz="6" w:space="0" w:color="000000"/>
            </w:tcBorders>
          </w:tcPr>
          <w:p w:rsidR="00E32F15" w:rsidRPr="007F40D3" w:rsidRDefault="00E32F15" w:rsidP="007F40D3">
            <w:pPr>
              <w:pStyle w:val="naisc"/>
              <w:spacing w:before="0" w:after="0"/>
              <w:rPr>
                <w:b/>
              </w:rPr>
            </w:pPr>
            <w:r>
              <w:rPr>
                <w:b/>
              </w:rPr>
              <w:t>Iebildums ņemts vērā</w:t>
            </w:r>
          </w:p>
        </w:tc>
        <w:tc>
          <w:tcPr>
            <w:tcW w:w="3118" w:type="dxa"/>
            <w:tcBorders>
              <w:top w:val="single" w:sz="4" w:space="0" w:color="auto"/>
              <w:left w:val="single" w:sz="4" w:space="0" w:color="auto"/>
              <w:bottom w:val="single" w:sz="4" w:space="0" w:color="auto"/>
            </w:tcBorders>
          </w:tcPr>
          <w:p w:rsidR="00E32F15" w:rsidRPr="005569F5" w:rsidRDefault="00E32F15" w:rsidP="00E32F15">
            <w:pPr>
              <w:pStyle w:val="NoSpacing"/>
              <w:numPr>
                <w:ilvl w:val="1"/>
                <w:numId w:val="11"/>
              </w:numPr>
              <w:ind w:left="0" w:firstLine="59"/>
              <w:jc w:val="both"/>
              <w:rPr>
                <w:rFonts w:ascii="Times New Roman" w:hAnsi="Times New Roman" w:cs="Times New Roman"/>
                <w:sz w:val="24"/>
                <w:szCs w:val="24"/>
              </w:rPr>
            </w:pPr>
            <w:r>
              <w:rPr>
                <w:rFonts w:ascii="Times New Roman" w:hAnsi="Times New Roman" w:cs="Times New Roman"/>
                <w:sz w:val="24"/>
                <w:szCs w:val="24"/>
              </w:rPr>
              <w:t xml:space="preserve"> </w:t>
            </w:r>
            <w:r w:rsidRPr="005569F5">
              <w:rPr>
                <w:rFonts w:ascii="Times New Roman" w:hAnsi="Times New Roman" w:cs="Times New Roman"/>
                <w:sz w:val="24"/>
                <w:szCs w:val="24"/>
              </w:rPr>
              <w:t>izteikt 42.</w:t>
            </w:r>
            <w:r w:rsidRPr="005569F5">
              <w:rPr>
                <w:rFonts w:ascii="Times New Roman" w:eastAsia="Times New Roman" w:hAnsi="Times New Roman" w:cs="Times New Roman"/>
                <w:color w:val="414142"/>
                <w:sz w:val="24"/>
                <w:szCs w:val="24"/>
                <w:vertAlign w:val="superscript"/>
                <w:lang w:eastAsia="lv-LV"/>
              </w:rPr>
              <w:t>1</w:t>
            </w:r>
            <w:r w:rsidRPr="005569F5">
              <w:rPr>
                <w:rFonts w:ascii="Times New Roman" w:hAnsi="Times New Roman" w:cs="Times New Roman"/>
                <w:sz w:val="24"/>
                <w:szCs w:val="24"/>
              </w:rPr>
              <w:t>apakšpunktu šādā redakcijā:</w:t>
            </w:r>
          </w:p>
          <w:p w:rsidR="00E32F15" w:rsidRDefault="00E32F15" w:rsidP="006A6743">
            <w:pPr>
              <w:pStyle w:val="naisc"/>
              <w:spacing w:before="0" w:after="0"/>
              <w:jc w:val="both"/>
            </w:pPr>
            <w:r w:rsidRPr="005569F5">
              <w:rPr>
                <w:rFonts w:eastAsiaTheme="minorHAnsi"/>
                <w:lang w:eastAsia="en-US"/>
              </w:rPr>
              <w:t>“</w:t>
            </w:r>
            <w:r w:rsidRPr="005569F5">
              <w:rPr>
                <w:color w:val="414142"/>
              </w:rPr>
              <w:t xml:space="preserve">42.¹ </w:t>
            </w:r>
            <w:r w:rsidRPr="005569F5">
              <w:rPr>
                <w:rFonts w:eastAsiaTheme="minorHAnsi"/>
                <w:lang w:eastAsia="en-US"/>
              </w:rPr>
              <w:t>Personai, kura saņem personas apliecību ar mikroshēmā iekļautiem sertifikātiem, centrs nodrošina elektronisko dokumentu iezīmēšanu ar laika zīmogu tiešsaistes režīmā un elektroniskās identitātes apliecināšan</w:t>
            </w:r>
            <w:r w:rsidR="006A6743">
              <w:rPr>
                <w:rFonts w:eastAsiaTheme="minorHAnsi"/>
                <w:lang w:eastAsia="en-US"/>
              </w:rPr>
              <w:t>u</w:t>
            </w:r>
            <w:r w:rsidRPr="005569F5">
              <w:rPr>
                <w:rFonts w:eastAsiaTheme="minorHAnsi"/>
                <w:lang w:eastAsia="en-US"/>
              </w:rPr>
              <w:t xml:space="preserve"> bez maksas.”</w:t>
            </w:r>
          </w:p>
        </w:tc>
      </w:tr>
    </w:tbl>
    <w:p w:rsidR="00C555B5" w:rsidRPr="005D10D8" w:rsidRDefault="00C555B5" w:rsidP="00C555B5">
      <w:pPr>
        <w:pStyle w:val="naisf"/>
        <w:spacing w:before="0" w:after="0"/>
        <w:ind w:firstLine="0"/>
        <w:jc w:val="left"/>
      </w:pPr>
    </w:p>
    <w:p w:rsidR="00256207" w:rsidRPr="005D10D8" w:rsidRDefault="00256207" w:rsidP="00C555B5">
      <w:pPr>
        <w:pStyle w:val="naisf"/>
        <w:spacing w:before="0" w:after="0"/>
        <w:ind w:firstLine="0"/>
        <w:jc w:val="left"/>
      </w:pPr>
    </w:p>
    <w:p w:rsidR="00C555B5" w:rsidRPr="005D10D8" w:rsidRDefault="00C555B5" w:rsidP="00C555B5">
      <w:pPr>
        <w:pStyle w:val="naisf"/>
        <w:spacing w:before="0" w:after="0"/>
        <w:ind w:firstLine="0"/>
        <w:jc w:val="left"/>
      </w:pPr>
      <w:r w:rsidRPr="005D10D8">
        <w:t>Atbildīgā amatpersona</w:t>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proofErr w:type="spellStart"/>
      <w:r w:rsidR="00690308">
        <w:t>Dz.Peneze</w:t>
      </w:r>
      <w:proofErr w:type="spellEnd"/>
    </w:p>
    <w:p w:rsidR="00C555B5" w:rsidRPr="005D10D8" w:rsidRDefault="00C555B5" w:rsidP="00C555B5">
      <w:pPr>
        <w:pStyle w:val="naisf"/>
        <w:spacing w:before="0" w:after="0"/>
        <w:ind w:firstLine="0"/>
        <w:jc w:val="left"/>
      </w:pPr>
    </w:p>
    <w:p w:rsidR="00C555B5" w:rsidRPr="006D4701"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Dzintra Peneze</w:t>
      </w:r>
    </w:p>
    <w:p w:rsidR="00C555B5" w:rsidRPr="006D4701"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Pilsonības un migrācijas lietu pārvaldes</w:t>
      </w:r>
    </w:p>
    <w:p w:rsidR="00C555B5" w:rsidRPr="006D4701"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 xml:space="preserve">Personu apliecinošu dokumentu departamenta </w:t>
      </w:r>
    </w:p>
    <w:p w:rsidR="00690308" w:rsidRPr="006D4701"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Metodiskās vadības nodaļas vadītāja</w:t>
      </w:r>
    </w:p>
    <w:p w:rsidR="006A6743" w:rsidRPr="005D10D8" w:rsidRDefault="00C555B5">
      <w:r w:rsidRPr="006D4701">
        <w:rPr>
          <w:sz w:val="18"/>
          <w:szCs w:val="18"/>
        </w:rPr>
        <w:t>tālr. 6721</w:t>
      </w:r>
      <w:r w:rsidR="008F2449" w:rsidRPr="006D4701">
        <w:rPr>
          <w:sz w:val="18"/>
          <w:szCs w:val="18"/>
        </w:rPr>
        <w:t>9</w:t>
      </w:r>
      <w:r w:rsidR="00690308" w:rsidRPr="006D4701">
        <w:rPr>
          <w:sz w:val="18"/>
          <w:szCs w:val="18"/>
        </w:rPr>
        <w:t>521</w:t>
      </w:r>
      <w:r w:rsidR="008F2449" w:rsidRPr="006D4701">
        <w:rPr>
          <w:sz w:val="18"/>
          <w:szCs w:val="18"/>
        </w:rPr>
        <w:t xml:space="preserve">, </w:t>
      </w:r>
      <w:hyperlink r:id="rId8" w:history="1">
        <w:r w:rsidR="006A6743" w:rsidRPr="006D4701">
          <w:rPr>
            <w:rStyle w:val="Hyperlink"/>
            <w:sz w:val="18"/>
            <w:szCs w:val="18"/>
          </w:rPr>
          <w:t>Dzintra.Peneze@pmlp.gov.lv</w:t>
        </w:r>
      </w:hyperlink>
      <w:bookmarkStart w:id="0" w:name="_GoBack"/>
      <w:bookmarkEnd w:id="0"/>
    </w:p>
    <w:sectPr w:rsidR="006A6743" w:rsidRPr="005D10D8" w:rsidSect="00A84F6D">
      <w:headerReference w:type="even" r:id="rId9"/>
      <w:headerReference w:type="default" r:id="rId10"/>
      <w:footerReference w:type="default" r:id="rId11"/>
      <w:footerReference w:type="first" r:id="rId12"/>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85" w:rsidRDefault="00D6564D">
      <w:r>
        <w:separator/>
      </w:r>
    </w:p>
  </w:endnote>
  <w:endnote w:type="continuationSeparator" w:id="0">
    <w:p w:rsidR="00824085" w:rsidRDefault="00D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2C48E9" w:rsidRDefault="001B4E7E" w:rsidP="004D141E">
    <w:pPr>
      <w:pStyle w:val="Footer"/>
      <w:jc w:val="both"/>
      <w:rPr>
        <w:noProof/>
        <w:color w:val="000000"/>
        <w:sz w:val="20"/>
        <w:szCs w:val="20"/>
      </w:rPr>
    </w:pPr>
    <w:r>
      <w:rPr>
        <w:color w:val="000000"/>
        <w:sz w:val="20"/>
        <w:szCs w:val="20"/>
      </w:rPr>
      <w:t>IEMIzz_</w:t>
    </w:r>
    <w:r w:rsidR="0087205A">
      <w:rPr>
        <w:color w:val="000000"/>
        <w:sz w:val="20"/>
        <w:szCs w:val="20"/>
      </w:rPr>
      <w:t>0908</w:t>
    </w:r>
    <w:r w:rsidR="00E32F15">
      <w:rPr>
        <w:color w:val="000000"/>
        <w:sz w:val="20"/>
        <w:szCs w:val="20"/>
      </w:rPr>
      <w:t>19_PAD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08" w:rsidRPr="002C48E9" w:rsidRDefault="00E32F15" w:rsidP="00690308">
    <w:pPr>
      <w:pStyle w:val="Footer"/>
      <w:jc w:val="both"/>
      <w:rPr>
        <w:noProof/>
        <w:color w:val="000000"/>
        <w:sz w:val="20"/>
        <w:szCs w:val="20"/>
      </w:rPr>
    </w:pPr>
    <w:r>
      <w:rPr>
        <w:color w:val="000000"/>
        <w:sz w:val="20"/>
        <w:szCs w:val="20"/>
      </w:rPr>
      <w:t>IEMIzz_</w:t>
    </w:r>
    <w:r w:rsidR="0087205A">
      <w:rPr>
        <w:color w:val="000000"/>
        <w:sz w:val="20"/>
        <w:szCs w:val="20"/>
      </w:rPr>
      <w:t>0908</w:t>
    </w:r>
    <w:r>
      <w:rPr>
        <w:color w:val="000000"/>
        <w:sz w:val="20"/>
        <w:szCs w:val="20"/>
      </w:rPr>
      <w:t>19_PAD</w:t>
    </w:r>
  </w:p>
  <w:p w:rsidR="004A0829" w:rsidRPr="00690308" w:rsidRDefault="0098266D" w:rsidP="0069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85" w:rsidRDefault="00D6564D">
      <w:r>
        <w:separator/>
      </w:r>
    </w:p>
  </w:footnote>
  <w:footnote w:type="continuationSeparator" w:id="0">
    <w:p w:rsidR="00824085" w:rsidRDefault="00D6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829" w:rsidRDefault="00982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66D">
      <w:rPr>
        <w:rStyle w:val="PageNumber"/>
        <w:noProof/>
      </w:rPr>
      <w:t>6</w:t>
    </w:r>
    <w:r>
      <w:rPr>
        <w:rStyle w:val="PageNumber"/>
      </w:rPr>
      <w:fldChar w:fldCharType="end"/>
    </w:r>
  </w:p>
  <w:p w:rsidR="004A0829" w:rsidRDefault="00982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BB8"/>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C791E78"/>
    <w:multiLevelType w:val="hybridMultilevel"/>
    <w:tmpl w:val="3558C9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5F4B3D"/>
    <w:multiLevelType w:val="hybridMultilevel"/>
    <w:tmpl w:val="91169E90"/>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248B1C95"/>
    <w:multiLevelType w:val="hybridMultilevel"/>
    <w:tmpl w:val="851C0FA4"/>
    <w:lvl w:ilvl="0" w:tplc="16D6684E">
      <w:start w:val="1"/>
      <w:numFmt w:val="decimal"/>
      <w:lvlText w:val="%1."/>
      <w:lvlJc w:val="left"/>
      <w:pPr>
        <w:ind w:left="1080" w:hanging="360"/>
      </w:pPr>
      <w:rPr>
        <w:rFonts w:hint="default"/>
        <w:b/>
      </w:rPr>
    </w:lvl>
    <w:lvl w:ilvl="1" w:tplc="FBC8BE3A" w:tentative="1">
      <w:start w:val="1"/>
      <w:numFmt w:val="lowerLetter"/>
      <w:lvlText w:val="%2."/>
      <w:lvlJc w:val="left"/>
      <w:pPr>
        <w:ind w:left="1800" w:hanging="360"/>
      </w:pPr>
    </w:lvl>
    <w:lvl w:ilvl="2" w:tplc="5D7CE096" w:tentative="1">
      <w:start w:val="1"/>
      <w:numFmt w:val="lowerRoman"/>
      <w:lvlText w:val="%3."/>
      <w:lvlJc w:val="right"/>
      <w:pPr>
        <w:ind w:left="2520" w:hanging="180"/>
      </w:pPr>
    </w:lvl>
    <w:lvl w:ilvl="3" w:tplc="5C22D92A" w:tentative="1">
      <w:start w:val="1"/>
      <w:numFmt w:val="decimal"/>
      <w:lvlText w:val="%4."/>
      <w:lvlJc w:val="left"/>
      <w:pPr>
        <w:ind w:left="3240" w:hanging="360"/>
      </w:pPr>
    </w:lvl>
    <w:lvl w:ilvl="4" w:tplc="A4E0B838" w:tentative="1">
      <w:start w:val="1"/>
      <w:numFmt w:val="lowerLetter"/>
      <w:lvlText w:val="%5."/>
      <w:lvlJc w:val="left"/>
      <w:pPr>
        <w:ind w:left="3960" w:hanging="360"/>
      </w:pPr>
    </w:lvl>
    <w:lvl w:ilvl="5" w:tplc="CA8E4682" w:tentative="1">
      <w:start w:val="1"/>
      <w:numFmt w:val="lowerRoman"/>
      <w:lvlText w:val="%6."/>
      <w:lvlJc w:val="right"/>
      <w:pPr>
        <w:ind w:left="4680" w:hanging="180"/>
      </w:pPr>
    </w:lvl>
    <w:lvl w:ilvl="6" w:tplc="7786B050" w:tentative="1">
      <w:start w:val="1"/>
      <w:numFmt w:val="decimal"/>
      <w:lvlText w:val="%7."/>
      <w:lvlJc w:val="left"/>
      <w:pPr>
        <w:ind w:left="5400" w:hanging="360"/>
      </w:pPr>
    </w:lvl>
    <w:lvl w:ilvl="7" w:tplc="8496D2D4" w:tentative="1">
      <w:start w:val="1"/>
      <w:numFmt w:val="lowerLetter"/>
      <w:lvlText w:val="%8."/>
      <w:lvlJc w:val="left"/>
      <w:pPr>
        <w:ind w:left="6120" w:hanging="360"/>
      </w:pPr>
    </w:lvl>
    <w:lvl w:ilvl="8" w:tplc="BAF6E0A8" w:tentative="1">
      <w:start w:val="1"/>
      <w:numFmt w:val="lowerRoman"/>
      <w:lvlText w:val="%9."/>
      <w:lvlJc w:val="right"/>
      <w:pPr>
        <w:ind w:left="6840" w:hanging="180"/>
      </w:pPr>
    </w:lvl>
  </w:abstractNum>
  <w:abstractNum w:abstractNumId="4" w15:restartNumberingAfterBreak="0">
    <w:nsid w:val="27AA6C59"/>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286017CB"/>
    <w:multiLevelType w:val="multilevel"/>
    <w:tmpl w:val="1062F3AC"/>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FF2531"/>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3A175424"/>
    <w:multiLevelType w:val="hybridMultilevel"/>
    <w:tmpl w:val="3EB62E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8B3A40"/>
    <w:multiLevelType w:val="multilevel"/>
    <w:tmpl w:val="E38ABF4E"/>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F0276DF"/>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61997960"/>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6F1253C3"/>
    <w:multiLevelType w:val="multilevel"/>
    <w:tmpl w:val="3DD20D64"/>
    <w:lvl w:ilvl="0">
      <w:start w:val="1"/>
      <w:numFmt w:val="decimal"/>
      <w:lvlText w:val="%1."/>
      <w:lvlJc w:val="left"/>
      <w:pPr>
        <w:ind w:left="492" w:hanging="49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2"/>
  </w:num>
  <w:num w:numId="4">
    <w:abstractNumId w:val="11"/>
  </w:num>
  <w:num w:numId="5">
    <w:abstractNumId w:val="8"/>
  </w:num>
  <w:num w:numId="6">
    <w:abstractNumId w:val="0"/>
  </w:num>
  <w:num w:numId="7">
    <w:abstractNumId w:val="3"/>
  </w:num>
  <w:num w:numId="8">
    <w:abstractNumId w:val="5"/>
  </w:num>
  <w:num w:numId="9">
    <w:abstractNumId w:val="1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B5"/>
    <w:rsid w:val="00034648"/>
    <w:rsid w:val="000A2717"/>
    <w:rsid w:val="00184E82"/>
    <w:rsid w:val="001B4E7E"/>
    <w:rsid w:val="00240CB3"/>
    <w:rsid w:val="00256207"/>
    <w:rsid w:val="002D2AEC"/>
    <w:rsid w:val="003602C8"/>
    <w:rsid w:val="00396BFC"/>
    <w:rsid w:val="003A4D75"/>
    <w:rsid w:val="003C32A7"/>
    <w:rsid w:val="003D4DD3"/>
    <w:rsid w:val="003F5D8A"/>
    <w:rsid w:val="005569F5"/>
    <w:rsid w:val="005D10D8"/>
    <w:rsid w:val="00643E1C"/>
    <w:rsid w:val="00690308"/>
    <w:rsid w:val="006A6743"/>
    <w:rsid w:val="006C5EA1"/>
    <w:rsid w:val="006D4701"/>
    <w:rsid w:val="00712208"/>
    <w:rsid w:val="0074555C"/>
    <w:rsid w:val="007F40D3"/>
    <w:rsid w:val="00824085"/>
    <w:rsid w:val="0087205A"/>
    <w:rsid w:val="008E1505"/>
    <w:rsid w:val="008E608E"/>
    <w:rsid w:val="008E7F6C"/>
    <w:rsid w:val="008F2449"/>
    <w:rsid w:val="00925B44"/>
    <w:rsid w:val="0098266D"/>
    <w:rsid w:val="009B6FA6"/>
    <w:rsid w:val="00C01230"/>
    <w:rsid w:val="00C26EAD"/>
    <w:rsid w:val="00C555B5"/>
    <w:rsid w:val="00D6564D"/>
    <w:rsid w:val="00D77A8D"/>
    <w:rsid w:val="00E32F15"/>
    <w:rsid w:val="00E811C9"/>
    <w:rsid w:val="00EE6909"/>
    <w:rsid w:val="00F61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E268-C2E1-4688-BBA7-B2DCD55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5"/>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55B5"/>
    <w:pPr>
      <w:spacing w:before="100" w:beforeAutospacing="1" w:after="100" w:afterAutospacing="1"/>
    </w:pPr>
  </w:style>
  <w:style w:type="paragraph" w:customStyle="1" w:styleId="naisf">
    <w:name w:val="naisf"/>
    <w:basedOn w:val="Normal"/>
    <w:rsid w:val="00C555B5"/>
    <w:pPr>
      <w:spacing w:before="75" w:after="75"/>
      <w:ind w:firstLine="375"/>
      <w:jc w:val="both"/>
    </w:pPr>
  </w:style>
  <w:style w:type="paragraph" w:customStyle="1" w:styleId="naisnod">
    <w:name w:val="naisnod"/>
    <w:basedOn w:val="Normal"/>
    <w:uiPriority w:val="99"/>
    <w:rsid w:val="00C555B5"/>
    <w:pPr>
      <w:spacing w:before="150" w:after="150"/>
      <w:jc w:val="center"/>
    </w:pPr>
    <w:rPr>
      <w:b/>
      <w:bCs/>
    </w:rPr>
  </w:style>
  <w:style w:type="paragraph" w:customStyle="1" w:styleId="naiskr">
    <w:name w:val="naiskr"/>
    <w:basedOn w:val="Normal"/>
    <w:uiPriority w:val="99"/>
    <w:rsid w:val="00C555B5"/>
    <w:pPr>
      <w:spacing w:before="75" w:after="75"/>
    </w:pPr>
  </w:style>
  <w:style w:type="paragraph" w:customStyle="1" w:styleId="naisc">
    <w:name w:val="naisc"/>
    <w:basedOn w:val="Normal"/>
    <w:rsid w:val="00C555B5"/>
    <w:pPr>
      <w:spacing w:before="75" w:after="75"/>
      <w:jc w:val="center"/>
    </w:pPr>
  </w:style>
  <w:style w:type="paragraph" w:styleId="Header">
    <w:name w:val="header"/>
    <w:basedOn w:val="Normal"/>
    <w:link w:val="HeaderChar"/>
    <w:rsid w:val="00C555B5"/>
    <w:pPr>
      <w:tabs>
        <w:tab w:val="center" w:pos="4153"/>
        <w:tab w:val="right" w:pos="8306"/>
      </w:tabs>
    </w:pPr>
  </w:style>
  <w:style w:type="character" w:customStyle="1" w:styleId="HeaderChar">
    <w:name w:val="Header Char"/>
    <w:basedOn w:val="DefaultParagraphFont"/>
    <w:link w:val="Header"/>
    <w:uiPriority w:val="99"/>
    <w:rsid w:val="00C555B5"/>
    <w:rPr>
      <w:rFonts w:eastAsia="Times New Roman"/>
      <w:sz w:val="24"/>
      <w:szCs w:val="24"/>
      <w:lang w:eastAsia="lv-LV"/>
    </w:rPr>
  </w:style>
  <w:style w:type="character" w:styleId="PageNumber">
    <w:name w:val="page number"/>
    <w:uiPriority w:val="99"/>
    <w:rsid w:val="00C555B5"/>
    <w:rPr>
      <w:rFonts w:cs="Times New Roman"/>
    </w:rPr>
  </w:style>
  <w:style w:type="paragraph" w:styleId="Footer">
    <w:name w:val="footer"/>
    <w:basedOn w:val="Normal"/>
    <w:link w:val="FooterChar"/>
    <w:uiPriority w:val="99"/>
    <w:rsid w:val="00C555B5"/>
    <w:pPr>
      <w:tabs>
        <w:tab w:val="center" w:pos="4153"/>
        <w:tab w:val="right" w:pos="8306"/>
      </w:tabs>
    </w:pPr>
  </w:style>
  <w:style w:type="character" w:customStyle="1" w:styleId="FooterChar">
    <w:name w:val="Footer Char"/>
    <w:basedOn w:val="DefaultParagraphFont"/>
    <w:link w:val="Footer"/>
    <w:uiPriority w:val="99"/>
    <w:rsid w:val="00C555B5"/>
    <w:rPr>
      <w:rFonts w:eastAsia="Times New Roman"/>
      <w:sz w:val="24"/>
      <w:szCs w:val="24"/>
      <w:lang w:eastAsia="lv-LV"/>
    </w:rPr>
  </w:style>
  <w:style w:type="paragraph" w:styleId="ListParagraph">
    <w:name w:val="List Paragraph"/>
    <w:basedOn w:val="Normal"/>
    <w:qFormat/>
    <w:rsid w:val="00C555B5"/>
    <w:pPr>
      <w:ind w:left="720"/>
      <w:contextualSpacing/>
    </w:pPr>
    <w:rPr>
      <w:lang w:val="en-US" w:eastAsia="en-US"/>
    </w:rPr>
  </w:style>
  <w:style w:type="paragraph" w:styleId="BalloonText">
    <w:name w:val="Balloon Text"/>
    <w:basedOn w:val="Normal"/>
    <w:link w:val="BalloonTextChar"/>
    <w:uiPriority w:val="99"/>
    <w:semiHidden/>
    <w:unhideWhenUsed/>
    <w:rsid w:val="0064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1C"/>
    <w:rPr>
      <w:rFonts w:ascii="Segoe UI" w:eastAsia="Times New Roman" w:hAnsi="Segoe UI" w:cs="Segoe UI"/>
      <w:sz w:val="18"/>
      <w:szCs w:val="18"/>
      <w:lang w:eastAsia="lv-LV"/>
    </w:rPr>
  </w:style>
  <w:style w:type="character" w:customStyle="1" w:styleId="tvhtmlmktable">
    <w:name w:val="tv_html mk_table"/>
    <w:basedOn w:val="DefaultParagraphFont"/>
    <w:rsid w:val="007F40D3"/>
  </w:style>
  <w:style w:type="paragraph" w:styleId="NoSpacing">
    <w:name w:val="No Spacing"/>
    <w:uiPriority w:val="1"/>
    <w:qFormat/>
    <w:rsid w:val="007F40D3"/>
    <w:pPr>
      <w:spacing w:after="0" w:line="240" w:lineRule="auto"/>
    </w:pPr>
    <w:rPr>
      <w:rFonts w:asciiTheme="minorHAnsi" w:hAnsiTheme="minorHAnsi" w:cstheme="minorBidi"/>
      <w:sz w:val="22"/>
      <w:szCs w:val="22"/>
    </w:rPr>
  </w:style>
  <w:style w:type="paragraph" w:styleId="BodyText">
    <w:name w:val="Body Text"/>
    <w:basedOn w:val="Normal"/>
    <w:link w:val="BodyTextChar"/>
    <w:uiPriority w:val="99"/>
    <w:unhideWhenUsed/>
    <w:rsid w:val="00925B44"/>
    <w:pPr>
      <w:widowControl w:val="0"/>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925B44"/>
    <w:rPr>
      <w:rFonts w:ascii="Calibri" w:eastAsia="Calibri" w:hAnsi="Calibri"/>
      <w:sz w:val="22"/>
      <w:szCs w:val="22"/>
    </w:rPr>
  </w:style>
  <w:style w:type="paragraph" w:styleId="FootnoteText">
    <w:name w:val="footnote text"/>
    <w:basedOn w:val="Normal"/>
    <w:link w:val="FootnoteTextChar"/>
    <w:uiPriority w:val="99"/>
    <w:semiHidden/>
    <w:unhideWhenUsed/>
    <w:rsid w:val="005569F5"/>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569F5"/>
    <w:rPr>
      <w:rFonts w:ascii="Calibri" w:eastAsia="Calibri" w:hAnsi="Calibri"/>
      <w:sz w:val="20"/>
      <w:szCs w:val="20"/>
    </w:rPr>
  </w:style>
  <w:style w:type="character" w:styleId="FootnoteReference">
    <w:name w:val="footnote reference"/>
    <w:basedOn w:val="DefaultParagraphFont"/>
    <w:uiPriority w:val="99"/>
    <w:semiHidden/>
    <w:unhideWhenUsed/>
    <w:rsid w:val="005569F5"/>
    <w:rPr>
      <w:vertAlign w:val="superscript"/>
    </w:rPr>
  </w:style>
  <w:style w:type="character" w:customStyle="1" w:styleId="body1">
    <w:name w:val="body1"/>
    <w:rsid w:val="00E32F15"/>
    <w:rPr>
      <w:rFonts w:ascii="Verdana" w:hAnsi="Verdana" w:hint="default"/>
      <w:color w:val="000000"/>
      <w:sz w:val="14"/>
      <w:szCs w:val="14"/>
    </w:rPr>
  </w:style>
  <w:style w:type="character" w:styleId="Hyperlink">
    <w:name w:val="Hyperlink"/>
    <w:basedOn w:val="DefaultParagraphFont"/>
    <w:uiPriority w:val="99"/>
    <w:unhideWhenUsed/>
    <w:rsid w:val="006A6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Peneze@pmlp.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44579-noteikumi-par-valsts-nodevu-par-personu-apliecinosu-dokumentu-izsniegsan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7364</Words>
  <Characters>4198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Dzintra Peneze</cp:lastModifiedBy>
  <cp:revision>5</cp:revision>
  <cp:lastPrinted>2019-08-12T10:49:00Z</cp:lastPrinted>
  <dcterms:created xsi:type="dcterms:W3CDTF">2019-08-09T05:38:00Z</dcterms:created>
  <dcterms:modified xsi:type="dcterms:W3CDTF">2019-08-12T10:50:00Z</dcterms:modified>
</cp:coreProperties>
</file>