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CE8A" w14:textId="77777777" w:rsidR="000952B3" w:rsidRPr="006330A2" w:rsidRDefault="00B650B7" w:rsidP="001351FC">
      <w:pPr>
        <w:jc w:val="center"/>
        <w:rPr>
          <w:b/>
        </w:rPr>
      </w:pPr>
      <w:r w:rsidRPr="006330A2">
        <w:rPr>
          <w:b/>
        </w:rPr>
        <w:t>Ministru kabineta noteikumu projekta</w:t>
      </w:r>
    </w:p>
    <w:p w14:paraId="5393CE8B" w14:textId="77777777" w:rsidR="001351FC" w:rsidRPr="006330A2" w:rsidRDefault="00B650B7" w:rsidP="0015241F">
      <w:pPr>
        <w:jc w:val="center"/>
        <w:rPr>
          <w:b/>
        </w:rPr>
      </w:pPr>
      <w:r w:rsidRPr="006330A2">
        <w:rPr>
          <w:b/>
        </w:rPr>
        <w:t>“</w:t>
      </w:r>
      <w:r w:rsidR="00BB393B" w:rsidRPr="006330A2">
        <w:rPr>
          <w:b/>
        </w:rPr>
        <w:t>Grozījumi Ministru kabineta 201</w:t>
      </w:r>
      <w:r w:rsidR="0068381D" w:rsidRPr="006330A2">
        <w:rPr>
          <w:b/>
        </w:rPr>
        <w:t>8</w:t>
      </w:r>
      <w:r w:rsidR="00BB393B" w:rsidRPr="006330A2">
        <w:rPr>
          <w:b/>
        </w:rPr>
        <w:t xml:space="preserve">. gada </w:t>
      </w:r>
      <w:r w:rsidR="0068381D" w:rsidRPr="006330A2">
        <w:rPr>
          <w:b/>
        </w:rPr>
        <w:t>1</w:t>
      </w:r>
      <w:r w:rsidR="00BB393B" w:rsidRPr="006330A2">
        <w:rPr>
          <w:b/>
        </w:rPr>
        <w:t xml:space="preserve">6. </w:t>
      </w:r>
      <w:r w:rsidR="0068381D" w:rsidRPr="006330A2">
        <w:rPr>
          <w:b/>
        </w:rPr>
        <w:t>janvāra</w:t>
      </w:r>
      <w:r w:rsidR="00BB393B" w:rsidRPr="006330A2">
        <w:rPr>
          <w:b/>
        </w:rPr>
        <w:t xml:space="preserve"> noteikumos Nr. </w:t>
      </w:r>
      <w:r w:rsidR="0068381D" w:rsidRPr="006330A2">
        <w:rPr>
          <w:b/>
        </w:rPr>
        <w:t>41</w:t>
      </w:r>
      <w:r w:rsidR="00BB393B" w:rsidRPr="006330A2">
        <w:rPr>
          <w:b/>
        </w:rPr>
        <w:t xml:space="preserve"> </w:t>
      </w:r>
      <w:r w:rsidR="0068381D" w:rsidRPr="006330A2">
        <w:rPr>
          <w:b/>
        </w:rPr>
        <w:t xml:space="preserve">„Darbības programmas </w:t>
      </w:r>
      <w:r w:rsidR="00CC4378" w:rsidRPr="006330A2">
        <w:rPr>
          <w:b/>
        </w:rPr>
        <w:t>„</w:t>
      </w:r>
      <w:r w:rsidR="0068381D" w:rsidRPr="006330A2">
        <w:rPr>
          <w:b/>
        </w:rPr>
        <w:t>Izaugsme un nodarbinātība</w:t>
      </w:r>
      <w:r w:rsidR="00CC4378" w:rsidRPr="006330A2">
        <w:rPr>
          <w:b/>
        </w:rPr>
        <w:t xml:space="preserve">” </w:t>
      </w:r>
      <w:r w:rsidR="0068381D" w:rsidRPr="006330A2">
        <w:rPr>
          <w:b/>
        </w:rPr>
        <w:t xml:space="preserve">1.1.1. specifiskā atbalsta mērķa </w:t>
      </w:r>
      <w:r w:rsidR="00CC4378" w:rsidRPr="006330A2">
        <w:rPr>
          <w:b/>
        </w:rPr>
        <w:t>„</w:t>
      </w:r>
      <w:r w:rsidR="0068381D" w:rsidRPr="006330A2">
        <w:rPr>
          <w:b/>
        </w:rPr>
        <w:t>Palielināt Latvijas zinātnisko institūciju pētniecisko un inovatīvo kapacitāti un spēju piesaistīt ārējo finansējumu, ieguldot cilvēkresursos un infrastruktūrā</w:t>
      </w:r>
      <w:r w:rsidR="00CC4378" w:rsidRPr="006330A2">
        <w:rPr>
          <w:b/>
        </w:rPr>
        <w:t xml:space="preserve">” </w:t>
      </w:r>
      <w:r w:rsidR="0068381D" w:rsidRPr="006330A2">
        <w:rPr>
          <w:b/>
        </w:rPr>
        <w:t xml:space="preserve">1.1.1.3. pasākuma </w:t>
      </w:r>
      <w:r w:rsidR="00CC4378" w:rsidRPr="006330A2">
        <w:rPr>
          <w:b/>
        </w:rPr>
        <w:t>„</w:t>
      </w:r>
      <w:r w:rsidR="0068381D" w:rsidRPr="006330A2">
        <w:rPr>
          <w:b/>
        </w:rPr>
        <w:t>Inovāciju granti studentiem</w:t>
      </w:r>
      <w:r w:rsidR="00CC4378" w:rsidRPr="006330A2">
        <w:rPr>
          <w:b/>
        </w:rPr>
        <w:t xml:space="preserve">” </w:t>
      </w:r>
      <w:r w:rsidR="0068381D" w:rsidRPr="006330A2">
        <w:rPr>
          <w:b/>
        </w:rPr>
        <w:t>īstenošanas noteikumi””</w:t>
      </w:r>
      <w:r w:rsidR="00BB393B" w:rsidRPr="006330A2">
        <w:rPr>
          <w:b/>
        </w:rPr>
        <w:t xml:space="preserve"> </w:t>
      </w:r>
      <w:r w:rsidR="000952B3" w:rsidRPr="006330A2">
        <w:rPr>
          <w:b/>
        </w:rPr>
        <w:t>sākotnējās ietekmes novērtējuma ziņojums (anotācija)</w:t>
      </w:r>
    </w:p>
    <w:p w14:paraId="5393CE8C" w14:textId="77777777" w:rsidR="00C0715F" w:rsidRPr="006330A2" w:rsidRDefault="00C0715F" w:rsidP="00C0715F">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C0715F" w:rsidRPr="006330A2" w14:paraId="5393CE8E" w14:textId="77777777" w:rsidTr="00425A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93CE8D" w14:textId="77777777" w:rsidR="00C0715F" w:rsidRPr="006330A2" w:rsidRDefault="00C0715F" w:rsidP="00C0715F">
            <w:pPr>
              <w:jc w:val="center"/>
              <w:rPr>
                <w:b/>
                <w:bCs/>
                <w:iCs/>
              </w:rPr>
            </w:pPr>
            <w:r w:rsidRPr="006330A2">
              <w:rPr>
                <w:b/>
                <w:bCs/>
                <w:iCs/>
              </w:rPr>
              <w:t>Tiesību akta projekta anotācijas kopsavilkums</w:t>
            </w:r>
          </w:p>
        </w:tc>
      </w:tr>
      <w:tr w:rsidR="00C0715F" w:rsidRPr="006330A2" w14:paraId="5393CE97" w14:textId="77777777" w:rsidTr="00425A8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5393CE8F" w14:textId="77777777" w:rsidR="00C0715F" w:rsidRPr="006330A2" w:rsidRDefault="00C0715F" w:rsidP="00C0715F">
            <w:pPr>
              <w:rPr>
                <w:iCs/>
              </w:rPr>
            </w:pPr>
            <w:r w:rsidRPr="006330A2">
              <w:rPr>
                <w:iCs/>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393CE90" w14:textId="77777777" w:rsidR="00EB4F60" w:rsidRPr="006330A2" w:rsidRDefault="00C0715F" w:rsidP="002410D0">
            <w:pPr>
              <w:jc w:val="both"/>
              <w:rPr>
                <w:bCs/>
                <w:iCs/>
              </w:rPr>
            </w:pPr>
            <w:r w:rsidRPr="006330A2">
              <w:rPr>
                <w:bCs/>
                <w:iCs/>
              </w:rPr>
              <w:t xml:space="preserve">Tiesību akta </w:t>
            </w:r>
            <w:r w:rsidR="006B0620" w:rsidRPr="006330A2">
              <w:rPr>
                <w:bCs/>
                <w:iCs/>
              </w:rPr>
              <w:t>projekts sagatavots ar mērķi</w:t>
            </w:r>
            <w:r w:rsidR="00EB4F60" w:rsidRPr="006330A2">
              <w:rPr>
                <w:bCs/>
                <w:iCs/>
              </w:rPr>
              <w:t>:</w:t>
            </w:r>
          </w:p>
          <w:p w14:paraId="5393CE91" w14:textId="77777777" w:rsidR="002C02C2" w:rsidRPr="006330A2" w:rsidRDefault="002C1E65" w:rsidP="002C02C2">
            <w:pPr>
              <w:pStyle w:val="ListParagraph"/>
              <w:numPr>
                <w:ilvl w:val="0"/>
                <w:numId w:val="17"/>
              </w:numPr>
              <w:jc w:val="both"/>
              <w:rPr>
                <w:sz w:val="24"/>
                <w:szCs w:val="24"/>
              </w:rPr>
            </w:pPr>
            <w:r w:rsidRPr="006330A2">
              <w:rPr>
                <w:sz w:val="24"/>
                <w:szCs w:val="24"/>
              </w:rPr>
              <w:t>s</w:t>
            </w:r>
            <w:r w:rsidR="002C02C2" w:rsidRPr="006330A2">
              <w:rPr>
                <w:sz w:val="24"/>
                <w:szCs w:val="24"/>
              </w:rPr>
              <w:t xml:space="preserve">amazināt 1.1.1.3. pasākuma </w:t>
            </w:r>
            <w:r w:rsidR="00E74EE6" w:rsidRPr="006330A2">
              <w:rPr>
                <w:sz w:val="24"/>
                <w:szCs w:val="24"/>
              </w:rPr>
              <w:t xml:space="preserve">pieejamo </w:t>
            </w:r>
            <w:r w:rsidR="002C02C2" w:rsidRPr="006330A2">
              <w:rPr>
                <w:sz w:val="24"/>
                <w:szCs w:val="24"/>
              </w:rPr>
              <w:t>ERAF finansējumu</w:t>
            </w:r>
            <w:r w:rsidR="00E74EE6" w:rsidRPr="006330A2">
              <w:rPr>
                <w:sz w:val="24"/>
                <w:szCs w:val="24"/>
              </w:rPr>
              <w:t>,</w:t>
            </w:r>
            <w:r w:rsidR="002C02C2" w:rsidRPr="006330A2">
              <w:rPr>
                <w:sz w:val="24"/>
                <w:szCs w:val="24"/>
              </w:rPr>
              <w:t xml:space="preserve"> veicot ERAF finansējuma pārdali uz 1.1.1.4. pasākumu "P&amp;A infrastruktūras attīstīšana viedās specializācijas jomās un zinātnisko institūciju institucion</w:t>
            </w:r>
            <w:r w:rsidR="00E74EE6" w:rsidRPr="006330A2">
              <w:rPr>
                <w:sz w:val="24"/>
                <w:szCs w:val="24"/>
              </w:rPr>
              <w:t xml:space="preserve">ālās kapacitātes stiprināšana" </w:t>
            </w:r>
            <w:r w:rsidR="002C02C2" w:rsidRPr="006330A2">
              <w:rPr>
                <w:sz w:val="24"/>
                <w:szCs w:val="24"/>
              </w:rPr>
              <w:t>un 1.1.1.5. pasākumu “Atbalsts starptautiskās sadarbības projek</w:t>
            </w:r>
            <w:r w:rsidR="00E74EE6" w:rsidRPr="006330A2">
              <w:rPr>
                <w:sz w:val="24"/>
                <w:szCs w:val="24"/>
              </w:rPr>
              <w:t>tiem pētniecībā un inovācijās”</w:t>
            </w:r>
            <w:r w:rsidR="002C02C2" w:rsidRPr="006330A2">
              <w:rPr>
                <w:sz w:val="24"/>
                <w:szCs w:val="24"/>
              </w:rPr>
              <w:t>.</w:t>
            </w:r>
          </w:p>
          <w:p w14:paraId="5393CE92" w14:textId="77777777" w:rsidR="00C34AAE" w:rsidRPr="006330A2" w:rsidRDefault="006B0620" w:rsidP="00C34AAE">
            <w:pPr>
              <w:pStyle w:val="ListParagraph"/>
              <w:numPr>
                <w:ilvl w:val="0"/>
                <w:numId w:val="17"/>
              </w:numPr>
              <w:jc w:val="both"/>
              <w:rPr>
                <w:sz w:val="24"/>
                <w:szCs w:val="24"/>
              </w:rPr>
            </w:pPr>
            <w:r w:rsidRPr="006330A2">
              <w:rPr>
                <w:bCs/>
                <w:iCs/>
                <w:sz w:val="24"/>
                <w:szCs w:val="24"/>
              </w:rPr>
              <w:t xml:space="preserve">nodrošināt </w:t>
            </w:r>
            <w:r w:rsidR="00154340" w:rsidRPr="006330A2">
              <w:rPr>
                <w:bCs/>
                <w:iCs/>
                <w:sz w:val="24"/>
                <w:szCs w:val="24"/>
              </w:rPr>
              <w:t>Ministru kabineta noteikumu</w:t>
            </w:r>
            <w:r w:rsidR="00154340" w:rsidRPr="006330A2">
              <w:rPr>
                <w:b/>
                <w:bCs/>
                <w:iCs/>
                <w:sz w:val="24"/>
                <w:szCs w:val="24"/>
              </w:rPr>
              <w:t xml:space="preserve"> </w:t>
            </w:r>
            <w:r w:rsidRPr="006330A2">
              <w:rPr>
                <w:bCs/>
                <w:iCs/>
                <w:sz w:val="24"/>
                <w:szCs w:val="24"/>
              </w:rPr>
              <w:t xml:space="preserve">atbilstību nosacījumiem, ko paredz </w:t>
            </w:r>
            <w:r w:rsidR="00E4333B" w:rsidRPr="006330A2">
              <w:rPr>
                <w:bCs/>
                <w:iCs/>
                <w:sz w:val="24"/>
                <w:szCs w:val="24"/>
              </w:rPr>
              <w:t xml:space="preserve">izstrādātā </w:t>
            </w:r>
            <w:r w:rsidR="00C34AAE" w:rsidRPr="006330A2">
              <w:rPr>
                <w:bCs/>
                <w:iCs/>
                <w:sz w:val="24"/>
                <w:szCs w:val="24"/>
              </w:rPr>
              <w:t xml:space="preserve">vienkāršoto izmaksu </w:t>
            </w:r>
            <w:r w:rsidRPr="006330A2">
              <w:rPr>
                <w:bCs/>
                <w:iCs/>
                <w:sz w:val="24"/>
                <w:szCs w:val="24"/>
              </w:rPr>
              <w:t>metodika</w:t>
            </w:r>
            <w:r w:rsidR="00C34AAE" w:rsidRPr="006330A2">
              <w:rPr>
                <w:bCs/>
                <w:iCs/>
                <w:sz w:val="24"/>
                <w:szCs w:val="24"/>
              </w:rPr>
              <w:t>;</w:t>
            </w:r>
          </w:p>
          <w:p w14:paraId="5393CE93" w14:textId="77777777" w:rsidR="002410D0" w:rsidRPr="006330A2" w:rsidRDefault="004F7BE6" w:rsidP="00C34AAE">
            <w:pPr>
              <w:pStyle w:val="ListParagraph"/>
              <w:numPr>
                <w:ilvl w:val="0"/>
                <w:numId w:val="17"/>
              </w:numPr>
              <w:jc w:val="both"/>
              <w:rPr>
                <w:bCs/>
                <w:iCs/>
                <w:sz w:val="24"/>
                <w:szCs w:val="24"/>
              </w:rPr>
            </w:pPr>
            <w:r w:rsidRPr="006330A2">
              <w:rPr>
                <w:sz w:val="24"/>
                <w:szCs w:val="24"/>
              </w:rPr>
              <w:t>veikt tehnisku precizējumu, nodrošinot</w:t>
            </w:r>
            <w:r w:rsidR="00154340" w:rsidRPr="006330A2">
              <w:rPr>
                <w:sz w:val="24"/>
                <w:szCs w:val="24"/>
              </w:rPr>
              <w:t xml:space="preserve"> </w:t>
            </w:r>
            <w:r w:rsidR="002410D0" w:rsidRPr="006330A2">
              <w:rPr>
                <w:bCs/>
                <w:iCs/>
                <w:sz w:val="24"/>
                <w:szCs w:val="24"/>
              </w:rPr>
              <w:t>viennozīmīgu normu izpratni un piemērošanu ar noteikumiem par valsts budžeta līdzekļu plānošanu Eiropas Savienības struktūrfondu un Kohēzijas fonda projektu īstenošanai un maksājumu veikšanu 2014.–2020.gada plānošanas periodā, nemainot s</w:t>
            </w:r>
            <w:r w:rsidR="008B0A8C" w:rsidRPr="006330A2">
              <w:rPr>
                <w:bCs/>
                <w:iCs/>
                <w:sz w:val="24"/>
                <w:szCs w:val="24"/>
              </w:rPr>
              <w:t>ākotnējā normatīvā akta būtību;</w:t>
            </w:r>
            <w:r w:rsidR="002410D0" w:rsidRPr="006330A2">
              <w:rPr>
                <w:bCs/>
                <w:iCs/>
                <w:sz w:val="24"/>
                <w:szCs w:val="24"/>
              </w:rPr>
              <w:t xml:space="preserve">  </w:t>
            </w:r>
          </w:p>
          <w:p w14:paraId="5393CE94" w14:textId="77777777" w:rsidR="00CC6739" w:rsidRPr="006330A2" w:rsidRDefault="00CC6739" w:rsidP="004A7CE6">
            <w:pPr>
              <w:pStyle w:val="ListParagraph"/>
              <w:numPr>
                <w:ilvl w:val="0"/>
                <w:numId w:val="17"/>
              </w:numPr>
              <w:jc w:val="both"/>
              <w:rPr>
                <w:bCs/>
                <w:iCs/>
                <w:sz w:val="24"/>
                <w:szCs w:val="24"/>
              </w:rPr>
            </w:pPr>
            <w:r w:rsidRPr="006330A2">
              <w:rPr>
                <w:bCs/>
                <w:iCs/>
                <w:sz w:val="24"/>
                <w:szCs w:val="24"/>
              </w:rPr>
              <w:t xml:space="preserve">veikt tehnisku precizējumu par projekta īstenošanas personāla atlīdzības izmaksu definēšanu, </w:t>
            </w:r>
            <w:r w:rsidRPr="006330A2">
              <w:t xml:space="preserve">nodrošinot viennozīmīgu izpratni par ekspertu atlīdzības izmaksu attiecināšanu;  </w:t>
            </w:r>
          </w:p>
          <w:p w14:paraId="5393CE95" w14:textId="77777777" w:rsidR="00C0715F" w:rsidRPr="006330A2" w:rsidRDefault="004F7BE6" w:rsidP="00C34AAE">
            <w:pPr>
              <w:pStyle w:val="ListParagraph"/>
              <w:numPr>
                <w:ilvl w:val="0"/>
                <w:numId w:val="17"/>
              </w:numPr>
              <w:jc w:val="both"/>
              <w:rPr>
                <w:bCs/>
                <w:iCs/>
                <w:sz w:val="24"/>
                <w:szCs w:val="24"/>
              </w:rPr>
            </w:pPr>
            <w:r w:rsidRPr="006330A2">
              <w:rPr>
                <w:sz w:val="24"/>
                <w:szCs w:val="24"/>
              </w:rPr>
              <w:t>veikt tehnisku precizējumu</w:t>
            </w:r>
            <w:r w:rsidR="00FD4090" w:rsidRPr="006330A2">
              <w:rPr>
                <w:sz w:val="24"/>
                <w:szCs w:val="24"/>
              </w:rPr>
              <w:t xml:space="preserve"> par sadarbības partneru piesaistes nosacījumiem</w:t>
            </w:r>
            <w:r w:rsidRPr="006330A2">
              <w:rPr>
                <w:sz w:val="24"/>
                <w:szCs w:val="24"/>
              </w:rPr>
              <w:t xml:space="preserve">, </w:t>
            </w:r>
            <w:r w:rsidR="002C1E65" w:rsidRPr="006330A2">
              <w:rPr>
                <w:bCs/>
                <w:iCs/>
                <w:sz w:val="24"/>
                <w:szCs w:val="24"/>
              </w:rPr>
              <w:t xml:space="preserve">finansējuma saņēmējiem </w:t>
            </w:r>
            <w:r w:rsidRPr="006330A2">
              <w:rPr>
                <w:bCs/>
                <w:iCs/>
                <w:sz w:val="24"/>
                <w:szCs w:val="24"/>
              </w:rPr>
              <w:t>samazinot</w:t>
            </w:r>
            <w:r w:rsidR="00C34AAE" w:rsidRPr="006330A2">
              <w:rPr>
                <w:bCs/>
                <w:iCs/>
                <w:sz w:val="24"/>
                <w:szCs w:val="24"/>
              </w:rPr>
              <w:t xml:space="preserve"> administratīvo slogu attiecībā uz ārvalsts ekspertu piesaisti.</w:t>
            </w:r>
          </w:p>
          <w:p w14:paraId="5393CE96" w14:textId="77777777" w:rsidR="00C0715F" w:rsidRPr="006330A2" w:rsidRDefault="00C0715F" w:rsidP="00C0715F">
            <w:pPr>
              <w:jc w:val="both"/>
              <w:rPr>
                <w:bCs/>
                <w:iCs/>
              </w:rPr>
            </w:pPr>
            <w:r w:rsidRPr="006330A2">
              <w:rPr>
                <w:bCs/>
                <w:iCs/>
              </w:rPr>
              <w:t>Tiesību akta projekts stāsies spēkā Oficiālo publikāciju un tiesiskās informācijas likumā noteiktajā kārtībā.</w:t>
            </w:r>
          </w:p>
        </w:tc>
      </w:tr>
    </w:tbl>
    <w:p w14:paraId="5393CE98" w14:textId="77777777" w:rsidR="000952B3" w:rsidRPr="006330A2"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6330A2" w14:paraId="5393CE9A" w14:textId="77777777" w:rsidTr="00FA1BB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99"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 Tiesību akta projekta izstrādes nepieciešamība</w:t>
            </w:r>
          </w:p>
        </w:tc>
      </w:tr>
      <w:tr w:rsidR="00ED6931" w:rsidRPr="006330A2" w14:paraId="5393CEA1"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9B" w14:textId="77777777" w:rsidR="000952B3" w:rsidRPr="006330A2" w:rsidRDefault="00B650B7" w:rsidP="001351FC">
            <w:pPr>
              <w:jc w:val="center"/>
              <w:rPr>
                <w:lang w:eastAsia="en-US"/>
              </w:rPr>
            </w:pPr>
            <w:r w:rsidRPr="006330A2">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9C" w14:textId="77777777" w:rsidR="000952B3" w:rsidRPr="006330A2" w:rsidRDefault="00B650B7" w:rsidP="001351FC">
            <w:pPr>
              <w:tabs>
                <w:tab w:val="left" w:pos="1904"/>
              </w:tabs>
              <w:rPr>
                <w:lang w:eastAsia="en-US"/>
              </w:rPr>
            </w:pPr>
            <w:r w:rsidRPr="006330A2">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393CE9D" w14:textId="77777777" w:rsidR="00E4333B" w:rsidRPr="006330A2" w:rsidRDefault="00BE3645" w:rsidP="00F2618B">
            <w:pPr>
              <w:jc w:val="both"/>
              <w:rPr>
                <w:bCs/>
              </w:rPr>
            </w:pPr>
            <w:r w:rsidRPr="006330A2">
              <w:rPr>
                <w:bCs/>
              </w:rPr>
              <w:t xml:space="preserve">Eiropas Savienības struktūrfondu un Kohēzijas fonda 2014.–2020. gada plānošanas perioda vadības likuma 20. panta 6. un 13. </w:t>
            </w:r>
            <w:r w:rsidR="008C3662" w:rsidRPr="006330A2">
              <w:rPr>
                <w:bCs/>
              </w:rPr>
              <w:t>punkts</w:t>
            </w:r>
            <w:r w:rsidRPr="006330A2">
              <w:rPr>
                <w:bCs/>
              </w:rPr>
              <w:t>.</w:t>
            </w:r>
            <w:r w:rsidR="00F2618B" w:rsidRPr="006330A2">
              <w:rPr>
                <w:bCs/>
              </w:rPr>
              <w:t xml:space="preserve"> </w:t>
            </w:r>
          </w:p>
          <w:p w14:paraId="5393CE9E" w14:textId="77777777" w:rsidR="002410D0" w:rsidRPr="006330A2" w:rsidRDefault="002410D0" w:rsidP="00F2618B">
            <w:pPr>
              <w:jc w:val="both"/>
            </w:pPr>
            <w:r w:rsidRPr="006330A2">
              <w:t>Izglītības un zinātnes ministrijas izstrādāta</w:t>
            </w:r>
            <w:r w:rsidR="00F2618B" w:rsidRPr="006330A2">
              <w:t xml:space="preserve"> </w:t>
            </w:r>
            <w:r w:rsidR="00F2618B" w:rsidRPr="006330A2">
              <w:rPr>
                <w:rFonts w:eastAsia="Times New Roman"/>
                <w:bCs/>
                <w:iCs/>
              </w:rPr>
              <w:t>m</w:t>
            </w:r>
            <w:r w:rsidR="00F2618B" w:rsidRPr="006330A2">
              <w:rPr>
                <w:rFonts w:eastAsia="Times New Roman"/>
                <w:iCs/>
              </w:rPr>
              <w:t>etodik</w:t>
            </w:r>
            <w:r w:rsidRPr="006330A2">
              <w:rPr>
                <w:rFonts w:eastAsia="Times New Roman"/>
                <w:iCs/>
              </w:rPr>
              <w:t>a</w:t>
            </w:r>
            <w:r w:rsidR="00F2618B" w:rsidRPr="006330A2">
              <w:rPr>
                <w:rFonts w:eastAsia="Times New Roman"/>
                <w:iCs/>
              </w:rPr>
              <w:t xml:space="preserve"> „</w:t>
            </w:r>
            <w:r w:rsidR="00976B05" w:rsidRPr="006330A2">
              <w:rPr>
                <w:rFonts w:eastAsia="Times New Roman"/>
                <w:iCs/>
              </w:rPr>
              <w:t xml:space="preserve">Vienreizējā maksājuma piemērošanas metodika studentu inovāciju pieteikumu īstenošanai darbības programmas “Izaugsme un nodarbinātība” 1.1.1. specifiskā atbalsta </w:t>
            </w:r>
            <w:r w:rsidR="00976B05" w:rsidRPr="006330A2">
              <w:rPr>
                <w:rFonts w:eastAsia="Times New Roman"/>
                <w:iCs/>
              </w:rPr>
              <w:lastRenderedPageBreak/>
              <w:t>mērķa “Palielināt Latvijas zinātnisko institūciju pētniecisko un inovatīvo kapacitāti un spēju piesaistīt ārējo finansējumu, ieguldot cilvēkresursos un infrastruktūrā”</w:t>
            </w:r>
            <w:r w:rsidR="00F2618B" w:rsidRPr="006330A2">
              <w:rPr>
                <w:rFonts w:eastAsia="Times New Roman"/>
                <w:iCs/>
              </w:rPr>
              <w:t xml:space="preserve"> 1.1.1.3. pasākuma “Inovāciju granti studentiem” pirmās projektu iesniegumu atlases kārtas īstenošanai” (turpmāk – </w:t>
            </w:r>
            <w:r w:rsidR="00F2618B" w:rsidRPr="006330A2">
              <w:t>Metodika)</w:t>
            </w:r>
            <w:r w:rsidRPr="006330A2">
              <w:t>.</w:t>
            </w:r>
            <w:r w:rsidR="00F2618B" w:rsidRPr="006330A2">
              <w:t xml:space="preserve"> </w:t>
            </w:r>
          </w:p>
          <w:p w14:paraId="5393CE9F" w14:textId="77777777" w:rsidR="005C1803" w:rsidRPr="006330A2" w:rsidRDefault="002410D0">
            <w:pPr>
              <w:jc w:val="both"/>
            </w:pPr>
            <w:r w:rsidRPr="006330A2">
              <w:t>Ministru kabineta 2015.gada 17.marta noteikumi Nr.130 „Noteikumi par valsts budžeta līdzekļu plānošanu Eiropas Savienības struktūrfondu un Kohēzijas fonda projektu īstenošanai un maksājumu veikšanu 2014.–2020.gada plānošanas periodā”.</w:t>
            </w:r>
          </w:p>
          <w:p w14:paraId="5393CEA0" w14:textId="77777777" w:rsidR="00715219" w:rsidRPr="006330A2" w:rsidRDefault="00D02524" w:rsidP="00D02524">
            <w:pPr>
              <w:jc w:val="both"/>
            </w:pPr>
            <w:r w:rsidRPr="006330A2">
              <w:t>Ministru kabineta 2018.gada 16.oktobra sēdes protokola Nr.48 31.§</w:t>
            </w:r>
            <w:r w:rsidR="005F0049" w:rsidRPr="006330A2">
              <w:t>, 7</w:t>
            </w:r>
            <w:r w:rsidRPr="006330A2">
              <w:t>.2. apakšpunkts.</w:t>
            </w:r>
          </w:p>
        </w:tc>
      </w:tr>
      <w:tr w:rsidR="00ED6931" w:rsidRPr="006330A2" w14:paraId="5393CEEB"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A2" w14:textId="77777777" w:rsidR="00055596" w:rsidRPr="006330A2" w:rsidRDefault="00B650B7" w:rsidP="001351FC">
            <w:pPr>
              <w:jc w:val="center"/>
              <w:rPr>
                <w:lang w:eastAsia="en-US"/>
              </w:rPr>
            </w:pPr>
            <w:r w:rsidRPr="006330A2">
              <w:lastRenderedPageBreak/>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A3" w14:textId="77777777" w:rsidR="00055596" w:rsidRPr="006330A2" w:rsidRDefault="00B650B7" w:rsidP="001351FC">
            <w:pPr>
              <w:jc w:val="both"/>
              <w:rPr>
                <w:lang w:eastAsia="en-US"/>
              </w:rPr>
            </w:pPr>
            <w:r w:rsidRPr="006330A2">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393CEA4" w14:textId="77777777" w:rsidR="00DC7F58" w:rsidRPr="006330A2" w:rsidRDefault="00264BEF" w:rsidP="00CA60C1">
            <w:pPr>
              <w:jc w:val="both"/>
            </w:pPr>
            <w:r w:rsidRPr="006330A2">
              <w:rPr>
                <w:rFonts w:eastAsia="Times New Roman"/>
                <w:bCs/>
                <w:iCs/>
              </w:rPr>
              <w:t xml:space="preserve">Ministru kabineta 2018. gada 16. janvāra noteikumu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w:t>
            </w:r>
            <w:r w:rsidR="00F80A37" w:rsidRPr="006330A2">
              <w:t>MK noteikumi Nr.</w:t>
            </w:r>
            <w:r w:rsidR="002810D0" w:rsidRPr="006330A2">
              <w:t xml:space="preserve"> </w:t>
            </w:r>
            <w:r w:rsidR="00F80A37" w:rsidRPr="006330A2">
              <w:t>41</w:t>
            </w:r>
            <w:r w:rsidRPr="006330A2">
              <w:t>)</w:t>
            </w:r>
            <w:r w:rsidR="00F80A37" w:rsidRPr="006330A2">
              <w:t xml:space="preserve"> cita starpā nosaka Eiropas Reģionālās attīstības fonda </w:t>
            </w:r>
            <w:r w:rsidR="00857FE1" w:rsidRPr="006330A2">
              <w:t xml:space="preserve">(turpmāk - ERAF) </w:t>
            </w:r>
            <w:r w:rsidR="00F80A37" w:rsidRPr="006330A2">
              <w:t>projektu ī</w:t>
            </w:r>
            <w:r w:rsidR="001D594C" w:rsidRPr="006330A2">
              <w:t xml:space="preserve">stenošanas kārtību, tai skaitā </w:t>
            </w:r>
            <w:r w:rsidR="00AE438A" w:rsidRPr="006330A2">
              <w:t>pasākumam pieejamo finansējumu,</w:t>
            </w:r>
            <w:r w:rsidR="00F80A37" w:rsidRPr="006330A2">
              <w:t xml:space="preserve">  atbalstāmo darbību un izmaksu </w:t>
            </w:r>
            <w:proofErr w:type="spellStart"/>
            <w:r w:rsidR="00F80A37" w:rsidRPr="006330A2">
              <w:t>attiecināmības</w:t>
            </w:r>
            <w:proofErr w:type="spellEnd"/>
            <w:r w:rsidR="00F80A37" w:rsidRPr="006330A2">
              <w:t xml:space="preserve"> nosacījumus</w:t>
            </w:r>
            <w:r w:rsidR="00933CCC" w:rsidRPr="006330A2">
              <w:t xml:space="preserve">, prasības </w:t>
            </w:r>
            <w:r w:rsidR="00857FE1" w:rsidRPr="006330A2">
              <w:t>ERAF</w:t>
            </w:r>
            <w:r w:rsidR="00933CCC" w:rsidRPr="006330A2">
              <w:t xml:space="preserve"> projekta iesniedzējam un projekta sadarbības partneriem</w:t>
            </w:r>
            <w:r w:rsidR="00154340" w:rsidRPr="006330A2">
              <w:t>, kā arī</w:t>
            </w:r>
            <w:r w:rsidR="00F80A37" w:rsidRPr="006330A2">
              <w:t xml:space="preserve"> vienkāršoto izmaksu piemērošanas nosacījumus un kārtību. </w:t>
            </w:r>
          </w:p>
          <w:p w14:paraId="5393CEA5" w14:textId="77777777" w:rsidR="00933CCC" w:rsidRPr="006330A2" w:rsidRDefault="000D5592" w:rsidP="00933CCC">
            <w:pPr>
              <w:jc w:val="both"/>
            </w:pPr>
            <w:r w:rsidRPr="006330A2">
              <w:rPr>
                <w:bCs/>
              </w:rPr>
              <w:t>Ministru kabineta noteikumu projekts „Grozījumi Ministru kabineta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 noteikumu projekts)</w:t>
            </w:r>
            <w:r w:rsidR="00933CCC" w:rsidRPr="006330A2">
              <w:t xml:space="preserve"> paredz precizēt </w:t>
            </w:r>
            <w:r w:rsidR="00976B05" w:rsidRPr="006330A2">
              <w:rPr>
                <w:rFonts w:eastAsia="Times New Roman"/>
                <w:iCs/>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w:t>
            </w:r>
            <w:r w:rsidR="00976B05" w:rsidRPr="006330A2">
              <w:t xml:space="preserve">1.1.1.3. pasākuma </w:t>
            </w:r>
            <w:r w:rsidR="00976B05" w:rsidRPr="006330A2">
              <w:rPr>
                <w:bCs/>
              </w:rPr>
              <w:t>„Inovāciju granti studentiem”</w:t>
            </w:r>
            <w:r w:rsidR="00976B05" w:rsidRPr="006330A2">
              <w:t xml:space="preserve"> (turpmāk – 1.1.1.3. pasākums) </w:t>
            </w:r>
            <w:r w:rsidR="00933CCC" w:rsidRPr="006330A2">
              <w:t>īstenošanas nosacījumus:</w:t>
            </w:r>
            <w:r w:rsidR="00976B05" w:rsidRPr="006330A2">
              <w:t xml:space="preserve"> </w:t>
            </w:r>
          </w:p>
          <w:p w14:paraId="5393CEA6" w14:textId="77777777" w:rsidR="0094122F" w:rsidRPr="006330A2" w:rsidRDefault="0094122F" w:rsidP="00933CCC">
            <w:pPr>
              <w:jc w:val="both"/>
            </w:pPr>
          </w:p>
          <w:p w14:paraId="5393CEA7" w14:textId="77777777" w:rsidR="00572A0C" w:rsidRPr="006330A2" w:rsidRDefault="00250266">
            <w:pPr>
              <w:jc w:val="both"/>
            </w:pPr>
            <w:r w:rsidRPr="006330A2">
              <w:t xml:space="preserve">1. </w:t>
            </w:r>
            <w:r w:rsidR="00EA1331" w:rsidRPr="006330A2">
              <w:rPr>
                <w:b/>
              </w:rPr>
              <w:t>S</w:t>
            </w:r>
            <w:r w:rsidRPr="006330A2">
              <w:rPr>
                <w:b/>
              </w:rPr>
              <w:t xml:space="preserve">amazināt </w:t>
            </w:r>
            <w:r w:rsidR="002C02C2" w:rsidRPr="006330A2">
              <w:rPr>
                <w:b/>
              </w:rPr>
              <w:t xml:space="preserve">1.1.1.3. pasākuma ERAF </w:t>
            </w:r>
            <w:r w:rsidR="00572A0C" w:rsidRPr="006330A2">
              <w:rPr>
                <w:b/>
              </w:rPr>
              <w:t xml:space="preserve">finansējumu par </w:t>
            </w:r>
            <w:r w:rsidR="00DF00B4" w:rsidRPr="006330A2">
              <w:rPr>
                <w:b/>
              </w:rPr>
              <w:t xml:space="preserve">8 364 342 </w:t>
            </w:r>
            <w:r w:rsidR="00572A0C" w:rsidRPr="006330A2">
              <w:rPr>
                <w:b/>
              </w:rPr>
              <w:t>EUR,</w:t>
            </w:r>
            <w:r w:rsidR="00572A0C" w:rsidRPr="006330A2">
              <w:t xml:space="preserve"> </w:t>
            </w:r>
            <w:r w:rsidR="00572A0C" w:rsidRPr="006330A2">
              <w:rPr>
                <w:b/>
              </w:rPr>
              <w:t>veicot ERAF finansējuma pārdali</w:t>
            </w:r>
            <w:r w:rsidR="00572A0C" w:rsidRPr="006330A2">
              <w:t xml:space="preserve"> uz 1.1.1.4. pasākumu "P&amp;A infrastruktūras attīstīšana viedās specializācijas jomās un zinātnisko institūciju institucionālās kapacitātes stiprināšana" (turpmāk - 1.1.1.4. pasākums) un 1.1.1.5. pasākumu “Atbalsts starptautiskās sadarbības projektiem pētniecībā un inovācijās” (turpmāk – 1.1.1.5. pasākums)</w:t>
            </w:r>
            <w:r w:rsidR="004F0E90" w:rsidRPr="006330A2">
              <w:t xml:space="preserve">. </w:t>
            </w:r>
          </w:p>
          <w:p w14:paraId="5393CEA8" w14:textId="77777777" w:rsidR="009B31DC" w:rsidRPr="006330A2" w:rsidRDefault="009B31DC" w:rsidP="009B31DC">
            <w:pPr>
              <w:jc w:val="both"/>
            </w:pPr>
            <w:r w:rsidRPr="006330A2">
              <w:t>2018. gadā tika izsludināta pirmā 1.1.1.3. pasākuma projektu iesniegumu atlases kārta</w:t>
            </w:r>
            <w:r w:rsidR="00127A5B" w:rsidRPr="006330A2">
              <w:t xml:space="preserve"> par publisko finansējumu </w:t>
            </w:r>
            <w:r w:rsidR="00127A5B" w:rsidRPr="006330A2">
              <w:lastRenderedPageBreak/>
              <w:t>19</w:t>
            </w:r>
            <w:r w:rsidR="004D2F5B" w:rsidRPr="006330A2">
              <w:t> </w:t>
            </w:r>
            <w:r w:rsidR="00127A5B" w:rsidRPr="006330A2">
              <w:t>850</w:t>
            </w:r>
            <w:r w:rsidR="004D2F5B" w:rsidRPr="006330A2">
              <w:t> </w:t>
            </w:r>
            <w:r w:rsidR="00127A5B" w:rsidRPr="006330A2">
              <w:t xml:space="preserve">697 </w:t>
            </w:r>
            <w:proofErr w:type="spellStart"/>
            <w:r w:rsidR="00127A5B" w:rsidRPr="006330A2">
              <w:rPr>
                <w:i/>
              </w:rPr>
              <w:t>euro</w:t>
            </w:r>
            <w:proofErr w:type="spellEnd"/>
            <w:r w:rsidR="00127A5B" w:rsidRPr="006330A2">
              <w:t>.</w:t>
            </w:r>
            <w:r w:rsidRPr="006330A2">
              <w:t xml:space="preserve"> </w:t>
            </w:r>
            <w:r w:rsidR="00127A5B" w:rsidRPr="006330A2">
              <w:t>Tā</w:t>
            </w:r>
            <w:r w:rsidRPr="006330A2">
              <w:t xml:space="preserve">s </w:t>
            </w:r>
            <w:r w:rsidR="00127A5B" w:rsidRPr="006330A2">
              <w:t xml:space="preserve">ietvaros </w:t>
            </w:r>
            <w:r w:rsidRPr="006330A2">
              <w:t xml:space="preserve">tika iesniegti septiņi projektu iesniegumi </w:t>
            </w:r>
            <w:r w:rsidR="00C3096B" w:rsidRPr="006330A2">
              <w:t>p</w:t>
            </w:r>
            <w:r w:rsidRPr="006330A2">
              <w:t xml:space="preserve">ar kopējo attiecināmo finansējumu 15 milj. </w:t>
            </w:r>
            <w:proofErr w:type="spellStart"/>
            <w:r w:rsidRPr="006330A2">
              <w:rPr>
                <w:i/>
              </w:rPr>
              <w:t>euro</w:t>
            </w:r>
            <w:proofErr w:type="spellEnd"/>
            <w:r w:rsidRPr="006330A2">
              <w:t xml:space="preserve"> (tai skaitā ERAF finansējums 11,3 milj. </w:t>
            </w:r>
            <w:proofErr w:type="spellStart"/>
            <w:r w:rsidRPr="006330A2">
              <w:rPr>
                <w:i/>
              </w:rPr>
              <w:t>euro</w:t>
            </w:r>
            <w:proofErr w:type="spellEnd"/>
            <w:r w:rsidRPr="006330A2">
              <w:t xml:space="preserve"> un privātais līdzfinansējums 3,7 milj. </w:t>
            </w:r>
            <w:proofErr w:type="spellStart"/>
            <w:r w:rsidRPr="006330A2">
              <w:rPr>
                <w:i/>
              </w:rPr>
              <w:t>euro</w:t>
            </w:r>
            <w:proofErr w:type="spellEnd"/>
            <w:r w:rsidRPr="006330A2">
              <w:t xml:space="preserve">). Uz 2019.gada 4. </w:t>
            </w:r>
            <w:r w:rsidR="00E30783" w:rsidRPr="006330A2">
              <w:t>jū</w:t>
            </w:r>
            <w:r w:rsidR="00B23397">
              <w:t>l</w:t>
            </w:r>
            <w:r w:rsidR="00E30783" w:rsidRPr="006330A2">
              <w:t>iju</w:t>
            </w:r>
            <w:r w:rsidRPr="006330A2">
              <w:t xml:space="preserve"> </w:t>
            </w:r>
            <w:r w:rsidR="00B23397">
              <w:t>trīs</w:t>
            </w:r>
            <w:r w:rsidR="00B23397" w:rsidRPr="006330A2">
              <w:t xml:space="preserve"> </w:t>
            </w:r>
            <w:r w:rsidR="00C3096B" w:rsidRPr="006330A2">
              <w:t>projekta iesniegum</w:t>
            </w:r>
            <w:r w:rsidR="005E5301" w:rsidRPr="006330A2">
              <w:t>i</w:t>
            </w:r>
            <w:r w:rsidR="00C3096B" w:rsidRPr="006330A2">
              <w:t xml:space="preserve"> ir apstiprināt</w:t>
            </w:r>
            <w:r w:rsidR="005E5301" w:rsidRPr="006330A2">
              <w:t>i</w:t>
            </w:r>
            <w:r w:rsidR="00C3096B" w:rsidRPr="006330A2">
              <w:t xml:space="preserve">, </w:t>
            </w:r>
            <w:r w:rsidR="00480450" w:rsidRPr="006330A2">
              <w:t>divi ir</w:t>
            </w:r>
            <w:r w:rsidR="00C3096B" w:rsidRPr="006330A2">
              <w:t xml:space="preserve"> noraidīt</w:t>
            </w:r>
            <w:r w:rsidR="00480450" w:rsidRPr="006330A2">
              <w:t>i</w:t>
            </w:r>
            <w:r w:rsidR="00C3096B" w:rsidRPr="006330A2">
              <w:t xml:space="preserve">, kā arī </w:t>
            </w:r>
            <w:r w:rsidR="00B23397">
              <w:t>diviem</w:t>
            </w:r>
            <w:r w:rsidR="00B23397" w:rsidRPr="006330A2">
              <w:t xml:space="preserve"> </w:t>
            </w:r>
            <w:r w:rsidR="004D2F5B" w:rsidRPr="006330A2">
              <w:t xml:space="preserve">projektu iesniegumiem </w:t>
            </w:r>
            <w:r w:rsidRPr="006330A2">
              <w:t xml:space="preserve">notiek nosacījumu izpildes vērtēšana. </w:t>
            </w:r>
            <w:r w:rsidR="00127A5B" w:rsidRPr="006330A2">
              <w:t>P</w:t>
            </w:r>
            <w:r w:rsidR="00C3096B" w:rsidRPr="006330A2">
              <w:t>ašreiz indikatīvais pirmās kārtas ietvaros iesniegto un vērtēšanā esošo projekt</w:t>
            </w:r>
            <w:r w:rsidR="00127A5B" w:rsidRPr="006330A2">
              <w:t>u</w:t>
            </w:r>
            <w:r w:rsidR="00C3096B" w:rsidRPr="006330A2">
              <w:t xml:space="preserve"> </w:t>
            </w:r>
            <w:r w:rsidR="004D2F5B" w:rsidRPr="006330A2">
              <w:t>iesniegumu</w:t>
            </w:r>
            <w:r w:rsidR="00C3096B" w:rsidRPr="006330A2">
              <w:t xml:space="preserve"> </w:t>
            </w:r>
            <w:r w:rsidR="00127A5B" w:rsidRPr="006330A2">
              <w:t xml:space="preserve">publiskais finansējums (ERAF) </w:t>
            </w:r>
            <w:r w:rsidR="000E0083" w:rsidRPr="006330A2">
              <w:t>sastāda</w:t>
            </w:r>
            <w:r w:rsidR="00127A5B" w:rsidRPr="006330A2">
              <w:t xml:space="preserve"> </w:t>
            </w:r>
            <w:r w:rsidR="00480450" w:rsidRPr="006330A2">
              <w:t>10 690 671</w:t>
            </w:r>
            <w:r w:rsidR="00480450" w:rsidRPr="006330A2" w:rsidDel="00480450">
              <w:t xml:space="preserve"> </w:t>
            </w:r>
            <w:proofErr w:type="spellStart"/>
            <w:r w:rsidR="00127A5B" w:rsidRPr="006330A2">
              <w:rPr>
                <w:i/>
              </w:rPr>
              <w:t>euro</w:t>
            </w:r>
            <w:proofErr w:type="spellEnd"/>
            <w:r w:rsidR="000E0083" w:rsidRPr="006330A2">
              <w:t xml:space="preserve">, veidojot </w:t>
            </w:r>
            <w:r w:rsidR="00480450" w:rsidRPr="006330A2">
              <w:t>9 160 026</w:t>
            </w:r>
            <w:r w:rsidR="00480450" w:rsidRPr="006330A2" w:rsidDel="00480450">
              <w:t xml:space="preserve"> </w:t>
            </w:r>
            <w:proofErr w:type="spellStart"/>
            <w:r w:rsidR="000E0083" w:rsidRPr="00D53002">
              <w:rPr>
                <w:i/>
              </w:rPr>
              <w:t>euro</w:t>
            </w:r>
            <w:proofErr w:type="spellEnd"/>
            <w:r w:rsidR="000E0083" w:rsidRPr="00D53002">
              <w:t xml:space="preserve"> </w:t>
            </w:r>
            <w:r w:rsidR="000E0083" w:rsidRPr="006330A2">
              <w:t xml:space="preserve">publiskā finansējuma ietaupījumu. </w:t>
            </w:r>
            <w:r w:rsidRPr="006330A2">
              <w:t>Plānots, ka vienošanās par projektu īstenošanu ar projekta iesniedzējiem tiks slēgtas 2019. gada 2. – 3. ceturksnī</w:t>
            </w:r>
            <w:r w:rsidR="00C3096B" w:rsidRPr="006330A2">
              <w:t>,</w:t>
            </w:r>
            <w:r w:rsidRPr="006330A2">
              <w:t xml:space="preserve"> un </w:t>
            </w:r>
            <w:r w:rsidR="00C3096B" w:rsidRPr="006330A2">
              <w:t xml:space="preserve">noteikumu projektā </w:t>
            </w:r>
            <w:r w:rsidRPr="006330A2">
              <w:t xml:space="preserve">atlases kārtai paredzētais finansējuma apmērs ir pietiekams, lai noslēgtu visas </w:t>
            </w:r>
            <w:r w:rsidR="00E813D6" w:rsidRPr="006330A2">
              <w:t xml:space="preserve">piecas </w:t>
            </w:r>
            <w:r w:rsidRPr="006330A2">
              <w:t>vienošanās par projektu īstenošanu</w:t>
            </w:r>
            <w:r w:rsidR="004D2F5B" w:rsidRPr="006330A2">
              <w:t xml:space="preserve"> to apstiprināšanas gadījumā</w:t>
            </w:r>
            <w:r w:rsidRPr="006330A2">
              <w:t xml:space="preserve">. </w:t>
            </w:r>
          </w:p>
          <w:p w14:paraId="5393CEA9" w14:textId="77777777" w:rsidR="000E0083" w:rsidRPr="006330A2" w:rsidRDefault="000E0083" w:rsidP="009B31DC">
            <w:pPr>
              <w:jc w:val="both"/>
            </w:pPr>
            <w:r w:rsidRPr="006330A2">
              <w:t xml:space="preserve">Noteikumu projekts paredz 1.1.1.3. pasākuma publiskā finansējuma </w:t>
            </w:r>
            <w:r w:rsidR="00570429" w:rsidRPr="006330A2">
              <w:t xml:space="preserve">samazinājumu, veicot šādas finanšu </w:t>
            </w:r>
            <w:r w:rsidRPr="006330A2">
              <w:t>pārdal</w:t>
            </w:r>
            <w:r w:rsidR="00570429" w:rsidRPr="006330A2">
              <w:t>es</w:t>
            </w:r>
            <w:r w:rsidRPr="006330A2">
              <w:t xml:space="preserve">: </w:t>
            </w:r>
          </w:p>
          <w:p w14:paraId="5393CEAA" w14:textId="77777777" w:rsidR="005C32FD" w:rsidRPr="006330A2" w:rsidRDefault="005C32FD" w:rsidP="00CE37EE">
            <w:pPr>
              <w:jc w:val="both"/>
            </w:pPr>
          </w:p>
          <w:p w14:paraId="5393CEAB" w14:textId="77777777" w:rsidR="00AD11CF" w:rsidRDefault="00AE6F13" w:rsidP="00CE37EE">
            <w:pPr>
              <w:jc w:val="both"/>
            </w:pPr>
            <w:r w:rsidRPr="006330A2">
              <w:t>1</w:t>
            </w:r>
            <w:r w:rsidR="000E0083" w:rsidRPr="006330A2">
              <w:t>) </w:t>
            </w:r>
            <w:r w:rsidR="000E0083" w:rsidRPr="006330A2">
              <w:rPr>
                <w:b/>
              </w:rPr>
              <w:t xml:space="preserve">4 000 000 </w:t>
            </w:r>
            <w:proofErr w:type="spellStart"/>
            <w:r w:rsidR="000E0083" w:rsidRPr="006330A2">
              <w:rPr>
                <w:b/>
                <w:i/>
              </w:rPr>
              <w:t>euro</w:t>
            </w:r>
            <w:proofErr w:type="spellEnd"/>
            <w:r w:rsidR="000E0083" w:rsidRPr="006330A2">
              <w:rPr>
                <w:b/>
              </w:rPr>
              <w:t xml:space="preserve"> apmērā </w:t>
            </w:r>
            <w:r w:rsidR="00A55F80" w:rsidRPr="006330A2">
              <w:rPr>
                <w:b/>
              </w:rPr>
              <w:t>1.1.1.4. pasākuma</w:t>
            </w:r>
            <w:r w:rsidR="000E0083" w:rsidRPr="006330A2">
              <w:rPr>
                <w:b/>
              </w:rPr>
              <w:t xml:space="preserve"> </w:t>
            </w:r>
            <w:r w:rsidR="007A53B3" w:rsidRPr="006330A2">
              <w:rPr>
                <w:b/>
              </w:rPr>
              <w:t>īstenošanā esošu projektu finansēšanai</w:t>
            </w:r>
            <w:r w:rsidR="007A53B3" w:rsidRPr="006330A2">
              <w:t xml:space="preserve"> saskaņā ar Ministru kabineta 2018.gada 16.oktobra sēdes protokola Nr.48 31.§ </w:t>
            </w:r>
            <w:r w:rsidR="00437A9F">
              <w:t>5</w:t>
            </w:r>
            <w:r w:rsidR="007A53B3" w:rsidRPr="006330A2">
              <w:t xml:space="preserve">.2. apakšpunktā noteikto. </w:t>
            </w:r>
            <w:r w:rsidR="004D2F5B" w:rsidRPr="006330A2">
              <w:t xml:space="preserve">Protokols un to pavadošais informatīvais ziņojums „Par publiskā līdzfinansējuma nodrošināšanu projekta „Baltijas </w:t>
            </w:r>
            <w:proofErr w:type="spellStart"/>
            <w:r w:rsidR="004D2F5B" w:rsidRPr="006330A2">
              <w:t>Biomateriālu</w:t>
            </w:r>
            <w:proofErr w:type="spellEnd"/>
            <w:r w:rsidR="004D2F5B" w:rsidRPr="006330A2">
              <w:t xml:space="preserve"> ekselences centrs” īstenošanai” paredz Baltijas </w:t>
            </w:r>
            <w:proofErr w:type="spellStart"/>
            <w:r w:rsidR="004D2F5B" w:rsidRPr="006330A2">
              <w:t>Biomateriālu</w:t>
            </w:r>
            <w:proofErr w:type="spellEnd"/>
            <w:r w:rsidR="004D2F5B" w:rsidRPr="006330A2">
              <w:t xml:space="preserve"> ekselences centra </w:t>
            </w:r>
            <w:r w:rsidR="00367FBC">
              <w:t>(</w:t>
            </w:r>
            <w:r w:rsidR="00367FBC">
              <w:rPr>
                <w:rFonts w:eastAsia="Times New Roman"/>
              </w:rPr>
              <w:t>turpmāk – BBCE</w:t>
            </w:r>
            <w:r w:rsidR="00367FBC">
              <w:t xml:space="preserve">) </w:t>
            </w:r>
            <w:r w:rsidR="004D2F5B" w:rsidRPr="006330A2">
              <w:t>projekta 2.fāzes īstenošanai</w:t>
            </w:r>
            <w:r w:rsidR="00EB39CA">
              <w:t xml:space="preserve"> apstiprināšanas gadījumā tā īstenošanai nepieciešamo publisko līdzfinansējumu </w:t>
            </w:r>
            <w:r w:rsidR="00EB39CA" w:rsidRPr="006330A2">
              <w:t xml:space="preserve">8 489 000 </w:t>
            </w:r>
            <w:proofErr w:type="spellStart"/>
            <w:r w:rsidR="00EB39CA" w:rsidRPr="006330A2">
              <w:rPr>
                <w:i/>
              </w:rPr>
              <w:t>euro</w:t>
            </w:r>
            <w:proofErr w:type="spellEnd"/>
            <w:r w:rsidR="00EB39CA" w:rsidRPr="006330A2">
              <w:t xml:space="preserve"> apmērā </w:t>
            </w:r>
            <w:r w:rsidR="00EB39CA">
              <w:t>nodrošināt, veicot ERAF finansējuma pārdali darbības programmas "Izaugsme un nodarbinātība" 1.prioritārā virziena "Pētniecība, tehnoloģiju attīstība un inovācijas" ietvaros, s</w:t>
            </w:r>
            <w:r w:rsidR="00EB39CA" w:rsidRPr="00AD11CF">
              <w:t>amazinot</w:t>
            </w:r>
            <w:r w:rsidR="00EB39CA">
              <w:t xml:space="preserve"> </w:t>
            </w:r>
            <w:r w:rsidR="00EB39CA" w:rsidRPr="006330A2">
              <w:t xml:space="preserve">1.1.1.3. pasākuma un 1.2.1. specifiskā atbalsta mērķa „Palielināt privātā sektora investīcijas P&amp;A” 1.2.1.2. pasākuma „Atbalsts tehnoloģiju </w:t>
            </w:r>
            <w:proofErr w:type="spellStart"/>
            <w:r w:rsidR="00EB39CA" w:rsidRPr="006330A2">
              <w:t>pārneses</w:t>
            </w:r>
            <w:proofErr w:type="spellEnd"/>
            <w:r w:rsidR="00EB39CA" w:rsidRPr="006330A2">
              <w:t xml:space="preserve"> sistēmas pilnveidošanai” </w:t>
            </w:r>
            <w:r w:rsidR="00EB39CA">
              <w:t>ERAF</w:t>
            </w:r>
            <w:r w:rsidR="00EB39CA" w:rsidRPr="00AD11CF">
              <w:t xml:space="preserve"> snieguma rezerves finansējumu</w:t>
            </w:r>
            <w:r w:rsidR="00EB39CA">
              <w:t xml:space="preserve">. </w:t>
            </w:r>
            <w:r w:rsidR="00EB39CA" w:rsidRPr="006330A2">
              <w:t>1.1.1.3. pasākuma</w:t>
            </w:r>
            <w:r w:rsidR="00EB39CA">
              <w:t xml:space="preserve"> ietvaros tika paredzēta snieguma rezerve </w:t>
            </w:r>
            <w:r w:rsidR="00EB39CA" w:rsidRPr="00EB39CA">
              <w:t>9 049 303 EUR apmērā</w:t>
            </w:r>
            <w:r w:rsidR="00EB39CA">
              <w:t xml:space="preserve">, no kuras </w:t>
            </w:r>
            <w:r w:rsidR="002E6777">
              <w:t>tiek</w:t>
            </w:r>
            <w:r w:rsidR="00EB39CA">
              <w:t xml:space="preserve"> veikta </w:t>
            </w:r>
            <w:r w:rsidR="003779FA">
              <w:t xml:space="preserve">pārdale uz 1.1.1.4. pasākumu </w:t>
            </w:r>
            <w:r w:rsidR="003779FA">
              <w:rPr>
                <w:rFonts w:eastAsia="Times New Roman"/>
              </w:rPr>
              <w:t xml:space="preserve">BBCE projekta finansēšanai. </w:t>
            </w:r>
          </w:p>
          <w:p w14:paraId="5393CEAC" w14:textId="77777777" w:rsidR="00367FBC" w:rsidRDefault="00367FBC" w:rsidP="00CE37EE">
            <w:pPr>
              <w:jc w:val="both"/>
            </w:pPr>
            <w:r>
              <w:rPr>
                <w:rFonts w:eastAsia="Times New Roman"/>
              </w:rPr>
              <w:t>BBCE projekts ir Rīgas Tehniskās universitātes (turpmāk – RTU), Latvijas Organiskās sintēzes institūta</w:t>
            </w:r>
            <w:r w:rsidR="00474733">
              <w:rPr>
                <w:rFonts w:eastAsia="Times New Roman"/>
              </w:rPr>
              <w:t xml:space="preserve"> (turpmāk - OSI)</w:t>
            </w:r>
            <w:r>
              <w:rPr>
                <w:rFonts w:eastAsia="Times New Roman"/>
              </w:rPr>
              <w:t xml:space="preserve">, Rīgas Stradiņa universitātes </w:t>
            </w:r>
            <w:r w:rsidR="00474733">
              <w:rPr>
                <w:rFonts w:eastAsia="Times New Roman"/>
              </w:rPr>
              <w:t xml:space="preserve">(turpmāk – RSU) </w:t>
            </w:r>
            <w:r>
              <w:rPr>
                <w:rFonts w:eastAsia="Times New Roman"/>
              </w:rPr>
              <w:t xml:space="preserve">un Rīgas Stradiņa universitātes Stomatoloģijas institūta sadarbībā ar AO Pētniecības institūta Davosā (Šveice) un Fridriha-Aleksandra </w:t>
            </w:r>
            <w:proofErr w:type="spellStart"/>
            <w:r>
              <w:rPr>
                <w:rFonts w:eastAsia="Times New Roman"/>
              </w:rPr>
              <w:t>Erlangenas</w:t>
            </w:r>
            <w:proofErr w:type="spellEnd"/>
            <w:r>
              <w:rPr>
                <w:rFonts w:eastAsia="Times New Roman"/>
              </w:rPr>
              <w:t xml:space="preserve">-Nirnbergas universitātes </w:t>
            </w:r>
            <w:proofErr w:type="spellStart"/>
            <w:r>
              <w:rPr>
                <w:rFonts w:eastAsia="Times New Roman"/>
              </w:rPr>
              <w:t>Biomateriālu</w:t>
            </w:r>
            <w:proofErr w:type="spellEnd"/>
            <w:r>
              <w:rPr>
                <w:rFonts w:eastAsia="Times New Roman"/>
              </w:rPr>
              <w:t xml:space="preserve"> centru (Vācija) izstrādāts projekts stratēģiskai BBCE attīstībai un progresīvai </w:t>
            </w:r>
            <w:proofErr w:type="spellStart"/>
            <w:r>
              <w:rPr>
                <w:rFonts w:eastAsia="Times New Roman"/>
              </w:rPr>
              <w:t>biomateriālu</w:t>
            </w:r>
            <w:proofErr w:type="spellEnd"/>
            <w:r>
              <w:rPr>
                <w:rFonts w:eastAsia="Times New Roman"/>
              </w:rPr>
              <w:t xml:space="preserve"> pētniecībai.</w:t>
            </w:r>
            <w:r w:rsidR="000A769A">
              <w:rPr>
                <w:rFonts w:eastAsia="Times New Roman"/>
              </w:rPr>
              <w:t xml:space="preserve"> </w:t>
            </w:r>
            <w:r w:rsidRPr="00367FBC">
              <w:t xml:space="preserve">2019. gada </w:t>
            </w:r>
            <w:r w:rsidR="00860E61">
              <w:t xml:space="preserve">2. </w:t>
            </w:r>
            <w:r w:rsidRPr="00367FBC">
              <w:t xml:space="preserve">aprīlī RTU saņēma EK Pētniecības </w:t>
            </w:r>
            <w:proofErr w:type="spellStart"/>
            <w:r w:rsidRPr="00367FBC">
              <w:t>izpildaģentūras</w:t>
            </w:r>
            <w:proofErr w:type="spellEnd"/>
            <w:r w:rsidRPr="00367FBC">
              <w:t xml:space="preserve"> lēmumu par BBCE projekta apstiprināšanu īstenošanai </w:t>
            </w:r>
            <w:proofErr w:type="spellStart"/>
            <w:r w:rsidRPr="00367FBC">
              <w:t>Teaming</w:t>
            </w:r>
            <w:proofErr w:type="spellEnd"/>
            <w:r w:rsidRPr="00367FBC">
              <w:t xml:space="preserve"> </w:t>
            </w:r>
            <w:proofErr w:type="spellStart"/>
            <w:r w:rsidRPr="00367FBC">
              <w:t>Phase</w:t>
            </w:r>
            <w:proofErr w:type="spellEnd"/>
            <w:r w:rsidRPr="00367FBC">
              <w:t xml:space="preserve"> 2 programmā un virzīšanu līguma slēgšanai.</w:t>
            </w:r>
            <w:r>
              <w:t xml:space="preserve"> </w:t>
            </w:r>
          </w:p>
          <w:p w14:paraId="5393CEAD" w14:textId="77777777" w:rsidR="00A63A86" w:rsidRPr="006330A2" w:rsidRDefault="00A63A86" w:rsidP="00425A89">
            <w:pPr>
              <w:jc w:val="both"/>
            </w:pPr>
          </w:p>
          <w:p w14:paraId="5393CEAE" w14:textId="77777777" w:rsidR="00A55F80" w:rsidRDefault="00AE6F13" w:rsidP="00CE37EE">
            <w:pPr>
              <w:jc w:val="both"/>
            </w:pPr>
            <w:r w:rsidRPr="006330A2">
              <w:lastRenderedPageBreak/>
              <w:t>2) </w:t>
            </w:r>
            <w:r w:rsidR="002C6377" w:rsidRPr="006330A2">
              <w:rPr>
                <w:b/>
              </w:rPr>
              <w:t xml:space="preserve">4 364 342 </w:t>
            </w:r>
            <w:proofErr w:type="spellStart"/>
            <w:r w:rsidRPr="006330A2">
              <w:rPr>
                <w:b/>
                <w:i/>
              </w:rPr>
              <w:t>euro</w:t>
            </w:r>
            <w:proofErr w:type="spellEnd"/>
            <w:r w:rsidRPr="006330A2">
              <w:rPr>
                <w:b/>
              </w:rPr>
              <w:t xml:space="preserve"> apmērā 1.1.1.5. pasākuma trešās projektu iesniegumu</w:t>
            </w:r>
            <w:r w:rsidR="00EE156D" w:rsidRPr="006330A2">
              <w:rPr>
                <w:b/>
              </w:rPr>
              <w:t xml:space="preserve"> atlases</w:t>
            </w:r>
            <w:r w:rsidRPr="006330A2">
              <w:rPr>
                <w:b/>
              </w:rPr>
              <w:t xml:space="preserve"> kārtas</w:t>
            </w:r>
            <w:r w:rsidRPr="006330A2">
              <w:t xml:space="preserve"> </w:t>
            </w:r>
            <w:r w:rsidR="00EE156D" w:rsidRPr="006330A2">
              <w:t>ietvaros apstiprināto</w:t>
            </w:r>
            <w:r w:rsidR="00570429" w:rsidRPr="006330A2">
              <w:t xml:space="preserve"> </w:t>
            </w:r>
            <w:r w:rsidRPr="006330A2">
              <w:t>projektu iesniegumu finansēšanai.</w:t>
            </w:r>
          </w:p>
          <w:p w14:paraId="5393CEAF" w14:textId="77777777" w:rsidR="00F20B62" w:rsidRDefault="00F20B62" w:rsidP="00CE37EE">
            <w:pPr>
              <w:jc w:val="both"/>
              <w:rPr>
                <w:rFonts w:eastAsia="Times New Roman"/>
              </w:rPr>
            </w:pPr>
            <w:r>
              <w:t xml:space="preserve">Finansējuma pārdale uz 1.1.1.5. pasākumu </w:t>
            </w:r>
            <w:r>
              <w:rPr>
                <w:rFonts w:eastAsia="Times New Roman"/>
              </w:rPr>
              <w:t xml:space="preserve">tika veikta no </w:t>
            </w:r>
            <w:r w:rsidRPr="006330A2">
              <w:t>1.1.1.3. pasākuma</w:t>
            </w:r>
            <w:r>
              <w:t xml:space="preserve"> pirmās atlases kārtas publiskā finansējuma ietaupījuma. </w:t>
            </w:r>
          </w:p>
          <w:p w14:paraId="5393CEB0" w14:textId="77777777" w:rsidR="002D3149" w:rsidRPr="006330A2" w:rsidRDefault="002D3149" w:rsidP="00B10CA9">
            <w:pPr>
              <w:jc w:val="both"/>
            </w:pPr>
            <w:r w:rsidRPr="006330A2">
              <w:t xml:space="preserve">1.1.1.5. pasākumu īsteno trīs projektu iesniegumu atlases kārtās. Trešajā </w:t>
            </w:r>
            <w:r w:rsidR="008D7E33" w:rsidRPr="006330A2">
              <w:t xml:space="preserve">projektu iesniegumu </w:t>
            </w:r>
            <w:r w:rsidRPr="006330A2">
              <w:t xml:space="preserve">atlases kārtā projektu īstenošanai plānotais kopējais publiskais attiecināmais finansējums atbilstoši </w:t>
            </w:r>
            <w:r w:rsidR="00BD01E1" w:rsidRPr="006330A2">
              <w:t xml:space="preserve">Ministru kabineta 2017. gada 6. jūnija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 MK noteikumi Nr.315) </w:t>
            </w:r>
            <w:r w:rsidRPr="006330A2">
              <w:t xml:space="preserve">57. punktā noteiktajam ir 9 300 000 </w:t>
            </w:r>
            <w:proofErr w:type="spellStart"/>
            <w:r w:rsidRPr="006330A2">
              <w:rPr>
                <w:i/>
              </w:rPr>
              <w:t>euro</w:t>
            </w:r>
            <w:proofErr w:type="spellEnd"/>
            <w:r w:rsidRPr="006330A2">
              <w:t xml:space="preserve">, ko veido ERAF finansējums 7 905 000 </w:t>
            </w:r>
            <w:proofErr w:type="spellStart"/>
            <w:r w:rsidRPr="006330A2">
              <w:rPr>
                <w:i/>
              </w:rPr>
              <w:t>euro</w:t>
            </w:r>
            <w:proofErr w:type="spellEnd"/>
            <w:r w:rsidRPr="006330A2">
              <w:t xml:space="preserve"> un valsts budžeta līdzfinansējums 1 395 000 </w:t>
            </w:r>
            <w:proofErr w:type="spellStart"/>
            <w:r w:rsidRPr="006330A2">
              <w:rPr>
                <w:i/>
              </w:rPr>
              <w:t>euro</w:t>
            </w:r>
            <w:proofErr w:type="spellEnd"/>
            <w:r w:rsidRPr="006330A2">
              <w:t xml:space="preserve">. </w:t>
            </w:r>
          </w:p>
          <w:p w14:paraId="5393CEB1" w14:textId="77777777" w:rsidR="007D15A0" w:rsidRPr="006330A2" w:rsidRDefault="002D3149" w:rsidP="0045132C">
            <w:pPr>
              <w:jc w:val="both"/>
            </w:pPr>
            <w:r w:rsidRPr="006330A2">
              <w:t xml:space="preserve">Šobrīd trešajā atlases kārtā tiek īstenoti </w:t>
            </w:r>
            <w:r w:rsidR="0023307B" w:rsidRPr="006330A2">
              <w:t>pieci</w:t>
            </w:r>
            <w:r w:rsidRPr="006330A2">
              <w:t xml:space="preserve"> projekti</w:t>
            </w:r>
            <w:r w:rsidR="00B34F13" w:rsidRPr="006330A2">
              <w:t xml:space="preserve"> </w:t>
            </w:r>
            <w:r w:rsidR="00C236EE" w:rsidRPr="006330A2">
              <w:t xml:space="preserve">(uzņemtas saistības par 4 499 836 </w:t>
            </w:r>
            <w:proofErr w:type="spellStart"/>
            <w:r w:rsidR="00C236EE" w:rsidRPr="006330A2">
              <w:rPr>
                <w:i/>
              </w:rPr>
              <w:t>euro</w:t>
            </w:r>
            <w:proofErr w:type="spellEnd"/>
            <w:r w:rsidR="00C236EE" w:rsidRPr="006330A2">
              <w:t>)</w:t>
            </w:r>
            <w:r w:rsidR="0023307B" w:rsidRPr="006330A2">
              <w:t xml:space="preserve"> </w:t>
            </w:r>
            <w:r w:rsidRPr="006330A2">
              <w:t xml:space="preserve">un </w:t>
            </w:r>
            <w:r w:rsidR="0023307B" w:rsidRPr="006330A2">
              <w:t>divi</w:t>
            </w:r>
            <w:r w:rsidRPr="006330A2">
              <w:t xml:space="preserve"> projekta iesniegum</w:t>
            </w:r>
            <w:r w:rsidR="0023307B" w:rsidRPr="006330A2">
              <w:t>i</w:t>
            </w:r>
            <w:r w:rsidRPr="006330A2">
              <w:t xml:space="preserve"> atrodas vērtēšan</w:t>
            </w:r>
            <w:r w:rsidR="00EE156D" w:rsidRPr="006330A2">
              <w:t>ā</w:t>
            </w:r>
            <w:r w:rsidRPr="006330A2">
              <w:t xml:space="preserve"> (</w:t>
            </w:r>
            <w:r w:rsidR="0023307B" w:rsidRPr="006330A2">
              <w:t>kopējais indikatīvi attiecināmais finansējums</w:t>
            </w:r>
            <w:r w:rsidR="00B34F13" w:rsidRPr="006330A2">
              <w:t xml:space="preserve"> </w:t>
            </w:r>
            <w:r w:rsidR="0023307B" w:rsidRPr="006330A2">
              <w:t>ir</w:t>
            </w:r>
            <w:r w:rsidR="00B34F13" w:rsidRPr="006330A2">
              <w:t xml:space="preserve"> </w:t>
            </w:r>
            <w:r w:rsidR="002E4E41" w:rsidRPr="006330A2">
              <w:t xml:space="preserve">4 996 375 </w:t>
            </w:r>
            <w:proofErr w:type="spellStart"/>
            <w:r w:rsidR="0023307B" w:rsidRPr="006330A2">
              <w:rPr>
                <w:i/>
              </w:rPr>
              <w:t>euro</w:t>
            </w:r>
            <w:proofErr w:type="spellEnd"/>
            <w:r w:rsidR="00B34F13" w:rsidRPr="006330A2">
              <w:t xml:space="preserve">, no kuriem ERAF finansējums ir </w:t>
            </w:r>
            <w:r w:rsidR="002E4E41" w:rsidRPr="006330A2">
              <w:t>4 246</w:t>
            </w:r>
            <w:r w:rsidR="00DE3697" w:rsidRPr="006330A2">
              <w:t> </w:t>
            </w:r>
            <w:r w:rsidR="002E4E41" w:rsidRPr="006330A2">
              <w:t>919</w:t>
            </w:r>
            <w:r w:rsidR="00DE3697" w:rsidRPr="006330A2">
              <w:t xml:space="preserve"> </w:t>
            </w:r>
            <w:proofErr w:type="spellStart"/>
            <w:r w:rsidR="00DE3697" w:rsidRPr="006330A2">
              <w:rPr>
                <w:i/>
              </w:rPr>
              <w:t>euro</w:t>
            </w:r>
            <w:proofErr w:type="spellEnd"/>
            <w:r w:rsidRPr="006330A2">
              <w:t xml:space="preserve">). </w:t>
            </w:r>
            <w:r w:rsidR="007D15A0" w:rsidRPr="006330A2">
              <w:t>Ņemot vērā trešās projektu iesniegumu atlases kārtas ietvaros uz 2019. gada 20. maiju pieejamo finansējuma atlikumu (300 16</w:t>
            </w:r>
            <w:r w:rsidR="008159DF" w:rsidRPr="006330A2">
              <w:t>4</w:t>
            </w:r>
            <w:r w:rsidR="007D15A0" w:rsidRPr="006330A2">
              <w:t xml:space="preserve"> </w:t>
            </w:r>
            <w:proofErr w:type="spellStart"/>
            <w:r w:rsidR="007D15A0" w:rsidRPr="006330A2">
              <w:rPr>
                <w:i/>
              </w:rPr>
              <w:t>euro</w:t>
            </w:r>
            <w:proofErr w:type="spellEnd"/>
            <w:r w:rsidR="007D15A0" w:rsidRPr="006330A2">
              <w:t>), tas ir nepietiekams, lai apstiprinātu vērtēšan</w:t>
            </w:r>
            <w:r w:rsidR="00EE156D" w:rsidRPr="006330A2">
              <w:t>ā</w:t>
            </w:r>
            <w:r w:rsidR="007D15A0" w:rsidRPr="006330A2">
              <w:t xml:space="preserve"> esošos projektu iesniegumus. To apstiprināšanai indikatīvi pietrūkst </w:t>
            </w:r>
            <w:r w:rsidR="00C35FF5" w:rsidRPr="006330A2">
              <w:t>4 696 211</w:t>
            </w:r>
            <w:r w:rsidR="007D15A0" w:rsidRPr="006330A2">
              <w:t xml:space="preserve"> </w:t>
            </w:r>
            <w:proofErr w:type="spellStart"/>
            <w:r w:rsidR="007D15A0" w:rsidRPr="006330A2">
              <w:rPr>
                <w:i/>
              </w:rPr>
              <w:t>euro</w:t>
            </w:r>
            <w:proofErr w:type="spellEnd"/>
            <w:r w:rsidR="007D15A0" w:rsidRPr="006330A2">
              <w:t xml:space="preserve">. </w:t>
            </w:r>
          </w:p>
          <w:p w14:paraId="5393CEB2" w14:textId="77777777" w:rsidR="007D15A0" w:rsidRPr="006330A2" w:rsidRDefault="007D15A0" w:rsidP="0045132C">
            <w:pPr>
              <w:jc w:val="both"/>
            </w:pPr>
            <w:r w:rsidRPr="006330A2">
              <w:t xml:space="preserve">Vienlaikus IZM rīcībā ir informācija par vēl vismaz pieciem </w:t>
            </w:r>
            <w:r w:rsidR="008F16DA" w:rsidRPr="006330A2">
              <w:t xml:space="preserve">Eiropas Savienības pētniecības un inovācijas pamatprogrammā </w:t>
            </w:r>
            <w:r w:rsidRPr="006330A2">
              <w:t xml:space="preserve">“Apvārsnis 2020” iesniegtiem un virs kvalitātes sliekšņa novērtētiem projektiem, </w:t>
            </w:r>
            <w:r w:rsidR="00C35FF5" w:rsidRPr="006330A2">
              <w:t xml:space="preserve">no kuriem trīs potenciālie </w:t>
            </w:r>
            <w:r w:rsidRPr="006330A2">
              <w:t>projekta iesniedzēj</w:t>
            </w:r>
            <w:r w:rsidR="00C35FF5" w:rsidRPr="006330A2">
              <w:t>i</w:t>
            </w:r>
            <w:r w:rsidRPr="006330A2">
              <w:t xml:space="preserve"> ir </w:t>
            </w:r>
            <w:r w:rsidR="00C35FF5" w:rsidRPr="006330A2">
              <w:t xml:space="preserve">izrādījuši </w:t>
            </w:r>
            <w:r w:rsidRPr="006330A2">
              <w:t>interesi iesniegt projekta iesniegumu</w:t>
            </w:r>
            <w:r w:rsidR="00C35FF5" w:rsidRPr="006330A2">
              <w:t>s</w:t>
            </w:r>
            <w:r w:rsidRPr="006330A2">
              <w:t xml:space="preserve"> 1.1.1.5. pasākuma trešās projektu iesniegumu atlases kārtas ietvaros tuvākajā laikā, un tā īstenošanai ir nepieciešami vēl </w:t>
            </w:r>
            <w:r w:rsidR="00C35FF5" w:rsidRPr="006330A2">
              <w:t xml:space="preserve">438 309 </w:t>
            </w:r>
            <w:proofErr w:type="spellStart"/>
            <w:r w:rsidRPr="006330A2">
              <w:rPr>
                <w:i/>
              </w:rPr>
              <w:t>euro</w:t>
            </w:r>
            <w:proofErr w:type="spellEnd"/>
            <w:r w:rsidRPr="006330A2">
              <w:t>.</w:t>
            </w:r>
          </w:p>
          <w:p w14:paraId="5393CEB3" w14:textId="77777777" w:rsidR="00F869B9" w:rsidRPr="006330A2" w:rsidRDefault="00F869B9" w:rsidP="0045132C">
            <w:pPr>
              <w:jc w:val="both"/>
            </w:pPr>
            <w:r w:rsidRPr="006330A2">
              <w:t xml:space="preserve">Kopā piecu projektu finansēšanai 1.1.1.5. pasākuma trešās projektu iesniegumu atlases kārtas ietvaros nepieciešams kopējais finansējums 5 434 684 </w:t>
            </w:r>
            <w:proofErr w:type="spellStart"/>
            <w:r w:rsidRPr="006330A2">
              <w:rPr>
                <w:i/>
              </w:rPr>
              <w:t>euro</w:t>
            </w:r>
            <w:proofErr w:type="spellEnd"/>
            <w:r w:rsidRPr="006330A2">
              <w:t xml:space="preserve"> apmērā. 1.1.1.3. pasākuma ietvaros netiek plānots valsts budžeta līdzfinansējums, līdz ar to projektu finansēšanai 1.1.1.5. pasākuma trešās atlases kārtas ietvaros no 1.1.1.3. pasākuma </w:t>
            </w:r>
            <w:r w:rsidR="00355F57" w:rsidRPr="006330A2">
              <w:t>iespējams veikt tikai</w:t>
            </w:r>
            <w:r w:rsidR="007E211F" w:rsidRPr="006330A2">
              <w:t xml:space="preserve"> ERAF finansējuma </w:t>
            </w:r>
            <w:r w:rsidR="00B723E8" w:rsidRPr="006330A2">
              <w:t>pārdali</w:t>
            </w:r>
            <w:r w:rsidR="007E211F" w:rsidRPr="006330A2">
              <w:t xml:space="preserve">, tas ir 4 364 342 </w:t>
            </w:r>
            <w:proofErr w:type="spellStart"/>
            <w:r w:rsidR="007E211F" w:rsidRPr="006330A2">
              <w:rPr>
                <w:i/>
              </w:rPr>
              <w:t>euro</w:t>
            </w:r>
            <w:proofErr w:type="spellEnd"/>
            <w:r w:rsidR="007E211F" w:rsidRPr="006330A2">
              <w:t xml:space="preserve">. </w:t>
            </w:r>
          </w:p>
          <w:p w14:paraId="5393CEB4" w14:textId="77777777" w:rsidR="00D001DC" w:rsidRPr="006330A2" w:rsidRDefault="002D3149" w:rsidP="00D001DC">
            <w:pPr>
              <w:jc w:val="both"/>
            </w:pPr>
            <w:r w:rsidRPr="006330A2">
              <w:t>Detalizētāks</w:t>
            </w:r>
            <w:r w:rsidR="00CD3790" w:rsidRPr="006330A2">
              <w:t xml:space="preserve"> pamatojums </w:t>
            </w:r>
            <w:r w:rsidR="003F6C6B" w:rsidRPr="006330A2">
              <w:t>1.1.1.5. pasākuma papildus finansējuma nepieciešamība</w:t>
            </w:r>
            <w:r w:rsidR="00CD3790" w:rsidRPr="006330A2">
              <w:t>i</w:t>
            </w:r>
            <w:r w:rsidR="003F6C6B" w:rsidRPr="006330A2">
              <w:t xml:space="preserve"> </w:t>
            </w:r>
            <w:r w:rsidR="00CD3790" w:rsidRPr="006330A2">
              <w:t>sniegts</w:t>
            </w:r>
            <w:r w:rsidR="00D001DC" w:rsidRPr="006330A2">
              <w:t xml:space="preserve"> Ministru kabineta noteikumu “Grozījumi Ministru kabineta 2017. gada 6. jūnija noteikumos Nr. 315 “Darbības programmas “Izaugsme un nodarbinātība” 1.1.1. specifiskā atbalsta </w:t>
            </w:r>
            <w:r w:rsidR="00D001DC" w:rsidRPr="006330A2">
              <w:lastRenderedPageBreak/>
              <w:t xml:space="preserve">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projekta sākotnējās ietekmes novērtējuma ziņojumā (anotācija). </w:t>
            </w:r>
          </w:p>
          <w:p w14:paraId="5393CEB5" w14:textId="77777777" w:rsidR="003F6C6B" w:rsidRPr="006330A2" w:rsidRDefault="003F6C6B" w:rsidP="0045132C">
            <w:pPr>
              <w:jc w:val="both"/>
            </w:pPr>
          </w:p>
          <w:p w14:paraId="5393CEB6" w14:textId="77777777" w:rsidR="007F78D3" w:rsidRDefault="00A63A86" w:rsidP="00C87C6D">
            <w:pPr>
              <w:jc w:val="both"/>
            </w:pPr>
            <w:r w:rsidRPr="006330A2">
              <w:t>Ņemot vērā iepriekš minēto</w:t>
            </w:r>
            <w:r w:rsidR="006410AE" w:rsidRPr="006330A2">
              <w:t>,</w:t>
            </w:r>
            <w:r w:rsidRPr="006330A2">
              <w:t xml:space="preserve"> nepieciešams veikt grozījumus</w:t>
            </w:r>
            <w:r w:rsidR="00910C98" w:rsidRPr="006330A2">
              <w:t xml:space="preserve"> MK noteikumu Nr. 41 9. un 10. punkt</w:t>
            </w:r>
            <w:r w:rsidRPr="006330A2">
              <w:t>ā</w:t>
            </w:r>
            <w:r w:rsidR="00910C98" w:rsidRPr="006330A2">
              <w:t xml:space="preserve">, </w:t>
            </w:r>
            <w:r w:rsidRPr="006330A2">
              <w:t>precizējot</w:t>
            </w:r>
            <w:r w:rsidR="0045132C" w:rsidRPr="006330A2">
              <w:t xml:space="preserve"> </w:t>
            </w:r>
            <w:r w:rsidR="007B09F5" w:rsidRPr="006330A2">
              <w:t xml:space="preserve">1.1.1.3. pasākuma </w:t>
            </w:r>
            <w:r w:rsidR="0045132C" w:rsidRPr="006330A2">
              <w:t>kopējā attiecināmā finansējuma</w:t>
            </w:r>
            <w:r w:rsidR="000D5F1F" w:rsidRPr="006330A2">
              <w:t>, ERAF finansējuma</w:t>
            </w:r>
            <w:r w:rsidR="0045132C" w:rsidRPr="006330A2">
              <w:t xml:space="preserve"> un privātā līdzfinansējuma apmēr</w:t>
            </w:r>
            <w:r w:rsidRPr="006330A2">
              <w:t>u</w:t>
            </w:r>
            <w:r w:rsidR="000D5F1F" w:rsidRPr="006330A2">
              <w:t>, kā arī precizējot 7.1.2. apakšpunktā noteikto iznākuma rādītāja vērtību</w:t>
            </w:r>
            <w:r w:rsidR="0045132C" w:rsidRPr="006330A2">
              <w:t xml:space="preserve">. </w:t>
            </w:r>
            <w:r w:rsidR="000D5F1F" w:rsidRPr="006330A2">
              <w:t xml:space="preserve">Kopējais attiecināmā finansējuma un privātā līdzfinansējuma apmērs tiek precizēts, lai nodrošinātu MK noteikumu Nr. 41 11. punktā noteikto ERAF un privātā līdzfinansējuma atbalsta intensitāti. </w:t>
            </w:r>
            <w:r w:rsidR="0045132C" w:rsidRPr="006330A2">
              <w:t>Vienlaikus minētie grozījumi paredz precizēt finansējuma apmēra, kas pieejams pirms Eiropas Komisijas lēmuma par prioritārajam virzienam “Pētniecība, tehnoloģiju attīstība un inovācijas” ERAF noteiktā snieguma ietvara izpildi, pieejamības periodu 1.1.1.3. pasākuma ietvaros</w:t>
            </w:r>
            <w:r w:rsidR="008B1A6C" w:rsidRPr="006330A2">
              <w:t xml:space="preserve">, paredzot ka Atbildīgā iestāde atbilstoši Eiropas Komisijas lēmumam par prioritārajam virzienam "Pētniecība, tehnoloģiju attīstība un inovācijas" </w:t>
            </w:r>
            <w:r w:rsidR="00C850DD" w:rsidRPr="006330A2">
              <w:t>ERAF</w:t>
            </w:r>
            <w:r w:rsidR="008B1A6C" w:rsidRPr="006330A2">
              <w:t xml:space="preserve"> noteiktā snieguma ietvara izpildi var ierosināt palielināt pieejamo attiecināmo finansējumu līdz MK noteikumu Nr.41 9. punktā minētajam plānotajam finansējuma apmēram</w:t>
            </w:r>
            <w:r w:rsidR="000D5F1F" w:rsidRPr="006330A2">
              <w:t>.</w:t>
            </w:r>
            <w:r w:rsidR="00BD18C9" w:rsidRPr="006330A2">
              <w:t xml:space="preserve"> </w:t>
            </w:r>
            <w:r w:rsidR="00C87C6D" w:rsidRPr="006330A2">
              <w:t>Turklāt gadījumā, ja tiks pieņemts Eiropas Komisijas lēmums par prioritārajam virzienam “Pētniecība, tehnoloģiju attīstība un inovācijas” ERAF noteiktā snieguma rezerves finansējuma piešķiršanu, IZM izvērtēs nepieciešamību veikt finanšu pārdali 1.1.1. SAM pasākumu ietvaros.</w:t>
            </w:r>
            <w:r w:rsidR="007F78D3">
              <w:t xml:space="preserve"> </w:t>
            </w:r>
          </w:p>
          <w:p w14:paraId="5393CEB7" w14:textId="77777777" w:rsidR="00E22FB2" w:rsidRPr="006330A2" w:rsidRDefault="00E22FB2" w:rsidP="00E22FB2">
            <w:pPr>
              <w:jc w:val="both"/>
            </w:pPr>
            <w:r>
              <w:t xml:space="preserve">Tāpat </w:t>
            </w:r>
            <w:r w:rsidRPr="006330A2">
              <w:t>MK noteikumu Nr. 41 9. un 10. punkt</w:t>
            </w:r>
            <w:r>
              <w:t xml:space="preserve">s tika precizēts atbilstoši </w:t>
            </w:r>
            <w:r w:rsidRPr="007F78D3">
              <w:t>fak</w:t>
            </w:r>
            <w:r>
              <w:t xml:space="preserve">tiskajiem projektu iesniegumu pirmās </w:t>
            </w:r>
            <w:r w:rsidRPr="007F78D3">
              <w:t>atlases kārtas finansējuma apjomiem.</w:t>
            </w:r>
          </w:p>
          <w:p w14:paraId="5393CEB8" w14:textId="77777777" w:rsidR="00826B53" w:rsidRPr="006330A2" w:rsidRDefault="00826B53" w:rsidP="0045132C">
            <w:pPr>
              <w:jc w:val="both"/>
            </w:pPr>
          </w:p>
          <w:p w14:paraId="5393CEB9" w14:textId="77777777" w:rsidR="00B43FF3" w:rsidRPr="006330A2" w:rsidRDefault="00B43FF3" w:rsidP="002F63C6">
            <w:pPr>
              <w:jc w:val="both"/>
            </w:pPr>
            <w:r w:rsidRPr="006330A2">
              <w:t xml:space="preserve">IZM ieskatā finansējuma pārdale starp pasākumiem </w:t>
            </w:r>
            <w:r w:rsidR="00467B7F" w:rsidRPr="006330A2">
              <w:t xml:space="preserve">daļēji </w:t>
            </w:r>
            <w:r w:rsidRPr="006330A2">
              <w:t>ietekmēs 1.1.1.3. pasākuma rādītāju sasnieg</w:t>
            </w:r>
            <w:r w:rsidR="00467B7F" w:rsidRPr="006330A2">
              <w:t xml:space="preserve">šanu – samazinot ERAF finansējumu, tiks samazināts </w:t>
            </w:r>
            <w:r w:rsidR="00A14FEE" w:rsidRPr="006330A2">
              <w:t xml:space="preserve">plānotais </w:t>
            </w:r>
            <w:r w:rsidR="00E666E1" w:rsidRPr="006330A2">
              <w:t>piesaistīt</w:t>
            </w:r>
            <w:r w:rsidR="00A14FEE" w:rsidRPr="006330A2">
              <w:t>o</w:t>
            </w:r>
            <w:r w:rsidR="00E666E1" w:rsidRPr="006330A2">
              <w:t xml:space="preserve"> </w:t>
            </w:r>
            <w:r w:rsidR="00467B7F" w:rsidRPr="006330A2">
              <w:t>privāt</w:t>
            </w:r>
            <w:r w:rsidR="00F7620C" w:rsidRPr="006330A2">
              <w:t>o</w:t>
            </w:r>
            <w:r w:rsidR="00467B7F" w:rsidRPr="006330A2">
              <w:t xml:space="preserve"> investīciju apjoms</w:t>
            </w:r>
            <w:r w:rsidR="00F7620C" w:rsidRPr="006330A2">
              <w:t xml:space="preserve">. Vienlaikus </w:t>
            </w:r>
            <w:r w:rsidR="006A6A76" w:rsidRPr="006330A2">
              <w:t xml:space="preserve">uz esošo brīdi </w:t>
            </w:r>
            <w:r w:rsidRPr="006330A2">
              <w:t>indikatīvais 1.1.1.3. pasākuma finansējuma atlikums ir pietiekams</w:t>
            </w:r>
            <w:r w:rsidR="006A6A76" w:rsidRPr="006330A2">
              <w:t>,</w:t>
            </w:r>
            <w:r w:rsidR="00872A4B" w:rsidRPr="006330A2">
              <w:t xml:space="preserve"> lai sasniegtu </w:t>
            </w:r>
            <w:r w:rsidR="00E666E1" w:rsidRPr="006330A2">
              <w:t xml:space="preserve">1.1.1.3. pasākuma ietvaros noteiktās </w:t>
            </w:r>
            <w:r w:rsidR="00B15631" w:rsidRPr="006330A2">
              <w:t xml:space="preserve">1.1.1. specifiskā atbalsta mērķa "Palielināt Latvijas zinātnisko institūciju pētniecisko un inovatīvo kapacitāti un spēju piesaistīt ārējo finansējumu, ieguldot cilvēkresursos un infrastruktūrā" (turpmāk – 1.1.1. SAM) </w:t>
            </w:r>
            <w:r w:rsidR="002D1255" w:rsidRPr="006330A2">
              <w:t xml:space="preserve">kopējo </w:t>
            </w:r>
            <w:r w:rsidR="00872A4B" w:rsidRPr="006330A2">
              <w:t>rādītāju atlikušās</w:t>
            </w:r>
            <w:r w:rsidR="006A6A76" w:rsidRPr="006330A2">
              <w:t xml:space="preserve"> vērtīb</w:t>
            </w:r>
            <w:r w:rsidR="00872A4B" w:rsidRPr="006330A2">
              <w:t>as</w:t>
            </w:r>
            <w:r w:rsidR="006A6A76" w:rsidRPr="006330A2">
              <w:t>.</w:t>
            </w:r>
          </w:p>
          <w:p w14:paraId="5393CEBA" w14:textId="77777777" w:rsidR="00983E49" w:rsidRPr="006330A2" w:rsidRDefault="00983E49" w:rsidP="001F2EE0">
            <w:pPr>
              <w:jc w:val="both"/>
            </w:pPr>
          </w:p>
          <w:p w14:paraId="5393CEBB" w14:textId="77777777" w:rsidR="00266A7C" w:rsidRPr="006330A2" w:rsidRDefault="001F2EE0" w:rsidP="001F2EE0">
            <w:pPr>
              <w:jc w:val="both"/>
            </w:pPr>
            <w:r w:rsidRPr="006330A2">
              <w:t xml:space="preserve">ERAF finansējums 1.1.1.3. pasākuma īstenošanai </w:t>
            </w:r>
            <w:r w:rsidR="00E22FB2">
              <w:t>sākotnēji</w:t>
            </w:r>
            <w:r w:rsidRPr="006330A2">
              <w:t xml:space="preserve"> sastād</w:t>
            </w:r>
            <w:r w:rsidR="00E22FB2">
              <w:t>īja</w:t>
            </w:r>
            <w:r w:rsidRPr="006330A2">
              <w:t xml:space="preserve"> 28 900 000 </w:t>
            </w:r>
            <w:proofErr w:type="spellStart"/>
            <w:r w:rsidRPr="006330A2">
              <w:rPr>
                <w:i/>
              </w:rPr>
              <w:t>euro</w:t>
            </w:r>
            <w:proofErr w:type="spellEnd"/>
            <w:r w:rsidRPr="006330A2">
              <w:t xml:space="preserve">, no kuriem 19 850 697 </w:t>
            </w:r>
            <w:proofErr w:type="spellStart"/>
            <w:r w:rsidRPr="006330A2">
              <w:t>euro</w:t>
            </w:r>
            <w:proofErr w:type="spellEnd"/>
            <w:r w:rsidRPr="006330A2">
              <w:t xml:space="preserve"> tika paredzēti pirmās atlases</w:t>
            </w:r>
            <w:r w:rsidRPr="006330A2">
              <w:tab/>
              <w:t xml:space="preserve">kārtas izsludināšanai un 9 </w:t>
            </w:r>
            <w:r w:rsidRPr="006330A2">
              <w:lastRenderedPageBreak/>
              <w:t xml:space="preserve">049 303 </w:t>
            </w:r>
            <w:proofErr w:type="spellStart"/>
            <w:r w:rsidRPr="006330A2">
              <w:rPr>
                <w:i/>
              </w:rPr>
              <w:t>euro</w:t>
            </w:r>
            <w:proofErr w:type="spellEnd"/>
            <w:r w:rsidRPr="006330A2">
              <w:t xml:space="preserve"> otrās atlases kārtas izsludināšanai. </w:t>
            </w:r>
            <w:r w:rsidR="00266A7C" w:rsidRPr="006330A2">
              <w:t xml:space="preserve">Atbilstoši MK Noteikumu Nr.41. 7.1. apakšpunktam 1.1.1.3. pasākuma ietvaros ir jāpiesaista 270 komersanti, kuri sadarbojas ar pētniecības institūcijām un vismaz 9 633 333 </w:t>
            </w:r>
            <w:proofErr w:type="spellStart"/>
            <w:r w:rsidR="00266A7C" w:rsidRPr="006330A2">
              <w:rPr>
                <w:i/>
              </w:rPr>
              <w:t>euro</w:t>
            </w:r>
            <w:proofErr w:type="spellEnd"/>
            <w:r w:rsidR="00266A7C" w:rsidRPr="006330A2">
              <w:t xml:space="preserve"> privātās investīcijas, kas papildina valsts atbalstu inovācijām vai pētniecības un izstrādes projektiem. Proporcionāli publiskā finansējuma sadalījumam starp abām kārtām pirmās atlases kārtas ietvaros tika plānots sasniegt 69% no kopējiem 1.1.1.3. pasākuma rādītājiem un otrās atlases kārtas ietvaros – 31%. </w:t>
            </w:r>
          </w:p>
          <w:p w14:paraId="5393CEBC" w14:textId="77777777" w:rsidR="000F3768" w:rsidRPr="006330A2" w:rsidRDefault="00432EA1" w:rsidP="00E57355">
            <w:pPr>
              <w:jc w:val="both"/>
            </w:pPr>
            <w:r w:rsidRPr="006330A2">
              <w:t xml:space="preserve">Uz šo brīdi pirmās atlases kārtas ietvaros </w:t>
            </w:r>
            <w:r w:rsidR="00F53FAC" w:rsidRPr="006330A2">
              <w:t xml:space="preserve">atbilstoši projektu iesniegumos sniegtajai informācijai projektu ietvaros </w:t>
            </w:r>
            <w:r w:rsidRPr="006330A2">
              <w:t xml:space="preserve">tiek plānots piesaistīt 164 komersantus (61% no </w:t>
            </w:r>
            <w:r w:rsidR="00F53FAC" w:rsidRPr="006330A2">
              <w:t>MK Noteikumu Nr.41. 7.1.1.</w:t>
            </w:r>
            <w:r w:rsidR="008D0FE1" w:rsidRPr="006330A2">
              <w:t xml:space="preserve"> apakšpunktā noteiktā rādītāja vērtības</w:t>
            </w:r>
            <w:r w:rsidR="00F53FAC" w:rsidRPr="006330A2">
              <w:t xml:space="preserve">) </w:t>
            </w:r>
            <w:r w:rsidRPr="006330A2">
              <w:t xml:space="preserve">un </w:t>
            </w:r>
            <w:r w:rsidR="00F53FAC" w:rsidRPr="006330A2">
              <w:t xml:space="preserve">privātās investīcijas </w:t>
            </w:r>
            <w:r w:rsidRPr="006330A2">
              <w:t xml:space="preserve">3 563 558 </w:t>
            </w:r>
            <w:proofErr w:type="spellStart"/>
            <w:r w:rsidRPr="006330A2">
              <w:rPr>
                <w:i/>
              </w:rPr>
              <w:t>euro</w:t>
            </w:r>
            <w:proofErr w:type="spellEnd"/>
            <w:r w:rsidR="00F53FAC" w:rsidRPr="006330A2">
              <w:t xml:space="preserve"> apmērā</w:t>
            </w:r>
            <w:r w:rsidRPr="006330A2">
              <w:t xml:space="preserve"> (37% no </w:t>
            </w:r>
            <w:r w:rsidR="00F53FAC" w:rsidRPr="006330A2">
              <w:t xml:space="preserve">MK Noteikumu Nr.41. 7.1.2. apakšpunktā </w:t>
            </w:r>
            <w:r w:rsidR="008D0FE1" w:rsidRPr="006330A2">
              <w:t>noteiktā rādītāja vērtības</w:t>
            </w:r>
            <w:r w:rsidRPr="006330A2">
              <w:t xml:space="preserve">). </w:t>
            </w:r>
            <w:r w:rsidR="00E80884" w:rsidRPr="006330A2">
              <w:t xml:space="preserve">Kopējais indikatīvais ERAF finansējuma atlikums 1.1.1.3. pasākuma ietvaros sastāda 18 209 329 </w:t>
            </w:r>
            <w:proofErr w:type="spellStart"/>
            <w:r w:rsidR="00E80884" w:rsidRPr="006330A2">
              <w:rPr>
                <w:i/>
              </w:rPr>
              <w:t>euro</w:t>
            </w:r>
            <w:proofErr w:type="spellEnd"/>
            <w:r w:rsidR="00E80884" w:rsidRPr="006330A2">
              <w:t xml:space="preserve"> (tai skaitā pirmās atlases kārtas ietvaros izveidotais indikatīvais ERAF finansējuma ietaupījums 9 160 026 </w:t>
            </w:r>
            <w:proofErr w:type="spellStart"/>
            <w:r w:rsidR="00E80884" w:rsidRPr="006330A2">
              <w:rPr>
                <w:i/>
              </w:rPr>
              <w:t>euro</w:t>
            </w:r>
            <w:proofErr w:type="spellEnd"/>
            <w:r w:rsidR="00E80884" w:rsidRPr="006330A2">
              <w:t xml:space="preserve"> apmērā</w:t>
            </w:r>
            <w:r w:rsidR="00DE7A06" w:rsidRPr="006330A2">
              <w:t xml:space="preserve"> un snieguma rezerve 9 049 303 </w:t>
            </w:r>
            <w:proofErr w:type="spellStart"/>
            <w:r w:rsidR="00DE7A06" w:rsidRPr="006330A2">
              <w:rPr>
                <w:i/>
              </w:rPr>
              <w:t>euro</w:t>
            </w:r>
            <w:proofErr w:type="spellEnd"/>
            <w:r w:rsidR="00DE7A06" w:rsidRPr="006330A2">
              <w:t xml:space="preserve"> apmērā</w:t>
            </w:r>
            <w:r w:rsidR="00E80884" w:rsidRPr="006330A2">
              <w:t>).</w:t>
            </w:r>
            <w:r w:rsidR="004158AE" w:rsidRPr="006330A2">
              <w:t xml:space="preserve"> </w:t>
            </w:r>
            <w:r w:rsidR="00DE7A06" w:rsidRPr="006330A2">
              <w:t xml:space="preserve">Pēc finanšu pārdales </w:t>
            </w:r>
            <w:r w:rsidR="000F3768" w:rsidRPr="006330A2">
              <w:t xml:space="preserve">1.1.1.4. un 1.1.1.5. pasākumiem ERAF finansējuma atlikums </w:t>
            </w:r>
            <w:r w:rsidR="00983E49" w:rsidRPr="006330A2">
              <w:t xml:space="preserve">1.1.1.3. pasākumam </w:t>
            </w:r>
            <w:r w:rsidR="000F3768" w:rsidRPr="006330A2">
              <w:t xml:space="preserve">sastādīs 9 844 987 </w:t>
            </w:r>
            <w:proofErr w:type="spellStart"/>
            <w:r w:rsidR="000F3768" w:rsidRPr="006330A2">
              <w:t>euro</w:t>
            </w:r>
            <w:proofErr w:type="spellEnd"/>
            <w:r w:rsidR="001C6630" w:rsidRPr="006330A2">
              <w:t xml:space="preserve"> jeb 34% no kopējā 1.1.1.3. pasākumam pieejamā ERAF finansējuma</w:t>
            </w:r>
            <w:r w:rsidR="000F3768" w:rsidRPr="006330A2">
              <w:t>.</w:t>
            </w:r>
            <w:r w:rsidR="001C6630" w:rsidRPr="006330A2">
              <w:t xml:space="preserve"> </w:t>
            </w:r>
          </w:p>
          <w:p w14:paraId="5393CEBD" w14:textId="77777777" w:rsidR="001B5CF1" w:rsidRPr="006330A2" w:rsidRDefault="00432EA1" w:rsidP="002E7131">
            <w:pPr>
              <w:jc w:val="both"/>
            </w:pPr>
            <w:r w:rsidRPr="006330A2">
              <w:t>Ņemot vērā to, ka pirmās atlases kārtas ietvaros</w:t>
            </w:r>
            <w:r w:rsidR="00156964" w:rsidRPr="006330A2">
              <w:t xml:space="preserve"> indikatīvais</w:t>
            </w:r>
            <w:r w:rsidRPr="006330A2">
              <w:t xml:space="preserve"> ERAF finansējum</w:t>
            </w:r>
            <w:r w:rsidR="00887E02" w:rsidRPr="006330A2">
              <w:t>s</w:t>
            </w:r>
            <w:r w:rsidRPr="006330A2">
              <w:t xml:space="preserve"> ir mazāks nekā plānots (37% nevis 69%), </w:t>
            </w:r>
            <w:r w:rsidR="00E57355" w:rsidRPr="006330A2">
              <w:t xml:space="preserve">piesaistīto komersantu rādītāja izpilde </w:t>
            </w:r>
            <w:r w:rsidR="00AD526D" w:rsidRPr="006330A2">
              <w:t xml:space="preserve">pret pieprasīto finansējuma apmēru </w:t>
            </w:r>
            <w:r w:rsidR="00E57355" w:rsidRPr="006330A2">
              <w:t xml:space="preserve">būtu vērtējama </w:t>
            </w:r>
            <w:r w:rsidR="007D1D57" w:rsidRPr="006330A2">
              <w:t>pozitīvi</w:t>
            </w:r>
            <w:r w:rsidR="00E57355" w:rsidRPr="006330A2">
              <w:t>, pieņemot, ka</w:t>
            </w:r>
            <w:r w:rsidR="001B5CF1" w:rsidRPr="006330A2">
              <w:t xml:space="preserve"> </w:t>
            </w:r>
            <w:r w:rsidR="00E57355" w:rsidRPr="006330A2">
              <w:t xml:space="preserve">atlikušo rādītāja apjomu būtu iespējams sasniegt </w:t>
            </w:r>
            <w:r w:rsidR="002E7131" w:rsidRPr="006330A2">
              <w:t xml:space="preserve">ar </w:t>
            </w:r>
            <w:r w:rsidR="00E57355" w:rsidRPr="006330A2">
              <w:t>pie</w:t>
            </w:r>
            <w:r w:rsidR="001B5CF1" w:rsidRPr="006330A2">
              <w:t>ejamo finansējuma atlikuma</w:t>
            </w:r>
            <w:r w:rsidR="00E57355" w:rsidRPr="006330A2">
              <w:t xml:space="preserve"> </w:t>
            </w:r>
            <w:r w:rsidR="00237327" w:rsidRPr="006330A2">
              <w:t>un snieguma rezerves izlietojumu</w:t>
            </w:r>
            <w:r w:rsidR="00E57355" w:rsidRPr="006330A2">
              <w:t>, ievērojot esošo pieeju</w:t>
            </w:r>
            <w:r w:rsidR="00F914AE" w:rsidRPr="006330A2">
              <w:t xml:space="preserve"> 1.1.1.3. pasākuma</w:t>
            </w:r>
            <w:r w:rsidR="00E57355" w:rsidRPr="006330A2">
              <w:t xml:space="preserve"> </w:t>
            </w:r>
            <w:r w:rsidR="002E774B" w:rsidRPr="006330A2">
              <w:t xml:space="preserve">vērtēšanas kritērijos un MK </w:t>
            </w:r>
            <w:r w:rsidR="00145710" w:rsidRPr="006330A2">
              <w:t>n</w:t>
            </w:r>
            <w:r w:rsidR="002E774B" w:rsidRPr="006330A2">
              <w:t xml:space="preserve">oteikumos Nr.41 </w:t>
            </w:r>
            <w:r w:rsidR="00E57355" w:rsidRPr="006330A2">
              <w:t>par komersantu piesaisti proporcionāli pieprasītajam ERAF finansējumam</w:t>
            </w:r>
            <w:r w:rsidR="002E7131" w:rsidRPr="006330A2">
              <w:t>.</w:t>
            </w:r>
          </w:p>
          <w:p w14:paraId="5393CEBE" w14:textId="77777777" w:rsidR="00E57355" w:rsidRPr="006330A2" w:rsidRDefault="00887E02" w:rsidP="002E7131">
            <w:pPr>
              <w:jc w:val="both"/>
            </w:pPr>
            <w:r w:rsidRPr="006330A2">
              <w:t>K</w:t>
            </w:r>
            <w:r w:rsidR="002E7131" w:rsidRPr="006330A2">
              <w:t xml:space="preserve">opējā rādītāja vērtība var </w:t>
            </w:r>
            <w:r w:rsidRPr="006330A2">
              <w:t xml:space="preserve">arī </w:t>
            </w:r>
            <w:r w:rsidR="002E7131" w:rsidRPr="006330A2">
              <w:t xml:space="preserve">tikt sasniegta, </w:t>
            </w:r>
            <w:r w:rsidR="00E57355" w:rsidRPr="006330A2">
              <w:t>v</w:t>
            </w:r>
            <w:r w:rsidR="00B15631" w:rsidRPr="006330A2">
              <w:t xml:space="preserve">eicot finanšu pārdali uz citu </w:t>
            </w:r>
            <w:r w:rsidRPr="006330A2">
              <w:t>pasākumu</w:t>
            </w:r>
            <w:r w:rsidR="00B15631" w:rsidRPr="006330A2">
              <w:t xml:space="preserve"> </w:t>
            </w:r>
            <w:r w:rsidR="00E57355" w:rsidRPr="006330A2">
              <w:t xml:space="preserve">1.1.1. SAM </w:t>
            </w:r>
            <w:r w:rsidRPr="006330A2">
              <w:t>ietvaros</w:t>
            </w:r>
            <w:r w:rsidR="00E57355" w:rsidRPr="006330A2">
              <w:t>.</w:t>
            </w:r>
            <w:r w:rsidR="005C47CE" w:rsidRPr="006330A2">
              <w:t xml:space="preserve"> </w:t>
            </w:r>
          </w:p>
          <w:p w14:paraId="5393CEBF" w14:textId="77777777" w:rsidR="00CB3BDB" w:rsidRDefault="00CD5B7A" w:rsidP="00CB3BDB">
            <w:pPr>
              <w:jc w:val="both"/>
            </w:pPr>
            <w:r w:rsidRPr="006330A2">
              <w:t>1.1.1.3. pasākuma nosacīju izstrādes laikā, lai veicinātu inovāciju un sadarbības kultūras ieviešanu augstskolās, MK noteikumos Nr.41. projekta īstenošanai tika paredzēts piesaistīt privāto līdzfinansējumu vismaz 25 procentu apmērā</w:t>
            </w:r>
            <w:r w:rsidR="00CD2830" w:rsidRPr="006330A2">
              <w:t xml:space="preserve"> no projekta kopējām attiecināmajām izmaksām</w:t>
            </w:r>
            <w:r w:rsidRPr="006330A2">
              <w:t xml:space="preserve">, kas ir lielāks nekā radītāju pasē ieguldījumu prioritātes specifiskajiem mērķiem (turpmāk – rādītāju pase) paredzētais. </w:t>
            </w:r>
            <w:r w:rsidR="008A46DE" w:rsidRPr="006330A2">
              <w:t xml:space="preserve">Jāatzīmē, ka jau šobrīd apstiprinātajos projektos un vērtēšanā esošajos projektu iesniegumos ir plānots sasniegt 1.1.1.3.pasākumam noteikto iznākuma rādītāja „Privātās investīcijas, kas papildina valsts atbalstu inovācijām vai pētniecības un izstrādes projektiem” vērtību rādītāju pasē noteiktajā apjomā uz 2023.gadu (rādītāju pasē: 3 128 000 </w:t>
            </w:r>
            <w:proofErr w:type="spellStart"/>
            <w:r w:rsidR="008A46DE" w:rsidRPr="006330A2">
              <w:rPr>
                <w:i/>
              </w:rPr>
              <w:t>euro</w:t>
            </w:r>
            <w:proofErr w:type="spellEnd"/>
            <w:r w:rsidR="008A46DE" w:rsidRPr="006330A2">
              <w:rPr>
                <w:i/>
              </w:rPr>
              <w:t xml:space="preserve">; </w:t>
            </w:r>
            <w:r w:rsidR="008A46DE" w:rsidRPr="006330A2">
              <w:t xml:space="preserve">projektos: 3 563 558 </w:t>
            </w:r>
            <w:proofErr w:type="spellStart"/>
            <w:r w:rsidR="008A46DE" w:rsidRPr="006330A2">
              <w:rPr>
                <w:i/>
              </w:rPr>
              <w:t>euro</w:t>
            </w:r>
            <w:proofErr w:type="spellEnd"/>
            <w:r w:rsidR="008A46DE" w:rsidRPr="006330A2">
              <w:rPr>
                <w:i/>
              </w:rPr>
              <w:t>)</w:t>
            </w:r>
            <w:r w:rsidR="008A46DE" w:rsidRPr="006330A2">
              <w:t xml:space="preserve">. </w:t>
            </w:r>
            <w:r w:rsidR="00145710" w:rsidRPr="006330A2">
              <w:t xml:space="preserve">Tādējādi, </w:t>
            </w:r>
            <w:r w:rsidR="00CB3BDB" w:rsidRPr="006330A2">
              <w:t xml:space="preserve">jau 1.1.1.3. pasākuma pirmās atlases kārtas ietvaros indikatīvais </w:t>
            </w:r>
            <w:r w:rsidR="00CB3BDB" w:rsidRPr="006330A2">
              <w:lastRenderedPageBreak/>
              <w:t>privātais finansējums pārsniedz attiecīgo rādītāju pasē plānoto 1.1.1.3. pasākuma rādītāja vērtību</w:t>
            </w:r>
            <w:r w:rsidR="008373FD" w:rsidRPr="006330A2">
              <w:t xml:space="preserve"> uz 2023. gadu</w:t>
            </w:r>
            <w:r w:rsidR="00CB3BDB" w:rsidRPr="006330A2">
              <w:t xml:space="preserve">. </w:t>
            </w:r>
          </w:p>
          <w:p w14:paraId="5393CEC0" w14:textId="77777777" w:rsidR="009C27FB" w:rsidRPr="006330A2" w:rsidRDefault="009C27FB" w:rsidP="00957CC6">
            <w:pPr>
              <w:jc w:val="both"/>
            </w:pPr>
          </w:p>
          <w:p w14:paraId="5393CEC1" w14:textId="77777777" w:rsidR="00F80A37" w:rsidRPr="006330A2" w:rsidRDefault="002957A3" w:rsidP="00CA60C1">
            <w:pPr>
              <w:jc w:val="both"/>
            </w:pPr>
            <w:r w:rsidRPr="006330A2">
              <w:rPr>
                <w:b/>
              </w:rPr>
              <w:t>2</w:t>
            </w:r>
            <w:r w:rsidR="001A41CB" w:rsidRPr="006330A2">
              <w:rPr>
                <w:b/>
              </w:rPr>
              <w:t>. P</w:t>
            </w:r>
            <w:r w:rsidR="00417E3B" w:rsidRPr="006330A2">
              <w:rPr>
                <w:b/>
              </w:rPr>
              <w:t xml:space="preserve">recizēt </w:t>
            </w:r>
            <w:r w:rsidR="00DC7F58" w:rsidRPr="006330A2">
              <w:rPr>
                <w:rFonts w:eastAsia="Times New Roman"/>
                <w:b/>
                <w:bCs/>
                <w:iCs/>
              </w:rPr>
              <w:t>M</w:t>
            </w:r>
            <w:r w:rsidR="00264BEF" w:rsidRPr="006330A2">
              <w:rPr>
                <w:rFonts w:eastAsia="Times New Roman"/>
                <w:b/>
                <w:iCs/>
              </w:rPr>
              <w:t xml:space="preserve">etodikas </w:t>
            </w:r>
            <w:r w:rsidR="00417E3B" w:rsidRPr="006330A2">
              <w:rPr>
                <w:b/>
              </w:rPr>
              <w:t>piemērošan</w:t>
            </w:r>
            <w:r w:rsidR="00C1346C" w:rsidRPr="006330A2">
              <w:rPr>
                <w:b/>
              </w:rPr>
              <w:t>as nosacījumu</w:t>
            </w:r>
            <w:r w:rsidR="00417E3B" w:rsidRPr="006330A2">
              <w:t xml:space="preserve"> </w:t>
            </w:r>
            <w:r w:rsidR="0065033C" w:rsidRPr="006330A2">
              <w:t xml:space="preserve"> </w:t>
            </w:r>
            <w:r w:rsidR="0065033C" w:rsidRPr="006330A2">
              <w:rPr>
                <w:b/>
              </w:rPr>
              <w:t>studentu inovāciju pieteiku</w:t>
            </w:r>
            <w:r w:rsidR="00417E3B" w:rsidRPr="006330A2">
              <w:rPr>
                <w:b/>
              </w:rPr>
              <w:t>mu īstenošanai paredzētajām izmaksām</w:t>
            </w:r>
            <w:r w:rsidR="007A4D56" w:rsidRPr="006330A2">
              <w:rPr>
                <w:b/>
              </w:rPr>
              <w:t xml:space="preserve"> (ekspertu atlīdzības izmaksas</w:t>
            </w:r>
            <w:r w:rsidR="00961091" w:rsidRPr="006330A2">
              <w:rPr>
                <w:b/>
              </w:rPr>
              <w:t xml:space="preserve"> par individuālo konsultāciju sniegšanu</w:t>
            </w:r>
            <w:r w:rsidR="007A4D56" w:rsidRPr="006330A2">
              <w:rPr>
                <w:b/>
              </w:rPr>
              <w:t>, materiālu un pakalpojumu izmaksas, studējošo mobilitātes izmaksas)</w:t>
            </w:r>
            <w:r w:rsidR="0065033C" w:rsidRPr="006330A2">
              <w:t xml:space="preserve">. </w:t>
            </w:r>
          </w:p>
          <w:p w14:paraId="5393CEC2" w14:textId="77777777" w:rsidR="0082764C" w:rsidRPr="006330A2" w:rsidRDefault="002C470F" w:rsidP="006559C0">
            <w:pPr>
              <w:jc w:val="both"/>
            </w:pPr>
            <w:r w:rsidRPr="006330A2">
              <w:t>Izstrādājot MK noteikumu</w:t>
            </w:r>
            <w:r w:rsidR="008E7B6D" w:rsidRPr="006330A2">
              <w:t>s</w:t>
            </w:r>
            <w:r w:rsidRPr="006330A2">
              <w:t xml:space="preserve"> Nr. 41, tika paredzēts, ka studentu inovāciju pieteikumu īstenošanā iesaistīt</w:t>
            </w:r>
            <w:r w:rsidR="00703030" w:rsidRPr="006330A2">
              <w:t>o</w:t>
            </w:r>
            <w:r w:rsidRPr="006330A2">
              <w:t xml:space="preserve"> studentu darbu vadītāju atlīdzības izmaksām tiks piemērota vienas vienības izmaksu likme. </w:t>
            </w:r>
            <w:r w:rsidR="00417E3B" w:rsidRPr="006330A2">
              <w:t xml:space="preserve">Līdz ar to </w:t>
            </w:r>
            <w:r w:rsidRPr="006330A2">
              <w:t xml:space="preserve">MK noteikumu Nr. 41 34. </w:t>
            </w:r>
            <w:r w:rsidR="002810D0" w:rsidRPr="006330A2">
              <w:t>punktā noteikts</w:t>
            </w:r>
            <w:r w:rsidRPr="006330A2">
              <w:t>, ka līdz vienas vienības izmaksu metodikas spēkā stāšanās dienai studentu darbu vadītāju atlīdzības izmaksas nosaka atbilstoši nostrādātajam stundu skaitam un stundas tarifa likmei saskaņā ar projekta iesniedzēja darba samaksas noteikšanas kārtību</w:t>
            </w:r>
            <w:r w:rsidR="00D048B8" w:rsidRPr="006330A2">
              <w:t xml:space="preserve">, </w:t>
            </w:r>
            <w:r w:rsidR="00417E3B" w:rsidRPr="006330A2">
              <w:t xml:space="preserve">savukārt </w:t>
            </w:r>
            <w:r w:rsidR="00D048B8" w:rsidRPr="006330A2">
              <w:t>p</w:t>
            </w:r>
            <w:r w:rsidRPr="006330A2">
              <w:t xml:space="preserve">ēc vienas vienības izmaksu metodikas spēkā stāšanās minēto izmaksu noteikšanai piemēro attiecīgo metodiku. </w:t>
            </w:r>
          </w:p>
          <w:p w14:paraId="5393CEC3" w14:textId="77777777" w:rsidR="005C38FD" w:rsidRPr="006330A2" w:rsidRDefault="006559C0" w:rsidP="00CA60C1">
            <w:pPr>
              <w:jc w:val="both"/>
            </w:pPr>
            <w:r w:rsidRPr="006330A2">
              <w:t xml:space="preserve">Sākotnēji </w:t>
            </w:r>
            <w:r w:rsidR="00AD2BDB" w:rsidRPr="006330A2">
              <w:t>Metodika</w:t>
            </w:r>
            <w:r w:rsidR="0082764C" w:rsidRPr="006330A2">
              <w:t xml:space="preserve"> tika izstrādāta</w:t>
            </w:r>
            <w:r w:rsidR="0000115D" w:rsidRPr="006330A2">
              <w:t xml:space="preserve"> ar mērķi</w:t>
            </w:r>
            <w:r w:rsidRPr="006330A2">
              <w:t xml:space="preserve"> </w:t>
            </w:r>
            <w:r w:rsidR="0000115D" w:rsidRPr="006330A2">
              <w:t xml:space="preserve">noteikt </w:t>
            </w:r>
            <w:r w:rsidRPr="006330A2">
              <w:t>vienas vienības izmaksu standarta likmi studentu darbu vadītajam</w:t>
            </w:r>
            <w:r w:rsidR="0000115D" w:rsidRPr="006330A2">
              <w:t xml:space="preserve"> (atlīdzības izmaksas)</w:t>
            </w:r>
            <w:r w:rsidRPr="006330A2">
              <w:t xml:space="preserve"> par apstiprinātā  studentu inovāciju pieteikuma īstenošanā iesaistītā studējošā vai studējošo komandas darba vadīšanu un</w:t>
            </w:r>
            <w:r w:rsidR="00F92075" w:rsidRPr="006330A2">
              <w:t xml:space="preserve"> praktisku ieteikumu sniegšanu</w:t>
            </w:r>
            <w:r w:rsidRPr="006330A2">
              <w:t xml:space="preserve"> 1.1.1.3. pasākuma</w:t>
            </w:r>
            <w:r w:rsidR="00986A1B" w:rsidRPr="006330A2">
              <w:t xml:space="preserve"> </w:t>
            </w:r>
            <w:r w:rsidR="0082764C" w:rsidRPr="006330A2">
              <w:t xml:space="preserve">projektā, taču </w:t>
            </w:r>
            <w:r w:rsidR="004A1E26" w:rsidRPr="006330A2">
              <w:t xml:space="preserve">Metodikas </w:t>
            </w:r>
            <w:r w:rsidR="0082764C" w:rsidRPr="006330A2">
              <w:t xml:space="preserve">izstrādes procesā </w:t>
            </w:r>
            <w:r w:rsidR="006A65CD" w:rsidRPr="006330A2">
              <w:t>konstatēts, ka</w:t>
            </w:r>
            <w:r w:rsidR="0082764C" w:rsidRPr="006330A2">
              <w:t xml:space="preserve"> atbilstošu izejas datu </w:t>
            </w:r>
            <w:r w:rsidR="006A65CD" w:rsidRPr="006330A2">
              <w:t>identificēšana nav iespējama</w:t>
            </w:r>
            <w:r w:rsidR="00A27918" w:rsidRPr="006330A2">
              <w:t>.</w:t>
            </w:r>
            <w:r w:rsidR="00900E0E" w:rsidRPr="006330A2">
              <w:t xml:space="preserve"> </w:t>
            </w:r>
            <w:r w:rsidR="00A27918" w:rsidRPr="006330A2">
              <w:t>Ekspertu atalgojuma</w:t>
            </w:r>
            <w:r w:rsidR="00447EFD" w:rsidRPr="006330A2">
              <w:t xml:space="preserve"> </w:t>
            </w:r>
            <w:r w:rsidR="00962962" w:rsidRPr="006330A2">
              <w:t xml:space="preserve">apmēra </w:t>
            </w:r>
            <w:r w:rsidR="00A27918" w:rsidRPr="006330A2">
              <w:t xml:space="preserve">spektrs ir </w:t>
            </w:r>
            <w:r w:rsidR="00417E3B" w:rsidRPr="006330A2">
              <w:t xml:space="preserve">pārāk </w:t>
            </w:r>
            <w:r w:rsidR="00E330A2" w:rsidRPr="006330A2">
              <w:t>plašs</w:t>
            </w:r>
            <w:r w:rsidR="00962962" w:rsidRPr="006330A2">
              <w:t xml:space="preserve"> un to ietekmē dažādi faktori: </w:t>
            </w:r>
            <w:r w:rsidR="00A27918" w:rsidRPr="006330A2">
              <w:t xml:space="preserve">eksperta </w:t>
            </w:r>
            <w:r w:rsidR="00DF336B" w:rsidRPr="006330A2">
              <w:t xml:space="preserve">izglītība, </w:t>
            </w:r>
            <w:r w:rsidR="00A27918" w:rsidRPr="006330A2">
              <w:t>pieredze, darb</w:t>
            </w:r>
            <w:r w:rsidR="00900E0E" w:rsidRPr="006330A2">
              <w:t>ības jomas</w:t>
            </w:r>
            <w:r w:rsidR="00DF336B" w:rsidRPr="006330A2">
              <w:t>, tiek piesaistīts</w:t>
            </w:r>
            <w:r w:rsidR="00630D89" w:rsidRPr="006330A2">
              <w:t xml:space="preserve"> vietēja vai starptautiska mēroga</w:t>
            </w:r>
            <w:r w:rsidR="00DF336B" w:rsidRPr="006330A2">
              <w:t xml:space="preserve"> eksperts</w:t>
            </w:r>
            <w:r w:rsidR="00900E0E" w:rsidRPr="006330A2">
              <w:t xml:space="preserve">, līdz ar to </w:t>
            </w:r>
            <w:r w:rsidR="0000115D" w:rsidRPr="006330A2">
              <w:t xml:space="preserve">secināts, ka </w:t>
            </w:r>
            <w:r w:rsidR="00900E0E" w:rsidRPr="006330A2">
              <w:t xml:space="preserve">noteikt konkrētas likmes </w:t>
            </w:r>
            <w:r w:rsidR="0000115D" w:rsidRPr="006330A2">
              <w:t xml:space="preserve">attiecībā uz studentu darbu vadītāja atlīdzību </w:t>
            </w:r>
            <w:r w:rsidR="00E330A2" w:rsidRPr="006330A2">
              <w:t>nav iespējams</w:t>
            </w:r>
            <w:r w:rsidR="00900E0E" w:rsidRPr="006330A2">
              <w:t xml:space="preserve">. </w:t>
            </w:r>
            <w:r w:rsidR="00E330A2" w:rsidRPr="006330A2">
              <w:t>Minētais apstiprinājās arī konsultācijās ar nozares partneriem Metodikas izstrādes laikā</w:t>
            </w:r>
            <w:r w:rsidR="000412C9" w:rsidRPr="006330A2">
              <w:t xml:space="preserve">. </w:t>
            </w:r>
            <w:r w:rsidR="0065033C" w:rsidRPr="006330A2">
              <w:t>Tādējādi vienas vienības izmaksu likme netiks piemērota studentu darbu vadītāju atlīdzības izmaksām kā tas sākotnēji paredzēts un atrunāts MK noteikumu Nr.</w:t>
            </w:r>
            <w:r w:rsidR="007F3324" w:rsidRPr="006330A2">
              <w:t xml:space="preserve"> </w:t>
            </w:r>
            <w:r w:rsidR="009B6240" w:rsidRPr="006330A2">
              <w:t>41 34.punktā.</w:t>
            </w:r>
          </w:p>
          <w:p w14:paraId="5393CEC4" w14:textId="77777777" w:rsidR="00B35D17" w:rsidRPr="006330A2" w:rsidRDefault="00217151" w:rsidP="0033169E">
            <w:pPr>
              <w:jc w:val="both"/>
            </w:pPr>
            <w:r w:rsidRPr="006330A2">
              <w:t>Metodikas izstrādes procesā</w:t>
            </w:r>
            <w:r w:rsidR="006A65CD" w:rsidRPr="006330A2">
              <w:t>,</w:t>
            </w:r>
            <w:r w:rsidRPr="006330A2">
              <w:t xml:space="preserve"> meklējot piemērotāku pieeju, tika analizēti citi ar studentu </w:t>
            </w:r>
            <w:r w:rsidR="008C3F26" w:rsidRPr="006330A2">
              <w:t xml:space="preserve">inovāciju un </w:t>
            </w:r>
            <w:proofErr w:type="spellStart"/>
            <w:r w:rsidRPr="006330A2">
              <w:t>uzņēmējspēju</w:t>
            </w:r>
            <w:proofErr w:type="spellEnd"/>
            <w:r w:rsidRPr="006330A2">
              <w:t xml:space="preserve"> attīstību saistītie atbalsta veidi un to īstenošanas nosacījumi.</w:t>
            </w:r>
            <w:r w:rsidR="002D1571" w:rsidRPr="006330A2">
              <w:t xml:space="preserve"> </w:t>
            </w:r>
            <w:r w:rsidRPr="006330A2">
              <w:t>T</w:t>
            </w:r>
            <w:r w:rsidR="005C38FD" w:rsidRPr="006330A2">
              <w:t xml:space="preserve">ika </w:t>
            </w:r>
            <w:r w:rsidR="00824E04" w:rsidRPr="006330A2">
              <w:t>konstatēts</w:t>
            </w:r>
            <w:r w:rsidR="005C38FD" w:rsidRPr="006330A2">
              <w:t>, ka 1.1.1.3. pasākumā paredzētajām aktivitātēm līdzīgas aktivitātes</w:t>
            </w:r>
            <w:r w:rsidR="00F242C1" w:rsidRPr="006330A2">
              <w:t xml:space="preserve"> ar</w:t>
            </w:r>
            <w:r w:rsidR="005C38FD" w:rsidRPr="006330A2">
              <w:t xml:space="preserve"> </w:t>
            </w:r>
            <w:r w:rsidR="00E330A2" w:rsidRPr="006330A2">
              <w:t xml:space="preserve"> līdzīgu</w:t>
            </w:r>
            <w:r w:rsidR="005C38FD" w:rsidRPr="006330A2">
              <w:t xml:space="preserve"> mērķi ir </w:t>
            </w:r>
            <w:r w:rsidR="008302C9" w:rsidRPr="006330A2">
              <w:t xml:space="preserve">īstenotas </w:t>
            </w:r>
            <w:r w:rsidR="005C38FD" w:rsidRPr="006330A2">
              <w:t>Eiropas Inovāciju un tehnoloģiju institūta  klimata zināšanu un inovāciju kopienas „</w:t>
            </w:r>
            <w:proofErr w:type="spellStart"/>
            <w:r w:rsidR="005C38FD" w:rsidRPr="006330A2">
              <w:t>Climate</w:t>
            </w:r>
            <w:proofErr w:type="spellEnd"/>
            <w:r w:rsidR="005C38FD" w:rsidRPr="006330A2">
              <w:t xml:space="preserve"> KIC” programmās „</w:t>
            </w:r>
            <w:proofErr w:type="spellStart"/>
            <w:r w:rsidR="005C38FD" w:rsidRPr="006330A2">
              <w:t>Accelerator</w:t>
            </w:r>
            <w:proofErr w:type="spellEnd"/>
            <w:r w:rsidR="005C38FD" w:rsidRPr="006330A2">
              <w:t>” un „</w:t>
            </w:r>
            <w:proofErr w:type="spellStart"/>
            <w:r w:rsidR="005C38FD" w:rsidRPr="006330A2">
              <w:t>Greenhouse</w:t>
            </w:r>
            <w:proofErr w:type="spellEnd"/>
            <w:r w:rsidR="005C38FD" w:rsidRPr="006330A2">
              <w:t xml:space="preserve">”, kurās tiek piemērotas </w:t>
            </w:r>
            <w:proofErr w:type="spellStart"/>
            <w:r w:rsidR="005C38FD" w:rsidRPr="006330A2">
              <w:t>granta</w:t>
            </w:r>
            <w:proofErr w:type="spellEnd"/>
            <w:r w:rsidR="005C38FD" w:rsidRPr="006330A2">
              <w:t xml:space="preserve"> izmaksas </w:t>
            </w:r>
            <w:r w:rsidR="00AD2BDB" w:rsidRPr="006330A2">
              <w:t>komandām</w:t>
            </w:r>
            <w:r w:rsidR="005B1554" w:rsidRPr="006330A2">
              <w:t xml:space="preserve">. </w:t>
            </w:r>
            <w:r w:rsidR="006A65CD" w:rsidRPr="006330A2">
              <w:rPr>
                <w:rFonts w:eastAsia="Times New Roman"/>
              </w:rPr>
              <w:t xml:space="preserve">Līdz ar to </w:t>
            </w:r>
            <w:r w:rsidR="005B1554" w:rsidRPr="006330A2">
              <w:rPr>
                <w:rFonts w:eastAsia="Times New Roman"/>
              </w:rPr>
              <w:t>diskusij</w:t>
            </w:r>
            <w:r w:rsidR="00C84E2A" w:rsidRPr="006330A2">
              <w:rPr>
                <w:rFonts w:eastAsia="Times New Roman"/>
              </w:rPr>
              <w:t>ā</w:t>
            </w:r>
            <w:r w:rsidR="005B1554" w:rsidRPr="006330A2">
              <w:rPr>
                <w:rFonts w:eastAsia="Times New Roman"/>
              </w:rPr>
              <w:t>s ar augstākās izglītības institūcijām</w:t>
            </w:r>
            <w:r w:rsidR="00C84E2A" w:rsidRPr="006330A2">
              <w:rPr>
                <w:rFonts w:eastAsia="Times New Roman"/>
              </w:rPr>
              <w:t xml:space="preserve"> tika piedāvāts </w:t>
            </w:r>
            <w:r w:rsidR="005B1554" w:rsidRPr="006330A2">
              <w:rPr>
                <w:rFonts w:eastAsia="Times New Roman"/>
              </w:rPr>
              <w:t xml:space="preserve">Metodikas </w:t>
            </w:r>
            <w:r w:rsidR="00C84E2A" w:rsidRPr="006330A2">
              <w:rPr>
                <w:rFonts w:eastAsia="Times New Roman"/>
              </w:rPr>
              <w:t xml:space="preserve">izstrādē </w:t>
            </w:r>
            <w:r w:rsidR="005B1554" w:rsidRPr="006330A2">
              <w:rPr>
                <w:rFonts w:eastAsia="Times New Roman"/>
              </w:rPr>
              <w:t xml:space="preserve">izmantot </w:t>
            </w:r>
            <w:r w:rsidR="00573007" w:rsidRPr="006330A2">
              <w:rPr>
                <w:rFonts w:eastAsia="Times New Roman"/>
              </w:rPr>
              <w:t xml:space="preserve">iepriekšminēto </w:t>
            </w:r>
            <w:r w:rsidR="001A41CB" w:rsidRPr="006330A2">
              <w:rPr>
                <w:rFonts w:eastAsia="Times New Roman"/>
              </w:rPr>
              <w:t xml:space="preserve">pieeju </w:t>
            </w:r>
            <w:r w:rsidR="00573007" w:rsidRPr="006330A2">
              <w:rPr>
                <w:rFonts w:eastAsia="Times New Roman"/>
              </w:rPr>
              <w:t xml:space="preserve">attiecībā uz </w:t>
            </w:r>
            <w:proofErr w:type="spellStart"/>
            <w:r w:rsidR="00573007" w:rsidRPr="006330A2">
              <w:rPr>
                <w:rFonts w:eastAsia="Times New Roman"/>
              </w:rPr>
              <w:t>grantu</w:t>
            </w:r>
            <w:proofErr w:type="spellEnd"/>
            <w:r w:rsidR="00573007" w:rsidRPr="006330A2">
              <w:rPr>
                <w:rFonts w:eastAsia="Times New Roman"/>
              </w:rPr>
              <w:t xml:space="preserve"> izmaksām komandām. </w:t>
            </w:r>
            <w:r w:rsidR="00824E04" w:rsidRPr="006330A2">
              <w:rPr>
                <w:rFonts w:eastAsia="Times New Roman"/>
              </w:rPr>
              <w:t>Izmantojot minēto pieeju,</w:t>
            </w:r>
            <w:r w:rsidR="006E2F7E" w:rsidRPr="006330A2">
              <w:rPr>
                <w:rFonts w:eastAsia="Times New Roman"/>
              </w:rPr>
              <w:t xml:space="preserve"> </w:t>
            </w:r>
            <w:r w:rsidR="00AD2BDB" w:rsidRPr="006330A2">
              <w:t>Metodika</w:t>
            </w:r>
            <w:r w:rsidR="00DD4009" w:rsidRPr="006330A2">
              <w:t xml:space="preserve"> izstrādāta,</w:t>
            </w:r>
            <w:r w:rsidR="00AD2BDB" w:rsidRPr="006330A2">
              <w:t xml:space="preserve"> nosak</w:t>
            </w:r>
            <w:r w:rsidR="00DD4009" w:rsidRPr="006330A2">
              <w:t>ot</w:t>
            </w:r>
            <w:r w:rsidR="00AD2BDB" w:rsidRPr="006330A2">
              <w:t xml:space="preserve"> vien</w:t>
            </w:r>
            <w:r w:rsidR="00F170D8" w:rsidRPr="006330A2">
              <w:t xml:space="preserve">reizējā maksājuma </w:t>
            </w:r>
            <w:r w:rsidR="00AD2BDB" w:rsidRPr="006330A2">
              <w:t xml:space="preserve">apmēru viena apstiprināta </w:t>
            </w:r>
            <w:r w:rsidR="00FC35E5" w:rsidRPr="006330A2">
              <w:t xml:space="preserve"> studentu inovāciju pieteikuma</w:t>
            </w:r>
            <w:r w:rsidR="00AD2BDB" w:rsidRPr="006330A2">
              <w:t xml:space="preserve"> īstenošanai </w:t>
            </w:r>
            <w:r w:rsidR="00AD2BDB" w:rsidRPr="006330A2">
              <w:lastRenderedPageBreak/>
              <w:t>Student</w:t>
            </w:r>
            <w:r w:rsidR="0095206B" w:rsidRPr="006330A2">
              <w:t>u inovāciju programmas ietvaros, attiecinot studentu inovāciju pieteikumu īstenošanai paredzētās</w:t>
            </w:r>
            <w:r w:rsidR="00B35D17" w:rsidRPr="006330A2">
              <w:t>:</w:t>
            </w:r>
          </w:p>
          <w:p w14:paraId="5393CEC5" w14:textId="77777777" w:rsidR="00B35D17" w:rsidRPr="006330A2" w:rsidRDefault="00B35D17" w:rsidP="00B35D17">
            <w:pPr>
              <w:pStyle w:val="ListParagraph"/>
              <w:numPr>
                <w:ilvl w:val="0"/>
                <w:numId w:val="18"/>
              </w:numPr>
              <w:jc w:val="both"/>
              <w:rPr>
                <w:sz w:val="24"/>
                <w:szCs w:val="24"/>
              </w:rPr>
            </w:pPr>
            <w:r w:rsidRPr="006330A2">
              <w:rPr>
                <w:sz w:val="24"/>
                <w:szCs w:val="24"/>
              </w:rPr>
              <w:t>materiālu un pakalpojumu izmaksas, tostarp laboratoriju, testēšanas aprīkojuma, projektēšanas iekārtu izmantošanas, analīžu veikšanas, materiālu nodrošinājuma un specializēto mācību izmaksas;</w:t>
            </w:r>
          </w:p>
          <w:p w14:paraId="5393CEC6" w14:textId="77777777" w:rsidR="00B35D17" w:rsidRPr="006330A2" w:rsidRDefault="00B35D17" w:rsidP="00B35D17">
            <w:pPr>
              <w:pStyle w:val="ListParagraph"/>
              <w:numPr>
                <w:ilvl w:val="0"/>
                <w:numId w:val="18"/>
              </w:numPr>
              <w:jc w:val="both"/>
              <w:rPr>
                <w:sz w:val="24"/>
                <w:szCs w:val="24"/>
              </w:rPr>
            </w:pPr>
            <w:r w:rsidRPr="006330A2">
              <w:rPr>
                <w:sz w:val="24"/>
                <w:szCs w:val="24"/>
              </w:rPr>
              <w:t>studējošo mobilitātes izmaksas Latvijā un ārvalstīs, kas tieši saistītas ar konkrētu studentu inovāciju pieteikumu īstenošanu;</w:t>
            </w:r>
          </w:p>
          <w:p w14:paraId="5393CEC7" w14:textId="77777777" w:rsidR="00B35D17" w:rsidRPr="006330A2" w:rsidRDefault="00D060DF" w:rsidP="00D060DF">
            <w:pPr>
              <w:pStyle w:val="ListParagraph"/>
              <w:numPr>
                <w:ilvl w:val="0"/>
                <w:numId w:val="18"/>
              </w:numPr>
              <w:jc w:val="both"/>
              <w:rPr>
                <w:sz w:val="24"/>
                <w:szCs w:val="24"/>
              </w:rPr>
            </w:pPr>
            <w:r w:rsidRPr="006330A2">
              <w:rPr>
                <w:sz w:val="24"/>
                <w:szCs w:val="24"/>
              </w:rPr>
              <w:t>ekspertu atlīdzības izmaksas par individuālo konsultāciju sniegšanu, kas tieši saistītas ar pieteikuma tematiku</w:t>
            </w:r>
            <w:r w:rsidR="00B35D17" w:rsidRPr="006330A2">
              <w:rPr>
                <w:sz w:val="24"/>
                <w:szCs w:val="24"/>
              </w:rPr>
              <w:t>.</w:t>
            </w:r>
          </w:p>
          <w:p w14:paraId="5393CEC8" w14:textId="77777777" w:rsidR="0065033C" w:rsidRPr="006330A2" w:rsidRDefault="009E3278" w:rsidP="0033169E">
            <w:pPr>
              <w:jc w:val="both"/>
              <w:rPr>
                <w:rFonts w:eastAsia="Times New Roman"/>
              </w:rPr>
            </w:pPr>
            <w:r w:rsidRPr="006330A2">
              <w:rPr>
                <w:rFonts w:eastAsia="Times New Roman"/>
              </w:rPr>
              <w:t xml:space="preserve"> </w:t>
            </w:r>
          </w:p>
          <w:p w14:paraId="5393CEC9" w14:textId="77777777" w:rsidR="00206B03" w:rsidRPr="006330A2" w:rsidRDefault="005A121A" w:rsidP="0033169E">
            <w:pPr>
              <w:jc w:val="both"/>
            </w:pPr>
            <w:r w:rsidRPr="006330A2">
              <w:t xml:space="preserve">Noteikumu projekts paredz grozīt MK </w:t>
            </w:r>
            <w:r w:rsidR="007F3324" w:rsidRPr="006330A2">
              <w:t xml:space="preserve">noteikumu </w:t>
            </w:r>
            <w:r w:rsidRPr="006330A2">
              <w:t xml:space="preserve">Nr. 41 </w:t>
            </w:r>
            <w:r w:rsidR="007726DF" w:rsidRPr="006330A2">
              <w:t xml:space="preserve">34. punktu, </w:t>
            </w:r>
            <w:r w:rsidR="00D73144" w:rsidRPr="006330A2">
              <w:t>nosako</w:t>
            </w:r>
            <w:r w:rsidR="00664133" w:rsidRPr="006330A2">
              <w:t>t</w:t>
            </w:r>
            <w:r w:rsidR="00F1574E" w:rsidRPr="006330A2">
              <w:t>, ka</w:t>
            </w:r>
            <w:r w:rsidR="007726DF" w:rsidRPr="006330A2">
              <w:t xml:space="preserve"> </w:t>
            </w:r>
            <w:r w:rsidR="00F1574E" w:rsidRPr="006330A2">
              <w:t>pēc vien</w:t>
            </w:r>
            <w:r w:rsidR="00F170D8" w:rsidRPr="006330A2">
              <w:t xml:space="preserve">kāršoto izmaksu </w:t>
            </w:r>
            <w:r w:rsidR="00F1574E" w:rsidRPr="006330A2">
              <w:t xml:space="preserve">metodikas spēkā stāšanās </w:t>
            </w:r>
            <w:r w:rsidR="001A41CB" w:rsidRPr="006330A2">
              <w:t xml:space="preserve">MK noteikumu Nr. 41 </w:t>
            </w:r>
            <w:r w:rsidR="00941ED5" w:rsidRPr="006330A2">
              <w:t>32.1.2.</w:t>
            </w:r>
            <w:r w:rsidR="002A2E42" w:rsidRPr="006330A2">
              <w:t>1.</w:t>
            </w:r>
            <w:r w:rsidR="00941ED5" w:rsidRPr="006330A2">
              <w:t xml:space="preserve"> apakšpunktā </w:t>
            </w:r>
            <w:r w:rsidR="0071061D" w:rsidRPr="006330A2">
              <w:t>noteiktajām</w:t>
            </w:r>
            <w:r w:rsidR="00941ED5" w:rsidRPr="006330A2">
              <w:t xml:space="preserve"> </w:t>
            </w:r>
            <w:r w:rsidR="002A2E42" w:rsidRPr="006330A2">
              <w:t xml:space="preserve">ekspertu atlīdzības izmaksām par individuālo konsultāciju sniegšanu, kas tieši saistītas ar pieteikuma tematiku (piemēram, konsultācijas par pieteikuma pētījuma specifiku, konkrēta modeļa vai prototipa izstrādi vai testēšanu utt.), </w:t>
            </w:r>
            <w:r w:rsidRPr="006330A2">
              <w:t xml:space="preserve">32.2.2. </w:t>
            </w:r>
            <w:r w:rsidR="007726DF" w:rsidRPr="006330A2">
              <w:t xml:space="preserve">apakšpunktā </w:t>
            </w:r>
            <w:r w:rsidR="00824E04" w:rsidRPr="006330A2">
              <w:t>minētajām ar studentu inovāciju pieteikumu īstenošanu saistīt</w:t>
            </w:r>
            <w:r w:rsidR="00664133" w:rsidRPr="006330A2">
              <w:t>aj</w:t>
            </w:r>
            <w:r w:rsidR="00824E04" w:rsidRPr="006330A2">
              <w:t xml:space="preserve">ām materiālu un pakalpojumu </w:t>
            </w:r>
            <w:r w:rsidR="007726DF" w:rsidRPr="006330A2">
              <w:t xml:space="preserve">izmaksām </w:t>
            </w:r>
            <w:r w:rsidRPr="006330A2">
              <w:t xml:space="preserve">un 32.2.3. </w:t>
            </w:r>
            <w:r w:rsidR="007726DF" w:rsidRPr="006330A2">
              <w:t xml:space="preserve">apakšpunktā paredzētajām </w:t>
            </w:r>
            <w:r w:rsidR="00824E04" w:rsidRPr="006330A2">
              <w:t xml:space="preserve">studējošo mobilitātes izmaksām Latvijā un ārvalstīs </w:t>
            </w:r>
            <w:r w:rsidR="00FC2534" w:rsidRPr="006330A2">
              <w:t xml:space="preserve">piemēro </w:t>
            </w:r>
            <w:r w:rsidR="005D73C3" w:rsidRPr="006330A2">
              <w:t>M</w:t>
            </w:r>
            <w:r w:rsidR="00FC2534" w:rsidRPr="006330A2">
              <w:t>etodiku</w:t>
            </w:r>
            <w:r w:rsidR="00206B03" w:rsidRPr="00206B03">
              <w:t xml:space="preserve">. Līdz vienreizējā maksājuma metodikas spēkā stāšanās dienai </w:t>
            </w:r>
            <w:r w:rsidR="00206B03">
              <w:t>iepriekš</w:t>
            </w:r>
            <w:r w:rsidR="00206B03" w:rsidRPr="00206B03">
              <w:t>minētās izmaksas ir attiecināmas kā faktiskās izmaksas.</w:t>
            </w:r>
          </w:p>
          <w:p w14:paraId="5393CECA" w14:textId="77777777" w:rsidR="0058529E" w:rsidRDefault="0058529E" w:rsidP="0058529E">
            <w:pPr>
              <w:jc w:val="both"/>
              <w:rPr>
                <w:rFonts w:eastAsia="Times New Roman"/>
              </w:rPr>
            </w:pPr>
          </w:p>
          <w:p w14:paraId="5393CECB" w14:textId="77777777" w:rsidR="00174275" w:rsidRDefault="00F242C1" w:rsidP="001763E1">
            <w:pPr>
              <w:pStyle w:val="naisc"/>
              <w:spacing w:before="0" w:after="0"/>
              <w:jc w:val="both"/>
            </w:pPr>
            <w:r w:rsidRPr="006330A2">
              <w:t>M</w:t>
            </w:r>
            <w:r w:rsidR="00DB020A" w:rsidRPr="006330A2">
              <w:t xml:space="preserve">inētie grozījumi MK noteikumos Nr. 41 </w:t>
            </w:r>
            <w:r w:rsidRPr="006330A2">
              <w:t xml:space="preserve">labvēlīgi </w:t>
            </w:r>
            <w:r w:rsidR="00DB020A" w:rsidRPr="006330A2">
              <w:t>ietekmē</w:t>
            </w:r>
            <w:r w:rsidRPr="006330A2">
              <w:t>s</w:t>
            </w:r>
            <w:r w:rsidR="00DB020A" w:rsidRPr="006330A2">
              <w:t xml:space="preserve"> </w:t>
            </w:r>
            <w:r w:rsidR="00986A1B" w:rsidRPr="006330A2">
              <w:t xml:space="preserve">1.1.1.3.pasākuma </w:t>
            </w:r>
            <w:r w:rsidR="00DB020A" w:rsidRPr="006330A2">
              <w:t>projekt</w:t>
            </w:r>
            <w:r w:rsidRPr="006330A2">
              <w:t>u</w:t>
            </w:r>
            <w:r w:rsidR="00DB020A" w:rsidRPr="006330A2">
              <w:t xml:space="preserve"> īstenošanu, jo </w:t>
            </w:r>
            <w:r w:rsidR="005D77C7" w:rsidRPr="00C657F5">
              <w:t xml:space="preserve">Metodikas mērķis ir noteikt </w:t>
            </w:r>
            <w:r w:rsidR="005D77C7">
              <w:t>vienreizējā maksājuma</w:t>
            </w:r>
            <w:r w:rsidR="005D77C7" w:rsidRPr="00C657F5">
              <w:t xml:space="preserve"> apmēru, lai mazinātu administratīv</w:t>
            </w:r>
            <w:r w:rsidR="005D77C7">
              <w:t>o slogu finansējuma saņēmējiem</w:t>
            </w:r>
            <w:r w:rsidRPr="006330A2">
              <w:t xml:space="preserve">. </w:t>
            </w:r>
          </w:p>
          <w:p w14:paraId="5393CECC" w14:textId="77777777" w:rsidR="00174275" w:rsidRDefault="00174275" w:rsidP="00163E14">
            <w:pPr>
              <w:jc w:val="both"/>
              <w:rPr>
                <w:rFonts w:eastAsia="Times New Roman"/>
              </w:rPr>
            </w:pPr>
          </w:p>
          <w:p w14:paraId="5393CECD" w14:textId="77777777" w:rsidR="0058529E" w:rsidRDefault="00986A1B" w:rsidP="00163E14">
            <w:pPr>
              <w:jc w:val="both"/>
            </w:pPr>
            <w:r w:rsidRPr="006330A2">
              <w:rPr>
                <w:rFonts w:eastAsia="Times New Roman"/>
              </w:rPr>
              <w:t>Noteikumu projekta</w:t>
            </w:r>
            <w:r w:rsidR="00F242C1" w:rsidRPr="006330A2">
              <w:rPr>
                <w:rFonts w:eastAsia="Times New Roman"/>
              </w:rPr>
              <w:t xml:space="preserve"> izstrādes laikā </w:t>
            </w:r>
            <w:r w:rsidR="00ED3311" w:rsidRPr="006330A2">
              <w:rPr>
                <w:rFonts w:eastAsia="Times New Roman"/>
              </w:rPr>
              <w:t xml:space="preserve">1.1.1.3.pasākuma </w:t>
            </w:r>
            <w:r w:rsidR="00DB020A" w:rsidRPr="006330A2">
              <w:rPr>
                <w:rFonts w:eastAsia="Times New Roman"/>
              </w:rPr>
              <w:t>projekt</w:t>
            </w:r>
            <w:r w:rsidR="00F242C1" w:rsidRPr="006330A2">
              <w:rPr>
                <w:rFonts w:eastAsia="Times New Roman"/>
              </w:rPr>
              <w:t xml:space="preserve">i </w:t>
            </w:r>
            <w:r w:rsidR="005D77C7">
              <w:rPr>
                <w:rFonts w:eastAsia="Times New Roman"/>
              </w:rPr>
              <w:t xml:space="preserve">vairs neatrodas sagatavošanas fāzē, t.i. projekti </w:t>
            </w:r>
            <w:r w:rsidR="00F242C1" w:rsidRPr="006330A2">
              <w:rPr>
                <w:rFonts w:eastAsia="Times New Roman"/>
              </w:rPr>
              <w:t xml:space="preserve">ir izstrādāti un </w:t>
            </w:r>
            <w:r w:rsidR="005F3BEC" w:rsidRPr="006330A2">
              <w:t xml:space="preserve">notiek nosacījumu izpildes vērtēšana </w:t>
            </w:r>
            <w:r w:rsidR="00B23397">
              <w:t>diviem</w:t>
            </w:r>
            <w:r w:rsidR="00B23397" w:rsidRPr="006330A2">
              <w:t xml:space="preserve"> </w:t>
            </w:r>
            <w:r w:rsidR="005F3BEC" w:rsidRPr="006330A2">
              <w:t>projektu iesniegumiem</w:t>
            </w:r>
            <w:r w:rsidR="00FD5760" w:rsidRPr="006330A2">
              <w:t>, kā arī</w:t>
            </w:r>
            <w:r w:rsidR="005F3BEC" w:rsidRPr="006330A2">
              <w:t xml:space="preserve"> </w:t>
            </w:r>
            <w:r w:rsidR="00B23397">
              <w:t>trīs</w:t>
            </w:r>
            <w:r w:rsidR="00B23397" w:rsidRPr="006330A2">
              <w:t xml:space="preserve"> </w:t>
            </w:r>
            <w:r w:rsidR="005F3BEC" w:rsidRPr="006330A2">
              <w:t>projekta iesniegum</w:t>
            </w:r>
            <w:r w:rsidR="00B1292D" w:rsidRPr="006330A2">
              <w:t>i</w:t>
            </w:r>
            <w:r w:rsidR="005F3BEC" w:rsidRPr="006330A2">
              <w:t xml:space="preserve"> </w:t>
            </w:r>
            <w:r w:rsidR="00FD5760" w:rsidRPr="006330A2">
              <w:t>ir</w:t>
            </w:r>
            <w:r w:rsidR="005F3BEC" w:rsidRPr="006330A2">
              <w:t xml:space="preserve"> apstiprināt</w:t>
            </w:r>
            <w:r w:rsidR="00B1292D" w:rsidRPr="006330A2">
              <w:t>i</w:t>
            </w:r>
            <w:r w:rsidR="005F3BEC" w:rsidRPr="006330A2">
              <w:t xml:space="preserve"> un </w:t>
            </w:r>
            <w:r w:rsidR="00E813D6" w:rsidRPr="006330A2">
              <w:t>divi </w:t>
            </w:r>
            <w:r w:rsidR="00FD5760" w:rsidRPr="006330A2">
              <w:t xml:space="preserve">- </w:t>
            </w:r>
            <w:r w:rsidR="005F3BEC" w:rsidRPr="006330A2">
              <w:t xml:space="preserve"> noraidīt</w:t>
            </w:r>
            <w:r w:rsidR="00E813D6" w:rsidRPr="006330A2">
              <w:t>i</w:t>
            </w:r>
            <w:r w:rsidR="005F3BEC" w:rsidRPr="006330A2">
              <w:t xml:space="preserve">. </w:t>
            </w:r>
            <w:r w:rsidR="005F3BEC" w:rsidRPr="006330A2">
              <w:rPr>
                <w:rFonts w:eastAsia="Times New Roman"/>
              </w:rPr>
              <w:t>G</w:t>
            </w:r>
            <w:r w:rsidR="00ED3311" w:rsidRPr="006330A2">
              <w:rPr>
                <w:rFonts w:eastAsia="Times New Roman"/>
              </w:rPr>
              <w:t xml:space="preserve">rozījumu apstiprināšanas gadījumā </w:t>
            </w:r>
            <w:r w:rsidR="0058529E">
              <w:rPr>
                <w:rFonts w:eastAsia="Times New Roman"/>
              </w:rPr>
              <w:t xml:space="preserve">1.1.1.3. pasākuma ietvaros </w:t>
            </w:r>
            <w:r w:rsidR="005F3BEC" w:rsidRPr="006330A2">
              <w:rPr>
                <w:rFonts w:eastAsia="Times New Roman"/>
              </w:rPr>
              <w:t>apstiprinātaj</w:t>
            </w:r>
            <w:r w:rsidR="0008239B">
              <w:rPr>
                <w:rFonts w:eastAsia="Times New Roman"/>
              </w:rPr>
              <w:t>os</w:t>
            </w:r>
            <w:r w:rsidR="005F3BEC" w:rsidRPr="006330A2">
              <w:rPr>
                <w:rFonts w:eastAsia="Times New Roman"/>
              </w:rPr>
              <w:t xml:space="preserve"> un </w:t>
            </w:r>
            <w:r w:rsidR="00ED3311" w:rsidRPr="006330A2">
              <w:rPr>
                <w:rFonts w:eastAsia="Times New Roman"/>
              </w:rPr>
              <w:t>apstiprināšanai virzāmajos projektos</w:t>
            </w:r>
            <w:r w:rsidR="00C11F5E">
              <w:rPr>
                <w:rFonts w:eastAsia="Times New Roman"/>
              </w:rPr>
              <w:t xml:space="preserve"> projekta iesniedzējiem</w:t>
            </w:r>
            <w:r w:rsidR="00ED3311" w:rsidRPr="006330A2">
              <w:rPr>
                <w:rFonts w:eastAsia="Times New Roman"/>
              </w:rPr>
              <w:t xml:space="preserve"> būs jāprecizē</w:t>
            </w:r>
            <w:r w:rsidR="00DB020A" w:rsidRPr="006330A2">
              <w:rPr>
                <w:rFonts w:eastAsia="Times New Roman"/>
              </w:rPr>
              <w:t xml:space="preserve"> </w:t>
            </w:r>
            <w:r w:rsidR="00ED3311" w:rsidRPr="006330A2">
              <w:rPr>
                <w:rFonts w:eastAsia="Times New Roman"/>
              </w:rPr>
              <w:t xml:space="preserve">budžeta sadaļa, studentu inovāciju pieteikumu faktiskās izmaksas aizstājot ar </w:t>
            </w:r>
            <w:r w:rsidR="00EA2E29" w:rsidRPr="006330A2">
              <w:rPr>
                <w:rFonts w:eastAsia="Times New Roman"/>
              </w:rPr>
              <w:t xml:space="preserve">vienreizējā maksājuma </w:t>
            </w:r>
            <w:r w:rsidR="00ED3311" w:rsidRPr="006330A2">
              <w:rPr>
                <w:rFonts w:eastAsia="Times New Roman"/>
              </w:rPr>
              <w:t xml:space="preserve">izmaksām. </w:t>
            </w:r>
          </w:p>
          <w:p w14:paraId="5393CECE" w14:textId="77777777" w:rsidR="0058529E" w:rsidRDefault="0058529E" w:rsidP="00163E14">
            <w:pPr>
              <w:jc w:val="both"/>
              <w:rPr>
                <w:rFonts w:eastAsia="Times New Roman"/>
              </w:rPr>
            </w:pPr>
          </w:p>
          <w:p w14:paraId="5393CECF" w14:textId="77777777" w:rsidR="00C60B3A" w:rsidRDefault="00C60B3A" w:rsidP="00C60B3A">
            <w:pPr>
              <w:jc w:val="both"/>
              <w:rPr>
                <w:rFonts w:eastAsia="Times New Roman"/>
              </w:rPr>
            </w:pPr>
            <w:r>
              <w:rPr>
                <w:rFonts w:eastAsia="Times New Roman"/>
              </w:rPr>
              <w:t>Veicot projekta iesnieguma grozījumus, finansējuma saņēmējiem ir jā</w:t>
            </w:r>
            <w:r w:rsidRPr="00C11F5E">
              <w:rPr>
                <w:rFonts w:eastAsia="Times New Roman"/>
              </w:rPr>
              <w:t>nodrošin</w:t>
            </w:r>
            <w:r>
              <w:rPr>
                <w:rFonts w:eastAsia="Times New Roman"/>
              </w:rPr>
              <w:t>a</w:t>
            </w:r>
            <w:r w:rsidRPr="00C11F5E">
              <w:rPr>
                <w:rFonts w:eastAsia="Times New Roman"/>
              </w:rPr>
              <w:t xml:space="preserve">, ka veiktie precizējumi nemaina projekta mērķus, kvalitāti, darbības un to tvērumu pēc būtības (tai skaitā </w:t>
            </w:r>
            <w:r w:rsidR="0011101D" w:rsidRPr="00C11F5E">
              <w:rPr>
                <w:rFonts w:eastAsia="Times New Roman"/>
              </w:rPr>
              <w:t xml:space="preserve">nepalielina </w:t>
            </w:r>
            <w:r w:rsidRPr="00C11F5E">
              <w:rPr>
                <w:rFonts w:eastAsia="Times New Roman"/>
              </w:rPr>
              <w:t xml:space="preserve">projekta kopējās </w:t>
            </w:r>
            <w:r>
              <w:rPr>
                <w:rFonts w:eastAsia="Times New Roman"/>
              </w:rPr>
              <w:t xml:space="preserve">izmaksas un īstenošanas ilgumu), netiek samazinātas </w:t>
            </w:r>
            <w:r w:rsidRPr="00C11F5E">
              <w:rPr>
                <w:rFonts w:eastAsia="Times New Roman"/>
              </w:rPr>
              <w:t xml:space="preserve">projekta iesniegumā noteiktās uzraudzības rādītāju vērtības atbilstoši MK noteikumu Nr.41 7.1. apakšpunktam, kā arī </w:t>
            </w:r>
            <w:r>
              <w:rPr>
                <w:rFonts w:eastAsia="Times New Roman"/>
              </w:rPr>
              <w:t>tiek izvērtētas</w:t>
            </w:r>
            <w:r w:rsidRPr="00C11F5E">
              <w:rPr>
                <w:rFonts w:eastAsia="Times New Roman"/>
              </w:rPr>
              <w:t xml:space="preserve"> MK noteikumu Nr.41 7.2. apakšpunktā minēto specifisko </w:t>
            </w:r>
            <w:r w:rsidRPr="00C11F5E">
              <w:rPr>
                <w:rFonts w:eastAsia="Times New Roman"/>
              </w:rPr>
              <w:lastRenderedPageBreak/>
              <w:t>iznākumu rādītāju projekta iesniegumā noteiktās vērtības, nepieciešamības gadījumā tās</w:t>
            </w:r>
            <w:r w:rsidR="0011101D">
              <w:rPr>
                <w:rFonts w:eastAsia="Times New Roman"/>
              </w:rPr>
              <w:t xml:space="preserve"> precizējot.</w:t>
            </w:r>
          </w:p>
          <w:p w14:paraId="5393CED0" w14:textId="77777777" w:rsidR="00C60B3A" w:rsidRDefault="00C60B3A" w:rsidP="00163E14">
            <w:pPr>
              <w:jc w:val="both"/>
              <w:rPr>
                <w:rFonts w:eastAsia="Times New Roman"/>
              </w:rPr>
            </w:pPr>
            <w:r>
              <w:rPr>
                <w:rFonts w:eastAsia="Times New Roman"/>
              </w:rPr>
              <w:t xml:space="preserve"> </w:t>
            </w:r>
          </w:p>
          <w:p w14:paraId="5393CED1" w14:textId="77777777" w:rsidR="00673675" w:rsidRDefault="00ED3311" w:rsidP="00163E14">
            <w:pPr>
              <w:jc w:val="both"/>
              <w:rPr>
                <w:rFonts w:eastAsia="Times New Roman"/>
              </w:rPr>
            </w:pPr>
            <w:r w:rsidRPr="006330A2">
              <w:rPr>
                <w:rFonts w:eastAsia="Times New Roman"/>
              </w:rPr>
              <w:t xml:space="preserve">Vienlaikus jāatzīmē, ka </w:t>
            </w:r>
            <w:r w:rsidR="00986A1B" w:rsidRPr="006330A2">
              <w:rPr>
                <w:rFonts w:eastAsia="Times New Roman"/>
              </w:rPr>
              <w:t xml:space="preserve">1.1.1.3.pasākuma </w:t>
            </w:r>
            <w:r w:rsidRPr="006330A2">
              <w:rPr>
                <w:rFonts w:eastAsia="Times New Roman"/>
              </w:rPr>
              <w:t xml:space="preserve">projektu </w:t>
            </w:r>
            <w:r w:rsidR="00DB020A" w:rsidRPr="006330A2">
              <w:rPr>
                <w:rFonts w:eastAsia="Times New Roman"/>
              </w:rPr>
              <w:t xml:space="preserve">iesniedzēji </w:t>
            </w:r>
            <w:r w:rsidRPr="006330A2">
              <w:rPr>
                <w:rFonts w:eastAsia="Times New Roman"/>
              </w:rPr>
              <w:t xml:space="preserve">par šādu situāciju </w:t>
            </w:r>
            <w:r w:rsidR="00DB020A" w:rsidRPr="006330A2">
              <w:rPr>
                <w:rFonts w:eastAsia="Times New Roman"/>
              </w:rPr>
              <w:t xml:space="preserve">tika </w:t>
            </w:r>
            <w:r w:rsidRPr="006330A2">
              <w:rPr>
                <w:rFonts w:eastAsia="Times New Roman"/>
              </w:rPr>
              <w:t xml:space="preserve">savlaicīgi </w:t>
            </w:r>
            <w:r w:rsidR="00DB020A" w:rsidRPr="006330A2">
              <w:rPr>
                <w:rFonts w:eastAsia="Times New Roman"/>
              </w:rPr>
              <w:t>informēti IZM un CFLA rīkotaj</w:t>
            </w:r>
            <w:r w:rsidRPr="006330A2">
              <w:rPr>
                <w:rFonts w:eastAsia="Times New Roman"/>
              </w:rPr>
              <w:t>ā</w:t>
            </w:r>
            <w:r w:rsidR="00DB020A" w:rsidRPr="006330A2">
              <w:rPr>
                <w:rFonts w:eastAsia="Times New Roman"/>
              </w:rPr>
              <w:t>s publiskaj</w:t>
            </w:r>
            <w:r w:rsidRPr="006330A2">
              <w:rPr>
                <w:rFonts w:eastAsia="Times New Roman"/>
              </w:rPr>
              <w:t>ā</w:t>
            </w:r>
            <w:r w:rsidR="00DB020A" w:rsidRPr="006330A2">
              <w:rPr>
                <w:rFonts w:eastAsia="Times New Roman"/>
              </w:rPr>
              <w:t xml:space="preserve">s </w:t>
            </w:r>
            <w:r w:rsidRPr="006330A2">
              <w:rPr>
                <w:rFonts w:eastAsia="Times New Roman"/>
              </w:rPr>
              <w:t xml:space="preserve">konsultācijās </w:t>
            </w:r>
            <w:r w:rsidR="00DB020A" w:rsidRPr="006330A2">
              <w:rPr>
                <w:rFonts w:eastAsia="Times New Roman"/>
              </w:rPr>
              <w:t>par 1.1.1.3. pasākuma ieviešanas nosacījumiem</w:t>
            </w:r>
            <w:r w:rsidR="00FD5760" w:rsidRPr="006330A2">
              <w:rPr>
                <w:rFonts w:eastAsia="Times New Roman"/>
              </w:rPr>
              <w:t>, kur atzinīgi novērtēja šādu iniciatīvu</w:t>
            </w:r>
            <w:r w:rsidR="00DB020A" w:rsidRPr="006330A2">
              <w:rPr>
                <w:rFonts w:eastAsia="Times New Roman"/>
              </w:rPr>
              <w:t>.</w:t>
            </w:r>
            <w:r w:rsidR="00986A1B" w:rsidRPr="006330A2">
              <w:rPr>
                <w:rFonts w:eastAsia="Times New Roman"/>
              </w:rPr>
              <w:t xml:space="preserve"> </w:t>
            </w:r>
          </w:p>
          <w:p w14:paraId="5393CED2" w14:textId="77777777" w:rsidR="001529CD" w:rsidRPr="006330A2" w:rsidRDefault="001529CD" w:rsidP="00163E14">
            <w:pPr>
              <w:jc w:val="both"/>
              <w:rPr>
                <w:rFonts w:eastAsia="Times New Roman"/>
              </w:rPr>
            </w:pPr>
          </w:p>
          <w:p w14:paraId="5393CED3" w14:textId="77777777" w:rsidR="00905C16" w:rsidRPr="006330A2" w:rsidRDefault="00905C16" w:rsidP="00905C16">
            <w:pPr>
              <w:jc w:val="both"/>
              <w:rPr>
                <w:rFonts w:eastAsia="Times New Roman"/>
                <w:b/>
              </w:rPr>
            </w:pPr>
            <w:r w:rsidRPr="006330A2">
              <w:rPr>
                <w:rFonts w:eastAsia="Times New Roman"/>
                <w:b/>
              </w:rPr>
              <w:t>3. Precizēt projekta īstenošanas personāla atlīdzības izmaksu</w:t>
            </w:r>
            <w:r w:rsidR="00AE090B" w:rsidRPr="006330A2">
              <w:rPr>
                <w:rFonts w:eastAsia="Times New Roman"/>
                <w:b/>
              </w:rPr>
              <w:t xml:space="preserve"> pozīcijas.</w:t>
            </w:r>
          </w:p>
          <w:p w14:paraId="5393CED4" w14:textId="77777777" w:rsidR="00BF2CD0" w:rsidRPr="006330A2" w:rsidRDefault="00BF2CD0" w:rsidP="00BF2CD0">
            <w:pPr>
              <w:jc w:val="both"/>
              <w:rPr>
                <w:b/>
              </w:rPr>
            </w:pPr>
            <w:r w:rsidRPr="006330A2">
              <w:t>Lai nodrošinātu viennozīmīgu izpratni par</w:t>
            </w:r>
            <w:r w:rsidRPr="006330A2">
              <w:rPr>
                <w:rFonts w:eastAsia="Times New Roman"/>
              </w:rPr>
              <w:t xml:space="preserve"> ekspertu atlīdzības izmaksu attiecināšanu,</w:t>
            </w:r>
            <w:r w:rsidRPr="006330A2">
              <w:t xml:space="preserve"> nepieciešams veikt tehnisku precizējumu, </w:t>
            </w:r>
            <w:r w:rsidRPr="006330A2">
              <w:rPr>
                <w:rFonts w:eastAsia="Times New Roman"/>
              </w:rPr>
              <w:t>detalizētāk definējot projekta īstenošanas personāla izmaksas.</w:t>
            </w:r>
          </w:p>
          <w:p w14:paraId="5393CED5" w14:textId="77777777" w:rsidR="00817C2B" w:rsidRPr="006330A2" w:rsidRDefault="006E3244" w:rsidP="006E3244">
            <w:pPr>
              <w:jc w:val="both"/>
              <w:rPr>
                <w:rFonts w:eastAsia="Times New Roman"/>
              </w:rPr>
            </w:pPr>
            <w:r w:rsidRPr="006330A2">
              <w:t xml:space="preserve">MK noteikumu Nr. 41 32.1 apakšpunktā noteikts, </w:t>
            </w:r>
            <w:r w:rsidR="00B43457" w:rsidRPr="006330A2">
              <w:rPr>
                <w:rFonts w:eastAsia="Times New Roman"/>
              </w:rPr>
              <w:t xml:space="preserve">ka tiešās attiecināmās personāla izmaksas </w:t>
            </w:r>
            <w:r w:rsidRPr="006330A2">
              <w:rPr>
                <w:rFonts w:eastAsia="Times New Roman"/>
              </w:rPr>
              <w:t>veido</w:t>
            </w:r>
            <w:r w:rsidR="00B43457" w:rsidRPr="006330A2">
              <w:rPr>
                <w:rFonts w:eastAsia="Times New Roman"/>
              </w:rPr>
              <w:t xml:space="preserve"> projekta vadības personāla atlīdzības izmaksas (izņemot virsstundas) projekta vadības īstenošanai un projekta īstenošanas personāla atlīdzības izmaksas (izņemot virsstundas) projekta īstenošanai un informācijas un publicitātes pasākumu īstenošanai. </w:t>
            </w:r>
            <w:r w:rsidR="00B878B9" w:rsidRPr="006330A2">
              <w:rPr>
                <w:rFonts w:eastAsia="Times New Roman"/>
              </w:rPr>
              <w:t>MK noteikumu N</w:t>
            </w:r>
            <w:r w:rsidR="00817C2B" w:rsidRPr="006330A2">
              <w:rPr>
                <w:rFonts w:eastAsia="Times New Roman"/>
              </w:rPr>
              <w:t xml:space="preserve">r.41. 2.6. apakšpunkts </w:t>
            </w:r>
            <w:r w:rsidR="00D8561D" w:rsidRPr="006330A2">
              <w:rPr>
                <w:rFonts w:eastAsia="Times New Roman"/>
              </w:rPr>
              <w:t>skaidro</w:t>
            </w:r>
            <w:r w:rsidR="00817C2B" w:rsidRPr="006330A2">
              <w:rPr>
                <w:rFonts w:eastAsia="Times New Roman"/>
              </w:rPr>
              <w:t>, ka projekta īstenošanas personāls ir studentu darbu vadītāji, studentu inovāciju pieteikumu vērtēšanas eksperti, lektori, tehnoloģiju eksperti, laboranti iekārtu apkalpošanai studentu inovācij</w:t>
            </w:r>
            <w:r w:rsidR="00B878B9" w:rsidRPr="006330A2">
              <w:rPr>
                <w:rFonts w:eastAsia="Times New Roman"/>
              </w:rPr>
              <w:t>as projektu ieviešanas laikā u.</w:t>
            </w:r>
            <w:r w:rsidR="00817C2B" w:rsidRPr="006330A2">
              <w:rPr>
                <w:rFonts w:eastAsia="Times New Roman"/>
              </w:rPr>
              <w:t xml:space="preserve">c. personas, kas iesaistās Studentu inovāciju programmas īstenošanā. </w:t>
            </w:r>
          </w:p>
          <w:p w14:paraId="5393CED6" w14:textId="77777777" w:rsidR="00E41B7E" w:rsidRPr="006330A2" w:rsidRDefault="00A0404B" w:rsidP="00905C16">
            <w:pPr>
              <w:jc w:val="both"/>
              <w:rPr>
                <w:rFonts w:eastAsia="Times New Roman"/>
              </w:rPr>
            </w:pPr>
            <w:r w:rsidRPr="006330A2">
              <w:rPr>
                <w:rFonts w:eastAsia="Times New Roman"/>
              </w:rPr>
              <w:t>Tā kā projektu ietvaros paredzēts piesaistīt ekspertus dažādiem mērķiem, p</w:t>
            </w:r>
            <w:r w:rsidR="00D8561D" w:rsidRPr="006330A2">
              <w:rPr>
                <w:rFonts w:eastAsia="Times New Roman"/>
              </w:rPr>
              <w:t xml:space="preserve">ašreizējā </w:t>
            </w:r>
            <w:r w:rsidR="008E64DB" w:rsidRPr="006330A2">
              <w:t xml:space="preserve">MK noteikumu </w:t>
            </w:r>
            <w:r w:rsidR="00145710" w:rsidRPr="006330A2">
              <w:t>N</w:t>
            </w:r>
            <w:r w:rsidR="008E64DB" w:rsidRPr="006330A2">
              <w:t>r.41</w:t>
            </w:r>
            <w:r w:rsidR="006E3244" w:rsidRPr="006330A2">
              <w:t xml:space="preserve"> </w:t>
            </w:r>
            <w:r w:rsidR="00DD0487" w:rsidRPr="006330A2">
              <w:rPr>
                <w:rFonts w:eastAsia="Times New Roman"/>
              </w:rPr>
              <w:t xml:space="preserve">redakcija neļauj skaidri </w:t>
            </w:r>
            <w:r w:rsidR="006E3244" w:rsidRPr="006330A2">
              <w:rPr>
                <w:rFonts w:eastAsia="Times New Roman"/>
              </w:rPr>
              <w:t xml:space="preserve">un nepārprotami </w:t>
            </w:r>
            <w:r w:rsidR="00DD0487" w:rsidRPr="006330A2">
              <w:rPr>
                <w:rFonts w:eastAsia="Times New Roman"/>
              </w:rPr>
              <w:t>nodalīt</w:t>
            </w:r>
            <w:r w:rsidR="007A7FB1" w:rsidRPr="006330A2">
              <w:rPr>
                <w:rFonts w:eastAsia="Times New Roman"/>
              </w:rPr>
              <w:t xml:space="preserve"> ekspertu atlīdzības</w:t>
            </w:r>
            <w:r w:rsidR="00DD0487" w:rsidRPr="006330A2">
              <w:rPr>
                <w:rFonts w:eastAsia="Times New Roman"/>
              </w:rPr>
              <w:t xml:space="preserve"> izmaksas</w:t>
            </w:r>
            <w:r w:rsidR="00370F5A" w:rsidRPr="006330A2">
              <w:rPr>
                <w:rFonts w:eastAsia="Times New Roman"/>
              </w:rPr>
              <w:t xml:space="preserve"> par individuālo konsultāciju sniegšanu, kas tieši saistītas ar pieteikuma tematiku</w:t>
            </w:r>
            <w:r w:rsidR="008E64DB" w:rsidRPr="006330A2">
              <w:rPr>
                <w:rFonts w:eastAsia="Times New Roman"/>
              </w:rPr>
              <w:t xml:space="preserve">, </w:t>
            </w:r>
            <w:r w:rsidR="00B878B9" w:rsidRPr="006330A2">
              <w:rPr>
                <w:rFonts w:eastAsia="Times New Roman"/>
              </w:rPr>
              <w:t xml:space="preserve">lai </w:t>
            </w:r>
            <w:r w:rsidR="008E64DB" w:rsidRPr="006330A2">
              <w:rPr>
                <w:rFonts w:eastAsia="Times New Roman"/>
              </w:rPr>
              <w:t>at</w:t>
            </w:r>
            <w:r w:rsidR="00B878B9" w:rsidRPr="006330A2">
              <w:rPr>
                <w:rFonts w:eastAsia="Times New Roman"/>
              </w:rPr>
              <w:t>tiecinātu</w:t>
            </w:r>
            <w:r w:rsidR="008E64DB" w:rsidRPr="006330A2">
              <w:rPr>
                <w:rFonts w:eastAsia="Times New Roman"/>
              </w:rPr>
              <w:t xml:space="preserve"> tās</w:t>
            </w:r>
            <w:r w:rsidR="007A7FB1" w:rsidRPr="006330A2">
              <w:rPr>
                <w:rFonts w:eastAsia="Times New Roman"/>
              </w:rPr>
              <w:t xml:space="preserve"> vienreizējā maksājuma ietvaros</w:t>
            </w:r>
            <w:r w:rsidR="008E64DB" w:rsidRPr="006330A2">
              <w:rPr>
                <w:rFonts w:eastAsia="Times New Roman"/>
              </w:rPr>
              <w:t>,</w:t>
            </w:r>
            <w:r w:rsidR="00DD0487" w:rsidRPr="006330A2">
              <w:rPr>
                <w:rFonts w:eastAsia="Times New Roman"/>
              </w:rPr>
              <w:t xml:space="preserve"> un</w:t>
            </w:r>
            <w:r w:rsidR="00D8561D" w:rsidRPr="006330A2">
              <w:rPr>
                <w:rFonts w:eastAsia="Times New Roman"/>
              </w:rPr>
              <w:t xml:space="preserve"> ekspertu atlīdzības izmaksas</w:t>
            </w:r>
            <w:r w:rsidR="00370F5A" w:rsidRPr="006330A2">
              <w:rPr>
                <w:rFonts w:eastAsia="Times New Roman"/>
              </w:rPr>
              <w:t xml:space="preserve"> citu studentu inovāciju programmas darbību īstenošanai</w:t>
            </w:r>
            <w:r w:rsidR="00DD0487" w:rsidRPr="006330A2">
              <w:rPr>
                <w:rFonts w:eastAsia="Times New Roman"/>
              </w:rPr>
              <w:t>, kuras būtu atti</w:t>
            </w:r>
            <w:r w:rsidR="006E3244" w:rsidRPr="006330A2">
              <w:rPr>
                <w:rFonts w:eastAsia="Times New Roman"/>
              </w:rPr>
              <w:t xml:space="preserve">ecināmas kā faktiskās izmaksas. </w:t>
            </w:r>
            <w:r w:rsidR="007A7FB1" w:rsidRPr="006330A2">
              <w:rPr>
                <w:rFonts w:eastAsia="Times New Roman"/>
              </w:rPr>
              <w:t>Līdz ar to</w:t>
            </w:r>
            <w:r w:rsidR="006E3244" w:rsidRPr="006330A2">
              <w:rPr>
                <w:rFonts w:eastAsia="Times New Roman"/>
              </w:rPr>
              <w:t xml:space="preserve"> noteikumu projekts paredz </w:t>
            </w:r>
            <w:r w:rsidR="008E64DB" w:rsidRPr="006330A2">
              <w:rPr>
                <w:rFonts w:eastAsia="Times New Roman"/>
              </w:rPr>
              <w:t xml:space="preserve">precīzāk </w:t>
            </w:r>
            <w:r w:rsidRPr="006330A2">
              <w:rPr>
                <w:rFonts w:eastAsia="Times New Roman"/>
              </w:rPr>
              <w:t>definēt</w:t>
            </w:r>
            <w:r w:rsidR="006E3244" w:rsidRPr="006330A2">
              <w:rPr>
                <w:rFonts w:eastAsia="Times New Roman"/>
              </w:rPr>
              <w:t xml:space="preserve"> projekta īs</w:t>
            </w:r>
            <w:r w:rsidRPr="006330A2">
              <w:rPr>
                <w:rFonts w:eastAsia="Times New Roman"/>
              </w:rPr>
              <w:t>tenošanas personāla izmaksas, sa</w:t>
            </w:r>
            <w:r w:rsidR="006E3244" w:rsidRPr="006330A2">
              <w:rPr>
                <w:rFonts w:eastAsia="Times New Roman"/>
              </w:rPr>
              <w:t xml:space="preserve">dalot tās </w:t>
            </w:r>
            <w:r w:rsidR="00E52A18" w:rsidRPr="006330A2">
              <w:rPr>
                <w:rFonts w:eastAsia="Times New Roman"/>
              </w:rPr>
              <w:t>atsevišķ</w:t>
            </w:r>
            <w:r w:rsidR="00145710" w:rsidRPr="006330A2">
              <w:rPr>
                <w:rFonts w:eastAsia="Times New Roman"/>
              </w:rPr>
              <w:t>os</w:t>
            </w:r>
            <w:r w:rsidR="00E52A18" w:rsidRPr="006330A2">
              <w:rPr>
                <w:rFonts w:eastAsia="Times New Roman"/>
              </w:rPr>
              <w:t xml:space="preserve"> apakšpunkt</w:t>
            </w:r>
            <w:r w:rsidR="00145710" w:rsidRPr="006330A2">
              <w:rPr>
                <w:rFonts w:eastAsia="Times New Roman"/>
              </w:rPr>
              <w:t>os</w:t>
            </w:r>
            <w:r w:rsidR="00E448D6" w:rsidRPr="006330A2">
              <w:rPr>
                <w:rFonts w:eastAsia="Times New Roman"/>
              </w:rPr>
              <w:t>:</w:t>
            </w:r>
          </w:p>
          <w:p w14:paraId="5393CED7" w14:textId="77777777" w:rsidR="00D8561D" w:rsidRPr="006330A2" w:rsidRDefault="00D8561D" w:rsidP="0040556B">
            <w:pPr>
              <w:pStyle w:val="ListParagraph"/>
              <w:numPr>
                <w:ilvl w:val="0"/>
                <w:numId w:val="20"/>
              </w:numPr>
              <w:jc w:val="both"/>
              <w:rPr>
                <w:sz w:val="24"/>
                <w:szCs w:val="24"/>
              </w:rPr>
            </w:pPr>
            <w:r w:rsidRPr="006330A2">
              <w:rPr>
                <w:sz w:val="24"/>
                <w:szCs w:val="24"/>
              </w:rPr>
              <w:t>ekspertu atlīdzības izmaksas par individuālo konsultāciju sniegšanu, kas tieši saistītas ar pieteikuma tematiku (piemēram, konsultācijas par pieteikuma pētījuma specifiku, konkrēta modeļa vai prototipa izstrādi vai testēšanu utt.)</w:t>
            </w:r>
            <w:r w:rsidR="00E52A18" w:rsidRPr="006330A2">
              <w:rPr>
                <w:sz w:val="24"/>
                <w:szCs w:val="24"/>
              </w:rPr>
              <w:t xml:space="preserve">. </w:t>
            </w:r>
            <w:r w:rsidR="007E429C" w:rsidRPr="006330A2">
              <w:rPr>
                <w:sz w:val="24"/>
                <w:szCs w:val="24"/>
              </w:rPr>
              <w:t>Pēc vienreizējā maksājuma metodikas spēkā stāšanās šo izmaksu noteikšanai piemēro attiecīgo metodiku</w:t>
            </w:r>
            <w:r w:rsidR="00D63B16">
              <w:rPr>
                <w:sz w:val="24"/>
                <w:szCs w:val="24"/>
              </w:rPr>
              <w:t>,</w:t>
            </w:r>
            <w:r w:rsidR="0040556B" w:rsidRPr="0040556B">
              <w:rPr>
                <w:sz w:val="24"/>
                <w:szCs w:val="24"/>
              </w:rPr>
              <w:t xml:space="preserve"> ja finansējuma saņēmējs šādu pieeju izmaksu attiecināšanā ir paredzējis projekta iesniegumā</w:t>
            </w:r>
            <w:r w:rsidR="007E429C" w:rsidRPr="006330A2">
              <w:rPr>
                <w:sz w:val="24"/>
                <w:szCs w:val="24"/>
              </w:rPr>
              <w:t>.</w:t>
            </w:r>
            <w:r w:rsidR="001463D8" w:rsidRPr="006330A2">
              <w:rPr>
                <w:sz w:val="24"/>
                <w:szCs w:val="24"/>
              </w:rPr>
              <w:t xml:space="preserve"> Eksperti individuālo konsultāciju sniegšanai tiek piesaistīti gadījumā, ja Studentu inovāciju programmas ietvaros nav </w:t>
            </w:r>
            <w:r w:rsidR="0084459C" w:rsidRPr="006330A2">
              <w:rPr>
                <w:sz w:val="24"/>
                <w:szCs w:val="24"/>
              </w:rPr>
              <w:t>nodarbināti</w:t>
            </w:r>
            <w:r w:rsidR="001463D8" w:rsidRPr="006330A2">
              <w:rPr>
                <w:sz w:val="24"/>
                <w:szCs w:val="24"/>
              </w:rPr>
              <w:t xml:space="preserve"> </w:t>
            </w:r>
            <w:r w:rsidR="0084459C" w:rsidRPr="006330A2">
              <w:rPr>
                <w:sz w:val="24"/>
                <w:szCs w:val="24"/>
              </w:rPr>
              <w:t>atbilstošas kompetences eksperti</w:t>
            </w:r>
            <w:r w:rsidR="001463D8" w:rsidRPr="006330A2">
              <w:rPr>
                <w:sz w:val="24"/>
                <w:szCs w:val="24"/>
              </w:rPr>
              <w:t xml:space="preserve">, </w:t>
            </w:r>
            <w:r w:rsidR="0084459C" w:rsidRPr="006330A2">
              <w:rPr>
                <w:sz w:val="24"/>
                <w:szCs w:val="24"/>
              </w:rPr>
              <w:t>kuri</w:t>
            </w:r>
            <w:r w:rsidR="001463D8" w:rsidRPr="006330A2">
              <w:rPr>
                <w:sz w:val="24"/>
                <w:szCs w:val="24"/>
              </w:rPr>
              <w:t xml:space="preserve"> var sniegt nepieciešamās zināšanas mācību programmas ietvaros. </w:t>
            </w:r>
            <w:r w:rsidR="00AA49A6" w:rsidRPr="006330A2">
              <w:rPr>
                <w:sz w:val="24"/>
                <w:szCs w:val="24"/>
              </w:rPr>
              <w:t xml:space="preserve">Viena un tā </w:t>
            </w:r>
            <w:r w:rsidR="00AA49A6" w:rsidRPr="006330A2">
              <w:rPr>
                <w:sz w:val="24"/>
                <w:szCs w:val="24"/>
              </w:rPr>
              <w:lastRenderedPageBreak/>
              <w:t xml:space="preserve">paša eksperta atlīdzības izmaksu noteikšanai nevar piemērot gan vienreizējo maksājumu, gan faktiskās izmaksas. </w:t>
            </w:r>
          </w:p>
          <w:p w14:paraId="5393CED8" w14:textId="77777777" w:rsidR="00D8561D" w:rsidRPr="006330A2" w:rsidRDefault="00D8561D" w:rsidP="006B7744">
            <w:pPr>
              <w:pStyle w:val="ListParagraph"/>
              <w:numPr>
                <w:ilvl w:val="0"/>
                <w:numId w:val="20"/>
              </w:numPr>
              <w:jc w:val="both"/>
              <w:rPr>
                <w:sz w:val="24"/>
                <w:szCs w:val="24"/>
              </w:rPr>
            </w:pPr>
            <w:r w:rsidRPr="006330A2">
              <w:rPr>
                <w:sz w:val="24"/>
                <w:szCs w:val="24"/>
              </w:rPr>
              <w:t xml:space="preserve">cita projekta īstenošanas personāla atlīdzības izmaksas, kas iesaistās Studentu inovāciju programmas īstenošanā, izņemot </w:t>
            </w:r>
            <w:r w:rsidR="006C7FEC" w:rsidRPr="006330A2">
              <w:rPr>
                <w:sz w:val="24"/>
                <w:szCs w:val="24"/>
              </w:rPr>
              <w:t>ekspertu atlīdzības izmaksas par individuālo konsultāciju sniegšanu, kas tieši saistītas ar pieteikuma tematiku</w:t>
            </w:r>
            <w:r w:rsidRPr="006330A2">
              <w:rPr>
                <w:sz w:val="24"/>
                <w:szCs w:val="24"/>
              </w:rPr>
              <w:t>.</w:t>
            </w:r>
            <w:r w:rsidR="006C7FEC" w:rsidRPr="006330A2">
              <w:rPr>
                <w:sz w:val="24"/>
                <w:szCs w:val="24"/>
              </w:rPr>
              <w:t xml:space="preserve"> </w:t>
            </w:r>
            <w:r w:rsidR="006B7744" w:rsidRPr="006330A2">
              <w:rPr>
                <w:sz w:val="24"/>
                <w:szCs w:val="24"/>
              </w:rPr>
              <w:t xml:space="preserve">Šo izmaksu noteikšanai piemēro faktiskās izmaksas. Uz cita projekta īstenošanas personālu attiecas 2.6. apakšpunktā minētais personāls, tai skaitā eksperti, kas vada inovāciju darbnīcas, </w:t>
            </w:r>
            <w:r w:rsidR="00AC5A44" w:rsidRPr="006330A2">
              <w:rPr>
                <w:sz w:val="24"/>
                <w:szCs w:val="24"/>
              </w:rPr>
              <w:t>tīklošanās pasākumus u.c. S</w:t>
            </w:r>
            <w:r w:rsidR="00AA0B65" w:rsidRPr="006330A2">
              <w:rPr>
                <w:sz w:val="24"/>
                <w:szCs w:val="24"/>
              </w:rPr>
              <w:t xml:space="preserve">tudentu inovāciju programmas aktivitātes, </w:t>
            </w:r>
            <w:r w:rsidR="006B7744" w:rsidRPr="006330A2">
              <w:rPr>
                <w:sz w:val="24"/>
                <w:szCs w:val="24"/>
              </w:rPr>
              <w:t>uzņēmuma izaugsmes treneri (</w:t>
            </w:r>
            <w:proofErr w:type="spellStart"/>
            <w:r w:rsidR="006B7744" w:rsidRPr="006330A2">
              <w:rPr>
                <w:sz w:val="24"/>
                <w:szCs w:val="24"/>
              </w:rPr>
              <w:t>kouči</w:t>
            </w:r>
            <w:proofErr w:type="spellEnd"/>
            <w:r w:rsidR="006B7744" w:rsidRPr="006330A2">
              <w:rPr>
                <w:sz w:val="24"/>
                <w:szCs w:val="24"/>
              </w:rPr>
              <w:t xml:space="preserve">), </w:t>
            </w:r>
            <w:r w:rsidR="00AA0B65" w:rsidRPr="006330A2">
              <w:rPr>
                <w:sz w:val="24"/>
                <w:szCs w:val="24"/>
              </w:rPr>
              <w:t xml:space="preserve">studentu darbu vadītāji, kuri iesaistās studentu darbu vadīšanā visa pieteikuma īstenošanas laikā; </w:t>
            </w:r>
          </w:p>
          <w:p w14:paraId="5393CED9" w14:textId="77777777" w:rsidR="00D8561D" w:rsidRPr="006330A2" w:rsidRDefault="00D8561D" w:rsidP="008E64DB">
            <w:pPr>
              <w:pStyle w:val="ListParagraph"/>
              <w:numPr>
                <w:ilvl w:val="0"/>
                <w:numId w:val="20"/>
              </w:numPr>
              <w:jc w:val="both"/>
              <w:rPr>
                <w:sz w:val="24"/>
                <w:szCs w:val="24"/>
              </w:rPr>
            </w:pPr>
            <w:r w:rsidRPr="006330A2">
              <w:rPr>
                <w:sz w:val="24"/>
                <w:szCs w:val="24"/>
              </w:rPr>
              <w:t xml:space="preserve">projekta īstenošanas personāla atlīdzības izmaksas (izņemot virsstundas) </w:t>
            </w:r>
            <w:r w:rsidR="006C7FEC" w:rsidRPr="006330A2">
              <w:rPr>
                <w:sz w:val="24"/>
                <w:szCs w:val="24"/>
              </w:rPr>
              <w:t>projekta īstenošanai un informācijas un publicitātes pasākumu īstenošanai</w:t>
            </w:r>
            <w:r w:rsidRPr="006330A2">
              <w:rPr>
                <w:sz w:val="24"/>
                <w:szCs w:val="24"/>
              </w:rPr>
              <w:t>.</w:t>
            </w:r>
          </w:p>
          <w:p w14:paraId="5393CEDA" w14:textId="77777777" w:rsidR="0075107F" w:rsidRDefault="0075107F" w:rsidP="00706A03">
            <w:pPr>
              <w:jc w:val="both"/>
              <w:rPr>
                <w:rFonts w:eastAsia="Times New Roman"/>
              </w:rPr>
            </w:pPr>
          </w:p>
          <w:p w14:paraId="5393CEDB" w14:textId="77777777" w:rsidR="005156E6" w:rsidRDefault="005156E6" w:rsidP="005156E6">
            <w:pPr>
              <w:jc w:val="both"/>
              <w:rPr>
                <w:rFonts w:eastAsia="Times New Roman"/>
              </w:rPr>
            </w:pPr>
            <w:r w:rsidRPr="006330A2">
              <w:rPr>
                <w:rFonts w:eastAsia="Times New Roman"/>
              </w:rPr>
              <w:t xml:space="preserve">Minētais tehniskais grozījums MK noteikumos Nr. 41 labvēlīgi ietekmēs 1.1.1.3. pasākuma projektu īstenošanu un uzraudzību, jo nodrošinās </w:t>
            </w:r>
            <w:r w:rsidR="0010296F" w:rsidRPr="006330A2">
              <w:t>viennozīmīgu izpratni par</w:t>
            </w:r>
            <w:r w:rsidR="0010296F" w:rsidRPr="006330A2">
              <w:rPr>
                <w:rFonts w:eastAsia="Times New Roman"/>
              </w:rPr>
              <w:t xml:space="preserve"> ekspertu atlīdzības izmaksu attiecināšanu.</w:t>
            </w:r>
          </w:p>
          <w:p w14:paraId="5393CEDC" w14:textId="77777777" w:rsidR="0010296F" w:rsidRPr="006330A2" w:rsidRDefault="0010296F" w:rsidP="00706A03">
            <w:pPr>
              <w:jc w:val="both"/>
              <w:rPr>
                <w:rFonts w:eastAsia="Times New Roman"/>
              </w:rPr>
            </w:pPr>
          </w:p>
          <w:p w14:paraId="5393CEDD" w14:textId="77777777" w:rsidR="00C1346C" w:rsidRPr="006330A2" w:rsidRDefault="00905C16" w:rsidP="004B2CCD">
            <w:pPr>
              <w:jc w:val="both"/>
              <w:rPr>
                <w:rFonts w:eastAsia="Times New Roman"/>
                <w:b/>
              </w:rPr>
            </w:pPr>
            <w:r w:rsidRPr="006330A2">
              <w:rPr>
                <w:rFonts w:eastAsia="Times New Roman"/>
                <w:b/>
              </w:rPr>
              <w:t>4</w:t>
            </w:r>
            <w:r w:rsidR="00701D00" w:rsidRPr="006330A2">
              <w:rPr>
                <w:rFonts w:eastAsia="Times New Roman"/>
                <w:b/>
              </w:rPr>
              <w:t xml:space="preserve">. </w:t>
            </w:r>
            <w:r w:rsidR="00C1346C" w:rsidRPr="006330A2">
              <w:rPr>
                <w:rFonts w:eastAsia="Times New Roman"/>
                <w:b/>
              </w:rPr>
              <w:t>Precizēt avansa izmaksas nosacījumus.</w:t>
            </w:r>
          </w:p>
          <w:p w14:paraId="5393CEDE" w14:textId="77777777" w:rsidR="00AD3E9F" w:rsidRDefault="003B59CF" w:rsidP="00C653D9">
            <w:pPr>
              <w:jc w:val="both"/>
              <w:rPr>
                <w:rFonts w:eastAsia="Times New Roman"/>
              </w:rPr>
            </w:pPr>
            <w:r w:rsidRPr="006330A2">
              <w:rPr>
                <w:rFonts w:eastAsia="Times New Roman"/>
              </w:rPr>
              <w:t xml:space="preserve">Spēkā esošais </w:t>
            </w:r>
            <w:r w:rsidR="00C1346C" w:rsidRPr="006330A2">
              <w:rPr>
                <w:rFonts w:eastAsia="Times New Roman"/>
              </w:rPr>
              <w:t xml:space="preserve">MK </w:t>
            </w:r>
            <w:r w:rsidRPr="006330A2">
              <w:rPr>
                <w:rFonts w:eastAsia="Times New Roman"/>
              </w:rPr>
              <w:t xml:space="preserve">noteikumu </w:t>
            </w:r>
            <w:r w:rsidR="001529CD" w:rsidRPr="006330A2">
              <w:rPr>
                <w:rFonts w:eastAsia="Times New Roman"/>
              </w:rPr>
              <w:t>Nr. 41 47</w:t>
            </w:r>
            <w:r w:rsidRPr="006330A2">
              <w:rPr>
                <w:rFonts w:eastAsia="Times New Roman"/>
              </w:rPr>
              <w:t xml:space="preserve">. punkts </w:t>
            </w:r>
            <w:r w:rsidR="00C653D9">
              <w:rPr>
                <w:rFonts w:eastAsia="Times New Roman"/>
              </w:rPr>
              <w:t>ne</w:t>
            </w:r>
            <w:r w:rsidRPr="006330A2">
              <w:rPr>
                <w:rFonts w:eastAsia="Times New Roman"/>
              </w:rPr>
              <w:t>paredz</w:t>
            </w:r>
            <w:r w:rsidR="00C653D9">
              <w:rPr>
                <w:rFonts w:eastAsia="Times New Roman"/>
              </w:rPr>
              <w:t xml:space="preserve"> </w:t>
            </w:r>
            <w:r w:rsidR="004B2CCD" w:rsidRPr="006330A2">
              <w:t xml:space="preserve">izmaksāt </w:t>
            </w:r>
            <w:r w:rsidR="00C653D9">
              <w:t xml:space="preserve">avansu </w:t>
            </w:r>
            <w:r w:rsidR="00EA2E29" w:rsidRPr="006330A2">
              <w:rPr>
                <w:rFonts w:eastAsia="Times New Roman"/>
              </w:rPr>
              <w:t>vienreizējā maksājuma</w:t>
            </w:r>
            <w:r w:rsidR="004B2CCD" w:rsidRPr="006330A2">
              <w:rPr>
                <w:rFonts w:eastAsia="Times New Roman"/>
              </w:rPr>
              <w:t xml:space="preserve"> izmaksu segšanai atbilstoši Metodikā noteiktajām izmaksām.</w:t>
            </w:r>
            <w:r w:rsidR="00F46DDA" w:rsidRPr="006330A2">
              <w:rPr>
                <w:rFonts w:eastAsia="Times New Roman"/>
              </w:rPr>
              <w:t xml:space="preserve"> </w:t>
            </w:r>
            <w:r w:rsidR="00290E3C" w:rsidRPr="006330A2">
              <w:rPr>
                <w:rFonts w:eastAsia="Times New Roman"/>
              </w:rPr>
              <w:t xml:space="preserve">Lai nodrošinātu </w:t>
            </w:r>
            <w:r w:rsidR="00C1346C" w:rsidRPr="006330A2">
              <w:rPr>
                <w:rFonts w:eastAsia="Times New Roman"/>
              </w:rPr>
              <w:t xml:space="preserve">MK </w:t>
            </w:r>
            <w:r w:rsidR="00290E3C" w:rsidRPr="006330A2">
              <w:rPr>
                <w:rFonts w:eastAsia="Times New Roman"/>
              </w:rPr>
              <w:t>noteikumu Nr.41</w:t>
            </w:r>
            <w:r w:rsidR="004B2CCD" w:rsidRPr="006330A2">
              <w:rPr>
                <w:rFonts w:eastAsia="Times New Roman"/>
              </w:rPr>
              <w:t xml:space="preserve"> </w:t>
            </w:r>
            <w:r w:rsidR="00290E3C" w:rsidRPr="006330A2">
              <w:t>atbilstību M</w:t>
            </w:r>
            <w:r w:rsidR="00290E3C" w:rsidRPr="006330A2">
              <w:rPr>
                <w:rFonts w:eastAsia="Times New Roman"/>
                <w:iCs/>
              </w:rPr>
              <w:t>etodik</w:t>
            </w:r>
            <w:r w:rsidR="006F764B" w:rsidRPr="006330A2">
              <w:rPr>
                <w:rFonts w:eastAsia="Times New Roman"/>
                <w:iCs/>
              </w:rPr>
              <w:t>as nosacījumiem</w:t>
            </w:r>
            <w:r w:rsidR="00290E3C" w:rsidRPr="006330A2">
              <w:rPr>
                <w:rFonts w:eastAsia="Times New Roman"/>
                <w:iCs/>
              </w:rPr>
              <w:t xml:space="preserve">, ir nepieciešams veikt grozījumus </w:t>
            </w:r>
            <w:r w:rsidR="002326B3" w:rsidRPr="006330A2">
              <w:rPr>
                <w:rFonts w:eastAsia="Times New Roman"/>
                <w:iCs/>
              </w:rPr>
              <w:t xml:space="preserve">MK </w:t>
            </w:r>
            <w:r w:rsidR="00290E3C" w:rsidRPr="006330A2">
              <w:rPr>
                <w:rFonts w:eastAsia="Times New Roman"/>
              </w:rPr>
              <w:t xml:space="preserve">noteikumu Nr. 41 47. punktā, paredzot, ka avansu var izmaksāt tai skaitā </w:t>
            </w:r>
            <w:r w:rsidR="00C653D9" w:rsidRPr="006330A2">
              <w:rPr>
                <w:rFonts w:eastAsia="Times New Roman"/>
              </w:rPr>
              <w:t>vienreizējā maksājuma izmaksu</w:t>
            </w:r>
            <w:r w:rsidR="00C653D9">
              <w:rPr>
                <w:rFonts w:eastAsia="Times New Roman"/>
              </w:rPr>
              <w:t xml:space="preserve"> segšanai par studentu inovāciju pieteikuma īstenošanu.</w:t>
            </w:r>
          </w:p>
          <w:p w14:paraId="5393CEDF" w14:textId="77777777" w:rsidR="00406B3C" w:rsidRDefault="00406B3C" w:rsidP="00406B3C">
            <w:pPr>
              <w:jc w:val="both"/>
            </w:pPr>
            <w:r>
              <w:t>Noteikumu projekta apstiprināšanas gadījumā Ministru kabineta 2015.gada 17.marta noteikumu Nr.130 „</w:t>
            </w:r>
            <w:r w:rsidRPr="004174C1">
              <w:t>Noteikumu par valsts budžeta līdzekļu plānošanu Eiropas Savienības struktūrfondu un Kohēzijas fonda projektu īstenošanai un maksājumu veikšanu 2014.–2020.gada plān</w:t>
            </w:r>
            <w:r>
              <w:t xml:space="preserve">ošanas periodā” (turpmāk – MK Noteikumi Nr.130) 13.1. apakšpunktā minētas izmaksas (projekta personāla atlīdzība, pakalpojumi, preču piegāde) tiks finansētas kā vienreizējais maksājums - </w:t>
            </w:r>
            <w:r w:rsidRPr="00BB7FE0">
              <w:t>studentu inovāciju pieteikums,</w:t>
            </w:r>
            <w:r>
              <w:t xml:space="preserve"> kas ietver </w:t>
            </w:r>
            <w:r w:rsidRPr="00BB7FE0">
              <w:t xml:space="preserve">ekspertu atlīdzības izmaksas par individuālo konsultāciju sniegšanu, materiālu un pakalpojumu izmaksas, studējošo mobilitātes izmaksas. </w:t>
            </w:r>
            <w:r>
              <w:t xml:space="preserve">Līdz ar to MK noteikumu Nr.41 </w:t>
            </w:r>
            <w:r w:rsidRPr="00BB7FE0">
              <w:t xml:space="preserve">28.1.1. </w:t>
            </w:r>
            <w:r>
              <w:t>apakš</w:t>
            </w:r>
            <w:r w:rsidRPr="00BB7FE0">
              <w:t>punktā noteikta</w:t>
            </w:r>
            <w:r>
              <w:t>ja</w:t>
            </w:r>
            <w:r w:rsidRPr="00BB7FE0">
              <w:t xml:space="preserve">i </w:t>
            </w:r>
            <w:r>
              <w:t>darbībai (studentu inovāciju pieteikumu īstenošana) kā</w:t>
            </w:r>
            <w:r w:rsidR="00A70A59">
              <w:t xml:space="preserve"> </w:t>
            </w:r>
            <w:r w:rsidR="00A70A59" w:rsidRPr="00A70A59">
              <w:t>pamatojošie dokumenti avansa maksājuma saņemšanai tiek uzskatīti noslēgtie līgumi starp pieteikuma īstenotāju/-</w:t>
            </w:r>
            <w:proofErr w:type="spellStart"/>
            <w:r w:rsidR="00A70A59" w:rsidRPr="00A70A59">
              <w:t>iem</w:t>
            </w:r>
            <w:proofErr w:type="spellEnd"/>
            <w:r w:rsidR="00A70A59" w:rsidRPr="00A70A59">
              <w:t xml:space="preserve"> un finansējuma saņēmēju par pieteikuma īstenošanu, bet netiek </w:t>
            </w:r>
            <w:r>
              <w:t xml:space="preserve">iesniegti konkrēti  MK Noteikumu Nr.130 13.1. apakšpunktā minēto izmaksu </w:t>
            </w:r>
            <w:r>
              <w:lastRenderedPageBreak/>
              <w:t xml:space="preserve">pamatojošie dokumenti (pakalpojuma līgumi, līgumi ar personālu, piegādes līgumi u.c.). </w:t>
            </w:r>
          </w:p>
          <w:p w14:paraId="5393CEE0" w14:textId="77777777" w:rsidR="003B59CF" w:rsidRPr="006330A2" w:rsidRDefault="003B59CF" w:rsidP="00701D00">
            <w:pPr>
              <w:jc w:val="both"/>
              <w:rPr>
                <w:rFonts w:eastAsia="Times New Roman"/>
              </w:rPr>
            </w:pPr>
          </w:p>
          <w:p w14:paraId="5393CEE1" w14:textId="77777777" w:rsidR="002957A3" w:rsidRPr="006330A2" w:rsidRDefault="00905C16" w:rsidP="002957A3">
            <w:pPr>
              <w:jc w:val="both"/>
            </w:pPr>
            <w:r w:rsidRPr="006330A2">
              <w:rPr>
                <w:b/>
              </w:rPr>
              <w:t>5</w:t>
            </w:r>
            <w:r w:rsidR="002957A3" w:rsidRPr="006330A2">
              <w:rPr>
                <w:b/>
              </w:rPr>
              <w:t>. Precizēt sadarbības partneru iesaistes nosacījumus, paredzot ārvalstu izglītības iestāžu piesaisti</w:t>
            </w:r>
            <w:r w:rsidR="002957A3" w:rsidRPr="006330A2">
              <w:t xml:space="preserve">.  </w:t>
            </w:r>
          </w:p>
          <w:p w14:paraId="5393CEE2" w14:textId="77777777" w:rsidR="002957A3" w:rsidRPr="006330A2" w:rsidRDefault="002957A3" w:rsidP="002957A3">
            <w:pPr>
              <w:jc w:val="both"/>
            </w:pPr>
            <w:r w:rsidRPr="006330A2">
              <w:t xml:space="preserve">MK noteikumu Nr. 41 pašreizējā 2.2. apakšpunkta redakcija nosaka, ka augstākās izglītības institūcija ir valsts vai privātpersonas dibināta un noteiktā kārtībā Latvijas Republikā reģistrēta un akreditēta augstskola vai koledža. Valsts piederības ierobežojums tika definēts ar mērķi noteikt nosacījumu projekta iesniedzējam, kas pēc projekta iesnieguma apstiprināšanas ir arī ERAF finansējuma saņēmējs, nevis sadarbības partnerim, kas projekta īstenošanā iesaistās ar savas organizācijas cilvēkresursiem un </w:t>
            </w:r>
            <w:r w:rsidR="00E91EF3" w:rsidRPr="006330A2">
              <w:t xml:space="preserve">nodrošinot </w:t>
            </w:r>
            <w:r w:rsidRPr="006330A2">
              <w:t>pieeju savas organizācijas infrastruktūrai. Lai nodrošinātu vien</w:t>
            </w:r>
            <w:r w:rsidR="00E91EF3" w:rsidRPr="006330A2">
              <w:t>nozīmīgu</w:t>
            </w:r>
            <w:r w:rsidRPr="006330A2">
              <w:t xml:space="preserve"> izpratni par sadarbības partnera iesaisti </w:t>
            </w:r>
            <w:r w:rsidR="00E84879" w:rsidRPr="006330A2">
              <w:t>projekta īstenošanā</w:t>
            </w:r>
            <w:r w:rsidRPr="006330A2">
              <w:t xml:space="preserve">, </w:t>
            </w:r>
            <w:r w:rsidRPr="006330A2">
              <w:rPr>
                <w:b/>
              </w:rPr>
              <w:t>nepieciešams veikt tehnisku precizējumu, nodrošinot iespēju kā sadarbības partneri piesaistīt arī ārvalstu augstākās izglītības iestādi</w:t>
            </w:r>
            <w:r w:rsidRPr="006330A2">
              <w:t xml:space="preserve">. </w:t>
            </w:r>
          </w:p>
          <w:p w14:paraId="5393CEE3" w14:textId="77777777" w:rsidR="007B37CA" w:rsidRDefault="007B37CA" w:rsidP="00184779">
            <w:pPr>
              <w:jc w:val="both"/>
              <w:rPr>
                <w:rFonts w:eastAsia="Times New Roman"/>
              </w:rPr>
            </w:pPr>
          </w:p>
          <w:p w14:paraId="5393CEE4" w14:textId="77777777" w:rsidR="000F3DE5" w:rsidRDefault="00B23D1A" w:rsidP="00184779">
            <w:pPr>
              <w:jc w:val="both"/>
              <w:rPr>
                <w:rFonts w:eastAsia="Times New Roman"/>
              </w:rPr>
            </w:pPr>
            <w:r>
              <w:rPr>
                <w:rFonts w:eastAsia="Times New Roman"/>
              </w:rPr>
              <w:t>Grozījumi nerada ietekmi uz 1.1.1.3. pasākuma 1.atlases kārtas ietvaros iesniegtajiem un vērtēšanā esošajiem projektu iesniegumiem, jo vērtējot Studentu i</w:t>
            </w:r>
            <w:r w:rsidR="00A0406D">
              <w:rPr>
                <w:rFonts w:eastAsia="Times New Roman"/>
              </w:rPr>
              <w:t>novāciju programmas īstenošanā p</w:t>
            </w:r>
            <w:r>
              <w:rPr>
                <w:rFonts w:eastAsia="Times New Roman"/>
              </w:rPr>
              <w:t>iesaistīto sadarbības partneru veidu un skaitu (</w:t>
            </w:r>
            <w:proofErr w:type="spellStart"/>
            <w:r>
              <w:rPr>
                <w:rFonts w:eastAsia="Times New Roman"/>
              </w:rPr>
              <w:t>apakškritērijs</w:t>
            </w:r>
            <w:proofErr w:type="spellEnd"/>
            <w:r>
              <w:rPr>
                <w:rFonts w:eastAsia="Times New Roman"/>
              </w:rPr>
              <w:t xml:space="preserve"> nr.3.4.1.), minimālo punktu skaitu bija iespējams sasniegt arī bez</w:t>
            </w:r>
            <w:r w:rsidR="00673D86">
              <w:rPr>
                <w:rFonts w:eastAsia="Times New Roman"/>
              </w:rPr>
              <w:t xml:space="preserve"> ārvalsts</w:t>
            </w:r>
            <w:r>
              <w:rPr>
                <w:rFonts w:eastAsia="Times New Roman"/>
              </w:rPr>
              <w:t xml:space="preserve"> augstākās izglītības iestādes </w:t>
            </w:r>
            <w:r w:rsidR="00556DB1">
              <w:rPr>
                <w:rFonts w:eastAsia="Times New Roman"/>
              </w:rPr>
              <w:t>iesaistes</w:t>
            </w:r>
            <w:r>
              <w:rPr>
                <w:rFonts w:eastAsia="Times New Roman"/>
              </w:rPr>
              <w:t>.</w:t>
            </w:r>
            <w:r w:rsidR="00F1249A">
              <w:rPr>
                <w:rFonts w:eastAsia="Times New Roman"/>
              </w:rPr>
              <w:t xml:space="preserve"> </w:t>
            </w:r>
            <w:r w:rsidR="00F1249A" w:rsidRPr="00D82196">
              <w:rPr>
                <w:rFonts w:eastAsia="Times New Roman"/>
              </w:rPr>
              <w:t xml:space="preserve">Papildus sadarbības partnerus </w:t>
            </w:r>
            <w:r w:rsidR="00D4788F" w:rsidRPr="00D82196">
              <w:rPr>
                <w:rFonts w:eastAsia="Times New Roman"/>
              </w:rPr>
              <w:t xml:space="preserve">Studentu inovāciju programmas īstenošanai </w:t>
            </w:r>
            <w:r w:rsidR="00F1249A" w:rsidRPr="00D82196">
              <w:rPr>
                <w:rFonts w:eastAsia="Times New Roman"/>
              </w:rPr>
              <w:t>var piesaistīt arī projekta īstenošanas laikā.</w:t>
            </w:r>
            <w:r w:rsidR="00D11F98">
              <w:rPr>
                <w:rFonts w:eastAsia="Times New Roman"/>
              </w:rPr>
              <w:t xml:space="preserve"> </w:t>
            </w:r>
            <w:r w:rsidR="00184779">
              <w:rPr>
                <w:rFonts w:eastAsia="Times New Roman"/>
              </w:rPr>
              <w:t xml:space="preserve">Līdz </w:t>
            </w:r>
            <w:r w:rsidR="00E5350A">
              <w:rPr>
                <w:rFonts w:eastAsia="Times New Roman"/>
              </w:rPr>
              <w:t xml:space="preserve">1.1.1.3. pasākuma 1.atlases kārtas </w:t>
            </w:r>
            <w:r w:rsidR="00184779">
              <w:rPr>
                <w:rFonts w:eastAsia="Times New Roman"/>
              </w:rPr>
              <w:t>projektu iesniegšanas termiņa beigām IZM un CFLA rīkoja publisk</w:t>
            </w:r>
            <w:r w:rsidR="00D11F98">
              <w:rPr>
                <w:rFonts w:eastAsia="Times New Roman"/>
              </w:rPr>
              <w:t>a</w:t>
            </w:r>
            <w:r w:rsidR="00184779">
              <w:rPr>
                <w:rFonts w:eastAsia="Times New Roman"/>
              </w:rPr>
              <w:t>s konsultācija</w:t>
            </w:r>
            <w:r w:rsidR="000F3DE5" w:rsidRPr="006334E5">
              <w:rPr>
                <w:rFonts w:eastAsia="Times New Roman"/>
              </w:rPr>
              <w:t>s par 1.1.1.3. pasākuma ieviešanas nosacījumiem</w:t>
            </w:r>
            <w:r w:rsidR="00184779">
              <w:rPr>
                <w:rFonts w:eastAsia="Times New Roman"/>
              </w:rPr>
              <w:t>, kuru laikā</w:t>
            </w:r>
            <w:r w:rsidR="000F3DE5" w:rsidRPr="006334E5">
              <w:rPr>
                <w:rFonts w:eastAsia="Times New Roman"/>
              </w:rPr>
              <w:t xml:space="preserve"> </w:t>
            </w:r>
            <w:r w:rsidR="000F3DE5">
              <w:rPr>
                <w:rFonts w:eastAsia="Times New Roman"/>
              </w:rPr>
              <w:t xml:space="preserve">no potenciālajiem projekta iesniedzējiem </w:t>
            </w:r>
            <w:r w:rsidR="000F3DE5" w:rsidRPr="006334E5">
              <w:rPr>
                <w:rFonts w:eastAsia="Times New Roman"/>
              </w:rPr>
              <w:t xml:space="preserve">netika </w:t>
            </w:r>
            <w:r w:rsidR="000F3DE5">
              <w:rPr>
                <w:rFonts w:eastAsia="Times New Roman"/>
              </w:rPr>
              <w:t>saņemti</w:t>
            </w:r>
            <w:r w:rsidR="000F3DE5" w:rsidRPr="006334E5">
              <w:rPr>
                <w:rFonts w:eastAsia="Times New Roman"/>
              </w:rPr>
              <w:t xml:space="preserve"> jautājumi par ārvalstu augstākās izglītības iestāžu iesaistes iespējām sadarbības partnera lomā, kā arī šāds jautājums netika saņemts elektroniski vai telefoniski, </w:t>
            </w:r>
            <w:r w:rsidR="00D11F98">
              <w:rPr>
                <w:rFonts w:eastAsia="Times New Roman"/>
              </w:rPr>
              <w:t xml:space="preserve">līdz ar to </w:t>
            </w:r>
            <w:r w:rsidR="000F3DE5">
              <w:rPr>
                <w:rFonts w:eastAsia="Times New Roman"/>
              </w:rPr>
              <w:t xml:space="preserve">IZM ieskatā </w:t>
            </w:r>
            <w:r w:rsidR="000F3DE5" w:rsidRPr="006334E5">
              <w:rPr>
                <w:rFonts w:eastAsia="Times New Roman"/>
              </w:rPr>
              <w:t xml:space="preserve">sadarbības partnera valstiskās piederības ierobežojums </w:t>
            </w:r>
            <w:r w:rsidR="000F3DE5">
              <w:rPr>
                <w:rFonts w:eastAsia="Times New Roman"/>
              </w:rPr>
              <w:t>ne</w:t>
            </w:r>
            <w:r w:rsidR="000F3DE5" w:rsidRPr="006334E5">
              <w:rPr>
                <w:rFonts w:eastAsia="Times New Roman"/>
              </w:rPr>
              <w:t>ietekmēja</w:t>
            </w:r>
            <w:r w:rsidR="000F3DE5">
              <w:rPr>
                <w:rFonts w:eastAsia="Times New Roman"/>
              </w:rPr>
              <w:t xml:space="preserve"> potenciālo projekta iesniedzēju lēmumu iesniegt projekta iesniegumu.</w:t>
            </w:r>
            <w:r w:rsidR="000F3DE5" w:rsidRPr="006334E5">
              <w:rPr>
                <w:rFonts w:eastAsia="Times New Roman"/>
              </w:rPr>
              <w:t xml:space="preserve"> </w:t>
            </w:r>
          </w:p>
          <w:p w14:paraId="5393CEE5" w14:textId="77777777" w:rsidR="00D05B0F" w:rsidRDefault="002957A3" w:rsidP="002957A3">
            <w:pPr>
              <w:jc w:val="both"/>
              <w:rPr>
                <w:rFonts w:eastAsia="Times New Roman"/>
              </w:rPr>
            </w:pPr>
            <w:r w:rsidRPr="006330A2">
              <w:rPr>
                <w:rFonts w:eastAsia="Times New Roman"/>
              </w:rPr>
              <w:t xml:space="preserve">Minētais tehniskais grozījums MK noteikumos Nr. 41 labvēlīgi ietekmēs 1.1.1.3. pasākuma projektu īstenošanu, jo projekta iesniedzējiem ļaus </w:t>
            </w:r>
            <w:r w:rsidR="00D05B0F" w:rsidRPr="006330A2">
              <w:rPr>
                <w:rFonts w:eastAsia="Times New Roman"/>
              </w:rPr>
              <w:t>samazināt administratīvo slogu ārvalsts sadarbības partneru piesaistē,</w:t>
            </w:r>
            <w:r w:rsidRPr="006330A2">
              <w:rPr>
                <w:rFonts w:eastAsia="Times New Roman"/>
              </w:rPr>
              <w:t xml:space="preserve"> tai skaitā piesaistot ārvalstu ekspertus studentu inovāciju programmas īstenošanai</w:t>
            </w:r>
            <w:r w:rsidR="00D05B0F" w:rsidRPr="006330A2">
              <w:rPr>
                <w:rFonts w:eastAsia="Times New Roman"/>
              </w:rPr>
              <w:t xml:space="preserve">. </w:t>
            </w:r>
          </w:p>
          <w:p w14:paraId="5393CEE6" w14:textId="77777777" w:rsidR="006334E5" w:rsidRPr="006330A2" w:rsidRDefault="006334E5" w:rsidP="00701D00">
            <w:pPr>
              <w:jc w:val="both"/>
              <w:rPr>
                <w:rFonts w:eastAsia="Times New Roman"/>
              </w:rPr>
            </w:pPr>
          </w:p>
          <w:p w14:paraId="5393CEE7" w14:textId="77777777" w:rsidR="00C741BD" w:rsidRPr="006330A2" w:rsidRDefault="0094122F" w:rsidP="00C741BD">
            <w:pPr>
              <w:jc w:val="both"/>
            </w:pPr>
            <w:r w:rsidRPr="006330A2">
              <w:t xml:space="preserve">Ņemot vērā to, ka 1.1.1.3. pasākuma ietvaros iesniegtie projekti šobrīd </w:t>
            </w:r>
            <w:r w:rsidR="001F3DA2" w:rsidRPr="006330A2">
              <w:t xml:space="preserve">(uz 2019. gada </w:t>
            </w:r>
            <w:r w:rsidR="000F7031" w:rsidRPr="006330A2">
              <w:t>4</w:t>
            </w:r>
            <w:r w:rsidR="001F3DA2" w:rsidRPr="006330A2">
              <w:t xml:space="preserve">. </w:t>
            </w:r>
            <w:r w:rsidR="00001308">
              <w:t>jūl</w:t>
            </w:r>
            <w:r w:rsidR="00DF6F22" w:rsidRPr="006330A2">
              <w:t>iju</w:t>
            </w:r>
            <w:r w:rsidR="001F3DA2" w:rsidRPr="006330A2">
              <w:t xml:space="preserve">) </w:t>
            </w:r>
            <w:r w:rsidRPr="006330A2">
              <w:t xml:space="preserve">atrodas </w:t>
            </w:r>
            <w:r w:rsidR="000F7031" w:rsidRPr="006330A2">
              <w:t xml:space="preserve">nosacījumu izpildes vērtēšana </w:t>
            </w:r>
            <w:r w:rsidRPr="006330A2">
              <w:t>procesā</w:t>
            </w:r>
            <w:r w:rsidR="000F7031" w:rsidRPr="006330A2">
              <w:t xml:space="preserve"> un</w:t>
            </w:r>
            <w:r w:rsidR="00001308">
              <w:t xml:space="preserve"> trīs</w:t>
            </w:r>
            <w:r w:rsidR="000F7031" w:rsidRPr="006330A2">
              <w:t xml:space="preserve"> projekt</w:t>
            </w:r>
            <w:r w:rsidR="005E5301" w:rsidRPr="006330A2">
              <w:t>i</w:t>
            </w:r>
            <w:r w:rsidR="000F7031" w:rsidRPr="006330A2">
              <w:t xml:space="preserve"> jau ir apstiprināt</w:t>
            </w:r>
            <w:r w:rsidR="005E5301" w:rsidRPr="006330A2">
              <w:t>i</w:t>
            </w:r>
            <w:r w:rsidRPr="006330A2">
              <w:t>, grozījumus</w:t>
            </w:r>
            <w:r w:rsidR="002326B3" w:rsidRPr="006330A2">
              <w:t xml:space="preserve"> MK noteikumos Nr.41</w:t>
            </w:r>
            <w:r w:rsidRPr="006330A2">
              <w:t xml:space="preserve"> nepieciešams </w:t>
            </w:r>
            <w:r w:rsidR="00485AFC" w:rsidRPr="006330A2">
              <w:t>virzīt apstiprināšanai</w:t>
            </w:r>
            <w:r w:rsidRPr="006330A2">
              <w:t xml:space="preserve"> </w:t>
            </w:r>
            <w:r w:rsidR="006D1379" w:rsidRPr="006330A2">
              <w:t>steidzamības kārtībā</w:t>
            </w:r>
            <w:r w:rsidRPr="006330A2">
              <w:t>, lai</w:t>
            </w:r>
            <w:r w:rsidR="00C741BD" w:rsidRPr="006330A2">
              <w:t xml:space="preserve"> </w:t>
            </w:r>
            <w:r w:rsidRPr="006330A2">
              <w:t xml:space="preserve">projekta iesniedzēji varētu </w:t>
            </w:r>
            <w:r w:rsidR="00BF21DE" w:rsidRPr="006330A2">
              <w:t xml:space="preserve">nekavējoties uzsākt pilnvērtīgu projektu īstenošanu </w:t>
            </w:r>
            <w:r w:rsidR="00BF21DE" w:rsidRPr="006330A2">
              <w:lastRenderedPageBreak/>
              <w:t>atbilstoši precizētajiem MK Noteikumu Nr.41 nosacījumiem, tai skaitā</w:t>
            </w:r>
            <w:r w:rsidR="00C741BD" w:rsidRPr="006330A2">
              <w:t>, lai tiktu nodrošināta iespēja:</w:t>
            </w:r>
          </w:p>
          <w:p w14:paraId="5393CEE8" w14:textId="77777777" w:rsidR="00534EAB" w:rsidRPr="006330A2" w:rsidRDefault="0094122F" w:rsidP="00C741BD">
            <w:pPr>
              <w:pStyle w:val="ListParagraph"/>
              <w:numPr>
                <w:ilvl w:val="0"/>
                <w:numId w:val="16"/>
              </w:numPr>
              <w:jc w:val="both"/>
              <w:rPr>
                <w:sz w:val="24"/>
                <w:szCs w:val="24"/>
              </w:rPr>
            </w:pPr>
            <w:r w:rsidRPr="006330A2">
              <w:rPr>
                <w:sz w:val="24"/>
                <w:szCs w:val="24"/>
              </w:rPr>
              <w:t xml:space="preserve">veikt projekta grozījumus </w:t>
            </w:r>
            <w:r w:rsidR="00485AFC" w:rsidRPr="006330A2">
              <w:rPr>
                <w:sz w:val="24"/>
                <w:szCs w:val="24"/>
              </w:rPr>
              <w:t xml:space="preserve">atbilstoši </w:t>
            </w:r>
            <w:r w:rsidR="00FE0116" w:rsidRPr="006330A2">
              <w:rPr>
                <w:sz w:val="24"/>
                <w:szCs w:val="24"/>
              </w:rPr>
              <w:t>M</w:t>
            </w:r>
            <w:r w:rsidR="00485AFC" w:rsidRPr="006330A2">
              <w:rPr>
                <w:sz w:val="24"/>
                <w:szCs w:val="24"/>
              </w:rPr>
              <w:t xml:space="preserve">etodikas nosacījumiem </w:t>
            </w:r>
            <w:r w:rsidRPr="006330A2">
              <w:rPr>
                <w:sz w:val="24"/>
                <w:szCs w:val="24"/>
              </w:rPr>
              <w:t>uzreiz pēc līguma par projekta īstenošanu noslēgšanas</w:t>
            </w:r>
            <w:r w:rsidR="00534EAB" w:rsidRPr="006330A2">
              <w:rPr>
                <w:sz w:val="24"/>
                <w:szCs w:val="24"/>
              </w:rPr>
              <w:t>;</w:t>
            </w:r>
          </w:p>
          <w:p w14:paraId="5393CEE9" w14:textId="77777777" w:rsidR="00534EAB" w:rsidRPr="006330A2" w:rsidRDefault="00C741BD" w:rsidP="00C741BD">
            <w:pPr>
              <w:pStyle w:val="ListParagraph"/>
              <w:numPr>
                <w:ilvl w:val="0"/>
                <w:numId w:val="16"/>
              </w:numPr>
              <w:jc w:val="both"/>
              <w:rPr>
                <w:sz w:val="24"/>
                <w:szCs w:val="24"/>
              </w:rPr>
            </w:pPr>
            <w:r w:rsidRPr="006330A2">
              <w:rPr>
                <w:sz w:val="24"/>
                <w:szCs w:val="24"/>
              </w:rPr>
              <w:t>paredzēt avansu izmaksu vienreizējā maksājuma izmaksu segšanai;</w:t>
            </w:r>
          </w:p>
          <w:p w14:paraId="5393CEEA" w14:textId="77777777" w:rsidR="004D336D" w:rsidRPr="006330A2" w:rsidRDefault="00BF21DE" w:rsidP="00C741BD">
            <w:pPr>
              <w:pStyle w:val="ListParagraph"/>
              <w:numPr>
                <w:ilvl w:val="0"/>
                <w:numId w:val="16"/>
              </w:numPr>
              <w:jc w:val="both"/>
              <w:rPr>
                <w:rFonts w:eastAsia="Calibri"/>
              </w:rPr>
            </w:pPr>
            <w:r w:rsidRPr="006330A2">
              <w:rPr>
                <w:sz w:val="24"/>
                <w:szCs w:val="24"/>
              </w:rPr>
              <w:t>samazināt administratīvo slogu attiecībā uz ārvalsts ekspertu piesaisti</w:t>
            </w:r>
            <w:r w:rsidR="00534EAB" w:rsidRPr="006330A2">
              <w:rPr>
                <w:sz w:val="24"/>
                <w:szCs w:val="24"/>
              </w:rPr>
              <w:t>.</w:t>
            </w:r>
          </w:p>
        </w:tc>
      </w:tr>
      <w:tr w:rsidR="00ED6931" w:rsidRPr="006330A2" w14:paraId="5393CEEF"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EC" w14:textId="77777777" w:rsidR="00055596" w:rsidRPr="006330A2" w:rsidRDefault="00B650B7" w:rsidP="001351FC">
            <w:pPr>
              <w:jc w:val="center"/>
              <w:rPr>
                <w:lang w:eastAsia="en-US"/>
              </w:rPr>
            </w:pPr>
            <w:r w:rsidRPr="006330A2">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ED" w14:textId="77777777" w:rsidR="00055596" w:rsidRPr="006330A2" w:rsidRDefault="00B650B7" w:rsidP="001351FC">
            <w:pPr>
              <w:rPr>
                <w:lang w:eastAsia="en-US"/>
              </w:rPr>
            </w:pPr>
            <w:r w:rsidRPr="006330A2">
              <w:t>Projekta izstrādē iesaistītās institūcijas</w:t>
            </w:r>
            <w:r w:rsidR="00742CA8" w:rsidRPr="006330A2">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5393CEEE" w14:textId="77777777" w:rsidR="00055596" w:rsidRPr="006330A2" w:rsidRDefault="00C314FA" w:rsidP="00E15EC6">
            <w:pPr>
              <w:ind w:left="66"/>
              <w:jc w:val="both"/>
              <w:rPr>
                <w:bCs/>
                <w:strike/>
              </w:rPr>
            </w:pPr>
            <w:r w:rsidRPr="006330A2">
              <w:rPr>
                <w:bCs/>
                <w:iCs/>
              </w:rPr>
              <w:t xml:space="preserve">Noteikumu projektu izstrādāja </w:t>
            </w:r>
            <w:r w:rsidR="00E15EC6" w:rsidRPr="006330A2">
              <w:rPr>
                <w:bCs/>
                <w:iCs/>
              </w:rPr>
              <w:t>IZM</w:t>
            </w:r>
            <w:r w:rsidRPr="006330A2">
              <w:rPr>
                <w:bCs/>
                <w:iCs/>
              </w:rPr>
              <w:t>.</w:t>
            </w:r>
          </w:p>
        </w:tc>
      </w:tr>
      <w:tr w:rsidR="00ED6931" w:rsidRPr="006330A2" w14:paraId="5393CEF3" w14:textId="77777777" w:rsidTr="00FA1BB9">
        <w:tc>
          <w:tcPr>
            <w:tcW w:w="814" w:type="dxa"/>
            <w:tcBorders>
              <w:top w:val="single" w:sz="4" w:space="0" w:color="auto"/>
              <w:left w:val="single" w:sz="4" w:space="0" w:color="auto"/>
              <w:bottom w:val="single" w:sz="4" w:space="0" w:color="auto"/>
              <w:right w:val="single" w:sz="4" w:space="0" w:color="auto"/>
            </w:tcBorders>
            <w:shd w:val="clear" w:color="auto" w:fill="auto"/>
          </w:tcPr>
          <w:p w14:paraId="5393CEF0" w14:textId="77777777" w:rsidR="00055596" w:rsidRPr="006330A2" w:rsidRDefault="00B650B7" w:rsidP="001351FC">
            <w:pPr>
              <w:jc w:val="center"/>
              <w:rPr>
                <w:lang w:eastAsia="en-US"/>
              </w:rPr>
            </w:pPr>
            <w:r w:rsidRPr="006330A2">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393CEF1" w14:textId="77777777" w:rsidR="00055596" w:rsidRPr="006330A2" w:rsidRDefault="00B650B7" w:rsidP="001351FC">
            <w:pPr>
              <w:rPr>
                <w:lang w:eastAsia="en-US"/>
              </w:rPr>
            </w:pPr>
            <w:r w:rsidRPr="006330A2">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393CEF2" w14:textId="77777777" w:rsidR="00055596" w:rsidRPr="006330A2" w:rsidRDefault="00616CE1" w:rsidP="002B0E96">
            <w:pPr>
              <w:pStyle w:val="Default"/>
              <w:jc w:val="both"/>
              <w:rPr>
                <w:rFonts w:eastAsia="Times New Roman"/>
                <w:lang w:bidi="lo-LA"/>
              </w:rPr>
            </w:pPr>
            <w:r w:rsidRPr="006330A2">
              <w:rPr>
                <w:bCs/>
              </w:rPr>
              <w:t>Nav.</w:t>
            </w:r>
            <w:r w:rsidR="00B650B7" w:rsidRPr="006330A2">
              <w:rPr>
                <w:bCs/>
              </w:rPr>
              <w:t xml:space="preserve"> </w:t>
            </w:r>
          </w:p>
        </w:tc>
      </w:tr>
    </w:tbl>
    <w:p w14:paraId="5393CEF4" w14:textId="77777777" w:rsidR="000952B3" w:rsidRPr="006330A2"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6330A2" w14:paraId="5393CEF6"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93CEF5" w14:textId="77777777" w:rsidR="000952B3" w:rsidRPr="006330A2" w:rsidRDefault="00B650B7" w:rsidP="001351FC">
            <w:pPr>
              <w:pStyle w:val="ListParagraph"/>
              <w:tabs>
                <w:tab w:val="left" w:pos="2268"/>
                <w:tab w:val="left" w:pos="2410"/>
              </w:tabs>
              <w:ind w:left="1080"/>
              <w:jc w:val="center"/>
              <w:rPr>
                <w:b/>
                <w:sz w:val="24"/>
                <w:szCs w:val="24"/>
                <w:lang w:eastAsia="en-US"/>
              </w:rPr>
            </w:pPr>
            <w:r w:rsidRPr="006330A2">
              <w:rPr>
                <w:b/>
                <w:bCs/>
                <w:sz w:val="24"/>
                <w:szCs w:val="24"/>
              </w:rPr>
              <w:t>II. Tiesību akta projekta ietekme uz sabiedrību, tautsaimniecības attīstību un administratīvo slogu</w:t>
            </w:r>
          </w:p>
        </w:tc>
      </w:tr>
      <w:tr w:rsidR="00ED6931" w:rsidRPr="006330A2" w14:paraId="5393CEFB"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393CEF7" w14:textId="77777777" w:rsidR="000952B3" w:rsidRPr="006330A2" w:rsidRDefault="00B650B7" w:rsidP="001351FC">
            <w:pPr>
              <w:jc w:val="center"/>
              <w:rPr>
                <w:lang w:eastAsia="en-US"/>
              </w:rPr>
            </w:pPr>
            <w:r w:rsidRPr="006330A2">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393CEF8" w14:textId="77777777" w:rsidR="000952B3" w:rsidRPr="006330A2" w:rsidRDefault="00B650B7" w:rsidP="001351FC">
            <w:pPr>
              <w:rPr>
                <w:lang w:eastAsia="en-US"/>
              </w:rPr>
            </w:pPr>
            <w:r w:rsidRPr="006330A2">
              <w:t xml:space="preserve">Sabiedrības </w:t>
            </w:r>
            <w:proofErr w:type="spellStart"/>
            <w:r w:rsidRPr="006330A2">
              <w:t>mērķgrupas</w:t>
            </w:r>
            <w:proofErr w:type="spellEnd"/>
            <w:r w:rsidRPr="006330A2">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EF9" w14:textId="77777777" w:rsidR="003E0B2F" w:rsidRPr="006330A2" w:rsidRDefault="00B650B7" w:rsidP="00FE486A">
            <w:pPr>
              <w:pStyle w:val="ListParagraph"/>
              <w:tabs>
                <w:tab w:val="left" w:pos="317"/>
              </w:tabs>
              <w:ind w:left="-79"/>
              <w:jc w:val="both"/>
              <w:rPr>
                <w:color w:val="000000" w:themeColor="text1"/>
                <w:sz w:val="24"/>
                <w:szCs w:val="24"/>
              </w:rPr>
            </w:pPr>
            <w:r w:rsidRPr="006330A2">
              <w:rPr>
                <w:sz w:val="24"/>
                <w:szCs w:val="24"/>
              </w:rPr>
              <w:t xml:space="preserve">Tiesiskais regulējums ietekmē </w:t>
            </w:r>
            <w:r w:rsidR="00521075" w:rsidRPr="006330A2">
              <w:rPr>
                <w:sz w:val="24"/>
                <w:szCs w:val="24"/>
              </w:rPr>
              <w:t xml:space="preserve">atbildīgo iestādi </w:t>
            </w:r>
            <w:r w:rsidR="000F2179" w:rsidRPr="006330A2">
              <w:rPr>
                <w:sz w:val="24"/>
                <w:szCs w:val="24"/>
              </w:rPr>
              <w:t>–</w:t>
            </w:r>
            <w:r w:rsidR="00521075" w:rsidRPr="006330A2">
              <w:rPr>
                <w:sz w:val="24"/>
                <w:szCs w:val="24"/>
              </w:rPr>
              <w:t xml:space="preserve"> </w:t>
            </w:r>
            <w:r w:rsidRPr="006330A2">
              <w:rPr>
                <w:sz w:val="24"/>
                <w:szCs w:val="24"/>
              </w:rPr>
              <w:t xml:space="preserve">IZM, </w:t>
            </w:r>
            <w:r w:rsidR="00521075" w:rsidRPr="006330A2">
              <w:rPr>
                <w:sz w:val="24"/>
                <w:szCs w:val="24"/>
              </w:rPr>
              <w:t xml:space="preserve">sadarbības iestādi </w:t>
            </w:r>
            <w:r w:rsidR="000F2179" w:rsidRPr="006330A2">
              <w:rPr>
                <w:sz w:val="24"/>
                <w:szCs w:val="24"/>
              </w:rPr>
              <w:t>–</w:t>
            </w:r>
            <w:r w:rsidR="00F40F05" w:rsidRPr="006330A2">
              <w:rPr>
                <w:color w:val="000000" w:themeColor="text1"/>
                <w:sz w:val="24"/>
                <w:szCs w:val="24"/>
              </w:rPr>
              <w:t xml:space="preserve"> </w:t>
            </w:r>
            <w:r w:rsidR="00842373" w:rsidRPr="006330A2">
              <w:rPr>
                <w:color w:val="000000" w:themeColor="text1"/>
                <w:sz w:val="24"/>
                <w:szCs w:val="24"/>
              </w:rPr>
              <w:t>CFLA</w:t>
            </w:r>
            <w:r w:rsidR="003E0B2F" w:rsidRPr="006330A2">
              <w:rPr>
                <w:color w:val="000000" w:themeColor="text1"/>
                <w:sz w:val="24"/>
                <w:szCs w:val="24"/>
              </w:rPr>
              <w:t xml:space="preserve"> un</w:t>
            </w:r>
            <w:r w:rsidR="00842373" w:rsidRPr="006330A2">
              <w:rPr>
                <w:color w:val="000000" w:themeColor="text1"/>
                <w:sz w:val="24"/>
                <w:szCs w:val="24"/>
              </w:rPr>
              <w:t xml:space="preserve"> projekta iesniedzējus</w:t>
            </w:r>
            <w:r w:rsidR="00ED3311" w:rsidRPr="006330A2">
              <w:rPr>
                <w:color w:val="000000" w:themeColor="text1"/>
                <w:sz w:val="24"/>
                <w:szCs w:val="24"/>
              </w:rPr>
              <w:t xml:space="preserve"> – augstākās izglītības institūcijas</w:t>
            </w:r>
            <w:r w:rsidR="003E0B2F" w:rsidRPr="006330A2">
              <w:rPr>
                <w:color w:val="000000" w:themeColor="text1"/>
                <w:sz w:val="24"/>
                <w:szCs w:val="24"/>
              </w:rPr>
              <w:t>.</w:t>
            </w:r>
          </w:p>
          <w:p w14:paraId="5393CEFA" w14:textId="77777777" w:rsidR="00FE486A" w:rsidRPr="006330A2" w:rsidRDefault="00FE486A" w:rsidP="00FE486A">
            <w:pPr>
              <w:pStyle w:val="ListParagraph"/>
              <w:tabs>
                <w:tab w:val="left" w:pos="317"/>
              </w:tabs>
              <w:ind w:left="-79"/>
              <w:jc w:val="both"/>
              <w:rPr>
                <w:color w:val="000000" w:themeColor="text1"/>
                <w:sz w:val="24"/>
                <w:szCs w:val="24"/>
              </w:rPr>
            </w:pPr>
          </w:p>
        </w:tc>
      </w:tr>
      <w:tr w:rsidR="00ED6931" w:rsidRPr="006330A2" w14:paraId="5393CEFF"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EFC" w14:textId="77777777" w:rsidR="000952B3" w:rsidRPr="006330A2" w:rsidRDefault="00B650B7" w:rsidP="001351FC">
            <w:pPr>
              <w:jc w:val="center"/>
            </w:pPr>
            <w:r w:rsidRPr="006330A2">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EFD" w14:textId="77777777" w:rsidR="000952B3" w:rsidRPr="006330A2" w:rsidRDefault="00B650B7" w:rsidP="001351FC">
            <w:pPr>
              <w:rPr>
                <w:color w:val="414142"/>
              </w:rPr>
            </w:pPr>
            <w:r w:rsidRPr="006330A2">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EFE" w14:textId="77777777" w:rsidR="00DB020A" w:rsidRPr="006330A2" w:rsidRDefault="00986A1B" w:rsidP="003E0B2F">
            <w:pPr>
              <w:tabs>
                <w:tab w:val="left" w:pos="317"/>
              </w:tabs>
              <w:jc w:val="both"/>
            </w:pPr>
            <w:r w:rsidRPr="006330A2">
              <w:t>T</w:t>
            </w:r>
            <w:r w:rsidR="00DB020A" w:rsidRPr="006330A2">
              <w:t xml:space="preserve">iks atviegloti </w:t>
            </w:r>
            <w:r w:rsidRPr="006330A2">
              <w:t>1.1.1.3.</w:t>
            </w:r>
            <w:r w:rsidR="00DF336B" w:rsidRPr="006330A2">
              <w:t xml:space="preserve"> </w:t>
            </w:r>
            <w:r w:rsidRPr="006330A2">
              <w:t xml:space="preserve">pasākuma </w:t>
            </w:r>
            <w:r w:rsidR="00DB020A" w:rsidRPr="006330A2">
              <w:t>projekta īstenošanas noteikumi un mazināts administratīvais slogs</w:t>
            </w:r>
            <w:r w:rsidR="004259D6" w:rsidRPr="006330A2">
              <w:t xml:space="preserve"> augstākās izglītības iestādēm</w:t>
            </w:r>
            <w:r w:rsidR="00DB020A" w:rsidRPr="006330A2">
              <w:t xml:space="preserve">, kas saistīts ar izdevumu pamatojošās dokumentācijas uzkrāšanu un uzglabāšanu, kā arī </w:t>
            </w:r>
            <w:r w:rsidR="00F40F05" w:rsidRPr="006330A2">
              <w:t>CFLA</w:t>
            </w:r>
            <w:r w:rsidR="00DB020A" w:rsidRPr="006330A2">
              <w:t>, kas veic izdevumu pamatojošās dokumentācijas pārbaudes.</w:t>
            </w:r>
          </w:p>
        </w:tc>
      </w:tr>
      <w:tr w:rsidR="00ED6931" w:rsidRPr="006330A2" w14:paraId="5393CF03"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0" w14:textId="77777777" w:rsidR="000952B3" w:rsidRPr="006330A2" w:rsidRDefault="00B650B7" w:rsidP="001351FC">
            <w:pPr>
              <w:jc w:val="center"/>
            </w:pPr>
            <w:r w:rsidRPr="006330A2">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1" w14:textId="77777777" w:rsidR="000952B3" w:rsidRPr="006330A2" w:rsidRDefault="00B650B7" w:rsidP="001351FC">
            <w:pPr>
              <w:rPr>
                <w:color w:val="414142"/>
              </w:rPr>
            </w:pPr>
            <w:r w:rsidRPr="006330A2">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2" w14:textId="77777777" w:rsidR="000952B3" w:rsidRPr="006330A2" w:rsidRDefault="00B363EC">
            <w:pPr>
              <w:pStyle w:val="ListParagraph"/>
              <w:tabs>
                <w:tab w:val="left" w:pos="317"/>
              </w:tabs>
              <w:ind w:left="-79"/>
              <w:jc w:val="both"/>
              <w:rPr>
                <w:bCs/>
                <w:sz w:val="24"/>
                <w:szCs w:val="24"/>
                <w:lang w:eastAsia="en-US"/>
              </w:rPr>
            </w:pPr>
            <w:r w:rsidRPr="006330A2">
              <w:rPr>
                <w:sz w:val="24"/>
                <w:szCs w:val="24"/>
              </w:rPr>
              <w:t>Noteikumu projektam nav ietekmes uz administratīvajām  izmaksām</w:t>
            </w:r>
            <w:r w:rsidR="00B650B7" w:rsidRPr="006330A2">
              <w:rPr>
                <w:sz w:val="24"/>
                <w:szCs w:val="24"/>
              </w:rPr>
              <w:t>.</w:t>
            </w:r>
          </w:p>
        </w:tc>
      </w:tr>
      <w:tr w:rsidR="00ED6931" w:rsidRPr="006330A2" w14:paraId="5393CF07"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4" w14:textId="77777777" w:rsidR="000952B3" w:rsidRPr="006330A2" w:rsidRDefault="00B650B7" w:rsidP="001351FC">
            <w:pPr>
              <w:jc w:val="center"/>
            </w:pPr>
            <w:r w:rsidRPr="006330A2">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5" w14:textId="77777777" w:rsidR="000952B3" w:rsidRPr="006330A2" w:rsidRDefault="00B650B7" w:rsidP="001351FC">
            <w:r w:rsidRPr="006330A2">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6" w14:textId="77777777" w:rsidR="000952B3" w:rsidRPr="006330A2" w:rsidRDefault="00B650B7" w:rsidP="00B363EC">
            <w:pPr>
              <w:pStyle w:val="ListParagraph"/>
              <w:tabs>
                <w:tab w:val="left" w:pos="317"/>
              </w:tabs>
              <w:ind w:left="-79"/>
              <w:jc w:val="both"/>
              <w:rPr>
                <w:bCs/>
                <w:sz w:val="24"/>
                <w:szCs w:val="24"/>
                <w:lang w:eastAsia="en-US"/>
              </w:rPr>
            </w:pPr>
            <w:r w:rsidRPr="006330A2">
              <w:rPr>
                <w:sz w:val="24"/>
                <w:szCs w:val="24"/>
              </w:rPr>
              <w:t>Noteikumu projekt</w:t>
            </w:r>
            <w:r w:rsidR="00DF336B" w:rsidRPr="006330A2">
              <w:rPr>
                <w:sz w:val="24"/>
                <w:szCs w:val="24"/>
              </w:rPr>
              <w:t>am nav ietekmes uz atbilstības izmaksām.</w:t>
            </w:r>
          </w:p>
        </w:tc>
      </w:tr>
      <w:tr w:rsidR="00ED6931" w:rsidRPr="006330A2" w14:paraId="5393CF0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393CF08" w14:textId="77777777" w:rsidR="000952B3" w:rsidRPr="006330A2" w:rsidRDefault="00B650B7" w:rsidP="001351FC">
            <w:pPr>
              <w:jc w:val="center"/>
            </w:pPr>
            <w:r w:rsidRPr="006330A2">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393CF09" w14:textId="77777777" w:rsidR="000952B3" w:rsidRPr="006330A2" w:rsidRDefault="00B650B7" w:rsidP="001351FC">
            <w:pPr>
              <w:rPr>
                <w:color w:val="414142"/>
              </w:rPr>
            </w:pPr>
            <w:r w:rsidRPr="006330A2">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393CF0A" w14:textId="77777777" w:rsidR="000952B3" w:rsidRPr="006330A2" w:rsidRDefault="00B650B7" w:rsidP="001351FC">
            <w:pPr>
              <w:pStyle w:val="ListParagraph"/>
              <w:tabs>
                <w:tab w:val="left" w:pos="317"/>
              </w:tabs>
              <w:ind w:left="-79"/>
              <w:jc w:val="both"/>
              <w:rPr>
                <w:bCs/>
                <w:sz w:val="24"/>
                <w:szCs w:val="24"/>
                <w:lang w:eastAsia="en-US"/>
              </w:rPr>
            </w:pPr>
            <w:r w:rsidRPr="006330A2">
              <w:rPr>
                <w:bCs/>
                <w:sz w:val="24"/>
                <w:szCs w:val="24"/>
                <w:lang w:eastAsia="en-US"/>
              </w:rPr>
              <w:t>Nav</w:t>
            </w:r>
            <w:r w:rsidR="00352BE9" w:rsidRPr="006330A2">
              <w:rPr>
                <w:bCs/>
                <w:sz w:val="24"/>
                <w:szCs w:val="24"/>
                <w:lang w:eastAsia="en-US"/>
              </w:rPr>
              <w:t>.</w:t>
            </w:r>
          </w:p>
        </w:tc>
      </w:tr>
    </w:tbl>
    <w:p w14:paraId="5393CF0C" w14:textId="77777777" w:rsidR="004D2E35" w:rsidRPr="006330A2"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109C0" w:rsidRPr="006330A2" w14:paraId="5393CF0E"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D" w14:textId="77777777" w:rsidR="006109C0" w:rsidRPr="006330A2" w:rsidRDefault="006109C0" w:rsidP="00425A89">
            <w:pPr>
              <w:pStyle w:val="ListParagraph"/>
              <w:tabs>
                <w:tab w:val="left" w:pos="317"/>
              </w:tabs>
              <w:ind w:left="0"/>
              <w:jc w:val="center"/>
              <w:rPr>
                <w:bCs/>
                <w:sz w:val="24"/>
                <w:szCs w:val="24"/>
                <w:lang w:eastAsia="en-US"/>
              </w:rPr>
            </w:pPr>
            <w:r w:rsidRPr="006330A2">
              <w:rPr>
                <w:b/>
                <w:bCs/>
                <w:sz w:val="24"/>
                <w:szCs w:val="24"/>
                <w:lang w:eastAsia="ja-JP"/>
              </w:rPr>
              <w:t>III. Tiesību akta projekta ietekme uz valsts budžetu un pašvaldību budžetiem</w:t>
            </w:r>
          </w:p>
        </w:tc>
      </w:tr>
      <w:tr w:rsidR="00742CA8" w:rsidRPr="006330A2" w14:paraId="5393CF10"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0F" w14:textId="77777777" w:rsidR="00742CA8" w:rsidRPr="006330A2" w:rsidRDefault="00742CA8"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11" w14:textId="77777777" w:rsidR="000952B3" w:rsidRDefault="000952B3" w:rsidP="001351FC"/>
    <w:p w14:paraId="5393CF12" w14:textId="77777777" w:rsidR="006E7064" w:rsidRDefault="006E7064" w:rsidP="001351FC"/>
    <w:tbl>
      <w:tblPr>
        <w:tblStyle w:val="TableGrid"/>
        <w:tblW w:w="5083" w:type="pct"/>
        <w:tblLayout w:type="fixed"/>
        <w:tblLook w:val="04A0" w:firstRow="1" w:lastRow="0" w:firstColumn="1" w:lastColumn="0" w:noHBand="0" w:noVBand="1"/>
      </w:tblPr>
      <w:tblGrid>
        <w:gridCol w:w="562"/>
        <w:gridCol w:w="2172"/>
        <w:gridCol w:w="6477"/>
      </w:tblGrid>
      <w:tr w:rsidR="006C253E" w:rsidRPr="0060368C" w14:paraId="5393CF14" w14:textId="77777777" w:rsidTr="006C253E">
        <w:tc>
          <w:tcPr>
            <w:tcW w:w="5000" w:type="pct"/>
            <w:gridSpan w:val="3"/>
          </w:tcPr>
          <w:p w14:paraId="5393CF13" w14:textId="77777777" w:rsidR="006C253E" w:rsidRPr="005D63F6" w:rsidRDefault="006C253E" w:rsidP="006C253E">
            <w:pPr>
              <w:tabs>
                <w:tab w:val="left" w:pos="317"/>
              </w:tabs>
              <w:ind w:left="112" w:right="111"/>
              <w:jc w:val="center"/>
              <w:rPr>
                <w:bCs/>
                <w:lang w:eastAsia="en-US"/>
              </w:rPr>
            </w:pPr>
            <w:r w:rsidRPr="0060368C">
              <w:rPr>
                <w:b/>
              </w:rPr>
              <w:t>IV. Tiesību akta projekta ietekme uz spēkā esošo tiesību normu sistēmu</w:t>
            </w:r>
          </w:p>
        </w:tc>
      </w:tr>
      <w:tr w:rsidR="006C253E" w:rsidRPr="0060368C" w14:paraId="5393CF18" w14:textId="77777777" w:rsidTr="006C253E">
        <w:tc>
          <w:tcPr>
            <w:tcW w:w="305" w:type="pct"/>
          </w:tcPr>
          <w:p w14:paraId="5393CF15" w14:textId="77777777" w:rsidR="006C253E" w:rsidRPr="0060368C" w:rsidRDefault="00E56C73" w:rsidP="004A7CE6">
            <w:pPr>
              <w:tabs>
                <w:tab w:val="left" w:pos="170"/>
              </w:tabs>
              <w:ind w:left="57" w:right="57"/>
            </w:pPr>
            <w:r>
              <w:t>1.</w:t>
            </w:r>
          </w:p>
        </w:tc>
        <w:tc>
          <w:tcPr>
            <w:tcW w:w="1179" w:type="pct"/>
          </w:tcPr>
          <w:p w14:paraId="5393CF16" w14:textId="77777777" w:rsidR="006C253E" w:rsidRPr="0060368C" w:rsidRDefault="006C253E" w:rsidP="006C253E">
            <w:pPr>
              <w:tabs>
                <w:tab w:val="left" w:pos="170"/>
              </w:tabs>
              <w:ind w:left="57" w:right="57"/>
            </w:pPr>
            <w:r w:rsidRPr="0060368C">
              <w:t>Saistītie tiesību aktu projekti</w:t>
            </w:r>
          </w:p>
        </w:tc>
        <w:tc>
          <w:tcPr>
            <w:tcW w:w="3516" w:type="pct"/>
          </w:tcPr>
          <w:p w14:paraId="5393CF17" w14:textId="77777777" w:rsidR="008B134C" w:rsidRPr="005D63F6" w:rsidRDefault="00A07FCB" w:rsidP="00A44F45">
            <w:pPr>
              <w:tabs>
                <w:tab w:val="left" w:pos="317"/>
              </w:tabs>
              <w:ind w:right="111"/>
              <w:jc w:val="both"/>
              <w:rPr>
                <w:bCs/>
                <w:lang w:eastAsia="en-US"/>
              </w:rPr>
            </w:pPr>
            <w:r w:rsidRPr="005D63F6">
              <w:rPr>
                <w:bCs/>
                <w:lang w:eastAsia="en-US"/>
              </w:rPr>
              <w:t>IZM</w:t>
            </w:r>
            <w:r w:rsidRPr="00E47F3B">
              <w:rPr>
                <w:bCs/>
                <w:lang w:eastAsia="en-US"/>
              </w:rPr>
              <w:t xml:space="preserve"> vienlaikus virza grozījumus </w:t>
            </w:r>
            <w:r w:rsidR="008B134C" w:rsidRPr="008B134C">
              <w:rPr>
                <w:bCs/>
                <w:lang w:eastAsia="en-US"/>
              </w:rPr>
              <w:t>MK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B134C">
              <w:rPr>
                <w:bCs/>
                <w:lang w:eastAsia="en-US"/>
              </w:rPr>
              <w:t xml:space="preserve"> un </w:t>
            </w:r>
            <w:r w:rsidR="008B134C">
              <w:t xml:space="preserve">MK noteikumos Nr.315, </w:t>
            </w:r>
            <w:r w:rsidR="00023D5B">
              <w:rPr>
                <w:bCs/>
                <w:lang w:eastAsia="en-US"/>
              </w:rPr>
              <w:t xml:space="preserve">atbilstoši </w:t>
            </w:r>
            <w:r w:rsidR="00023D5B" w:rsidRPr="00023D5B">
              <w:rPr>
                <w:bCs/>
                <w:lang w:eastAsia="en-US"/>
              </w:rPr>
              <w:t>palielinot 1.1.1.4. pasākuma kopējo attiecināmo finansējumu</w:t>
            </w:r>
            <w:r w:rsidR="00023D5B">
              <w:rPr>
                <w:bCs/>
                <w:lang w:eastAsia="en-US"/>
              </w:rPr>
              <w:t>, lai nodrošinātu</w:t>
            </w:r>
            <w:r w:rsidR="00023D5B" w:rsidRPr="00023D5B">
              <w:rPr>
                <w:bCs/>
                <w:lang w:eastAsia="en-US"/>
              </w:rPr>
              <w:t xml:space="preserve"> atbilstoša papildu finansējuma piešķiršanu RTU, OSI un RSU 1.1.1.4. pasākuma projektu īstenošanai</w:t>
            </w:r>
            <w:r w:rsidR="00023D5B">
              <w:rPr>
                <w:bCs/>
                <w:lang w:eastAsia="en-US"/>
              </w:rPr>
              <w:t xml:space="preserve">, un palielinot </w:t>
            </w:r>
            <w:r w:rsidR="00023D5B" w:rsidRPr="00023D5B">
              <w:rPr>
                <w:bCs/>
                <w:lang w:eastAsia="en-US"/>
              </w:rPr>
              <w:t>1.1.1.</w:t>
            </w:r>
            <w:r w:rsidR="00023D5B">
              <w:rPr>
                <w:bCs/>
                <w:lang w:eastAsia="en-US"/>
              </w:rPr>
              <w:t>5</w:t>
            </w:r>
            <w:r w:rsidR="00023D5B" w:rsidRPr="00023D5B">
              <w:rPr>
                <w:bCs/>
                <w:lang w:eastAsia="en-US"/>
              </w:rPr>
              <w:t>. pasākuma kopējo attiecināmo finansējumu</w:t>
            </w:r>
            <w:r w:rsidR="00023D5B">
              <w:rPr>
                <w:bCs/>
                <w:lang w:eastAsia="en-US"/>
              </w:rPr>
              <w:t xml:space="preserve">, </w:t>
            </w:r>
            <w:r w:rsidR="00023D5B">
              <w:rPr>
                <w:rFonts w:eastAsia="Times New Roman"/>
              </w:rPr>
              <w:t xml:space="preserve">lai </w:t>
            </w:r>
            <w:r w:rsidR="00023D5B" w:rsidRPr="00A556F1">
              <w:t>nodrošinātu iespējami ātrāku programm</w:t>
            </w:r>
            <w:r w:rsidR="00023D5B">
              <w:t>ā</w:t>
            </w:r>
            <w:r w:rsidR="00023D5B" w:rsidRPr="00A556F1">
              <w:t xml:space="preserve"> </w:t>
            </w:r>
            <w:r w:rsidR="00023D5B">
              <w:t>“</w:t>
            </w:r>
            <w:r w:rsidR="00023D5B" w:rsidRPr="00A556F1">
              <w:t xml:space="preserve">Apvārsnis 2020” virs </w:t>
            </w:r>
            <w:r w:rsidR="00023D5B" w:rsidRPr="00A556F1">
              <w:lastRenderedPageBreak/>
              <w:t>kvalitātes sliekšņa novērtētu, bet finansējumu nesaņēmušu projektu īstenošanas uzsākšanu</w:t>
            </w:r>
            <w:r w:rsidR="00023D5B" w:rsidRPr="00A556F1">
              <w:rPr>
                <w:rFonts w:eastAsia="Times New Roman"/>
              </w:rPr>
              <w:t>.</w:t>
            </w:r>
            <w:r w:rsidR="00023D5B">
              <w:rPr>
                <w:rFonts w:eastAsia="Times New Roman"/>
              </w:rPr>
              <w:t xml:space="preserve"> </w:t>
            </w:r>
          </w:p>
        </w:tc>
      </w:tr>
      <w:tr w:rsidR="006C253E" w:rsidRPr="0060368C" w14:paraId="5393CF1C" w14:textId="77777777" w:rsidTr="006C253E">
        <w:tc>
          <w:tcPr>
            <w:tcW w:w="305" w:type="pct"/>
            <w:hideMark/>
          </w:tcPr>
          <w:p w14:paraId="5393CF19" w14:textId="77777777" w:rsidR="006C253E" w:rsidRPr="0060368C" w:rsidRDefault="006C253E" w:rsidP="004A7CE6">
            <w:pPr>
              <w:tabs>
                <w:tab w:val="left" w:pos="170"/>
              </w:tabs>
              <w:ind w:left="57" w:right="57"/>
            </w:pPr>
            <w:r w:rsidRPr="0060368C">
              <w:lastRenderedPageBreak/>
              <w:t>2.</w:t>
            </w:r>
          </w:p>
        </w:tc>
        <w:tc>
          <w:tcPr>
            <w:tcW w:w="1179" w:type="pct"/>
            <w:hideMark/>
          </w:tcPr>
          <w:p w14:paraId="5393CF1A" w14:textId="77777777" w:rsidR="006C253E" w:rsidRPr="0060368C" w:rsidRDefault="006C253E" w:rsidP="004A7CE6">
            <w:pPr>
              <w:tabs>
                <w:tab w:val="left" w:pos="170"/>
              </w:tabs>
              <w:ind w:left="57" w:right="57"/>
            </w:pPr>
            <w:r w:rsidRPr="0060368C">
              <w:t>Atbildīgā institūcija</w:t>
            </w:r>
          </w:p>
        </w:tc>
        <w:tc>
          <w:tcPr>
            <w:tcW w:w="3516" w:type="pct"/>
            <w:hideMark/>
          </w:tcPr>
          <w:p w14:paraId="5393CF1B" w14:textId="77777777" w:rsidR="006C253E" w:rsidRPr="0060368C" w:rsidRDefault="006C253E" w:rsidP="006C253E">
            <w:pPr>
              <w:tabs>
                <w:tab w:val="left" w:pos="170"/>
              </w:tabs>
              <w:ind w:left="57" w:right="57"/>
            </w:pPr>
            <w:r w:rsidRPr="0060368C">
              <w:t>IZM</w:t>
            </w:r>
            <w:r>
              <w:t xml:space="preserve"> </w:t>
            </w:r>
          </w:p>
        </w:tc>
      </w:tr>
      <w:tr w:rsidR="006C253E" w:rsidRPr="0060368C" w14:paraId="5393CF20" w14:textId="77777777" w:rsidTr="006C253E">
        <w:tc>
          <w:tcPr>
            <w:tcW w:w="305" w:type="pct"/>
            <w:hideMark/>
          </w:tcPr>
          <w:p w14:paraId="5393CF1D" w14:textId="77777777" w:rsidR="006C253E" w:rsidRPr="0060368C" w:rsidRDefault="006C253E" w:rsidP="004A7CE6">
            <w:pPr>
              <w:tabs>
                <w:tab w:val="left" w:pos="170"/>
              </w:tabs>
              <w:ind w:left="57" w:right="57"/>
            </w:pPr>
            <w:r w:rsidRPr="0060368C">
              <w:t>3.</w:t>
            </w:r>
          </w:p>
        </w:tc>
        <w:tc>
          <w:tcPr>
            <w:tcW w:w="1179" w:type="pct"/>
            <w:hideMark/>
          </w:tcPr>
          <w:p w14:paraId="5393CF1E" w14:textId="77777777" w:rsidR="006C253E" w:rsidRPr="0060368C" w:rsidRDefault="006C253E" w:rsidP="004A7CE6">
            <w:pPr>
              <w:tabs>
                <w:tab w:val="left" w:pos="170"/>
              </w:tabs>
              <w:ind w:left="57" w:right="57"/>
            </w:pPr>
            <w:r w:rsidRPr="0060368C">
              <w:t>Cita informācija</w:t>
            </w:r>
          </w:p>
        </w:tc>
        <w:tc>
          <w:tcPr>
            <w:tcW w:w="3516" w:type="pct"/>
            <w:hideMark/>
          </w:tcPr>
          <w:p w14:paraId="5393CF1F" w14:textId="77777777" w:rsidR="006C253E" w:rsidRPr="0060368C" w:rsidRDefault="006C253E" w:rsidP="004A7CE6">
            <w:pPr>
              <w:tabs>
                <w:tab w:val="left" w:pos="170"/>
              </w:tabs>
              <w:ind w:left="57" w:right="57"/>
            </w:pPr>
            <w:r w:rsidRPr="0060368C">
              <w:t>Nav.</w:t>
            </w:r>
          </w:p>
        </w:tc>
      </w:tr>
    </w:tbl>
    <w:p w14:paraId="5393CF21" w14:textId="77777777" w:rsidR="004A7F10" w:rsidRPr="006330A2" w:rsidRDefault="004A7F10" w:rsidP="004A7F10"/>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A7F10" w:rsidRPr="006330A2" w14:paraId="5393CF23"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2" w14:textId="77777777" w:rsidR="004A7F10" w:rsidRPr="006330A2" w:rsidRDefault="004A7F10" w:rsidP="00425A89">
            <w:pPr>
              <w:pStyle w:val="ListParagraph"/>
              <w:tabs>
                <w:tab w:val="left" w:pos="317"/>
              </w:tabs>
              <w:ind w:left="0"/>
              <w:jc w:val="center"/>
              <w:rPr>
                <w:bCs/>
                <w:sz w:val="24"/>
                <w:szCs w:val="24"/>
                <w:lang w:eastAsia="en-US"/>
              </w:rPr>
            </w:pPr>
            <w:r w:rsidRPr="006330A2">
              <w:rPr>
                <w:b/>
                <w:sz w:val="24"/>
                <w:szCs w:val="24"/>
              </w:rPr>
              <w:t>V. Tiesību akta projekta atbilstība Latvijas Republikas starptautiskajām saistībām</w:t>
            </w:r>
          </w:p>
        </w:tc>
      </w:tr>
      <w:tr w:rsidR="004A7F10" w:rsidRPr="006330A2" w14:paraId="5393CF25" w14:textId="77777777" w:rsidTr="00425A89">
        <w:tc>
          <w:tcPr>
            <w:tcW w:w="9180" w:type="dxa"/>
            <w:tcBorders>
              <w:top w:val="single" w:sz="4" w:space="0" w:color="auto"/>
              <w:left w:val="single" w:sz="4" w:space="0" w:color="auto"/>
              <w:bottom w:val="single" w:sz="4" w:space="0" w:color="auto"/>
              <w:right w:val="single" w:sz="4" w:space="0" w:color="auto"/>
            </w:tcBorders>
            <w:shd w:val="clear" w:color="auto" w:fill="auto"/>
          </w:tcPr>
          <w:p w14:paraId="5393CF24" w14:textId="77777777" w:rsidR="004A7F10" w:rsidRPr="006330A2" w:rsidRDefault="004A7F10" w:rsidP="00425A89">
            <w:pPr>
              <w:pStyle w:val="ListParagraph"/>
              <w:tabs>
                <w:tab w:val="left" w:pos="317"/>
              </w:tabs>
              <w:ind w:left="0"/>
              <w:jc w:val="center"/>
              <w:rPr>
                <w:b/>
                <w:bCs/>
                <w:sz w:val="24"/>
                <w:szCs w:val="24"/>
                <w:lang w:eastAsia="ja-JP"/>
              </w:rPr>
            </w:pPr>
            <w:r w:rsidRPr="006330A2">
              <w:rPr>
                <w:iCs/>
                <w:color w:val="000000"/>
                <w:sz w:val="24"/>
                <w:szCs w:val="24"/>
              </w:rPr>
              <w:t>Noteikumu projekts šo jomu neskar.</w:t>
            </w:r>
          </w:p>
        </w:tc>
      </w:tr>
    </w:tbl>
    <w:p w14:paraId="5393CF26" w14:textId="77777777" w:rsidR="00850868" w:rsidRDefault="00850868" w:rsidP="004A7F10">
      <w:pPr>
        <w:tabs>
          <w:tab w:val="left" w:pos="3382"/>
        </w:tabs>
        <w:rPr>
          <w:lang w:eastAsia="en-US"/>
        </w:rPr>
      </w:pPr>
    </w:p>
    <w:p w14:paraId="5393CF27" w14:textId="77777777" w:rsidR="00E02EE5" w:rsidRPr="006330A2" w:rsidRDefault="00E02EE5" w:rsidP="004A7F10">
      <w:pPr>
        <w:tabs>
          <w:tab w:val="left" w:pos="3382"/>
        </w:tabs>
        <w:rPr>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4A7F10" w:rsidRPr="006330A2" w14:paraId="5393CF29" w14:textId="77777777" w:rsidTr="00425A89">
        <w:trPr>
          <w:trHeight w:val="421"/>
        </w:trPr>
        <w:tc>
          <w:tcPr>
            <w:tcW w:w="9346" w:type="dxa"/>
            <w:gridSpan w:val="3"/>
            <w:vAlign w:val="center"/>
          </w:tcPr>
          <w:p w14:paraId="5393CF28" w14:textId="77777777" w:rsidR="004A7F10" w:rsidRPr="006330A2" w:rsidRDefault="004A7F10" w:rsidP="00425A89">
            <w:pPr>
              <w:pStyle w:val="naisnod"/>
              <w:spacing w:before="0" w:beforeAutospacing="0" w:after="0" w:afterAutospacing="0"/>
              <w:ind w:left="57" w:right="57"/>
              <w:jc w:val="center"/>
            </w:pPr>
            <w:r w:rsidRPr="006330A2">
              <w:rPr>
                <w:b/>
              </w:rPr>
              <w:t>VI. Sabiedrības līdzdalība un komunikācijas aktivitātes</w:t>
            </w:r>
          </w:p>
        </w:tc>
      </w:tr>
      <w:tr w:rsidR="004A7F10" w:rsidRPr="006330A2" w14:paraId="5393CF2E" w14:textId="77777777" w:rsidTr="00425A89">
        <w:trPr>
          <w:trHeight w:val="553"/>
        </w:trPr>
        <w:tc>
          <w:tcPr>
            <w:tcW w:w="315" w:type="dxa"/>
          </w:tcPr>
          <w:p w14:paraId="5393CF2A" w14:textId="77777777" w:rsidR="004A7F10" w:rsidRPr="006330A2" w:rsidRDefault="004A7F10" w:rsidP="00425A89">
            <w:pPr>
              <w:ind w:left="57" w:right="57"/>
              <w:jc w:val="both"/>
              <w:rPr>
                <w:bCs/>
              </w:rPr>
            </w:pPr>
            <w:r w:rsidRPr="006330A2">
              <w:rPr>
                <w:bCs/>
              </w:rPr>
              <w:t>1.</w:t>
            </w:r>
          </w:p>
        </w:tc>
        <w:tc>
          <w:tcPr>
            <w:tcW w:w="2842" w:type="dxa"/>
          </w:tcPr>
          <w:p w14:paraId="5393CF2B" w14:textId="77777777" w:rsidR="004A7F10" w:rsidRPr="006330A2" w:rsidRDefault="004A7F10" w:rsidP="00425A89">
            <w:pPr>
              <w:tabs>
                <w:tab w:val="left" w:pos="170"/>
              </w:tabs>
              <w:ind w:left="57" w:right="57"/>
            </w:pPr>
            <w:r w:rsidRPr="006330A2">
              <w:t>Plānotās sabiedrības līdzdalības un komunikācijas aktivitātes saistībā ar projektu</w:t>
            </w:r>
          </w:p>
        </w:tc>
        <w:tc>
          <w:tcPr>
            <w:tcW w:w="6189" w:type="dxa"/>
          </w:tcPr>
          <w:p w14:paraId="5393CF2C" w14:textId="77777777" w:rsidR="005B4787" w:rsidRDefault="00016473" w:rsidP="00FB0283">
            <w:pPr>
              <w:ind w:right="142"/>
              <w:jc w:val="both"/>
              <w:rPr>
                <w:rFonts w:eastAsia="Times New Roman"/>
              </w:rPr>
            </w:pPr>
            <w:bookmarkStart w:id="0" w:name="p61"/>
            <w:bookmarkEnd w:id="0"/>
            <w:r w:rsidRPr="006330A2">
              <w:rPr>
                <w:rFonts w:eastAsia="Times New Roman"/>
              </w:rPr>
              <w:t xml:space="preserve">Potenciālie projektu iesniedzēji tika informēti par plānoto </w:t>
            </w:r>
            <w:r w:rsidR="00FB0283" w:rsidRPr="006330A2">
              <w:rPr>
                <w:rFonts w:eastAsia="Times New Roman"/>
              </w:rPr>
              <w:t xml:space="preserve">vienkāršoto izmaksu </w:t>
            </w:r>
            <w:r w:rsidRPr="006330A2">
              <w:rPr>
                <w:rFonts w:eastAsia="Times New Roman"/>
              </w:rPr>
              <w:t>pieeju IZM un CFLA rīkotaj</w:t>
            </w:r>
            <w:r w:rsidR="00FB0283" w:rsidRPr="006330A2">
              <w:rPr>
                <w:rFonts w:eastAsia="Times New Roman"/>
              </w:rPr>
              <w:t>ā</w:t>
            </w:r>
            <w:r w:rsidRPr="006330A2">
              <w:rPr>
                <w:rFonts w:eastAsia="Times New Roman"/>
              </w:rPr>
              <w:t>s publiskaj</w:t>
            </w:r>
            <w:r w:rsidR="00FB0283" w:rsidRPr="006330A2">
              <w:rPr>
                <w:rFonts w:eastAsia="Times New Roman"/>
              </w:rPr>
              <w:t>ā</w:t>
            </w:r>
            <w:r w:rsidRPr="006330A2">
              <w:rPr>
                <w:rFonts w:eastAsia="Times New Roman"/>
              </w:rPr>
              <w:t xml:space="preserve">s </w:t>
            </w:r>
            <w:r w:rsidR="00FB0283" w:rsidRPr="006330A2">
              <w:rPr>
                <w:rFonts w:eastAsia="Times New Roman"/>
              </w:rPr>
              <w:t xml:space="preserve">konsultācijās </w:t>
            </w:r>
            <w:r w:rsidRPr="006330A2">
              <w:rPr>
                <w:rFonts w:eastAsia="Times New Roman"/>
              </w:rPr>
              <w:t>par 1.1.1.3. pasākuma ieviešanas nosacījumiem</w:t>
            </w:r>
            <w:r w:rsidR="00D8191C" w:rsidRPr="006330A2">
              <w:rPr>
                <w:rFonts w:eastAsia="Times New Roman"/>
              </w:rPr>
              <w:t>.</w:t>
            </w:r>
          </w:p>
          <w:p w14:paraId="5393CF2D" w14:textId="77777777" w:rsidR="004A7F10" w:rsidRPr="006330A2" w:rsidRDefault="00DD5734" w:rsidP="00501BB2">
            <w:pPr>
              <w:ind w:right="142"/>
              <w:jc w:val="both"/>
            </w:pPr>
            <w:r>
              <w:t>Pēc noteikumu projekta un Metodikas spē</w:t>
            </w:r>
            <w:r w:rsidR="00DF603F">
              <w:t xml:space="preserve">kā stāšanās 1.1.1.3. pasākuma pirmās </w:t>
            </w:r>
            <w:r>
              <w:t xml:space="preserve">atlases kārtas </w:t>
            </w:r>
            <w:r w:rsidR="0023019A" w:rsidRPr="0023019A">
              <w:t xml:space="preserve">finansējuma saņēmējiem </w:t>
            </w:r>
            <w:r>
              <w:t xml:space="preserve">tiks nosūtīta oficiāla informatīva vēstule </w:t>
            </w:r>
            <w:r w:rsidRPr="007B7F29">
              <w:t xml:space="preserve">par MK noteikumu projektā noteiktajiem grozījumiem, t.i., </w:t>
            </w:r>
            <w:r w:rsidR="00597311">
              <w:t xml:space="preserve">par </w:t>
            </w:r>
            <w:r w:rsidRPr="007B7F29">
              <w:t>vienreizējā maks</w:t>
            </w:r>
            <w:r w:rsidR="00597311">
              <w:t>ājuma metodikas ieviešanu</w:t>
            </w:r>
            <w:r w:rsidRPr="007B7F29">
              <w:t>, avansu maksājumu kārtīb</w:t>
            </w:r>
            <w:r w:rsidR="00597311">
              <w:t>u un ārvalstu ekspertu piesaisti</w:t>
            </w:r>
            <w:r w:rsidR="00501BB2">
              <w:t>, kā arī ar finansējuma saņēmējiem tiks organizētas individuālas konsultācijas par nepieciešamajiem grozījumiem projektos</w:t>
            </w:r>
            <w:r w:rsidRPr="007B7F29">
              <w:t>.</w:t>
            </w:r>
            <w:r w:rsidR="00016473" w:rsidRPr="006330A2">
              <w:rPr>
                <w:rFonts w:eastAsia="Times New Roman"/>
              </w:rPr>
              <w:t xml:space="preserve"> </w:t>
            </w:r>
          </w:p>
        </w:tc>
      </w:tr>
      <w:tr w:rsidR="004A7F10" w:rsidRPr="006330A2" w14:paraId="5393CF32" w14:textId="77777777" w:rsidTr="00425A89">
        <w:trPr>
          <w:trHeight w:val="339"/>
        </w:trPr>
        <w:tc>
          <w:tcPr>
            <w:tcW w:w="315" w:type="dxa"/>
          </w:tcPr>
          <w:p w14:paraId="5393CF2F" w14:textId="77777777" w:rsidR="004A7F10" w:rsidRPr="006330A2" w:rsidRDefault="004A7F10" w:rsidP="00425A89">
            <w:pPr>
              <w:ind w:left="57" w:right="57"/>
              <w:jc w:val="both"/>
              <w:rPr>
                <w:bCs/>
              </w:rPr>
            </w:pPr>
            <w:r w:rsidRPr="006330A2">
              <w:rPr>
                <w:bCs/>
              </w:rPr>
              <w:t>2.</w:t>
            </w:r>
          </w:p>
        </w:tc>
        <w:tc>
          <w:tcPr>
            <w:tcW w:w="2842" w:type="dxa"/>
          </w:tcPr>
          <w:p w14:paraId="5393CF30" w14:textId="77777777" w:rsidR="004A7F10" w:rsidRPr="006330A2" w:rsidRDefault="004A7F10" w:rsidP="00425A89">
            <w:pPr>
              <w:ind w:left="57" w:right="57"/>
            </w:pPr>
            <w:r w:rsidRPr="006330A2">
              <w:t>Sabiedrības līdzdalība projekta izstrādē</w:t>
            </w:r>
          </w:p>
        </w:tc>
        <w:tc>
          <w:tcPr>
            <w:tcW w:w="6189" w:type="dxa"/>
          </w:tcPr>
          <w:p w14:paraId="5393CF31" w14:textId="77777777" w:rsidR="005B4787" w:rsidRPr="006330A2" w:rsidRDefault="005A57E3" w:rsidP="005B4787">
            <w:pPr>
              <w:shd w:val="clear" w:color="auto" w:fill="FFFFFF"/>
              <w:ind w:left="94" w:right="57"/>
              <w:jc w:val="both"/>
              <w:rPr>
                <w:rFonts w:eastAsiaTheme="minorHAnsi"/>
                <w:bCs/>
                <w:lang w:eastAsia="en-US"/>
              </w:rPr>
            </w:pPr>
            <w:bookmarkStart w:id="1" w:name="p62"/>
            <w:bookmarkEnd w:id="1"/>
            <w:r w:rsidRPr="006330A2">
              <w:rPr>
                <w:bCs/>
              </w:rPr>
              <w:t xml:space="preserve">IZM un CFLA rīkotajās publiskajās konsultācijās par 1.1.1.3. pasākuma ieviešanas nosacījumiem </w:t>
            </w:r>
            <w:r w:rsidR="00CE5B15" w:rsidRPr="006330A2">
              <w:rPr>
                <w:bCs/>
              </w:rPr>
              <w:t xml:space="preserve">potenciālie </w:t>
            </w:r>
            <w:r w:rsidRPr="006330A2">
              <w:rPr>
                <w:bCs/>
              </w:rPr>
              <w:t xml:space="preserve">projektu iesniedzēji varēja klātienē izteikt savu viedokli </w:t>
            </w:r>
            <w:r w:rsidR="001324F3" w:rsidRPr="006330A2">
              <w:rPr>
                <w:bCs/>
              </w:rPr>
              <w:t xml:space="preserve">par plānoto vienkāršoto izmaksu pieeju </w:t>
            </w:r>
            <w:r w:rsidRPr="006330A2">
              <w:rPr>
                <w:bCs/>
              </w:rPr>
              <w:t>vai iesniegt to elektroniskā formātā</w:t>
            </w:r>
            <w:r w:rsidR="001324F3" w:rsidRPr="006330A2">
              <w:rPr>
                <w:bCs/>
              </w:rPr>
              <w:t>, nosūtot uz</w:t>
            </w:r>
            <w:r w:rsidR="004550F7" w:rsidRPr="006330A2">
              <w:rPr>
                <w:bCs/>
              </w:rPr>
              <w:t xml:space="preserve"> </w:t>
            </w:r>
            <w:hyperlink r:id="rId8" w:history="1">
              <w:r w:rsidR="005B4787" w:rsidRPr="006330A2">
                <w:rPr>
                  <w:rStyle w:val="Hyperlink"/>
                  <w:bCs/>
                </w:rPr>
                <w:t>pasts@izm.gov.lv</w:t>
              </w:r>
            </w:hyperlink>
            <w:r w:rsidR="004550F7" w:rsidRPr="006330A2">
              <w:rPr>
                <w:bCs/>
              </w:rPr>
              <w:t>.</w:t>
            </w:r>
            <w:r w:rsidR="005B4787" w:rsidRPr="006330A2">
              <w:rPr>
                <w:bCs/>
              </w:rPr>
              <w:t xml:space="preserve"> </w:t>
            </w:r>
            <w:r w:rsidR="005B4787" w:rsidRPr="006330A2">
              <w:rPr>
                <w:rFonts w:eastAsia="Times New Roman"/>
              </w:rPr>
              <w:t>Tai skaitā 2019. gada 20.martā tika rīkots konsultatīvais seminārs, kur projekta iesniedzēji tika informēti par metodikas nosacījumiem un piemērošanas kārtību, kā arī tika pārrunāta pāreja no faktiskajām izmaksām uz vienkāršotajām izmaksām. Metodikas darba versija tika nosūtīta projekta iesniedzējiem viedokļa sniegšanai.</w:t>
            </w:r>
          </w:p>
        </w:tc>
      </w:tr>
      <w:tr w:rsidR="004A7F10" w:rsidRPr="006330A2" w14:paraId="5393CF37" w14:textId="77777777" w:rsidTr="00425A89">
        <w:trPr>
          <w:trHeight w:val="476"/>
        </w:trPr>
        <w:tc>
          <w:tcPr>
            <w:tcW w:w="315" w:type="dxa"/>
          </w:tcPr>
          <w:p w14:paraId="5393CF33" w14:textId="77777777" w:rsidR="004A7F10" w:rsidRPr="006330A2" w:rsidRDefault="004A7F10" w:rsidP="00425A89">
            <w:pPr>
              <w:ind w:left="57" w:right="57"/>
              <w:jc w:val="both"/>
              <w:rPr>
                <w:bCs/>
              </w:rPr>
            </w:pPr>
            <w:r w:rsidRPr="006330A2">
              <w:rPr>
                <w:bCs/>
              </w:rPr>
              <w:t>3.</w:t>
            </w:r>
          </w:p>
        </w:tc>
        <w:tc>
          <w:tcPr>
            <w:tcW w:w="2842" w:type="dxa"/>
          </w:tcPr>
          <w:p w14:paraId="5393CF34" w14:textId="77777777" w:rsidR="004A7F10" w:rsidRPr="006330A2" w:rsidRDefault="004A7F10" w:rsidP="00425A89">
            <w:pPr>
              <w:ind w:left="57" w:right="57"/>
            </w:pPr>
            <w:r w:rsidRPr="006330A2">
              <w:t>Sabiedrības līdzdalības rezultāti</w:t>
            </w:r>
          </w:p>
        </w:tc>
        <w:tc>
          <w:tcPr>
            <w:tcW w:w="6189" w:type="dxa"/>
          </w:tcPr>
          <w:p w14:paraId="5393CF35" w14:textId="77777777" w:rsidR="004A7F10" w:rsidRPr="006330A2" w:rsidRDefault="005A57E3" w:rsidP="00425A89">
            <w:pPr>
              <w:shd w:val="clear" w:color="auto" w:fill="FFFFFF"/>
              <w:tabs>
                <w:tab w:val="left" w:pos="878"/>
              </w:tabs>
              <w:ind w:left="94" w:right="57"/>
              <w:jc w:val="both"/>
              <w:rPr>
                <w:bCs/>
                <w:iCs/>
                <w:color w:val="000000"/>
              </w:rPr>
            </w:pPr>
            <w:r w:rsidRPr="006330A2">
              <w:rPr>
                <w:bCs/>
                <w:iCs/>
                <w:color w:val="000000"/>
              </w:rPr>
              <w:t xml:space="preserve">Rīgas Tehniskā universitāte Metodikas izstrādei nodrošināja piekļuvi </w:t>
            </w:r>
            <w:r w:rsidRPr="006330A2">
              <w:rPr>
                <w:iCs/>
                <w:color w:val="000000"/>
              </w:rPr>
              <w:t>inovāciju kopienas „</w:t>
            </w:r>
            <w:proofErr w:type="spellStart"/>
            <w:r w:rsidRPr="006330A2">
              <w:rPr>
                <w:iCs/>
                <w:color w:val="000000"/>
              </w:rPr>
              <w:t>Climate</w:t>
            </w:r>
            <w:proofErr w:type="spellEnd"/>
            <w:r w:rsidRPr="006330A2">
              <w:rPr>
                <w:iCs/>
                <w:color w:val="000000"/>
              </w:rPr>
              <w:t xml:space="preserve"> KIC” programmu „</w:t>
            </w:r>
            <w:proofErr w:type="spellStart"/>
            <w:r w:rsidRPr="006330A2">
              <w:rPr>
                <w:iCs/>
                <w:color w:val="000000"/>
              </w:rPr>
              <w:t>Accelerator</w:t>
            </w:r>
            <w:proofErr w:type="spellEnd"/>
            <w:r w:rsidRPr="006330A2">
              <w:rPr>
                <w:iCs/>
                <w:color w:val="000000"/>
              </w:rPr>
              <w:t>” un „</w:t>
            </w:r>
            <w:proofErr w:type="spellStart"/>
            <w:r w:rsidRPr="006330A2">
              <w:rPr>
                <w:iCs/>
                <w:color w:val="000000"/>
              </w:rPr>
              <w:t>Greenhouse</w:t>
            </w:r>
            <w:proofErr w:type="spellEnd"/>
            <w:r w:rsidRPr="006330A2">
              <w:rPr>
                <w:iCs/>
                <w:color w:val="000000"/>
              </w:rPr>
              <w:t xml:space="preserve">” </w:t>
            </w:r>
            <w:r w:rsidRPr="006330A2">
              <w:rPr>
                <w:bCs/>
                <w:iCs/>
                <w:color w:val="000000"/>
              </w:rPr>
              <w:t>projektu vēsturiskiem datiem par līdzīgām izmaksām.</w:t>
            </w:r>
          </w:p>
          <w:p w14:paraId="5393CF36" w14:textId="77777777" w:rsidR="008D3AA0" w:rsidRPr="006330A2" w:rsidRDefault="008D3AA0">
            <w:pPr>
              <w:shd w:val="clear" w:color="auto" w:fill="FFFFFF"/>
              <w:tabs>
                <w:tab w:val="left" w:pos="878"/>
              </w:tabs>
              <w:ind w:left="94" w:right="57"/>
              <w:jc w:val="both"/>
            </w:pPr>
            <w:r w:rsidRPr="006330A2">
              <w:rPr>
                <w:rFonts w:eastAsia="Times New Roman"/>
              </w:rPr>
              <w:t>2019. gada 20.martā organizētā konsultatīvā semināra laikā ar projekta iesniedzējiem tika diskutēts par metodikas nosacījumiem. Projekta iesnie</w:t>
            </w:r>
            <w:r w:rsidR="00B06863" w:rsidRPr="006330A2">
              <w:rPr>
                <w:rFonts w:eastAsia="Times New Roman"/>
              </w:rPr>
              <w:t xml:space="preserve">dzēju viedoklis tika ņemts vērā, </w:t>
            </w:r>
            <w:r w:rsidRPr="006330A2">
              <w:rPr>
                <w:rFonts w:eastAsia="Times New Roman"/>
              </w:rPr>
              <w:t>met</w:t>
            </w:r>
            <w:r w:rsidR="00B06863" w:rsidRPr="006330A2">
              <w:rPr>
                <w:rFonts w:eastAsia="Times New Roman"/>
              </w:rPr>
              <w:t xml:space="preserve">odika tika atbilstoši precizēta. </w:t>
            </w:r>
          </w:p>
        </w:tc>
      </w:tr>
      <w:tr w:rsidR="004A7F10" w:rsidRPr="006330A2" w14:paraId="5393CF3B" w14:textId="77777777" w:rsidTr="00425A89">
        <w:trPr>
          <w:trHeight w:val="205"/>
        </w:trPr>
        <w:tc>
          <w:tcPr>
            <w:tcW w:w="315" w:type="dxa"/>
          </w:tcPr>
          <w:p w14:paraId="5393CF38" w14:textId="77777777" w:rsidR="004A7F10" w:rsidRPr="006330A2" w:rsidRDefault="004A7F10" w:rsidP="00425A89">
            <w:pPr>
              <w:ind w:left="57" w:right="57"/>
              <w:jc w:val="both"/>
              <w:rPr>
                <w:bCs/>
              </w:rPr>
            </w:pPr>
            <w:r w:rsidRPr="006330A2">
              <w:rPr>
                <w:bCs/>
              </w:rPr>
              <w:t>4.</w:t>
            </w:r>
          </w:p>
        </w:tc>
        <w:tc>
          <w:tcPr>
            <w:tcW w:w="2842" w:type="dxa"/>
          </w:tcPr>
          <w:p w14:paraId="5393CF39" w14:textId="77777777" w:rsidR="004A7F10" w:rsidRPr="006330A2" w:rsidRDefault="004A7F10" w:rsidP="00425A89">
            <w:pPr>
              <w:ind w:left="57" w:right="57"/>
            </w:pPr>
            <w:r w:rsidRPr="006330A2">
              <w:t>Cita informācija</w:t>
            </w:r>
          </w:p>
        </w:tc>
        <w:tc>
          <w:tcPr>
            <w:tcW w:w="6189" w:type="dxa"/>
          </w:tcPr>
          <w:p w14:paraId="5393CF3A" w14:textId="77777777" w:rsidR="004A7F10" w:rsidRPr="006330A2" w:rsidRDefault="004A7F10" w:rsidP="00425A89">
            <w:pPr>
              <w:ind w:left="57" w:right="113" w:firstLine="37"/>
              <w:jc w:val="both"/>
            </w:pPr>
            <w:r w:rsidRPr="006330A2">
              <w:t>Nav.</w:t>
            </w:r>
          </w:p>
        </w:tc>
      </w:tr>
    </w:tbl>
    <w:p w14:paraId="5393CF3C" w14:textId="77777777" w:rsidR="004A7F10" w:rsidRPr="006330A2" w:rsidRDefault="004A7F10" w:rsidP="004A7F10">
      <w:pPr>
        <w:jc w:val="both"/>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3201"/>
        <w:gridCol w:w="5812"/>
      </w:tblGrid>
      <w:tr w:rsidR="00ED6931" w:rsidRPr="006330A2" w14:paraId="5393CF3E" w14:textId="77777777" w:rsidTr="00477F62">
        <w:trPr>
          <w:trHeight w:val="421"/>
        </w:trPr>
        <w:tc>
          <w:tcPr>
            <w:tcW w:w="9346" w:type="dxa"/>
            <w:gridSpan w:val="3"/>
            <w:vAlign w:val="center"/>
          </w:tcPr>
          <w:p w14:paraId="5393CF3D" w14:textId="77777777" w:rsidR="000952B3" w:rsidRPr="006330A2" w:rsidRDefault="00B650B7" w:rsidP="001351FC">
            <w:pPr>
              <w:pStyle w:val="naisnod"/>
              <w:spacing w:before="0" w:beforeAutospacing="0" w:after="0" w:afterAutospacing="0"/>
              <w:ind w:left="57" w:right="57"/>
              <w:jc w:val="center"/>
            </w:pPr>
            <w:r w:rsidRPr="006330A2">
              <w:rPr>
                <w:b/>
              </w:rPr>
              <w:t>VII. Tiesību akta projekta izpildes nodrošināšana un tās ietekme uz institūcijām</w:t>
            </w:r>
          </w:p>
        </w:tc>
      </w:tr>
      <w:tr w:rsidR="00ED6931" w:rsidRPr="006330A2" w14:paraId="5393CF42" w14:textId="77777777" w:rsidTr="00AF0818">
        <w:trPr>
          <w:trHeight w:val="553"/>
        </w:trPr>
        <w:tc>
          <w:tcPr>
            <w:tcW w:w="333" w:type="dxa"/>
          </w:tcPr>
          <w:p w14:paraId="5393CF3F" w14:textId="77777777" w:rsidR="000952B3" w:rsidRPr="006330A2" w:rsidRDefault="00B650B7" w:rsidP="001351FC">
            <w:pPr>
              <w:ind w:left="57" w:right="57"/>
              <w:jc w:val="both"/>
              <w:rPr>
                <w:bCs/>
              </w:rPr>
            </w:pPr>
            <w:r w:rsidRPr="006330A2">
              <w:rPr>
                <w:bCs/>
              </w:rPr>
              <w:t>1.</w:t>
            </w:r>
          </w:p>
        </w:tc>
        <w:tc>
          <w:tcPr>
            <w:tcW w:w="3201" w:type="dxa"/>
          </w:tcPr>
          <w:p w14:paraId="5393CF40" w14:textId="77777777" w:rsidR="000952B3" w:rsidRPr="006330A2" w:rsidRDefault="00B650B7" w:rsidP="001351FC">
            <w:pPr>
              <w:ind w:left="57" w:right="57"/>
            </w:pPr>
            <w:r w:rsidRPr="006330A2">
              <w:t>Projekta izpildē iesaistītās institūcijas</w:t>
            </w:r>
          </w:p>
        </w:tc>
        <w:tc>
          <w:tcPr>
            <w:tcW w:w="5812" w:type="dxa"/>
          </w:tcPr>
          <w:p w14:paraId="5393CF41" w14:textId="77777777" w:rsidR="000952B3" w:rsidRPr="006330A2" w:rsidRDefault="007525AE" w:rsidP="007A3425">
            <w:pPr>
              <w:shd w:val="clear" w:color="auto" w:fill="FFFFFF"/>
              <w:ind w:left="57" w:right="113"/>
              <w:jc w:val="both"/>
            </w:pPr>
            <w:r w:rsidRPr="006330A2">
              <w:rPr>
                <w:color w:val="000000" w:themeColor="text1"/>
              </w:rPr>
              <w:t>Atbildīgās iestādes funkcijas pilda IZM, sadarbības iestādes funkcijas – CFLA</w:t>
            </w:r>
            <w:r w:rsidR="007A3425" w:rsidRPr="006330A2">
              <w:rPr>
                <w:color w:val="000000" w:themeColor="text1"/>
              </w:rPr>
              <w:t xml:space="preserve">, </w:t>
            </w:r>
            <w:r w:rsidR="007250A5" w:rsidRPr="006330A2">
              <w:rPr>
                <w:color w:val="000000" w:themeColor="text1"/>
              </w:rPr>
              <w:t xml:space="preserve">1.1.1.3. pasākuma un 1.1.1.5. pasākuma </w:t>
            </w:r>
            <w:r w:rsidR="007A3425" w:rsidRPr="006330A2">
              <w:rPr>
                <w:color w:val="000000" w:themeColor="text1"/>
              </w:rPr>
              <w:t>finansējuma saņēmēji – augstākās izglītības iestādes</w:t>
            </w:r>
            <w:r w:rsidR="005A4CA3">
              <w:rPr>
                <w:color w:val="000000" w:themeColor="text1"/>
              </w:rPr>
              <w:t xml:space="preserve">, 1.1.1.4. pasākuma finansējuma saņēmējs - </w:t>
            </w:r>
            <w:r w:rsidR="005A4CA3" w:rsidRPr="005A4CA3">
              <w:rPr>
                <w:color w:val="000000" w:themeColor="text1"/>
              </w:rPr>
              <w:t>zinātniskā</w:t>
            </w:r>
            <w:r w:rsidR="005A4CA3">
              <w:rPr>
                <w:color w:val="000000" w:themeColor="text1"/>
              </w:rPr>
              <w:t>s</w:t>
            </w:r>
            <w:r w:rsidR="005A4CA3" w:rsidRPr="005A4CA3">
              <w:rPr>
                <w:color w:val="000000" w:themeColor="text1"/>
              </w:rPr>
              <w:t xml:space="preserve"> institūcija</w:t>
            </w:r>
            <w:r w:rsidR="005A4CA3">
              <w:rPr>
                <w:color w:val="000000" w:themeColor="text1"/>
              </w:rPr>
              <w:t>s</w:t>
            </w:r>
            <w:r w:rsidRPr="006330A2">
              <w:rPr>
                <w:color w:val="000000" w:themeColor="text1"/>
              </w:rPr>
              <w:t>.</w:t>
            </w:r>
          </w:p>
        </w:tc>
      </w:tr>
      <w:tr w:rsidR="00ED6931" w:rsidRPr="006330A2" w14:paraId="5393CF49" w14:textId="77777777" w:rsidTr="00AF0818">
        <w:trPr>
          <w:trHeight w:val="339"/>
        </w:trPr>
        <w:tc>
          <w:tcPr>
            <w:tcW w:w="333" w:type="dxa"/>
          </w:tcPr>
          <w:p w14:paraId="5393CF43" w14:textId="77777777" w:rsidR="000952B3" w:rsidRPr="006330A2" w:rsidRDefault="00B650B7" w:rsidP="001351FC">
            <w:pPr>
              <w:ind w:left="57" w:right="57"/>
              <w:jc w:val="both"/>
              <w:rPr>
                <w:bCs/>
              </w:rPr>
            </w:pPr>
            <w:r w:rsidRPr="006330A2">
              <w:rPr>
                <w:bCs/>
              </w:rPr>
              <w:lastRenderedPageBreak/>
              <w:t>2.</w:t>
            </w:r>
          </w:p>
        </w:tc>
        <w:tc>
          <w:tcPr>
            <w:tcW w:w="3201" w:type="dxa"/>
          </w:tcPr>
          <w:p w14:paraId="5393CF44" w14:textId="77777777" w:rsidR="000952B3" w:rsidRPr="006330A2" w:rsidRDefault="00B650B7" w:rsidP="001351FC">
            <w:pPr>
              <w:ind w:left="57" w:right="57"/>
            </w:pPr>
            <w:r w:rsidRPr="006330A2">
              <w:t xml:space="preserve">Projekta izpildes ietekme uz pārvaldes funkcijām un institucionālo struktūru. </w:t>
            </w:r>
          </w:p>
          <w:p w14:paraId="5393CF45" w14:textId="77777777" w:rsidR="000952B3" w:rsidRPr="006330A2" w:rsidRDefault="00B650B7" w:rsidP="001351FC">
            <w:pPr>
              <w:ind w:left="57" w:right="57"/>
            </w:pPr>
            <w:r w:rsidRPr="006330A2">
              <w:t>Jaunu institūciju izveide, esošu institūciju likvidācija vai reorganizācija, to ietekme uz institūcijas cilvēkresursiem</w:t>
            </w:r>
          </w:p>
        </w:tc>
        <w:tc>
          <w:tcPr>
            <w:tcW w:w="5812" w:type="dxa"/>
          </w:tcPr>
          <w:p w14:paraId="5393CF46" w14:textId="77777777" w:rsidR="00D8191C" w:rsidRPr="006330A2" w:rsidRDefault="004B4AB8" w:rsidP="004B4AB8">
            <w:pPr>
              <w:spacing w:before="100" w:beforeAutospacing="1" w:after="100" w:afterAutospacing="1"/>
              <w:ind w:left="57"/>
              <w:jc w:val="both"/>
              <w:rPr>
                <w:rFonts w:eastAsia="Times New Roman"/>
                <w:color w:val="000000" w:themeColor="text1"/>
              </w:rPr>
            </w:pPr>
            <w:r w:rsidRPr="006330A2">
              <w:rPr>
                <w:color w:val="000000" w:themeColor="text1"/>
              </w:rPr>
              <w:t xml:space="preserve">Noteikumu projektam nav ietekmes uz </w:t>
            </w:r>
            <w:r w:rsidRPr="006330A2">
              <w:t>pārvaldes funkcijām un institucionālo struktūru</w:t>
            </w:r>
            <w:r w:rsidRPr="006330A2">
              <w:rPr>
                <w:color w:val="000000" w:themeColor="text1"/>
              </w:rPr>
              <w:t>.</w:t>
            </w:r>
          </w:p>
          <w:p w14:paraId="5393CF47" w14:textId="77777777" w:rsidR="000952B3" w:rsidRPr="006330A2" w:rsidRDefault="004B4AB8">
            <w:pPr>
              <w:spacing w:before="100" w:beforeAutospacing="1" w:after="100" w:afterAutospacing="1"/>
              <w:ind w:left="57"/>
              <w:jc w:val="both"/>
            </w:pPr>
            <w:r w:rsidRPr="006330A2">
              <w:rPr>
                <w:color w:val="000000" w:themeColor="text1"/>
              </w:rPr>
              <w:t xml:space="preserve">Noteikumu projekta izpildes rezultātā </w:t>
            </w:r>
            <w:r w:rsidRPr="006330A2">
              <w:t>n</w:t>
            </w:r>
            <w:r w:rsidR="00B650B7" w:rsidRPr="006330A2">
              <w:t>av plānota jaunu institūciju izveide, esošu ins</w:t>
            </w:r>
            <w:r w:rsidR="007A045B" w:rsidRPr="006330A2">
              <w:t>titūciju likvidācija vai reorga</w:t>
            </w:r>
            <w:r w:rsidR="00B650B7" w:rsidRPr="006330A2">
              <w:t>nizācija.</w:t>
            </w:r>
          </w:p>
          <w:p w14:paraId="5393CF48" w14:textId="77777777" w:rsidR="00DF336B" w:rsidRPr="006330A2" w:rsidRDefault="00DF336B">
            <w:pPr>
              <w:shd w:val="clear" w:color="auto" w:fill="FFFFFF"/>
              <w:ind w:left="57" w:right="113"/>
              <w:jc w:val="both"/>
            </w:pPr>
            <w:r w:rsidRPr="006330A2">
              <w:rPr>
                <w:iCs/>
              </w:rPr>
              <w:t>Projekta izpilde nodrošināma pieejamo cilvēkresursu ietvaros.</w:t>
            </w:r>
          </w:p>
        </w:tc>
      </w:tr>
      <w:tr w:rsidR="00ED6931" w:rsidRPr="006330A2" w14:paraId="5393CF4D" w14:textId="77777777" w:rsidTr="00AF0818">
        <w:trPr>
          <w:trHeight w:val="476"/>
        </w:trPr>
        <w:tc>
          <w:tcPr>
            <w:tcW w:w="333" w:type="dxa"/>
          </w:tcPr>
          <w:p w14:paraId="5393CF4A" w14:textId="77777777" w:rsidR="000952B3" w:rsidRPr="006330A2" w:rsidRDefault="00B650B7" w:rsidP="001351FC">
            <w:pPr>
              <w:ind w:left="57" w:right="57"/>
              <w:jc w:val="both"/>
              <w:rPr>
                <w:bCs/>
              </w:rPr>
            </w:pPr>
            <w:r w:rsidRPr="006330A2">
              <w:rPr>
                <w:bCs/>
              </w:rPr>
              <w:t>3.</w:t>
            </w:r>
          </w:p>
        </w:tc>
        <w:tc>
          <w:tcPr>
            <w:tcW w:w="3201" w:type="dxa"/>
          </w:tcPr>
          <w:p w14:paraId="5393CF4B" w14:textId="77777777" w:rsidR="000952B3" w:rsidRPr="006330A2" w:rsidRDefault="00B650B7" w:rsidP="001351FC">
            <w:pPr>
              <w:ind w:left="57" w:right="57"/>
            </w:pPr>
            <w:r w:rsidRPr="006330A2">
              <w:t>Cita informācija</w:t>
            </w:r>
          </w:p>
        </w:tc>
        <w:tc>
          <w:tcPr>
            <w:tcW w:w="5812" w:type="dxa"/>
          </w:tcPr>
          <w:p w14:paraId="5393CF4C" w14:textId="77777777" w:rsidR="00850868" w:rsidRPr="006330A2" w:rsidRDefault="000A5450" w:rsidP="00850868">
            <w:pPr>
              <w:shd w:val="clear" w:color="auto" w:fill="FFFFFF"/>
              <w:ind w:left="57" w:right="113"/>
              <w:jc w:val="both"/>
            </w:pPr>
            <w:r w:rsidRPr="006330A2">
              <w:t>Nav.</w:t>
            </w:r>
          </w:p>
        </w:tc>
      </w:tr>
    </w:tbl>
    <w:p w14:paraId="5393CF4E" w14:textId="77777777" w:rsidR="007A045B" w:rsidRDefault="007A045B" w:rsidP="001351FC">
      <w:pPr>
        <w:rPr>
          <w:b/>
        </w:rPr>
      </w:pPr>
    </w:p>
    <w:p w14:paraId="5393CF4F" w14:textId="77777777" w:rsidR="005C63B2" w:rsidRDefault="005C63B2" w:rsidP="001351FC">
      <w:pPr>
        <w:rPr>
          <w:b/>
        </w:rPr>
      </w:pPr>
    </w:p>
    <w:p w14:paraId="5393CF50" w14:textId="77777777" w:rsidR="00850868" w:rsidRDefault="00850868" w:rsidP="001351FC">
      <w:pPr>
        <w:rPr>
          <w:b/>
        </w:rPr>
      </w:pPr>
    </w:p>
    <w:p w14:paraId="5393CF51" w14:textId="77777777" w:rsidR="00831905" w:rsidRPr="006330A2" w:rsidRDefault="00831905" w:rsidP="001351FC">
      <w:pPr>
        <w:rPr>
          <w:b/>
        </w:rPr>
      </w:pPr>
    </w:p>
    <w:p w14:paraId="5393CF52" w14:textId="77777777" w:rsidR="00AF0818" w:rsidRPr="006330A2" w:rsidRDefault="00AF0818" w:rsidP="001351FC"/>
    <w:tbl>
      <w:tblPr>
        <w:tblW w:w="0" w:type="auto"/>
        <w:tblLook w:val="04A0" w:firstRow="1" w:lastRow="0" w:firstColumn="1" w:lastColumn="0" w:noHBand="0" w:noVBand="1"/>
      </w:tblPr>
      <w:tblGrid>
        <w:gridCol w:w="5767"/>
        <w:gridCol w:w="3304"/>
      </w:tblGrid>
      <w:tr w:rsidR="00ED6931" w:rsidRPr="006330A2" w14:paraId="5393CF58" w14:textId="77777777" w:rsidTr="00EA151B">
        <w:tc>
          <w:tcPr>
            <w:tcW w:w="5767" w:type="dxa"/>
          </w:tcPr>
          <w:p w14:paraId="5393CF53" w14:textId="7F6C58E6" w:rsidR="00D53002" w:rsidRPr="006330A2" w:rsidRDefault="00B650B7" w:rsidP="00D53002">
            <w:pPr>
              <w:tabs>
                <w:tab w:val="left" w:pos="4320"/>
              </w:tabs>
            </w:pPr>
            <w:r w:rsidRPr="006330A2">
              <w:t xml:space="preserve">Izglītības un </w:t>
            </w:r>
            <w:r w:rsidR="00897471" w:rsidRPr="006330A2">
              <w:t>zinātnes ministr</w:t>
            </w:r>
            <w:r w:rsidR="00D53002">
              <w:t>e</w:t>
            </w:r>
            <w:r w:rsidR="0048612A">
              <w:t xml:space="preserve"> </w:t>
            </w:r>
          </w:p>
          <w:p w14:paraId="5393CF54" w14:textId="1E0BDC78" w:rsidR="0048612A" w:rsidRPr="006330A2" w:rsidRDefault="0048612A" w:rsidP="00897471">
            <w:pPr>
              <w:tabs>
                <w:tab w:val="left" w:pos="4320"/>
              </w:tabs>
            </w:pPr>
          </w:p>
        </w:tc>
        <w:tc>
          <w:tcPr>
            <w:tcW w:w="3304" w:type="dxa"/>
          </w:tcPr>
          <w:p w14:paraId="5393CF56" w14:textId="34CCF5DD" w:rsidR="007A045B" w:rsidRPr="006330A2" w:rsidRDefault="00D53002" w:rsidP="00D53002">
            <w:pPr>
              <w:tabs>
                <w:tab w:val="left" w:pos="4320"/>
              </w:tabs>
              <w:jc w:val="center"/>
            </w:pPr>
            <w:r>
              <w:t xml:space="preserve">                Ilga </w:t>
            </w:r>
            <w:proofErr w:type="spellStart"/>
            <w:r>
              <w:t>Šuplinska</w:t>
            </w:r>
            <w:proofErr w:type="spellEnd"/>
          </w:p>
          <w:p w14:paraId="5393CF57" w14:textId="77777777" w:rsidR="007A045B" w:rsidRPr="006330A2" w:rsidRDefault="007A045B" w:rsidP="001351FC">
            <w:pPr>
              <w:tabs>
                <w:tab w:val="left" w:pos="4320"/>
              </w:tabs>
              <w:jc w:val="right"/>
            </w:pPr>
          </w:p>
        </w:tc>
      </w:tr>
    </w:tbl>
    <w:p w14:paraId="5393CF64" w14:textId="77777777" w:rsidR="001151C4" w:rsidRDefault="001151C4" w:rsidP="00F3153D">
      <w:pPr>
        <w:tabs>
          <w:tab w:val="left" w:pos="2340"/>
          <w:tab w:val="center" w:pos="4153"/>
          <w:tab w:val="right" w:pos="8306"/>
        </w:tabs>
        <w:rPr>
          <w:rFonts w:eastAsia="Times New Roman"/>
          <w:sz w:val="20"/>
          <w:szCs w:val="20"/>
        </w:rPr>
      </w:pPr>
    </w:p>
    <w:tbl>
      <w:tblPr>
        <w:tblW w:w="0" w:type="auto"/>
        <w:tblLook w:val="04A0" w:firstRow="1" w:lastRow="0" w:firstColumn="1" w:lastColumn="0" w:noHBand="0" w:noVBand="1"/>
      </w:tblPr>
      <w:tblGrid>
        <w:gridCol w:w="5767"/>
        <w:gridCol w:w="3304"/>
      </w:tblGrid>
      <w:tr w:rsidR="00D97EC3" w:rsidRPr="006330A2" w14:paraId="6C7D1BA5" w14:textId="77777777" w:rsidTr="00F0621A">
        <w:tc>
          <w:tcPr>
            <w:tcW w:w="5767" w:type="dxa"/>
          </w:tcPr>
          <w:p w14:paraId="4CE86FDC" w14:textId="77777777" w:rsidR="00D97EC3" w:rsidRPr="006330A2" w:rsidRDefault="00D97EC3" w:rsidP="00F0621A">
            <w:pPr>
              <w:pStyle w:val="NormalWeb"/>
              <w:spacing w:before="0" w:beforeAutospacing="0" w:after="0" w:afterAutospacing="0"/>
            </w:pPr>
          </w:p>
          <w:p w14:paraId="0C1830AE" w14:textId="77777777" w:rsidR="00D97EC3" w:rsidRPr="006330A2" w:rsidRDefault="00D97EC3" w:rsidP="00F0621A">
            <w:pPr>
              <w:pStyle w:val="NormalWeb"/>
              <w:spacing w:before="0" w:beforeAutospacing="0" w:after="0" w:afterAutospacing="0"/>
            </w:pPr>
            <w:r w:rsidRPr="006330A2">
              <w:t>Vizē:</w:t>
            </w:r>
            <w:r w:rsidRPr="006330A2">
              <w:tab/>
            </w:r>
          </w:p>
        </w:tc>
        <w:tc>
          <w:tcPr>
            <w:tcW w:w="3304" w:type="dxa"/>
          </w:tcPr>
          <w:p w14:paraId="171029F4" w14:textId="77777777" w:rsidR="00D97EC3" w:rsidRPr="006330A2" w:rsidRDefault="00D97EC3" w:rsidP="00F0621A">
            <w:pPr>
              <w:tabs>
                <w:tab w:val="left" w:pos="4320"/>
              </w:tabs>
              <w:jc w:val="right"/>
            </w:pPr>
          </w:p>
          <w:p w14:paraId="62262598" w14:textId="77777777" w:rsidR="00D97EC3" w:rsidRPr="006330A2" w:rsidRDefault="00D97EC3" w:rsidP="00F0621A">
            <w:pPr>
              <w:tabs>
                <w:tab w:val="left" w:pos="4320"/>
              </w:tabs>
              <w:jc w:val="center"/>
            </w:pPr>
          </w:p>
        </w:tc>
      </w:tr>
    </w:tbl>
    <w:p w14:paraId="169A8A92" w14:textId="77777777" w:rsidR="00D97EC3" w:rsidRDefault="00D97EC3" w:rsidP="00D97EC3">
      <w:pPr>
        <w:tabs>
          <w:tab w:val="left" w:pos="4020"/>
        </w:tabs>
        <w:ind w:left="709" w:hanging="567"/>
      </w:pPr>
      <w:r>
        <w:t>Valsts sekretāres vietā –</w:t>
      </w:r>
    </w:p>
    <w:p w14:paraId="4AD4D3E1" w14:textId="67452796" w:rsidR="00D97EC3" w:rsidRPr="00D97EC3" w:rsidRDefault="00D97EC3" w:rsidP="00D97EC3">
      <w:pPr>
        <w:tabs>
          <w:tab w:val="left" w:pos="4020"/>
        </w:tabs>
        <w:ind w:left="709" w:hanging="567"/>
      </w:pPr>
      <w:r>
        <w:t>Valsts sekretāres vietniece,</w:t>
      </w:r>
      <w:r w:rsidRPr="00D97EC3">
        <w:t xml:space="preserve"> </w:t>
      </w:r>
    </w:p>
    <w:p w14:paraId="61D14730" w14:textId="72EB187A" w:rsidR="00D97EC3" w:rsidRPr="00D97EC3" w:rsidRDefault="00D97EC3" w:rsidP="00D97EC3">
      <w:pPr>
        <w:tabs>
          <w:tab w:val="left" w:pos="4020"/>
        </w:tabs>
        <w:ind w:left="709" w:hanging="567"/>
      </w:pPr>
      <w:r w:rsidRPr="00D97EC3">
        <w:t>Struktūrfondu departamenta direktore</w:t>
      </w:r>
      <w:r w:rsidRPr="00D97EC3">
        <w:tab/>
      </w:r>
      <w:r w:rsidRPr="00D97EC3">
        <w:tab/>
        <w:t xml:space="preserve"> </w:t>
      </w:r>
      <w:r>
        <w:tab/>
      </w:r>
      <w:r>
        <w:tab/>
      </w:r>
      <w:r w:rsidRPr="00D97EC3">
        <w:tab/>
        <w:t xml:space="preserve">       Santa Šmīdlere</w:t>
      </w:r>
    </w:p>
    <w:p w14:paraId="5393CF66" w14:textId="77777777" w:rsidR="004C17A1" w:rsidRPr="00D97EC3" w:rsidRDefault="004C17A1" w:rsidP="00D97EC3">
      <w:pPr>
        <w:tabs>
          <w:tab w:val="left" w:pos="4020"/>
        </w:tabs>
        <w:ind w:left="709" w:hanging="567"/>
      </w:pPr>
    </w:p>
    <w:p w14:paraId="5393CF67" w14:textId="77777777" w:rsidR="001151C4" w:rsidRPr="00D97EC3" w:rsidRDefault="001151C4" w:rsidP="00D97EC3">
      <w:pPr>
        <w:tabs>
          <w:tab w:val="left" w:pos="4020"/>
        </w:tabs>
        <w:ind w:left="709" w:hanging="567"/>
      </w:pPr>
    </w:p>
    <w:p w14:paraId="5393CF68" w14:textId="77777777" w:rsidR="001151C4" w:rsidRPr="006330A2" w:rsidRDefault="001151C4" w:rsidP="00F3153D">
      <w:pPr>
        <w:tabs>
          <w:tab w:val="left" w:pos="2340"/>
          <w:tab w:val="center" w:pos="4153"/>
          <w:tab w:val="right" w:pos="8306"/>
        </w:tabs>
        <w:rPr>
          <w:rFonts w:eastAsia="Times New Roman"/>
          <w:sz w:val="20"/>
          <w:szCs w:val="20"/>
        </w:rPr>
      </w:pPr>
    </w:p>
    <w:p w14:paraId="5393CF69" w14:textId="77777777" w:rsidR="003676E2" w:rsidRPr="006330A2" w:rsidRDefault="003676E2" w:rsidP="00F3153D">
      <w:pPr>
        <w:rPr>
          <w:rFonts w:eastAsia="Times New Roman"/>
          <w:color w:val="0000FF"/>
          <w:sz w:val="20"/>
          <w:szCs w:val="20"/>
          <w:u w:val="single"/>
        </w:rPr>
      </w:pPr>
    </w:p>
    <w:p w14:paraId="5393CF6A" w14:textId="77777777" w:rsidR="003676E2" w:rsidRPr="006330A2" w:rsidRDefault="00A85C50" w:rsidP="003676E2">
      <w:pPr>
        <w:rPr>
          <w:rFonts w:eastAsiaTheme="minorHAnsi"/>
          <w:sz w:val="20"/>
          <w:szCs w:val="22"/>
          <w:lang w:eastAsia="en-US"/>
        </w:rPr>
      </w:pPr>
      <w:r w:rsidRPr="006330A2">
        <w:rPr>
          <w:sz w:val="20"/>
        </w:rPr>
        <w:t>Kašurina 67047977</w:t>
      </w:r>
    </w:p>
    <w:p w14:paraId="5393CF6B" w14:textId="0CAF7776" w:rsidR="003676E2" w:rsidRPr="003676E2" w:rsidRDefault="00384ECF" w:rsidP="003676E2">
      <w:pPr>
        <w:rPr>
          <w:sz w:val="20"/>
        </w:rPr>
      </w:pPr>
      <w:hyperlink r:id="rId9" w:history="1">
        <w:r w:rsidR="00A85C50" w:rsidRPr="006330A2">
          <w:rPr>
            <w:rStyle w:val="Hyperlink"/>
            <w:sz w:val="20"/>
          </w:rPr>
          <w:t>Inese.Kasurina@izm.gov.lv</w:t>
        </w:r>
      </w:hyperlink>
      <w:bookmarkStart w:id="2" w:name="_GoBack"/>
      <w:bookmarkEnd w:id="2"/>
    </w:p>
    <w:sectPr w:rsidR="003676E2" w:rsidRPr="003676E2"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CF6E" w14:textId="77777777" w:rsidR="00FE0149" w:rsidRDefault="00FE0149">
      <w:r>
        <w:separator/>
      </w:r>
    </w:p>
  </w:endnote>
  <w:endnote w:type="continuationSeparator" w:id="0">
    <w:p w14:paraId="5393CF6F" w14:textId="77777777" w:rsidR="00FE0149" w:rsidRDefault="00FE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2" w14:textId="77777777" w:rsidR="00145710" w:rsidRDefault="00F34883" w:rsidP="00B94A93">
    <w:pPr>
      <w:pStyle w:val="Footer"/>
      <w:tabs>
        <w:tab w:val="clear" w:pos="8306"/>
      </w:tabs>
      <w:jc w:val="both"/>
    </w:pPr>
    <w:r>
      <w:rPr>
        <w:noProof/>
        <w:sz w:val="20"/>
        <w:szCs w:val="20"/>
      </w:rPr>
      <w:t>IZMAnot_0406</w:t>
    </w:r>
    <w:r w:rsidR="00145710">
      <w:rPr>
        <w:noProof/>
        <w:sz w:val="20"/>
        <w:szCs w:val="20"/>
      </w:rPr>
      <w:t>19_groz1113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CF73" w14:textId="77777777" w:rsidR="00145710" w:rsidRPr="00521075" w:rsidRDefault="00145710" w:rsidP="00521075">
    <w:pPr>
      <w:pStyle w:val="Footer"/>
      <w:tabs>
        <w:tab w:val="clear" w:pos="8306"/>
      </w:tabs>
      <w:jc w:val="both"/>
      <w:rPr>
        <w:noProof/>
        <w:sz w:val="20"/>
        <w:szCs w:val="20"/>
      </w:rPr>
    </w:pPr>
    <w:r>
      <w:rPr>
        <w:noProof/>
        <w:sz w:val="20"/>
        <w:szCs w:val="20"/>
      </w:rPr>
      <w:t>IZMAnot_</w:t>
    </w:r>
    <w:r w:rsidR="0002321F">
      <w:rPr>
        <w:noProof/>
        <w:sz w:val="20"/>
        <w:szCs w:val="20"/>
      </w:rPr>
      <w:t>040619_groz1113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CF6C" w14:textId="77777777" w:rsidR="00FE0149" w:rsidRDefault="00FE0149">
      <w:r>
        <w:separator/>
      </w:r>
    </w:p>
  </w:footnote>
  <w:footnote w:type="continuationSeparator" w:id="0">
    <w:p w14:paraId="5393CF6D" w14:textId="77777777" w:rsidR="00FE0149" w:rsidRDefault="00FE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5393CF70" w14:textId="77777777" w:rsidR="00145710" w:rsidRDefault="00145710">
        <w:pPr>
          <w:pStyle w:val="Header"/>
          <w:jc w:val="center"/>
        </w:pPr>
        <w:r>
          <w:fldChar w:fldCharType="begin"/>
        </w:r>
        <w:r>
          <w:instrText xml:space="preserve"> PAGE   \* MERGEFORMAT </w:instrText>
        </w:r>
        <w:r>
          <w:fldChar w:fldCharType="separate"/>
        </w:r>
        <w:r w:rsidR="00384ECF">
          <w:rPr>
            <w:noProof/>
          </w:rPr>
          <w:t>13</w:t>
        </w:r>
        <w:r>
          <w:rPr>
            <w:noProof/>
          </w:rPr>
          <w:fldChar w:fldCharType="end"/>
        </w:r>
      </w:p>
    </w:sdtContent>
  </w:sdt>
  <w:p w14:paraId="5393CF71" w14:textId="77777777" w:rsidR="00145710" w:rsidRDefault="00145710"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AA2"/>
    <w:multiLevelType w:val="hybridMultilevel"/>
    <w:tmpl w:val="D9202396"/>
    <w:lvl w:ilvl="0" w:tplc="CC72E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B30FC"/>
    <w:multiLevelType w:val="hybridMultilevel"/>
    <w:tmpl w:val="37621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6">
    <w:nsid w:val="126B48FF"/>
    <w:multiLevelType w:val="hybridMultilevel"/>
    <w:tmpl w:val="529EE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7E3882"/>
    <w:multiLevelType w:val="hybridMultilevel"/>
    <w:tmpl w:val="30208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9">
    <w:nsid w:val="27D1302D"/>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nsid w:val="43CB72A0"/>
    <w:multiLevelType w:val="hybridMultilevel"/>
    <w:tmpl w:val="4E2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A46693"/>
    <w:multiLevelType w:val="hybridMultilevel"/>
    <w:tmpl w:val="CE4A6E6E"/>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3">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4">
    <w:nsid w:val="4A196F65"/>
    <w:multiLevelType w:val="hybridMultilevel"/>
    <w:tmpl w:val="732E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6">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8">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9">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0">
    <w:nsid w:val="7D661425"/>
    <w:multiLevelType w:val="hybridMultilevel"/>
    <w:tmpl w:val="9044E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13"/>
  </w:num>
  <w:num w:numId="5">
    <w:abstractNumId w:val="8"/>
  </w:num>
  <w:num w:numId="6">
    <w:abstractNumId w:val="15"/>
  </w:num>
  <w:num w:numId="7">
    <w:abstractNumId w:val="3"/>
  </w:num>
  <w:num w:numId="8">
    <w:abstractNumId w:val="19"/>
  </w:num>
  <w:num w:numId="9">
    <w:abstractNumId w:val="21"/>
  </w:num>
  <w:num w:numId="10">
    <w:abstractNumId w:val="18"/>
  </w:num>
  <w:num w:numId="11">
    <w:abstractNumId w:val="10"/>
  </w:num>
  <w:num w:numId="12">
    <w:abstractNumId w:val="16"/>
  </w:num>
  <w:num w:numId="13">
    <w:abstractNumId w:val="0"/>
  </w:num>
  <w:num w:numId="14">
    <w:abstractNumId w:val="1"/>
  </w:num>
  <w:num w:numId="15">
    <w:abstractNumId w:val="20"/>
  </w:num>
  <w:num w:numId="16">
    <w:abstractNumId w:val="6"/>
  </w:num>
  <w:num w:numId="17">
    <w:abstractNumId w:val="11"/>
  </w:num>
  <w:num w:numId="18">
    <w:abstractNumId w:val="7"/>
  </w:num>
  <w:num w:numId="19">
    <w:abstractNumId w:val="2"/>
  </w:num>
  <w:num w:numId="20">
    <w:abstractNumId w:val="14"/>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115D"/>
    <w:rsid w:val="00001308"/>
    <w:rsid w:val="00001352"/>
    <w:rsid w:val="0000368F"/>
    <w:rsid w:val="00004E7F"/>
    <w:rsid w:val="000058C6"/>
    <w:rsid w:val="00006759"/>
    <w:rsid w:val="00006F0F"/>
    <w:rsid w:val="00011E34"/>
    <w:rsid w:val="00016473"/>
    <w:rsid w:val="00017924"/>
    <w:rsid w:val="000213BE"/>
    <w:rsid w:val="00022ADF"/>
    <w:rsid w:val="00022BB4"/>
    <w:rsid w:val="0002321F"/>
    <w:rsid w:val="00023D5B"/>
    <w:rsid w:val="00024D6A"/>
    <w:rsid w:val="000267D5"/>
    <w:rsid w:val="000277CD"/>
    <w:rsid w:val="00033A4A"/>
    <w:rsid w:val="000348D8"/>
    <w:rsid w:val="000407D2"/>
    <w:rsid w:val="000412C9"/>
    <w:rsid w:val="0004370F"/>
    <w:rsid w:val="00044224"/>
    <w:rsid w:val="00044C80"/>
    <w:rsid w:val="00047A59"/>
    <w:rsid w:val="000532A9"/>
    <w:rsid w:val="00055596"/>
    <w:rsid w:val="000559F7"/>
    <w:rsid w:val="00055F99"/>
    <w:rsid w:val="00055FF5"/>
    <w:rsid w:val="00056F57"/>
    <w:rsid w:val="00060804"/>
    <w:rsid w:val="00060887"/>
    <w:rsid w:val="00061975"/>
    <w:rsid w:val="00066596"/>
    <w:rsid w:val="000726BF"/>
    <w:rsid w:val="00073C8B"/>
    <w:rsid w:val="0008239B"/>
    <w:rsid w:val="00084AEE"/>
    <w:rsid w:val="000861AE"/>
    <w:rsid w:val="00086429"/>
    <w:rsid w:val="000864C7"/>
    <w:rsid w:val="0009069D"/>
    <w:rsid w:val="000952B3"/>
    <w:rsid w:val="000A42F0"/>
    <w:rsid w:val="000A43B4"/>
    <w:rsid w:val="000A4EDF"/>
    <w:rsid w:val="000A5450"/>
    <w:rsid w:val="000A6E27"/>
    <w:rsid w:val="000A7172"/>
    <w:rsid w:val="000A769A"/>
    <w:rsid w:val="000A7A0E"/>
    <w:rsid w:val="000B2EE9"/>
    <w:rsid w:val="000D24CB"/>
    <w:rsid w:val="000D2E53"/>
    <w:rsid w:val="000D5592"/>
    <w:rsid w:val="000D5F1F"/>
    <w:rsid w:val="000E0083"/>
    <w:rsid w:val="000E016A"/>
    <w:rsid w:val="000E2C2C"/>
    <w:rsid w:val="000E745E"/>
    <w:rsid w:val="000E7C62"/>
    <w:rsid w:val="000F01C5"/>
    <w:rsid w:val="000F2179"/>
    <w:rsid w:val="000F21B1"/>
    <w:rsid w:val="000F2D2A"/>
    <w:rsid w:val="000F3768"/>
    <w:rsid w:val="000F3DE5"/>
    <w:rsid w:val="000F518F"/>
    <w:rsid w:val="000F7031"/>
    <w:rsid w:val="000F796B"/>
    <w:rsid w:val="0010296F"/>
    <w:rsid w:val="001042A6"/>
    <w:rsid w:val="0011101D"/>
    <w:rsid w:val="001110DE"/>
    <w:rsid w:val="001118E9"/>
    <w:rsid w:val="001130C6"/>
    <w:rsid w:val="001151C4"/>
    <w:rsid w:val="001206E6"/>
    <w:rsid w:val="001226BE"/>
    <w:rsid w:val="001247CA"/>
    <w:rsid w:val="001268C5"/>
    <w:rsid w:val="001273A7"/>
    <w:rsid w:val="00127A5B"/>
    <w:rsid w:val="001324F3"/>
    <w:rsid w:val="001351FC"/>
    <w:rsid w:val="00137168"/>
    <w:rsid w:val="001435F6"/>
    <w:rsid w:val="00145710"/>
    <w:rsid w:val="00145D7C"/>
    <w:rsid w:val="001463D8"/>
    <w:rsid w:val="00146A40"/>
    <w:rsid w:val="001522EB"/>
    <w:rsid w:val="0015241F"/>
    <w:rsid w:val="001529CD"/>
    <w:rsid w:val="00154340"/>
    <w:rsid w:val="00155DAF"/>
    <w:rsid w:val="00156964"/>
    <w:rsid w:val="00162663"/>
    <w:rsid w:val="00163E14"/>
    <w:rsid w:val="00165A93"/>
    <w:rsid w:val="001718C7"/>
    <w:rsid w:val="00172B01"/>
    <w:rsid w:val="001735F9"/>
    <w:rsid w:val="00173A4C"/>
    <w:rsid w:val="001740A1"/>
    <w:rsid w:val="00174275"/>
    <w:rsid w:val="0017518B"/>
    <w:rsid w:val="001763E1"/>
    <w:rsid w:val="00177B91"/>
    <w:rsid w:val="00180226"/>
    <w:rsid w:val="001802A5"/>
    <w:rsid w:val="001819C9"/>
    <w:rsid w:val="00182486"/>
    <w:rsid w:val="00184779"/>
    <w:rsid w:val="001930D7"/>
    <w:rsid w:val="0019383F"/>
    <w:rsid w:val="001962A2"/>
    <w:rsid w:val="001A02E8"/>
    <w:rsid w:val="001A037F"/>
    <w:rsid w:val="001A342A"/>
    <w:rsid w:val="001A41CB"/>
    <w:rsid w:val="001A676F"/>
    <w:rsid w:val="001A7223"/>
    <w:rsid w:val="001B090E"/>
    <w:rsid w:val="001B348C"/>
    <w:rsid w:val="001B37C9"/>
    <w:rsid w:val="001B5B88"/>
    <w:rsid w:val="001B5CF1"/>
    <w:rsid w:val="001C041E"/>
    <w:rsid w:val="001C0AEA"/>
    <w:rsid w:val="001C0C9B"/>
    <w:rsid w:val="001C5666"/>
    <w:rsid w:val="001C6630"/>
    <w:rsid w:val="001C736B"/>
    <w:rsid w:val="001D1E23"/>
    <w:rsid w:val="001D3C5A"/>
    <w:rsid w:val="001D45E6"/>
    <w:rsid w:val="001D5531"/>
    <w:rsid w:val="001D594C"/>
    <w:rsid w:val="001D7DE5"/>
    <w:rsid w:val="001E081D"/>
    <w:rsid w:val="001E130E"/>
    <w:rsid w:val="001E2C60"/>
    <w:rsid w:val="001E728F"/>
    <w:rsid w:val="001E7DCE"/>
    <w:rsid w:val="001F097E"/>
    <w:rsid w:val="001F2EE0"/>
    <w:rsid w:val="001F3907"/>
    <w:rsid w:val="001F3DA2"/>
    <w:rsid w:val="00201E47"/>
    <w:rsid w:val="0020262C"/>
    <w:rsid w:val="00202B48"/>
    <w:rsid w:val="00206B03"/>
    <w:rsid w:val="00207834"/>
    <w:rsid w:val="002121B5"/>
    <w:rsid w:val="00217151"/>
    <w:rsid w:val="0022054B"/>
    <w:rsid w:val="0022141D"/>
    <w:rsid w:val="00222613"/>
    <w:rsid w:val="00222B66"/>
    <w:rsid w:val="0022526E"/>
    <w:rsid w:val="0023009A"/>
    <w:rsid w:val="0023019A"/>
    <w:rsid w:val="00231822"/>
    <w:rsid w:val="002326B3"/>
    <w:rsid w:val="0023307B"/>
    <w:rsid w:val="00237327"/>
    <w:rsid w:val="002410D0"/>
    <w:rsid w:val="00243C6C"/>
    <w:rsid w:val="00245B4F"/>
    <w:rsid w:val="00250266"/>
    <w:rsid w:val="00251A42"/>
    <w:rsid w:val="00253057"/>
    <w:rsid w:val="00254E50"/>
    <w:rsid w:val="0026065E"/>
    <w:rsid w:val="0026086C"/>
    <w:rsid w:val="00261E34"/>
    <w:rsid w:val="00264BEF"/>
    <w:rsid w:val="00266A7C"/>
    <w:rsid w:val="00267747"/>
    <w:rsid w:val="00270BAD"/>
    <w:rsid w:val="00273E66"/>
    <w:rsid w:val="00276D5D"/>
    <w:rsid w:val="00277223"/>
    <w:rsid w:val="0028028E"/>
    <w:rsid w:val="002810D0"/>
    <w:rsid w:val="00284F26"/>
    <w:rsid w:val="00286420"/>
    <w:rsid w:val="00290E3C"/>
    <w:rsid w:val="00291002"/>
    <w:rsid w:val="00293831"/>
    <w:rsid w:val="002957A3"/>
    <w:rsid w:val="00297863"/>
    <w:rsid w:val="002A0265"/>
    <w:rsid w:val="002A1724"/>
    <w:rsid w:val="002A2E42"/>
    <w:rsid w:val="002B0227"/>
    <w:rsid w:val="002B0E96"/>
    <w:rsid w:val="002B6DF9"/>
    <w:rsid w:val="002B7D78"/>
    <w:rsid w:val="002C02C2"/>
    <w:rsid w:val="002C1E65"/>
    <w:rsid w:val="002C22BE"/>
    <w:rsid w:val="002C34AA"/>
    <w:rsid w:val="002C470F"/>
    <w:rsid w:val="002C6377"/>
    <w:rsid w:val="002D02E7"/>
    <w:rsid w:val="002D037A"/>
    <w:rsid w:val="002D1255"/>
    <w:rsid w:val="002D1571"/>
    <w:rsid w:val="002D3149"/>
    <w:rsid w:val="002E175D"/>
    <w:rsid w:val="002E19E0"/>
    <w:rsid w:val="002E1AA1"/>
    <w:rsid w:val="002E3687"/>
    <w:rsid w:val="002E4E41"/>
    <w:rsid w:val="002E6777"/>
    <w:rsid w:val="002E7131"/>
    <w:rsid w:val="002E774B"/>
    <w:rsid w:val="002F2B59"/>
    <w:rsid w:val="002F549B"/>
    <w:rsid w:val="002F63C6"/>
    <w:rsid w:val="002F7293"/>
    <w:rsid w:val="00300972"/>
    <w:rsid w:val="003009A4"/>
    <w:rsid w:val="003014E4"/>
    <w:rsid w:val="00301E2B"/>
    <w:rsid w:val="00302DC1"/>
    <w:rsid w:val="00305E3F"/>
    <w:rsid w:val="00306724"/>
    <w:rsid w:val="0031039B"/>
    <w:rsid w:val="00311AB8"/>
    <w:rsid w:val="00313352"/>
    <w:rsid w:val="003175FE"/>
    <w:rsid w:val="00320275"/>
    <w:rsid w:val="00325356"/>
    <w:rsid w:val="00327F78"/>
    <w:rsid w:val="0033169E"/>
    <w:rsid w:val="00335A14"/>
    <w:rsid w:val="00336B56"/>
    <w:rsid w:val="0034707A"/>
    <w:rsid w:val="0034796B"/>
    <w:rsid w:val="00347CAC"/>
    <w:rsid w:val="00352BE9"/>
    <w:rsid w:val="00355F57"/>
    <w:rsid w:val="00356107"/>
    <w:rsid w:val="00357359"/>
    <w:rsid w:val="00364B5A"/>
    <w:rsid w:val="003676E2"/>
    <w:rsid w:val="00367FBC"/>
    <w:rsid w:val="00370B5D"/>
    <w:rsid w:val="00370F5A"/>
    <w:rsid w:val="0037313C"/>
    <w:rsid w:val="0037447A"/>
    <w:rsid w:val="00374AF5"/>
    <w:rsid w:val="00375571"/>
    <w:rsid w:val="00376346"/>
    <w:rsid w:val="003779FA"/>
    <w:rsid w:val="003810A1"/>
    <w:rsid w:val="00381496"/>
    <w:rsid w:val="00384ECF"/>
    <w:rsid w:val="00387B6D"/>
    <w:rsid w:val="00390B4C"/>
    <w:rsid w:val="0039125F"/>
    <w:rsid w:val="003939C8"/>
    <w:rsid w:val="00397081"/>
    <w:rsid w:val="003A0799"/>
    <w:rsid w:val="003A1407"/>
    <w:rsid w:val="003A21D1"/>
    <w:rsid w:val="003A4562"/>
    <w:rsid w:val="003B01C6"/>
    <w:rsid w:val="003B056C"/>
    <w:rsid w:val="003B59CF"/>
    <w:rsid w:val="003B6A5E"/>
    <w:rsid w:val="003B7FA9"/>
    <w:rsid w:val="003C2699"/>
    <w:rsid w:val="003C2D79"/>
    <w:rsid w:val="003C4707"/>
    <w:rsid w:val="003C6076"/>
    <w:rsid w:val="003E05A2"/>
    <w:rsid w:val="003E0B2F"/>
    <w:rsid w:val="003F058E"/>
    <w:rsid w:val="003F0DD3"/>
    <w:rsid w:val="003F1080"/>
    <w:rsid w:val="003F5EC8"/>
    <w:rsid w:val="003F61CB"/>
    <w:rsid w:val="003F6C6B"/>
    <w:rsid w:val="003F6DE9"/>
    <w:rsid w:val="004016D7"/>
    <w:rsid w:val="004040B1"/>
    <w:rsid w:val="004048C7"/>
    <w:rsid w:val="00404B58"/>
    <w:rsid w:val="0040556B"/>
    <w:rsid w:val="0040602E"/>
    <w:rsid w:val="00406B3C"/>
    <w:rsid w:val="00407F82"/>
    <w:rsid w:val="0041305A"/>
    <w:rsid w:val="00413BD9"/>
    <w:rsid w:val="00413E72"/>
    <w:rsid w:val="004158AE"/>
    <w:rsid w:val="00415D62"/>
    <w:rsid w:val="00415F36"/>
    <w:rsid w:val="00417B84"/>
    <w:rsid w:val="00417E3B"/>
    <w:rsid w:val="004210D4"/>
    <w:rsid w:val="004219C7"/>
    <w:rsid w:val="00423FCF"/>
    <w:rsid w:val="004259D6"/>
    <w:rsid w:val="00425A89"/>
    <w:rsid w:val="00426F53"/>
    <w:rsid w:val="00430E44"/>
    <w:rsid w:val="00432EA1"/>
    <w:rsid w:val="00433F84"/>
    <w:rsid w:val="00437A9F"/>
    <w:rsid w:val="00441759"/>
    <w:rsid w:val="00442A7F"/>
    <w:rsid w:val="00443688"/>
    <w:rsid w:val="00444C6B"/>
    <w:rsid w:val="00446304"/>
    <w:rsid w:val="00446A92"/>
    <w:rsid w:val="00446CE5"/>
    <w:rsid w:val="00447D9E"/>
    <w:rsid w:val="00447EFD"/>
    <w:rsid w:val="00450AE3"/>
    <w:rsid w:val="0045132C"/>
    <w:rsid w:val="004550F7"/>
    <w:rsid w:val="0045535A"/>
    <w:rsid w:val="00455C81"/>
    <w:rsid w:val="00456E94"/>
    <w:rsid w:val="00457383"/>
    <w:rsid w:val="004622C3"/>
    <w:rsid w:val="00465C98"/>
    <w:rsid w:val="00467B7F"/>
    <w:rsid w:val="00474733"/>
    <w:rsid w:val="00474C0B"/>
    <w:rsid w:val="00477435"/>
    <w:rsid w:val="00477F62"/>
    <w:rsid w:val="00480450"/>
    <w:rsid w:val="00481885"/>
    <w:rsid w:val="00483216"/>
    <w:rsid w:val="00485AFC"/>
    <w:rsid w:val="0048612A"/>
    <w:rsid w:val="0049292A"/>
    <w:rsid w:val="00492D3C"/>
    <w:rsid w:val="0049306F"/>
    <w:rsid w:val="00494B25"/>
    <w:rsid w:val="00497148"/>
    <w:rsid w:val="004A1E26"/>
    <w:rsid w:val="004A4EBE"/>
    <w:rsid w:val="004A6F5C"/>
    <w:rsid w:val="004A7CE6"/>
    <w:rsid w:val="004A7F10"/>
    <w:rsid w:val="004B10E7"/>
    <w:rsid w:val="004B2CCD"/>
    <w:rsid w:val="004B4AB8"/>
    <w:rsid w:val="004C00AF"/>
    <w:rsid w:val="004C17A1"/>
    <w:rsid w:val="004C34BE"/>
    <w:rsid w:val="004C362D"/>
    <w:rsid w:val="004C4068"/>
    <w:rsid w:val="004D17FB"/>
    <w:rsid w:val="004D2E35"/>
    <w:rsid w:val="004D2F5B"/>
    <w:rsid w:val="004D336D"/>
    <w:rsid w:val="004D395F"/>
    <w:rsid w:val="004D4D64"/>
    <w:rsid w:val="004D5248"/>
    <w:rsid w:val="004E2DA1"/>
    <w:rsid w:val="004F0E90"/>
    <w:rsid w:val="004F4149"/>
    <w:rsid w:val="004F483C"/>
    <w:rsid w:val="004F5D7D"/>
    <w:rsid w:val="004F7317"/>
    <w:rsid w:val="004F7BE6"/>
    <w:rsid w:val="005011F0"/>
    <w:rsid w:val="00501BB2"/>
    <w:rsid w:val="00510199"/>
    <w:rsid w:val="005156E6"/>
    <w:rsid w:val="00521075"/>
    <w:rsid w:val="0052108D"/>
    <w:rsid w:val="00523237"/>
    <w:rsid w:val="005260CA"/>
    <w:rsid w:val="00526287"/>
    <w:rsid w:val="005275CE"/>
    <w:rsid w:val="0053202D"/>
    <w:rsid w:val="00534EAB"/>
    <w:rsid w:val="005464A0"/>
    <w:rsid w:val="00550063"/>
    <w:rsid w:val="00553EFC"/>
    <w:rsid w:val="00553F69"/>
    <w:rsid w:val="00556DB1"/>
    <w:rsid w:val="005607AD"/>
    <w:rsid w:val="00566E79"/>
    <w:rsid w:val="00570429"/>
    <w:rsid w:val="005704D1"/>
    <w:rsid w:val="00571D19"/>
    <w:rsid w:val="005728CE"/>
    <w:rsid w:val="00572A0C"/>
    <w:rsid w:val="00573007"/>
    <w:rsid w:val="00574DF1"/>
    <w:rsid w:val="00583F50"/>
    <w:rsid w:val="0058529E"/>
    <w:rsid w:val="00585D8F"/>
    <w:rsid w:val="00587111"/>
    <w:rsid w:val="005939D0"/>
    <w:rsid w:val="00597311"/>
    <w:rsid w:val="005A0666"/>
    <w:rsid w:val="005A121A"/>
    <w:rsid w:val="005A136C"/>
    <w:rsid w:val="005A2669"/>
    <w:rsid w:val="005A497E"/>
    <w:rsid w:val="005A4CA3"/>
    <w:rsid w:val="005A57E3"/>
    <w:rsid w:val="005B0443"/>
    <w:rsid w:val="005B11A3"/>
    <w:rsid w:val="005B1554"/>
    <w:rsid w:val="005B2090"/>
    <w:rsid w:val="005B3EFF"/>
    <w:rsid w:val="005B4787"/>
    <w:rsid w:val="005B7927"/>
    <w:rsid w:val="005C149B"/>
    <w:rsid w:val="005C1803"/>
    <w:rsid w:val="005C32FD"/>
    <w:rsid w:val="005C38FD"/>
    <w:rsid w:val="005C451C"/>
    <w:rsid w:val="005C47CE"/>
    <w:rsid w:val="005C4A89"/>
    <w:rsid w:val="005C50B2"/>
    <w:rsid w:val="005C50B5"/>
    <w:rsid w:val="005C63B2"/>
    <w:rsid w:val="005C6D67"/>
    <w:rsid w:val="005D4E5B"/>
    <w:rsid w:val="005D6504"/>
    <w:rsid w:val="005D73C3"/>
    <w:rsid w:val="005D77C7"/>
    <w:rsid w:val="005E0CF3"/>
    <w:rsid w:val="005E0FA8"/>
    <w:rsid w:val="005E2B9A"/>
    <w:rsid w:val="005E5301"/>
    <w:rsid w:val="005E5834"/>
    <w:rsid w:val="005F0049"/>
    <w:rsid w:val="005F3BEC"/>
    <w:rsid w:val="005F658D"/>
    <w:rsid w:val="005F66E6"/>
    <w:rsid w:val="00601BEB"/>
    <w:rsid w:val="00605C6C"/>
    <w:rsid w:val="006109C0"/>
    <w:rsid w:val="00610EA4"/>
    <w:rsid w:val="006130EC"/>
    <w:rsid w:val="00615797"/>
    <w:rsid w:val="00615AB7"/>
    <w:rsid w:val="00615F04"/>
    <w:rsid w:val="00616CE1"/>
    <w:rsid w:val="00621457"/>
    <w:rsid w:val="00621927"/>
    <w:rsid w:val="00623C1D"/>
    <w:rsid w:val="00624449"/>
    <w:rsid w:val="00625B26"/>
    <w:rsid w:val="006260FC"/>
    <w:rsid w:val="00626BCA"/>
    <w:rsid w:val="00627F4D"/>
    <w:rsid w:val="00630D89"/>
    <w:rsid w:val="00631A11"/>
    <w:rsid w:val="006330A2"/>
    <w:rsid w:val="006334E5"/>
    <w:rsid w:val="0063389A"/>
    <w:rsid w:val="00634D5E"/>
    <w:rsid w:val="00635039"/>
    <w:rsid w:val="006403D5"/>
    <w:rsid w:val="006410AE"/>
    <w:rsid w:val="0064690B"/>
    <w:rsid w:val="0065033C"/>
    <w:rsid w:val="0065180A"/>
    <w:rsid w:val="006559C0"/>
    <w:rsid w:val="00661BAF"/>
    <w:rsid w:val="00662075"/>
    <w:rsid w:val="00664133"/>
    <w:rsid w:val="00673675"/>
    <w:rsid w:val="00673D86"/>
    <w:rsid w:val="0067518D"/>
    <w:rsid w:val="0068381D"/>
    <w:rsid w:val="00685C24"/>
    <w:rsid w:val="00695F0A"/>
    <w:rsid w:val="006A07CE"/>
    <w:rsid w:val="006A1E3D"/>
    <w:rsid w:val="006A65CD"/>
    <w:rsid w:val="006A6A76"/>
    <w:rsid w:val="006A750F"/>
    <w:rsid w:val="006A785B"/>
    <w:rsid w:val="006B0620"/>
    <w:rsid w:val="006B1B46"/>
    <w:rsid w:val="006B2946"/>
    <w:rsid w:val="006B4F32"/>
    <w:rsid w:val="006B7744"/>
    <w:rsid w:val="006C03A6"/>
    <w:rsid w:val="006C253E"/>
    <w:rsid w:val="006C2DB1"/>
    <w:rsid w:val="006C3C17"/>
    <w:rsid w:val="006C4B7C"/>
    <w:rsid w:val="006C7FEC"/>
    <w:rsid w:val="006D1379"/>
    <w:rsid w:val="006D1EAD"/>
    <w:rsid w:val="006D231B"/>
    <w:rsid w:val="006D4F7C"/>
    <w:rsid w:val="006D5FCD"/>
    <w:rsid w:val="006E164D"/>
    <w:rsid w:val="006E2626"/>
    <w:rsid w:val="006E2F7E"/>
    <w:rsid w:val="006E3244"/>
    <w:rsid w:val="006E48A2"/>
    <w:rsid w:val="006E6C0E"/>
    <w:rsid w:val="006E7064"/>
    <w:rsid w:val="006E755A"/>
    <w:rsid w:val="006F764B"/>
    <w:rsid w:val="00700037"/>
    <w:rsid w:val="007016E3"/>
    <w:rsid w:val="00701D00"/>
    <w:rsid w:val="007028F9"/>
    <w:rsid w:val="00703030"/>
    <w:rsid w:val="007032C5"/>
    <w:rsid w:val="00704DDD"/>
    <w:rsid w:val="00706A03"/>
    <w:rsid w:val="007074FD"/>
    <w:rsid w:val="007079F5"/>
    <w:rsid w:val="0071061D"/>
    <w:rsid w:val="00710801"/>
    <w:rsid w:val="00715219"/>
    <w:rsid w:val="007164D3"/>
    <w:rsid w:val="00723700"/>
    <w:rsid w:val="007250A5"/>
    <w:rsid w:val="0072528C"/>
    <w:rsid w:val="007257CB"/>
    <w:rsid w:val="00731F50"/>
    <w:rsid w:val="0073392A"/>
    <w:rsid w:val="007362D7"/>
    <w:rsid w:val="007403A1"/>
    <w:rsid w:val="00741878"/>
    <w:rsid w:val="00742CA8"/>
    <w:rsid w:val="00745F7A"/>
    <w:rsid w:val="007504E8"/>
    <w:rsid w:val="00750EC0"/>
    <w:rsid w:val="0075107F"/>
    <w:rsid w:val="007525AE"/>
    <w:rsid w:val="00752A2C"/>
    <w:rsid w:val="00756E6B"/>
    <w:rsid w:val="00763C11"/>
    <w:rsid w:val="007660C6"/>
    <w:rsid w:val="007726DF"/>
    <w:rsid w:val="00774D71"/>
    <w:rsid w:val="00780E7D"/>
    <w:rsid w:val="0078149F"/>
    <w:rsid w:val="00781529"/>
    <w:rsid w:val="00782C36"/>
    <w:rsid w:val="00782FE5"/>
    <w:rsid w:val="0078466A"/>
    <w:rsid w:val="00786AB4"/>
    <w:rsid w:val="00787659"/>
    <w:rsid w:val="00790B7E"/>
    <w:rsid w:val="00791FE1"/>
    <w:rsid w:val="00794780"/>
    <w:rsid w:val="007A045B"/>
    <w:rsid w:val="007A2571"/>
    <w:rsid w:val="007A3425"/>
    <w:rsid w:val="007A4ADB"/>
    <w:rsid w:val="007A4D56"/>
    <w:rsid w:val="007A53B3"/>
    <w:rsid w:val="007A7FB1"/>
    <w:rsid w:val="007B09F5"/>
    <w:rsid w:val="007B1CFF"/>
    <w:rsid w:val="007B37CA"/>
    <w:rsid w:val="007B6ED5"/>
    <w:rsid w:val="007B7A42"/>
    <w:rsid w:val="007C1FA3"/>
    <w:rsid w:val="007C71A0"/>
    <w:rsid w:val="007C7A55"/>
    <w:rsid w:val="007D15A0"/>
    <w:rsid w:val="007D1D57"/>
    <w:rsid w:val="007D3C3D"/>
    <w:rsid w:val="007D6B9E"/>
    <w:rsid w:val="007E211F"/>
    <w:rsid w:val="007E22F3"/>
    <w:rsid w:val="007E429C"/>
    <w:rsid w:val="007E6B0D"/>
    <w:rsid w:val="007F3324"/>
    <w:rsid w:val="007F3CF4"/>
    <w:rsid w:val="007F4160"/>
    <w:rsid w:val="007F7448"/>
    <w:rsid w:val="007F78D3"/>
    <w:rsid w:val="007F7F5D"/>
    <w:rsid w:val="00813799"/>
    <w:rsid w:val="00814195"/>
    <w:rsid w:val="008159DF"/>
    <w:rsid w:val="00817C2B"/>
    <w:rsid w:val="008212DF"/>
    <w:rsid w:val="0082224C"/>
    <w:rsid w:val="00824E04"/>
    <w:rsid w:val="00826B53"/>
    <w:rsid w:val="0082748A"/>
    <w:rsid w:val="0082764C"/>
    <w:rsid w:val="008302C9"/>
    <w:rsid w:val="00831905"/>
    <w:rsid w:val="00832044"/>
    <w:rsid w:val="0083701C"/>
    <w:rsid w:val="008373FD"/>
    <w:rsid w:val="008409AC"/>
    <w:rsid w:val="0084191B"/>
    <w:rsid w:val="00842373"/>
    <w:rsid w:val="0084459C"/>
    <w:rsid w:val="00850868"/>
    <w:rsid w:val="008542CA"/>
    <w:rsid w:val="0085441A"/>
    <w:rsid w:val="0085612F"/>
    <w:rsid w:val="00856DA1"/>
    <w:rsid w:val="00856FD9"/>
    <w:rsid w:val="008573E5"/>
    <w:rsid w:val="00857FE1"/>
    <w:rsid w:val="008605BD"/>
    <w:rsid w:val="00860E61"/>
    <w:rsid w:val="00863B03"/>
    <w:rsid w:val="00864C2A"/>
    <w:rsid w:val="00865159"/>
    <w:rsid w:val="00867D90"/>
    <w:rsid w:val="00872A4B"/>
    <w:rsid w:val="008756E1"/>
    <w:rsid w:val="00876A06"/>
    <w:rsid w:val="008772B7"/>
    <w:rsid w:val="008772C4"/>
    <w:rsid w:val="00877DCD"/>
    <w:rsid w:val="00881A24"/>
    <w:rsid w:val="00883FD9"/>
    <w:rsid w:val="00885813"/>
    <w:rsid w:val="008877F2"/>
    <w:rsid w:val="00887E02"/>
    <w:rsid w:val="00887F3F"/>
    <w:rsid w:val="00890627"/>
    <w:rsid w:val="008939F7"/>
    <w:rsid w:val="00895249"/>
    <w:rsid w:val="008957FD"/>
    <w:rsid w:val="00896040"/>
    <w:rsid w:val="00897471"/>
    <w:rsid w:val="008A0436"/>
    <w:rsid w:val="008A05E0"/>
    <w:rsid w:val="008A0886"/>
    <w:rsid w:val="008A46DE"/>
    <w:rsid w:val="008B0A8C"/>
    <w:rsid w:val="008B134C"/>
    <w:rsid w:val="008B16D3"/>
    <w:rsid w:val="008B18A8"/>
    <w:rsid w:val="008B1A6C"/>
    <w:rsid w:val="008B392D"/>
    <w:rsid w:val="008B50AD"/>
    <w:rsid w:val="008B75E8"/>
    <w:rsid w:val="008B7E81"/>
    <w:rsid w:val="008C3185"/>
    <w:rsid w:val="008C3662"/>
    <w:rsid w:val="008C3F26"/>
    <w:rsid w:val="008C5103"/>
    <w:rsid w:val="008C5D13"/>
    <w:rsid w:val="008D0FE1"/>
    <w:rsid w:val="008D28A0"/>
    <w:rsid w:val="008D3AA0"/>
    <w:rsid w:val="008D6598"/>
    <w:rsid w:val="008D7E33"/>
    <w:rsid w:val="008E0EB4"/>
    <w:rsid w:val="008E42EC"/>
    <w:rsid w:val="008E64DB"/>
    <w:rsid w:val="008E7B6D"/>
    <w:rsid w:val="008F0E7B"/>
    <w:rsid w:val="008F16DA"/>
    <w:rsid w:val="008F24E7"/>
    <w:rsid w:val="008F716C"/>
    <w:rsid w:val="008F746A"/>
    <w:rsid w:val="00900E0E"/>
    <w:rsid w:val="00905C16"/>
    <w:rsid w:val="00907E1B"/>
    <w:rsid w:val="00910407"/>
    <w:rsid w:val="00910BBB"/>
    <w:rsid w:val="00910C98"/>
    <w:rsid w:val="00912B59"/>
    <w:rsid w:val="00913BBD"/>
    <w:rsid w:val="00913D6E"/>
    <w:rsid w:val="00917BB5"/>
    <w:rsid w:val="0092196F"/>
    <w:rsid w:val="0092310A"/>
    <w:rsid w:val="00923EA9"/>
    <w:rsid w:val="0092594C"/>
    <w:rsid w:val="00930F1B"/>
    <w:rsid w:val="00931D73"/>
    <w:rsid w:val="00933760"/>
    <w:rsid w:val="00933CCC"/>
    <w:rsid w:val="0093576B"/>
    <w:rsid w:val="00941128"/>
    <w:rsid w:val="0094122F"/>
    <w:rsid w:val="00941ED5"/>
    <w:rsid w:val="0094487B"/>
    <w:rsid w:val="00946F67"/>
    <w:rsid w:val="0095206B"/>
    <w:rsid w:val="00952692"/>
    <w:rsid w:val="00952FDF"/>
    <w:rsid w:val="00953936"/>
    <w:rsid w:val="00957CC6"/>
    <w:rsid w:val="00961091"/>
    <w:rsid w:val="00962962"/>
    <w:rsid w:val="00962FB9"/>
    <w:rsid w:val="0096666B"/>
    <w:rsid w:val="0096686A"/>
    <w:rsid w:val="00971910"/>
    <w:rsid w:val="00972CD3"/>
    <w:rsid w:val="009755BE"/>
    <w:rsid w:val="00976B05"/>
    <w:rsid w:val="0098188F"/>
    <w:rsid w:val="00983E49"/>
    <w:rsid w:val="00985A8A"/>
    <w:rsid w:val="00986569"/>
    <w:rsid w:val="00986A1B"/>
    <w:rsid w:val="00986C1D"/>
    <w:rsid w:val="009877B1"/>
    <w:rsid w:val="009934F6"/>
    <w:rsid w:val="00993742"/>
    <w:rsid w:val="00994359"/>
    <w:rsid w:val="009966FA"/>
    <w:rsid w:val="00997420"/>
    <w:rsid w:val="0099780F"/>
    <w:rsid w:val="009A1BBC"/>
    <w:rsid w:val="009B1E75"/>
    <w:rsid w:val="009B2C76"/>
    <w:rsid w:val="009B31DC"/>
    <w:rsid w:val="009B4AA6"/>
    <w:rsid w:val="009B6240"/>
    <w:rsid w:val="009B7421"/>
    <w:rsid w:val="009C27FB"/>
    <w:rsid w:val="009C3274"/>
    <w:rsid w:val="009C4B01"/>
    <w:rsid w:val="009C5D7C"/>
    <w:rsid w:val="009C7A6B"/>
    <w:rsid w:val="009D2E5C"/>
    <w:rsid w:val="009E3278"/>
    <w:rsid w:val="009F0CDF"/>
    <w:rsid w:val="009F42E4"/>
    <w:rsid w:val="009F672B"/>
    <w:rsid w:val="00A01E9C"/>
    <w:rsid w:val="00A029E8"/>
    <w:rsid w:val="00A02A1C"/>
    <w:rsid w:val="00A03194"/>
    <w:rsid w:val="00A0404B"/>
    <w:rsid w:val="00A0406D"/>
    <w:rsid w:val="00A07FCB"/>
    <w:rsid w:val="00A11266"/>
    <w:rsid w:val="00A14FEE"/>
    <w:rsid w:val="00A16A05"/>
    <w:rsid w:val="00A1753F"/>
    <w:rsid w:val="00A17B3B"/>
    <w:rsid w:val="00A25B00"/>
    <w:rsid w:val="00A262E5"/>
    <w:rsid w:val="00A27918"/>
    <w:rsid w:val="00A3172F"/>
    <w:rsid w:val="00A321B9"/>
    <w:rsid w:val="00A324CA"/>
    <w:rsid w:val="00A3577C"/>
    <w:rsid w:val="00A36B1F"/>
    <w:rsid w:val="00A40724"/>
    <w:rsid w:val="00A437F9"/>
    <w:rsid w:val="00A44F45"/>
    <w:rsid w:val="00A46330"/>
    <w:rsid w:val="00A53238"/>
    <w:rsid w:val="00A540C5"/>
    <w:rsid w:val="00A547FE"/>
    <w:rsid w:val="00A55105"/>
    <w:rsid w:val="00A55F80"/>
    <w:rsid w:val="00A57712"/>
    <w:rsid w:val="00A63A86"/>
    <w:rsid w:val="00A64008"/>
    <w:rsid w:val="00A64546"/>
    <w:rsid w:val="00A70A59"/>
    <w:rsid w:val="00A70B2B"/>
    <w:rsid w:val="00A70DFD"/>
    <w:rsid w:val="00A720CF"/>
    <w:rsid w:val="00A760C9"/>
    <w:rsid w:val="00A84B32"/>
    <w:rsid w:val="00A85C50"/>
    <w:rsid w:val="00A87150"/>
    <w:rsid w:val="00A91537"/>
    <w:rsid w:val="00A923ED"/>
    <w:rsid w:val="00A953F6"/>
    <w:rsid w:val="00A96BCC"/>
    <w:rsid w:val="00AA0B65"/>
    <w:rsid w:val="00AA49A6"/>
    <w:rsid w:val="00AB5BE3"/>
    <w:rsid w:val="00AC289C"/>
    <w:rsid w:val="00AC2C2B"/>
    <w:rsid w:val="00AC5A44"/>
    <w:rsid w:val="00AC7D90"/>
    <w:rsid w:val="00AD11CF"/>
    <w:rsid w:val="00AD1252"/>
    <w:rsid w:val="00AD2BDB"/>
    <w:rsid w:val="00AD3E9F"/>
    <w:rsid w:val="00AD526D"/>
    <w:rsid w:val="00AD59A6"/>
    <w:rsid w:val="00AD5C9A"/>
    <w:rsid w:val="00AE008E"/>
    <w:rsid w:val="00AE0688"/>
    <w:rsid w:val="00AE090B"/>
    <w:rsid w:val="00AE0973"/>
    <w:rsid w:val="00AE1DA4"/>
    <w:rsid w:val="00AE438A"/>
    <w:rsid w:val="00AE6B89"/>
    <w:rsid w:val="00AE6D7F"/>
    <w:rsid w:val="00AE6F13"/>
    <w:rsid w:val="00AF0818"/>
    <w:rsid w:val="00AF3F9D"/>
    <w:rsid w:val="00AF60F9"/>
    <w:rsid w:val="00AF7359"/>
    <w:rsid w:val="00B06863"/>
    <w:rsid w:val="00B10179"/>
    <w:rsid w:val="00B106C7"/>
    <w:rsid w:val="00B10CA9"/>
    <w:rsid w:val="00B1292D"/>
    <w:rsid w:val="00B15631"/>
    <w:rsid w:val="00B15E8C"/>
    <w:rsid w:val="00B16095"/>
    <w:rsid w:val="00B17F1A"/>
    <w:rsid w:val="00B216F0"/>
    <w:rsid w:val="00B23397"/>
    <w:rsid w:val="00B23D1A"/>
    <w:rsid w:val="00B25163"/>
    <w:rsid w:val="00B31328"/>
    <w:rsid w:val="00B324B1"/>
    <w:rsid w:val="00B34F13"/>
    <w:rsid w:val="00B35D17"/>
    <w:rsid w:val="00B363EC"/>
    <w:rsid w:val="00B4020C"/>
    <w:rsid w:val="00B405D4"/>
    <w:rsid w:val="00B43457"/>
    <w:rsid w:val="00B43FF3"/>
    <w:rsid w:val="00B50AC4"/>
    <w:rsid w:val="00B5110E"/>
    <w:rsid w:val="00B53338"/>
    <w:rsid w:val="00B555AF"/>
    <w:rsid w:val="00B650B7"/>
    <w:rsid w:val="00B6710B"/>
    <w:rsid w:val="00B717B7"/>
    <w:rsid w:val="00B723E8"/>
    <w:rsid w:val="00B77F99"/>
    <w:rsid w:val="00B878B9"/>
    <w:rsid w:val="00B91CA3"/>
    <w:rsid w:val="00B94A93"/>
    <w:rsid w:val="00B94D4E"/>
    <w:rsid w:val="00BA020E"/>
    <w:rsid w:val="00BA7A9F"/>
    <w:rsid w:val="00BB393B"/>
    <w:rsid w:val="00BB4F00"/>
    <w:rsid w:val="00BC0E04"/>
    <w:rsid w:val="00BC24CC"/>
    <w:rsid w:val="00BC390C"/>
    <w:rsid w:val="00BC4492"/>
    <w:rsid w:val="00BC58D7"/>
    <w:rsid w:val="00BD01E1"/>
    <w:rsid w:val="00BD18C9"/>
    <w:rsid w:val="00BD262C"/>
    <w:rsid w:val="00BE06CF"/>
    <w:rsid w:val="00BE2DAA"/>
    <w:rsid w:val="00BE3645"/>
    <w:rsid w:val="00BE3D4B"/>
    <w:rsid w:val="00BE72D9"/>
    <w:rsid w:val="00BF21DE"/>
    <w:rsid w:val="00BF2CD0"/>
    <w:rsid w:val="00C00421"/>
    <w:rsid w:val="00C02673"/>
    <w:rsid w:val="00C06EED"/>
    <w:rsid w:val="00C0715F"/>
    <w:rsid w:val="00C11118"/>
    <w:rsid w:val="00C11F5E"/>
    <w:rsid w:val="00C1346C"/>
    <w:rsid w:val="00C13623"/>
    <w:rsid w:val="00C14E75"/>
    <w:rsid w:val="00C15323"/>
    <w:rsid w:val="00C1705B"/>
    <w:rsid w:val="00C20336"/>
    <w:rsid w:val="00C20D0C"/>
    <w:rsid w:val="00C232D2"/>
    <w:rsid w:val="00C236EE"/>
    <w:rsid w:val="00C26247"/>
    <w:rsid w:val="00C3096B"/>
    <w:rsid w:val="00C314FA"/>
    <w:rsid w:val="00C3351F"/>
    <w:rsid w:val="00C34AAE"/>
    <w:rsid w:val="00C34D87"/>
    <w:rsid w:val="00C35FF5"/>
    <w:rsid w:val="00C36416"/>
    <w:rsid w:val="00C37BBD"/>
    <w:rsid w:val="00C4035B"/>
    <w:rsid w:val="00C438B2"/>
    <w:rsid w:val="00C45E64"/>
    <w:rsid w:val="00C46410"/>
    <w:rsid w:val="00C46C4A"/>
    <w:rsid w:val="00C53C73"/>
    <w:rsid w:val="00C55E67"/>
    <w:rsid w:val="00C60B3A"/>
    <w:rsid w:val="00C653D9"/>
    <w:rsid w:val="00C66C36"/>
    <w:rsid w:val="00C710EF"/>
    <w:rsid w:val="00C722A7"/>
    <w:rsid w:val="00C741BD"/>
    <w:rsid w:val="00C74F29"/>
    <w:rsid w:val="00C84E2A"/>
    <w:rsid w:val="00C850DD"/>
    <w:rsid w:val="00C85B2A"/>
    <w:rsid w:val="00C87C6D"/>
    <w:rsid w:val="00C87F4E"/>
    <w:rsid w:val="00C93278"/>
    <w:rsid w:val="00C94B58"/>
    <w:rsid w:val="00C96CDE"/>
    <w:rsid w:val="00CA0794"/>
    <w:rsid w:val="00CA60C1"/>
    <w:rsid w:val="00CB3BDB"/>
    <w:rsid w:val="00CB79AF"/>
    <w:rsid w:val="00CC38A6"/>
    <w:rsid w:val="00CC4378"/>
    <w:rsid w:val="00CC6739"/>
    <w:rsid w:val="00CC7632"/>
    <w:rsid w:val="00CD1878"/>
    <w:rsid w:val="00CD2830"/>
    <w:rsid w:val="00CD3790"/>
    <w:rsid w:val="00CD5B7A"/>
    <w:rsid w:val="00CD6FEA"/>
    <w:rsid w:val="00CE37EE"/>
    <w:rsid w:val="00CE5B15"/>
    <w:rsid w:val="00CE5D85"/>
    <w:rsid w:val="00CF5953"/>
    <w:rsid w:val="00D001DC"/>
    <w:rsid w:val="00D010BB"/>
    <w:rsid w:val="00D019DA"/>
    <w:rsid w:val="00D02524"/>
    <w:rsid w:val="00D048B8"/>
    <w:rsid w:val="00D0585F"/>
    <w:rsid w:val="00D05B0F"/>
    <w:rsid w:val="00D060DF"/>
    <w:rsid w:val="00D06379"/>
    <w:rsid w:val="00D11F98"/>
    <w:rsid w:val="00D1209B"/>
    <w:rsid w:val="00D15822"/>
    <w:rsid w:val="00D15CDC"/>
    <w:rsid w:val="00D2582D"/>
    <w:rsid w:val="00D26436"/>
    <w:rsid w:val="00D27C0A"/>
    <w:rsid w:val="00D32ABF"/>
    <w:rsid w:val="00D43286"/>
    <w:rsid w:val="00D45245"/>
    <w:rsid w:val="00D4788F"/>
    <w:rsid w:val="00D47E43"/>
    <w:rsid w:val="00D50B73"/>
    <w:rsid w:val="00D52B0A"/>
    <w:rsid w:val="00D53002"/>
    <w:rsid w:val="00D544B7"/>
    <w:rsid w:val="00D54DE7"/>
    <w:rsid w:val="00D5567F"/>
    <w:rsid w:val="00D6166B"/>
    <w:rsid w:val="00D63B16"/>
    <w:rsid w:val="00D63F38"/>
    <w:rsid w:val="00D645B5"/>
    <w:rsid w:val="00D6460B"/>
    <w:rsid w:val="00D650B2"/>
    <w:rsid w:val="00D66DAC"/>
    <w:rsid w:val="00D71A77"/>
    <w:rsid w:val="00D73144"/>
    <w:rsid w:val="00D76A20"/>
    <w:rsid w:val="00D77D20"/>
    <w:rsid w:val="00D818B3"/>
    <w:rsid w:val="00D8191C"/>
    <w:rsid w:val="00D82196"/>
    <w:rsid w:val="00D83004"/>
    <w:rsid w:val="00D83AB0"/>
    <w:rsid w:val="00D8561D"/>
    <w:rsid w:val="00D85B21"/>
    <w:rsid w:val="00D872A3"/>
    <w:rsid w:val="00D87441"/>
    <w:rsid w:val="00D8780C"/>
    <w:rsid w:val="00D87E7D"/>
    <w:rsid w:val="00D93E9C"/>
    <w:rsid w:val="00D96329"/>
    <w:rsid w:val="00D97EC3"/>
    <w:rsid w:val="00DA0BD5"/>
    <w:rsid w:val="00DA1882"/>
    <w:rsid w:val="00DA55A5"/>
    <w:rsid w:val="00DA5DFE"/>
    <w:rsid w:val="00DB020A"/>
    <w:rsid w:val="00DB3879"/>
    <w:rsid w:val="00DC1B68"/>
    <w:rsid w:val="00DC5C89"/>
    <w:rsid w:val="00DC7F58"/>
    <w:rsid w:val="00DD0487"/>
    <w:rsid w:val="00DD4009"/>
    <w:rsid w:val="00DD5734"/>
    <w:rsid w:val="00DD5E7A"/>
    <w:rsid w:val="00DD69D9"/>
    <w:rsid w:val="00DE0A33"/>
    <w:rsid w:val="00DE1198"/>
    <w:rsid w:val="00DE3697"/>
    <w:rsid w:val="00DE4937"/>
    <w:rsid w:val="00DE4D09"/>
    <w:rsid w:val="00DE76B3"/>
    <w:rsid w:val="00DE7A06"/>
    <w:rsid w:val="00DF00B4"/>
    <w:rsid w:val="00DF1351"/>
    <w:rsid w:val="00DF336B"/>
    <w:rsid w:val="00DF3C5B"/>
    <w:rsid w:val="00DF4080"/>
    <w:rsid w:val="00DF603F"/>
    <w:rsid w:val="00DF6F22"/>
    <w:rsid w:val="00E016D2"/>
    <w:rsid w:val="00E02EE5"/>
    <w:rsid w:val="00E04C94"/>
    <w:rsid w:val="00E15EC6"/>
    <w:rsid w:val="00E16B77"/>
    <w:rsid w:val="00E22FB2"/>
    <w:rsid w:val="00E23120"/>
    <w:rsid w:val="00E24D2C"/>
    <w:rsid w:val="00E2541C"/>
    <w:rsid w:val="00E254E9"/>
    <w:rsid w:val="00E263CE"/>
    <w:rsid w:val="00E30319"/>
    <w:rsid w:val="00E30783"/>
    <w:rsid w:val="00E322DA"/>
    <w:rsid w:val="00E330A2"/>
    <w:rsid w:val="00E41B7E"/>
    <w:rsid w:val="00E42CD8"/>
    <w:rsid w:val="00E4333B"/>
    <w:rsid w:val="00E448D6"/>
    <w:rsid w:val="00E501E8"/>
    <w:rsid w:val="00E5294F"/>
    <w:rsid w:val="00E52A18"/>
    <w:rsid w:val="00E5332E"/>
    <w:rsid w:val="00E5350A"/>
    <w:rsid w:val="00E54FB9"/>
    <w:rsid w:val="00E560EE"/>
    <w:rsid w:val="00E5666D"/>
    <w:rsid w:val="00E56C73"/>
    <w:rsid w:val="00E57355"/>
    <w:rsid w:val="00E57A39"/>
    <w:rsid w:val="00E645DB"/>
    <w:rsid w:val="00E64D98"/>
    <w:rsid w:val="00E666E1"/>
    <w:rsid w:val="00E6780B"/>
    <w:rsid w:val="00E67F36"/>
    <w:rsid w:val="00E74EE6"/>
    <w:rsid w:val="00E74F9D"/>
    <w:rsid w:val="00E76A55"/>
    <w:rsid w:val="00E80884"/>
    <w:rsid w:val="00E813D6"/>
    <w:rsid w:val="00E815B2"/>
    <w:rsid w:val="00E84879"/>
    <w:rsid w:val="00E86B6B"/>
    <w:rsid w:val="00E86E59"/>
    <w:rsid w:val="00E86EA7"/>
    <w:rsid w:val="00E91EF3"/>
    <w:rsid w:val="00E96382"/>
    <w:rsid w:val="00EA1331"/>
    <w:rsid w:val="00EA151B"/>
    <w:rsid w:val="00EA2E29"/>
    <w:rsid w:val="00EA63E8"/>
    <w:rsid w:val="00EB39CA"/>
    <w:rsid w:val="00EB4F60"/>
    <w:rsid w:val="00EB598A"/>
    <w:rsid w:val="00EC01B1"/>
    <w:rsid w:val="00EC6C87"/>
    <w:rsid w:val="00ED2CF7"/>
    <w:rsid w:val="00ED3311"/>
    <w:rsid w:val="00ED6781"/>
    <w:rsid w:val="00ED6931"/>
    <w:rsid w:val="00EE1431"/>
    <w:rsid w:val="00EE156D"/>
    <w:rsid w:val="00EE3E4B"/>
    <w:rsid w:val="00EF0F15"/>
    <w:rsid w:val="00EF1CC5"/>
    <w:rsid w:val="00F0017B"/>
    <w:rsid w:val="00F00C21"/>
    <w:rsid w:val="00F01D7A"/>
    <w:rsid w:val="00F07651"/>
    <w:rsid w:val="00F1249A"/>
    <w:rsid w:val="00F12CE0"/>
    <w:rsid w:val="00F14906"/>
    <w:rsid w:val="00F15493"/>
    <w:rsid w:val="00F1574E"/>
    <w:rsid w:val="00F170D8"/>
    <w:rsid w:val="00F2038B"/>
    <w:rsid w:val="00F20B62"/>
    <w:rsid w:val="00F226DE"/>
    <w:rsid w:val="00F242C1"/>
    <w:rsid w:val="00F2618B"/>
    <w:rsid w:val="00F27283"/>
    <w:rsid w:val="00F2729D"/>
    <w:rsid w:val="00F3153D"/>
    <w:rsid w:val="00F31CB6"/>
    <w:rsid w:val="00F34883"/>
    <w:rsid w:val="00F35072"/>
    <w:rsid w:val="00F40F05"/>
    <w:rsid w:val="00F40F68"/>
    <w:rsid w:val="00F4193B"/>
    <w:rsid w:val="00F43A51"/>
    <w:rsid w:val="00F46DDA"/>
    <w:rsid w:val="00F4746A"/>
    <w:rsid w:val="00F533C7"/>
    <w:rsid w:val="00F53A6B"/>
    <w:rsid w:val="00F53FAC"/>
    <w:rsid w:val="00F543FA"/>
    <w:rsid w:val="00F55B70"/>
    <w:rsid w:val="00F55C39"/>
    <w:rsid w:val="00F62143"/>
    <w:rsid w:val="00F75E07"/>
    <w:rsid w:val="00F7620C"/>
    <w:rsid w:val="00F77D07"/>
    <w:rsid w:val="00F80A37"/>
    <w:rsid w:val="00F82426"/>
    <w:rsid w:val="00F8323A"/>
    <w:rsid w:val="00F84A33"/>
    <w:rsid w:val="00F85734"/>
    <w:rsid w:val="00F863D0"/>
    <w:rsid w:val="00F869B9"/>
    <w:rsid w:val="00F86F16"/>
    <w:rsid w:val="00F914AE"/>
    <w:rsid w:val="00F92075"/>
    <w:rsid w:val="00F92987"/>
    <w:rsid w:val="00F92D65"/>
    <w:rsid w:val="00F92E8E"/>
    <w:rsid w:val="00FA0397"/>
    <w:rsid w:val="00FA1BB9"/>
    <w:rsid w:val="00FA2764"/>
    <w:rsid w:val="00FA6172"/>
    <w:rsid w:val="00FA699C"/>
    <w:rsid w:val="00FB0283"/>
    <w:rsid w:val="00FB407F"/>
    <w:rsid w:val="00FB533B"/>
    <w:rsid w:val="00FB6A69"/>
    <w:rsid w:val="00FC052C"/>
    <w:rsid w:val="00FC1294"/>
    <w:rsid w:val="00FC2534"/>
    <w:rsid w:val="00FC35E5"/>
    <w:rsid w:val="00FC51CD"/>
    <w:rsid w:val="00FC5D74"/>
    <w:rsid w:val="00FC7FD5"/>
    <w:rsid w:val="00FD3854"/>
    <w:rsid w:val="00FD4090"/>
    <w:rsid w:val="00FD487B"/>
    <w:rsid w:val="00FD5760"/>
    <w:rsid w:val="00FD7EB6"/>
    <w:rsid w:val="00FE0116"/>
    <w:rsid w:val="00FE0149"/>
    <w:rsid w:val="00FE414E"/>
    <w:rsid w:val="00FE486A"/>
    <w:rsid w:val="00FE5FE2"/>
    <w:rsid w:val="00FE61D7"/>
    <w:rsid w:val="00FE7643"/>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CE8A"/>
  <w15:chartTrackingRefBased/>
  <w15:docId w15:val="{4CA65548-680A-49F4-AE8A-83F4E7B6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paragraph" w:customStyle="1" w:styleId="tv213">
    <w:name w:val="tv213"/>
    <w:basedOn w:val="Normal"/>
    <w:rsid w:val="009D2E5C"/>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B533B"/>
    <w:rPr>
      <w:color w:val="954F72" w:themeColor="followedHyperlink"/>
      <w:u w:val="single"/>
    </w:rPr>
  </w:style>
  <w:style w:type="paragraph" w:styleId="EndnoteText">
    <w:name w:val="endnote text"/>
    <w:basedOn w:val="Normal"/>
    <w:link w:val="EndnoteTextChar"/>
    <w:uiPriority w:val="99"/>
    <w:semiHidden/>
    <w:unhideWhenUsed/>
    <w:rsid w:val="00C741BD"/>
    <w:rPr>
      <w:sz w:val="20"/>
      <w:szCs w:val="20"/>
    </w:rPr>
  </w:style>
  <w:style w:type="character" w:customStyle="1" w:styleId="EndnoteTextChar">
    <w:name w:val="Endnote Text Char"/>
    <w:basedOn w:val="DefaultParagraphFont"/>
    <w:link w:val="EndnoteText"/>
    <w:uiPriority w:val="99"/>
    <w:semiHidden/>
    <w:rsid w:val="00C741BD"/>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C741BD"/>
    <w:rPr>
      <w:vertAlign w:val="superscript"/>
    </w:rPr>
  </w:style>
  <w:style w:type="paragraph" w:customStyle="1" w:styleId="naisc">
    <w:name w:val="naisc"/>
    <w:basedOn w:val="Normal"/>
    <w:rsid w:val="005D77C7"/>
    <w:pPr>
      <w:spacing w:before="75" w:after="75"/>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1326395542">
      <w:bodyDiv w:val="1"/>
      <w:marLeft w:val="0"/>
      <w:marRight w:val="0"/>
      <w:marTop w:val="0"/>
      <w:marBottom w:val="0"/>
      <w:divBdr>
        <w:top w:val="none" w:sz="0" w:space="0" w:color="auto"/>
        <w:left w:val="none" w:sz="0" w:space="0" w:color="auto"/>
        <w:bottom w:val="none" w:sz="0" w:space="0" w:color="auto"/>
        <w:right w:val="none" w:sz="0" w:space="0" w:color="auto"/>
      </w:divBdr>
      <w:divsChild>
        <w:div w:id="1845123527">
          <w:marLeft w:val="0"/>
          <w:marRight w:val="0"/>
          <w:marTop w:val="0"/>
          <w:marBottom w:val="0"/>
          <w:divBdr>
            <w:top w:val="none" w:sz="0" w:space="0" w:color="auto"/>
            <w:left w:val="none" w:sz="0" w:space="0" w:color="auto"/>
            <w:bottom w:val="none" w:sz="0" w:space="0" w:color="auto"/>
            <w:right w:val="none" w:sz="0" w:space="0" w:color="auto"/>
          </w:divBdr>
        </w:div>
        <w:div w:id="2085099311">
          <w:marLeft w:val="0"/>
          <w:marRight w:val="0"/>
          <w:marTop w:val="0"/>
          <w:marBottom w:val="0"/>
          <w:divBdr>
            <w:top w:val="none" w:sz="0" w:space="0" w:color="auto"/>
            <w:left w:val="none" w:sz="0" w:space="0" w:color="auto"/>
            <w:bottom w:val="none" w:sz="0" w:space="0" w:color="auto"/>
            <w:right w:val="none" w:sz="0" w:space="0" w:color="auto"/>
          </w:divBdr>
        </w:div>
      </w:divsChild>
    </w:div>
    <w:div w:id="1342243928">
      <w:bodyDiv w:val="1"/>
      <w:marLeft w:val="0"/>
      <w:marRight w:val="0"/>
      <w:marTop w:val="0"/>
      <w:marBottom w:val="0"/>
      <w:divBdr>
        <w:top w:val="none" w:sz="0" w:space="0" w:color="auto"/>
        <w:left w:val="none" w:sz="0" w:space="0" w:color="auto"/>
        <w:bottom w:val="none" w:sz="0" w:space="0" w:color="auto"/>
        <w:right w:val="none" w:sz="0" w:space="0" w:color="auto"/>
      </w:divBdr>
      <w:divsChild>
        <w:div w:id="575482829">
          <w:marLeft w:val="0"/>
          <w:marRight w:val="0"/>
          <w:marTop w:val="480"/>
          <w:marBottom w:val="240"/>
          <w:divBdr>
            <w:top w:val="none" w:sz="0" w:space="0" w:color="auto"/>
            <w:left w:val="none" w:sz="0" w:space="0" w:color="auto"/>
            <w:bottom w:val="none" w:sz="0" w:space="0" w:color="auto"/>
            <w:right w:val="none" w:sz="0" w:space="0" w:color="auto"/>
          </w:divBdr>
        </w:div>
        <w:div w:id="1531530588">
          <w:marLeft w:val="0"/>
          <w:marRight w:val="0"/>
          <w:marTop w:val="0"/>
          <w:marBottom w:val="567"/>
          <w:divBdr>
            <w:top w:val="none" w:sz="0" w:space="0" w:color="auto"/>
            <w:left w:val="none" w:sz="0" w:space="0" w:color="auto"/>
            <w:bottom w:val="none" w:sz="0" w:space="0" w:color="auto"/>
            <w:right w:val="none" w:sz="0" w:space="0" w:color="auto"/>
          </w:divBdr>
        </w:div>
      </w:divsChild>
    </w:div>
    <w:div w:id="1406683063">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830905350">
      <w:bodyDiv w:val="1"/>
      <w:marLeft w:val="0"/>
      <w:marRight w:val="0"/>
      <w:marTop w:val="0"/>
      <w:marBottom w:val="0"/>
      <w:divBdr>
        <w:top w:val="none" w:sz="0" w:space="0" w:color="auto"/>
        <w:left w:val="none" w:sz="0" w:space="0" w:color="auto"/>
        <w:bottom w:val="none" w:sz="0" w:space="0" w:color="auto"/>
        <w:right w:val="none" w:sz="0" w:space="0" w:color="auto"/>
      </w:divBdr>
    </w:div>
    <w:div w:id="20487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surin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4004-AD95-4F35-8857-F7C9619F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22208</Words>
  <Characters>12660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Elīna Usāre</dc:creator>
  <cp:keywords/>
  <dc:description/>
  <cp:lastModifiedBy>Inese Kašurina</cp:lastModifiedBy>
  <cp:revision>33</cp:revision>
  <cp:lastPrinted>2019-07-25T13:34:00Z</cp:lastPrinted>
  <dcterms:created xsi:type="dcterms:W3CDTF">2019-07-01T08:03:00Z</dcterms:created>
  <dcterms:modified xsi:type="dcterms:W3CDTF">2019-08-16T11:48:00Z</dcterms:modified>
</cp:coreProperties>
</file>