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B7092E" w14:textId="77777777" w:rsidR="000952B3" w:rsidRPr="00A556F1" w:rsidRDefault="00B650B7" w:rsidP="001351FC">
      <w:pPr>
        <w:jc w:val="center"/>
        <w:rPr>
          <w:b/>
        </w:rPr>
      </w:pPr>
      <w:r w:rsidRPr="00A556F1">
        <w:rPr>
          <w:b/>
        </w:rPr>
        <w:t xml:space="preserve">Ministru kabineta noteikumu </w:t>
      </w:r>
    </w:p>
    <w:p w14:paraId="58B7092F" w14:textId="77777777" w:rsidR="00E66E6D" w:rsidRPr="00A556F1" w:rsidRDefault="005308F9" w:rsidP="005308F9">
      <w:pPr>
        <w:jc w:val="center"/>
        <w:rPr>
          <w:b/>
        </w:rPr>
      </w:pPr>
      <w:r w:rsidRPr="00A556F1">
        <w:rPr>
          <w:b/>
        </w:rPr>
        <w:t xml:space="preserve"> </w:t>
      </w:r>
      <w:r w:rsidR="00B650B7" w:rsidRPr="00A556F1">
        <w:rPr>
          <w:b/>
        </w:rPr>
        <w:t>“</w:t>
      </w:r>
      <w:r w:rsidR="00BB393B" w:rsidRPr="00A556F1">
        <w:rPr>
          <w:b/>
        </w:rPr>
        <w:t>Grozījumi Ministru kabineta 2017. gada 6. jūnija noteikumos Nr. 315 “Darbības programmas “Izaugsme un nodarbinātība” 1.1.1. specifiskā atbalsta mērķa “Palielināt Latvijas zinātnisko institūciju pētniecisko un inovatīvo kapacitāti un spēju piesaistīt ārējo finansējumu, ieguldot cilvēkresursos un infrastruktūrā” 1.1.1.5. pasākuma “Atbalsts starptautiskās sadarbības projektiem pētniecībā un inovācijās” pirmās, otrās un trešās projektu iesniegumu atlases kārtas īstenošanas noteikumi”</w:t>
      </w:r>
      <w:r w:rsidR="0020262C" w:rsidRPr="00A556F1">
        <w:rPr>
          <w:b/>
        </w:rPr>
        <w:t>”</w:t>
      </w:r>
      <w:r w:rsidR="00BB393B" w:rsidRPr="00A556F1">
        <w:rPr>
          <w:b/>
        </w:rPr>
        <w:t xml:space="preserve"> </w:t>
      </w:r>
      <w:r w:rsidR="00E66E6D" w:rsidRPr="00A556F1">
        <w:rPr>
          <w:b/>
        </w:rPr>
        <w:t>projekta sākotnējās ietekmes novērtējuma ziņojums (anotācija)</w:t>
      </w:r>
    </w:p>
    <w:p w14:paraId="58B70930" w14:textId="77777777" w:rsidR="00AE1DA4" w:rsidRPr="00A556F1" w:rsidRDefault="00AE1DA4" w:rsidP="0015241F">
      <w:pPr>
        <w:jc w:val="center"/>
        <w:rPr>
          <w:b/>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3"/>
        <w:gridCol w:w="5987"/>
      </w:tblGrid>
      <w:tr w:rsidR="000506CD" w:rsidRPr="00A556F1" w14:paraId="58B70932" w14:textId="77777777" w:rsidTr="00DB3879">
        <w:tc>
          <w:tcPr>
            <w:tcW w:w="9180" w:type="dxa"/>
            <w:gridSpan w:val="2"/>
            <w:tcBorders>
              <w:top w:val="single" w:sz="4" w:space="0" w:color="auto"/>
              <w:left w:val="single" w:sz="4" w:space="0" w:color="auto"/>
              <w:bottom w:val="single" w:sz="4" w:space="0" w:color="auto"/>
              <w:right w:val="single" w:sz="4" w:space="0" w:color="auto"/>
            </w:tcBorders>
            <w:shd w:val="clear" w:color="auto" w:fill="auto"/>
            <w:hideMark/>
          </w:tcPr>
          <w:p w14:paraId="58B70931" w14:textId="77777777" w:rsidR="000952B3" w:rsidRPr="00A556F1" w:rsidRDefault="00B650B7" w:rsidP="001351FC">
            <w:pPr>
              <w:pStyle w:val="ListParagraph"/>
              <w:tabs>
                <w:tab w:val="left" w:pos="2268"/>
                <w:tab w:val="left" w:pos="2410"/>
              </w:tabs>
              <w:ind w:left="1080"/>
              <w:jc w:val="center"/>
              <w:rPr>
                <w:b/>
                <w:sz w:val="24"/>
                <w:szCs w:val="24"/>
                <w:lang w:eastAsia="en-US"/>
              </w:rPr>
            </w:pPr>
            <w:r w:rsidRPr="00A556F1">
              <w:rPr>
                <w:b/>
                <w:bCs/>
                <w:sz w:val="24"/>
                <w:szCs w:val="24"/>
              </w:rPr>
              <w:t>Tiesību akta projekta anotācijas kopsavilkums</w:t>
            </w:r>
          </w:p>
        </w:tc>
      </w:tr>
      <w:tr w:rsidR="00ED6931" w:rsidRPr="00A556F1" w14:paraId="58B70938" w14:textId="77777777" w:rsidTr="00DB3879">
        <w:tc>
          <w:tcPr>
            <w:tcW w:w="3193" w:type="dxa"/>
            <w:tcBorders>
              <w:top w:val="single" w:sz="4" w:space="0" w:color="auto"/>
              <w:left w:val="single" w:sz="4" w:space="0" w:color="auto"/>
              <w:bottom w:val="single" w:sz="4" w:space="0" w:color="auto"/>
              <w:right w:val="single" w:sz="4" w:space="0" w:color="auto"/>
            </w:tcBorders>
            <w:shd w:val="clear" w:color="auto" w:fill="auto"/>
          </w:tcPr>
          <w:p w14:paraId="58B70933" w14:textId="77777777" w:rsidR="000952B3" w:rsidRPr="00A556F1" w:rsidRDefault="00E471C8" w:rsidP="001351FC">
            <w:pPr>
              <w:tabs>
                <w:tab w:val="left" w:pos="1904"/>
              </w:tabs>
              <w:rPr>
                <w:lang w:eastAsia="en-US"/>
              </w:rPr>
            </w:pPr>
            <w:r w:rsidRPr="00A556F1">
              <w:t>Mērķis, risinājums un projekta spēkā stāšanās laiks (500 zīmes bez atstarpēm)</w:t>
            </w:r>
          </w:p>
        </w:tc>
        <w:tc>
          <w:tcPr>
            <w:tcW w:w="5987" w:type="dxa"/>
            <w:tcBorders>
              <w:top w:val="single" w:sz="4" w:space="0" w:color="auto"/>
              <w:left w:val="single" w:sz="4" w:space="0" w:color="auto"/>
              <w:bottom w:val="single" w:sz="4" w:space="0" w:color="auto"/>
              <w:right w:val="single" w:sz="4" w:space="0" w:color="auto"/>
            </w:tcBorders>
            <w:shd w:val="clear" w:color="auto" w:fill="auto"/>
            <w:vAlign w:val="center"/>
          </w:tcPr>
          <w:p w14:paraId="58B70934" w14:textId="247C6223" w:rsidR="00C012E4" w:rsidRPr="00A556F1" w:rsidRDefault="00E935C9" w:rsidP="00FE7643">
            <w:pPr>
              <w:jc w:val="both"/>
            </w:pPr>
            <w:r w:rsidRPr="00A556F1">
              <w:t>M</w:t>
            </w:r>
            <w:r w:rsidR="00A556F1">
              <w:t>inistru kabineta</w:t>
            </w:r>
            <w:r w:rsidR="00844AAA" w:rsidRPr="00A556F1">
              <w:t xml:space="preserve"> noteikumu projekts</w:t>
            </w:r>
            <w:r w:rsidR="00130088" w:rsidRPr="00A556F1">
              <w:t xml:space="preserve"> </w:t>
            </w:r>
            <w:r w:rsidR="00844AAA" w:rsidRPr="00A556F1">
              <w:t>sagatavots</w:t>
            </w:r>
            <w:r w:rsidR="00C012E4" w:rsidRPr="00A556F1">
              <w:t xml:space="preserve"> ar mērķi:</w:t>
            </w:r>
          </w:p>
          <w:p w14:paraId="58B70935" w14:textId="77777777" w:rsidR="0088165B" w:rsidRPr="00A556F1" w:rsidRDefault="0088165B" w:rsidP="00B27CD9">
            <w:pPr>
              <w:pStyle w:val="ListParagraph"/>
              <w:numPr>
                <w:ilvl w:val="0"/>
                <w:numId w:val="17"/>
              </w:numPr>
              <w:tabs>
                <w:tab w:val="left" w:pos="380"/>
              </w:tabs>
              <w:ind w:left="-45" w:firstLine="45"/>
              <w:jc w:val="both"/>
              <w:rPr>
                <w:sz w:val="24"/>
                <w:szCs w:val="24"/>
              </w:rPr>
            </w:pPr>
            <w:r w:rsidRPr="00A556F1">
              <w:rPr>
                <w:sz w:val="24"/>
                <w:szCs w:val="24"/>
              </w:rPr>
              <w:t>nodrošināt iespējami ātrāku programmā “Apvārsnis 2020” virs kvalitātes sliekšņa novērtētu, bet finansējumu nesaņēmušu projektu īstenošanas uzsākšanu</w:t>
            </w:r>
            <w:r w:rsidR="00B27CD9" w:rsidRPr="00A556F1">
              <w:rPr>
                <w:sz w:val="24"/>
                <w:szCs w:val="24"/>
              </w:rPr>
              <w:t xml:space="preserve"> </w:t>
            </w:r>
            <w:r w:rsidRPr="00A556F1">
              <w:rPr>
                <w:sz w:val="24"/>
                <w:szCs w:val="24"/>
              </w:rPr>
              <w:t>1.1.1.5.</w:t>
            </w:r>
            <w:r w:rsidR="00BE4AD6" w:rsidRPr="00A556F1">
              <w:rPr>
                <w:sz w:val="24"/>
                <w:szCs w:val="24"/>
              </w:rPr>
              <w:t> </w:t>
            </w:r>
            <w:r w:rsidRPr="00A556F1">
              <w:rPr>
                <w:sz w:val="24"/>
                <w:szCs w:val="24"/>
              </w:rPr>
              <w:t xml:space="preserve">pasākuma </w:t>
            </w:r>
            <w:r w:rsidR="005308F9" w:rsidRPr="00A556F1">
              <w:rPr>
                <w:sz w:val="24"/>
                <w:szCs w:val="24"/>
              </w:rPr>
              <w:t>“</w:t>
            </w:r>
            <w:r w:rsidRPr="00A556F1">
              <w:rPr>
                <w:sz w:val="24"/>
                <w:szCs w:val="24"/>
              </w:rPr>
              <w:t>Atbalsts starptautiskās sadarbības projektiem pētniecībā un inovācijās” treš</w:t>
            </w:r>
            <w:r w:rsidR="009D7AC4" w:rsidRPr="00A556F1">
              <w:rPr>
                <w:sz w:val="24"/>
                <w:szCs w:val="24"/>
              </w:rPr>
              <w:t>ajā</w:t>
            </w:r>
            <w:r w:rsidRPr="00A556F1">
              <w:rPr>
                <w:sz w:val="24"/>
                <w:szCs w:val="24"/>
              </w:rPr>
              <w:t xml:space="preserve"> projektu iesniegumu atlases kārt</w:t>
            </w:r>
            <w:r w:rsidR="00B27CD9" w:rsidRPr="00A556F1">
              <w:rPr>
                <w:sz w:val="24"/>
                <w:szCs w:val="24"/>
              </w:rPr>
              <w:t>ā, pārdalot finansējumu 1.1.1. SAM pasākumu ietvaros</w:t>
            </w:r>
            <w:r w:rsidRPr="00A556F1">
              <w:rPr>
                <w:sz w:val="24"/>
                <w:szCs w:val="24"/>
              </w:rPr>
              <w:t>;</w:t>
            </w:r>
          </w:p>
          <w:p w14:paraId="58B70936" w14:textId="77777777" w:rsidR="00C012E4" w:rsidRPr="00A556F1" w:rsidRDefault="00C012E4" w:rsidP="00B27CD9">
            <w:pPr>
              <w:pStyle w:val="ListParagraph"/>
              <w:numPr>
                <w:ilvl w:val="0"/>
                <w:numId w:val="17"/>
              </w:numPr>
              <w:tabs>
                <w:tab w:val="left" w:pos="380"/>
              </w:tabs>
              <w:ind w:left="-45" w:firstLine="45"/>
              <w:jc w:val="both"/>
              <w:rPr>
                <w:sz w:val="24"/>
                <w:szCs w:val="24"/>
              </w:rPr>
            </w:pPr>
            <w:r w:rsidRPr="00A556F1">
              <w:rPr>
                <w:sz w:val="24"/>
                <w:szCs w:val="24"/>
              </w:rPr>
              <w:t>pilnveidot normatīvo regulējumu.</w:t>
            </w:r>
          </w:p>
          <w:p w14:paraId="58B70937" w14:textId="52CDA24B" w:rsidR="0088165B" w:rsidRPr="00A556F1" w:rsidRDefault="00940C74" w:rsidP="00B63595">
            <w:pPr>
              <w:jc w:val="both"/>
              <w:rPr>
                <w:rFonts w:eastAsia="Times New Roman"/>
                <w:iCs/>
              </w:rPr>
            </w:pPr>
            <w:r>
              <w:rPr>
                <w:rFonts w:eastAsia="Times New Roman"/>
                <w:iCs/>
              </w:rPr>
              <w:t>Ministru kabine</w:t>
            </w:r>
            <w:r w:rsidR="00A556F1">
              <w:rPr>
                <w:rFonts w:eastAsia="Times New Roman"/>
                <w:iCs/>
              </w:rPr>
              <w:t>ta n</w:t>
            </w:r>
            <w:r w:rsidR="00B63595" w:rsidRPr="00A556F1">
              <w:rPr>
                <w:rFonts w:eastAsia="Times New Roman"/>
                <w:iCs/>
              </w:rPr>
              <w:t xml:space="preserve">oteikumu </w:t>
            </w:r>
            <w:r w:rsidR="00844AAA" w:rsidRPr="00A556F1">
              <w:rPr>
                <w:rFonts w:eastAsia="Times New Roman"/>
                <w:iCs/>
              </w:rPr>
              <w:t>projekts</w:t>
            </w:r>
            <w:r w:rsidR="00C012E4" w:rsidRPr="00A556F1">
              <w:rPr>
                <w:rFonts w:eastAsia="Times New Roman"/>
                <w:iCs/>
              </w:rPr>
              <w:t xml:space="preserve"> stāsies spēkā Oficiālo publikāciju un tiesiskās informācijas likumā noteiktajā kārtībā.</w:t>
            </w:r>
          </w:p>
        </w:tc>
      </w:tr>
    </w:tbl>
    <w:p w14:paraId="58B70939" w14:textId="77777777" w:rsidR="000952B3" w:rsidRPr="00A556F1" w:rsidRDefault="000952B3" w:rsidP="001351FC"/>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4"/>
        <w:gridCol w:w="2379"/>
        <w:gridCol w:w="5987"/>
      </w:tblGrid>
      <w:tr w:rsidR="000506CD" w:rsidRPr="00A556F1" w14:paraId="58B7093B" w14:textId="77777777" w:rsidTr="00151E21">
        <w:tc>
          <w:tcPr>
            <w:tcW w:w="9180" w:type="dxa"/>
            <w:gridSpan w:val="3"/>
            <w:tcBorders>
              <w:top w:val="single" w:sz="4" w:space="0" w:color="auto"/>
              <w:left w:val="single" w:sz="4" w:space="0" w:color="auto"/>
              <w:bottom w:val="single" w:sz="4" w:space="0" w:color="auto"/>
              <w:right w:val="single" w:sz="4" w:space="0" w:color="auto"/>
            </w:tcBorders>
            <w:shd w:val="clear" w:color="auto" w:fill="auto"/>
            <w:hideMark/>
          </w:tcPr>
          <w:p w14:paraId="58B7093A" w14:textId="77777777" w:rsidR="000952B3" w:rsidRPr="00A556F1" w:rsidRDefault="00B650B7" w:rsidP="001351FC">
            <w:pPr>
              <w:pStyle w:val="ListParagraph"/>
              <w:tabs>
                <w:tab w:val="left" w:pos="2268"/>
                <w:tab w:val="left" w:pos="2410"/>
              </w:tabs>
              <w:ind w:left="1080"/>
              <w:jc w:val="center"/>
              <w:rPr>
                <w:b/>
                <w:sz w:val="24"/>
                <w:szCs w:val="24"/>
                <w:lang w:eastAsia="en-US"/>
              </w:rPr>
            </w:pPr>
            <w:r w:rsidRPr="00A556F1">
              <w:rPr>
                <w:b/>
                <w:bCs/>
                <w:sz w:val="24"/>
                <w:szCs w:val="24"/>
              </w:rPr>
              <w:t>I. Tiesību akta projekta izstrādes nepieciešamība</w:t>
            </w:r>
          </w:p>
        </w:tc>
      </w:tr>
      <w:tr w:rsidR="000506CD" w:rsidRPr="00A556F1" w14:paraId="58B70940" w14:textId="77777777" w:rsidTr="00151E21">
        <w:tc>
          <w:tcPr>
            <w:tcW w:w="814" w:type="dxa"/>
            <w:tcBorders>
              <w:top w:val="single" w:sz="4" w:space="0" w:color="auto"/>
              <w:left w:val="single" w:sz="4" w:space="0" w:color="auto"/>
              <w:bottom w:val="single" w:sz="4" w:space="0" w:color="auto"/>
              <w:right w:val="single" w:sz="4" w:space="0" w:color="auto"/>
            </w:tcBorders>
            <w:shd w:val="clear" w:color="auto" w:fill="auto"/>
          </w:tcPr>
          <w:p w14:paraId="58B7093C" w14:textId="77777777" w:rsidR="000952B3" w:rsidRPr="00A556F1" w:rsidRDefault="00B650B7" w:rsidP="001351FC">
            <w:pPr>
              <w:jc w:val="center"/>
              <w:rPr>
                <w:lang w:eastAsia="en-US"/>
              </w:rPr>
            </w:pPr>
            <w:r w:rsidRPr="00A556F1">
              <w:t>1.</w:t>
            </w:r>
          </w:p>
        </w:tc>
        <w:tc>
          <w:tcPr>
            <w:tcW w:w="2379" w:type="dxa"/>
            <w:tcBorders>
              <w:top w:val="single" w:sz="4" w:space="0" w:color="auto"/>
              <w:left w:val="single" w:sz="4" w:space="0" w:color="auto"/>
              <w:bottom w:val="single" w:sz="4" w:space="0" w:color="auto"/>
              <w:right w:val="single" w:sz="4" w:space="0" w:color="auto"/>
            </w:tcBorders>
            <w:shd w:val="clear" w:color="auto" w:fill="auto"/>
          </w:tcPr>
          <w:p w14:paraId="58B7093D" w14:textId="77777777" w:rsidR="000952B3" w:rsidRPr="00A556F1" w:rsidRDefault="00B650B7" w:rsidP="001351FC">
            <w:pPr>
              <w:tabs>
                <w:tab w:val="left" w:pos="1904"/>
              </w:tabs>
              <w:rPr>
                <w:lang w:eastAsia="en-US"/>
              </w:rPr>
            </w:pPr>
            <w:r w:rsidRPr="00A556F1">
              <w:t>Pamatojums</w:t>
            </w:r>
          </w:p>
        </w:tc>
        <w:tc>
          <w:tcPr>
            <w:tcW w:w="5987" w:type="dxa"/>
            <w:tcBorders>
              <w:top w:val="single" w:sz="4" w:space="0" w:color="auto"/>
              <w:left w:val="single" w:sz="4" w:space="0" w:color="auto"/>
              <w:bottom w:val="single" w:sz="4" w:space="0" w:color="auto"/>
              <w:right w:val="single" w:sz="4" w:space="0" w:color="auto"/>
            </w:tcBorders>
            <w:shd w:val="clear" w:color="auto" w:fill="auto"/>
            <w:vAlign w:val="center"/>
          </w:tcPr>
          <w:p w14:paraId="58B7093E" w14:textId="45CD2687" w:rsidR="00722617" w:rsidRPr="00A556F1" w:rsidRDefault="00722617" w:rsidP="00722617">
            <w:pPr>
              <w:jc w:val="both"/>
              <w:rPr>
                <w:rFonts w:eastAsia="Times New Roman"/>
              </w:rPr>
            </w:pPr>
            <w:r w:rsidRPr="00A556F1">
              <w:rPr>
                <w:rFonts w:eastAsia="Times New Roman"/>
              </w:rPr>
              <w:t>Eiropas Savienības struktūrfondu un Kohēzijas fonda 2014.-2020.</w:t>
            </w:r>
            <w:r w:rsidR="009B6418">
              <w:rPr>
                <w:rFonts w:eastAsia="Times New Roman"/>
              </w:rPr>
              <w:t> </w:t>
            </w:r>
            <w:r w:rsidRPr="00A556F1">
              <w:rPr>
                <w:rFonts w:eastAsia="Times New Roman"/>
              </w:rPr>
              <w:t>gada plānošanas perioda vadības likuma 20.</w:t>
            </w:r>
            <w:r w:rsidR="005308F9" w:rsidRPr="00A556F1">
              <w:rPr>
                <w:rFonts w:eastAsia="Times New Roman"/>
              </w:rPr>
              <w:t> </w:t>
            </w:r>
            <w:r w:rsidRPr="00A556F1">
              <w:rPr>
                <w:rFonts w:eastAsia="Times New Roman"/>
              </w:rPr>
              <w:t>panta 6.</w:t>
            </w:r>
            <w:r w:rsidR="005308F9" w:rsidRPr="00A556F1">
              <w:rPr>
                <w:rFonts w:eastAsia="Times New Roman"/>
              </w:rPr>
              <w:t> </w:t>
            </w:r>
            <w:r w:rsidRPr="00A556F1">
              <w:rPr>
                <w:rFonts w:eastAsia="Times New Roman"/>
              </w:rPr>
              <w:t>un 13.</w:t>
            </w:r>
            <w:r w:rsidR="005308F9" w:rsidRPr="00A556F1">
              <w:rPr>
                <w:rFonts w:eastAsia="Times New Roman"/>
              </w:rPr>
              <w:t> </w:t>
            </w:r>
            <w:r w:rsidRPr="00A556F1">
              <w:rPr>
                <w:rFonts w:eastAsia="Times New Roman"/>
              </w:rPr>
              <w:t>punkts.</w:t>
            </w:r>
          </w:p>
          <w:p w14:paraId="58B7093F" w14:textId="77777777" w:rsidR="005C1803" w:rsidRPr="00A556F1" w:rsidRDefault="00722617" w:rsidP="00130088">
            <w:pPr>
              <w:jc w:val="both"/>
            </w:pPr>
            <w:r w:rsidRPr="00A556F1">
              <w:t>Izglītības un zinātnes ministrijas (turpmāk – I</w:t>
            </w:r>
            <w:r w:rsidR="00E935C9" w:rsidRPr="00A556F1">
              <w:t xml:space="preserve">ZM) iniciatīva, lai nodrošinātu darbības programmas </w:t>
            </w:r>
            <w:r w:rsidR="005308F9" w:rsidRPr="00A556F1">
              <w:t>“</w:t>
            </w:r>
            <w:r w:rsidR="00E935C9" w:rsidRPr="00A556F1">
              <w:t xml:space="preserve">Izaugsme un nodarbinātība” </w:t>
            </w:r>
            <w:r w:rsidRPr="00A556F1">
              <w:t xml:space="preserve">1.1.1.5. pasākuma </w:t>
            </w:r>
            <w:r w:rsidR="005308F9" w:rsidRPr="00A556F1">
              <w:t>“</w:t>
            </w:r>
            <w:r w:rsidR="00E935C9" w:rsidRPr="00A556F1">
              <w:t xml:space="preserve">Atbalsts starptautiskās sadarbības projektiem pētniecībā un inovācijās” (turpmāk – 1.1.1.5. pasākums) </w:t>
            </w:r>
            <w:r w:rsidRPr="00A556F1">
              <w:t>trešajai</w:t>
            </w:r>
            <w:r w:rsidR="00B27CD9" w:rsidRPr="00A556F1">
              <w:t xml:space="preserve"> projektu iesniegumu</w:t>
            </w:r>
            <w:r w:rsidRPr="00A556F1">
              <w:t xml:space="preserve"> atlases kārtai papildu finansējuma piešķiršanu.</w:t>
            </w:r>
          </w:p>
        </w:tc>
      </w:tr>
      <w:tr w:rsidR="000506CD" w:rsidRPr="00A556F1" w14:paraId="58B70966" w14:textId="77777777" w:rsidTr="00151E21">
        <w:tc>
          <w:tcPr>
            <w:tcW w:w="814" w:type="dxa"/>
            <w:tcBorders>
              <w:top w:val="single" w:sz="4" w:space="0" w:color="auto"/>
              <w:left w:val="single" w:sz="4" w:space="0" w:color="auto"/>
              <w:bottom w:val="single" w:sz="4" w:space="0" w:color="auto"/>
              <w:right w:val="single" w:sz="4" w:space="0" w:color="auto"/>
            </w:tcBorders>
            <w:shd w:val="clear" w:color="auto" w:fill="auto"/>
          </w:tcPr>
          <w:p w14:paraId="58B70941" w14:textId="77777777" w:rsidR="00055596" w:rsidRPr="00A556F1" w:rsidRDefault="00B650B7" w:rsidP="001351FC">
            <w:pPr>
              <w:jc w:val="center"/>
              <w:rPr>
                <w:lang w:eastAsia="en-US"/>
              </w:rPr>
            </w:pPr>
            <w:r w:rsidRPr="00A556F1">
              <w:t>2.</w:t>
            </w:r>
          </w:p>
        </w:tc>
        <w:tc>
          <w:tcPr>
            <w:tcW w:w="2379" w:type="dxa"/>
            <w:tcBorders>
              <w:top w:val="single" w:sz="4" w:space="0" w:color="auto"/>
              <w:left w:val="single" w:sz="4" w:space="0" w:color="auto"/>
              <w:bottom w:val="single" w:sz="4" w:space="0" w:color="auto"/>
              <w:right w:val="single" w:sz="4" w:space="0" w:color="auto"/>
            </w:tcBorders>
            <w:shd w:val="clear" w:color="auto" w:fill="auto"/>
          </w:tcPr>
          <w:p w14:paraId="58B70942" w14:textId="77777777" w:rsidR="00055596" w:rsidRPr="00A556F1" w:rsidRDefault="00B650B7" w:rsidP="001351FC">
            <w:pPr>
              <w:jc w:val="both"/>
              <w:rPr>
                <w:lang w:eastAsia="en-US"/>
              </w:rPr>
            </w:pPr>
            <w:r w:rsidRPr="00A556F1">
              <w:t xml:space="preserve">Pašreizējā situācija un problēmas, kuru risināšanai tiesību akta projekts izstrādāts, tiesiskā regulējuma mērķis un būtība </w:t>
            </w:r>
          </w:p>
        </w:tc>
        <w:tc>
          <w:tcPr>
            <w:tcW w:w="5987" w:type="dxa"/>
            <w:tcBorders>
              <w:top w:val="single" w:sz="4" w:space="0" w:color="auto"/>
              <w:left w:val="single" w:sz="4" w:space="0" w:color="auto"/>
              <w:bottom w:val="single" w:sz="4" w:space="0" w:color="auto"/>
              <w:right w:val="single" w:sz="4" w:space="0" w:color="auto"/>
            </w:tcBorders>
            <w:shd w:val="clear" w:color="auto" w:fill="auto"/>
          </w:tcPr>
          <w:p w14:paraId="58B70943" w14:textId="03A010BF" w:rsidR="00A54B04" w:rsidRPr="00A556F1" w:rsidRDefault="00722617" w:rsidP="00A54B04">
            <w:pPr>
              <w:jc w:val="both"/>
            </w:pPr>
            <w:r w:rsidRPr="00A556F1">
              <w:t xml:space="preserve">Ministru kabineta noteikumu </w:t>
            </w:r>
            <w:r w:rsidR="00257D45" w:rsidRPr="00A556F1">
              <w:t xml:space="preserve">projekts </w:t>
            </w:r>
            <w:r w:rsidRPr="00A556F1">
              <w:t>“Grozījumi Ministru kabineta 2017.</w:t>
            </w:r>
            <w:r w:rsidR="00F5669D" w:rsidRPr="00A556F1">
              <w:t> </w:t>
            </w:r>
            <w:r w:rsidR="00AC5216" w:rsidRPr="00A556F1">
              <w:t xml:space="preserve">gada 6. </w:t>
            </w:r>
            <w:r w:rsidRPr="00A556F1">
              <w:t>jūnija noteikumos Nr. 315 “Darbības programmas “Izaugsme un nodarbinātība” 1</w:t>
            </w:r>
            <w:r w:rsidR="000E5BD4" w:rsidRPr="00A556F1">
              <w:t xml:space="preserve">.1.1. specifiskā atbalsta mērķa </w:t>
            </w:r>
            <w:r w:rsidRPr="00A556F1">
              <w:t>“Palielināt Latvijas zinātnisko institūciju pētniecisko un inovatīvo kapacitāti un spēju piesaistīt ārējo finansējumu, ieguldot cilvēkresursos un infrastruktūrā” 1.1.1.5. pasākuma “Atbalsts starptautiskās sadarbības projektiem pētniecībā un inovācijās” pirmās, otrās un trešās projektu iesniegumu atlases</w:t>
            </w:r>
            <w:r w:rsidR="00E8357F" w:rsidRPr="00A556F1">
              <w:t xml:space="preserve"> kārtas īstenošanas noteikumi”” </w:t>
            </w:r>
            <w:r w:rsidR="00257D45" w:rsidRPr="00A556F1">
              <w:t xml:space="preserve">(turpmāk – </w:t>
            </w:r>
            <w:r w:rsidR="00D92D97" w:rsidRPr="00A556F1">
              <w:t>1.1.1.5. </w:t>
            </w:r>
            <w:r w:rsidR="00257D45" w:rsidRPr="00A556F1">
              <w:t xml:space="preserve">pasākuma noteikumu projekts) </w:t>
            </w:r>
            <w:r w:rsidR="00672FD6" w:rsidRPr="00A556F1">
              <w:t>izstrādāts</w:t>
            </w:r>
            <w:r w:rsidR="00D92D97" w:rsidRPr="00A556F1">
              <w:t>, lai 1.1.1.5. </w:t>
            </w:r>
            <w:r w:rsidRPr="00A556F1">
              <w:t xml:space="preserve">pasākuma trešajai projektu iesniegumu atlases kārtai piešķirtu papildu finansējumu </w:t>
            </w:r>
            <w:r w:rsidR="00F70F1F" w:rsidRPr="00A556F1">
              <w:t>Eiropas Savienības pētniecības un inovācijas pamat</w:t>
            </w:r>
            <w:r w:rsidRPr="00A556F1">
              <w:t xml:space="preserve">programmā </w:t>
            </w:r>
            <w:r w:rsidR="00D92D97" w:rsidRPr="00A556F1">
              <w:t xml:space="preserve">“Apvārsnis 2020” </w:t>
            </w:r>
            <w:r w:rsidR="00F70F1F">
              <w:t>(turpmāk – programma “</w:t>
            </w:r>
            <w:r w:rsidR="00F70F1F" w:rsidRPr="00A556F1">
              <w:t xml:space="preserve">Apvārsnis 2020”) </w:t>
            </w:r>
            <w:r w:rsidR="00D92D97" w:rsidRPr="00A556F1">
              <w:t xml:space="preserve">virs kvalitātes </w:t>
            </w:r>
            <w:r w:rsidRPr="00A556F1">
              <w:t>sliekšņa novērtētu, bet finansējumu nesaņēmušu zinātnisko institūciju projektu vai to daļu finansēšanai.</w:t>
            </w:r>
            <w:r w:rsidR="00A54B04" w:rsidRPr="00A556F1">
              <w:t xml:space="preserve"> Papildu finansējums nepieciešams, lai kompensētu 1.1.1.5. pasākumā plānoto snieguma rezerves finansējumu, kurš būs pieejams tikai pēc Eiropas Komisijas </w:t>
            </w:r>
            <w:r w:rsidR="00A54B04" w:rsidRPr="00A556F1">
              <w:lastRenderedPageBreak/>
              <w:t xml:space="preserve">lēmuma par prioritārajam virzienam “Pētniecība, tehnoloģiju attīstība un inovācijas” </w:t>
            </w:r>
            <w:r w:rsidR="00F5669D" w:rsidRPr="00A556F1">
              <w:rPr>
                <w:rFonts w:eastAsiaTheme="minorHAnsi"/>
              </w:rPr>
              <w:t xml:space="preserve">Eiropas Reģionālās attīstības fonda (turpmāk – </w:t>
            </w:r>
            <w:r w:rsidR="00A54B04" w:rsidRPr="00A556F1">
              <w:t>ERAF</w:t>
            </w:r>
            <w:r w:rsidR="00F5669D" w:rsidRPr="00A556F1">
              <w:t>)</w:t>
            </w:r>
            <w:r w:rsidR="00A54B04" w:rsidRPr="00A556F1">
              <w:t xml:space="preserve"> </w:t>
            </w:r>
            <w:r w:rsidR="00A54B04" w:rsidRPr="00A556F1">
              <w:rPr>
                <w:rFonts w:eastAsia="Times New Roman"/>
              </w:rPr>
              <w:t>noteiktā snieguma ietvara izpildi</w:t>
            </w:r>
            <w:r w:rsidR="00844AAA" w:rsidRPr="00A556F1">
              <w:rPr>
                <w:rFonts w:eastAsia="Times New Roman"/>
              </w:rPr>
              <w:t xml:space="preserve">, kā arī </w:t>
            </w:r>
            <w:r w:rsidR="00F70F1F">
              <w:rPr>
                <w:rFonts w:eastAsia="Times New Roman"/>
              </w:rPr>
              <w:t xml:space="preserve">lai </w:t>
            </w:r>
            <w:r w:rsidR="00844AAA" w:rsidRPr="00A556F1">
              <w:t xml:space="preserve">nodrošinātu iespējami ātrāku </w:t>
            </w:r>
            <w:r w:rsidR="00280576" w:rsidRPr="00A556F1">
              <w:t>programm</w:t>
            </w:r>
            <w:r w:rsidR="00F70F1F">
              <w:t>ā</w:t>
            </w:r>
            <w:r w:rsidR="00280576" w:rsidRPr="00A556F1">
              <w:t xml:space="preserve"> </w:t>
            </w:r>
            <w:r w:rsidR="00F70F1F">
              <w:t>“</w:t>
            </w:r>
            <w:r w:rsidR="00280576" w:rsidRPr="00A556F1">
              <w:t xml:space="preserve">Apvārsnis 2020” </w:t>
            </w:r>
            <w:r w:rsidR="00844AAA" w:rsidRPr="00A556F1">
              <w:t>virs kvalitātes sliekšņa novērtētu, bet finansējumu nesaņēmušu projektu īstenošanas uzsākšanu</w:t>
            </w:r>
            <w:r w:rsidR="00A54B04" w:rsidRPr="00A556F1">
              <w:rPr>
                <w:rFonts w:eastAsia="Times New Roman"/>
              </w:rPr>
              <w:t>.</w:t>
            </w:r>
          </w:p>
          <w:p w14:paraId="58B70944" w14:textId="2B5DF0FD" w:rsidR="00303EC5" w:rsidRPr="00166824" w:rsidRDefault="00303EC5" w:rsidP="00303EC5">
            <w:pPr>
              <w:jc w:val="both"/>
              <w:rPr>
                <w:rFonts w:eastAsia="Times New Roman"/>
              </w:rPr>
            </w:pPr>
            <w:r w:rsidRPr="00A556F1">
              <w:rPr>
                <w:rFonts w:eastAsia="Times New Roman"/>
              </w:rPr>
              <w:t>1.1.1.5. pasākuma noteikumu projekts paredz precizēt M</w:t>
            </w:r>
            <w:r w:rsidR="00F5669D" w:rsidRPr="00A556F1">
              <w:rPr>
                <w:rFonts w:eastAsia="Times New Roman"/>
              </w:rPr>
              <w:t>inistru kabineta 2017. gada 6. jūnija</w:t>
            </w:r>
            <w:r w:rsidRPr="00A556F1">
              <w:rPr>
                <w:rFonts w:eastAsia="Times New Roman"/>
              </w:rPr>
              <w:t xml:space="preserve"> noteikumu Nr. 315</w:t>
            </w:r>
            <w:r w:rsidR="00F5669D" w:rsidRPr="00A556F1">
              <w:rPr>
                <w:rFonts w:eastAsia="Times New Roman"/>
              </w:rPr>
              <w:t xml:space="preserve"> </w:t>
            </w:r>
            <w:r w:rsidR="00F5669D" w:rsidRPr="00A556F1">
              <w:rPr>
                <w:rFonts w:eastAsia="Times New Roman"/>
                <w:bCs/>
              </w:rPr>
              <w:t>“Darbības programmas “Izaugsme un nodarbinātība” 1.1.1. specifiskā atbalsta mērķa “Palielināt Latvijas zinātnisko institūciju pētniecisko un inovatīvo kapacitāti un spēju piesaistīt ārējo finansējumu, ieguldot cilvēkresursos un infrastruktūrā” 1.1.1.5. pasākuma “Atbalsts starptautiskās sadarbības projektiem pētniecībā un inovācijās” pirmās, otrās un trešās projektu iesniegumu atlases kārtas īstenošanas noteikumi”</w:t>
            </w:r>
            <w:r w:rsidRPr="00A556F1">
              <w:rPr>
                <w:rFonts w:eastAsia="Times New Roman"/>
              </w:rPr>
              <w:t xml:space="preserve"> </w:t>
            </w:r>
            <w:r w:rsidR="00F5669D" w:rsidRPr="00A556F1">
              <w:rPr>
                <w:rFonts w:eastAsia="Times New Roman"/>
              </w:rPr>
              <w:t xml:space="preserve">(turpmāk – MK noteikumi Nr. 315) </w:t>
            </w:r>
            <w:r w:rsidRPr="00A556F1">
              <w:rPr>
                <w:rFonts w:eastAsia="Times New Roman"/>
              </w:rPr>
              <w:t xml:space="preserve">7., 9., 57. un 58. </w:t>
            </w:r>
            <w:r w:rsidRPr="00166824">
              <w:rPr>
                <w:rFonts w:eastAsia="Times New Roman"/>
              </w:rPr>
              <w:t>punkta redakciju, lai nodrošinātu 1.1.1.5.</w:t>
            </w:r>
            <w:r w:rsidR="00F5669D" w:rsidRPr="00166824">
              <w:rPr>
                <w:rFonts w:eastAsia="Times New Roman"/>
              </w:rPr>
              <w:t> </w:t>
            </w:r>
            <w:r w:rsidRPr="00166824">
              <w:rPr>
                <w:rFonts w:eastAsia="Times New Roman"/>
              </w:rPr>
              <w:t xml:space="preserve">pasākuma trešajai </w:t>
            </w:r>
            <w:r w:rsidR="00B27CD9" w:rsidRPr="00166824">
              <w:rPr>
                <w:rFonts w:eastAsia="Times New Roman"/>
              </w:rPr>
              <w:t xml:space="preserve">projektu iesniegumu </w:t>
            </w:r>
            <w:r w:rsidRPr="00166824">
              <w:rPr>
                <w:rFonts w:eastAsia="Times New Roman"/>
              </w:rPr>
              <w:t>atlases kārtai papildu finansējuma piešķiršanu</w:t>
            </w:r>
            <w:r w:rsidR="00844AAA" w:rsidRPr="00166824">
              <w:rPr>
                <w:rFonts w:eastAsia="Times New Roman"/>
                <w:bCs/>
              </w:rPr>
              <w:t xml:space="preserve"> un</w:t>
            </w:r>
            <w:r w:rsidRPr="00166824">
              <w:rPr>
                <w:rFonts w:eastAsia="Times New Roman"/>
              </w:rPr>
              <w:t xml:space="preserve"> </w:t>
            </w:r>
            <w:r w:rsidRPr="00166824">
              <w:t>veikt attiecīgus tehniskus precizēju</w:t>
            </w:r>
            <w:r w:rsidR="00F5064B">
              <w:t xml:space="preserve">mus MK noteikumu Nr. 315 </w:t>
            </w:r>
            <w:r w:rsidRPr="00166824">
              <w:t>16., 38., 39. un 40.</w:t>
            </w:r>
            <w:r w:rsidR="00F5669D" w:rsidRPr="00166824">
              <w:t> </w:t>
            </w:r>
            <w:r w:rsidRPr="00166824">
              <w:t>punkta redakcijā. Minētie grozījumi paredz precizēt finansējuma apmēra, kas pieejams pirms Eiropas Komisijas lēmuma par</w:t>
            </w:r>
            <w:r w:rsidRPr="00A556F1">
              <w:t xml:space="preserve"> prioritārajam virzienam “Pētniecība, tehnoloģiju attīstība un inovācijas” ERAF</w:t>
            </w:r>
            <w:r w:rsidR="00E9733D" w:rsidRPr="00A556F1">
              <w:t xml:space="preserve"> </w:t>
            </w:r>
            <w:r w:rsidRPr="00A556F1">
              <w:t>noteiktā snieguma ietvara izpildi</w:t>
            </w:r>
            <w:r w:rsidR="00F5669D" w:rsidRPr="00A556F1">
              <w:t>, pieejamības periodu 1.1.1.5. pasākuma ietvaros</w:t>
            </w:r>
            <w:r w:rsidR="003A2E74" w:rsidRPr="00A556F1">
              <w:t>, kā</w:t>
            </w:r>
            <w:r w:rsidR="00844AAA" w:rsidRPr="00A556F1">
              <w:t xml:space="preserve"> arī papildināt MK noteikumus Nr. 315 ar 24.</w:t>
            </w:r>
            <w:r w:rsidR="00844AAA" w:rsidRPr="00A556F1">
              <w:rPr>
                <w:vertAlign w:val="superscript"/>
              </w:rPr>
              <w:t>1</w:t>
            </w:r>
            <w:r w:rsidR="00844AAA" w:rsidRPr="00A556F1">
              <w:t xml:space="preserve"> un 62.</w:t>
            </w:r>
            <w:r w:rsidR="00844AAA" w:rsidRPr="00A556F1">
              <w:rPr>
                <w:vertAlign w:val="superscript"/>
              </w:rPr>
              <w:t>1</w:t>
            </w:r>
            <w:r w:rsidR="00844AAA" w:rsidRPr="00A556F1">
              <w:t xml:space="preserve"> punktu</w:t>
            </w:r>
            <w:r w:rsidR="00A6487D" w:rsidRPr="00A556F1">
              <w:t xml:space="preserve">, kas precizē atbalsta </w:t>
            </w:r>
            <w:r w:rsidR="00A6487D" w:rsidRPr="00166824">
              <w:t>piešķiršanas brīdi</w:t>
            </w:r>
            <w:r w:rsidR="003A2E74" w:rsidRPr="00166824">
              <w:t xml:space="preserve"> ar saimniecisku darbību saistīta projekta īstenošanai</w:t>
            </w:r>
            <w:r w:rsidR="00A6487D" w:rsidRPr="00166824">
              <w:t>.</w:t>
            </w:r>
            <w:r w:rsidR="00844AAA" w:rsidRPr="00166824">
              <w:t xml:space="preserve"> </w:t>
            </w:r>
          </w:p>
          <w:p w14:paraId="58B70945" w14:textId="582F84A6" w:rsidR="00303EC5" w:rsidRPr="00A556F1" w:rsidRDefault="00A10DA2" w:rsidP="00303EC5">
            <w:pPr>
              <w:jc w:val="both"/>
              <w:rPr>
                <w:rFonts w:eastAsia="Times New Roman"/>
              </w:rPr>
            </w:pPr>
            <w:r w:rsidRPr="00166824">
              <w:t xml:space="preserve">Vienlaikus </w:t>
            </w:r>
            <w:r w:rsidR="00672FD6" w:rsidRPr="00166824">
              <w:t xml:space="preserve">ar grozījumiem </w:t>
            </w:r>
            <w:r w:rsidR="007E02D8" w:rsidRPr="00166824">
              <w:rPr>
                <w:rFonts w:eastAsia="Times New Roman"/>
              </w:rPr>
              <w:t>MK noteikumos Nr. 315 IZM virza</w:t>
            </w:r>
            <w:r w:rsidR="00672FD6" w:rsidRPr="00166824">
              <w:rPr>
                <w:rFonts w:eastAsia="Times New Roman"/>
              </w:rPr>
              <w:t xml:space="preserve"> </w:t>
            </w:r>
            <w:r w:rsidR="00F70F1F" w:rsidRPr="00166824">
              <w:rPr>
                <w:rFonts w:eastAsia="Times New Roman"/>
              </w:rPr>
              <w:t xml:space="preserve">izskatīšanai Ministru kabinetā arī </w:t>
            </w:r>
            <w:r w:rsidR="00672FD6" w:rsidRPr="00166824">
              <w:t xml:space="preserve">Ministru kabineta noteikumu projektu “Grozījumi Ministru kabineta 2018. gada 16. janvāra noteikumos Nr. 41 “Darbības programmas “Izaugsme un nodarbinātība” 1.1.1. specifiskā atbalsta mērķa “Palielināt Latvijas zinātnisko institūciju pētniecisko un inovatīvo kapacitāti un spēju piesaistīt ārējo finansējumu, ieguldot cilvēkresursos un infrastruktūrā” 1.1.1.3. pasākuma “Inovāciju granti studentiem” īstenošanas noteikumi” (turpmāk – 1.1.1.3. pasākuma noteikumu projekts), kas paredz veikt </w:t>
            </w:r>
            <w:r w:rsidR="00303EC5" w:rsidRPr="00166824">
              <w:t>precizējumus M</w:t>
            </w:r>
            <w:r w:rsidR="00BB787D" w:rsidRPr="00166824">
              <w:t xml:space="preserve">inistru kabineta 2018. gada 16. janvāra </w:t>
            </w:r>
            <w:r w:rsidR="00303EC5" w:rsidRPr="00166824">
              <w:t xml:space="preserve">noteikumu Nr. 41 </w:t>
            </w:r>
            <w:r w:rsidR="00BB787D" w:rsidRPr="00166824">
              <w:rPr>
                <w:rFonts w:eastAsia="Times New Roman"/>
                <w:bCs/>
              </w:rPr>
              <w:t>“Darbības programmas “Izaugsme un nodarbinātība” 1.1.1. specifiskā atbalsta mērķa “Palielināt Latvijas zinātnisko institūciju pētniecisko un inovatīvo kapacitāti un spēju piesaistīt ārējo finansējumu, ieguldot cilvēkresursos un infrastruktūrā” 1.1.1.3. pasākuma “Inovāciju granti studentiem” īstenošanas noteikumi”</w:t>
            </w:r>
            <w:r w:rsidR="00BB787D" w:rsidRPr="00166824">
              <w:t xml:space="preserve"> </w:t>
            </w:r>
            <w:r w:rsidR="000326E7" w:rsidRPr="00166824">
              <w:t xml:space="preserve">(turpmāk – MK noteikumi Nr. 41) </w:t>
            </w:r>
            <w:r w:rsidR="00303EC5" w:rsidRPr="00166824">
              <w:t>9. un 10.</w:t>
            </w:r>
            <w:r w:rsidR="00F70F1F" w:rsidRPr="00166824">
              <w:t> </w:t>
            </w:r>
            <w:r w:rsidR="00303EC5" w:rsidRPr="00166824">
              <w:t xml:space="preserve">punkta redakcijā, lai samazinātu 1.1.1.3. pasākumam </w:t>
            </w:r>
            <w:r w:rsidR="008F5B70" w:rsidRPr="00166824">
              <w:t xml:space="preserve">“Inovāciju granti studentiem” (turpmāk – 1.1.1.3. pasākums) </w:t>
            </w:r>
            <w:r w:rsidR="00303EC5" w:rsidRPr="00166824">
              <w:t>pieejamā ERAF finansējuma apmēru</w:t>
            </w:r>
            <w:r w:rsidR="00707925" w:rsidRPr="00166824">
              <w:t>, kā arī 7.1.2. apakšpunkta redakcijā, precizējot iznākuma rādītāja</w:t>
            </w:r>
            <w:r w:rsidR="00707925" w:rsidRPr="00A556F1">
              <w:t xml:space="preserve"> vērtību</w:t>
            </w:r>
            <w:r w:rsidR="00303EC5" w:rsidRPr="00A556F1">
              <w:t xml:space="preserve">. Attiecīgi tiek precizēts kopējā attiecināmā finansējuma un privātā līdzfinansējuma apmērs, lai nodrošinātu MK noteikumu Nr. 41 11. punktā </w:t>
            </w:r>
            <w:r w:rsidR="00303EC5" w:rsidRPr="00A556F1">
              <w:lastRenderedPageBreak/>
              <w:t>noteikto ERAF un privātā līdzfinansējuma atbalsta intensitāti. Vienlaikus minētie grozījumi paredz precizēt finansējuma apmēra, kas pieejams pirms Eiropas Komisijas lēmuma par prioritārajam virzienam “Pētniecība, tehnoloģiju attīstība un inovācijas” ERAF noteiktā snieguma ietvara izpildi</w:t>
            </w:r>
            <w:r w:rsidR="000326E7" w:rsidRPr="00A556F1">
              <w:t xml:space="preserve">, pieejamības periodu 1.1.1.3. </w:t>
            </w:r>
            <w:r w:rsidR="008F5B70">
              <w:t xml:space="preserve">pasākuma </w:t>
            </w:r>
            <w:r w:rsidR="000326E7" w:rsidRPr="00A556F1">
              <w:t>ietvaros</w:t>
            </w:r>
            <w:r w:rsidR="00303EC5" w:rsidRPr="00A556F1">
              <w:t>.</w:t>
            </w:r>
          </w:p>
          <w:p w14:paraId="58B70946" w14:textId="77777777" w:rsidR="00AA10B6" w:rsidRPr="00A556F1" w:rsidRDefault="00AA10B6" w:rsidP="00303EC5">
            <w:pPr>
              <w:jc w:val="both"/>
            </w:pPr>
          </w:p>
          <w:p w14:paraId="58B70947" w14:textId="1A5160A5" w:rsidR="00F93CBC" w:rsidRPr="00A556F1" w:rsidRDefault="005603AF" w:rsidP="00D92D97">
            <w:pPr>
              <w:jc w:val="both"/>
            </w:pPr>
            <w:r w:rsidRPr="00A556F1">
              <w:rPr>
                <w:b/>
              </w:rPr>
              <w:t>1.1.1.5. pasākumu īsteno</w:t>
            </w:r>
            <w:r w:rsidRPr="00A556F1">
              <w:t xml:space="preserve"> trīs projektu iesniegumu atlases kārtās. Pirmo </w:t>
            </w:r>
            <w:r w:rsidR="00310A25" w:rsidRPr="00A556F1">
              <w:t xml:space="preserve">un otro </w:t>
            </w:r>
            <w:r w:rsidRPr="00A556F1">
              <w:t xml:space="preserve">kārtu īsteno ierobežotas projektu iesniegumu atlases veidā. Pirmās </w:t>
            </w:r>
            <w:r w:rsidR="001F5636">
              <w:t xml:space="preserve">projektu iesniegumu atlases </w:t>
            </w:r>
            <w:r w:rsidRPr="00A556F1">
              <w:t xml:space="preserve">kārtas ietvaros finansējuma saņēmējs ir </w:t>
            </w:r>
            <w:r w:rsidR="00E8357F" w:rsidRPr="00A556F1">
              <w:t>IZM</w:t>
            </w:r>
            <w:r w:rsidR="007764C0" w:rsidRPr="00A556F1">
              <w:t xml:space="preserve"> </w:t>
            </w:r>
            <w:r w:rsidRPr="00A556F1">
              <w:t>un Valsts izglītības attīstības aģentūra, kas īsteno nacionāla mēroga pasākumus starptautiskās sadarbības snieguma palielināšanai</w:t>
            </w:r>
            <w:r w:rsidR="00604BCD" w:rsidRPr="00A556F1">
              <w:t xml:space="preserve">. </w:t>
            </w:r>
            <w:r w:rsidR="00310A25" w:rsidRPr="00A556F1">
              <w:t xml:space="preserve">Otrās </w:t>
            </w:r>
            <w:r w:rsidR="00E94657">
              <w:t xml:space="preserve">projektu iesniegumu atlases </w:t>
            </w:r>
            <w:r w:rsidR="00310A25" w:rsidRPr="00A556F1">
              <w:t xml:space="preserve">kārtas </w:t>
            </w:r>
            <w:r w:rsidR="00604BCD" w:rsidRPr="00A556F1">
              <w:rPr>
                <w:iCs/>
              </w:rPr>
              <w:t>ietvaros finansējuma saņēmēji ir 18 Latvijas zinātniskās institūcijas, kas īsteno institucionāla līmeņa pasākumus. Savukārt t</w:t>
            </w:r>
            <w:r w:rsidR="001144E3" w:rsidRPr="00A556F1">
              <w:t>rešo</w:t>
            </w:r>
            <w:r w:rsidR="00B27CD9" w:rsidRPr="00A556F1">
              <w:t xml:space="preserve"> </w:t>
            </w:r>
            <w:r w:rsidR="009D7AC4" w:rsidRPr="00A556F1">
              <w:t xml:space="preserve">projektu </w:t>
            </w:r>
            <w:r w:rsidR="00B27CD9" w:rsidRPr="00A556F1">
              <w:t>iesniegumu atlases</w:t>
            </w:r>
            <w:r w:rsidR="001144E3" w:rsidRPr="00A556F1">
              <w:t xml:space="preserve"> kārtu īsteno atklātas projektu iesniegumu atlases </w:t>
            </w:r>
            <w:r w:rsidR="00604BCD" w:rsidRPr="00A556F1">
              <w:t>veidā</w:t>
            </w:r>
            <w:r w:rsidR="00310A25" w:rsidRPr="00A556F1">
              <w:t xml:space="preserve">, un </w:t>
            </w:r>
            <w:bookmarkStart w:id="0" w:name="_Ref474930834"/>
            <w:r w:rsidR="00310A25" w:rsidRPr="00A556F1">
              <w:t>f</w:t>
            </w:r>
            <w:r w:rsidR="00604BCD" w:rsidRPr="00A556F1">
              <w:t>inansējuma saņēmēji</w:t>
            </w:r>
            <w:r w:rsidR="001144E3" w:rsidRPr="00A556F1">
              <w:t xml:space="preserve"> ir zinātniskā</w:t>
            </w:r>
            <w:r w:rsidR="00604BCD" w:rsidRPr="00A556F1">
              <w:t>s</w:t>
            </w:r>
            <w:r w:rsidR="001144E3" w:rsidRPr="00A556F1">
              <w:t xml:space="preserve"> institūcija</w:t>
            </w:r>
            <w:r w:rsidR="00604BCD" w:rsidRPr="00A556F1">
              <w:t>s</w:t>
            </w:r>
            <w:r w:rsidR="001144E3" w:rsidRPr="00A556F1">
              <w:t xml:space="preserve">, kas </w:t>
            </w:r>
            <w:r w:rsidR="00604BCD" w:rsidRPr="00A556F1">
              <w:t xml:space="preserve">var iesniegt </w:t>
            </w:r>
            <w:r w:rsidR="001144E3" w:rsidRPr="00A556F1">
              <w:t xml:space="preserve">vienu </w:t>
            </w:r>
            <w:r w:rsidR="001144E3" w:rsidRPr="00A556F1">
              <w:rPr>
                <w:bCs/>
                <w:spacing w:val="-2"/>
              </w:rPr>
              <w:t xml:space="preserve">vai vairākus </w:t>
            </w:r>
            <w:r w:rsidR="001144E3" w:rsidRPr="00A556F1">
              <w:t>projektu iesniegumus</w:t>
            </w:r>
            <w:bookmarkEnd w:id="0"/>
            <w:r w:rsidR="00604BCD" w:rsidRPr="00A556F1">
              <w:t>.</w:t>
            </w:r>
            <w:r w:rsidR="00257E24" w:rsidRPr="00A556F1">
              <w:t xml:space="preserve"> </w:t>
            </w:r>
            <w:r w:rsidR="00604BCD" w:rsidRPr="00A556F1">
              <w:t>Trešās</w:t>
            </w:r>
            <w:r w:rsidR="00B27CD9" w:rsidRPr="00A556F1">
              <w:t xml:space="preserve"> projektu iesniegumu atlases</w:t>
            </w:r>
            <w:r w:rsidR="00604BCD" w:rsidRPr="00A556F1">
              <w:t xml:space="preserve"> kārtas ietvaros atbalsts paredzēts programmas “Apvārsnis 2020” virs kvalitātes sliekšņa novērtētu, bet finansējumu nesaņēmušu zinātnisko institūciju projektu vai to daļu finansēšanai</w:t>
            </w:r>
            <w:r w:rsidR="00F93CBC" w:rsidRPr="00A556F1">
              <w:t>, kas, sākot ar 2015. gada 1. janvāri, ir iesniegti</w:t>
            </w:r>
            <w:r w:rsidR="00604BCD" w:rsidRPr="00A556F1">
              <w:t xml:space="preserve"> MK noteikumu Nr. 315 53. punktā </w:t>
            </w:r>
            <w:r w:rsidR="002B70B6" w:rsidRPr="00A556F1">
              <w:t>noteiktajās</w:t>
            </w:r>
            <w:r w:rsidR="00604BCD" w:rsidRPr="00A556F1">
              <w:t xml:space="preserve"> apakšprogrammās.</w:t>
            </w:r>
            <w:r w:rsidR="00F93CBC" w:rsidRPr="00A556F1">
              <w:t xml:space="preserve"> </w:t>
            </w:r>
          </w:p>
          <w:p w14:paraId="58B70948" w14:textId="77777777" w:rsidR="001144E3" w:rsidRPr="00A556F1" w:rsidRDefault="00257E24" w:rsidP="008D7E2C">
            <w:pPr>
              <w:pStyle w:val="tv213"/>
              <w:shd w:val="clear" w:color="auto" w:fill="FFFFFF"/>
              <w:spacing w:before="0" w:beforeAutospacing="0" w:after="0" w:afterAutospacing="0"/>
              <w:jc w:val="both"/>
            </w:pPr>
            <w:r w:rsidRPr="00A556F1">
              <w:t>Trešajā</w:t>
            </w:r>
            <w:r w:rsidR="00B27CD9" w:rsidRPr="00A556F1">
              <w:t xml:space="preserve"> projektu iesniegumu</w:t>
            </w:r>
            <w:r w:rsidRPr="00A556F1">
              <w:t xml:space="preserve"> atlases kārtā </w:t>
            </w:r>
            <w:r w:rsidR="001144E3" w:rsidRPr="00A556F1">
              <w:t xml:space="preserve">projektu īstenošanai plānotais kopējais </w:t>
            </w:r>
            <w:r w:rsidR="003F7624" w:rsidRPr="00A556F1">
              <w:t xml:space="preserve">publiskais </w:t>
            </w:r>
            <w:r w:rsidR="001144E3" w:rsidRPr="00A556F1">
              <w:t xml:space="preserve">attiecināmais finansējums </w:t>
            </w:r>
            <w:r w:rsidR="002B70B6" w:rsidRPr="00A556F1">
              <w:t xml:space="preserve">atbilstoši MK noteikumu Nr. 315 57. punktā noteiktajam </w:t>
            </w:r>
            <w:r w:rsidR="001144E3" w:rsidRPr="00A556F1">
              <w:t xml:space="preserve">ir 9 300 000 </w:t>
            </w:r>
            <w:r w:rsidR="001144E3" w:rsidRPr="00A556F1">
              <w:rPr>
                <w:i/>
              </w:rPr>
              <w:t>euro</w:t>
            </w:r>
            <w:r w:rsidR="001144E3" w:rsidRPr="00A556F1">
              <w:t xml:space="preserve">, ko veido </w:t>
            </w:r>
            <w:r w:rsidR="00E9733D" w:rsidRPr="00A556F1">
              <w:t>ERAF</w:t>
            </w:r>
            <w:r w:rsidR="00373840" w:rsidRPr="00A556F1">
              <w:t xml:space="preserve"> finansējums </w:t>
            </w:r>
            <w:r w:rsidR="00E9733D" w:rsidRPr="00A556F1">
              <w:t>7 </w:t>
            </w:r>
            <w:r w:rsidR="001144E3" w:rsidRPr="00A556F1">
              <w:t xml:space="preserve">905 000 </w:t>
            </w:r>
            <w:r w:rsidR="001144E3" w:rsidRPr="00A556F1">
              <w:rPr>
                <w:i/>
              </w:rPr>
              <w:t>euro</w:t>
            </w:r>
            <w:r w:rsidR="001144E3" w:rsidRPr="00A556F1">
              <w:t xml:space="preserve"> un valsts budžeta līdzfinansējums 1 395 000 </w:t>
            </w:r>
            <w:r w:rsidR="001144E3" w:rsidRPr="00A556F1">
              <w:rPr>
                <w:i/>
              </w:rPr>
              <w:t>euro</w:t>
            </w:r>
            <w:r w:rsidR="001144E3" w:rsidRPr="00A556F1">
              <w:t xml:space="preserve">. </w:t>
            </w:r>
          </w:p>
          <w:p w14:paraId="58B70949" w14:textId="77777777" w:rsidR="00F93CBC" w:rsidRPr="00A556F1" w:rsidRDefault="00604BCD" w:rsidP="008D7E2C">
            <w:pPr>
              <w:tabs>
                <w:tab w:val="left" w:pos="426"/>
                <w:tab w:val="left" w:pos="1134"/>
              </w:tabs>
              <w:jc w:val="both"/>
            </w:pPr>
            <w:r w:rsidRPr="00A556F1">
              <w:t xml:space="preserve">Lai </w:t>
            </w:r>
            <w:r w:rsidRPr="00166824">
              <w:t xml:space="preserve">slēgtu vienošanos vai līgumu par projekta īstenošanu, līdz 2018. gada 31. decembrim trešajā </w:t>
            </w:r>
            <w:r w:rsidR="00B27CD9" w:rsidRPr="00166824">
              <w:t xml:space="preserve">projektu iesniegumu </w:t>
            </w:r>
            <w:r w:rsidR="009D7AC4" w:rsidRPr="00166824">
              <w:t xml:space="preserve">atlases </w:t>
            </w:r>
            <w:r w:rsidRPr="00166824">
              <w:t>kārtā pieejamais kopējais publiskais attiecināmais finansējums ir 4 800 000 </w:t>
            </w:r>
            <w:r w:rsidRPr="00166824">
              <w:rPr>
                <w:bCs/>
                <w:i/>
              </w:rPr>
              <w:t>euro</w:t>
            </w:r>
            <w:r w:rsidRPr="00166824">
              <w:t xml:space="preserve">, ko veido </w:t>
            </w:r>
            <w:r w:rsidR="00373840" w:rsidRPr="00166824">
              <w:t>ERAF</w:t>
            </w:r>
            <w:r w:rsidRPr="00166824">
              <w:t xml:space="preserve"> finansējums – 4 080 000</w:t>
            </w:r>
            <w:r w:rsidRPr="00A556F1">
              <w:t> </w:t>
            </w:r>
            <w:r w:rsidRPr="00A556F1">
              <w:rPr>
                <w:i/>
              </w:rPr>
              <w:t>euro</w:t>
            </w:r>
            <w:r w:rsidRPr="00A556F1">
              <w:t xml:space="preserve"> un valsts budžeta līdzfinansējums – 720 000 </w:t>
            </w:r>
            <w:r w:rsidRPr="00A556F1">
              <w:rPr>
                <w:i/>
              </w:rPr>
              <w:t>euro</w:t>
            </w:r>
            <w:r w:rsidRPr="00A556F1">
              <w:t xml:space="preserve">. </w:t>
            </w:r>
          </w:p>
          <w:p w14:paraId="58B7094A" w14:textId="77777777" w:rsidR="00856841" w:rsidRPr="00A556F1" w:rsidRDefault="00856841" w:rsidP="00856841">
            <w:pPr>
              <w:jc w:val="both"/>
            </w:pPr>
            <w:r w:rsidRPr="00A556F1">
              <w:t xml:space="preserve">1.1.1.5. pasākuma trešā </w:t>
            </w:r>
            <w:r w:rsidR="00B27CD9" w:rsidRPr="00A556F1">
              <w:t xml:space="preserve">projektu iesniegumu </w:t>
            </w:r>
            <w:r w:rsidRPr="00A556F1">
              <w:t xml:space="preserve">atlases kārta tiek īstenota </w:t>
            </w:r>
            <w:r w:rsidR="00EC4F36" w:rsidRPr="00A556F1">
              <w:t>at</w:t>
            </w:r>
            <w:r w:rsidR="003F7624" w:rsidRPr="00A556F1">
              <w:t>klāta</w:t>
            </w:r>
            <w:r w:rsidR="00EC4F36" w:rsidRPr="00A556F1">
              <w:t xml:space="preserve"> konkursa veidā, tās </w:t>
            </w:r>
            <w:r w:rsidRPr="00A556F1">
              <w:t>ieviešana uzsākta 2017.</w:t>
            </w:r>
            <w:r w:rsidR="00310A25" w:rsidRPr="00A556F1">
              <w:t xml:space="preserve"> gada 24. oktobrī</w:t>
            </w:r>
            <w:r w:rsidR="00EC4F36" w:rsidRPr="00A556F1">
              <w:t xml:space="preserve"> </w:t>
            </w:r>
            <w:r w:rsidRPr="00A556F1">
              <w:t>un projektu iesniegumu iesniegšanas termiņš ir līdz 2021.</w:t>
            </w:r>
            <w:r w:rsidR="00EC4F36" w:rsidRPr="00A556F1">
              <w:t> </w:t>
            </w:r>
            <w:r w:rsidR="00310A25" w:rsidRPr="00A556F1">
              <w:t>gada 31.</w:t>
            </w:r>
            <w:r w:rsidR="003F7624" w:rsidRPr="00A556F1">
              <w:t> </w:t>
            </w:r>
            <w:r w:rsidR="00310A25" w:rsidRPr="00A556F1">
              <w:t>decembrim.</w:t>
            </w:r>
            <w:r w:rsidRPr="00A556F1">
              <w:t xml:space="preserve"> </w:t>
            </w:r>
          </w:p>
          <w:p w14:paraId="58B7094B" w14:textId="77777777" w:rsidR="00856841" w:rsidRPr="00A556F1" w:rsidRDefault="00310A25" w:rsidP="008D7E2C">
            <w:pPr>
              <w:tabs>
                <w:tab w:val="left" w:pos="426"/>
                <w:tab w:val="left" w:pos="1134"/>
              </w:tabs>
              <w:jc w:val="both"/>
            </w:pPr>
            <w:r w:rsidRPr="00A556F1">
              <w:t xml:space="preserve">Trešajai </w:t>
            </w:r>
            <w:r w:rsidR="00B27CD9" w:rsidRPr="00A556F1">
              <w:t xml:space="preserve">projektu iesniegumu </w:t>
            </w:r>
            <w:r w:rsidRPr="00A556F1">
              <w:t>a</w:t>
            </w:r>
            <w:r w:rsidR="00F93CBC" w:rsidRPr="00A556F1">
              <w:t>tlases kārtai noteiktais sasniedzamais iznākuma rādītājs ir</w:t>
            </w:r>
            <w:r w:rsidR="00470924" w:rsidRPr="00A556F1">
              <w:t xml:space="preserve"> </w:t>
            </w:r>
            <w:r w:rsidR="00373840" w:rsidRPr="00A556F1">
              <w:t xml:space="preserve">ERAF </w:t>
            </w:r>
            <w:r w:rsidR="00F93CBC" w:rsidRPr="00A556F1">
              <w:t xml:space="preserve">atbalstīti un virs kvalitātes sliekšņa novērtēti ne mazāk kā 15 programmas “Apvārsnis 2020” projektu pieteikumi. </w:t>
            </w:r>
          </w:p>
          <w:p w14:paraId="58B7094C" w14:textId="77777777" w:rsidR="00F93CBC" w:rsidRPr="00A556F1" w:rsidRDefault="00280576" w:rsidP="00F93CBC">
            <w:pPr>
              <w:jc w:val="both"/>
            </w:pPr>
            <w:r w:rsidRPr="00A556F1">
              <w:t>T</w:t>
            </w:r>
            <w:r w:rsidR="00310A25" w:rsidRPr="00A556F1">
              <w:t xml:space="preserve">rešajā </w:t>
            </w:r>
            <w:r w:rsidR="00B27CD9" w:rsidRPr="00A556F1">
              <w:t xml:space="preserve">projektu iesniegumu </w:t>
            </w:r>
            <w:r w:rsidR="00F93CBC" w:rsidRPr="00A556F1">
              <w:t>a</w:t>
            </w:r>
            <w:r w:rsidR="00BF3C09" w:rsidRPr="00A556F1">
              <w:t>tlases kārtā tiek īstenoti pieci</w:t>
            </w:r>
            <w:r w:rsidR="00F93CBC" w:rsidRPr="00A556F1">
              <w:t xml:space="preserve"> projekti</w:t>
            </w:r>
            <w:r w:rsidR="00B37972" w:rsidRPr="00A556F1">
              <w:rPr>
                <w:rStyle w:val="FootnoteReference"/>
              </w:rPr>
              <w:footnoteReference w:id="1"/>
            </w:r>
            <w:r w:rsidR="00F93CBC" w:rsidRPr="00A556F1">
              <w:t>:</w:t>
            </w:r>
          </w:p>
          <w:p w14:paraId="58B7094D" w14:textId="77777777" w:rsidR="00F93CBC" w:rsidRPr="00A556F1" w:rsidRDefault="00F93CBC" w:rsidP="00F93CBC">
            <w:pPr>
              <w:pStyle w:val="ListParagraph"/>
              <w:numPr>
                <w:ilvl w:val="0"/>
                <w:numId w:val="15"/>
              </w:numPr>
              <w:jc w:val="both"/>
              <w:rPr>
                <w:rFonts w:ascii="Arial" w:hAnsi="Arial" w:cs="Arial"/>
                <w:sz w:val="24"/>
                <w:szCs w:val="24"/>
                <w:shd w:val="clear" w:color="auto" w:fill="FFFFFF"/>
              </w:rPr>
            </w:pPr>
            <w:r w:rsidRPr="00A556F1">
              <w:rPr>
                <w:sz w:val="24"/>
                <w:szCs w:val="24"/>
              </w:rPr>
              <w:lastRenderedPageBreak/>
              <w:t>Latvijas Organiskās sintēzes institūta projekts “Fluorēti mazie cikli zāļu vielu konstruēšanai: Jaunu fluormetil</w:t>
            </w:r>
            <w:r w:rsidR="00B37972" w:rsidRPr="00A556F1">
              <w:rPr>
                <w:sz w:val="24"/>
                <w:szCs w:val="24"/>
              </w:rPr>
              <w:t xml:space="preserve">ēna pārneses reaģentu izstrāde”. </w:t>
            </w:r>
            <w:r w:rsidRPr="00A556F1">
              <w:rPr>
                <w:sz w:val="24"/>
                <w:szCs w:val="24"/>
              </w:rPr>
              <w:t>Atbalsts piešķirts Marijas Sklodovskas-Kirī stipendijas apakšprogrammas Eiropas stipendijas (</w:t>
            </w:r>
            <w:r w:rsidRPr="00A556F1">
              <w:rPr>
                <w:i/>
                <w:sz w:val="24"/>
                <w:szCs w:val="24"/>
              </w:rPr>
              <w:t>European Fellowship</w:t>
            </w:r>
            <w:r w:rsidRPr="00A556F1">
              <w:rPr>
                <w:sz w:val="24"/>
                <w:szCs w:val="24"/>
              </w:rPr>
              <w:t>) ietvaros iesniegta un virs kvalitātes sliekšņa novērtēta projekta īstenošanai;</w:t>
            </w:r>
          </w:p>
          <w:p w14:paraId="58B7094E" w14:textId="77777777" w:rsidR="00F93CBC" w:rsidRPr="00A556F1" w:rsidRDefault="00F93CBC" w:rsidP="00F93CBC">
            <w:pPr>
              <w:pStyle w:val="ListParagraph"/>
              <w:numPr>
                <w:ilvl w:val="0"/>
                <w:numId w:val="15"/>
              </w:numPr>
              <w:jc w:val="both"/>
              <w:rPr>
                <w:rFonts w:ascii="Arial" w:hAnsi="Arial" w:cs="Arial"/>
                <w:sz w:val="24"/>
                <w:szCs w:val="24"/>
                <w:shd w:val="clear" w:color="auto" w:fill="FFFFFF"/>
              </w:rPr>
            </w:pPr>
            <w:r w:rsidRPr="00A556F1">
              <w:rPr>
                <w:sz w:val="24"/>
                <w:szCs w:val="24"/>
              </w:rPr>
              <w:t>Latvijas Organiskās sintēzes institūta projekts “Aminoskābju funkcionalizēšana izmantojot C(sp3)-H saites aktivēšanas pieeju”. Atbalsts piešķirts Marijas Sklodovskas-Kirī stipendijas apakšprogrammas Eiropas stipendijas (</w:t>
            </w:r>
            <w:r w:rsidRPr="00A556F1">
              <w:rPr>
                <w:i/>
                <w:sz w:val="24"/>
                <w:szCs w:val="24"/>
              </w:rPr>
              <w:t>European Fellowship</w:t>
            </w:r>
            <w:r w:rsidRPr="00A556F1">
              <w:rPr>
                <w:sz w:val="24"/>
                <w:szCs w:val="24"/>
              </w:rPr>
              <w:t>) ietvaros iesniegta un virs kvalitātes sliekšņa novērtēta projekta īstenošanai;</w:t>
            </w:r>
          </w:p>
          <w:p w14:paraId="58B7094F" w14:textId="77777777" w:rsidR="00BF3C09" w:rsidRPr="00A556F1" w:rsidRDefault="00BF3C09" w:rsidP="00F93CBC">
            <w:pPr>
              <w:pStyle w:val="ListParagraph"/>
              <w:numPr>
                <w:ilvl w:val="0"/>
                <w:numId w:val="15"/>
              </w:numPr>
              <w:jc w:val="both"/>
              <w:rPr>
                <w:rFonts w:ascii="Arial" w:hAnsi="Arial" w:cs="Arial"/>
                <w:sz w:val="24"/>
                <w:szCs w:val="24"/>
                <w:shd w:val="clear" w:color="auto" w:fill="FFFFFF"/>
              </w:rPr>
            </w:pPr>
            <w:r w:rsidRPr="00A556F1">
              <w:rPr>
                <w:sz w:val="24"/>
                <w:szCs w:val="24"/>
              </w:rPr>
              <w:t>Latvijas Organiskās sintēzes institūta projekts “Hirālu /frustrated/ Luisa skābju pāru sintēze un pielietojums asimetriskajā katalīzē”. Atbalsts piešķirts Marijas Sklodovskas-Kirī stipendijas apakšprogrammas Eiropas stipendijas (</w:t>
            </w:r>
            <w:r w:rsidRPr="00A556F1">
              <w:rPr>
                <w:i/>
                <w:sz w:val="24"/>
                <w:szCs w:val="24"/>
              </w:rPr>
              <w:t>European Fellowship</w:t>
            </w:r>
            <w:r w:rsidRPr="00A556F1">
              <w:rPr>
                <w:sz w:val="24"/>
                <w:szCs w:val="24"/>
              </w:rPr>
              <w:t>) ietvaros iesniegta un virs kvalitātes sliekšņa novērtēta projekta īstenošanai;</w:t>
            </w:r>
          </w:p>
          <w:p w14:paraId="58B70950" w14:textId="77777777" w:rsidR="00F93CBC" w:rsidRPr="00A556F1" w:rsidRDefault="00F93CBC" w:rsidP="00542A12">
            <w:pPr>
              <w:pStyle w:val="ListParagraph"/>
              <w:numPr>
                <w:ilvl w:val="0"/>
                <w:numId w:val="15"/>
              </w:numPr>
              <w:jc w:val="both"/>
              <w:rPr>
                <w:rFonts w:ascii="Arial" w:hAnsi="Arial" w:cs="Arial"/>
                <w:sz w:val="24"/>
                <w:szCs w:val="24"/>
                <w:shd w:val="clear" w:color="auto" w:fill="FFFFFF"/>
              </w:rPr>
            </w:pPr>
            <w:r w:rsidRPr="00A556F1">
              <w:rPr>
                <w:sz w:val="24"/>
                <w:szCs w:val="24"/>
              </w:rPr>
              <w:t>Latvijas Universitātes projekts “Projekta “Kvantu algoritmi: no sarežģītības teorijas līdz eksperimentam” realizācija”. Atbalsts piešķirts Eiropas Zinātnes padomes (</w:t>
            </w:r>
            <w:r w:rsidRPr="00A556F1">
              <w:rPr>
                <w:i/>
                <w:sz w:val="24"/>
                <w:szCs w:val="24"/>
              </w:rPr>
              <w:t>European Research Council</w:t>
            </w:r>
            <w:r w:rsidRPr="00A556F1">
              <w:rPr>
                <w:sz w:val="24"/>
                <w:szCs w:val="24"/>
              </w:rPr>
              <w:t>) </w:t>
            </w:r>
            <w:r w:rsidR="00542A12" w:rsidRPr="00A556F1">
              <w:rPr>
                <w:i/>
                <w:iCs/>
                <w:sz w:val="24"/>
                <w:szCs w:val="24"/>
              </w:rPr>
              <w:t>Frontier Research</w:t>
            </w:r>
            <w:r w:rsidR="00542A12" w:rsidRPr="00A556F1">
              <w:rPr>
                <w:sz w:val="24"/>
                <w:szCs w:val="24"/>
              </w:rPr>
              <w:t xml:space="preserve"> grantu – </w:t>
            </w:r>
            <w:r w:rsidRPr="00A556F1">
              <w:rPr>
                <w:i/>
                <w:iCs/>
                <w:sz w:val="24"/>
                <w:szCs w:val="24"/>
              </w:rPr>
              <w:t>Advanced grants</w:t>
            </w:r>
            <w:r w:rsidRPr="00A556F1">
              <w:rPr>
                <w:sz w:val="24"/>
                <w:szCs w:val="24"/>
              </w:rPr>
              <w:t> (</w:t>
            </w:r>
            <w:r w:rsidRPr="00A556F1">
              <w:rPr>
                <w:i/>
                <w:sz w:val="24"/>
                <w:szCs w:val="24"/>
              </w:rPr>
              <w:t>ERC-AG</w:t>
            </w:r>
            <w:r w:rsidRPr="00A556F1">
              <w:rPr>
                <w:sz w:val="24"/>
                <w:szCs w:val="24"/>
              </w:rPr>
              <w:t>) ietvaros iesniegta un virs kvalitātes sliekšņa novērtēta projekta īstenošanai;</w:t>
            </w:r>
          </w:p>
          <w:p w14:paraId="58B70951" w14:textId="77777777" w:rsidR="00F93CBC" w:rsidRPr="00A556F1" w:rsidRDefault="00F93CBC" w:rsidP="00F93CBC">
            <w:pPr>
              <w:pStyle w:val="ListParagraph"/>
              <w:numPr>
                <w:ilvl w:val="0"/>
                <w:numId w:val="15"/>
              </w:numPr>
              <w:jc w:val="both"/>
              <w:rPr>
                <w:sz w:val="24"/>
                <w:szCs w:val="24"/>
              </w:rPr>
            </w:pPr>
            <w:r w:rsidRPr="00A556F1">
              <w:rPr>
                <w:sz w:val="24"/>
                <w:szCs w:val="24"/>
              </w:rPr>
              <w:t>Ventspils Augstskolas projekts “VSRC institucionālās un zinātniskās kapacitātes turpmākā attīstība”. Atbalsts piešķirts Izcilības izplatīšanas un dalības paplašināšanas (</w:t>
            </w:r>
            <w:r w:rsidRPr="00A556F1">
              <w:rPr>
                <w:i/>
                <w:sz w:val="24"/>
                <w:szCs w:val="24"/>
              </w:rPr>
              <w:t>Spreading Excellence and Widening Participation</w:t>
            </w:r>
            <w:r w:rsidRPr="00A556F1">
              <w:rPr>
                <w:sz w:val="24"/>
                <w:szCs w:val="24"/>
              </w:rPr>
              <w:t>) apakšprogrammas </w:t>
            </w:r>
            <w:r w:rsidRPr="00A556F1">
              <w:rPr>
                <w:i/>
                <w:sz w:val="24"/>
                <w:szCs w:val="24"/>
              </w:rPr>
              <w:t>ERA Chairs</w:t>
            </w:r>
            <w:r w:rsidRPr="00A556F1">
              <w:rPr>
                <w:sz w:val="24"/>
                <w:szCs w:val="24"/>
              </w:rPr>
              <w:t xml:space="preserve"> ietvaros iesniegta un virs kvalitātes sliekšņa novērtēta projekta īstenošanai.</w:t>
            </w:r>
          </w:p>
          <w:p w14:paraId="58B70952" w14:textId="533E1AA0" w:rsidR="00F93CBC" w:rsidRPr="00A556F1" w:rsidRDefault="00280576" w:rsidP="00F93CBC">
            <w:pPr>
              <w:jc w:val="both"/>
            </w:pPr>
            <w:r w:rsidRPr="00A556F1">
              <w:t>Iepriekš minēto projektu īstenošanai no treš</w:t>
            </w:r>
            <w:r w:rsidR="00A229DC">
              <w:t>ajai</w:t>
            </w:r>
            <w:r w:rsidRPr="00A556F1">
              <w:t xml:space="preserve"> </w:t>
            </w:r>
            <w:r w:rsidR="00B27CD9" w:rsidRPr="00A556F1">
              <w:t xml:space="preserve">projektu iesniegumu </w:t>
            </w:r>
            <w:r w:rsidR="00F93CBC" w:rsidRPr="00A556F1">
              <w:t xml:space="preserve">atlases </w:t>
            </w:r>
            <w:r w:rsidR="00B27CD9" w:rsidRPr="00A556F1">
              <w:t>kārta</w:t>
            </w:r>
            <w:r w:rsidR="003218D1">
              <w:t>i</w:t>
            </w:r>
            <w:r w:rsidR="00B27CD9" w:rsidRPr="00A556F1">
              <w:t xml:space="preserve"> </w:t>
            </w:r>
            <w:r w:rsidR="00F93CBC" w:rsidRPr="00A556F1">
              <w:t xml:space="preserve">pieejamā (līdz 2018. gada 31. decembrim) </w:t>
            </w:r>
            <w:r w:rsidR="00542A12" w:rsidRPr="00A556F1">
              <w:t xml:space="preserve">kopējā </w:t>
            </w:r>
            <w:r w:rsidR="00F93CBC" w:rsidRPr="00A556F1">
              <w:t xml:space="preserve">publiskā attiecināmā finansējuma ir </w:t>
            </w:r>
            <w:r w:rsidRPr="00A556F1">
              <w:t xml:space="preserve">uzņemtas saistības par </w:t>
            </w:r>
            <w:r w:rsidR="00102173" w:rsidRPr="00A556F1">
              <w:t>4 499 836,04</w:t>
            </w:r>
            <w:r w:rsidR="000242C4" w:rsidRPr="00A556F1">
              <w:t xml:space="preserve"> </w:t>
            </w:r>
            <w:r w:rsidR="000242C4" w:rsidRPr="00A556F1">
              <w:rPr>
                <w:i/>
              </w:rPr>
              <w:t>euro</w:t>
            </w:r>
            <w:r w:rsidR="000242C4" w:rsidRPr="00A556F1">
              <w:t xml:space="preserve"> (</w:t>
            </w:r>
            <w:r w:rsidR="00AD1F14" w:rsidRPr="00A556F1">
              <w:t>noslēgtas piecas vienošanās</w:t>
            </w:r>
            <w:r w:rsidR="00102173" w:rsidRPr="00A556F1">
              <w:t>)</w:t>
            </w:r>
            <w:r w:rsidR="00F93CBC" w:rsidRPr="00A556F1">
              <w:t>, atlase</w:t>
            </w:r>
            <w:r w:rsidR="00AD1F14" w:rsidRPr="00A556F1">
              <w:t xml:space="preserve">s kārtai pieejamais atlikums ir 300 163,96 </w:t>
            </w:r>
            <w:r w:rsidR="00AD1F14" w:rsidRPr="00A556F1">
              <w:rPr>
                <w:i/>
              </w:rPr>
              <w:t>euro</w:t>
            </w:r>
            <w:r w:rsidR="00F93CBC" w:rsidRPr="00A556F1">
              <w:t xml:space="preserve">.  </w:t>
            </w:r>
          </w:p>
          <w:p w14:paraId="58B70953" w14:textId="77777777" w:rsidR="00F93CBC" w:rsidRPr="00A556F1" w:rsidRDefault="00280576" w:rsidP="008D7E2C">
            <w:pPr>
              <w:tabs>
                <w:tab w:val="left" w:pos="426"/>
                <w:tab w:val="left" w:pos="1134"/>
              </w:tabs>
              <w:jc w:val="both"/>
            </w:pPr>
            <w:r w:rsidRPr="00A556F1">
              <w:t>2019. gada</w:t>
            </w:r>
            <w:r w:rsidR="009D7AC4" w:rsidRPr="00A556F1">
              <w:t xml:space="preserve"> 2. ceturksnī </w:t>
            </w:r>
            <w:hyperlink r:id="rId8" w:history="1">
              <w:r w:rsidR="00F93CBC" w:rsidRPr="00A556F1">
                <w:t>Kohēzijas politikas fondu vadības informācijas sistēmā 2014.-2020.</w:t>
              </w:r>
              <w:r w:rsidR="00470924" w:rsidRPr="00A556F1">
                <w:t xml:space="preserve"> </w:t>
              </w:r>
              <w:r w:rsidR="00F93CBC" w:rsidRPr="00A556F1">
                <w:t>gadam</w:t>
              </w:r>
            </w:hyperlink>
            <w:r w:rsidR="00F93CBC" w:rsidRPr="00A556F1">
              <w:t xml:space="preserve"> trešās</w:t>
            </w:r>
            <w:r w:rsidR="00B27CD9" w:rsidRPr="00A556F1">
              <w:t xml:space="preserve"> projektu iesniegumu</w:t>
            </w:r>
            <w:r w:rsidR="00F93CBC" w:rsidRPr="00A556F1">
              <w:t xml:space="preserve"> </w:t>
            </w:r>
            <w:r w:rsidR="00257E24" w:rsidRPr="00A556F1">
              <w:t xml:space="preserve">atlases </w:t>
            </w:r>
            <w:r w:rsidR="00683937" w:rsidRPr="00A556F1">
              <w:t>kārtas ietvaros ir iesniegt</w:t>
            </w:r>
            <w:r w:rsidR="009D7AC4" w:rsidRPr="00A556F1">
              <w:t>i</w:t>
            </w:r>
            <w:r w:rsidR="00683937" w:rsidRPr="00A556F1">
              <w:t xml:space="preserve"> </w:t>
            </w:r>
            <w:r w:rsidR="009D7AC4" w:rsidRPr="00A556F1">
              <w:t xml:space="preserve">divi </w:t>
            </w:r>
            <w:r w:rsidR="00F93CBC" w:rsidRPr="00A556F1">
              <w:t>p</w:t>
            </w:r>
            <w:r w:rsidR="00683937" w:rsidRPr="00A556F1">
              <w:t>rojekta iesniegum</w:t>
            </w:r>
            <w:r w:rsidR="009D7AC4" w:rsidRPr="00A556F1">
              <w:t>i</w:t>
            </w:r>
            <w:r w:rsidR="00683937" w:rsidRPr="00A556F1">
              <w:t>, kur</w:t>
            </w:r>
            <w:r w:rsidR="009D7AC4" w:rsidRPr="00A556F1">
              <w:t>i</w:t>
            </w:r>
            <w:r w:rsidR="00683937" w:rsidRPr="00A556F1">
              <w:t xml:space="preserve"> atrodas vērtēšanas proces</w:t>
            </w:r>
            <w:r w:rsidR="007B7B5E" w:rsidRPr="00A556F1">
              <w:t xml:space="preserve">ā </w:t>
            </w:r>
            <w:r w:rsidR="00F93CBC" w:rsidRPr="00A556F1">
              <w:t xml:space="preserve">(kopējais indikatīvi attiecināmais finansējums ir </w:t>
            </w:r>
            <w:r w:rsidR="003C096F" w:rsidRPr="00A556F1">
              <w:t xml:space="preserve">nepilni </w:t>
            </w:r>
            <w:r w:rsidR="007B7B5E" w:rsidRPr="00A556F1">
              <w:t>5</w:t>
            </w:r>
            <w:r w:rsidR="002B70B6" w:rsidRPr="00A556F1">
              <w:t xml:space="preserve"> milj. </w:t>
            </w:r>
            <w:r w:rsidR="00B37972" w:rsidRPr="00A556F1">
              <w:rPr>
                <w:i/>
              </w:rPr>
              <w:t>euro</w:t>
            </w:r>
            <w:r w:rsidR="00F93CBC" w:rsidRPr="00A556F1">
              <w:t xml:space="preserve">). Trešās </w:t>
            </w:r>
            <w:r w:rsidR="00B27CD9" w:rsidRPr="00A556F1">
              <w:t xml:space="preserve">projektu iesniegumu </w:t>
            </w:r>
            <w:r w:rsidR="00470924" w:rsidRPr="00A556F1">
              <w:t xml:space="preserve">atlases </w:t>
            </w:r>
            <w:r w:rsidR="00F93CBC" w:rsidRPr="00A556F1">
              <w:t xml:space="preserve">kārtas </w:t>
            </w:r>
            <w:r w:rsidR="00470924" w:rsidRPr="00A556F1">
              <w:t>ietvaros projektu iesniegumiem netiek veikta zinātniskās kvalitātes izvērtēšana, ņemot vērā</w:t>
            </w:r>
            <w:r w:rsidR="00542A12" w:rsidRPr="00A556F1">
              <w:t xml:space="preserve"> to</w:t>
            </w:r>
            <w:r w:rsidR="00470924" w:rsidRPr="00A556F1">
              <w:t>, ka projekta pieteikums sākotnēji ir ticis iesniegts programmā “Apvārsnis 2020” un tur saņēmis Eiropas Komisijas ekspertu virs kvalitātes sliekšņa novērtējumu, finansējums projektiem tiek piešķirts</w:t>
            </w:r>
            <w:r w:rsidR="00F93CBC" w:rsidRPr="00A556F1">
              <w:t xml:space="preserve"> to </w:t>
            </w:r>
            <w:r w:rsidR="00F93CBC" w:rsidRPr="00A556F1">
              <w:lastRenderedPageBreak/>
              <w:t xml:space="preserve">iesniegšanas secībā, kamēr </w:t>
            </w:r>
            <w:r w:rsidR="00470924" w:rsidRPr="00A556F1">
              <w:t xml:space="preserve">atlases kārtā </w:t>
            </w:r>
            <w:r w:rsidR="00542A12" w:rsidRPr="00A556F1">
              <w:t xml:space="preserve">ir </w:t>
            </w:r>
            <w:r w:rsidR="00F93CBC" w:rsidRPr="00A556F1">
              <w:t xml:space="preserve">pieejams finansējums. </w:t>
            </w:r>
          </w:p>
          <w:p w14:paraId="58B70954" w14:textId="4E6C5B27" w:rsidR="00D523B5" w:rsidRPr="00A556F1" w:rsidRDefault="00F93CBC" w:rsidP="00F93CBC">
            <w:pPr>
              <w:jc w:val="both"/>
              <w:rPr>
                <w:i/>
              </w:rPr>
            </w:pPr>
            <w:r w:rsidRPr="00A556F1">
              <w:t>Ņemot vērā</w:t>
            </w:r>
            <w:r w:rsidR="00EC40D9" w:rsidRPr="00A556F1">
              <w:t xml:space="preserve"> treš</w:t>
            </w:r>
            <w:r w:rsidR="00B37972" w:rsidRPr="00A556F1">
              <w:t xml:space="preserve">ās </w:t>
            </w:r>
            <w:r w:rsidR="00B27CD9" w:rsidRPr="00A556F1">
              <w:t xml:space="preserve">projektu iesniegumu </w:t>
            </w:r>
            <w:r w:rsidR="00B37972" w:rsidRPr="00A556F1">
              <w:t xml:space="preserve">atlases kārtas ietvaros uz </w:t>
            </w:r>
            <w:r w:rsidR="00EC40D9" w:rsidRPr="00A556F1">
              <w:t>2019.</w:t>
            </w:r>
            <w:r w:rsidR="007832B6" w:rsidRPr="00A556F1">
              <w:t xml:space="preserve"> gada </w:t>
            </w:r>
            <w:r w:rsidR="00FC608F">
              <w:t>19</w:t>
            </w:r>
            <w:r w:rsidR="003834D0" w:rsidRPr="00A556F1">
              <w:t>. </w:t>
            </w:r>
            <w:r w:rsidR="00156BAF">
              <w:t>jūniju</w:t>
            </w:r>
            <w:r w:rsidR="00EC40D9" w:rsidRPr="00A556F1">
              <w:t xml:space="preserve"> pieejamo finansējuma atlikumu</w:t>
            </w:r>
            <w:r w:rsidRPr="00A556F1">
              <w:t xml:space="preserve"> (</w:t>
            </w:r>
            <w:r w:rsidR="007B7B5E" w:rsidRPr="00A556F1">
              <w:t>300 163,96</w:t>
            </w:r>
            <w:r w:rsidR="007B7B5E" w:rsidRPr="00A556F1">
              <w:rPr>
                <w:i/>
              </w:rPr>
              <w:t xml:space="preserve"> </w:t>
            </w:r>
            <w:r w:rsidRPr="00A556F1">
              <w:rPr>
                <w:i/>
              </w:rPr>
              <w:t>euro</w:t>
            </w:r>
            <w:r w:rsidRPr="00A556F1">
              <w:t xml:space="preserve">), tas ir </w:t>
            </w:r>
            <w:r w:rsidR="007B7B5E" w:rsidRPr="00A556F1">
              <w:t>ne</w:t>
            </w:r>
            <w:r w:rsidR="007832B6" w:rsidRPr="00A556F1">
              <w:t>pietiekams</w:t>
            </w:r>
            <w:r w:rsidRPr="00A556F1">
              <w:t xml:space="preserve">, lai apstiprinātu </w:t>
            </w:r>
            <w:r w:rsidR="007B7B5E" w:rsidRPr="00A556F1">
              <w:t>v</w:t>
            </w:r>
            <w:r w:rsidR="002B70B6" w:rsidRPr="00A556F1">
              <w:t>ērtēšan</w:t>
            </w:r>
            <w:r w:rsidR="00B03459" w:rsidRPr="00A556F1">
              <w:t>as procesā esošo</w:t>
            </w:r>
            <w:r w:rsidR="003C096F" w:rsidRPr="00A556F1">
              <w:t>s</w:t>
            </w:r>
            <w:r w:rsidR="00B03459" w:rsidRPr="00A556F1">
              <w:t xml:space="preserve"> projekt</w:t>
            </w:r>
            <w:r w:rsidR="003C096F" w:rsidRPr="00A556F1">
              <w:t>u</w:t>
            </w:r>
            <w:r w:rsidR="00B03459" w:rsidRPr="00A556F1">
              <w:t xml:space="preserve"> iesniegumu</w:t>
            </w:r>
            <w:r w:rsidR="003C096F" w:rsidRPr="00A556F1">
              <w:t>s</w:t>
            </w:r>
            <w:r w:rsidR="00B03459" w:rsidRPr="00A556F1">
              <w:t>.</w:t>
            </w:r>
            <w:r w:rsidR="002B70B6" w:rsidRPr="00A556F1">
              <w:t xml:space="preserve"> </w:t>
            </w:r>
            <w:r w:rsidR="00B03459" w:rsidRPr="00A556F1">
              <w:t>T</w:t>
            </w:r>
            <w:r w:rsidR="003C096F" w:rsidRPr="00A556F1">
              <w:t>o</w:t>
            </w:r>
            <w:r w:rsidR="00B03459" w:rsidRPr="00A556F1">
              <w:t xml:space="preserve"> </w:t>
            </w:r>
            <w:r w:rsidR="002B70B6" w:rsidRPr="00A556F1">
              <w:t>apstiprināšana</w:t>
            </w:r>
            <w:r w:rsidR="00AD1F14" w:rsidRPr="00A556F1">
              <w:t xml:space="preserve">i indikatīvi pietrūkst nepilni </w:t>
            </w:r>
            <w:r w:rsidR="00011D41" w:rsidRPr="00A556F1">
              <w:t>4,7</w:t>
            </w:r>
            <w:r w:rsidR="002B70B6" w:rsidRPr="00A556F1">
              <w:t xml:space="preserve"> milj. </w:t>
            </w:r>
            <w:r w:rsidR="002B70B6" w:rsidRPr="00A556F1">
              <w:rPr>
                <w:i/>
              </w:rPr>
              <w:t>euro</w:t>
            </w:r>
            <w:r w:rsidR="007832B6" w:rsidRPr="00A556F1">
              <w:t>.</w:t>
            </w:r>
            <w:r w:rsidR="00B37972" w:rsidRPr="00A556F1">
              <w:rPr>
                <w:i/>
              </w:rPr>
              <w:t xml:space="preserve"> </w:t>
            </w:r>
          </w:p>
          <w:p w14:paraId="58B70955" w14:textId="3E4C854C" w:rsidR="00F93CBC" w:rsidRPr="00A556F1" w:rsidRDefault="007832B6" w:rsidP="00F93CBC">
            <w:pPr>
              <w:jc w:val="both"/>
            </w:pPr>
            <w:r w:rsidRPr="00A556F1">
              <w:t xml:space="preserve">Vienlaikus </w:t>
            </w:r>
            <w:r w:rsidR="00AD1F14" w:rsidRPr="00A556F1">
              <w:t xml:space="preserve">IZM rīcībā ir informācija par vēl </w:t>
            </w:r>
            <w:r w:rsidR="006E6F68" w:rsidRPr="00A556F1">
              <w:t xml:space="preserve">vismaz </w:t>
            </w:r>
            <w:r w:rsidR="00011D41" w:rsidRPr="00A556F1">
              <w:t xml:space="preserve">pieciem </w:t>
            </w:r>
            <w:r w:rsidR="00AD1F14" w:rsidRPr="00A556F1">
              <w:t xml:space="preserve">programmā “Apvārsnis 2020” iesniegtiem un virs kvalitātes sliekšņa novērtētiem </w:t>
            </w:r>
            <w:r w:rsidR="00AD1F14" w:rsidRPr="00166824">
              <w:t>projektiem,</w:t>
            </w:r>
            <w:r w:rsidR="006E6F68" w:rsidRPr="00166824">
              <w:t xml:space="preserve"> </w:t>
            </w:r>
            <w:r w:rsidR="003218D1" w:rsidRPr="00166824">
              <w:t xml:space="preserve">no kuriem </w:t>
            </w:r>
            <w:r w:rsidR="00156BAF" w:rsidRPr="00166824">
              <w:t xml:space="preserve">trīs </w:t>
            </w:r>
            <w:r w:rsidR="000435B1" w:rsidRPr="00166824">
              <w:t>potenciālie</w:t>
            </w:r>
            <w:r w:rsidR="00011D41" w:rsidRPr="00166824">
              <w:t xml:space="preserve"> </w:t>
            </w:r>
            <w:r w:rsidR="006E6F68" w:rsidRPr="00166824">
              <w:t xml:space="preserve"> projekt</w:t>
            </w:r>
            <w:r w:rsidR="00011D41" w:rsidRPr="00166824">
              <w:t>a</w:t>
            </w:r>
            <w:r w:rsidR="006E6F68" w:rsidRPr="00166824">
              <w:t xml:space="preserve"> iesniedzēj</w:t>
            </w:r>
            <w:r w:rsidR="00156BAF" w:rsidRPr="00166824">
              <w:t>i</w:t>
            </w:r>
            <w:r w:rsidR="006E6F68" w:rsidRPr="00166824">
              <w:t xml:space="preserve"> </w:t>
            </w:r>
            <w:r w:rsidR="000435B1" w:rsidRPr="00166824">
              <w:t xml:space="preserve">Ministru kabineta noteikumu projekta saskaņošanas laikā </w:t>
            </w:r>
            <w:r w:rsidR="006E6F68" w:rsidRPr="00166824">
              <w:t>ir izrādīj</w:t>
            </w:r>
            <w:r w:rsidR="00156BAF" w:rsidRPr="00166824">
              <w:t>uši</w:t>
            </w:r>
            <w:r w:rsidR="006E6F68" w:rsidRPr="00166824">
              <w:t xml:space="preserve"> interesi iesniegt projekt</w:t>
            </w:r>
            <w:r w:rsidR="00011D41" w:rsidRPr="00166824">
              <w:t>a</w:t>
            </w:r>
            <w:r w:rsidR="006E6F68" w:rsidRPr="00166824">
              <w:t xml:space="preserve"> iesniegumu</w:t>
            </w:r>
            <w:r w:rsidR="00A229DC" w:rsidRPr="00166824">
              <w:t>s</w:t>
            </w:r>
            <w:r w:rsidR="006E6F68" w:rsidRPr="00166824">
              <w:t xml:space="preserve"> 1.1.1.5. pasākuma trešās </w:t>
            </w:r>
            <w:r w:rsidR="00B27CD9" w:rsidRPr="00166824">
              <w:t xml:space="preserve">projektu iesniegumu </w:t>
            </w:r>
            <w:r w:rsidR="006E6F68" w:rsidRPr="00166824">
              <w:t xml:space="preserve">atlases kārtas ietvaros tuvākajā laikā, un </w:t>
            </w:r>
            <w:r w:rsidR="00011D41" w:rsidRPr="00166824">
              <w:t>t</w:t>
            </w:r>
            <w:r w:rsidR="00156BAF" w:rsidRPr="00166824">
              <w:t>o</w:t>
            </w:r>
            <w:r w:rsidR="00011D41" w:rsidRPr="00166824">
              <w:t xml:space="preserve"> </w:t>
            </w:r>
            <w:r w:rsidR="00D523B5" w:rsidRPr="00166824">
              <w:t xml:space="preserve">īstenošanai ir nepieciešami </w:t>
            </w:r>
            <w:r w:rsidR="00011D41" w:rsidRPr="00166824">
              <w:t xml:space="preserve">vēl </w:t>
            </w:r>
            <w:r w:rsidR="002A5B86" w:rsidRPr="00166824">
              <w:t xml:space="preserve"> </w:t>
            </w:r>
            <w:r w:rsidR="00A229DC" w:rsidRPr="00166824">
              <w:t>438</w:t>
            </w:r>
            <w:r w:rsidR="00011D41" w:rsidRPr="00A556F1">
              <w:t xml:space="preserve"> tūkst. </w:t>
            </w:r>
            <w:r w:rsidR="00AD1F14" w:rsidRPr="00A556F1">
              <w:rPr>
                <w:i/>
              </w:rPr>
              <w:t>euro</w:t>
            </w:r>
            <w:r w:rsidR="00AD1F14" w:rsidRPr="00A556F1">
              <w:t xml:space="preserve">. </w:t>
            </w:r>
            <w:r w:rsidR="00011D41" w:rsidRPr="00A556F1">
              <w:t>Vienlaikus</w:t>
            </w:r>
            <w:r w:rsidR="00AD1F14" w:rsidRPr="00A556F1">
              <w:t xml:space="preserve"> </w:t>
            </w:r>
            <w:r w:rsidR="00011D41" w:rsidRPr="00A556F1">
              <w:t>e</w:t>
            </w:r>
            <w:r w:rsidR="00AD1F14" w:rsidRPr="00A556F1">
              <w:t xml:space="preserve">sošais </w:t>
            </w:r>
            <w:r w:rsidR="002B70B6" w:rsidRPr="00A556F1">
              <w:t xml:space="preserve">finansējums ir </w:t>
            </w:r>
            <w:r w:rsidRPr="00A556F1">
              <w:t>nepietiekams</w:t>
            </w:r>
            <w:r w:rsidR="002B70B6" w:rsidRPr="00A556F1">
              <w:t xml:space="preserve">, lai apstiprinātu nākamos </w:t>
            </w:r>
            <w:r w:rsidRPr="00A556F1">
              <w:t xml:space="preserve">potenciālos </w:t>
            </w:r>
            <w:r w:rsidR="002B70B6" w:rsidRPr="00A556F1">
              <w:t xml:space="preserve">virs kvalitātes sliekšņa novērtētos </w:t>
            </w:r>
            <w:r w:rsidR="00EC40D9" w:rsidRPr="00A556F1">
              <w:t xml:space="preserve">programmas “Apvārsnis 2020” </w:t>
            </w:r>
            <w:r w:rsidR="002B70B6" w:rsidRPr="00A556F1">
              <w:t>projektu iesniegumus.</w:t>
            </w:r>
            <w:r w:rsidR="006E6F68" w:rsidRPr="00A556F1">
              <w:t xml:space="preserve"> </w:t>
            </w:r>
          </w:p>
          <w:p w14:paraId="58B70956" w14:textId="24C956D4" w:rsidR="006E6F68" w:rsidRPr="00A556F1" w:rsidRDefault="002B70B6" w:rsidP="008D7E2C">
            <w:pPr>
              <w:jc w:val="both"/>
            </w:pPr>
            <w:r w:rsidRPr="00A556F1">
              <w:t>Jāatzīm</w:t>
            </w:r>
            <w:r w:rsidR="00A84065" w:rsidRPr="00A556F1">
              <w:t xml:space="preserve">ē, ka </w:t>
            </w:r>
            <w:r w:rsidR="00683937" w:rsidRPr="00A556F1">
              <w:t xml:space="preserve">trešajā </w:t>
            </w:r>
            <w:r w:rsidR="00B27CD9" w:rsidRPr="00A556F1">
              <w:t xml:space="preserve">projektu iesniegumu </w:t>
            </w:r>
            <w:r w:rsidR="003218D1">
              <w:t xml:space="preserve">atlases </w:t>
            </w:r>
            <w:r w:rsidR="00683937" w:rsidRPr="00A556F1">
              <w:t>kārtā vērtēšanā esoš</w:t>
            </w:r>
            <w:r w:rsidR="00011D41" w:rsidRPr="00A556F1">
              <w:t>ie</w:t>
            </w:r>
            <w:r w:rsidR="00683937" w:rsidRPr="00A556F1">
              <w:t xml:space="preserve"> projekt</w:t>
            </w:r>
            <w:r w:rsidR="00011D41" w:rsidRPr="00A556F1">
              <w:t>u</w:t>
            </w:r>
            <w:r w:rsidR="00683937" w:rsidRPr="00A556F1">
              <w:t xml:space="preserve"> iesniegum</w:t>
            </w:r>
            <w:r w:rsidR="00011D41" w:rsidRPr="00A556F1">
              <w:t>i</w:t>
            </w:r>
            <w:r w:rsidR="00A84065" w:rsidRPr="00A556F1">
              <w:t xml:space="preserve"> sākotnēji ir iesniegt</w:t>
            </w:r>
            <w:r w:rsidR="00011D41" w:rsidRPr="00A556F1">
              <w:t>i</w:t>
            </w:r>
            <w:r w:rsidR="00A84065" w:rsidRPr="00A556F1">
              <w:t xml:space="preserve"> programmas “Apvārsnis 2020</w:t>
            </w:r>
            <w:r w:rsidR="00A84065" w:rsidRPr="00A556F1">
              <w:rPr>
                <w:rFonts w:eastAsia="Times New Roman"/>
                <w:lang w:eastAsia="en-GB"/>
              </w:rPr>
              <w:t>” apakšprogrammas</w:t>
            </w:r>
            <w:r w:rsidR="006E6F68" w:rsidRPr="00A556F1">
              <w:rPr>
                <w:rFonts w:eastAsia="Times New Roman"/>
                <w:lang w:eastAsia="en-GB"/>
              </w:rPr>
              <w:t xml:space="preserve"> </w:t>
            </w:r>
            <w:r w:rsidR="00BC19F1" w:rsidRPr="00A556F1">
              <w:rPr>
                <w:rFonts w:eastAsia="Times New Roman"/>
                <w:lang w:eastAsia="en-GB"/>
              </w:rPr>
              <w:t>Izcilības izplatīšanas un dalības paplašināšanas (</w:t>
            </w:r>
            <w:r w:rsidR="00BC19F1" w:rsidRPr="00A556F1">
              <w:rPr>
                <w:rFonts w:eastAsia="Times New Roman"/>
                <w:i/>
                <w:lang w:eastAsia="en-GB"/>
              </w:rPr>
              <w:t>Spreading Excellence and Widening Participation</w:t>
            </w:r>
            <w:r w:rsidR="00BC19F1" w:rsidRPr="00A556F1">
              <w:rPr>
                <w:rFonts w:eastAsia="Times New Roman"/>
                <w:lang w:eastAsia="en-GB"/>
              </w:rPr>
              <w:t>) apakšprogramma </w:t>
            </w:r>
            <w:r w:rsidR="00BC19F1" w:rsidRPr="00A556F1">
              <w:rPr>
                <w:rFonts w:eastAsia="Times New Roman"/>
                <w:i/>
                <w:lang w:eastAsia="en-GB"/>
              </w:rPr>
              <w:t>ERA Chairs</w:t>
            </w:r>
            <w:r w:rsidR="00BC19F1" w:rsidRPr="00A556F1">
              <w:rPr>
                <w:rFonts w:eastAsia="Times New Roman"/>
                <w:lang w:eastAsia="en-GB"/>
              </w:rPr>
              <w:t xml:space="preserve"> </w:t>
            </w:r>
            <w:r w:rsidR="00A84065" w:rsidRPr="00A556F1">
              <w:rPr>
                <w:rFonts w:eastAsia="Times New Roman"/>
                <w:lang w:eastAsia="en-GB"/>
              </w:rPr>
              <w:t xml:space="preserve"> </w:t>
            </w:r>
            <w:r w:rsidR="00BC19F1" w:rsidRPr="00A556F1">
              <w:rPr>
                <w:rFonts w:eastAsia="Times New Roman"/>
                <w:lang w:eastAsia="en-GB"/>
              </w:rPr>
              <w:t>ietvaros un saņēm</w:t>
            </w:r>
            <w:r w:rsidR="00011D41" w:rsidRPr="00A556F1">
              <w:rPr>
                <w:rFonts w:eastAsia="Times New Roman"/>
                <w:lang w:eastAsia="en-GB"/>
              </w:rPr>
              <w:t>uši</w:t>
            </w:r>
            <w:r w:rsidR="00BC19F1" w:rsidRPr="00A556F1">
              <w:rPr>
                <w:rFonts w:eastAsia="Times New Roman"/>
                <w:lang w:eastAsia="en-GB"/>
              </w:rPr>
              <w:t xml:space="preserve"> Eiropas Komisijas virs kvalitātes sliekšņa novērtējumu. Izcilības izplatīšanas un dalības paplašināšanas (</w:t>
            </w:r>
            <w:r w:rsidR="00BC19F1" w:rsidRPr="00A556F1">
              <w:rPr>
                <w:rFonts w:eastAsia="Times New Roman"/>
                <w:i/>
                <w:lang w:eastAsia="en-GB"/>
              </w:rPr>
              <w:t>Spreading Excellence and Widening Participation</w:t>
            </w:r>
            <w:r w:rsidR="00BC19F1" w:rsidRPr="00A556F1">
              <w:rPr>
                <w:rFonts w:eastAsia="Times New Roman"/>
                <w:lang w:eastAsia="en-GB"/>
              </w:rPr>
              <w:t>) apakšprogrammas </w:t>
            </w:r>
            <w:r w:rsidR="00BC19F1" w:rsidRPr="00A556F1">
              <w:rPr>
                <w:rFonts w:eastAsia="Times New Roman"/>
                <w:i/>
                <w:lang w:eastAsia="en-GB"/>
              </w:rPr>
              <w:t>ERA Chairs</w:t>
            </w:r>
            <w:r w:rsidR="00BC19F1" w:rsidRPr="00A556F1">
              <w:rPr>
                <w:rFonts w:eastAsia="Times New Roman"/>
                <w:lang w:eastAsia="en-GB"/>
              </w:rPr>
              <w:t xml:space="preserve"> grants tiek piešķirts izcilu zinātnieku vai zinātnes menedžeru sadarbības veicināšanai ar zinātniskajām institūcijām, kas vēlas celt savas zinātniskās darbības kvalitāti un pilnveidot savu inovācijas un pētnieciskās darbības jomu. Atbalstu var saņemt universitātes vai zinātniskie institūti, lai pieņemtu darbā attiecīgajā zinātnes nozarē izcilu zinātnieku, kas nodrošinās zinātniskās institūcijas strukturālas izmaiņas, palīdzēs ievērojami celt zinātniskās institūcijas pētnieciskās darbības sniegumu un kļūt konkurētspējīgākai, piesaistot jaunus finanšu resursus.  </w:t>
            </w:r>
            <w:r w:rsidR="00BC19F1" w:rsidRPr="00A556F1">
              <w:t xml:space="preserve"> </w:t>
            </w:r>
          </w:p>
          <w:p w14:paraId="58B70957" w14:textId="77777777" w:rsidR="009C31BC" w:rsidRPr="00A556F1" w:rsidRDefault="00A84065" w:rsidP="008D7E2C">
            <w:pPr>
              <w:jc w:val="both"/>
            </w:pPr>
            <w:r w:rsidRPr="00A556F1">
              <w:rPr>
                <w:lang w:eastAsia="en-GB"/>
              </w:rPr>
              <w:t xml:space="preserve">Ņemot vērā </w:t>
            </w:r>
            <w:r w:rsidR="00BC19F1" w:rsidRPr="00A556F1">
              <w:rPr>
                <w:rFonts w:eastAsia="Times New Roman"/>
                <w:i/>
                <w:lang w:eastAsia="en-GB"/>
              </w:rPr>
              <w:t>ERA Chairs</w:t>
            </w:r>
            <w:r w:rsidR="00BC19F1" w:rsidRPr="00A556F1">
              <w:rPr>
                <w:rFonts w:eastAsia="Times New Roman"/>
                <w:lang w:eastAsia="en-GB"/>
              </w:rPr>
              <w:t xml:space="preserve"> </w:t>
            </w:r>
            <w:r w:rsidRPr="00A556F1">
              <w:rPr>
                <w:lang w:eastAsia="en-GB"/>
              </w:rPr>
              <w:t xml:space="preserve">projektu pieteikumu izcilību, mērogu un konkurenci, šo projektu ieviešana ir vērtējama kā būtiska </w:t>
            </w:r>
            <w:r w:rsidR="00AC5216" w:rsidRPr="00A556F1">
              <w:rPr>
                <w:lang w:eastAsia="en-GB"/>
              </w:rPr>
              <w:t xml:space="preserve">zinātniskās izcilības un cilvēkresursu kapacitātes attīstībai </w:t>
            </w:r>
            <w:r w:rsidRPr="00A556F1">
              <w:rPr>
                <w:lang w:eastAsia="en-GB"/>
              </w:rPr>
              <w:t xml:space="preserve">gan </w:t>
            </w:r>
            <w:r w:rsidR="00280576" w:rsidRPr="00A556F1">
              <w:rPr>
                <w:lang w:eastAsia="en-GB"/>
              </w:rPr>
              <w:t xml:space="preserve">institucionālā </w:t>
            </w:r>
            <w:r w:rsidRPr="00A556F1">
              <w:rPr>
                <w:lang w:eastAsia="en-GB"/>
              </w:rPr>
              <w:t xml:space="preserve">līmenī, gan nacionāli. </w:t>
            </w:r>
            <w:r w:rsidR="0087701A" w:rsidRPr="00A556F1">
              <w:rPr>
                <w:lang w:eastAsia="en-GB"/>
              </w:rPr>
              <w:t xml:space="preserve">Ņemot vērā, ka </w:t>
            </w:r>
            <w:r w:rsidR="007832B6" w:rsidRPr="00A556F1">
              <w:rPr>
                <w:lang w:eastAsia="en-GB"/>
              </w:rPr>
              <w:t>konkrēt</w:t>
            </w:r>
            <w:r w:rsidR="00011D41" w:rsidRPr="00A556F1">
              <w:rPr>
                <w:lang w:eastAsia="en-GB"/>
              </w:rPr>
              <w:t>ie</w:t>
            </w:r>
            <w:r w:rsidR="007832B6" w:rsidRPr="00A556F1">
              <w:rPr>
                <w:lang w:eastAsia="en-GB"/>
              </w:rPr>
              <w:t xml:space="preserve"> </w:t>
            </w:r>
            <w:r w:rsidR="0087701A" w:rsidRPr="00A556F1">
              <w:rPr>
                <w:lang w:eastAsia="en-GB"/>
              </w:rPr>
              <w:t>projekta iesniedzēj</w:t>
            </w:r>
            <w:r w:rsidR="00011D41" w:rsidRPr="00A556F1">
              <w:rPr>
                <w:lang w:eastAsia="en-GB"/>
              </w:rPr>
              <w:t>i</w:t>
            </w:r>
            <w:r w:rsidR="0087701A" w:rsidRPr="00A556F1">
              <w:rPr>
                <w:lang w:eastAsia="en-GB"/>
              </w:rPr>
              <w:t xml:space="preserve"> projekt</w:t>
            </w:r>
            <w:r w:rsidR="00011D41" w:rsidRPr="00A556F1">
              <w:rPr>
                <w:lang w:eastAsia="en-GB"/>
              </w:rPr>
              <w:t>u</w:t>
            </w:r>
            <w:r w:rsidR="0087701A" w:rsidRPr="00A556F1">
              <w:rPr>
                <w:lang w:eastAsia="en-GB"/>
              </w:rPr>
              <w:t xml:space="preserve"> īstenošanu ir uzsā</w:t>
            </w:r>
            <w:r w:rsidR="00011D41" w:rsidRPr="00A556F1">
              <w:rPr>
                <w:lang w:eastAsia="en-GB"/>
              </w:rPr>
              <w:t>kuši</w:t>
            </w:r>
            <w:r w:rsidR="0087701A" w:rsidRPr="00A556F1">
              <w:rPr>
                <w:lang w:eastAsia="en-GB"/>
              </w:rPr>
              <w:t xml:space="preserve"> 2019.</w:t>
            </w:r>
            <w:r w:rsidR="00BC19F1" w:rsidRPr="00A556F1">
              <w:rPr>
                <w:lang w:eastAsia="en-GB"/>
              </w:rPr>
              <w:t xml:space="preserve"> gada 2</w:t>
            </w:r>
            <w:r w:rsidR="007832B6" w:rsidRPr="00A556F1">
              <w:rPr>
                <w:lang w:eastAsia="en-GB"/>
              </w:rPr>
              <w:t xml:space="preserve">. </w:t>
            </w:r>
            <w:r w:rsidR="003834D0" w:rsidRPr="00A556F1">
              <w:rPr>
                <w:lang w:eastAsia="en-GB"/>
              </w:rPr>
              <w:t>ceturksnī</w:t>
            </w:r>
            <w:r w:rsidR="0087701A" w:rsidRPr="00A556F1">
              <w:rPr>
                <w:lang w:eastAsia="en-GB"/>
              </w:rPr>
              <w:t xml:space="preserve"> (saskaņā ar MK noteikumu Nr. 315 65.1. apakšpunktā noteikto </w:t>
            </w:r>
            <w:r w:rsidR="00792C6E" w:rsidRPr="00A556F1">
              <w:rPr>
                <w:lang w:eastAsia="en-GB"/>
              </w:rPr>
              <w:t>ar saimniecisku darbību nesaistītam projektam atbalstāmās darbības var tikt uzsāktas ar 2017. gada 1. janvāri</w:t>
            </w:r>
            <w:r w:rsidR="0087701A" w:rsidRPr="00A556F1">
              <w:rPr>
                <w:lang w:eastAsia="en-GB"/>
              </w:rPr>
              <w:t xml:space="preserve">) un </w:t>
            </w:r>
            <w:r w:rsidR="00792C6E" w:rsidRPr="00A556F1">
              <w:rPr>
                <w:lang w:eastAsia="en-GB"/>
              </w:rPr>
              <w:t xml:space="preserve">plānotais </w:t>
            </w:r>
            <w:r w:rsidR="0087701A" w:rsidRPr="00A556F1">
              <w:rPr>
                <w:lang w:eastAsia="en-GB"/>
              </w:rPr>
              <w:t>projek</w:t>
            </w:r>
            <w:r w:rsidR="00B37972" w:rsidRPr="00A556F1">
              <w:rPr>
                <w:lang w:eastAsia="en-GB"/>
              </w:rPr>
              <w:t xml:space="preserve">ta īstenošanas termiņš </w:t>
            </w:r>
            <w:r w:rsidR="00792C6E" w:rsidRPr="00A556F1">
              <w:rPr>
                <w:lang w:eastAsia="en-GB"/>
              </w:rPr>
              <w:t xml:space="preserve">ir </w:t>
            </w:r>
            <w:r w:rsidR="00BC19F1" w:rsidRPr="00A556F1">
              <w:rPr>
                <w:lang w:eastAsia="en-GB"/>
              </w:rPr>
              <w:t xml:space="preserve">nepilni </w:t>
            </w:r>
            <w:r w:rsidR="00B37972" w:rsidRPr="00A556F1">
              <w:rPr>
                <w:lang w:eastAsia="en-GB"/>
              </w:rPr>
              <w:t xml:space="preserve">pieci </w:t>
            </w:r>
            <w:r w:rsidR="0087701A" w:rsidRPr="00A556F1">
              <w:rPr>
                <w:lang w:eastAsia="en-GB"/>
              </w:rPr>
              <w:t>gadi</w:t>
            </w:r>
            <w:r w:rsidR="003834D0" w:rsidRPr="00A556F1">
              <w:rPr>
                <w:lang w:eastAsia="en-GB"/>
              </w:rPr>
              <w:t>, l</w:t>
            </w:r>
            <w:r w:rsidR="00792C6E" w:rsidRPr="00A556F1">
              <w:rPr>
                <w:lang w:eastAsia="en-GB"/>
              </w:rPr>
              <w:t xml:space="preserve">ai </w:t>
            </w:r>
            <w:r w:rsidR="0087701A" w:rsidRPr="00A556F1">
              <w:rPr>
                <w:lang w:eastAsia="en-GB"/>
              </w:rPr>
              <w:t>projektu īstenotu plānotajā termiņā, kā arī nodrošinātu</w:t>
            </w:r>
            <w:r w:rsidR="0087701A" w:rsidRPr="00A556F1">
              <w:t xml:space="preserve"> MK noteikumu</w:t>
            </w:r>
            <w:r w:rsidR="00792C6E" w:rsidRPr="00A556F1">
              <w:rPr>
                <w:lang w:eastAsia="en-GB"/>
              </w:rPr>
              <w:t xml:space="preserve"> </w:t>
            </w:r>
            <w:r w:rsidR="00792C6E" w:rsidRPr="00A556F1">
              <w:t>Nr. 315</w:t>
            </w:r>
            <w:r w:rsidR="0087701A" w:rsidRPr="00A556F1">
              <w:t xml:space="preserve"> 59.1. apakšpunktā noteiktā iznākuma rādītāja sasniegšanu un nekavētu projektu iesniegumu vērtēšanas un atlases </w:t>
            </w:r>
            <w:r w:rsidR="0087701A" w:rsidRPr="00A556F1">
              <w:lastRenderedPageBreak/>
              <w:t xml:space="preserve">procedūru, </w:t>
            </w:r>
            <w:r w:rsidR="00B37972" w:rsidRPr="00A556F1">
              <w:t xml:space="preserve">papildu finansējuma piešķiršana 1.1.1.5. pasākuma trešajai </w:t>
            </w:r>
            <w:r w:rsidR="00B27CD9" w:rsidRPr="00A556F1">
              <w:t xml:space="preserve">projektu iesniegumu </w:t>
            </w:r>
            <w:r w:rsidR="00B37972" w:rsidRPr="00A556F1">
              <w:t>atlases k</w:t>
            </w:r>
            <w:r w:rsidR="009C31BC" w:rsidRPr="00A556F1">
              <w:t>ārtai ir risināma steidzamības kārtā.</w:t>
            </w:r>
          </w:p>
          <w:p w14:paraId="58B70958" w14:textId="18C05A90" w:rsidR="00BC19F1" w:rsidRDefault="005023B7" w:rsidP="0044498D">
            <w:pPr>
              <w:jc w:val="both"/>
            </w:pPr>
            <w:r w:rsidRPr="00A556F1">
              <w:t xml:space="preserve">Kā piemērotākais risinājums, kas </w:t>
            </w:r>
            <w:r w:rsidR="00804652" w:rsidRPr="00A556F1">
              <w:t>nekavētu stratēģiski n</w:t>
            </w:r>
            <w:r w:rsidR="0044498D" w:rsidRPr="00A556F1">
              <w:t>ozīmīgu investīciju turpināšanu</w:t>
            </w:r>
            <w:r w:rsidR="003917B3" w:rsidRPr="00A556F1">
              <w:t xml:space="preserve">, kā arī </w:t>
            </w:r>
            <w:r w:rsidR="00804652" w:rsidRPr="00A556F1">
              <w:t>nodroši</w:t>
            </w:r>
            <w:r w:rsidR="003917B3" w:rsidRPr="00A556F1">
              <w:t xml:space="preserve">nātu vienmērīgu finanšu plūsmu, </w:t>
            </w:r>
            <w:r w:rsidR="00804652" w:rsidRPr="00A556F1">
              <w:t xml:space="preserve">ir </w:t>
            </w:r>
            <w:r w:rsidR="000D404F" w:rsidRPr="00A556F1">
              <w:t xml:space="preserve">finanšu līdzekļu </w:t>
            </w:r>
            <w:r w:rsidR="003917B3" w:rsidRPr="00A556F1">
              <w:t>pārdale</w:t>
            </w:r>
            <w:r w:rsidR="002A6489" w:rsidRPr="00A556F1">
              <w:t xml:space="preserve"> </w:t>
            </w:r>
            <w:r w:rsidR="000D404F" w:rsidRPr="00A556F1">
              <w:t>1.1.1.</w:t>
            </w:r>
            <w:r w:rsidR="004453B6" w:rsidRPr="00A556F1">
              <w:t> specifiskā atbalsta mērķa</w:t>
            </w:r>
            <w:r w:rsidR="00280576" w:rsidRPr="00A556F1">
              <w:t xml:space="preserve"> </w:t>
            </w:r>
            <w:r w:rsidR="001D0ECB">
              <w:t>“</w:t>
            </w:r>
            <w:r w:rsidR="00280576" w:rsidRPr="00A556F1">
              <w:t>Palielināt Latvijas zinātnisko institūciju pētniecisko un inovatīvo kapacitāti un spēju piesaistīt ārējo finansējumu, ieguldot cilvēkresursos un infrastruktūrā”</w:t>
            </w:r>
            <w:r w:rsidR="004453B6" w:rsidRPr="00A556F1">
              <w:t xml:space="preserve"> (turpmāk –</w:t>
            </w:r>
            <w:r w:rsidR="000D404F" w:rsidRPr="00A556F1">
              <w:t xml:space="preserve"> </w:t>
            </w:r>
            <w:r w:rsidR="004453B6" w:rsidRPr="00A556F1">
              <w:t>1.1.1. </w:t>
            </w:r>
            <w:r w:rsidR="000D404F" w:rsidRPr="00A556F1">
              <w:t>SAM</w:t>
            </w:r>
            <w:r w:rsidR="004453B6" w:rsidRPr="00A556F1">
              <w:t>)</w:t>
            </w:r>
            <w:r w:rsidR="000D404F" w:rsidRPr="00A556F1">
              <w:t xml:space="preserve"> ietvaros</w:t>
            </w:r>
            <w:r w:rsidR="000D404F" w:rsidRPr="00A556F1">
              <w:rPr>
                <w:rFonts w:eastAsia="Times New Roman"/>
              </w:rPr>
              <w:t xml:space="preserve"> </w:t>
            </w:r>
            <w:r w:rsidR="002A6489" w:rsidRPr="00A556F1">
              <w:rPr>
                <w:rFonts w:eastAsia="Times New Roman"/>
              </w:rPr>
              <w:t xml:space="preserve">– </w:t>
            </w:r>
            <w:r w:rsidR="002A6489" w:rsidRPr="00A556F1">
              <w:t>no</w:t>
            </w:r>
            <w:r w:rsidR="000D404F" w:rsidRPr="00A556F1">
              <w:t xml:space="preserve"> 1.1.1.3. pasākuma uz 1.1.1.5. pasākumu</w:t>
            </w:r>
            <w:r w:rsidR="002A6489" w:rsidRPr="00A556F1">
              <w:t>,</w:t>
            </w:r>
            <w:r w:rsidR="00A84862" w:rsidRPr="00A556F1">
              <w:t xml:space="preserve"> </w:t>
            </w:r>
            <w:r w:rsidR="002A6489" w:rsidRPr="00A556F1">
              <w:t>piešķirot</w:t>
            </w:r>
            <w:r w:rsidR="000D404F" w:rsidRPr="00A556F1">
              <w:t xml:space="preserve"> </w:t>
            </w:r>
            <w:r w:rsidR="00804652" w:rsidRPr="00A556F1">
              <w:t xml:space="preserve">1.1.1.5. pasākuma </w:t>
            </w:r>
            <w:r w:rsidR="00320675" w:rsidRPr="00A556F1">
              <w:t xml:space="preserve">trešās projektu iesniegumu atlases </w:t>
            </w:r>
            <w:r w:rsidR="00804652" w:rsidRPr="00A556F1">
              <w:t>ietvaros</w:t>
            </w:r>
            <w:r w:rsidR="00320675" w:rsidRPr="00A556F1">
              <w:t xml:space="preserve"> </w:t>
            </w:r>
            <w:r w:rsidR="0044498D" w:rsidRPr="00A556F1">
              <w:t xml:space="preserve">papildu </w:t>
            </w:r>
            <w:r w:rsidR="00BC19F1" w:rsidRPr="00A556F1">
              <w:t xml:space="preserve">ERAF </w:t>
            </w:r>
            <w:r w:rsidR="0044498D" w:rsidRPr="00166824">
              <w:t>finansējumu</w:t>
            </w:r>
            <w:r w:rsidR="00BC19F1" w:rsidRPr="00166824">
              <w:t xml:space="preserve"> </w:t>
            </w:r>
            <w:r w:rsidR="00563E5C" w:rsidRPr="00166824">
              <w:t>  4 364 342</w:t>
            </w:r>
            <w:r w:rsidR="00A518C8" w:rsidRPr="00A556F1">
              <w:t xml:space="preserve"> </w:t>
            </w:r>
            <w:r w:rsidR="00A518C8" w:rsidRPr="00A556F1">
              <w:rPr>
                <w:i/>
              </w:rPr>
              <w:t>euro</w:t>
            </w:r>
            <w:r w:rsidR="00A518C8" w:rsidRPr="00A556F1">
              <w:t xml:space="preserve"> apmērā</w:t>
            </w:r>
            <w:r w:rsidR="00320675" w:rsidRPr="00A556F1">
              <w:t xml:space="preserve">, </w:t>
            </w:r>
            <w:r w:rsidR="00BC19F1" w:rsidRPr="00A556F1">
              <w:t xml:space="preserve">lai nodrošinātu </w:t>
            </w:r>
            <w:r w:rsidR="00A47A37" w:rsidRPr="00A556F1">
              <w:t>vērtēšanā esoš</w:t>
            </w:r>
            <w:r w:rsidR="00E9647D" w:rsidRPr="00A556F1">
              <w:t>o</w:t>
            </w:r>
            <w:r w:rsidR="00A47A37" w:rsidRPr="00A556F1">
              <w:t xml:space="preserve"> </w:t>
            </w:r>
            <w:r w:rsidR="00E9647D" w:rsidRPr="00A556F1">
              <w:t xml:space="preserve">divu </w:t>
            </w:r>
            <w:r w:rsidR="00A47A37" w:rsidRPr="00A556F1">
              <w:t>projekt</w:t>
            </w:r>
            <w:r w:rsidR="00A5752C" w:rsidRPr="00A556F1">
              <w:t>a</w:t>
            </w:r>
            <w:r w:rsidR="00A47A37" w:rsidRPr="00A556F1">
              <w:t xml:space="preserve"> iesniegum</w:t>
            </w:r>
            <w:r w:rsidR="00E9647D" w:rsidRPr="00A556F1">
              <w:t>u</w:t>
            </w:r>
            <w:r w:rsidR="00A5752C" w:rsidRPr="00A556F1">
              <w:t xml:space="preserve"> un potenciāl</w:t>
            </w:r>
            <w:r w:rsidR="00563E5C">
              <w:t>o</w:t>
            </w:r>
            <w:r w:rsidR="00A5752C" w:rsidRPr="00A556F1">
              <w:t xml:space="preserve"> nākam</w:t>
            </w:r>
            <w:r w:rsidR="00563E5C">
              <w:t>o</w:t>
            </w:r>
            <w:r w:rsidR="00A5752C" w:rsidRPr="00A556F1">
              <w:t xml:space="preserve"> </w:t>
            </w:r>
            <w:r w:rsidR="00563E5C">
              <w:t xml:space="preserve">trīs </w:t>
            </w:r>
            <w:r w:rsidR="00A5752C" w:rsidRPr="00A556F1">
              <w:t>projekta iesniegum</w:t>
            </w:r>
            <w:r w:rsidR="00563E5C">
              <w:t>u</w:t>
            </w:r>
            <w:r w:rsidR="00A47A37" w:rsidRPr="00A556F1">
              <w:t xml:space="preserve"> īstenošanu, ja tie atbildīs 1.1.1.5.</w:t>
            </w:r>
            <w:r w:rsidR="00280576" w:rsidRPr="00A556F1">
              <w:t> </w:t>
            </w:r>
            <w:r w:rsidR="00A47A37" w:rsidRPr="00A556F1">
              <w:t xml:space="preserve">pasākuma trešās </w:t>
            </w:r>
            <w:r w:rsidR="00B27CD9" w:rsidRPr="00A556F1">
              <w:t xml:space="preserve">projektu iesniegumu </w:t>
            </w:r>
            <w:r w:rsidR="00A47A37" w:rsidRPr="00A556F1">
              <w:t>atlases kārtas vērtēšanas kritērijiem.</w:t>
            </w:r>
            <w:r w:rsidR="00563E5C">
              <w:t xml:space="preserve"> </w:t>
            </w:r>
          </w:p>
          <w:p w14:paraId="3DA0A23F" w14:textId="56A8D842" w:rsidR="005C5125" w:rsidRPr="00DD41A6" w:rsidRDefault="005C5125" w:rsidP="0044498D">
            <w:pPr>
              <w:jc w:val="both"/>
            </w:pPr>
            <w:r w:rsidRPr="00A556F1">
              <w:t>1.1.1.3. pasākuma ietvaros netiek plānots valsts budžeta līdzfinansējums</w:t>
            </w:r>
            <w:r w:rsidR="003D46F5">
              <w:t xml:space="preserve">. </w:t>
            </w:r>
            <w:r w:rsidR="00DD41A6" w:rsidRPr="00DD41A6">
              <w:t xml:space="preserve">Valsts </w:t>
            </w:r>
            <w:r w:rsidR="003D46F5">
              <w:t>budžeta līdzfinansējumu 770 178 </w:t>
            </w:r>
            <w:r w:rsidR="00DD41A6" w:rsidRPr="00DD41A6">
              <w:rPr>
                <w:i/>
              </w:rPr>
              <w:t>euro</w:t>
            </w:r>
            <w:r w:rsidR="00DD41A6" w:rsidRPr="00DD41A6">
              <w:t xml:space="preserve"> </w:t>
            </w:r>
            <w:r w:rsidR="00DD41A6" w:rsidRPr="00C328AF">
              <w:t>apmērā plānots pieprasīt no valsts budžeta 80.00.00 programmas „Nesadalītais finansējums Eiropas Savienības politiku instrumentu un pārējās ārvalstu finanšu palīdzības līdzfinansēto projektu un pasākumu īstenošanai”.</w:t>
            </w:r>
          </w:p>
          <w:p w14:paraId="58B7095A" w14:textId="1762518B" w:rsidR="00892CC7" w:rsidRDefault="00892CC7" w:rsidP="00E71A32">
            <w:pPr>
              <w:tabs>
                <w:tab w:val="left" w:pos="108"/>
              </w:tabs>
              <w:spacing w:line="252" w:lineRule="auto"/>
              <w:ind w:right="102"/>
              <w:jc w:val="both"/>
            </w:pPr>
            <w:r w:rsidRPr="006E1C69">
              <w:t>MK noteikumi Nr. </w:t>
            </w:r>
            <w:r w:rsidRPr="007D4159">
              <w:t>315</w:t>
            </w:r>
            <w:r w:rsidRPr="00A556F1">
              <w:t xml:space="preserve"> šobrīd viennozīmīgi nenosaka atbalsta piešķiršanas brīdi </w:t>
            </w:r>
            <w:r w:rsidR="0004793C" w:rsidRPr="00A556F1">
              <w:t>projektu iesniegumiem</w:t>
            </w:r>
            <w:r w:rsidRPr="00A556F1">
              <w:t>, kuriem atbalsts tiek piešķ</w:t>
            </w:r>
            <w:r w:rsidR="0004793C" w:rsidRPr="00A556F1">
              <w:t xml:space="preserve">irts saskaņā ar </w:t>
            </w:r>
            <w:r w:rsidR="00A5752C" w:rsidRPr="00A556F1">
              <w:t>Eiropas Komisijas 2014. gada 17. jūnija Regulu (ES) Nr. </w:t>
            </w:r>
            <w:hyperlink r:id="rId9" w:tgtFrame="_blank" w:history="1">
              <w:r w:rsidR="00A5752C" w:rsidRPr="00A556F1">
                <w:t>651/2014</w:t>
              </w:r>
            </w:hyperlink>
            <w:r w:rsidR="00A5752C" w:rsidRPr="00A556F1">
              <w:t>, ar ko noteiktas atbalsta kategorijas atzīst par saderīgām ar iekšējo tirgu, piemērojot Līguma 107. un 108. pantu (E</w:t>
            </w:r>
            <w:r w:rsidR="005D3DA0">
              <w:t>iropas Savienības</w:t>
            </w:r>
            <w:r w:rsidR="00A5752C" w:rsidRPr="00A556F1">
              <w:t xml:space="preserve"> Oficiālais Vēstnesis, 2014. gada 26. jūnijs, Nr. L 187) (turpmāk – Regula Nr. </w:t>
            </w:r>
            <w:hyperlink r:id="rId10" w:tgtFrame="_blank" w:history="1">
              <w:r w:rsidR="00A5752C" w:rsidRPr="00A556F1">
                <w:t>651/2014</w:t>
              </w:r>
            </w:hyperlink>
            <w:r w:rsidR="00A5752C" w:rsidRPr="00A556F1">
              <w:t xml:space="preserve">) un </w:t>
            </w:r>
            <w:r w:rsidR="0061052C" w:rsidRPr="00A556F1">
              <w:rPr>
                <w:rFonts w:eastAsia="Times New Roman"/>
              </w:rPr>
              <w:t>Eiropas Komisijas 2013. gada 18. decembra Regulu Nr. </w:t>
            </w:r>
            <w:hyperlink r:id="rId11" w:tgtFrame="_blank" w:history="1">
              <w:r w:rsidR="0061052C" w:rsidRPr="00A556F1">
                <w:rPr>
                  <w:rFonts w:eastAsia="Times New Roman"/>
                </w:rPr>
                <w:t>1407/2013</w:t>
              </w:r>
            </w:hyperlink>
            <w:r w:rsidR="0061052C" w:rsidRPr="00A556F1">
              <w:rPr>
                <w:rFonts w:eastAsia="Times New Roman"/>
              </w:rPr>
              <w:t> par Līguma par Eiropas Savienības darbību 107. un 108. panta piemērošanu </w:t>
            </w:r>
            <w:r w:rsidR="0061052C" w:rsidRPr="00A556F1">
              <w:rPr>
                <w:rFonts w:eastAsia="Times New Roman"/>
                <w:i/>
              </w:rPr>
              <w:t>de minimis</w:t>
            </w:r>
            <w:r w:rsidR="0061052C" w:rsidRPr="00A556F1">
              <w:rPr>
                <w:rFonts w:eastAsia="Times New Roman"/>
              </w:rPr>
              <w:t> atbalstam (Eiropas Savienības Oficiālais Vēstnesis, 2013. gada 24.</w:t>
            </w:r>
            <w:r w:rsidR="00EF77E7">
              <w:rPr>
                <w:rFonts w:eastAsia="Times New Roman"/>
              </w:rPr>
              <w:t> </w:t>
            </w:r>
            <w:r w:rsidR="0061052C" w:rsidRPr="00A556F1">
              <w:rPr>
                <w:rFonts w:eastAsia="Times New Roman"/>
              </w:rPr>
              <w:t>decembris, Nr. L 352) (turpmāk – Regula Nr.</w:t>
            </w:r>
            <w:r w:rsidR="00EF77E7">
              <w:rPr>
                <w:rFonts w:eastAsia="Times New Roman"/>
              </w:rPr>
              <w:t> </w:t>
            </w:r>
            <w:r w:rsidR="0061052C" w:rsidRPr="00A556F1">
              <w:rPr>
                <w:rFonts w:eastAsia="Times New Roman"/>
              </w:rPr>
              <w:t>1407/2013)</w:t>
            </w:r>
            <w:r w:rsidRPr="00A556F1">
              <w:t xml:space="preserve">. </w:t>
            </w:r>
            <w:r w:rsidR="00E71A32" w:rsidRPr="00A556F1">
              <w:t xml:space="preserve">Ņemot vērā Finanšu ministrijas sniegto skaidrojumu, ka </w:t>
            </w:r>
            <w:r w:rsidR="0004793C" w:rsidRPr="00A556F1">
              <w:t xml:space="preserve">atbalsta piešķiršanas brīža identificēšana ir būtisks priekšnosacījums korektai interpretācijai par datumu, kurā tiktu uzskatīts, ka komercdarbības atbalsts saskaņā ar </w:t>
            </w:r>
            <w:r w:rsidR="00552705" w:rsidRPr="00A556F1">
              <w:t>Regulu Nr.</w:t>
            </w:r>
            <w:r w:rsidR="00EF77E7">
              <w:t> </w:t>
            </w:r>
            <w:r w:rsidR="00552705" w:rsidRPr="00A556F1">
              <w:t xml:space="preserve">651/2014 un Regulu </w:t>
            </w:r>
            <w:r w:rsidR="0004793C" w:rsidRPr="00A556F1">
              <w:t>Nr.</w:t>
            </w:r>
            <w:r w:rsidR="00EF77E7">
              <w:t> </w:t>
            </w:r>
            <w:r w:rsidR="0004793C" w:rsidRPr="00A556F1">
              <w:t>1407/2013, ticis piešķirts tā saņēmējam</w:t>
            </w:r>
            <w:r w:rsidR="00EF77E7">
              <w:t>,</w:t>
            </w:r>
            <w:r w:rsidR="00E71A32" w:rsidRPr="00A556F1">
              <w:t xml:space="preserve"> 1.1.1.5. pasākuma noteikumu projekts </w:t>
            </w:r>
            <w:r w:rsidR="00EF77E7">
              <w:t xml:space="preserve">paredz </w:t>
            </w:r>
            <w:r w:rsidR="00E71A32" w:rsidRPr="00A556F1">
              <w:t xml:space="preserve">papildināt </w:t>
            </w:r>
            <w:r w:rsidR="00EF77E7">
              <w:t xml:space="preserve">MK noteikumus Nr. 315 </w:t>
            </w:r>
            <w:r w:rsidR="00E71A32" w:rsidRPr="00A556F1">
              <w:t>ar 24.</w:t>
            </w:r>
            <w:r w:rsidR="00E71A32" w:rsidRPr="00A556F1">
              <w:rPr>
                <w:vertAlign w:val="superscript"/>
              </w:rPr>
              <w:t>1</w:t>
            </w:r>
            <w:r w:rsidR="00E71A32" w:rsidRPr="00A556F1">
              <w:t> un 62.</w:t>
            </w:r>
            <w:r w:rsidR="00E71A32" w:rsidRPr="00A556F1">
              <w:rPr>
                <w:vertAlign w:val="superscript"/>
              </w:rPr>
              <w:t>1</w:t>
            </w:r>
            <w:r w:rsidR="00E71A32" w:rsidRPr="00A556F1">
              <w:t> punktu.</w:t>
            </w:r>
          </w:p>
          <w:p w14:paraId="5340C653" w14:textId="51F1BF6B" w:rsidR="0045394E" w:rsidRPr="00166824" w:rsidRDefault="0045394E" w:rsidP="00E71A32">
            <w:pPr>
              <w:tabs>
                <w:tab w:val="left" w:pos="108"/>
              </w:tabs>
              <w:spacing w:line="252" w:lineRule="auto"/>
              <w:ind w:right="102"/>
              <w:jc w:val="both"/>
            </w:pPr>
            <w:r w:rsidRPr="00166824">
              <w:t xml:space="preserve">Saskaņā ar Eiropas Savienības struktūrfondu un Kohēzijas fonda 2014.—2020.gada plānošanas perioda vadības likuma 18. panta pirmās daļas 1. un 2. punktā noteikto, gadījumā, ja finansējuma saņēmējs ir fiziska vai juridiska persona, starp Centrālo finanšu un līgumu aģentūru (turpmāk – CFLA) un finansējuma saņēmēju tiek slēgts līgums, gadījumā, ja tiešās vai pastarpinātās pārvaldes </w:t>
            </w:r>
            <w:r w:rsidRPr="00166824">
              <w:lastRenderedPageBreak/>
              <w:t>iestāde, atvasināta publiska persona vai cita valsts iestāde - vienošanās.</w:t>
            </w:r>
          </w:p>
          <w:p w14:paraId="58B7095B" w14:textId="77777777" w:rsidR="00670FA6" w:rsidRPr="00A556F1" w:rsidRDefault="00670FA6" w:rsidP="0044498D">
            <w:pPr>
              <w:jc w:val="both"/>
            </w:pPr>
          </w:p>
          <w:p w14:paraId="58B7095C" w14:textId="77777777" w:rsidR="000E5BD4" w:rsidRPr="00A556F1" w:rsidRDefault="006947C6" w:rsidP="00D70E43">
            <w:pPr>
              <w:jc w:val="both"/>
              <w:rPr>
                <w:rFonts w:eastAsia="Times New Roman"/>
              </w:rPr>
            </w:pPr>
            <w:r w:rsidRPr="00A556F1">
              <w:rPr>
                <w:rFonts w:eastAsia="Times New Roman"/>
                <w:b/>
              </w:rPr>
              <w:t>1.1.1.3. pasākuma ieviešana</w:t>
            </w:r>
            <w:r w:rsidRPr="00A556F1">
              <w:rPr>
                <w:rFonts w:eastAsia="Times New Roman"/>
              </w:rPr>
              <w:t xml:space="preserve"> tiek veikta atbilstoši MK noteikumos Nr. 41</w:t>
            </w:r>
            <w:r w:rsidR="00626CD0" w:rsidRPr="00A556F1">
              <w:rPr>
                <w:rFonts w:eastAsia="Times New Roman"/>
              </w:rPr>
              <w:t xml:space="preserve"> noteiktajam atklātas </w:t>
            </w:r>
            <w:r w:rsidR="00B63595" w:rsidRPr="00A556F1">
              <w:rPr>
                <w:rFonts w:eastAsia="Times New Roman"/>
              </w:rPr>
              <w:t xml:space="preserve">projektu iesniegumu </w:t>
            </w:r>
            <w:r w:rsidR="00626CD0" w:rsidRPr="00A556F1">
              <w:rPr>
                <w:rFonts w:eastAsia="Times New Roman"/>
              </w:rPr>
              <w:t xml:space="preserve">atlases veidā. </w:t>
            </w:r>
            <w:r w:rsidR="000E5BD4" w:rsidRPr="00A556F1">
              <w:rPr>
                <w:rFonts w:eastAsia="Times New Roman"/>
              </w:rPr>
              <w:t xml:space="preserve">1.1.1.3. pasākuma mērķis ir attīstīt studējošo inovācijas spēju, uzņēmīgumu, </w:t>
            </w:r>
            <w:r w:rsidR="00E614B8" w:rsidRPr="00A556F1">
              <w:rPr>
                <w:rFonts w:eastAsia="Times New Roman"/>
              </w:rPr>
              <w:t xml:space="preserve">tai skaitā </w:t>
            </w:r>
            <w:r w:rsidR="000E5BD4" w:rsidRPr="00A556F1">
              <w:rPr>
                <w:rFonts w:eastAsia="Times New Roman"/>
              </w:rPr>
              <w:t xml:space="preserve">uzņēmējspēju, stiprināt  augstskolu un studējošo sadarbību ar nozari (komersantiem) un piesaistīt privāto finansējumu </w:t>
            </w:r>
            <w:r w:rsidR="00AC5216" w:rsidRPr="00A556F1">
              <w:rPr>
                <w:rFonts w:eastAsia="Times New Roman"/>
              </w:rPr>
              <w:t>Studentu inovāciju programmas īstenošanai</w:t>
            </w:r>
            <w:r w:rsidR="000E5BD4" w:rsidRPr="00A556F1">
              <w:rPr>
                <w:rFonts w:eastAsia="Times New Roman"/>
              </w:rPr>
              <w:t>.</w:t>
            </w:r>
            <w:r w:rsidR="00AC5216" w:rsidRPr="00A556F1">
              <w:rPr>
                <w:rFonts w:eastAsia="Times New Roman"/>
              </w:rPr>
              <w:t xml:space="preserve"> </w:t>
            </w:r>
          </w:p>
          <w:p w14:paraId="58B7095D" w14:textId="77777777" w:rsidR="006947C6" w:rsidRPr="00A556F1" w:rsidRDefault="00D70E43" w:rsidP="00D70E43">
            <w:pPr>
              <w:jc w:val="both"/>
              <w:rPr>
                <w:rFonts w:eastAsia="Times New Roman"/>
              </w:rPr>
            </w:pPr>
            <w:r w:rsidRPr="00A556F1">
              <w:rPr>
                <w:rFonts w:eastAsia="Times New Roman"/>
              </w:rPr>
              <w:t xml:space="preserve">1.1.1.3. </w:t>
            </w:r>
            <w:r w:rsidR="000E5BD4" w:rsidRPr="00A556F1">
              <w:rPr>
                <w:rFonts w:eastAsia="Times New Roman"/>
              </w:rPr>
              <w:t>p</w:t>
            </w:r>
            <w:r w:rsidR="006947C6" w:rsidRPr="00A556F1">
              <w:rPr>
                <w:rFonts w:eastAsia="Times New Roman"/>
              </w:rPr>
              <w:t>asākumā plānotais kopējais attiecināmais finansējums ir vismaz 38 533 333 </w:t>
            </w:r>
            <w:r w:rsidR="006947C6" w:rsidRPr="00A556F1">
              <w:rPr>
                <w:rFonts w:eastAsia="Times New Roman"/>
                <w:i/>
              </w:rPr>
              <w:t>euro</w:t>
            </w:r>
            <w:r w:rsidR="006947C6" w:rsidRPr="00A556F1">
              <w:rPr>
                <w:rFonts w:eastAsia="Times New Roman"/>
              </w:rPr>
              <w:t>, ko veido ERAF finansējums –</w:t>
            </w:r>
            <w:r w:rsidR="00E614B8" w:rsidRPr="00A556F1">
              <w:rPr>
                <w:rFonts w:eastAsia="Times New Roman"/>
              </w:rPr>
              <w:t xml:space="preserve"> </w:t>
            </w:r>
            <w:r w:rsidR="006947C6" w:rsidRPr="00A556F1">
              <w:rPr>
                <w:rFonts w:eastAsia="Times New Roman"/>
              </w:rPr>
              <w:t>28 900 000 </w:t>
            </w:r>
            <w:r w:rsidR="006947C6" w:rsidRPr="00A556F1">
              <w:rPr>
                <w:rFonts w:eastAsia="Times New Roman"/>
                <w:i/>
              </w:rPr>
              <w:t>euro</w:t>
            </w:r>
            <w:r w:rsidR="006947C6" w:rsidRPr="00A556F1">
              <w:rPr>
                <w:rFonts w:eastAsia="Times New Roman"/>
              </w:rPr>
              <w:t> un privātais līdzfinansējums – vismaz 9 633 333 </w:t>
            </w:r>
            <w:r w:rsidR="006947C6" w:rsidRPr="00A556F1">
              <w:rPr>
                <w:rFonts w:eastAsia="Times New Roman"/>
                <w:i/>
              </w:rPr>
              <w:t>euro</w:t>
            </w:r>
            <w:r w:rsidR="006947C6" w:rsidRPr="00A556F1">
              <w:rPr>
                <w:rFonts w:eastAsia="Times New Roman"/>
              </w:rPr>
              <w:t>:</w:t>
            </w:r>
          </w:p>
          <w:p w14:paraId="58B7095E" w14:textId="77777777" w:rsidR="006947C6" w:rsidRPr="00A556F1" w:rsidRDefault="006947C6" w:rsidP="00D70E43">
            <w:pPr>
              <w:jc w:val="both"/>
            </w:pPr>
            <w:r w:rsidRPr="00A556F1">
              <w:rPr>
                <w:rFonts w:eastAsia="Times New Roman"/>
              </w:rPr>
              <w:t>a) pirmajai atlases kārtai plānotais</w:t>
            </w:r>
            <w:r w:rsidRPr="00A556F1">
              <w:t xml:space="preserve"> kopējais attiecināmais finansējums ir vismaz 26 467 596 </w:t>
            </w:r>
            <w:r w:rsidRPr="00A556F1">
              <w:rPr>
                <w:i/>
              </w:rPr>
              <w:t>euro</w:t>
            </w:r>
            <w:r w:rsidRPr="00A556F1">
              <w:t>, ko veido ERAF finansējums – 19 850 697 </w:t>
            </w:r>
            <w:r w:rsidRPr="00A556F1">
              <w:rPr>
                <w:i/>
              </w:rPr>
              <w:t>euro</w:t>
            </w:r>
            <w:r w:rsidRPr="00A556F1">
              <w:t> un privātais līdzfinansējums – vismaz 6 616 899 </w:t>
            </w:r>
            <w:r w:rsidRPr="00A556F1">
              <w:rPr>
                <w:i/>
              </w:rPr>
              <w:t>euro</w:t>
            </w:r>
            <w:r w:rsidRPr="00A556F1">
              <w:t>;</w:t>
            </w:r>
          </w:p>
          <w:p w14:paraId="58B7095F" w14:textId="77777777" w:rsidR="006947C6" w:rsidRPr="00A556F1" w:rsidRDefault="006947C6" w:rsidP="006947C6">
            <w:pPr>
              <w:pStyle w:val="tv213"/>
              <w:shd w:val="clear" w:color="auto" w:fill="FFFFFF"/>
              <w:spacing w:before="0" w:beforeAutospacing="0" w:after="0" w:afterAutospacing="0" w:line="293" w:lineRule="atLeast"/>
              <w:jc w:val="both"/>
            </w:pPr>
            <w:r w:rsidRPr="00A556F1">
              <w:t>b) otrajai atlases kārtai plānotais kopējais attiecināmais finansējums ir vismaz 12 065 737 </w:t>
            </w:r>
            <w:r w:rsidRPr="00A556F1">
              <w:rPr>
                <w:i/>
              </w:rPr>
              <w:t>euro</w:t>
            </w:r>
            <w:r w:rsidRPr="00A556F1">
              <w:t>, ko veido ERAF finansējums – 9 049 303 </w:t>
            </w:r>
            <w:r w:rsidRPr="00A556F1">
              <w:rPr>
                <w:i/>
              </w:rPr>
              <w:t>euro</w:t>
            </w:r>
            <w:r w:rsidRPr="00A556F1">
              <w:t> un privātais līdzfinansējums – vismaz 3 016 434 </w:t>
            </w:r>
            <w:r w:rsidRPr="00A556F1">
              <w:rPr>
                <w:i/>
              </w:rPr>
              <w:t>euro</w:t>
            </w:r>
            <w:r w:rsidRPr="00A556F1">
              <w:t>.</w:t>
            </w:r>
          </w:p>
          <w:p w14:paraId="58B70960" w14:textId="77777777" w:rsidR="002B24DC" w:rsidRPr="00A556F1" w:rsidRDefault="002B24DC" w:rsidP="002B24DC">
            <w:pPr>
              <w:jc w:val="both"/>
              <w:rPr>
                <w:rFonts w:eastAsia="Times New Roman"/>
              </w:rPr>
            </w:pPr>
            <w:r w:rsidRPr="00A556F1">
              <w:rPr>
                <w:rFonts w:eastAsia="Times New Roman"/>
              </w:rPr>
              <w:t>1.1.1.3. pasākuma ERAF finansējuma apmērs nepārsniedz 75 procentus no projekta kopējā attiecināmā finansējuma, savukārt privātais līdzfinansējums veido vismaz 25 procentus no projekta kopējā attiecināmā finansējuma.</w:t>
            </w:r>
          </w:p>
          <w:p w14:paraId="58B70961" w14:textId="5196C40F" w:rsidR="006E6B8E" w:rsidRPr="00A556F1" w:rsidRDefault="000E5BD4" w:rsidP="006E6B8E">
            <w:pPr>
              <w:pStyle w:val="tv213"/>
              <w:shd w:val="clear" w:color="auto" w:fill="FFFFFF"/>
              <w:spacing w:before="0" w:beforeAutospacing="0" w:after="0" w:afterAutospacing="0" w:line="293" w:lineRule="atLeast"/>
              <w:jc w:val="both"/>
            </w:pPr>
            <w:r w:rsidRPr="00A556F1">
              <w:t xml:space="preserve">2018. gadā tika izsludināta pirmā projektu iesniegumu atlases kārta, kuras rezultātā tika iesniegti septiņi projektu iesniegumi ar kopējo indikatīvi attiecināmo finansējumu 15 milj. </w:t>
            </w:r>
            <w:r w:rsidRPr="00A556F1">
              <w:rPr>
                <w:i/>
              </w:rPr>
              <w:t xml:space="preserve">euro </w:t>
            </w:r>
            <w:r w:rsidRPr="00A556F1">
              <w:t xml:space="preserve">(tai skaitā ERAF </w:t>
            </w:r>
            <w:r w:rsidR="00E614B8" w:rsidRPr="00A556F1">
              <w:t xml:space="preserve">finansējums </w:t>
            </w:r>
            <w:r w:rsidRPr="00A556F1">
              <w:t xml:space="preserve">11,3 milj. </w:t>
            </w:r>
            <w:r w:rsidRPr="00A556F1">
              <w:rPr>
                <w:i/>
              </w:rPr>
              <w:t>euro</w:t>
            </w:r>
            <w:r w:rsidR="006E6B8E" w:rsidRPr="00A556F1">
              <w:t xml:space="preserve"> un pri</w:t>
            </w:r>
            <w:r w:rsidRPr="00A556F1">
              <w:t xml:space="preserve">vātais līdzfinansējums 3,7 milj. </w:t>
            </w:r>
            <w:r w:rsidRPr="00A556F1">
              <w:rPr>
                <w:i/>
              </w:rPr>
              <w:t>euro</w:t>
            </w:r>
            <w:r w:rsidR="004F66A9" w:rsidRPr="00A556F1">
              <w:t>)</w:t>
            </w:r>
            <w:r w:rsidR="007D4159">
              <w:t>. U</w:t>
            </w:r>
            <w:r w:rsidR="0061189A" w:rsidRPr="00A556F1">
              <w:t>z</w:t>
            </w:r>
            <w:r w:rsidR="00A70ED3" w:rsidRPr="00A556F1">
              <w:t xml:space="preserve"> 1.1.1.5. pasākuma </w:t>
            </w:r>
            <w:r w:rsidR="0061189A" w:rsidRPr="00A556F1">
              <w:t xml:space="preserve">noteikumu projekta izstrādes brīdi notiek nosacījumu izpildes vērtēšana </w:t>
            </w:r>
            <w:r w:rsidR="004F66A9" w:rsidRPr="00A556F1">
              <w:t>seši</w:t>
            </w:r>
            <w:r w:rsidR="0061189A" w:rsidRPr="00A556F1">
              <w:t>em</w:t>
            </w:r>
            <w:r w:rsidR="004F66A9" w:rsidRPr="00A556F1">
              <w:t xml:space="preserve"> projektu iesniegumi</w:t>
            </w:r>
            <w:r w:rsidR="0061189A" w:rsidRPr="00A556F1">
              <w:t>em</w:t>
            </w:r>
            <w:r w:rsidR="00627BF3" w:rsidRPr="00A556F1">
              <w:t xml:space="preserve"> (viens projekta iesniegums tika noraidīts)</w:t>
            </w:r>
            <w:r w:rsidRPr="00A556F1">
              <w:t xml:space="preserve">. </w:t>
            </w:r>
            <w:r w:rsidR="006E6B8E" w:rsidRPr="00A556F1">
              <w:t xml:space="preserve">Plānots, ka vienošanās par projektu īstenošanu ar projekta iesniedzējiem tiks </w:t>
            </w:r>
            <w:r w:rsidR="007D4159">
              <w:t>no</w:t>
            </w:r>
            <w:r w:rsidR="006E6B8E" w:rsidRPr="00A556F1">
              <w:t>slēgt</w:t>
            </w:r>
            <w:r w:rsidR="0061189A" w:rsidRPr="00A556F1">
              <w:t>as</w:t>
            </w:r>
            <w:r w:rsidR="006E6B8E" w:rsidRPr="00A556F1">
              <w:t xml:space="preserve"> 2019. gada 2. – 3. ceturksnī</w:t>
            </w:r>
            <w:r w:rsidR="00D70E43" w:rsidRPr="00A556F1">
              <w:t xml:space="preserve"> un atlases kārtai paredzētais finansējuma apmērs ir pietiekams, lai noslēgtu visas </w:t>
            </w:r>
            <w:r w:rsidR="00627BF3" w:rsidRPr="00A556F1">
              <w:t>sešas</w:t>
            </w:r>
            <w:r w:rsidR="00D70E43" w:rsidRPr="00A556F1">
              <w:t xml:space="preserve"> vienošanās par projektu īstenošanu</w:t>
            </w:r>
            <w:r w:rsidR="006E6B8E" w:rsidRPr="00A556F1">
              <w:t xml:space="preserve">. </w:t>
            </w:r>
          </w:p>
          <w:p w14:paraId="58B70962" w14:textId="77777777" w:rsidR="000E5BD4" w:rsidRPr="00A556F1" w:rsidRDefault="006E6B8E" w:rsidP="000E5BD4">
            <w:pPr>
              <w:jc w:val="both"/>
            </w:pPr>
            <w:r w:rsidRPr="00A556F1">
              <w:t>I</w:t>
            </w:r>
            <w:r w:rsidR="000E5BD4" w:rsidRPr="00A556F1">
              <w:t xml:space="preserve">ndikatīvais 1.1.1.3. pasākuma pirmajā kārtā iespējamais </w:t>
            </w:r>
            <w:r w:rsidR="00DD0B18" w:rsidRPr="00A556F1">
              <w:t xml:space="preserve">ERAF </w:t>
            </w:r>
            <w:r w:rsidR="000E5BD4" w:rsidRPr="00A556F1">
              <w:t>finans</w:t>
            </w:r>
            <w:r w:rsidR="00627BF3" w:rsidRPr="00A556F1">
              <w:t xml:space="preserve">ējuma atlikums tiek plānots </w:t>
            </w:r>
            <w:r w:rsidR="0061052C" w:rsidRPr="00A556F1">
              <w:t>8,86</w:t>
            </w:r>
            <w:r w:rsidR="000E5BD4" w:rsidRPr="00A556F1">
              <w:t xml:space="preserve"> milj. </w:t>
            </w:r>
            <w:r w:rsidR="000E5BD4" w:rsidRPr="00A556F1">
              <w:rPr>
                <w:i/>
              </w:rPr>
              <w:t>euro</w:t>
            </w:r>
            <w:r w:rsidR="000E5BD4" w:rsidRPr="00A556F1">
              <w:t xml:space="preserve"> apmērā. </w:t>
            </w:r>
          </w:p>
          <w:p w14:paraId="58B70963" w14:textId="5CDA9ED8" w:rsidR="00297D17" w:rsidRPr="00166824" w:rsidRDefault="0006431E" w:rsidP="0044498D">
            <w:pPr>
              <w:jc w:val="both"/>
            </w:pPr>
            <w:r w:rsidRPr="00A556F1">
              <w:t xml:space="preserve">1.1.1.3. pasākuma </w:t>
            </w:r>
            <w:r>
              <w:t>p</w:t>
            </w:r>
            <w:r w:rsidR="00D90746" w:rsidRPr="00A556F1">
              <w:t xml:space="preserve">irmajai kārtai pieejamais </w:t>
            </w:r>
            <w:r w:rsidR="00DD0B18" w:rsidRPr="00A556F1">
              <w:t xml:space="preserve">ERAF </w:t>
            </w:r>
            <w:r w:rsidR="00D90746" w:rsidRPr="00A556F1">
              <w:t>finansējuma atlikums ir pietiekams, lai nodrošinātu 1.1.1.5. pasākuma trešās</w:t>
            </w:r>
            <w:r w:rsidR="00B27CD9" w:rsidRPr="00A556F1">
              <w:t xml:space="preserve"> projektu </w:t>
            </w:r>
            <w:r w:rsidR="00B27CD9" w:rsidRPr="00166824">
              <w:t>iesniegumu</w:t>
            </w:r>
            <w:r w:rsidR="00D90746" w:rsidRPr="00166824">
              <w:t xml:space="preserve"> kārtas ieviešanai nepieciešamā papildu ER</w:t>
            </w:r>
            <w:r w:rsidR="00627BF3" w:rsidRPr="00166824">
              <w:t xml:space="preserve">AF finansējuma pārdali </w:t>
            </w:r>
            <w:r w:rsidR="005C5125" w:rsidRPr="00166824">
              <w:t>  4 364 342</w:t>
            </w:r>
            <w:r w:rsidR="00D90746" w:rsidRPr="00166824">
              <w:t xml:space="preserve"> </w:t>
            </w:r>
            <w:r w:rsidR="00D90746" w:rsidRPr="00166824">
              <w:rPr>
                <w:i/>
              </w:rPr>
              <w:t>euro</w:t>
            </w:r>
            <w:r w:rsidR="00D90746" w:rsidRPr="00166824">
              <w:t xml:space="preserve"> apmērā.</w:t>
            </w:r>
          </w:p>
          <w:p w14:paraId="58B70964" w14:textId="77777777" w:rsidR="007E465C" w:rsidRPr="00A556F1" w:rsidRDefault="007E465C" w:rsidP="0044498D">
            <w:pPr>
              <w:jc w:val="both"/>
            </w:pPr>
          </w:p>
          <w:p w14:paraId="58B70965" w14:textId="0816DFAF" w:rsidR="006F24D8" w:rsidRPr="00A556F1" w:rsidRDefault="00DD0B18" w:rsidP="00B7205F">
            <w:pPr>
              <w:jc w:val="both"/>
              <w:rPr>
                <w:rFonts w:eastAsia="Times New Roman"/>
              </w:rPr>
            </w:pPr>
            <w:r w:rsidRPr="00A556F1">
              <w:rPr>
                <w:rFonts w:eastAsia="Times New Roman"/>
              </w:rPr>
              <w:t>G</w:t>
            </w:r>
            <w:r w:rsidR="00222D1C" w:rsidRPr="00A556F1">
              <w:rPr>
                <w:rFonts w:eastAsia="Times New Roman"/>
              </w:rPr>
              <w:t xml:space="preserve">rozījumi </w:t>
            </w:r>
            <w:r w:rsidR="005E64A1" w:rsidRPr="00A556F1">
              <w:rPr>
                <w:rFonts w:eastAsia="Times New Roman"/>
              </w:rPr>
              <w:t xml:space="preserve">MK noteikumos </w:t>
            </w:r>
            <w:r w:rsidR="00222D1C" w:rsidRPr="00A556F1">
              <w:rPr>
                <w:rFonts w:eastAsia="Times New Roman"/>
              </w:rPr>
              <w:t>Nr. 315 pozit</w:t>
            </w:r>
            <w:r w:rsidR="007764C0" w:rsidRPr="00A556F1">
              <w:rPr>
                <w:rFonts w:eastAsia="Times New Roman"/>
              </w:rPr>
              <w:t>īvi ietekmē</w:t>
            </w:r>
            <w:r w:rsidR="007D4159">
              <w:rPr>
                <w:rFonts w:eastAsia="Times New Roman"/>
              </w:rPr>
              <w:t>s</w:t>
            </w:r>
            <w:r w:rsidR="007764C0" w:rsidRPr="00A556F1">
              <w:rPr>
                <w:rFonts w:eastAsia="Times New Roman"/>
              </w:rPr>
              <w:t xml:space="preserve"> 1.1.1.5. pasākuma trešās</w:t>
            </w:r>
            <w:r w:rsidR="00222D1C" w:rsidRPr="00A556F1">
              <w:rPr>
                <w:rFonts w:eastAsia="Times New Roman"/>
              </w:rPr>
              <w:t xml:space="preserve"> </w:t>
            </w:r>
            <w:r w:rsidR="00634C56" w:rsidRPr="00A556F1">
              <w:t>projektu iesniegumu</w:t>
            </w:r>
            <w:r w:rsidR="00634C56" w:rsidRPr="00A556F1">
              <w:rPr>
                <w:rFonts w:eastAsia="Times New Roman"/>
              </w:rPr>
              <w:t xml:space="preserve"> atlases </w:t>
            </w:r>
            <w:r w:rsidR="00222D1C" w:rsidRPr="00A556F1">
              <w:rPr>
                <w:rFonts w:eastAsia="Times New Roman"/>
              </w:rPr>
              <w:t>kārtas</w:t>
            </w:r>
            <w:r w:rsidR="00B27CD9" w:rsidRPr="00A556F1">
              <w:t xml:space="preserve"> </w:t>
            </w:r>
            <w:r w:rsidR="005F36DF" w:rsidRPr="00A556F1">
              <w:rPr>
                <w:rFonts w:eastAsia="Times New Roman"/>
              </w:rPr>
              <w:t xml:space="preserve">ietvaros iesniegtos projektu iesniegumus un </w:t>
            </w:r>
            <w:r w:rsidR="00222D1C" w:rsidRPr="00A556F1">
              <w:rPr>
                <w:rFonts w:eastAsia="Times New Roman"/>
              </w:rPr>
              <w:t>po</w:t>
            </w:r>
            <w:r w:rsidR="007764C0" w:rsidRPr="00A556F1">
              <w:rPr>
                <w:rFonts w:eastAsia="Times New Roman"/>
              </w:rPr>
              <w:t>tenciālos projektu</w:t>
            </w:r>
            <w:r w:rsidR="00B67217" w:rsidRPr="00A556F1">
              <w:rPr>
                <w:rFonts w:eastAsia="Times New Roman"/>
              </w:rPr>
              <w:t xml:space="preserve"> iesniedzējus, lai tādējādi Latvijas zinātniskās </w:t>
            </w:r>
            <w:r w:rsidR="00B67217" w:rsidRPr="00A556F1">
              <w:rPr>
                <w:rFonts w:eastAsia="Times New Roman"/>
              </w:rPr>
              <w:lastRenderedPageBreak/>
              <w:t>institūcijas nodrošinātu zinātniski nozīmīgu</w:t>
            </w:r>
            <w:r w:rsidRPr="00A556F1">
              <w:rPr>
                <w:rFonts w:eastAsia="Times New Roman"/>
              </w:rPr>
              <w:t xml:space="preserve"> un </w:t>
            </w:r>
            <w:r w:rsidR="00B67217" w:rsidRPr="00A556F1">
              <w:rPr>
                <w:rFonts w:eastAsia="Times New Roman"/>
              </w:rPr>
              <w:t>finansiāli ietilpīgu projektu iesniegumu, kas saņēmuši virs kvalitātes sliekšņa novērtējumu programmas “Apvārsnis 2020” ietvaros, īstenošanu</w:t>
            </w:r>
            <w:r w:rsidR="005F36DF" w:rsidRPr="00A556F1">
              <w:rPr>
                <w:rFonts w:eastAsia="Times New Roman"/>
              </w:rPr>
              <w:t>,</w:t>
            </w:r>
            <w:r w:rsidR="0032007A" w:rsidRPr="00A556F1">
              <w:rPr>
                <w:rFonts w:eastAsia="Times New Roman"/>
              </w:rPr>
              <w:t xml:space="preserve"> nodrošinātu atlases kārtas konkursa un finanšu plūsmas nepārtrauktību</w:t>
            </w:r>
            <w:r w:rsidR="005F36DF" w:rsidRPr="00A556F1">
              <w:rPr>
                <w:rFonts w:eastAsia="Times New Roman"/>
              </w:rPr>
              <w:t xml:space="preserve"> un nodrošinātu tiesiskās paļāvības princip</w:t>
            </w:r>
            <w:r w:rsidR="007D4159">
              <w:rPr>
                <w:rFonts w:eastAsia="Times New Roman"/>
              </w:rPr>
              <w:t>a ievērošanu</w:t>
            </w:r>
            <w:r w:rsidR="00B67217" w:rsidRPr="00A556F1">
              <w:rPr>
                <w:rFonts w:eastAsia="Times New Roman"/>
              </w:rPr>
              <w:t xml:space="preserve">. </w:t>
            </w:r>
            <w:r w:rsidR="006E6B8E" w:rsidRPr="00A556F1">
              <w:rPr>
                <w:rFonts w:eastAsia="Times New Roman"/>
              </w:rPr>
              <w:t xml:space="preserve">Vienlaikus </w:t>
            </w:r>
            <w:r w:rsidR="006F24D8" w:rsidRPr="00A556F1">
              <w:rPr>
                <w:iCs/>
              </w:rPr>
              <w:t>ar izstrādāto 1.1.1.3. pasākuma noteikumu projektu un 1.1.1.5. pasākuma noteikumu projektu plānotā</w:t>
            </w:r>
            <w:r w:rsidR="00256189" w:rsidRPr="00A556F1">
              <w:rPr>
                <w:iCs/>
              </w:rPr>
              <w:t xml:space="preserve"> finansējuma pārdale neietekmēs </w:t>
            </w:r>
            <w:r w:rsidR="006E6B8E" w:rsidRPr="00A556F1">
              <w:rPr>
                <w:rFonts w:eastAsia="Times New Roman"/>
              </w:rPr>
              <w:t>1.1.1.3.</w:t>
            </w:r>
            <w:r w:rsidR="006D18E7" w:rsidRPr="00A556F1">
              <w:rPr>
                <w:rFonts w:eastAsia="Times New Roman"/>
              </w:rPr>
              <w:t> </w:t>
            </w:r>
            <w:r w:rsidR="006E6B8E" w:rsidRPr="00A556F1">
              <w:rPr>
                <w:rFonts w:eastAsia="Times New Roman"/>
              </w:rPr>
              <w:t>pasākuma otrā</w:t>
            </w:r>
            <w:r w:rsidR="006F24D8" w:rsidRPr="00A556F1">
              <w:rPr>
                <w:rFonts w:eastAsia="Times New Roman"/>
              </w:rPr>
              <w:t>s atlases kārtas izsludināšanu.</w:t>
            </w:r>
          </w:p>
        </w:tc>
      </w:tr>
      <w:tr w:rsidR="000506CD" w:rsidRPr="00A556F1" w14:paraId="58B7096A" w14:textId="77777777" w:rsidTr="00151E21">
        <w:tc>
          <w:tcPr>
            <w:tcW w:w="814" w:type="dxa"/>
            <w:tcBorders>
              <w:top w:val="single" w:sz="4" w:space="0" w:color="auto"/>
              <w:left w:val="single" w:sz="4" w:space="0" w:color="auto"/>
              <w:bottom w:val="single" w:sz="4" w:space="0" w:color="auto"/>
              <w:right w:val="single" w:sz="4" w:space="0" w:color="auto"/>
            </w:tcBorders>
            <w:shd w:val="clear" w:color="auto" w:fill="auto"/>
          </w:tcPr>
          <w:p w14:paraId="58B70967" w14:textId="77777777" w:rsidR="00055596" w:rsidRPr="00A556F1" w:rsidRDefault="00B650B7" w:rsidP="001351FC">
            <w:pPr>
              <w:jc w:val="center"/>
              <w:rPr>
                <w:lang w:eastAsia="en-US"/>
              </w:rPr>
            </w:pPr>
            <w:r w:rsidRPr="00A556F1">
              <w:lastRenderedPageBreak/>
              <w:t>3.</w:t>
            </w:r>
          </w:p>
        </w:tc>
        <w:tc>
          <w:tcPr>
            <w:tcW w:w="2379" w:type="dxa"/>
            <w:tcBorders>
              <w:top w:val="single" w:sz="4" w:space="0" w:color="auto"/>
              <w:left w:val="single" w:sz="4" w:space="0" w:color="auto"/>
              <w:bottom w:val="single" w:sz="4" w:space="0" w:color="auto"/>
              <w:right w:val="single" w:sz="4" w:space="0" w:color="auto"/>
            </w:tcBorders>
            <w:shd w:val="clear" w:color="auto" w:fill="auto"/>
          </w:tcPr>
          <w:p w14:paraId="58B70968" w14:textId="77777777" w:rsidR="00055596" w:rsidRPr="00A556F1" w:rsidRDefault="00B650B7" w:rsidP="001351FC">
            <w:pPr>
              <w:rPr>
                <w:lang w:eastAsia="en-US"/>
              </w:rPr>
            </w:pPr>
            <w:r w:rsidRPr="00A556F1">
              <w:t>Projekta izstrādē iesaistītās institūcijas</w:t>
            </w:r>
            <w:r w:rsidR="00742CA8" w:rsidRPr="00A556F1">
              <w:t xml:space="preserve"> un publiskas personas kapitālsabiedrības</w:t>
            </w:r>
          </w:p>
        </w:tc>
        <w:tc>
          <w:tcPr>
            <w:tcW w:w="5987" w:type="dxa"/>
            <w:tcBorders>
              <w:top w:val="single" w:sz="4" w:space="0" w:color="auto"/>
              <w:left w:val="single" w:sz="4" w:space="0" w:color="auto"/>
              <w:bottom w:val="single" w:sz="4" w:space="0" w:color="auto"/>
              <w:right w:val="single" w:sz="4" w:space="0" w:color="auto"/>
            </w:tcBorders>
            <w:shd w:val="clear" w:color="auto" w:fill="auto"/>
          </w:tcPr>
          <w:p w14:paraId="58B70969" w14:textId="77777777" w:rsidR="00055596" w:rsidRPr="00A556F1" w:rsidRDefault="0085122C" w:rsidP="0085122C">
            <w:pPr>
              <w:jc w:val="both"/>
              <w:rPr>
                <w:bCs/>
                <w:strike/>
              </w:rPr>
            </w:pPr>
            <w:r w:rsidRPr="00A556F1">
              <w:rPr>
                <w:bCs/>
                <w:iCs/>
              </w:rPr>
              <w:t>1.1.1.5.</w:t>
            </w:r>
            <w:r w:rsidR="00795D3B" w:rsidRPr="00A556F1">
              <w:rPr>
                <w:bCs/>
                <w:iCs/>
              </w:rPr>
              <w:t> </w:t>
            </w:r>
            <w:r w:rsidRPr="00A556F1">
              <w:rPr>
                <w:bCs/>
                <w:iCs/>
              </w:rPr>
              <w:t xml:space="preserve">pasākuma noteikumu projektu </w:t>
            </w:r>
            <w:r w:rsidR="00C314FA" w:rsidRPr="00A556F1">
              <w:rPr>
                <w:bCs/>
                <w:iCs/>
              </w:rPr>
              <w:t xml:space="preserve">izstrādāja </w:t>
            </w:r>
            <w:r w:rsidR="00E15EC6" w:rsidRPr="00A556F1">
              <w:rPr>
                <w:bCs/>
                <w:iCs/>
              </w:rPr>
              <w:t>IZM</w:t>
            </w:r>
            <w:r w:rsidR="00C314FA" w:rsidRPr="00A556F1">
              <w:rPr>
                <w:bCs/>
                <w:iCs/>
              </w:rPr>
              <w:t>.</w:t>
            </w:r>
          </w:p>
        </w:tc>
      </w:tr>
      <w:tr w:rsidR="000506CD" w:rsidRPr="00A556F1" w14:paraId="58B7096E" w14:textId="77777777" w:rsidTr="00151E21">
        <w:tc>
          <w:tcPr>
            <w:tcW w:w="814" w:type="dxa"/>
            <w:tcBorders>
              <w:top w:val="single" w:sz="4" w:space="0" w:color="auto"/>
              <w:left w:val="single" w:sz="4" w:space="0" w:color="auto"/>
              <w:bottom w:val="single" w:sz="4" w:space="0" w:color="auto"/>
              <w:right w:val="single" w:sz="4" w:space="0" w:color="auto"/>
            </w:tcBorders>
            <w:shd w:val="clear" w:color="auto" w:fill="auto"/>
          </w:tcPr>
          <w:p w14:paraId="58B7096B" w14:textId="77777777" w:rsidR="00055596" w:rsidRPr="00A556F1" w:rsidRDefault="00B650B7" w:rsidP="001351FC">
            <w:pPr>
              <w:jc w:val="center"/>
              <w:rPr>
                <w:lang w:eastAsia="en-US"/>
              </w:rPr>
            </w:pPr>
            <w:r w:rsidRPr="00A556F1">
              <w:t>4.</w:t>
            </w:r>
          </w:p>
        </w:tc>
        <w:tc>
          <w:tcPr>
            <w:tcW w:w="2379" w:type="dxa"/>
            <w:tcBorders>
              <w:top w:val="single" w:sz="4" w:space="0" w:color="auto"/>
              <w:left w:val="single" w:sz="4" w:space="0" w:color="auto"/>
              <w:bottom w:val="single" w:sz="4" w:space="0" w:color="auto"/>
              <w:right w:val="single" w:sz="4" w:space="0" w:color="auto"/>
            </w:tcBorders>
            <w:shd w:val="clear" w:color="auto" w:fill="auto"/>
          </w:tcPr>
          <w:p w14:paraId="58B7096C" w14:textId="77777777" w:rsidR="00055596" w:rsidRPr="00A556F1" w:rsidRDefault="00B650B7" w:rsidP="001351FC">
            <w:pPr>
              <w:rPr>
                <w:lang w:eastAsia="en-US"/>
              </w:rPr>
            </w:pPr>
            <w:r w:rsidRPr="00A556F1">
              <w:t>Cita informācija</w:t>
            </w:r>
          </w:p>
        </w:tc>
        <w:tc>
          <w:tcPr>
            <w:tcW w:w="5987" w:type="dxa"/>
            <w:tcBorders>
              <w:top w:val="single" w:sz="4" w:space="0" w:color="auto"/>
              <w:left w:val="single" w:sz="4" w:space="0" w:color="auto"/>
              <w:bottom w:val="single" w:sz="4" w:space="0" w:color="auto"/>
              <w:right w:val="single" w:sz="4" w:space="0" w:color="auto"/>
            </w:tcBorders>
            <w:shd w:val="clear" w:color="auto" w:fill="FFFFFF"/>
          </w:tcPr>
          <w:p w14:paraId="58B7096D" w14:textId="77777777" w:rsidR="00055596" w:rsidRPr="00A556F1" w:rsidRDefault="00616CE1" w:rsidP="002B0E96">
            <w:pPr>
              <w:pStyle w:val="Default"/>
              <w:jc w:val="both"/>
              <w:rPr>
                <w:rFonts w:eastAsia="Times New Roman"/>
                <w:color w:val="auto"/>
                <w:lang w:bidi="lo-LA"/>
              </w:rPr>
            </w:pPr>
            <w:r w:rsidRPr="00A556F1">
              <w:rPr>
                <w:bCs/>
                <w:color w:val="auto"/>
              </w:rPr>
              <w:t>Nav.</w:t>
            </w:r>
            <w:r w:rsidR="00B650B7" w:rsidRPr="00A556F1">
              <w:rPr>
                <w:bCs/>
                <w:color w:val="auto"/>
              </w:rPr>
              <w:t xml:space="preserve"> </w:t>
            </w:r>
          </w:p>
        </w:tc>
      </w:tr>
    </w:tbl>
    <w:p w14:paraId="58B7096F" w14:textId="77777777" w:rsidR="000952B3" w:rsidRPr="00A556F1" w:rsidRDefault="000952B3" w:rsidP="001351FC">
      <w:pPr>
        <w:jc w:val="both"/>
      </w:pPr>
    </w:p>
    <w:tbl>
      <w:tblPr>
        <w:tblW w:w="96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
        <w:gridCol w:w="1677"/>
        <w:gridCol w:w="989"/>
        <w:gridCol w:w="23"/>
        <w:gridCol w:w="1163"/>
        <w:gridCol w:w="985"/>
        <w:gridCol w:w="1141"/>
        <w:gridCol w:w="985"/>
        <w:gridCol w:w="1141"/>
        <w:gridCol w:w="1166"/>
        <w:gridCol w:w="28"/>
      </w:tblGrid>
      <w:tr w:rsidR="000506CD" w:rsidRPr="00A556F1" w14:paraId="58B70971" w14:textId="77777777" w:rsidTr="00044C88">
        <w:trPr>
          <w:gridAfter w:val="1"/>
          <w:wAfter w:w="28" w:type="dxa"/>
        </w:trPr>
        <w:tc>
          <w:tcPr>
            <w:tcW w:w="9666" w:type="dxa"/>
            <w:gridSpan w:val="10"/>
            <w:tcBorders>
              <w:top w:val="single" w:sz="4" w:space="0" w:color="auto"/>
              <w:left w:val="single" w:sz="4" w:space="0" w:color="auto"/>
              <w:bottom w:val="single" w:sz="4" w:space="0" w:color="auto"/>
              <w:right w:val="single" w:sz="4" w:space="0" w:color="auto"/>
            </w:tcBorders>
            <w:shd w:val="clear" w:color="auto" w:fill="auto"/>
            <w:hideMark/>
          </w:tcPr>
          <w:p w14:paraId="58B70970" w14:textId="77777777" w:rsidR="000952B3" w:rsidRPr="00A556F1" w:rsidRDefault="00B650B7" w:rsidP="001351FC">
            <w:pPr>
              <w:pStyle w:val="ListParagraph"/>
              <w:tabs>
                <w:tab w:val="left" w:pos="2268"/>
                <w:tab w:val="left" w:pos="2410"/>
              </w:tabs>
              <w:ind w:left="1080"/>
              <w:jc w:val="center"/>
              <w:rPr>
                <w:b/>
                <w:sz w:val="24"/>
                <w:szCs w:val="24"/>
                <w:lang w:eastAsia="en-US"/>
              </w:rPr>
            </w:pPr>
            <w:r w:rsidRPr="00A556F1">
              <w:rPr>
                <w:b/>
                <w:bCs/>
                <w:sz w:val="24"/>
                <w:szCs w:val="24"/>
              </w:rPr>
              <w:t>II. Tiesību akta projekta ietekme uz sabiedrību, tautsaimniecības attīstību un administratīvo slogu</w:t>
            </w:r>
          </w:p>
        </w:tc>
      </w:tr>
      <w:tr w:rsidR="000506CD" w:rsidRPr="00A556F1" w14:paraId="58B70975" w14:textId="77777777" w:rsidTr="00044C88">
        <w:trPr>
          <w:gridAfter w:val="1"/>
          <w:wAfter w:w="28" w:type="dxa"/>
        </w:trPr>
        <w:tc>
          <w:tcPr>
            <w:tcW w:w="396" w:type="dxa"/>
            <w:tcBorders>
              <w:top w:val="single" w:sz="4" w:space="0" w:color="auto"/>
              <w:left w:val="single" w:sz="4" w:space="0" w:color="auto"/>
              <w:bottom w:val="single" w:sz="4" w:space="0" w:color="auto"/>
              <w:right w:val="single" w:sz="4" w:space="0" w:color="auto"/>
            </w:tcBorders>
            <w:shd w:val="clear" w:color="auto" w:fill="auto"/>
            <w:hideMark/>
          </w:tcPr>
          <w:p w14:paraId="58B70972" w14:textId="77777777" w:rsidR="000952B3" w:rsidRPr="00A556F1" w:rsidRDefault="00B650B7" w:rsidP="001351FC">
            <w:pPr>
              <w:jc w:val="center"/>
              <w:rPr>
                <w:lang w:eastAsia="en-US"/>
              </w:rPr>
            </w:pPr>
            <w:r w:rsidRPr="00A556F1">
              <w:t>1.</w:t>
            </w:r>
          </w:p>
        </w:tc>
        <w:tc>
          <w:tcPr>
            <w:tcW w:w="2689" w:type="dxa"/>
            <w:gridSpan w:val="3"/>
            <w:tcBorders>
              <w:top w:val="single" w:sz="4" w:space="0" w:color="auto"/>
              <w:left w:val="single" w:sz="4" w:space="0" w:color="auto"/>
              <w:bottom w:val="single" w:sz="4" w:space="0" w:color="auto"/>
              <w:right w:val="single" w:sz="4" w:space="0" w:color="auto"/>
            </w:tcBorders>
            <w:shd w:val="clear" w:color="auto" w:fill="auto"/>
            <w:hideMark/>
          </w:tcPr>
          <w:p w14:paraId="58B70973" w14:textId="77777777" w:rsidR="000952B3" w:rsidRPr="00A556F1" w:rsidRDefault="00B650B7" w:rsidP="001351FC">
            <w:pPr>
              <w:rPr>
                <w:lang w:eastAsia="en-US"/>
              </w:rPr>
            </w:pPr>
            <w:r w:rsidRPr="00A556F1">
              <w:t>Sabiedrības mērķgrupas, kuras tiesiskais regulējums ietekmē vai varētu ietekmēt</w:t>
            </w:r>
          </w:p>
        </w:tc>
        <w:tc>
          <w:tcPr>
            <w:tcW w:w="658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8B70974" w14:textId="066A93AB" w:rsidR="000952B3" w:rsidRPr="00A556F1" w:rsidRDefault="00B650B7" w:rsidP="00087F42">
            <w:pPr>
              <w:pStyle w:val="ListParagraph"/>
              <w:tabs>
                <w:tab w:val="left" w:pos="317"/>
              </w:tabs>
              <w:ind w:left="-79"/>
              <w:jc w:val="both"/>
              <w:rPr>
                <w:sz w:val="24"/>
                <w:szCs w:val="24"/>
              </w:rPr>
            </w:pPr>
            <w:r w:rsidRPr="00A556F1">
              <w:rPr>
                <w:sz w:val="24"/>
                <w:szCs w:val="24"/>
              </w:rPr>
              <w:t xml:space="preserve">Tiesiskais regulējums ietekmē </w:t>
            </w:r>
            <w:r w:rsidR="00521075" w:rsidRPr="00A556F1">
              <w:rPr>
                <w:sz w:val="24"/>
                <w:szCs w:val="24"/>
              </w:rPr>
              <w:t xml:space="preserve">atbildīgo iestādi </w:t>
            </w:r>
            <w:r w:rsidR="000F2179" w:rsidRPr="00A556F1">
              <w:rPr>
                <w:sz w:val="24"/>
                <w:szCs w:val="24"/>
              </w:rPr>
              <w:t>–</w:t>
            </w:r>
            <w:r w:rsidR="00521075" w:rsidRPr="00A556F1">
              <w:rPr>
                <w:sz w:val="24"/>
                <w:szCs w:val="24"/>
              </w:rPr>
              <w:t xml:space="preserve"> </w:t>
            </w:r>
            <w:r w:rsidRPr="00A556F1">
              <w:rPr>
                <w:sz w:val="24"/>
                <w:szCs w:val="24"/>
              </w:rPr>
              <w:t xml:space="preserve">IZM, </w:t>
            </w:r>
            <w:r w:rsidR="00521075" w:rsidRPr="00A556F1">
              <w:rPr>
                <w:sz w:val="24"/>
                <w:szCs w:val="24"/>
              </w:rPr>
              <w:t xml:space="preserve">sadarbības iestādi </w:t>
            </w:r>
            <w:r w:rsidR="000F2179" w:rsidRPr="00A556F1">
              <w:rPr>
                <w:sz w:val="24"/>
                <w:szCs w:val="24"/>
              </w:rPr>
              <w:t>–</w:t>
            </w:r>
            <w:r w:rsidR="004D17FB" w:rsidRPr="00A556F1">
              <w:rPr>
                <w:sz w:val="24"/>
                <w:szCs w:val="24"/>
              </w:rPr>
              <w:t xml:space="preserve"> </w:t>
            </w:r>
            <w:r w:rsidR="001D5531" w:rsidRPr="00A556F1">
              <w:rPr>
                <w:sz w:val="24"/>
                <w:szCs w:val="24"/>
              </w:rPr>
              <w:t>Centrālo finanšu un līgumu aģentūru</w:t>
            </w:r>
            <w:r w:rsidR="00CD0784" w:rsidRPr="00A556F1">
              <w:rPr>
                <w:sz w:val="24"/>
                <w:szCs w:val="24"/>
              </w:rPr>
              <w:t xml:space="preserve"> (turpmāk – CFLA)</w:t>
            </w:r>
            <w:r w:rsidR="000A525F" w:rsidRPr="00A556F1">
              <w:rPr>
                <w:sz w:val="24"/>
                <w:szCs w:val="24"/>
              </w:rPr>
              <w:t xml:space="preserve"> un 1.1.1.5. pasākuma trešās projektu iesniegumu atlases kārtas projektu iesniedzējus</w:t>
            </w:r>
            <w:r w:rsidR="00DC2319" w:rsidRPr="00A556F1">
              <w:rPr>
                <w:sz w:val="24"/>
                <w:szCs w:val="24"/>
              </w:rPr>
              <w:t xml:space="preserve"> (vērtēšanā esošo</w:t>
            </w:r>
            <w:r w:rsidR="007D7F5E" w:rsidRPr="00A556F1">
              <w:rPr>
                <w:sz w:val="24"/>
                <w:szCs w:val="24"/>
              </w:rPr>
              <w:t xml:space="preserve"> un potenciālos)</w:t>
            </w:r>
            <w:r w:rsidR="001D5531" w:rsidRPr="00A556F1">
              <w:rPr>
                <w:sz w:val="24"/>
                <w:szCs w:val="24"/>
              </w:rPr>
              <w:t>.</w:t>
            </w:r>
            <w:r w:rsidR="009322C9" w:rsidRPr="00A556F1">
              <w:rPr>
                <w:sz w:val="24"/>
                <w:szCs w:val="24"/>
              </w:rPr>
              <w:t xml:space="preserve"> </w:t>
            </w:r>
            <w:r w:rsidR="00097994" w:rsidRPr="00A556F1">
              <w:rPr>
                <w:sz w:val="24"/>
                <w:szCs w:val="24"/>
              </w:rPr>
              <w:t>1.1.1.5. pasākuma noteikumu projektam</w:t>
            </w:r>
            <w:r w:rsidR="009322C9" w:rsidRPr="00A556F1">
              <w:rPr>
                <w:sz w:val="24"/>
                <w:szCs w:val="24"/>
              </w:rPr>
              <w:t xml:space="preserve"> nav ietekmes uz vērtēšanā esošajiem 1.1.1.3. pasākuma projektiem un īstenošanā esošajiem 1.1.1.5.</w:t>
            </w:r>
            <w:r w:rsidR="00097994" w:rsidRPr="00A556F1">
              <w:rPr>
                <w:sz w:val="24"/>
                <w:szCs w:val="24"/>
              </w:rPr>
              <w:t> </w:t>
            </w:r>
            <w:r w:rsidR="00B333B6" w:rsidRPr="00A556F1">
              <w:rPr>
                <w:sz w:val="24"/>
                <w:szCs w:val="24"/>
              </w:rPr>
              <w:t>pasākuma projektiem</w:t>
            </w:r>
            <w:r w:rsidR="009322C9" w:rsidRPr="00A556F1">
              <w:rPr>
                <w:sz w:val="24"/>
                <w:szCs w:val="24"/>
              </w:rPr>
              <w:t xml:space="preserve">. </w:t>
            </w:r>
            <w:r w:rsidR="007D7F5E" w:rsidRPr="00A556F1">
              <w:rPr>
                <w:sz w:val="24"/>
                <w:szCs w:val="24"/>
              </w:rPr>
              <w:t xml:space="preserve">Vienlaikus </w:t>
            </w:r>
            <w:r w:rsidR="00097994" w:rsidRPr="00A556F1">
              <w:rPr>
                <w:sz w:val="24"/>
                <w:szCs w:val="24"/>
              </w:rPr>
              <w:t>1.1.1.5. pasākuma noteikumu projektam</w:t>
            </w:r>
            <w:r w:rsidR="007D7F5E" w:rsidRPr="00A556F1">
              <w:rPr>
                <w:sz w:val="24"/>
                <w:szCs w:val="24"/>
              </w:rPr>
              <w:t xml:space="preserve"> ir ietekme uz iespēju apstiprināt 1.1.1.5. pasākuma ietvaros iesniegto</w:t>
            </w:r>
            <w:r w:rsidR="00AF6E38">
              <w:rPr>
                <w:sz w:val="24"/>
                <w:szCs w:val="24"/>
              </w:rPr>
              <w:t>s</w:t>
            </w:r>
            <w:r w:rsidR="007D7F5E" w:rsidRPr="00A556F1">
              <w:rPr>
                <w:sz w:val="24"/>
                <w:szCs w:val="24"/>
              </w:rPr>
              <w:t xml:space="preserve"> un vērtēšanā esošo</w:t>
            </w:r>
            <w:r w:rsidR="00AF6E38">
              <w:rPr>
                <w:sz w:val="24"/>
                <w:szCs w:val="24"/>
              </w:rPr>
              <w:t>s</w:t>
            </w:r>
            <w:r w:rsidR="007D7F5E" w:rsidRPr="00A556F1">
              <w:rPr>
                <w:sz w:val="24"/>
                <w:szCs w:val="24"/>
              </w:rPr>
              <w:t xml:space="preserve"> projekta iesniegumu</w:t>
            </w:r>
            <w:r w:rsidR="00AF6E38">
              <w:rPr>
                <w:sz w:val="24"/>
                <w:szCs w:val="24"/>
              </w:rPr>
              <w:t>s</w:t>
            </w:r>
            <w:r w:rsidR="007D7F5E" w:rsidRPr="00A556F1">
              <w:rPr>
                <w:sz w:val="24"/>
                <w:szCs w:val="24"/>
              </w:rPr>
              <w:t xml:space="preserve">, kā arī </w:t>
            </w:r>
            <w:r w:rsidR="00097994" w:rsidRPr="00A556F1">
              <w:rPr>
                <w:sz w:val="24"/>
                <w:szCs w:val="24"/>
              </w:rPr>
              <w:t xml:space="preserve">uz </w:t>
            </w:r>
            <w:r w:rsidR="007D7F5E" w:rsidRPr="00A556F1">
              <w:rPr>
                <w:sz w:val="24"/>
                <w:szCs w:val="24"/>
              </w:rPr>
              <w:t xml:space="preserve">potenciālo nākamo atlases kārtā iesniegto projektu iesniegumu apstiprināšanu. </w:t>
            </w:r>
            <w:r w:rsidR="009322C9" w:rsidRPr="00A556F1">
              <w:rPr>
                <w:sz w:val="24"/>
                <w:szCs w:val="24"/>
              </w:rPr>
              <w:t xml:space="preserve"> </w:t>
            </w:r>
          </w:p>
        </w:tc>
      </w:tr>
      <w:tr w:rsidR="000506CD" w:rsidRPr="00A556F1" w14:paraId="58B70979" w14:textId="77777777" w:rsidTr="00044C88">
        <w:trPr>
          <w:gridAfter w:val="1"/>
          <w:wAfter w:w="28" w:type="dxa"/>
        </w:trPr>
        <w:tc>
          <w:tcPr>
            <w:tcW w:w="396" w:type="dxa"/>
            <w:tcBorders>
              <w:top w:val="single" w:sz="4" w:space="0" w:color="auto"/>
              <w:left w:val="single" w:sz="4" w:space="0" w:color="auto"/>
              <w:bottom w:val="single" w:sz="4" w:space="0" w:color="auto"/>
              <w:right w:val="single" w:sz="4" w:space="0" w:color="auto"/>
            </w:tcBorders>
            <w:shd w:val="clear" w:color="auto" w:fill="auto"/>
          </w:tcPr>
          <w:p w14:paraId="58B70976" w14:textId="77777777" w:rsidR="000952B3" w:rsidRPr="00A556F1" w:rsidRDefault="00B650B7" w:rsidP="001351FC">
            <w:pPr>
              <w:jc w:val="center"/>
            </w:pPr>
            <w:r w:rsidRPr="00A556F1">
              <w:t>2.</w:t>
            </w:r>
          </w:p>
        </w:tc>
        <w:tc>
          <w:tcPr>
            <w:tcW w:w="2689" w:type="dxa"/>
            <w:gridSpan w:val="3"/>
            <w:tcBorders>
              <w:top w:val="single" w:sz="4" w:space="0" w:color="auto"/>
              <w:left w:val="single" w:sz="4" w:space="0" w:color="auto"/>
              <w:bottom w:val="single" w:sz="4" w:space="0" w:color="auto"/>
              <w:right w:val="single" w:sz="4" w:space="0" w:color="auto"/>
            </w:tcBorders>
            <w:shd w:val="clear" w:color="auto" w:fill="auto"/>
          </w:tcPr>
          <w:p w14:paraId="58B70977" w14:textId="77777777" w:rsidR="000952B3" w:rsidRPr="00A556F1" w:rsidRDefault="00B650B7" w:rsidP="001351FC">
            <w:r w:rsidRPr="00A556F1">
              <w:t>Tiesiskā regulējuma ietekme uz tautsaimniecību un administratīvo slogu</w:t>
            </w:r>
          </w:p>
        </w:tc>
        <w:tc>
          <w:tcPr>
            <w:tcW w:w="658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8B70978" w14:textId="77777777" w:rsidR="000952B3" w:rsidRPr="00A556F1" w:rsidRDefault="00B650B7" w:rsidP="00DC2319">
            <w:pPr>
              <w:pStyle w:val="ListParagraph"/>
              <w:tabs>
                <w:tab w:val="left" w:pos="317"/>
              </w:tabs>
              <w:ind w:left="-79"/>
              <w:jc w:val="both"/>
              <w:rPr>
                <w:bCs/>
                <w:sz w:val="24"/>
                <w:szCs w:val="24"/>
                <w:lang w:eastAsia="en-US"/>
              </w:rPr>
            </w:pPr>
            <w:r w:rsidRPr="00A556F1">
              <w:rPr>
                <w:sz w:val="24"/>
                <w:szCs w:val="24"/>
              </w:rPr>
              <w:t>Sab</w:t>
            </w:r>
            <w:r w:rsidR="00DC2319" w:rsidRPr="00A556F1">
              <w:rPr>
                <w:sz w:val="24"/>
                <w:szCs w:val="24"/>
              </w:rPr>
              <w:t xml:space="preserve">iedrības grupām un institūcijām </w:t>
            </w:r>
            <w:r w:rsidR="007D24DE" w:rsidRPr="00A556F1">
              <w:rPr>
                <w:iCs/>
                <w:sz w:val="24"/>
                <w:szCs w:val="24"/>
              </w:rPr>
              <w:t xml:space="preserve">1.1.1.5. pasākuma noteikumu projekta </w:t>
            </w:r>
            <w:r w:rsidRPr="00A556F1">
              <w:rPr>
                <w:sz w:val="24"/>
                <w:szCs w:val="24"/>
              </w:rPr>
              <w:t>tiesiskais regulējums nemaina tiesības un pienākumus, kā arī veicamās darbības.</w:t>
            </w:r>
          </w:p>
        </w:tc>
      </w:tr>
      <w:tr w:rsidR="000506CD" w:rsidRPr="00A556F1" w14:paraId="58B7097D" w14:textId="77777777" w:rsidTr="00044C88">
        <w:trPr>
          <w:gridAfter w:val="1"/>
          <w:wAfter w:w="28" w:type="dxa"/>
        </w:trPr>
        <w:tc>
          <w:tcPr>
            <w:tcW w:w="396" w:type="dxa"/>
            <w:tcBorders>
              <w:top w:val="single" w:sz="4" w:space="0" w:color="auto"/>
              <w:left w:val="single" w:sz="4" w:space="0" w:color="auto"/>
              <w:bottom w:val="single" w:sz="4" w:space="0" w:color="auto"/>
              <w:right w:val="single" w:sz="4" w:space="0" w:color="auto"/>
            </w:tcBorders>
            <w:shd w:val="clear" w:color="auto" w:fill="auto"/>
          </w:tcPr>
          <w:p w14:paraId="58B7097A" w14:textId="77777777" w:rsidR="000952B3" w:rsidRPr="00A556F1" w:rsidRDefault="00B650B7" w:rsidP="001351FC">
            <w:pPr>
              <w:jc w:val="center"/>
            </w:pPr>
            <w:r w:rsidRPr="00A556F1">
              <w:t>3.</w:t>
            </w:r>
          </w:p>
        </w:tc>
        <w:tc>
          <w:tcPr>
            <w:tcW w:w="2689" w:type="dxa"/>
            <w:gridSpan w:val="3"/>
            <w:tcBorders>
              <w:top w:val="single" w:sz="4" w:space="0" w:color="auto"/>
              <w:left w:val="single" w:sz="4" w:space="0" w:color="auto"/>
              <w:bottom w:val="single" w:sz="4" w:space="0" w:color="auto"/>
              <w:right w:val="single" w:sz="4" w:space="0" w:color="auto"/>
            </w:tcBorders>
            <w:shd w:val="clear" w:color="auto" w:fill="auto"/>
          </w:tcPr>
          <w:p w14:paraId="58B7097B" w14:textId="77777777" w:rsidR="000952B3" w:rsidRPr="00A556F1" w:rsidRDefault="00B650B7" w:rsidP="001351FC">
            <w:r w:rsidRPr="00A556F1">
              <w:t>Administratīvo izmaksu monetārs novērtējums</w:t>
            </w:r>
          </w:p>
        </w:tc>
        <w:tc>
          <w:tcPr>
            <w:tcW w:w="658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8B7097C" w14:textId="77777777" w:rsidR="000952B3" w:rsidRPr="00A556F1" w:rsidRDefault="007D24DE" w:rsidP="001351FC">
            <w:pPr>
              <w:pStyle w:val="ListParagraph"/>
              <w:tabs>
                <w:tab w:val="left" w:pos="317"/>
              </w:tabs>
              <w:ind w:left="-79"/>
              <w:jc w:val="both"/>
              <w:rPr>
                <w:bCs/>
                <w:sz w:val="24"/>
                <w:szCs w:val="24"/>
                <w:lang w:eastAsia="en-US"/>
              </w:rPr>
            </w:pPr>
            <w:r w:rsidRPr="00A556F1">
              <w:rPr>
                <w:iCs/>
                <w:sz w:val="24"/>
                <w:szCs w:val="24"/>
              </w:rPr>
              <w:t xml:space="preserve">1.1.1.5. pasākuma noteikumu projekts </w:t>
            </w:r>
            <w:r w:rsidR="00B650B7" w:rsidRPr="00A556F1">
              <w:rPr>
                <w:sz w:val="24"/>
                <w:szCs w:val="24"/>
              </w:rPr>
              <w:t>šo jomu neskar.</w:t>
            </w:r>
          </w:p>
        </w:tc>
      </w:tr>
      <w:tr w:rsidR="000506CD" w:rsidRPr="00A556F1" w14:paraId="58B70981" w14:textId="77777777" w:rsidTr="004F3807">
        <w:trPr>
          <w:gridAfter w:val="1"/>
          <w:wAfter w:w="28" w:type="dxa"/>
        </w:trPr>
        <w:tc>
          <w:tcPr>
            <w:tcW w:w="396" w:type="dxa"/>
            <w:tcBorders>
              <w:top w:val="single" w:sz="4" w:space="0" w:color="auto"/>
              <w:left w:val="single" w:sz="4" w:space="0" w:color="auto"/>
              <w:bottom w:val="single" w:sz="4" w:space="0" w:color="auto"/>
              <w:right w:val="single" w:sz="4" w:space="0" w:color="auto"/>
            </w:tcBorders>
            <w:shd w:val="clear" w:color="auto" w:fill="auto"/>
          </w:tcPr>
          <w:p w14:paraId="58B7097E" w14:textId="77777777" w:rsidR="000952B3" w:rsidRPr="00A556F1" w:rsidRDefault="00B650B7" w:rsidP="001351FC">
            <w:pPr>
              <w:jc w:val="center"/>
            </w:pPr>
            <w:r w:rsidRPr="00A556F1">
              <w:t>4.</w:t>
            </w:r>
          </w:p>
        </w:tc>
        <w:tc>
          <w:tcPr>
            <w:tcW w:w="2689" w:type="dxa"/>
            <w:gridSpan w:val="3"/>
            <w:tcBorders>
              <w:top w:val="single" w:sz="4" w:space="0" w:color="auto"/>
              <w:left w:val="single" w:sz="4" w:space="0" w:color="auto"/>
              <w:bottom w:val="single" w:sz="4" w:space="0" w:color="auto"/>
              <w:right w:val="single" w:sz="4" w:space="0" w:color="auto"/>
            </w:tcBorders>
            <w:shd w:val="clear" w:color="auto" w:fill="auto"/>
          </w:tcPr>
          <w:p w14:paraId="58B7097F" w14:textId="77777777" w:rsidR="000952B3" w:rsidRPr="00A556F1" w:rsidRDefault="00B650B7" w:rsidP="001351FC">
            <w:r w:rsidRPr="00A556F1">
              <w:t>Atbilstības izmaksu monetārs novērtējums</w:t>
            </w:r>
          </w:p>
        </w:tc>
        <w:tc>
          <w:tcPr>
            <w:tcW w:w="658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8B70980" w14:textId="77777777" w:rsidR="000952B3" w:rsidRPr="00A556F1" w:rsidRDefault="007D24DE" w:rsidP="001351FC">
            <w:pPr>
              <w:pStyle w:val="ListParagraph"/>
              <w:tabs>
                <w:tab w:val="left" w:pos="317"/>
              </w:tabs>
              <w:ind w:left="-79"/>
              <w:jc w:val="both"/>
              <w:rPr>
                <w:bCs/>
                <w:sz w:val="24"/>
                <w:szCs w:val="24"/>
                <w:lang w:eastAsia="en-US"/>
              </w:rPr>
            </w:pPr>
            <w:r w:rsidRPr="00A556F1">
              <w:rPr>
                <w:iCs/>
                <w:sz w:val="24"/>
                <w:szCs w:val="24"/>
              </w:rPr>
              <w:t xml:space="preserve">1.1.1.5. pasākuma noteikumu projekts </w:t>
            </w:r>
            <w:r w:rsidR="00B650B7" w:rsidRPr="00A556F1">
              <w:rPr>
                <w:sz w:val="24"/>
                <w:szCs w:val="24"/>
              </w:rPr>
              <w:t>šo jomu neskar.</w:t>
            </w:r>
          </w:p>
        </w:tc>
      </w:tr>
      <w:tr w:rsidR="00ED6931" w:rsidRPr="00A556F1" w14:paraId="58B70985" w14:textId="77777777" w:rsidTr="004F3807">
        <w:trPr>
          <w:gridAfter w:val="1"/>
          <w:wAfter w:w="28" w:type="dxa"/>
        </w:trPr>
        <w:tc>
          <w:tcPr>
            <w:tcW w:w="396" w:type="dxa"/>
            <w:tcBorders>
              <w:top w:val="single" w:sz="4" w:space="0" w:color="auto"/>
              <w:left w:val="single" w:sz="4" w:space="0" w:color="auto"/>
              <w:bottom w:val="single" w:sz="4" w:space="0" w:color="auto"/>
              <w:right w:val="single" w:sz="4" w:space="0" w:color="auto"/>
            </w:tcBorders>
            <w:shd w:val="clear" w:color="auto" w:fill="auto"/>
          </w:tcPr>
          <w:p w14:paraId="58B70982" w14:textId="77777777" w:rsidR="000952B3" w:rsidRPr="00A556F1" w:rsidRDefault="00B650B7" w:rsidP="001351FC">
            <w:pPr>
              <w:jc w:val="center"/>
            </w:pPr>
            <w:r w:rsidRPr="00A556F1">
              <w:t>5.</w:t>
            </w:r>
          </w:p>
        </w:tc>
        <w:tc>
          <w:tcPr>
            <w:tcW w:w="2689" w:type="dxa"/>
            <w:gridSpan w:val="3"/>
            <w:tcBorders>
              <w:top w:val="single" w:sz="4" w:space="0" w:color="auto"/>
              <w:left w:val="single" w:sz="4" w:space="0" w:color="auto"/>
              <w:bottom w:val="single" w:sz="4" w:space="0" w:color="auto"/>
              <w:right w:val="single" w:sz="4" w:space="0" w:color="auto"/>
            </w:tcBorders>
            <w:shd w:val="clear" w:color="auto" w:fill="auto"/>
          </w:tcPr>
          <w:p w14:paraId="58B70983" w14:textId="77777777" w:rsidR="000952B3" w:rsidRPr="00A556F1" w:rsidRDefault="00B650B7" w:rsidP="001351FC">
            <w:r w:rsidRPr="00A556F1">
              <w:t>Cita informācija</w:t>
            </w:r>
          </w:p>
        </w:tc>
        <w:tc>
          <w:tcPr>
            <w:tcW w:w="658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8B70984" w14:textId="77777777" w:rsidR="000952B3" w:rsidRPr="00A556F1" w:rsidRDefault="00B650B7" w:rsidP="001351FC">
            <w:pPr>
              <w:pStyle w:val="ListParagraph"/>
              <w:tabs>
                <w:tab w:val="left" w:pos="317"/>
              </w:tabs>
              <w:ind w:left="-79"/>
              <w:jc w:val="both"/>
              <w:rPr>
                <w:bCs/>
                <w:sz w:val="24"/>
                <w:szCs w:val="24"/>
                <w:lang w:eastAsia="en-US"/>
              </w:rPr>
            </w:pPr>
            <w:r w:rsidRPr="00A556F1">
              <w:rPr>
                <w:bCs/>
                <w:sz w:val="24"/>
                <w:szCs w:val="24"/>
                <w:lang w:eastAsia="en-US"/>
              </w:rPr>
              <w:t>Nav</w:t>
            </w:r>
            <w:r w:rsidR="00352BE9" w:rsidRPr="00A556F1">
              <w:rPr>
                <w:bCs/>
                <w:sz w:val="24"/>
                <w:szCs w:val="24"/>
                <w:lang w:eastAsia="en-US"/>
              </w:rPr>
              <w:t>.</w:t>
            </w:r>
          </w:p>
        </w:tc>
      </w:tr>
      <w:tr w:rsidR="004F3807" w:rsidRPr="00A556F1" w14:paraId="53F77FCE" w14:textId="77777777" w:rsidTr="004F3807">
        <w:trPr>
          <w:gridAfter w:val="1"/>
          <w:wAfter w:w="28" w:type="dxa"/>
        </w:trPr>
        <w:tc>
          <w:tcPr>
            <w:tcW w:w="396" w:type="dxa"/>
            <w:tcBorders>
              <w:top w:val="single" w:sz="4" w:space="0" w:color="auto"/>
              <w:left w:val="nil"/>
              <w:bottom w:val="nil"/>
              <w:right w:val="nil"/>
            </w:tcBorders>
            <w:shd w:val="clear" w:color="auto" w:fill="auto"/>
          </w:tcPr>
          <w:p w14:paraId="16182D76" w14:textId="77777777" w:rsidR="004F3807" w:rsidRPr="00A556F1" w:rsidRDefault="004F3807" w:rsidP="001351FC">
            <w:pPr>
              <w:jc w:val="center"/>
            </w:pPr>
          </w:p>
        </w:tc>
        <w:tc>
          <w:tcPr>
            <w:tcW w:w="2689" w:type="dxa"/>
            <w:gridSpan w:val="3"/>
            <w:tcBorders>
              <w:top w:val="single" w:sz="4" w:space="0" w:color="auto"/>
              <w:left w:val="nil"/>
              <w:bottom w:val="nil"/>
              <w:right w:val="nil"/>
            </w:tcBorders>
            <w:shd w:val="clear" w:color="auto" w:fill="auto"/>
          </w:tcPr>
          <w:p w14:paraId="3894D0B3" w14:textId="77777777" w:rsidR="004F3807" w:rsidRPr="00A556F1" w:rsidRDefault="004F3807" w:rsidP="001351FC"/>
        </w:tc>
        <w:tc>
          <w:tcPr>
            <w:tcW w:w="6581" w:type="dxa"/>
            <w:gridSpan w:val="6"/>
            <w:tcBorders>
              <w:top w:val="single" w:sz="4" w:space="0" w:color="auto"/>
              <w:left w:val="nil"/>
              <w:bottom w:val="nil"/>
              <w:right w:val="nil"/>
            </w:tcBorders>
            <w:shd w:val="clear" w:color="auto" w:fill="auto"/>
            <w:vAlign w:val="center"/>
          </w:tcPr>
          <w:p w14:paraId="40172BC8" w14:textId="77777777" w:rsidR="004F3807" w:rsidRPr="00A556F1" w:rsidRDefault="004F3807" w:rsidP="001351FC">
            <w:pPr>
              <w:pStyle w:val="ListParagraph"/>
              <w:tabs>
                <w:tab w:val="left" w:pos="317"/>
              </w:tabs>
              <w:ind w:left="-79"/>
              <w:jc w:val="both"/>
              <w:rPr>
                <w:bCs/>
                <w:sz w:val="24"/>
                <w:szCs w:val="24"/>
                <w:lang w:eastAsia="en-US"/>
              </w:rPr>
            </w:pPr>
          </w:p>
        </w:tc>
      </w:tr>
      <w:tr w:rsidR="00A43C20" w:rsidRPr="00C328AF" w14:paraId="0ADADD4C" w14:textId="77777777" w:rsidTr="00044C88">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FFFFFF"/>
          <w:tblCellMar>
            <w:top w:w="30" w:type="dxa"/>
            <w:left w:w="30" w:type="dxa"/>
            <w:bottom w:w="30" w:type="dxa"/>
            <w:right w:w="30" w:type="dxa"/>
          </w:tblCellMar>
        </w:tblPrEx>
        <w:tc>
          <w:tcPr>
            <w:tcW w:w="9694" w:type="dxa"/>
            <w:gridSpan w:val="11"/>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22970D9" w14:textId="77777777" w:rsidR="00A43C20" w:rsidRPr="00C328AF" w:rsidRDefault="00A43C20" w:rsidP="00E42746">
            <w:pPr>
              <w:jc w:val="center"/>
              <w:rPr>
                <w:b/>
                <w:bCs/>
              </w:rPr>
            </w:pPr>
            <w:r w:rsidRPr="00C328AF">
              <w:rPr>
                <w:b/>
                <w:bCs/>
              </w:rPr>
              <w:t>III. Tiesību akta projekta ietekme uz valsts budžetu un pašvaldību budžetiem</w:t>
            </w:r>
          </w:p>
        </w:tc>
      </w:tr>
      <w:tr w:rsidR="00A43C20" w:rsidRPr="00C328AF" w14:paraId="0C304427" w14:textId="77777777" w:rsidTr="00044C88">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FFFFFF"/>
          <w:tblCellMar>
            <w:top w:w="30" w:type="dxa"/>
            <w:left w:w="30" w:type="dxa"/>
            <w:bottom w:w="30" w:type="dxa"/>
            <w:right w:w="30" w:type="dxa"/>
          </w:tblCellMar>
        </w:tblPrEx>
        <w:tc>
          <w:tcPr>
            <w:tcW w:w="2073" w:type="dxa"/>
            <w:gridSpan w:val="2"/>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9686363" w14:textId="77777777" w:rsidR="00A43C20" w:rsidRPr="00C328AF" w:rsidRDefault="00A43C20" w:rsidP="00E42746">
            <w:r w:rsidRPr="00C328AF">
              <w:t>Rādītāji</w:t>
            </w:r>
          </w:p>
        </w:tc>
        <w:tc>
          <w:tcPr>
            <w:tcW w:w="2175" w:type="dxa"/>
            <w:gridSpan w:val="3"/>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4B98EF9" w14:textId="77777777" w:rsidR="00A43C20" w:rsidRPr="00C328AF" w:rsidRDefault="00A43C20" w:rsidP="00E42746">
            <w:r w:rsidRPr="00C328AF">
              <w:t>2019. gads</w:t>
            </w:r>
          </w:p>
        </w:tc>
        <w:tc>
          <w:tcPr>
            <w:tcW w:w="5446" w:type="dxa"/>
            <w:gridSpan w:val="6"/>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DAE8BA6" w14:textId="77777777" w:rsidR="00A43C20" w:rsidRPr="00C328AF" w:rsidRDefault="00A43C20" w:rsidP="00E42746">
            <w:r w:rsidRPr="00C328AF">
              <w:t>Turpmākie trīs gadi (</w:t>
            </w:r>
            <w:r w:rsidRPr="00C328AF">
              <w:rPr>
                <w:i/>
                <w:iCs/>
              </w:rPr>
              <w:t>euro</w:t>
            </w:r>
            <w:r w:rsidRPr="00C328AF">
              <w:t>)</w:t>
            </w:r>
          </w:p>
        </w:tc>
      </w:tr>
      <w:tr w:rsidR="00A43C20" w:rsidRPr="00C328AF" w14:paraId="199120D8" w14:textId="77777777" w:rsidTr="00044C88">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FFFFFF"/>
          <w:tblCellMar>
            <w:top w:w="30" w:type="dxa"/>
            <w:left w:w="30" w:type="dxa"/>
            <w:bottom w:w="30" w:type="dxa"/>
            <w:right w:w="30" w:type="dxa"/>
          </w:tblCellMar>
        </w:tblPrEx>
        <w:tc>
          <w:tcPr>
            <w:tcW w:w="2073" w:type="dxa"/>
            <w:gridSpan w:val="2"/>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2B34317" w14:textId="77777777" w:rsidR="00A43C20" w:rsidRPr="00C328AF" w:rsidRDefault="00A43C20" w:rsidP="00E42746"/>
        </w:tc>
        <w:tc>
          <w:tcPr>
            <w:tcW w:w="2175" w:type="dxa"/>
            <w:gridSpan w:val="3"/>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221A8AB" w14:textId="77777777" w:rsidR="00A43C20" w:rsidRPr="00C328AF" w:rsidRDefault="00A43C20" w:rsidP="00E42746"/>
        </w:tc>
        <w:tc>
          <w:tcPr>
            <w:tcW w:w="2126" w:type="dxa"/>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0505D66" w14:textId="77777777" w:rsidR="00A43C20" w:rsidRPr="00C328AF" w:rsidRDefault="00A43C20" w:rsidP="00E42746">
            <w:r w:rsidRPr="00C328AF">
              <w:t>2020.gads</w:t>
            </w:r>
          </w:p>
        </w:tc>
        <w:tc>
          <w:tcPr>
            <w:tcW w:w="2126" w:type="dxa"/>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61BCB27" w14:textId="77777777" w:rsidR="00A43C20" w:rsidRPr="00C328AF" w:rsidRDefault="00A43C20" w:rsidP="00E42746">
            <w:r w:rsidRPr="00C328AF">
              <w:t>2021.gads</w:t>
            </w:r>
          </w:p>
        </w:tc>
        <w:tc>
          <w:tcPr>
            <w:tcW w:w="1194" w:type="dxa"/>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34D5A62" w14:textId="77777777" w:rsidR="00A43C20" w:rsidRPr="00C328AF" w:rsidRDefault="00A43C20" w:rsidP="00E42746">
            <w:r w:rsidRPr="00C328AF">
              <w:t>2022.gads</w:t>
            </w:r>
          </w:p>
        </w:tc>
      </w:tr>
      <w:tr w:rsidR="00A43C20" w:rsidRPr="00C328AF" w14:paraId="7097B697" w14:textId="77777777" w:rsidTr="00044C88">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FFFFFF"/>
          <w:tblCellMar>
            <w:top w:w="30" w:type="dxa"/>
            <w:left w:w="30" w:type="dxa"/>
            <w:bottom w:w="30" w:type="dxa"/>
            <w:right w:w="30" w:type="dxa"/>
          </w:tblCellMar>
        </w:tblPrEx>
        <w:tc>
          <w:tcPr>
            <w:tcW w:w="2073" w:type="dxa"/>
            <w:gridSpan w:val="2"/>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FA5BDA1" w14:textId="77777777" w:rsidR="00A43C20" w:rsidRPr="00C328AF" w:rsidRDefault="00A43C20" w:rsidP="00E42746"/>
        </w:tc>
        <w:tc>
          <w:tcPr>
            <w:tcW w:w="989"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468CE69" w14:textId="77777777" w:rsidR="00A43C20" w:rsidRPr="00C328AF" w:rsidRDefault="00A43C20" w:rsidP="00E42746">
            <w:r w:rsidRPr="00C328AF">
              <w:t>saskaņā ar valsts budžetu kārtējam gadam</w:t>
            </w:r>
          </w:p>
        </w:tc>
        <w:tc>
          <w:tcPr>
            <w:tcW w:w="1186" w:type="dxa"/>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3C374FB" w14:textId="77777777" w:rsidR="00A43C20" w:rsidRPr="00C328AF" w:rsidRDefault="00A43C20" w:rsidP="00E42746">
            <w:r w:rsidRPr="00C328AF">
              <w:t>izmaiņas kārtējā gadā, salīdzinot ar valsts budžetu kārtējam gadam</w:t>
            </w:r>
          </w:p>
        </w:tc>
        <w:tc>
          <w:tcPr>
            <w:tcW w:w="985"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C6B64B2" w14:textId="77777777" w:rsidR="00A43C20" w:rsidRPr="00C328AF" w:rsidRDefault="00A43C20" w:rsidP="00E42746">
            <w:r w:rsidRPr="00C328AF">
              <w:t>saskaņā ar vidēja termiņa budžeta ietvaru</w:t>
            </w:r>
          </w:p>
        </w:tc>
        <w:tc>
          <w:tcPr>
            <w:tcW w:w="1141"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F03049D" w14:textId="77777777" w:rsidR="00A43C20" w:rsidRPr="00C328AF" w:rsidRDefault="00A43C20" w:rsidP="00E42746">
            <w:r w:rsidRPr="00C328AF">
              <w:t>izmaiņas, salīdzinot ar vidēja termiņa budžeta ietvaru n+1 gadam</w:t>
            </w:r>
          </w:p>
        </w:tc>
        <w:tc>
          <w:tcPr>
            <w:tcW w:w="985"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1D4CFED" w14:textId="77777777" w:rsidR="00A43C20" w:rsidRPr="00C328AF" w:rsidRDefault="00A43C20" w:rsidP="00E42746">
            <w:r w:rsidRPr="00C328AF">
              <w:t>saskaņā ar vidēja termiņa budžeta ietvaru</w:t>
            </w:r>
          </w:p>
        </w:tc>
        <w:tc>
          <w:tcPr>
            <w:tcW w:w="1141"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C39AF96" w14:textId="77777777" w:rsidR="00A43C20" w:rsidRPr="00C328AF" w:rsidRDefault="00A43C20" w:rsidP="00E42746">
            <w:r w:rsidRPr="00C328AF">
              <w:t>izmaiņas, salīdzinot ar vidēja termiņa budžeta ietvaru n+2 gadam</w:t>
            </w:r>
          </w:p>
        </w:tc>
        <w:tc>
          <w:tcPr>
            <w:tcW w:w="1194" w:type="dxa"/>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C11C3F8" w14:textId="77777777" w:rsidR="00A43C20" w:rsidRPr="00C328AF" w:rsidRDefault="00A43C20" w:rsidP="00E42746">
            <w:r w:rsidRPr="00C328AF">
              <w:t>izmaiņas, salīdzinot ar vidēja termiņa budžeta ietvaru n+2 gadam</w:t>
            </w:r>
          </w:p>
        </w:tc>
      </w:tr>
      <w:tr w:rsidR="00A43C20" w:rsidRPr="00C328AF" w14:paraId="6EB2D79D" w14:textId="77777777" w:rsidTr="00044C88">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FFFFFF"/>
          <w:tblCellMar>
            <w:top w:w="30" w:type="dxa"/>
            <w:left w:w="30" w:type="dxa"/>
            <w:bottom w:w="30" w:type="dxa"/>
            <w:right w:w="30" w:type="dxa"/>
          </w:tblCellMar>
        </w:tblPrEx>
        <w:tc>
          <w:tcPr>
            <w:tcW w:w="2073" w:type="dxa"/>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744B339" w14:textId="77777777" w:rsidR="00A43C20" w:rsidRPr="00C328AF" w:rsidRDefault="00A43C20" w:rsidP="00E42746">
            <w:r w:rsidRPr="00C328AF">
              <w:t>1</w:t>
            </w:r>
          </w:p>
        </w:tc>
        <w:tc>
          <w:tcPr>
            <w:tcW w:w="989"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19C48A0" w14:textId="77777777" w:rsidR="00A43C20" w:rsidRPr="00C328AF" w:rsidRDefault="00A43C20" w:rsidP="00E42746">
            <w:r w:rsidRPr="00C328AF">
              <w:t>2</w:t>
            </w:r>
          </w:p>
        </w:tc>
        <w:tc>
          <w:tcPr>
            <w:tcW w:w="1186" w:type="dxa"/>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39B27CD" w14:textId="77777777" w:rsidR="00A43C20" w:rsidRPr="00C328AF" w:rsidRDefault="00A43C20" w:rsidP="00E42746">
            <w:r w:rsidRPr="00C328AF">
              <w:t>3</w:t>
            </w:r>
          </w:p>
        </w:tc>
        <w:tc>
          <w:tcPr>
            <w:tcW w:w="985"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25298BF" w14:textId="77777777" w:rsidR="00A43C20" w:rsidRPr="00C328AF" w:rsidRDefault="00A43C20" w:rsidP="00E42746">
            <w:r w:rsidRPr="00C328AF">
              <w:t>4</w:t>
            </w:r>
          </w:p>
        </w:tc>
        <w:tc>
          <w:tcPr>
            <w:tcW w:w="1141"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5BAB6D8" w14:textId="77777777" w:rsidR="00A43C20" w:rsidRPr="00C328AF" w:rsidRDefault="00A43C20" w:rsidP="00E42746">
            <w:r w:rsidRPr="00C328AF">
              <w:t>5</w:t>
            </w:r>
          </w:p>
        </w:tc>
        <w:tc>
          <w:tcPr>
            <w:tcW w:w="985"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705660C" w14:textId="77777777" w:rsidR="00A43C20" w:rsidRPr="00C328AF" w:rsidRDefault="00A43C20" w:rsidP="00E42746">
            <w:r w:rsidRPr="00C328AF">
              <w:t>6</w:t>
            </w:r>
          </w:p>
        </w:tc>
        <w:tc>
          <w:tcPr>
            <w:tcW w:w="1141"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5288B4A" w14:textId="77777777" w:rsidR="00A43C20" w:rsidRPr="00C328AF" w:rsidRDefault="00A43C20" w:rsidP="00E42746">
            <w:r w:rsidRPr="00C328AF">
              <w:t>7</w:t>
            </w:r>
          </w:p>
        </w:tc>
        <w:tc>
          <w:tcPr>
            <w:tcW w:w="1194" w:type="dxa"/>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F7460D0" w14:textId="77777777" w:rsidR="00A43C20" w:rsidRPr="00C328AF" w:rsidRDefault="00A43C20" w:rsidP="00E42746">
            <w:r w:rsidRPr="00C328AF">
              <w:t>8</w:t>
            </w:r>
          </w:p>
        </w:tc>
      </w:tr>
      <w:tr w:rsidR="00B926B1" w:rsidRPr="00C328AF" w14:paraId="1B7EE26B" w14:textId="77777777" w:rsidTr="00044C88">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FFFFFF"/>
          <w:tblCellMar>
            <w:top w:w="30" w:type="dxa"/>
            <w:left w:w="30" w:type="dxa"/>
            <w:bottom w:w="30" w:type="dxa"/>
            <w:right w:w="30" w:type="dxa"/>
          </w:tblCellMar>
        </w:tblPrEx>
        <w:tc>
          <w:tcPr>
            <w:tcW w:w="2073" w:type="dxa"/>
            <w:gridSpan w:val="2"/>
            <w:tcBorders>
              <w:top w:val="outset" w:sz="6" w:space="0" w:color="414142"/>
              <w:left w:val="outset" w:sz="6" w:space="0" w:color="414142"/>
              <w:bottom w:val="outset" w:sz="6" w:space="0" w:color="414142"/>
              <w:right w:val="outset" w:sz="6" w:space="0" w:color="414142"/>
            </w:tcBorders>
            <w:shd w:val="clear" w:color="auto" w:fill="FFFFFF"/>
            <w:hideMark/>
          </w:tcPr>
          <w:p w14:paraId="5E0689E2" w14:textId="77777777" w:rsidR="00B926B1" w:rsidRPr="00C328AF" w:rsidRDefault="00B926B1" w:rsidP="00B926B1">
            <w:r w:rsidRPr="00C328AF">
              <w:lastRenderedPageBreak/>
              <w:t>1. Budžeta ieņēmumi</w:t>
            </w:r>
          </w:p>
        </w:tc>
        <w:tc>
          <w:tcPr>
            <w:tcW w:w="989"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BE49A03" w14:textId="77777777" w:rsidR="00B926B1" w:rsidRPr="00C328AF" w:rsidRDefault="00B926B1" w:rsidP="00B926B1">
            <w:pPr>
              <w:jc w:val="center"/>
            </w:pPr>
            <w:r w:rsidRPr="00C328AF">
              <w:t>0</w:t>
            </w:r>
          </w:p>
        </w:tc>
        <w:tc>
          <w:tcPr>
            <w:tcW w:w="1186" w:type="dxa"/>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BF5490B" w14:textId="115EAFAF" w:rsidR="00B926B1" w:rsidRPr="00C328AF" w:rsidRDefault="00B926B1" w:rsidP="00B926B1">
            <w:pPr>
              <w:jc w:val="center"/>
            </w:pPr>
            <w:r>
              <w:t>654 651</w:t>
            </w:r>
          </w:p>
        </w:tc>
        <w:tc>
          <w:tcPr>
            <w:tcW w:w="985"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C0010AD" w14:textId="59B7B23B" w:rsidR="00B926B1" w:rsidRPr="00C328AF" w:rsidRDefault="00B926B1" w:rsidP="00B926B1">
            <w:pPr>
              <w:jc w:val="center"/>
            </w:pPr>
            <w:r w:rsidRPr="00C328AF">
              <w:t>0</w:t>
            </w:r>
          </w:p>
        </w:tc>
        <w:tc>
          <w:tcPr>
            <w:tcW w:w="1141"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98C82FB" w14:textId="0AAC3E08" w:rsidR="00B926B1" w:rsidRPr="00C328AF" w:rsidRDefault="00B926B1" w:rsidP="00B926B1">
            <w:pPr>
              <w:jc w:val="center"/>
            </w:pPr>
            <w:r>
              <w:t>1 309 303</w:t>
            </w:r>
          </w:p>
        </w:tc>
        <w:tc>
          <w:tcPr>
            <w:tcW w:w="985"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E89B1A0" w14:textId="4E5425FF" w:rsidR="00B926B1" w:rsidRPr="00C328AF" w:rsidRDefault="00B926B1" w:rsidP="00B926B1">
            <w:pPr>
              <w:jc w:val="center"/>
            </w:pPr>
            <w:r w:rsidRPr="00C328AF">
              <w:t>0</w:t>
            </w:r>
          </w:p>
        </w:tc>
        <w:tc>
          <w:tcPr>
            <w:tcW w:w="1141"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37003D0" w14:textId="496E4E03" w:rsidR="00B926B1" w:rsidRPr="00C328AF" w:rsidRDefault="00B926B1" w:rsidP="00B926B1">
            <w:pPr>
              <w:jc w:val="center"/>
            </w:pPr>
            <w:r>
              <w:t>1 309 303</w:t>
            </w:r>
          </w:p>
        </w:tc>
        <w:tc>
          <w:tcPr>
            <w:tcW w:w="1194" w:type="dxa"/>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B4F47B6" w14:textId="321F4EE4" w:rsidR="00B926B1" w:rsidRPr="00C328AF" w:rsidRDefault="00B926B1" w:rsidP="00B926B1">
            <w:pPr>
              <w:jc w:val="center"/>
            </w:pPr>
            <w:r>
              <w:t>1 091 085</w:t>
            </w:r>
          </w:p>
        </w:tc>
      </w:tr>
      <w:tr w:rsidR="00492C8A" w:rsidRPr="00C328AF" w14:paraId="76500648" w14:textId="77777777" w:rsidTr="00044C88">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FFFFFF"/>
          <w:tblCellMar>
            <w:top w:w="30" w:type="dxa"/>
            <w:left w:w="30" w:type="dxa"/>
            <w:bottom w:w="30" w:type="dxa"/>
            <w:right w:w="30" w:type="dxa"/>
          </w:tblCellMar>
        </w:tblPrEx>
        <w:tc>
          <w:tcPr>
            <w:tcW w:w="2073" w:type="dxa"/>
            <w:gridSpan w:val="2"/>
            <w:tcBorders>
              <w:top w:val="outset" w:sz="6" w:space="0" w:color="414142"/>
              <w:left w:val="outset" w:sz="6" w:space="0" w:color="414142"/>
              <w:bottom w:val="outset" w:sz="6" w:space="0" w:color="414142"/>
              <w:right w:val="outset" w:sz="6" w:space="0" w:color="414142"/>
            </w:tcBorders>
            <w:shd w:val="clear" w:color="auto" w:fill="FFFFFF"/>
            <w:hideMark/>
          </w:tcPr>
          <w:p w14:paraId="6DC0D96B" w14:textId="77777777" w:rsidR="00492C8A" w:rsidRPr="00C328AF" w:rsidRDefault="00492C8A" w:rsidP="00492C8A">
            <w:r w:rsidRPr="00C328AF">
              <w:t>1.1. valsts pamatbudžets, tai skaitā ieņēmumi no maksas pakalpojumiem un citi pašu ieņēmumi</w:t>
            </w:r>
          </w:p>
        </w:tc>
        <w:tc>
          <w:tcPr>
            <w:tcW w:w="989"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A61C0B4" w14:textId="77777777" w:rsidR="00492C8A" w:rsidRPr="00C328AF" w:rsidRDefault="00492C8A" w:rsidP="00492C8A">
            <w:pPr>
              <w:jc w:val="center"/>
            </w:pPr>
            <w:r w:rsidRPr="00C328AF">
              <w:t>0</w:t>
            </w:r>
          </w:p>
        </w:tc>
        <w:tc>
          <w:tcPr>
            <w:tcW w:w="1186" w:type="dxa"/>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32A8359" w14:textId="19FCC1B9" w:rsidR="00492C8A" w:rsidRPr="00C328AF" w:rsidRDefault="00492C8A" w:rsidP="00492C8A">
            <w:pPr>
              <w:jc w:val="center"/>
            </w:pPr>
            <w:r>
              <w:t>0</w:t>
            </w:r>
          </w:p>
        </w:tc>
        <w:tc>
          <w:tcPr>
            <w:tcW w:w="985"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0FDAB87" w14:textId="7BC019DF" w:rsidR="00492C8A" w:rsidRPr="00C328AF" w:rsidRDefault="00492C8A" w:rsidP="00492C8A">
            <w:pPr>
              <w:jc w:val="center"/>
            </w:pPr>
            <w:r w:rsidRPr="00C328AF">
              <w:t>0</w:t>
            </w:r>
          </w:p>
        </w:tc>
        <w:tc>
          <w:tcPr>
            <w:tcW w:w="1141"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AA0461" w14:textId="7EAFD73E" w:rsidR="00492C8A" w:rsidRPr="00C328AF" w:rsidRDefault="00492C8A" w:rsidP="00492C8A">
            <w:pPr>
              <w:jc w:val="center"/>
            </w:pPr>
            <w:r>
              <w:t>0</w:t>
            </w:r>
          </w:p>
        </w:tc>
        <w:tc>
          <w:tcPr>
            <w:tcW w:w="985"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B76C8C4" w14:textId="74B1FAC2" w:rsidR="00492C8A" w:rsidRPr="00C328AF" w:rsidRDefault="00492C8A" w:rsidP="00492C8A">
            <w:pPr>
              <w:jc w:val="center"/>
            </w:pPr>
            <w:r w:rsidRPr="00C328AF">
              <w:t>0</w:t>
            </w:r>
          </w:p>
        </w:tc>
        <w:tc>
          <w:tcPr>
            <w:tcW w:w="1141"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700F025" w14:textId="437ED821" w:rsidR="00492C8A" w:rsidRPr="00C328AF" w:rsidRDefault="00492C8A" w:rsidP="00492C8A">
            <w:pPr>
              <w:jc w:val="center"/>
            </w:pPr>
            <w:r>
              <w:t>0</w:t>
            </w:r>
          </w:p>
        </w:tc>
        <w:tc>
          <w:tcPr>
            <w:tcW w:w="1194" w:type="dxa"/>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A096AB9" w14:textId="5E8A8812" w:rsidR="00492C8A" w:rsidRPr="00C328AF" w:rsidRDefault="00492C8A" w:rsidP="00492C8A">
            <w:pPr>
              <w:jc w:val="center"/>
            </w:pPr>
            <w:r>
              <w:t>0</w:t>
            </w:r>
          </w:p>
        </w:tc>
      </w:tr>
      <w:tr w:rsidR="00A43C20" w:rsidRPr="00C328AF" w14:paraId="52A211DD" w14:textId="77777777" w:rsidTr="00044C88">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FFFFFF"/>
          <w:tblCellMar>
            <w:top w:w="30" w:type="dxa"/>
            <w:left w:w="30" w:type="dxa"/>
            <w:bottom w:w="30" w:type="dxa"/>
            <w:right w:w="30" w:type="dxa"/>
          </w:tblCellMar>
        </w:tblPrEx>
        <w:tc>
          <w:tcPr>
            <w:tcW w:w="2073" w:type="dxa"/>
            <w:gridSpan w:val="2"/>
            <w:tcBorders>
              <w:top w:val="outset" w:sz="6" w:space="0" w:color="414142"/>
              <w:left w:val="outset" w:sz="6" w:space="0" w:color="414142"/>
              <w:bottom w:val="outset" w:sz="6" w:space="0" w:color="414142"/>
              <w:right w:val="outset" w:sz="6" w:space="0" w:color="414142"/>
            </w:tcBorders>
            <w:shd w:val="clear" w:color="auto" w:fill="FFFFFF"/>
            <w:hideMark/>
          </w:tcPr>
          <w:p w14:paraId="770DF881" w14:textId="77777777" w:rsidR="00A43C20" w:rsidRPr="00C328AF" w:rsidRDefault="00A43C20" w:rsidP="00E42746">
            <w:r w:rsidRPr="00C328AF">
              <w:t>1.2. valsts speciālais budžets</w:t>
            </w:r>
          </w:p>
        </w:tc>
        <w:tc>
          <w:tcPr>
            <w:tcW w:w="989"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E0372E8" w14:textId="77777777" w:rsidR="00A43C20" w:rsidRPr="00C328AF" w:rsidRDefault="00A43C20" w:rsidP="00E42746">
            <w:pPr>
              <w:jc w:val="center"/>
            </w:pPr>
            <w:r w:rsidRPr="00C328AF">
              <w:t>0</w:t>
            </w:r>
          </w:p>
        </w:tc>
        <w:tc>
          <w:tcPr>
            <w:tcW w:w="1186" w:type="dxa"/>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55C2CD7" w14:textId="77777777" w:rsidR="00A43C20" w:rsidRPr="00C328AF" w:rsidRDefault="00A43C20" w:rsidP="00E42746">
            <w:pPr>
              <w:jc w:val="center"/>
            </w:pPr>
            <w:r w:rsidRPr="00C328AF">
              <w:t>0</w:t>
            </w:r>
          </w:p>
        </w:tc>
        <w:tc>
          <w:tcPr>
            <w:tcW w:w="985"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C30DFA4" w14:textId="77777777" w:rsidR="00A43C20" w:rsidRPr="00C328AF" w:rsidRDefault="00A43C20" w:rsidP="00E42746">
            <w:pPr>
              <w:jc w:val="center"/>
            </w:pPr>
            <w:r w:rsidRPr="00C328AF">
              <w:t>0</w:t>
            </w:r>
          </w:p>
        </w:tc>
        <w:tc>
          <w:tcPr>
            <w:tcW w:w="1141"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A005E82" w14:textId="77777777" w:rsidR="00A43C20" w:rsidRPr="00C328AF" w:rsidRDefault="00A43C20" w:rsidP="00E42746">
            <w:pPr>
              <w:jc w:val="center"/>
            </w:pPr>
            <w:r w:rsidRPr="00C328AF">
              <w:t>0</w:t>
            </w:r>
          </w:p>
        </w:tc>
        <w:tc>
          <w:tcPr>
            <w:tcW w:w="985"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B368975" w14:textId="77777777" w:rsidR="00A43C20" w:rsidRPr="00C328AF" w:rsidRDefault="00A43C20" w:rsidP="00E42746">
            <w:pPr>
              <w:jc w:val="center"/>
            </w:pPr>
            <w:r w:rsidRPr="00C328AF">
              <w:t>0</w:t>
            </w:r>
          </w:p>
        </w:tc>
        <w:tc>
          <w:tcPr>
            <w:tcW w:w="1141"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643F404" w14:textId="77777777" w:rsidR="00A43C20" w:rsidRPr="00C328AF" w:rsidRDefault="00A43C20" w:rsidP="00E42746">
            <w:pPr>
              <w:jc w:val="center"/>
            </w:pPr>
            <w:r w:rsidRPr="00C328AF">
              <w:t>0</w:t>
            </w:r>
          </w:p>
        </w:tc>
        <w:tc>
          <w:tcPr>
            <w:tcW w:w="1194" w:type="dxa"/>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7F5253B" w14:textId="77777777" w:rsidR="00A43C20" w:rsidRPr="00C328AF" w:rsidRDefault="00A43C20" w:rsidP="00E42746">
            <w:pPr>
              <w:jc w:val="center"/>
            </w:pPr>
            <w:r w:rsidRPr="00C328AF">
              <w:t>0</w:t>
            </w:r>
          </w:p>
        </w:tc>
      </w:tr>
      <w:tr w:rsidR="00A43C20" w:rsidRPr="00C328AF" w14:paraId="621CB4BD" w14:textId="77777777" w:rsidTr="00044C88">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FFFFFF"/>
          <w:tblCellMar>
            <w:top w:w="30" w:type="dxa"/>
            <w:left w:w="30" w:type="dxa"/>
            <w:bottom w:w="30" w:type="dxa"/>
            <w:right w:w="30" w:type="dxa"/>
          </w:tblCellMar>
        </w:tblPrEx>
        <w:tc>
          <w:tcPr>
            <w:tcW w:w="2073" w:type="dxa"/>
            <w:gridSpan w:val="2"/>
            <w:tcBorders>
              <w:top w:val="outset" w:sz="6" w:space="0" w:color="414142"/>
              <w:left w:val="outset" w:sz="6" w:space="0" w:color="414142"/>
              <w:bottom w:val="outset" w:sz="6" w:space="0" w:color="414142"/>
              <w:right w:val="outset" w:sz="6" w:space="0" w:color="414142"/>
            </w:tcBorders>
            <w:shd w:val="clear" w:color="auto" w:fill="FFFFFF"/>
            <w:hideMark/>
          </w:tcPr>
          <w:p w14:paraId="2E94256D" w14:textId="77777777" w:rsidR="00A43C20" w:rsidRPr="00C328AF" w:rsidRDefault="00A43C20" w:rsidP="00E42746">
            <w:r w:rsidRPr="00C328AF">
              <w:t>1.3. pašvaldību budžets</w:t>
            </w:r>
          </w:p>
        </w:tc>
        <w:tc>
          <w:tcPr>
            <w:tcW w:w="989"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46C8DC9" w14:textId="77777777" w:rsidR="00A43C20" w:rsidRPr="00C328AF" w:rsidRDefault="00A43C20" w:rsidP="00E42746">
            <w:pPr>
              <w:jc w:val="center"/>
            </w:pPr>
            <w:r w:rsidRPr="00C328AF">
              <w:t>0</w:t>
            </w:r>
          </w:p>
        </w:tc>
        <w:tc>
          <w:tcPr>
            <w:tcW w:w="1186" w:type="dxa"/>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387FA90" w14:textId="77777777" w:rsidR="00A43C20" w:rsidRPr="00C328AF" w:rsidRDefault="00A43C20" w:rsidP="00E42746">
            <w:pPr>
              <w:jc w:val="center"/>
            </w:pPr>
            <w:r w:rsidRPr="00C328AF">
              <w:t>0</w:t>
            </w:r>
          </w:p>
        </w:tc>
        <w:tc>
          <w:tcPr>
            <w:tcW w:w="985"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2A4360A" w14:textId="77777777" w:rsidR="00A43C20" w:rsidRPr="00C328AF" w:rsidRDefault="00A43C20" w:rsidP="00E42746">
            <w:pPr>
              <w:jc w:val="center"/>
            </w:pPr>
            <w:r w:rsidRPr="00C328AF">
              <w:t>0</w:t>
            </w:r>
          </w:p>
        </w:tc>
        <w:tc>
          <w:tcPr>
            <w:tcW w:w="1141"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0B9DB4D" w14:textId="77777777" w:rsidR="00A43C20" w:rsidRPr="00C328AF" w:rsidRDefault="00A43C20" w:rsidP="00E42746">
            <w:pPr>
              <w:jc w:val="center"/>
            </w:pPr>
            <w:r w:rsidRPr="00C328AF">
              <w:t>0</w:t>
            </w:r>
          </w:p>
        </w:tc>
        <w:tc>
          <w:tcPr>
            <w:tcW w:w="985"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51EDF41" w14:textId="77777777" w:rsidR="00A43C20" w:rsidRPr="00C328AF" w:rsidRDefault="00A43C20" w:rsidP="00E42746">
            <w:pPr>
              <w:jc w:val="center"/>
            </w:pPr>
            <w:r w:rsidRPr="00C328AF">
              <w:t>0</w:t>
            </w:r>
          </w:p>
        </w:tc>
        <w:tc>
          <w:tcPr>
            <w:tcW w:w="1141"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C67A8FD" w14:textId="77777777" w:rsidR="00A43C20" w:rsidRPr="00C328AF" w:rsidRDefault="00A43C20" w:rsidP="00E42746">
            <w:pPr>
              <w:jc w:val="center"/>
            </w:pPr>
            <w:r w:rsidRPr="00C328AF">
              <w:t>0</w:t>
            </w:r>
          </w:p>
        </w:tc>
        <w:tc>
          <w:tcPr>
            <w:tcW w:w="1194" w:type="dxa"/>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FCACCB9" w14:textId="77777777" w:rsidR="00A43C20" w:rsidRPr="00C328AF" w:rsidRDefault="00A43C20" w:rsidP="00E42746">
            <w:pPr>
              <w:jc w:val="center"/>
            </w:pPr>
            <w:r w:rsidRPr="00C328AF">
              <w:t>0</w:t>
            </w:r>
          </w:p>
        </w:tc>
      </w:tr>
      <w:tr w:rsidR="00B926B1" w:rsidRPr="00C328AF" w14:paraId="1DB78CAF" w14:textId="77777777" w:rsidTr="005A624E">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FFFFFF"/>
          <w:tblCellMar>
            <w:top w:w="30" w:type="dxa"/>
            <w:left w:w="30" w:type="dxa"/>
            <w:bottom w:w="30" w:type="dxa"/>
            <w:right w:w="30" w:type="dxa"/>
          </w:tblCellMar>
        </w:tblPrEx>
        <w:tc>
          <w:tcPr>
            <w:tcW w:w="2073" w:type="dxa"/>
            <w:gridSpan w:val="2"/>
            <w:tcBorders>
              <w:top w:val="outset" w:sz="6" w:space="0" w:color="414142"/>
              <w:left w:val="outset" w:sz="6" w:space="0" w:color="414142"/>
              <w:bottom w:val="outset" w:sz="6" w:space="0" w:color="414142"/>
              <w:right w:val="outset" w:sz="6" w:space="0" w:color="414142"/>
            </w:tcBorders>
            <w:shd w:val="clear" w:color="auto" w:fill="FFFFFF"/>
            <w:hideMark/>
          </w:tcPr>
          <w:p w14:paraId="024EA735" w14:textId="77777777" w:rsidR="00B926B1" w:rsidRPr="00C328AF" w:rsidRDefault="00B926B1" w:rsidP="00B926B1">
            <w:r w:rsidRPr="00C328AF">
              <w:t>2. Budžeta izdevumi</w:t>
            </w:r>
          </w:p>
        </w:tc>
        <w:tc>
          <w:tcPr>
            <w:tcW w:w="989"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7148FD" w14:textId="77777777" w:rsidR="00B926B1" w:rsidRPr="00C328AF" w:rsidRDefault="00B926B1" w:rsidP="00B926B1">
            <w:pPr>
              <w:jc w:val="center"/>
            </w:pPr>
            <w:r w:rsidRPr="00C328AF">
              <w:t>0</w:t>
            </w:r>
          </w:p>
        </w:tc>
        <w:tc>
          <w:tcPr>
            <w:tcW w:w="1186" w:type="dxa"/>
            <w:gridSpan w:val="2"/>
            <w:tcBorders>
              <w:top w:val="outset" w:sz="6" w:space="0" w:color="414142"/>
              <w:left w:val="outset" w:sz="6" w:space="0" w:color="414142"/>
              <w:bottom w:val="outset" w:sz="6" w:space="0" w:color="414142"/>
              <w:right w:val="outset" w:sz="6" w:space="0" w:color="414142"/>
            </w:tcBorders>
            <w:shd w:val="clear" w:color="auto" w:fill="FFFFFF"/>
            <w:vAlign w:val="center"/>
          </w:tcPr>
          <w:p w14:paraId="7B09D63E" w14:textId="059DFFF5" w:rsidR="00B926B1" w:rsidRPr="00C328AF" w:rsidRDefault="00B926B1" w:rsidP="00B926B1">
            <w:pPr>
              <w:jc w:val="center"/>
            </w:pPr>
            <w:r>
              <w:t>770 178</w:t>
            </w:r>
          </w:p>
        </w:tc>
        <w:tc>
          <w:tcPr>
            <w:tcW w:w="985"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36D128B" w14:textId="1FC32902" w:rsidR="00B926B1" w:rsidRPr="00C328AF" w:rsidRDefault="00B926B1" w:rsidP="00B926B1">
            <w:pPr>
              <w:jc w:val="center"/>
            </w:pPr>
            <w:r w:rsidRPr="00C328AF">
              <w:t>0</w:t>
            </w:r>
          </w:p>
        </w:tc>
        <w:tc>
          <w:tcPr>
            <w:tcW w:w="1141"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4A6D2873" w14:textId="7939AE77" w:rsidR="00B926B1" w:rsidRPr="00C328AF" w:rsidRDefault="00B926B1" w:rsidP="00B926B1">
            <w:pPr>
              <w:jc w:val="center"/>
            </w:pPr>
            <w:r>
              <w:t>1 540 356</w:t>
            </w:r>
          </w:p>
        </w:tc>
        <w:tc>
          <w:tcPr>
            <w:tcW w:w="985"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8B5A854" w14:textId="1D302459" w:rsidR="00B926B1" w:rsidRPr="00C328AF" w:rsidRDefault="00B926B1" w:rsidP="00B926B1">
            <w:pPr>
              <w:jc w:val="center"/>
            </w:pPr>
            <w:r w:rsidRPr="00C328AF">
              <w:t>0</w:t>
            </w:r>
          </w:p>
        </w:tc>
        <w:tc>
          <w:tcPr>
            <w:tcW w:w="1141"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4C079594" w14:textId="26035595" w:rsidR="00B926B1" w:rsidRPr="00C328AF" w:rsidRDefault="00B926B1" w:rsidP="00B926B1">
            <w:pPr>
              <w:jc w:val="center"/>
            </w:pPr>
            <w:r>
              <w:t>1 540 356</w:t>
            </w:r>
          </w:p>
        </w:tc>
        <w:tc>
          <w:tcPr>
            <w:tcW w:w="1194" w:type="dxa"/>
            <w:gridSpan w:val="2"/>
            <w:tcBorders>
              <w:top w:val="outset" w:sz="6" w:space="0" w:color="414142"/>
              <w:left w:val="outset" w:sz="6" w:space="0" w:color="414142"/>
              <w:bottom w:val="outset" w:sz="6" w:space="0" w:color="414142"/>
              <w:right w:val="outset" w:sz="6" w:space="0" w:color="414142"/>
            </w:tcBorders>
            <w:shd w:val="clear" w:color="auto" w:fill="FFFFFF"/>
            <w:vAlign w:val="center"/>
          </w:tcPr>
          <w:p w14:paraId="5A021A4B" w14:textId="6839FAF2" w:rsidR="00B926B1" w:rsidRPr="00C328AF" w:rsidRDefault="00B926B1" w:rsidP="00B926B1">
            <w:pPr>
              <w:jc w:val="center"/>
            </w:pPr>
            <w:r>
              <w:t>1 283 630</w:t>
            </w:r>
          </w:p>
        </w:tc>
      </w:tr>
      <w:tr w:rsidR="00B926B1" w:rsidRPr="00C328AF" w14:paraId="60F75689" w14:textId="77777777" w:rsidTr="005A624E">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FFFFFF"/>
          <w:tblCellMar>
            <w:top w:w="30" w:type="dxa"/>
            <w:left w:w="30" w:type="dxa"/>
            <w:bottom w:w="30" w:type="dxa"/>
            <w:right w:w="30" w:type="dxa"/>
          </w:tblCellMar>
        </w:tblPrEx>
        <w:tc>
          <w:tcPr>
            <w:tcW w:w="2073" w:type="dxa"/>
            <w:gridSpan w:val="2"/>
            <w:tcBorders>
              <w:top w:val="outset" w:sz="6" w:space="0" w:color="414142"/>
              <w:left w:val="outset" w:sz="6" w:space="0" w:color="414142"/>
              <w:bottom w:val="outset" w:sz="6" w:space="0" w:color="414142"/>
              <w:right w:val="outset" w:sz="6" w:space="0" w:color="414142"/>
            </w:tcBorders>
            <w:shd w:val="clear" w:color="auto" w:fill="FFFFFF"/>
            <w:hideMark/>
          </w:tcPr>
          <w:p w14:paraId="259CDC75" w14:textId="77777777" w:rsidR="00B926B1" w:rsidRPr="00C328AF" w:rsidRDefault="00B926B1" w:rsidP="00B926B1">
            <w:r w:rsidRPr="00C328AF">
              <w:t>2.1. valsts pamatbudžets</w:t>
            </w:r>
          </w:p>
        </w:tc>
        <w:tc>
          <w:tcPr>
            <w:tcW w:w="989"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DC247E7" w14:textId="77777777" w:rsidR="00B926B1" w:rsidRPr="00C328AF" w:rsidRDefault="00B926B1" w:rsidP="00B926B1">
            <w:pPr>
              <w:jc w:val="center"/>
            </w:pPr>
            <w:r w:rsidRPr="00C328AF">
              <w:t>0</w:t>
            </w:r>
          </w:p>
        </w:tc>
        <w:tc>
          <w:tcPr>
            <w:tcW w:w="1186" w:type="dxa"/>
            <w:gridSpan w:val="2"/>
            <w:tcBorders>
              <w:top w:val="outset" w:sz="6" w:space="0" w:color="414142"/>
              <w:left w:val="outset" w:sz="6" w:space="0" w:color="414142"/>
              <w:bottom w:val="outset" w:sz="6" w:space="0" w:color="414142"/>
              <w:right w:val="outset" w:sz="6" w:space="0" w:color="414142"/>
            </w:tcBorders>
            <w:shd w:val="clear" w:color="auto" w:fill="FFFFFF"/>
            <w:vAlign w:val="center"/>
          </w:tcPr>
          <w:p w14:paraId="714D22C3" w14:textId="6C35AD5A" w:rsidR="00B926B1" w:rsidRPr="00C328AF" w:rsidRDefault="00B926B1" w:rsidP="00B926B1">
            <w:pPr>
              <w:jc w:val="center"/>
            </w:pPr>
            <w:r>
              <w:t>770 178</w:t>
            </w:r>
          </w:p>
        </w:tc>
        <w:tc>
          <w:tcPr>
            <w:tcW w:w="985"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73B755F" w14:textId="089352A8" w:rsidR="00B926B1" w:rsidRPr="00C328AF" w:rsidRDefault="00B926B1" w:rsidP="00B926B1">
            <w:pPr>
              <w:jc w:val="center"/>
            </w:pPr>
            <w:r w:rsidRPr="00C328AF">
              <w:t>0</w:t>
            </w:r>
          </w:p>
        </w:tc>
        <w:tc>
          <w:tcPr>
            <w:tcW w:w="1141"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7F1291F4" w14:textId="428943B8" w:rsidR="00B926B1" w:rsidRPr="00C328AF" w:rsidRDefault="00B926B1" w:rsidP="00B926B1">
            <w:pPr>
              <w:jc w:val="center"/>
            </w:pPr>
            <w:r>
              <w:t>1 540 356</w:t>
            </w:r>
          </w:p>
        </w:tc>
        <w:tc>
          <w:tcPr>
            <w:tcW w:w="985"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67632AF" w14:textId="0BBBAF7F" w:rsidR="00B926B1" w:rsidRPr="00C328AF" w:rsidRDefault="00B926B1" w:rsidP="00B926B1">
            <w:pPr>
              <w:jc w:val="center"/>
            </w:pPr>
            <w:r w:rsidRPr="00C328AF">
              <w:t>0</w:t>
            </w:r>
          </w:p>
        </w:tc>
        <w:tc>
          <w:tcPr>
            <w:tcW w:w="1141"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7F830C8E" w14:textId="055B336C" w:rsidR="00B926B1" w:rsidRPr="00C328AF" w:rsidRDefault="00B926B1" w:rsidP="00B926B1">
            <w:pPr>
              <w:jc w:val="center"/>
            </w:pPr>
            <w:r>
              <w:t>1 540 356</w:t>
            </w:r>
          </w:p>
        </w:tc>
        <w:tc>
          <w:tcPr>
            <w:tcW w:w="1194" w:type="dxa"/>
            <w:gridSpan w:val="2"/>
            <w:tcBorders>
              <w:top w:val="outset" w:sz="6" w:space="0" w:color="414142"/>
              <w:left w:val="outset" w:sz="6" w:space="0" w:color="414142"/>
              <w:bottom w:val="outset" w:sz="6" w:space="0" w:color="414142"/>
              <w:right w:val="outset" w:sz="6" w:space="0" w:color="414142"/>
            </w:tcBorders>
            <w:shd w:val="clear" w:color="auto" w:fill="FFFFFF"/>
            <w:vAlign w:val="center"/>
          </w:tcPr>
          <w:p w14:paraId="6185B180" w14:textId="564E8773" w:rsidR="00B926B1" w:rsidRPr="00C328AF" w:rsidRDefault="00B926B1" w:rsidP="00B926B1">
            <w:pPr>
              <w:jc w:val="center"/>
            </w:pPr>
            <w:r>
              <w:t>1 283 630</w:t>
            </w:r>
          </w:p>
        </w:tc>
      </w:tr>
      <w:tr w:rsidR="009130D5" w:rsidRPr="00C328AF" w14:paraId="2A486FD7" w14:textId="77777777" w:rsidTr="00044C88">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FFFFFF"/>
          <w:tblCellMar>
            <w:top w:w="30" w:type="dxa"/>
            <w:left w:w="30" w:type="dxa"/>
            <w:bottom w:w="30" w:type="dxa"/>
            <w:right w:w="30" w:type="dxa"/>
          </w:tblCellMar>
        </w:tblPrEx>
        <w:tc>
          <w:tcPr>
            <w:tcW w:w="2073" w:type="dxa"/>
            <w:gridSpan w:val="2"/>
            <w:tcBorders>
              <w:top w:val="outset" w:sz="6" w:space="0" w:color="414142"/>
              <w:left w:val="outset" w:sz="6" w:space="0" w:color="414142"/>
              <w:bottom w:val="outset" w:sz="6" w:space="0" w:color="414142"/>
              <w:right w:val="outset" w:sz="6" w:space="0" w:color="414142"/>
            </w:tcBorders>
            <w:shd w:val="clear" w:color="auto" w:fill="FFFFFF"/>
            <w:hideMark/>
          </w:tcPr>
          <w:p w14:paraId="0BBFBA36" w14:textId="77777777" w:rsidR="009130D5" w:rsidRPr="00C328AF" w:rsidRDefault="009130D5" w:rsidP="009130D5">
            <w:r w:rsidRPr="00C328AF">
              <w:t>2.2. valsts speciālais budžets</w:t>
            </w:r>
          </w:p>
        </w:tc>
        <w:tc>
          <w:tcPr>
            <w:tcW w:w="989"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557676F" w14:textId="77777777" w:rsidR="009130D5" w:rsidRPr="00C328AF" w:rsidRDefault="009130D5" w:rsidP="009130D5">
            <w:pPr>
              <w:jc w:val="center"/>
            </w:pPr>
            <w:r w:rsidRPr="00C328AF">
              <w:t>0</w:t>
            </w:r>
          </w:p>
        </w:tc>
        <w:tc>
          <w:tcPr>
            <w:tcW w:w="1186" w:type="dxa"/>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527E18C" w14:textId="77777777" w:rsidR="009130D5" w:rsidRPr="00C328AF" w:rsidRDefault="009130D5" w:rsidP="009130D5">
            <w:pPr>
              <w:jc w:val="center"/>
            </w:pPr>
            <w:r w:rsidRPr="00C328AF">
              <w:t>0</w:t>
            </w:r>
          </w:p>
        </w:tc>
        <w:tc>
          <w:tcPr>
            <w:tcW w:w="985"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60471A1" w14:textId="77777777" w:rsidR="009130D5" w:rsidRPr="00C328AF" w:rsidRDefault="009130D5" w:rsidP="009130D5">
            <w:pPr>
              <w:jc w:val="center"/>
            </w:pPr>
            <w:r w:rsidRPr="00C328AF">
              <w:t>0</w:t>
            </w:r>
          </w:p>
        </w:tc>
        <w:tc>
          <w:tcPr>
            <w:tcW w:w="1141"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388090C" w14:textId="77777777" w:rsidR="009130D5" w:rsidRPr="00C328AF" w:rsidRDefault="009130D5" w:rsidP="009130D5">
            <w:pPr>
              <w:jc w:val="center"/>
            </w:pPr>
            <w:r w:rsidRPr="00C328AF">
              <w:t>0</w:t>
            </w:r>
          </w:p>
        </w:tc>
        <w:tc>
          <w:tcPr>
            <w:tcW w:w="985"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4D01036" w14:textId="77777777" w:rsidR="009130D5" w:rsidRPr="00C328AF" w:rsidRDefault="009130D5" w:rsidP="009130D5">
            <w:pPr>
              <w:jc w:val="center"/>
            </w:pPr>
            <w:r w:rsidRPr="00C328AF">
              <w:t>0</w:t>
            </w:r>
          </w:p>
        </w:tc>
        <w:tc>
          <w:tcPr>
            <w:tcW w:w="1141"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D0AD54F" w14:textId="77777777" w:rsidR="009130D5" w:rsidRPr="00C328AF" w:rsidRDefault="009130D5" w:rsidP="009130D5">
            <w:pPr>
              <w:jc w:val="center"/>
            </w:pPr>
            <w:r w:rsidRPr="00C328AF">
              <w:t>0</w:t>
            </w:r>
          </w:p>
        </w:tc>
        <w:tc>
          <w:tcPr>
            <w:tcW w:w="1194" w:type="dxa"/>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3A634E7" w14:textId="77777777" w:rsidR="009130D5" w:rsidRPr="00C328AF" w:rsidRDefault="009130D5" w:rsidP="009130D5">
            <w:pPr>
              <w:jc w:val="center"/>
            </w:pPr>
            <w:r w:rsidRPr="00C328AF">
              <w:t>0</w:t>
            </w:r>
          </w:p>
        </w:tc>
      </w:tr>
      <w:tr w:rsidR="009130D5" w:rsidRPr="00C328AF" w14:paraId="48DE61D0" w14:textId="77777777" w:rsidTr="00044C88">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FFFFFF"/>
          <w:tblCellMar>
            <w:top w:w="30" w:type="dxa"/>
            <w:left w:w="30" w:type="dxa"/>
            <w:bottom w:w="30" w:type="dxa"/>
            <w:right w:w="30" w:type="dxa"/>
          </w:tblCellMar>
        </w:tblPrEx>
        <w:tc>
          <w:tcPr>
            <w:tcW w:w="2073" w:type="dxa"/>
            <w:gridSpan w:val="2"/>
            <w:tcBorders>
              <w:top w:val="outset" w:sz="6" w:space="0" w:color="414142"/>
              <w:left w:val="outset" w:sz="6" w:space="0" w:color="414142"/>
              <w:bottom w:val="outset" w:sz="6" w:space="0" w:color="414142"/>
              <w:right w:val="outset" w:sz="6" w:space="0" w:color="414142"/>
            </w:tcBorders>
            <w:shd w:val="clear" w:color="auto" w:fill="FFFFFF"/>
            <w:hideMark/>
          </w:tcPr>
          <w:p w14:paraId="37F7507D" w14:textId="77777777" w:rsidR="009130D5" w:rsidRPr="00C328AF" w:rsidRDefault="009130D5" w:rsidP="009130D5">
            <w:r w:rsidRPr="00C328AF">
              <w:t>2.3. pašvaldību budžets</w:t>
            </w:r>
          </w:p>
        </w:tc>
        <w:tc>
          <w:tcPr>
            <w:tcW w:w="989"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5D7ACE5" w14:textId="77777777" w:rsidR="009130D5" w:rsidRPr="00C328AF" w:rsidRDefault="009130D5" w:rsidP="009130D5">
            <w:pPr>
              <w:jc w:val="center"/>
            </w:pPr>
            <w:r w:rsidRPr="00C328AF">
              <w:t>0</w:t>
            </w:r>
          </w:p>
        </w:tc>
        <w:tc>
          <w:tcPr>
            <w:tcW w:w="1186" w:type="dxa"/>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E108CBB" w14:textId="77777777" w:rsidR="009130D5" w:rsidRPr="00C328AF" w:rsidRDefault="009130D5" w:rsidP="009130D5">
            <w:pPr>
              <w:jc w:val="center"/>
            </w:pPr>
            <w:r w:rsidRPr="00C328AF">
              <w:t>0</w:t>
            </w:r>
          </w:p>
        </w:tc>
        <w:tc>
          <w:tcPr>
            <w:tcW w:w="985"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BF3BCF9" w14:textId="77777777" w:rsidR="009130D5" w:rsidRPr="00C328AF" w:rsidRDefault="009130D5" w:rsidP="009130D5">
            <w:pPr>
              <w:jc w:val="center"/>
            </w:pPr>
            <w:r w:rsidRPr="00C328AF">
              <w:t>0</w:t>
            </w:r>
          </w:p>
        </w:tc>
        <w:tc>
          <w:tcPr>
            <w:tcW w:w="1141"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0A56A89" w14:textId="77777777" w:rsidR="009130D5" w:rsidRPr="00C328AF" w:rsidRDefault="009130D5" w:rsidP="009130D5">
            <w:pPr>
              <w:jc w:val="center"/>
            </w:pPr>
            <w:r w:rsidRPr="00C328AF">
              <w:t>0</w:t>
            </w:r>
          </w:p>
        </w:tc>
        <w:tc>
          <w:tcPr>
            <w:tcW w:w="985"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4F4C796" w14:textId="77777777" w:rsidR="009130D5" w:rsidRPr="00C328AF" w:rsidRDefault="009130D5" w:rsidP="009130D5">
            <w:pPr>
              <w:jc w:val="center"/>
            </w:pPr>
            <w:r w:rsidRPr="00C328AF">
              <w:t>0</w:t>
            </w:r>
          </w:p>
        </w:tc>
        <w:tc>
          <w:tcPr>
            <w:tcW w:w="1141"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D9999B7" w14:textId="77777777" w:rsidR="009130D5" w:rsidRPr="00C328AF" w:rsidRDefault="009130D5" w:rsidP="009130D5">
            <w:pPr>
              <w:jc w:val="center"/>
            </w:pPr>
            <w:r w:rsidRPr="00C328AF">
              <w:t>0</w:t>
            </w:r>
          </w:p>
        </w:tc>
        <w:tc>
          <w:tcPr>
            <w:tcW w:w="1194" w:type="dxa"/>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8AABB3F" w14:textId="77777777" w:rsidR="009130D5" w:rsidRPr="00C328AF" w:rsidRDefault="009130D5" w:rsidP="009130D5">
            <w:pPr>
              <w:jc w:val="center"/>
            </w:pPr>
            <w:r w:rsidRPr="00C328AF">
              <w:t>0</w:t>
            </w:r>
          </w:p>
        </w:tc>
      </w:tr>
      <w:tr w:rsidR="009130D5" w:rsidRPr="00C328AF" w14:paraId="09C362A5" w14:textId="77777777" w:rsidTr="00044C88">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FFFFFF"/>
          <w:tblCellMar>
            <w:top w:w="30" w:type="dxa"/>
            <w:left w:w="30" w:type="dxa"/>
            <w:bottom w:w="30" w:type="dxa"/>
            <w:right w:w="30" w:type="dxa"/>
          </w:tblCellMar>
        </w:tblPrEx>
        <w:tc>
          <w:tcPr>
            <w:tcW w:w="2073" w:type="dxa"/>
            <w:gridSpan w:val="2"/>
            <w:tcBorders>
              <w:top w:val="outset" w:sz="6" w:space="0" w:color="414142"/>
              <w:left w:val="outset" w:sz="6" w:space="0" w:color="414142"/>
              <w:bottom w:val="outset" w:sz="6" w:space="0" w:color="414142"/>
              <w:right w:val="outset" w:sz="6" w:space="0" w:color="414142"/>
            </w:tcBorders>
            <w:shd w:val="clear" w:color="auto" w:fill="FFFFFF"/>
            <w:hideMark/>
          </w:tcPr>
          <w:p w14:paraId="165B4135" w14:textId="77777777" w:rsidR="009130D5" w:rsidRPr="00C328AF" w:rsidRDefault="009130D5" w:rsidP="009130D5">
            <w:r w:rsidRPr="00C328AF">
              <w:t>3. Finansiālā ietekme</w:t>
            </w:r>
          </w:p>
        </w:tc>
        <w:tc>
          <w:tcPr>
            <w:tcW w:w="989"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5E13D29" w14:textId="77777777" w:rsidR="009130D5" w:rsidRPr="00C328AF" w:rsidRDefault="009130D5" w:rsidP="009130D5">
            <w:pPr>
              <w:jc w:val="center"/>
            </w:pPr>
            <w:r w:rsidRPr="00C328AF">
              <w:t>0</w:t>
            </w:r>
          </w:p>
        </w:tc>
        <w:tc>
          <w:tcPr>
            <w:tcW w:w="1186" w:type="dxa"/>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CF41C7E" w14:textId="53CE083B" w:rsidR="009130D5" w:rsidRPr="00C328AF" w:rsidRDefault="009130D5" w:rsidP="009130D5">
            <w:pPr>
              <w:jc w:val="center"/>
            </w:pPr>
            <w:r>
              <w:t>- 115 527</w:t>
            </w:r>
          </w:p>
        </w:tc>
        <w:tc>
          <w:tcPr>
            <w:tcW w:w="985"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BF5FC5E" w14:textId="681D8A1E" w:rsidR="009130D5" w:rsidRPr="00C328AF" w:rsidRDefault="009130D5" w:rsidP="009130D5">
            <w:pPr>
              <w:jc w:val="center"/>
            </w:pPr>
            <w:r w:rsidRPr="00C328AF">
              <w:t>0</w:t>
            </w:r>
          </w:p>
        </w:tc>
        <w:tc>
          <w:tcPr>
            <w:tcW w:w="1141"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6DF7FE2" w14:textId="0EA2594C" w:rsidR="009130D5" w:rsidRPr="00C328AF" w:rsidRDefault="009130D5" w:rsidP="009130D5">
            <w:pPr>
              <w:jc w:val="center"/>
            </w:pPr>
            <w:r>
              <w:t>- 231 053</w:t>
            </w:r>
          </w:p>
        </w:tc>
        <w:tc>
          <w:tcPr>
            <w:tcW w:w="985"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739E3EE" w14:textId="20E0F1D9" w:rsidR="009130D5" w:rsidRPr="00C328AF" w:rsidRDefault="009130D5" w:rsidP="009130D5">
            <w:pPr>
              <w:jc w:val="center"/>
            </w:pPr>
            <w:r w:rsidRPr="00C328AF">
              <w:t>0</w:t>
            </w:r>
          </w:p>
        </w:tc>
        <w:tc>
          <w:tcPr>
            <w:tcW w:w="1141"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2EA11B4" w14:textId="48E29D15" w:rsidR="009130D5" w:rsidRPr="00C328AF" w:rsidRDefault="009130D5" w:rsidP="009130D5">
            <w:pPr>
              <w:jc w:val="center"/>
            </w:pPr>
            <w:r>
              <w:t>- 231 053</w:t>
            </w:r>
          </w:p>
        </w:tc>
        <w:tc>
          <w:tcPr>
            <w:tcW w:w="1194" w:type="dxa"/>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8B603FA" w14:textId="7C0BC4D6" w:rsidR="009130D5" w:rsidRPr="00C328AF" w:rsidRDefault="009130D5" w:rsidP="009130D5">
            <w:pPr>
              <w:jc w:val="center"/>
            </w:pPr>
            <w:r>
              <w:t>- 192 545</w:t>
            </w:r>
          </w:p>
        </w:tc>
      </w:tr>
      <w:tr w:rsidR="009130D5" w:rsidRPr="00C328AF" w14:paraId="6990C657" w14:textId="77777777" w:rsidTr="00044C88">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FFFFFF"/>
          <w:tblCellMar>
            <w:top w:w="30" w:type="dxa"/>
            <w:left w:w="30" w:type="dxa"/>
            <w:bottom w:w="30" w:type="dxa"/>
            <w:right w:w="30" w:type="dxa"/>
          </w:tblCellMar>
        </w:tblPrEx>
        <w:tc>
          <w:tcPr>
            <w:tcW w:w="2073" w:type="dxa"/>
            <w:gridSpan w:val="2"/>
            <w:tcBorders>
              <w:top w:val="outset" w:sz="6" w:space="0" w:color="414142"/>
              <w:left w:val="outset" w:sz="6" w:space="0" w:color="414142"/>
              <w:bottom w:val="outset" w:sz="6" w:space="0" w:color="414142"/>
              <w:right w:val="outset" w:sz="6" w:space="0" w:color="414142"/>
            </w:tcBorders>
            <w:shd w:val="clear" w:color="auto" w:fill="FFFFFF"/>
            <w:hideMark/>
          </w:tcPr>
          <w:p w14:paraId="27ABF8BC" w14:textId="77777777" w:rsidR="009130D5" w:rsidRPr="00C328AF" w:rsidRDefault="009130D5" w:rsidP="009130D5">
            <w:r w:rsidRPr="00C328AF">
              <w:t>3.1. valsts pamatbudžets</w:t>
            </w:r>
          </w:p>
        </w:tc>
        <w:tc>
          <w:tcPr>
            <w:tcW w:w="989"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B71FEE5" w14:textId="77777777" w:rsidR="009130D5" w:rsidRPr="00C328AF" w:rsidRDefault="009130D5" w:rsidP="009130D5">
            <w:pPr>
              <w:jc w:val="center"/>
            </w:pPr>
            <w:r w:rsidRPr="00C328AF">
              <w:t>0</w:t>
            </w:r>
          </w:p>
        </w:tc>
        <w:tc>
          <w:tcPr>
            <w:tcW w:w="1186" w:type="dxa"/>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F4C4C51" w14:textId="221EB213" w:rsidR="009130D5" w:rsidRPr="00C328AF" w:rsidRDefault="009130D5" w:rsidP="009130D5">
            <w:pPr>
              <w:jc w:val="center"/>
            </w:pPr>
            <w:r>
              <w:t>- 115 527</w:t>
            </w:r>
          </w:p>
        </w:tc>
        <w:tc>
          <w:tcPr>
            <w:tcW w:w="985"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D1890F3" w14:textId="1A69AFFC" w:rsidR="009130D5" w:rsidRPr="00C328AF" w:rsidRDefault="009130D5" w:rsidP="009130D5">
            <w:pPr>
              <w:jc w:val="center"/>
            </w:pPr>
            <w:r w:rsidRPr="00C328AF">
              <w:t>0</w:t>
            </w:r>
          </w:p>
        </w:tc>
        <w:tc>
          <w:tcPr>
            <w:tcW w:w="1141"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27D85BB" w14:textId="05487CA6" w:rsidR="009130D5" w:rsidRPr="00C328AF" w:rsidRDefault="009130D5" w:rsidP="009130D5">
            <w:pPr>
              <w:jc w:val="center"/>
            </w:pPr>
            <w:r>
              <w:t>- 231 053</w:t>
            </w:r>
          </w:p>
        </w:tc>
        <w:tc>
          <w:tcPr>
            <w:tcW w:w="985"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4802D67" w14:textId="534B2786" w:rsidR="009130D5" w:rsidRPr="00C328AF" w:rsidRDefault="009130D5" w:rsidP="009130D5">
            <w:pPr>
              <w:jc w:val="center"/>
            </w:pPr>
            <w:r w:rsidRPr="00C328AF">
              <w:t>0</w:t>
            </w:r>
          </w:p>
        </w:tc>
        <w:tc>
          <w:tcPr>
            <w:tcW w:w="1141"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45A936C" w14:textId="38B111FC" w:rsidR="009130D5" w:rsidRPr="00C328AF" w:rsidRDefault="009130D5" w:rsidP="009130D5">
            <w:pPr>
              <w:jc w:val="center"/>
            </w:pPr>
            <w:r>
              <w:t>- 231 053</w:t>
            </w:r>
          </w:p>
        </w:tc>
        <w:tc>
          <w:tcPr>
            <w:tcW w:w="1194" w:type="dxa"/>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1D66942" w14:textId="6A8B5334" w:rsidR="009130D5" w:rsidRPr="00C328AF" w:rsidRDefault="009130D5" w:rsidP="009130D5">
            <w:pPr>
              <w:jc w:val="center"/>
            </w:pPr>
            <w:r>
              <w:t>- 192 545</w:t>
            </w:r>
          </w:p>
        </w:tc>
      </w:tr>
      <w:tr w:rsidR="009130D5" w:rsidRPr="00C328AF" w14:paraId="66156839" w14:textId="77777777" w:rsidTr="00044C88">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FFFFFF"/>
          <w:tblCellMar>
            <w:top w:w="30" w:type="dxa"/>
            <w:left w:w="30" w:type="dxa"/>
            <w:bottom w:w="30" w:type="dxa"/>
            <w:right w:w="30" w:type="dxa"/>
          </w:tblCellMar>
        </w:tblPrEx>
        <w:tc>
          <w:tcPr>
            <w:tcW w:w="2073" w:type="dxa"/>
            <w:gridSpan w:val="2"/>
            <w:tcBorders>
              <w:top w:val="outset" w:sz="6" w:space="0" w:color="414142"/>
              <w:left w:val="outset" w:sz="6" w:space="0" w:color="414142"/>
              <w:bottom w:val="outset" w:sz="6" w:space="0" w:color="414142"/>
              <w:right w:val="outset" w:sz="6" w:space="0" w:color="414142"/>
            </w:tcBorders>
            <w:shd w:val="clear" w:color="auto" w:fill="FFFFFF"/>
            <w:hideMark/>
          </w:tcPr>
          <w:p w14:paraId="7215EEBD" w14:textId="77777777" w:rsidR="009130D5" w:rsidRPr="00C328AF" w:rsidRDefault="009130D5" w:rsidP="009130D5">
            <w:r w:rsidRPr="00C328AF">
              <w:t>3.2. speciālais budžets</w:t>
            </w:r>
          </w:p>
        </w:tc>
        <w:tc>
          <w:tcPr>
            <w:tcW w:w="989"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E74C185" w14:textId="77777777" w:rsidR="009130D5" w:rsidRPr="00C328AF" w:rsidRDefault="009130D5" w:rsidP="009130D5">
            <w:pPr>
              <w:jc w:val="center"/>
            </w:pPr>
            <w:r w:rsidRPr="00C328AF">
              <w:t>0</w:t>
            </w:r>
          </w:p>
        </w:tc>
        <w:tc>
          <w:tcPr>
            <w:tcW w:w="1186" w:type="dxa"/>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030E4B4" w14:textId="77777777" w:rsidR="009130D5" w:rsidRPr="00C328AF" w:rsidRDefault="009130D5" w:rsidP="009130D5">
            <w:pPr>
              <w:jc w:val="center"/>
            </w:pPr>
            <w:r w:rsidRPr="00C328AF">
              <w:t>0</w:t>
            </w:r>
          </w:p>
        </w:tc>
        <w:tc>
          <w:tcPr>
            <w:tcW w:w="985"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C2C1FB" w14:textId="77777777" w:rsidR="009130D5" w:rsidRPr="00C328AF" w:rsidRDefault="009130D5" w:rsidP="009130D5">
            <w:pPr>
              <w:jc w:val="center"/>
            </w:pPr>
            <w:r w:rsidRPr="00C328AF">
              <w:t>0</w:t>
            </w:r>
          </w:p>
        </w:tc>
        <w:tc>
          <w:tcPr>
            <w:tcW w:w="1141"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09885F0" w14:textId="77777777" w:rsidR="009130D5" w:rsidRPr="00C328AF" w:rsidRDefault="009130D5" w:rsidP="009130D5">
            <w:pPr>
              <w:jc w:val="center"/>
            </w:pPr>
            <w:r w:rsidRPr="00C328AF">
              <w:t>0</w:t>
            </w:r>
          </w:p>
        </w:tc>
        <w:tc>
          <w:tcPr>
            <w:tcW w:w="985"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657142A" w14:textId="77777777" w:rsidR="009130D5" w:rsidRPr="00C328AF" w:rsidRDefault="009130D5" w:rsidP="009130D5">
            <w:pPr>
              <w:jc w:val="center"/>
            </w:pPr>
            <w:r w:rsidRPr="00C328AF">
              <w:t>0</w:t>
            </w:r>
          </w:p>
        </w:tc>
        <w:tc>
          <w:tcPr>
            <w:tcW w:w="1141"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5AD7024" w14:textId="77777777" w:rsidR="009130D5" w:rsidRPr="00C328AF" w:rsidRDefault="009130D5" w:rsidP="009130D5">
            <w:pPr>
              <w:jc w:val="center"/>
            </w:pPr>
            <w:r w:rsidRPr="00C328AF">
              <w:t>0</w:t>
            </w:r>
          </w:p>
        </w:tc>
        <w:tc>
          <w:tcPr>
            <w:tcW w:w="1194" w:type="dxa"/>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9B3E999" w14:textId="77777777" w:rsidR="009130D5" w:rsidRPr="00C328AF" w:rsidRDefault="009130D5" w:rsidP="009130D5">
            <w:pPr>
              <w:jc w:val="center"/>
            </w:pPr>
            <w:r w:rsidRPr="00C328AF">
              <w:t>0</w:t>
            </w:r>
          </w:p>
        </w:tc>
      </w:tr>
      <w:tr w:rsidR="009130D5" w:rsidRPr="00C328AF" w14:paraId="6C83AADC" w14:textId="77777777" w:rsidTr="00044C88">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FFFFFF"/>
          <w:tblCellMar>
            <w:top w:w="30" w:type="dxa"/>
            <w:left w:w="30" w:type="dxa"/>
            <w:bottom w:w="30" w:type="dxa"/>
            <w:right w:w="30" w:type="dxa"/>
          </w:tblCellMar>
        </w:tblPrEx>
        <w:tc>
          <w:tcPr>
            <w:tcW w:w="2073" w:type="dxa"/>
            <w:gridSpan w:val="2"/>
            <w:tcBorders>
              <w:top w:val="outset" w:sz="6" w:space="0" w:color="414142"/>
              <w:left w:val="outset" w:sz="6" w:space="0" w:color="414142"/>
              <w:bottom w:val="outset" w:sz="6" w:space="0" w:color="414142"/>
              <w:right w:val="outset" w:sz="6" w:space="0" w:color="414142"/>
            </w:tcBorders>
            <w:shd w:val="clear" w:color="auto" w:fill="FFFFFF"/>
            <w:hideMark/>
          </w:tcPr>
          <w:p w14:paraId="5E4C4426" w14:textId="77777777" w:rsidR="009130D5" w:rsidRPr="00C328AF" w:rsidRDefault="009130D5" w:rsidP="009130D5">
            <w:r w:rsidRPr="00C328AF">
              <w:t>3.3. pašvaldību budžets</w:t>
            </w:r>
          </w:p>
        </w:tc>
        <w:tc>
          <w:tcPr>
            <w:tcW w:w="989"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EDF3FCC" w14:textId="77777777" w:rsidR="009130D5" w:rsidRPr="00C328AF" w:rsidRDefault="009130D5" w:rsidP="009130D5">
            <w:pPr>
              <w:jc w:val="center"/>
            </w:pPr>
            <w:r w:rsidRPr="00C328AF">
              <w:t>0</w:t>
            </w:r>
          </w:p>
        </w:tc>
        <w:tc>
          <w:tcPr>
            <w:tcW w:w="1186" w:type="dxa"/>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59F2E5B" w14:textId="77777777" w:rsidR="009130D5" w:rsidRPr="00C328AF" w:rsidRDefault="009130D5" w:rsidP="009130D5">
            <w:pPr>
              <w:jc w:val="center"/>
            </w:pPr>
            <w:r w:rsidRPr="00C328AF">
              <w:t>0</w:t>
            </w:r>
          </w:p>
        </w:tc>
        <w:tc>
          <w:tcPr>
            <w:tcW w:w="985"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6C22A36" w14:textId="77777777" w:rsidR="009130D5" w:rsidRPr="00C328AF" w:rsidRDefault="009130D5" w:rsidP="009130D5">
            <w:pPr>
              <w:jc w:val="center"/>
            </w:pPr>
            <w:r w:rsidRPr="00C328AF">
              <w:t>0</w:t>
            </w:r>
          </w:p>
        </w:tc>
        <w:tc>
          <w:tcPr>
            <w:tcW w:w="1141"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1DA023A" w14:textId="77777777" w:rsidR="009130D5" w:rsidRPr="00C328AF" w:rsidRDefault="009130D5" w:rsidP="009130D5">
            <w:pPr>
              <w:jc w:val="center"/>
            </w:pPr>
            <w:r w:rsidRPr="00C328AF">
              <w:t>0</w:t>
            </w:r>
          </w:p>
        </w:tc>
        <w:tc>
          <w:tcPr>
            <w:tcW w:w="985"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3945626" w14:textId="77777777" w:rsidR="009130D5" w:rsidRPr="00C328AF" w:rsidRDefault="009130D5" w:rsidP="009130D5">
            <w:pPr>
              <w:jc w:val="center"/>
            </w:pPr>
            <w:r w:rsidRPr="00C328AF">
              <w:t>0</w:t>
            </w:r>
          </w:p>
        </w:tc>
        <w:tc>
          <w:tcPr>
            <w:tcW w:w="1141"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CB99292" w14:textId="77777777" w:rsidR="009130D5" w:rsidRPr="00C328AF" w:rsidRDefault="009130D5" w:rsidP="009130D5">
            <w:pPr>
              <w:jc w:val="center"/>
            </w:pPr>
            <w:r w:rsidRPr="00C328AF">
              <w:t>0</w:t>
            </w:r>
          </w:p>
        </w:tc>
        <w:tc>
          <w:tcPr>
            <w:tcW w:w="1194" w:type="dxa"/>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638CFAB" w14:textId="77777777" w:rsidR="009130D5" w:rsidRPr="00C328AF" w:rsidRDefault="009130D5" w:rsidP="009130D5">
            <w:pPr>
              <w:jc w:val="center"/>
            </w:pPr>
            <w:r w:rsidRPr="00C328AF">
              <w:t>0</w:t>
            </w:r>
          </w:p>
        </w:tc>
      </w:tr>
      <w:tr w:rsidR="009130D5" w:rsidRPr="00C328AF" w14:paraId="7042D553" w14:textId="77777777" w:rsidTr="00044C88">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FFFFFF"/>
          <w:tblCellMar>
            <w:top w:w="30" w:type="dxa"/>
            <w:left w:w="30" w:type="dxa"/>
            <w:bottom w:w="30" w:type="dxa"/>
            <w:right w:w="30" w:type="dxa"/>
          </w:tblCellMar>
        </w:tblPrEx>
        <w:tc>
          <w:tcPr>
            <w:tcW w:w="2073" w:type="dxa"/>
            <w:gridSpan w:val="2"/>
            <w:tcBorders>
              <w:top w:val="outset" w:sz="6" w:space="0" w:color="414142"/>
              <w:left w:val="outset" w:sz="6" w:space="0" w:color="414142"/>
              <w:bottom w:val="outset" w:sz="6" w:space="0" w:color="414142"/>
              <w:right w:val="outset" w:sz="6" w:space="0" w:color="414142"/>
            </w:tcBorders>
            <w:shd w:val="clear" w:color="auto" w:fill="FFFFFF"/>
            <w:hideMark/>
          </w:tcPr>
          <w:p w14:paraId="123EAEAA" w14:textId="77777777" w:rsidR="009130D5" w:rsidRPr="00C328AF" w:rsidRDefault="009130D5" w:rsidP="009130D5">
            <w:r w:rsidRPr="00C328AF">
              <w:t>4. Finanšu līdzekļi papildu izdevumu finansēšanai (kompensējošu izdevumu samazinājumu norāda ar "+" zīmi)</w:t>
            </w:r>
          </w:p>
        </w:tc>
        <w:tc>
          <w:tcPr>
            <w:tcW w:w="989"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9BF633D" w14:textId="77777777" w:rsidR="009130D5" w:rsidRPr="00C328AF" w:rsidRDefault="009130D5" w:rsidP="009130D5">
            <w:pPr>
              <w:jc w:val="center"/>
            </w:pPr>
            <w:r w:rsidRPr="00C328AF">
              <w:t>0</w:t>
            </w:r>
          </w:p>
        </w:tc>
        <w:tc>
          <w:tcPr>
            <w:tcW w:w="1186" w:type="dxa"/>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E4EC679" w14:textId="18B85F0B" w:rsidR="009130D5" w:rsidRPr="00C328AF" w:rsidRDefault="009130D5" w:rsidP="009130D5">
            <w:r>
              <w:t>+ 115 527</w:t>
            </w:r>
          </w:p>
        </w:tc>
        <w:tc>
          <w:tcPr>
            <w:tcW w:w="985"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F20C2FB" w14:textId="0703B840" w:rsidR="009130D5" w:rsidRPr="00C328AF" w:rsidRDefault="009130D5" w:rsidP="009130D5">
            <w:pPr>
              <w:jc w:val="center"/>
            </w:pPr>
            <w:r w:rsidRPr="00C328AF">
              <w:t>0</w:t>
            </w:r>
          </w:p>
        </w:tc>
        <w:tc>
          <w:tcPr>
            <w:tcW w:w="1141"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6E50BC6" w14:textId="39A3AA10" w:rsidR="009130D5" w:rsidRPr="00C328AF" w:rsidRDefault="009130D5" w:rsidP="009130D5">
            <w:r>
              <w:t>+ 231 053</w:t>
            </w:r>
          </w:p>
        </w:tc>
        <w:tc>
          <w:tcPr>
            <w:tcW w:w="985"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C0176AF" w14:textId="355A7FB4" w:rsidR="009130D5" w:rsidRPr="00C328AF" w:rsidRDefault="009130D5" w:rsidP="009130D5">
            <w:pPr>
              <w:jc w:val="center"/>
            </w:pPr>
            <w:r w:rsidRPr="00C328AF">
              <w:t>0</w:t>
            </w:r>
          </w:p>
        </w:tc>
        <w:tc>
          <w:tcPr>
            <w:tcW w:w="1141"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F32E38E" w14:textId="1C743337" w:rsidR="009130D5" w:rsidRPr="00C328AF" w:rsidRDefault="009130D5" w:rsidP="009130D5">
            <w:pPr>
              <w:jc w:val="center"/>
            </w:pPr>
            <w:r>
              <w:t>+ 231 053</w:t>
            </w:r>
          </w:p>
        </w:tc>
        <w:tc>
          <w:tcPr>
            <w:tcW w:w="1194" w:type="dxa"/>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E50791A" w14:textId="4695F96E" w:rsidR="009130D5" w:rsidRPr="00C328AF" w:rsidRDefault="009130D5" w:rsidP="009130D5">
            <w:r>
              <w:t>+ 192 545</w:t>
            </w:r>
          </w:p>
        </w:tc>
      </w:tr>
      <w:tr w:rsidR="009130D5" w:rsidRPr="00C328AF" w14:paraId="61519EE6" w14:textId="77777777" w:rsidTr="00044C88">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FFFFFF"/>
          <w:tblCellMar>
            <w:top w:w="30" w:type="dxa"/>
            <w:left w:w="30" w:type="dxa"/>
            <w:bottom w:w="30" w:type="dxa"/>
            <w:right w:w="30" w:type="dxa"/>
          </w:tblCellMar>
        </w:tblPrEx>
        <w:tc>
          <w:tcPr>
            <w:tcW w:w="2073" w:type="dxa"/>
            <w:gridSpan w:val="2"/>
            <w:tcBorders>
              <w:top w:val="outset" w:sz="6" w:space="0" w:color="414142"/>
              <w:left w:val="outset" w:sz="6" w:space="0" w:color="414142"/>
              <w:bottom w:val="outset" w:sz="6" w:space="0" w:color="414142"/>
              <w:right w:val="outset" w:sz="6" w:space="0" w:color="414142"/>
            </w:tcBorders>
            <w:shd w:val="clear" w:color="auto" w:fill="FFFFFF"/>
            <w:hideMark/>
          </w:tcPr>
          <w:p w14:paraId="4EFECD28" w14:textId="77777777" w:rsidR="009130D5" w:rsidRPr="00C328AF" w:rsidRDefault="009130D5" w:rsidP="009130D5">
            <w:r w:rsidRPr="00C328AF">
              <w:t>5. Precizēta finansiālā ietekme</w:t>
            </w:r>
          </w:p>
        </w:tc>
        <w:tc>
          <w:tcPr>
            <w:tcW w:w="989" w:type="dxa"/>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011690D" w14:textId="77777777" w:rsidR="009130D5" w:rsidRPr="00C328AF" w:rsidRDefault="009130D5" w:rsidP="009130D5">
            <w:pPr>
              <w:jc w:val="center"/>
            </w:pPr>
            <w:r w:rsidRPr="00C328AF">
              <w:t>N/a</w:t>
            </w:r>
          </w:p>
        </w:tc>
        <w:tc>
          <w:tcPr>
            <w:tcW w:w="1186" w:type="dxa"/>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6F7D251" w14:textId="77777777" w:rsidR="009130D5" w:rsidRPr="00C328AF" w:rsidRDefault="009130D5" w:rsidP="009130D5">
            <w:pPr>
              <w:jc w:val="center"/>
            </w:pPr>
            <w:r w:rsidRPr="00C328AF">
              <w:t>0</w:t>
            </w:r>
          </w:p>
        </w:tc>
        <w:tc>
          <w:tcPr>
            <w:tcW w:w="985" w:type="dxa"/>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C4C48E9" w14:textId="77777777" w:rsidR="009130D5" w:rsidRPr="00C328AF" w:rsidRDefault="009130D5" w:rsidP="009130D5">
            <w:pPr>
              <w:jc w:val="center"/>
            </w:pPr>
            <w:r w:rsidRPr="00C328AF">
              <w:t>N/a</w:t>
            </w:r>
          </w:p>
        </w:tc>
        <w:tc>
          <w:tcPr>
            <w:tcW w:w="1141"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5960A88" w14:textId="77777777" w:rsidR="009130D5" w:rsidRPr="00C328AF" w:rsidRDefault="009130D5" w:rsidP="009130D5">
            <w:pPr>
              <w:jc w:val="center"/>
            </w:pPr>
            <w:r w:rsidRPr="00C328AF">
              <w:t>0</w:t>
            </w:r>
          </w:p>
        </w:tc>
        <w:tc>
          <w:tcPr>
            <w:tcW w:w="985" w:type="dxa"/>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81ECEDC" w14:textId="77777777" w:rsidR="009130D5" w:rsidRPr="00C328AF" w:rsidRDefault="009130D5" w:rsidP="009130D5">
            <w:pPr>
              <w:jc w:val="center"/>
            </w:pPr>
            <w:r w:rsidRPr="00C328AF">
              <w:t>N/a</w:t>
            </w:r>
          </w:p>
        </w:tc>
        <w:tc>
          <w:tcPr>
            <w:tcW w:w="1141"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0F2A464" w14:textId="77777777" w:rsidR="009130D5" w:rsidRPr="00C328AF" w:rsidRDefault="009130D5" w:rsidP="009130D5">
            <w:pPr>
              <w:jc w:val="center"/>
            </w:pPr>
            <w:r w:rsidRPr="00C328AF">
              <w:t>0</w:t>
            </w:r>
          </w:p>
        </w:tc>
        <w:tc>
          <w:tcPr>
            <w:tcW w:w="1194" w:type="dxa"/>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7995B55" w14:textId="77777777" w:rsidR="009130D5" w:rsidRPr="00C328AF" w:rsidRDefault="009130D5" w:rsidP="009130D5">
            <w:pPr>
              <w:jc w:val="center"/>
            </w:pPr>
            <w:r w:rsidRPr="00C328AF">
              <w:t>0</w:t>
            </w:r>
          </w:p>
        </w:tc>
      </w:tr>
      <w:tr w:rsidR="009130D5" w:rsidRPr="00C328AF" w14:paraId="4F2AB021" w14:textId="77777777" w:rsidTr="00044C88">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FFFFFF"/>
          <w:tblCellMar>
            <w:top w:w="30" w:type="dxa"/>
            <w:left w:w="30" w:type="dxa"/>
            <w:bottom w:w="30" w:type="dxa"/>
            <w:right w:w="30" w:type="dxa"/>
          </w:tblCellMar>
        </w:tblPrEx>
        <w:tc>
          <w:tcPr>
            <w:tcW w:w="2073" w:type="dxa"/>
            <w:gridSpan w:val="2"/>
            <w:tcBorders>
              <w:top w:val="outset" w:sz="6" w:space="0" w:color="414142"/>
              <w:left w:val="outset" w:sz="6" w:space="0" w:color="414142"/>
              <w:bottom w:val="outset" w:sz="6" w:space="0" w:color="414142"/>
              <w:right w:val="outset" w:sz="6" w:space="0" w:color="414142"/>
            </w:tcBorders>
            <w:shd w:val="clear" w:color="auto" w:fill="FFFFFF"/>
            <w:hideMark/>
          </w:tcPr>
          <w:p w14:paraId="1349C14A" w14:textId="77777777" w:rsidR="009130D5" w:rsidRPr="00C328AF" w:rsidRDefault="009130D5" w:rsidP="009130D5">
            <w:r w:rsidRPr="00C328AF">
              <w:t>5.1. valsts pamatbudžets</w:t>
            </w:r>
          </w:p>
        </w:tc>
        <w:tc>
          <w:tcPr>
            <w:tcW w:w="989" w:type="dxa"/>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F88DE4C" w14:textId="77777777" w:rsidR="009130D5" w:rsidRPr="00C328AF" w:rsidRDefault="009130D5" w:rsidP="009130D5">
            <w:pPr>
              <w:jc w:val="center"/>
            </w:pPr>
          </w:p>
        </w:tc>
        <w:tc>
          <w:tcPr>
            <w:tcW w:w="1186" w:type="dxa"/>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0C4B5BF" w14:textId="77777777" w:rsidR="009130D5" w:rsidRPr="00C328AF" w:rsidRDefault="009130D5" w:rsidP="009130D5">
            <w:pPr>
              <w:jc w:val="center"/>
            </w:pPr>
            <w:r w:rsidRPr="00C328AF">
              <w:t>0</w:t>
            </w:r>
          </w:p>
        </w:tc>
        <w:tc>
          <w:tcPr>
            <w:tcW w:w="985" w:type="dxa"/>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57D1356" w14:textId="77777777" w:rsidR="009130D5" w:rsidRPr="00C328AF" w:rsidRDefault="009130D5" w:rsidP="009130D5">
            <w:pPr>
              <w:jc w:val="center"/>
            </w:pPr>
          </w:p>
        </w:tc>
        <w:tc>
          <w:tcPr>
            <w:tcW w:w="1141"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A5BB7DE" w14:textId="77777777" w:rsidR="009130D5" w:rsidRPr="00C328AF" w:rsidRDefault="009130D5" w:rsidP="009130D5">
            <w:pPr>
              <w:jc w:val="center"/>
            </w:pPr>
            <w:r w:rsidRPr="00C328AF">
              <w:t>0</w:t>
            </w:r>
          </w:p>
        </w:tc>
        <w:tc>
          <w:tcPr>
            <w:tcW w:w="985" w:type="dxa"/>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BA96928" w14:textId="77777777" w:rsidR="009130D5" w:rsidRPr="00C328AF" w:rsidRDefault="009130D5" w:rsidP="009130D5">
            <w:pPr>
              <w:jc w:val="center"/>
            </w:pPr>
          </w:p>
        </w:tc>
        <w:tc>
          <w:tcPr>
            <w:tcW w:w="1141"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D341580" w14:textId="77777777" w:rsidR="009130D5" w:rsidRPr="00C328AF" w:rsidRDefault="009130D5" w:rsidP="009130D5">
            <w:pPr>
              <w:jc w:val="center"/>
            </w:pPr>
            <w:r w:rsidRPr="00C328AF">
              <w:t>0</w:t>
            </w:r>
          </w:p>
        </w:tc>
        <w:tc>
          <w:tcPr>
            <w:tcW w:w="1194" w:type="dxa"/>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2298D9E" w14:textId="77777777" w:rsidR="009130D5" w:rsidRPr="00C328AF" w:rsidRDefault="009130D5" w:rsidP="009130D5">
            <w:pPr>
              <w:jc w:val="center"/>
            </w:pPr>
            <w:r w:rsidRPr="00C328AF">
              <w:t>0</w:t>
            </w:r>
          </w:p>
        </w:tc>
      </w:tr>
      <w:tr w:rsidR="009130D5" w:rsidRPr="00C328AF" w14:paraId="1FE8B040" w14:textId="77777777" w:rsidTr="00044C88">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FFFFFF"/>
          <w:tblCellMar>
            <w:top w:w="30" w:type="dxa"/>
            <w:left w:w="30" w:type="dxa"/>
            <w:bottom w:w="30" w:type="dxa"/>
            <w:right w:w="30" w:type="dxa"/>
          </w:tblCellMar>
        </w:tblPrEx>
        <w:tc>
          <w:tcPr>
            <w:tcW w:w="2073" w:type="dxa"/>
            <w:gridSpan w:val="2"/>
            <w:tcBorders>
              <w:top w:val="outset" w:sz="6" w:space="0" w:color="414142"/>
              <w:left w:val="outset" w:sz="6" w:space="0" w:color="414142"/>
              <w:bottom w:val="outset" w:sz="6" w:space="0" w:color="414142"/>
              <w:right w:val="outset" w:sz="6" w:space="0" w:color="414142"/>
            </w:tcBorders>
            <w:shd w:val="clear" w:color="auto" w:fill="FFFFFF"/>
            <w:hideMark/>
          </w:tcPr>
          <w:p w14:paraId="33B3B1A3" w14:textId="77777777" w:rsidR="009130D5" w:rsidRPr="00C328AF" w:rsidRDefault="009130D5" w:rsidP="009130D5">
            <w:r w:rsidRPr="00C328AF">
              <w:t>5.2. speciālais budžets</w:t>
            </w:r>
          </w:p>
        </w:tc>
        <w:tc>
          <w:tcPr>
            <w:tcW w:w="989" w:type="dxa"/>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FB29747" w14:textId="77777777" w:rsidR="009130D5" w:rsidRPr="00C328AF" w:rsidRDefault="009130D5" w:rsidP="009130D5">
            <w:pPr>
              <w:jc w:val="center"/>
            </w:pPr>
          </w:p>
        </w:tc>
        <w:tc>
          <w:tcPr>
            <w:tcW w:w="1186" w:type="dxa"/>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1624932" w14:textId="77777777" w:rsidR="009130D5" w:rsidRPr="00C328AF" w:rsidRDefault="009130D5" w:rsidP="009130D5">
            <w:pPr>
              <w:jc w:val="center"/>
            </w:pPr>
            <w:r w:rsidRPr="00C328AF">
              <w:t>0</w:t>
            </w:r>
          </w:p>
        </w:tc>
        <w:tc>
          <w:tcPr>
            <w:tcW w:w="985" w:type="dxa"/>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29EEB2A" w14:textId="77777777" w:rsidR="009130D5" w:rsidRPr="00C328AF" w:rsidRDefault="009130D5" w:rsidP="009130D5">
            <w:pPr>
              <w:jc w:val="center"/>
            </w:pPr>
          </w:p>
        </w:tc>
        <w:tc>
          <w:tcPr>
            <w:tcW w:w="1141"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5B08897" w14:textId="77777777" w:rsidR="009130D5" w:rsidRPr="00C328AF" w:rsidRDefault="009130D5" w:rsidP="009130D5">
            <w:pPr>
              <w:jc w:val="center"/>
            </w:pPr>
            <w:r w:rsidRPr="00C328AF">
              <w:t>0</w:t>
            </w:r>
          </w:p>
        </w:tc>
        <w:tc>
          <w:tcPr>
            <w:tcW w:w="985" w:type="dxa"/>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074FCFF" w14:textId="77777777" w:rsidR="009130D5" w:rsidRPr="00C328AF" w:rsidRDefault="009130D5" w:rsidP="009130D5">
            <w:pPr>
              <w:jc w:val="center"/>
            </w:pPr>
          </w:p>
        </w:tc>
        <w:tc>
          <w:tcPr>
            <w:tcW w:w="1141"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31A8AF1" w14:textId="77777777" w:rsidR="009130D5" w:rsidRPr="00C328AF" w:rsidRDefault="009130D5" w:rsidP="009130D5">
            <w:pPr>
              <w:jc w:val="center"/>
            </w:pPr>
            <w:r w:rsidRPr="00C328AF">
              <w:t>0</w:t>
            </w:r>
          </w:p>
        </w:tc>
        <w:tc>
          <w:tcPr>
            <w:tcW w:w="1194" w:type="dxa"/>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C512442" w14:textId="77777777" w:rsidR="009130D5" w:rsidRPr="00C328AF" w:rsidRDefault="009130D5" w:rsidP="009130D5">
            <w:pPr>
              <w:jc w:val="center"/>
            </w:pPr>
            <w:r w:rsidRPr="00C328AF">
              <w:t>0</w:t>
            </w:r>
          </w:p>
        </w:tc>
      </w:tr>
      <w:tr w:rsidR="009130D5" w:rsidRPr="00C328AF" w14:paraId="2F0EAB26" w14:textId="77777777" w:rsidTr="00044C88">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FFFFFF"/>
          <w:tblCellMar>
            <w:top w:w="30" w:type="dxa"/>
            <w:left w:w="30" w:type="dxa"/>
            <w:bottom w:w="30" w:type="dxa"/>
            <w:right w:w="30" w:type="dxa"/>
          </w:tblCellMar>
        </w:tblPrEx>
        <w:tc>
          <w:tcPr>
            <w:tcW w:w="2073" w:type="dxa"/>
            <w:gridSpan w:val="2"/>
            <w:tcBorders>
              <w:top w:val="outset" w:sz="6" w:space="0" w:color="414142"/>
              <w:left w:val="outset" w:sz="6" w:space="0" w:color="414142"/>
              <w:bottom w:val="outset" w:sz="6" w:space="0" w:color="414142"/>
              <w:right w:val="outset" w:sz="6" w:space="0" w:color="414142"/>
            </w:tcBorders>
            <w:shd w:val="clear" w:color="auto" w:fill="FFFFFF"/>
            <w:hideMark/>
          </w:tcPr>
          <w:p w14:paraId="3CBE4A89" w14:textId="77777777" w:rsidR="009130D5" w:rsidRPr="00C328AF" w:rsidRDefault="009130D5" w:rsidP="009130D5">
            <w:r w:rsidRPr="00C328AF">
              <w:t>5.3. pašvaldību budžets</w:t>
            </w:r>
          </w:p>
        </w:tc>
        <w:tc>
          <w:tcPr>
            <w:tcW w:w="989" w:type="dxa"/>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B3E47F4" w14:textId="77777777" w:rsidR="009130D5" w:rsidRPr="00C328AF" w:rsidRDefault="009130D5" w:rsidP="009130D5">
            <w:pPr>
              <w:jc w:val="center"/>
            </w:pPr>
          </w:p>
        </w:tc>
        <w:tc>
          <w:tcPr>
            <w:tcW w:w="1186" w:type="dxa"/>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F5B41D8" w14:textId="77777777" w:rsidR="009130D5" w:rsidRPr="00C328AF" w:rsidRDefault="009130D5" w:rsidP="009130D5">
            <w:pPr>
              <w:jc w:val="center"/>
            </w:pPr>
            <w:r w:rsidRPr="00C328AF">
              <w:t>0</w:t>
            </w:r>
          </w:p>
        </w:tc>
        <w:tc>
          <w:tcPr>
            <w:tcW w:w="985" w:type="dxa"/>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AF9CC03" w14:textId="77777777" w:rsidR="009130D5" w:rsidRPr="00C328AF" w:rsidRDefault="009130D5" w:rsidP="009130D5">
            <w:pPr>
              <w:jc w:val="center"/>
            </w:pPr>
          </w:p>
        </w:tc>
        <w:tc>
          <w:tcPr>
            <w:tcW w:w="1141"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C149968" w14:textId="77777777" w:rsidR="009130D5" w:rsidRPr="00C328AF" w:rsidRDefault="009130D5" w:rsidP="009130D5">
            <w:pPr>
              <w:jc w:val="center"/>
            </w:pPr>
            <w:r w:rsidRPr="00C328AF">
              <w:t>0</w:t>
            </w:r>
          </w:p>
        </w:tc>
        <w:tc>
          <w:tcPr>
            <w:tcW w:w="985" w:type="dxa"/>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D4E109C" w14:textId="77777777" w:rsidR="009130D5" w:rsidRPr="00C328AF" w:rsidRDefault="009130D5" w:rsidP="009130D5">
            <w:pPr>
              <w:jc w:val="center"/>
            </w:pPr>
          </w:p>
        </w:tc>
        <w:tc>
          <w:tcPr>
            <w:tcW w:w="1141"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6E004BE" w14:textId="77777777" w:rsidR="009130D5" w:rsidRPr="00C328AF" w:rsidRDefault="009130D5" w:rsidP="009130D5">
            <w:pPr>
              <w:jc w:val="center"/>
            </w:pPr>
            <w:r w:rsidRPr="00C328AF">
              <w:t>0</w:t>
            </w:r>
          </w:p>
        </w:tc>
        <w:tc>
          <w:tcPr>
            <w:tcW w:w="1194" w:type="dxa"/>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B22BF38" w14:textId="77777777" w:rsidR="009130D5" w:rsidRPr="00C328AF" w:rsidRDefault="009130D5" w:rsidP="009130D5">
            <w:pPr>
              <w:jc w:val="center"/>
            </w:pPr>
            <w:r w:rsidRPr="00C328AF">
              <w:t>0</w:t>
            </w:r>
          </w:p>
        </w:tc>
      </w:tr>
      <w:tr w:rsidR="009130D5" w:rsidRPr="00C328AF" w14:paraId="554C3501" w14:textId="77777777" w:rsidTr="00044C88">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FFFFFF"/>
          <w:tblCellMar>
            <w:top w:w="30" w:type="dxa"/>
            <w:left w:w="30" w:type="dxa"/>
            <w:bottom w:w="30" w:type="dxa"/>
            <w:right w:w="30" w:type="dxa"/>
          </w:tblCellMar>
        </w:tblPrEx>
        <w:tc>
          <w:tcPr>
            <w:tcW w:w="2073" w:type="dxa"/>
            <w:gridSpan w:val="2"/>
            <w:tcBorders>
              <w:top w:val="outset" w:sz="6" w:space="0" w:color="414142"/>
              <w:left w:val="outset" w:sz="6" w:space="0" w:color="414142"/>
              <w:bottom w:val="outset" w:sz="6" w:space="0" w:color="414142"/>
              <w:right w:val="outset" w:sz="6" w:space="0" w:color="414142"/>
            </w:tcBorders>
            <w:shd w:val="clear" w:color="auto" w:fill="FFFFFF"/>
            <w:hideMark/>
          </w:tcPr>
          <w:p w14:paraId="60C8A88B" w14:textId="77777777" w:rsidR="009130D5" w:rsidRPr="00C328AF" w:rsidRDefault="009130D5" w:rsidP="009130D5">
            <w:r w:rsidRPr="00C328AF">
              <w:t xml:space="preserve">6. Detalizēts ieņēmumu un izdevumu aprēķins </w:t>
            </w:r>
            <w:r w:rsidRPr="00C328AF">
              <w:lastRenderedPageBreak/>
              <w:t>(ja nepieciešams, detalizētu ieņēmumu un izdevumu aprēķinu var pievienot anotācijas pielikumā)</w:t>
            </w:r>
          </w:p>
        </w:tc>
        <w:tc>
          <w:tcPr>
            <w:tcW w:w="7621" w:type="dxa"/>
            <w:gridSpan w:val="9"/>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CF6D13D" w14:textId="77777777" w:rsidR="009130D5" w:rsidRPr="00C328AF" w:rsidRDefault="009130D5" w:rsidP="009130D5">
            <w:pPr>
              <w:jc w:val="both"/>
              <w:rPr>
                <w:rFonts w:eastAsia="Times New Roman"/>
              </w:rPr>
            </w:pPr>
            <w:r w:rsidRPr="00C328AF">
              <w:rPr>
                <w:rFonts w:eastAsia="Times New Roman"/>
              </w:rPr>
              <w:lastRenderedPageBreak/>
              <w:t>1.1.1.5. pasākuma ietekme uz valsts budžetu un pašvaldību budžetiem tika analizēta izstrādājot un apstiprinot MK noteikumus Nr. 315 (06.06.2017. MK sēdes protokols Nr. 29 31.§)</w:t>
            </w:r>
            <w:r w:rsidRPr="00C328AF">
              <w:rPr>
                <w:rStyle w:val="FootnoteReference"/>
                <w:rFonts w:eastAsia="Times New Roman"/>
              </w:rPr>
              <w:footnoteReference w:id="2"/>
            </w:r>
            <w:r w:rsidRPr="00C328AF">
              <w:rPr>
                <w:rFonts w:eastAsia="Times New Roman"/>
              </w:rPr>
              <w:t xml:space="preserve">. </w:t>
            </w:r>
          </w:p>
          <w:p w14:paraId="73C5C47C" w14:textId="77777777" w:rsidR="009130D5" w:rsidRPr="00C328AF" w:rsidRDefault="009130D5" w:rsidP="009130D5">
            <w:pPr>
              <w:jc w:val="both"/>
              <w:rPr>
                <w:rFonts w:eastAsia="Times New Roman"/>
              </w:rPr>
            </w:pPr>
            <w:r w:rsidRPr="00C328AF">
              <w:rPr>
                <w:rFonts w:eastAsia="Times New Roman"/>
              </w:rPr>
              <w:lastRenderedPageBreak/>
              <w:t xml:space="preserve">1.1.1.5. pasākumam pieejamais kopējais attiecināmais finansējums </w:t>
            </w:r>
            <w:r>
              <w:rPr>
                <w:rFonts w:eastAsia="Times New Roman"/>
              </w:rPr>
              <w:t xml:space="preserve">šobrīd </w:t>
            </w:r>
            <w:r w:rsidRPr="00C328AF">
              <w:rPr>
                <w:rFonts w:eastAsia="Times New Roman"/>
              </w:rPr>
              <w:t>ir 32 552 786 </w:t>
            </w:r>
            <w:r w:rsidRPr="00C328AF">
              <w:rPr>
                <w:rFonts w:eastAsia="Times New Roman"/>
                <w:i/>
              </w:rPr>
              <w:t>euro</w:t>
            </w:r>
            <w:r w:rsidRPr="00C328AF">
              <w:rPr>
                <w:rFonts w:eastAsia="Times New Roman"/>
              </w:rPr>
              <w:t>, tai skaitā Eiropas Reģionālās attīstības fonda finansējums 27 669 868 </w:t>
            </w:r>
            <w:r w:rsidRPr="00C328AF">
              <w:rPr>
                <w:rFonts w:eastAsia="Times New Roman"/>
                <w:i/>
              </w:rPr>
              <w:t>euro</w:t>
            </w:r>
            <w:r w:rsidRPr="00C328AF">
              <w:rPr>
                <w:rFonts w:eastAsia="Times New Roman"/>
              </w:rPr>
              <w:t xml:space="preserve"> un valsts budžeta līdzfinansējums 4 882 918 </w:t>
            </w:r>
            <w:r w:rsidRPr="00C328AF">
              <w:rPr>
                <w:rFonts w:eastAsia="Times New Roman"/>
                <w:i/>
              </w:rPr>
              <w:t>euro</w:t>
            </w:r>
            <w:r w:rsidRPr="00C328AF">
              <w:rPr>
                <w:rFonts w:eastAsia="Times New Roman"/>
              </w:rPr>
              <w:t xml:space="preserve">. </w:t>
            </w:r>
          </w:p>
          <w:p w14:paraId="050FB326" w14:textId="2579E39C" w:rsidR="009130D5" w:rsidRPr="00166824" w:rsidRDefault="009130D5" w:rsidP="009130D5">
            <w:pPr>
              <w:jc w:val="both"/>
              <w:rPr>
                <w:i/>
                <w:iCs/>
              </w:rPr>
            </w:pPr>
            <w:r w:rsidRPr="00C328AF">
              <w:t xml:space="preserve">1.1.1.5. pasākumā iekļauts 1.1.1. SAM 1.1.1.4. pasākuma “P&amp;A infrastruktūras attīstīšana viedās specializācijas jomās un zinātnisko institūciju institucionālās kapacitātes stiprināšana” snieguma rezerves finansējums 7 029 861 </w:t>
            </w:r>
            <w:r w:rsidRPr="00C328AF">
              <w:rPr>
                <w:i/>
              </w:rPr>
              <w:t xml:space="preserve">euro </w:t>
            </w:r>
            <w:r w:rsidRPr="00C328AF">
              <w:t xml:space="preserve">un 1.1.1.5. pasākuma snieguma rezerves finansējums 1 985 565 </w:t>
            </w:r>
            <w:r w:rsidRPr="00C328AF">
              <w:rPr>
                <w:i/>
              </w:rPr>
              <w:t xml:space="preserve">euro, </w:t>
            </w:r>
            <w:r w:rsidRPr="00C328AF">
              <w:t>kas kopumā</w:t>
            </w:r>
            <w:r w:rsidRPr="00C328AF">
              <w:rPr>
                <w:i/>
              </w:rPr>
              <w:t xml:space="preserve"> </w:t>
            </w:r>
            <w:r w:rsidRPr="00C328AF">
              <w:t xml:space="preserve"> 1.1.1.5. pasākuma ietvaros veido snieguma rezerves finansējumu 9 015 426 </w:t>
            </w:r>
            <w:r w:rsidRPr="00C328AF">
              <w:rPr>
                <w:i/>
              </w:rPr>
              <w:t>euro</w:t>
            </w:r>
            <w:r w:rsidRPr="00C328AF">
              <w:t xml:space="preserve"> apmērā, no kura ER</w:t>
            </w:r>
            <w:r>
              <w:t>AF</w:t>
            </w:r>
            <w:r w:rsidRPr="00C328AF">
              <w:t xml:space="preserve"> </w:t>
            </w:r>
            <w:r w:rsidRPr="00C328AF">
              <w:rPr>
                <w:iCs/>
              </w:rPr>
              <w:t xml:space="preserve">finansējums 7 663 112 </w:t>
            </w:r>
            <w:r w:rsidRPr="00C328AF">
              <w:rPr>
                <w:i/>
                <w:iCs/>
              </w:rPr>
              <w:t>euro</w:t>
            </w:r>
            <w:r w:rsidRPr="00C328AF">
              <w:rPr>
                <w:iCs/>
              </w:rPr>
              <w:t xml:space="preserve">  un valsts budžeta </w:t>
            </w:r>
            <w:r w:rsidRPr="00166824">
              <w:rPr>
                <w:iCs/>
              </w:rPr>
              <w:t xml:space="preserve">finansējums 1 352 314 </w:t>
            </w:r>
            <w:r w:rsidRPr="00166824">
              <w:rPr>
                <w:i/>
                <w:iCs/>
              </w:rPr>
              <w:t>euro</w:t>
            </w:r>
            <w:r w:rsidRPr="00166824">
              <w:rPr>
                <w:iCs/>
              </w:rPr>
              <w:t xml:space="preserve"> apmērā no pasākuma ietvaros pieejamā finansējuma, tai skaitā </w:t>
            </w:r>
            <w:r w:rsidRPr="00166824">
              <w:t xml:space="preserve">snieguma rezerves finansējums </w:t>
            </w:r>
            <w:r w:rsidRPr="00166824">
              <w:rPr>
                <w:iCs/>
              </w:rPr>
              <w:t xml:space="preserve">pirmās kārtas ietvaros ir 4 170 709 </w:t>
            </w:r>
            <w:r w:rsidRPr="00166824">
              <w:rPr>
                <w:i/>
                <w:iCs/>
              </w:rPr>
              <w:t>euro</w:t>
            </w:r>
            <w:r w:rsidRPr="00166824">
              <w:rPr>
                <w:iCs/>
              </w:rPr>
              <w:t xml:space="preserve">, otrās kārtas ietvaros - 344 717 </w:t>
            </w:r>
            <w:r w:rsidRPr="00166824">
              <w:rPr>
                <w:i/>
                <w:iCs/>
              </w:rPr>
              <w:t>euro</w:t>
            </w:r>
            <w:r w:rsidRPr="00166824">
              <w:rPr>
                <w:iCs/>
              </w:rPr>
              <w:t xml:space="preserve"> un trešās kārtas ietvaros - 4 500 000 </w:t>
            </w:r>
            <w:r w:rsidRPr="00166824">
              <w:rPr>
                <w:i/>
                <w:iCs/>
              </w:rPr>
              <w:t>euro.</w:t>
            </w:r>
          </w:p>
          <w:p w14:paraId="46587413" w14:textId="1CD1100B" w:rsidR="009130D5" w:rsidRPr="00166824" w:rsidRDefault="009130D5" w:rsidP="009130D5">
            <w:pPr>
              <w:jc w:val="both"/>
              <w:rPr>
                <w:rFonts w:eastAsia="Times New Roman"/>
              </w:rPr>
            </w:pPr>
            <w:r w:rsidRPr="00166824">
              <w:rPr>
                <w:rFonts w:eastAsia="Times New Roman"/>
              </w:rPr>
              <w:t>1.1.1.5. pasākuma trešajai projektu iesniegumu atlases kārtai plānotais kopējais publiskais attiecināmais finansējums ir 9 300 000 </w:t>
            </w:r>
            <w:r w:rsidRPr="00166824">
              <w:rPr>
                <w:rFonts w:eastAsia="Times New Roman"/>
                <w:i/>
              </w:rPr>
              <w:t>euro</w:t>
            </w:r>
            <w:r w:rsidRPr="00166824">
              <w:rPr>
                <w:rFonts w:eastAsia="Times New Roman"/>
              </w:rPr>
              <w:t xml:space="preserve">, ko veido </w:t>
            </w:r>
            <w:r>
              <w:rPr>
                <w:rFonts w:eastAsia="Times New Roman"/>
              </w:rPr>
              <w:t>ERAF</w:t>
            </w:r>
            <w:r w:rsidRPr="00166824">
              <w:rPr>
                <w:rFonts w:eastAsia="Times New Roman"/>
              </w:rPr>
              <w:t xml:space="preserve"> finansējums – 7 905 000 </w:t>
            </w:r>
            <w:r w:rsidRPr="00166824">
              <w:rPr>
                <w:rFonts w:eastAsia="Times New Roman"/>
                <w:i/>
              </w:rPr>
              <w:t>euro</w:t>
            </w:r>
            <w:r w:rsidRPr="00166824">
              <w:rPr>
                <w:rFonts w:eastAsia="Times New Roman"/>
              </w:rPr>
              <w:t> un valsts budžeta līdzfinansējums – 1 395 000 </w:t>
            </w:r>
            <w:r w:rsidRPr="00166824">
              <w:rPr>
                <w:rFonts w:eastAsia="Times New Roman"/>
                <w:i/>
              </w:rPr>
              <w:t>euro.</w:t>
            </w:r>
          </w:p>
          <w:p w14:paraId="373841EE" w14:textId="7A0AD26B" w:rsidR="009130D5" w:rsidRDefault="009130D5" w:rsidP="009130D5">
            <w:pPr>
              <w:jc w:val="both"/>
              <w:rPr>
                <w:rFonts w:eastAsia="Times New Roman"/>
              </w:rPr>
            </w:pPr>
            <w:r w:rsidRPr="00166824">
              <w:rPr>
                <w:rFonts w:eastAsia="Times New Roman"/>
              </w:rPr>
              <w:t>Līdz 2018. gada 31. decembrim trešajā kārtā pieejamais kopējais publiskais attiecināmais finansējums ir 4 800 000 </w:t>
            </w:r>
            <w:r w:rsidRPr="00166824">
              <w:rPr>
                <w:rFonts w:eastAsia="Times New Roman"/>
                <w:i/>
              </w:rPr>
              <w:t>euro</w:t>
            </w:r>
            <w:r w:rsidRPr="00166824">
              <w:rPr>
                <w:rFonts w:eastAsia="Times New Roman"/>
              </w:rPr>
              <w:t xml:space="preserve">, ko veido </w:t>
            </w:r>
            <w:r>
              <w:rPr>
                <w:rFonts w:eastAsia="Times New Roman"/>
              </w:rPr>
              <w:t>ERAF</w:t>
            </w:r>
            <w:r w:rsidRPr="00166824">
              <w:rPr>
                <w:rFonts w:eastAsia="Times New Roman"/>
              </w:rPr>
              <w:t xml:space="preserve"> finansējums – 4 080 000 </w:t>
            </w:r>
            <w:r w:rsidRPr="00166824">
              <w:rPr>
                <w:rFonts w:eastAsia="Times New Roman"/>
                <w:i/>
              </w:rPr>
              <w:t>euro</w:t>
            </w:r>
            <w:r w:rsidRPr="00166824">
              <w:rPr>
                <w:rFonts w:eastAsia="Times New Roman"/>
              </w:rPr>
              <w:t> un valsts budžeta līdzfinansējums – 720 000 </w:t>
            </w:r>
            <w:r w:rsidRPr="00166824">
              <w:rPr>
                <w:rFonts w:eastAsia="Times New Roman"/>
                <w:i/>
              </w:rPr>
              <w:t>euro</w:t>
            </w:r>
            <w:r w:rsidRPr="00166824">
              <w:rPr>
                <w:rFonts w:eastAsia="Times New Roman"/>
              </w:rPr>
              <w:t>.</w:t>
            </w:r>
          </w:p>
          <w:p w14:paraId="38B8A75A" w14:textId="5EC33229" w:rsidR="009130D5" w:rsidRDefault="009130D5" w:rsidP="009130D5">
            <w:pPr>
              <w:jc w:val="both"/>
            </w:pPr>
            <w:r>
              <w:t>L</w:t>
            </w:r>
            <w:r w:rsidRPr="00A556F1">
              <w:t>ai 1.1.1.5. pasākuma trešās projektu iesniegumu atlases</w:t>
            </w:r>
            <w:r>
              <w:t xml:space="preserve"> kārtas ietvaros </w:t>
            </w:r>
            <w:r w:rsidRPr="00A556F1">
              <w:t xml:space="preserve"> nodrošinātu vērtēšanā esošo divu projekta iesniegumu un potenciāl</w:t>
            </w:r>
            <w:r>
              <w:t>o</w:t>
            </w:r>
            <w:r w:rsidRPr="00A556F1">
              <w:t xml:space="preserve"> nākam</w:t>
            </w:r>
            <w:r>
              <w:t>o</w:t>
            </w:r>
            <w:r w:rsidRPr="00A556F1">
              <w:t xml:space="preserve"> </w:t>
            </w:r>
            <w:r>
              <w:t xml:space="preserve">trīs </w:t>
            </w:r>
            <w:r w:rsidRPr="00A556F1">
              <w:t>projekta iesniegum</w:t>
            </w:r>
            <w:r>
              <w:t>u</w:t>
            </w:r>
            <w:r w:rsidRPr="00A556F1">
              <w:t xml:space="preserve"> īstenošanu, ja tie atbildīs 1.1.1.5. pasākuma trešās projektu iesniegumu atlases kārtas vērtēšanas kritērijiem</w:t>
            </w:r>
            <w:r>
              <w:t xml:space="preserve">, nepieciešams papildu finansējums 5 134 520 </w:t>
            </w:r>
            <w:r w:rsidRPr="00A556F1">
              <w:rPr>
                <w:i/>
              </w:rPr>
              <w:t>euro</w:t>
            </w:r>
            <w:r w:rsidRPr="00A556F1">
              <w:t xml:space="preserve"> apmērā.</w:t>
            </w:r>
            <w:r>
              <w:t xml:space="preserve"> </w:t>
            </w:r>
          </w:p>
          <w:p w14:paraId="04462B58" w14:textId="5C79C467" w:rsidR="009130D5" w:rsidRPr="00E130C3" w:rsidRDefault="009130D5" w:rsidP="009130D5">
            <w:pPr>
              <w:jc w:val="both"/>
            </w:pPr>
            <w:r>
              <w:t xml:space="preserve">1.1.1.5. pasākuma trešās projektu iesniegumu atlases kārtas projektu īstenošanai papildu </w:t>
            </w:r>
            <w:r w:rsidRPr="00E130C3">
              <w:t xml:space="preserve">nepieciešamo ERAF finansējumu 4 364 342 </w:t>
            </w:r>
            <w:r w:rsidRPr="00E130C3">
              <w:rPr>
                <w:i/>
              </w:rPr>
              <w:t>euro</w:t>
            </w:r>
            <w:r w:rsidRPr="00E130C3">
              <w:t xml:space="preserve"> apmērā plānots pārdalīt 1.1.1. SAM ietvaros no 1.1.1.3. pasākuma pirmās kārtas finansējuma.</w:t>
            </w:r>
          </w:p>
          <w:p w14:paraId="12F98751" w14:textId="1F32EA4E" w:rsidR="009130D5" w:rsidRDefault="009130D5" w:rsidP="009130D5">
            <w:pPr>
              <w:jc w:val="both"/>
            </w:pPr>
            <w:r w:rsidRPr="00E130C3">
              <w:t xml:space="preserve">Savukārt valsts budžeta līdzfinansējumu 770 178 </w:t>
            </w:r>
            <w:r w:rsidRPr="00E130C3">
              <w:rPr>
                <w:i/>
              </w:rPr>
              <w:t xml:space="preserve">euro </w:t>
            </w:r>
            <w:r w:rsidRPr="00E130C3">
              <w:t>apmērā plānots pieprasīt no valsts budžeta 80.00.00 programmas „Nesadalītais finansējums Eiropas Savienības</w:t>
            </w:r>
            <w:r w:rsidRPr="00C328AF">
              <w:t xml:space="preserve"> politiku instrumentu un pārējās ārvalstu finanšu palīdzības līdzfinansēto projektu un pasākumu īstenošanai”.</w:t>
            </w:r>
          </w:p>
          <w:p w14:paraId="09C8F8AF" w14:textId="1789816E" w:rsidR="009130D5" w:rsidRDefault="009130D5" w:rsidP="009130D5">
            <w:pPr>
              <w:jc w:val="both"/>
            </w:pPr>
            <w:r>
              <w:t>ERAF un valsts budžeta līdzfinansējuma sadalījums turpmākiem trīs gadiem plānots, ņemot vērā 1.1.1.5. pasākuma trešajā kārtā iesniegto un vērtēšanā esošo projektu īstenošanai nepieciešamo finansējuma apmēru un 1.1.1.5. pasākuma trešajā projektu iesniegumu atlases kārtā potenciāli iesniegt plānoto projektu iesniegumu skaitu.</w:t>
            </w:r>
          </w:p>
          <w:p w14:paraId="7DF90545" w14:textId="1190D32C" w:rsidR="009130D5" w:rsidRPr="00C328AF" w:rsidRDefault="009130D5" w:rsidP="009130D5">
            <w:pPr>
              <w:jc w:val="both"/>
            </w:pPr>
            <w:r>
              <w:t xml:space="preserve">Attiecīgi ERAF finansējuma sadalījums plānots sekojoši: 2019. gadā  </w:t>
            </w:r>
            <w:r w:rsidR="00E84A62">
              <w:t xml:space="preserve">654 651 </w:t>
            </w:r>
            <w:r w:rsidRPr="00D36040">
              <w:rPr>
                <w:i/>
              </w:rPr>
              <w:t>euro</w:t>
            </w:r>
            <w:r>
              <w:t xml:space="preserve"> (15% no pieprasītā finansējuma), 2020. gadā</w:t>
            </w:r>
            <w:r w:rsidR="00E84A62">
              <w:t xml:space="preserve"> 1 309 303 </w:t>
            </w:r>
            <w:r w:rsidRPr="00D36040">
              <w:rPr>
                <w:i/>
              </w:rPr>
              <w:t>euro</w:t>
            </w:r>
            <w:r>
              <w:t xml:space="preserve"> (30% no pieprasītā finansējuma), 2021. gadā </w:t>
            </w:r>
            <w:r w:rsidR="00E84A62">
              <w:t xml:space="preserve">1 309 303 </w:t>
            </w:r>
            <w:r w:rsidRPr="00D36040">
              <w:rPr>
                <w:i/>
              </w:rPr>
              <w:t>euro</w:t>
            </w:r>
            <w:r>
              <w:t xml:space="preserve"> (30% no pieprasītā finansējuma) un 2022. gadā</w:t>
            </w:r>
            <w:r w:rsidR="00E84A62">
              <w:t xml:space="preserve"> 1 091 085 </w:t>
            </w:r>
            <w:r w:rsidRPr="007303BC">
              <w:rPr>
                <w:i/>
              </w:rPr>
              <w:t>euro</w:t>
            </w:r>
            <w:r>
              <w:t xml:space="preserve"> (25% no pieprasītā finansējuma), un valsts budžeta līdzfinansējuma sadalījums plānots sekojoši: 2019. gadā 115 527 </w:t>
            </w:r>
            <w:r w:rsidRPr="00D36040">
              <w:rPr>
                <w:i/>
              </w:rPr>
              <w:t>euro</w:t>
            </w:r>
            <w:r>
              <w:t xml:space="preserve"> (15% no pieprasītā finansējuma), 2020. gadā 231 053 </w:t>
            </w:r>
            <w:r w:rsidRPr="00D36040">
              <w:rPr>
                <w:i/>
              </w:rPr>
              <w:t>euro</w:t>
            </w:r>
            <w:r>
              <w:t xml:space="preserve"> (30% no pieprasītā finansējuma), 2021. gadā 231 053 </w:t>
            </w:r>
            <w:r w:rsidRPr="00D36040">
              <w:rPr>
                <w:i/>
              </w:rPr>
              <w:t>euro</w:t>
            </w:r>
            <w:r>
              <w:t xml:space="preserve"> (30% no pieprasītā finansējuma) un 2022. gadā 192 545 </w:t>
            </w:r>
            <w:r w:rsidRPr="007303BC">
              <w:rPr>
                <w:i/>
              </w:rPr>
              <w:t>euro</w:t>
            </w:r>
            <w:r>
              <w:t xml:space="preserve"> (25% no pieprasītā finansējuma).  </w:t>
            </w:r>
          </w:p>
        </w:tc>
      </w:tr>
      <w:tr w:rsidR="009130D5" w:rsidRPr="00C328AF" w14:paraId="0BF29950" w14:textId="77777777" w:rsidTr="00044C88">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FFFFFF"/>
          <w:tblCellMar>
            <w:top w:w="30" w:type="dxa"/>
            <w:left w:w="30" w:type="dxa"/>
            <w:bottom w:w="30" w:type="dxa"/>
            <w:right w:w="30" w:type="dxa"/>
          </w:tblCellMar>
        </w:tblPrEx>
        <w:tc>
          <w:tcPr>
            <w:tcW w:w="2073" w:type="dxa"/>
            <w:gridSpan w:val="2"/>
            <w:tcBorders>
              <w:top w:val="outset" w:sz="6" w:space="0" w:color="414142"/>
              <w:left w:val="outset" w:sz="6" w:space="0" w:color="414142"/>
              <w:bottom w:val="outset" w:sz="6" w:space="0" w:color="414142"/>
              <w:right w:val="outset" w:sz="6" w:space="0" w:color="414142"/>
            </w:tcBorders>
            <w:shd w:val="clear" w:color="auto" w:fill="FFFFFF"/>
            <w:hideMark/>
          </w:tcPr>
          <w:p w14:paraId="679A5AD3" w14:textId="27F3000E" w:rsidR="009130D5" w:rsidRPr="00C328AF" w:rsidRDefault="009130D5" w:rsidP="009130D5">
            <w:r w:rsidRPr="00C328AF">
              <w:lastRenderedPageBreak/>
              <w:t>6.1. detalizēts ieņēmumu aprēķins</w:t>
            </w:r>
          </w:p>
        </w:tc>
        <w:tc>
          <w:tcPr>
            <w:tcW w:w="7621" w:type="dxa"/>
            <w:gridSpan w:val="9"/>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79B4D56" w14:textId="77777777" w:rsidR="009130D5" w:rsidRPr="00C328AF" w:rsidRDefault="009130D5" w:rsidP="009130D5"/>
        </w:tc>
      </w:tr>
      <w:tr w:rsidR="009130D5" w:rsidRPr="00C328AF" w14:paraId="4D01E439" w14:textId="77777777" w:rsidTr="00044C88">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FFFFFF"/>
          <w:tblCellMar>
            <w:top w:w="30" w:type="dxa"/>
            <w:left w:w="30" w:type="dxa"/>
            <w:bottom w:w="30" w:type="dxa"/>
            <w:right w:w="30" w:type="dxa"/>
          </w:tblCellMar>
        </w:tblPrEx>
        <w:tc>
          <w:tcPr>
            <w:tcW w:w="2073" w:type="dxa"/>
            <w:gridSpan w:val="2"/>
            <w:tcBorders>
              <w:top w:val="outset" w:sz="6" w:space="0" w:color="414142"/>
              <w:left w:val="outset" w:sz="6" w:space="0" w:color="414142"/>
              <w:bottom w:val="outset" w:sz="6" w:space="0" w:color="414142"/>
              <w:right w:val="outset" w:sz="6" w:space="0" w:color="414142"/>
            </w:tcBorders>
            <w:shd w:val="clear" w:color="auto" w:fill="FFFFFF"/>
            <w:hideMark/>
          </w:tcPr>
          <w:p w14:paraId="74F046F5" w14:textId="77777777" w:rsidR="009130D5" w:rsidRPr="00C328AF" w:rsidRDefault="009130D5" w:rsidP="009130D5">
            <w:r w:rsidRPr="00C328AF">
              <w:t>6.2. detalizēts izdevumu aprēķins</w:t>
            </w:r>
          </w:p>
        </w:tc>
        <w:tc>
          <w:tcPr>
            <w:tcW w:w="7621" w:type="dxa"/>
            <w:gridSpan w:val="9"/>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0DF2E59" w14:textId="77777777" w:rsidR="009130D5" w:rsidRPr="00C328AF" w:rsidRDefault="009130D5" w:rsidP="009130D5"/>
        </w:tc>
      </w:tr>
      <w:tr w:rsidR="009130D5" w:rsidRPr="00C328AF" w14:paraId="11A70D07" w14:textId="77777777" w:rsidTr="00044C88">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FFFFFF"/>
          <w:tblCellMar>
            <w:top w:w="30" w:type="dxa"/>
            <w:left w:w="30" w:type="dxa"/>
            <w:bottom w:w="30" w:type="dxa"/>
            <w:right w:w="30" w:type="dxa"/>
          </w:tblCellMar>
        </w:tblPrEx>
        <w:tc>
          <w:tcPr>
            <w:tcW w:w="2073" w:type="dxa"/>
            <w:gridSpan w:val="2"/>
            <w:tcBorders>
              <w:top w:val="outset" w:sz="6" w:space="0" w:color="414142"/>
              <w:left w:val="outset" w:sz="6" w:space="0" w:color="414142"/>
              <w:bottom w:val="outset" w:sz="6" w:space="0" w:color="414142"/>
              <w:right w:val="outset" w:sz="6" w:space="0" w:color="414142"/>
            </w:tcBorders>
            <w:shd w:val="clear" w:color="auto" w:fill="FFFFFF"/>
            <w:hideMark/>
          </w:tcPr>
          <w:p w14:paraId="5C9D3B04" w14:textId="77777777" w:rsidR="009130D5" w:rsidRPr="00C328AF" w:rsidRDefault="009130D5" w:rsidP="009130D5">
            <w:r w:rsidRPr="00C328AF">
              <w:t>7. Amata vietu skaita izmaiņas</w:t>
            </w:r>
          </w:p>
        </w:tc>
        <w:tc>
          <w:tcPr>
            <w:tcW w:w="7621" w:type="dxa"/>
            <w:gridSpan w:val="9"/>
            <w:tcBorders>
              <w:top w:val="outset" w:sz="6" w:space="0" w:color="414142"/>
              <w:left w:val="outset" w:sz="6" w:space="0" w:color="414142"/>
              <w:bottom w:val="outset" w:sz="6" w:space="0" w:color="414142"/>
              <w:right w:val="outset" w:sz="6" w:space="0" w:color="414142"/>
            </w:tcBorders>
            <w:shd w:val="clear" w:color="auto" w:fill="FFFFFF"/>
            <w:hideMark/>
          </w:tcPr>
          <w:p w14:paraId="16EE0044" w14:textId="5810DF17" w:rsidR="009130D5" w:rsidRPr="00C328AF" w:rsidRDefault="009130D5" w:rsidP="009130D5">
            <w:pPr>
              <w:rPr>
                <w:color w:val="000000"/>
              </w:rPr>
            </w:pPr>
            <w:r w:rsidRPr="007D24DE">
              <w:rPr>
                <w:iCs/>
                <w:color w:val="000000"/>
              </w:rPr>
              <w:t xml:space="preserve">1.1.1.5. pasākuma noteikumu projekts </w:t>
            </w:r>
            <w:r w:rsidRPr="00C328AF">
              <w:rPr>
                <w:color w:val="000000"/>
              </w:rPr>
              <w:t>šo jomu neskar.</w:t>
            </w:r>
          </w:p>
          <w:p w14:paraId="438CF530" w14:textId="77777777" w:rsidR="009130D5" w:rsidRPr="00C328AF" w:rsidRDefault="009130D5" w:rsidP="009130D5"/>
        </w:tc>
      </w:tr>
      <w:tr w:rsidR="009130D5" w:rsidRPr="00C328AF" w14:paraId="43881304" w14:textId="77777777" w:rsidTr="00044C88">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FFFFFF"/>
          <w:tblCellMar>
            <w:top w:w="30" w:type="dxa"/>
            <w:left w:w="30" w:type="dxa"/>
            <w:bottom w:w="30" w:type="dxa"/>
            <w:right w:w="30" w:type="dxa"/>
          </w:tblCellMar>
        </w:tblPrEx>
        <w:tc>
          <w:tcPr>
            <w:tcW w:w="2073" w:type="dxa"/>
            <w:gridSpan w:val="2"/>
            <w:tcBorders>
              <w:top w:val="outset" w:sz="6" w:space="0" w:color="414142"/>
              <w:left w:val="outset" w:sz="6" w:space="0" w:color="414142"/>
              <w:bottom w:val="outset" w:sz="6" w:space="0" w:color="414142"/>
              <w:right w:val="outset" w:sz="6" w:space="0" w:color="414142"/>
            </w:tcBorders>
            <w:shd w:val="clear" w:color="auto" w:fill="FFFFFF"/>
            <w:hideMark/>
          </w:tcPr>
          <w:p w14:paraId="50AB902C" w14:textId="77777777" w:rsidR="009130D5" w:rsidRPr="00C328AF" w:rsidRDefault="009130D5" w:rsidP="009130D5">
            <w:r w:rsidRPr="00C328AF">
              <w:t>8. Cita informācija</w:t>
            </w:r>
          </w:p>
        </w:tc>
        <w:tc>
          <w:tcPr>
            <w:tcW w:w="7621" w:type="dxa"/>
            <w:gridSpan w:val="9"/>
            <w:tcBorders>
              <w:top w:val="outset" w:sz="6" w:space="0" w:color="414142"/>
              <w:left w:val="outset" w:sz="6" w:space="0" w:color="414142"/>
              <w:bottom w:val="outset" w:sz="6" w:space="0" w:color="414142"/>
              <w:right w:val="outset" w:sz="6" w:space="0" w:color="414142"/>
            </w:tcBorders>
            <w:shd w:val="clear" w:color="auto" w:fill="FFFFFF"/>
            <w:hideMark/>
          </w:tcPr>
          <w:p w14:paraId="60C6BE86" w14:textId="0FE35215" w:rsidR="009130D5" w:rsidRPr="00CC2DDC" w:rsidRDefault="009130D5" w:rsidP="009130D5">
            <w:pPr>
              <w:jc w:val="both"/>
            </w:pPr>
            <w:r>
              <w:t xml:space="preserve">Finansējuma sadalījums pa gadiem norādīts indikatīvi. </w:t>
            </w:r>
            <w:r w:rsidRPr="00CC2DDC">
              <w:t xml:space="preserve">Valsts budžeta līdzfinansējumu 770 178 </w:t>
            </w:r>
            <w:r w:rsidRPr="00CC2DDC">
              <w:rPr>
                <w:i/>
              </w:rPr>
              <w:t xml:space="preserve">euro </w:t>
            </w:r>
            <w:r w:rsidRPr="00CC2DDC">
              <w:t xml:space="preserve">apmērā plānots pieprasīt no valsts budžeta 80.00.00 programmas „Nesadalītais finansējums Eiropas Savienības politiku </w:t>
            </w:r>
            <w:r w:rsidRPr="00CC2DDC">
              <w:lastRenderedPageBreak/>
              <w:t>instrumentu un pārējās ārvalstu finanšu palīdzības līdzfinansēto projektu un pasākumu īstenošanai”.</w:t>
            </w:r>
          </w:p>
        </w:tc>
      </w:tr>
    </w:tbl>
    <w:p w14:paraId="58B7098B" w14:textId="0B73F2D8" w:rsidR="004A7F10" w:rsidRPr="00A556F1" w:rsidRDefault="004A7F10" w:rsidP="004A7F10"/>
    <w:tbl>
      <w:tblPr>
        <w:tblW w:w="5083"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418"/>
        <w:gridCol w:w="2693"/>
        <w:gridCol w:w="6094"/>
      </w:tblGrid>
      <w:tr w:rsidR="000506CD" w:rsidRPr="00A556F1" w14:paraId="58B7098D" w14:textId="77777777" w:rsidTr="00151E21">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8B7098C" w14:textId="77777777" w:rsidR="008F68BE" w:rsidRPr="00A556F1" w:rsidRDefault="008F68BE" w:rsidP="008F68BE">
            <w:pPr>
              <w:jc w:val="center"/>
              <w:rPr>
                <w:rFonts w:ascii="Arial" w:eastAsia="Times New Roman" w:hAnsi="Arial" w:cs="Arial"/>
                <w:b/>
                <w:bCs/>
                <w:sz w:val="20"/>
                <w:szCs w:val="20"/>
                <w:lang w:eastAsia="en-US"/>
              </w:rPr>
            </w:pPr>
            <w:r w:rsidRPr="00A556F1">
              <w:rPr>
                <w:b/>
              </w:rPr>
              <w:t>IV. Tiesību akta projekta ietekme uz spēkā esošo tiesību normu sistēmu</w:t>
            </w:r>
          </w:p>
        </w:tc>
      </w:tr>
      <w:tr w:rsidR="000506CD" w:rsidRPr="00A556F1" w14:paraId="58B70992" w14:textId="77777777" w:rsidTr="002858B3">
        <w:tc>
          <w:tcPr>
            <w:tcW w:w="227" w:type="pct"/>
            <w:tcBorders>
              <w:top w:val="outset" w:sz="6" w:space="0" w:color="414142"/>
              <w:left w:val="outset" w:sz="6" w:space="0" w:color="414142"/>
              <w:bottom w:val="outset" w:sz="6" w:space="0" w:color="414142"/>
              <w:right w:val="outset" w:sz="6" w:space="0" w:color="414142"/>
            </w:tcBorders>
            <w:shd w:val="clear" w:color="auto" w:fill="FFFFFF"/>
            <w:hideMark/>
          </w:tcPr>
          <w:p w14:paraId="58B7098E" w14:textId="77777777" w:rsidR="008F68BE" w:rsidRPr="00A556F1" w:rsidRDefault="008F68BE" w:rsidP="008F68BE">
            <w:pPr>
              <w:tabs>
                <w:tab w:val="left" w:pos="170"/>
              </w:tabs>
              <w:ind w:left="57" w:right="57"/>
            </w:pPr>
            <w:r w:rsidRPr="00A556F1">
              <w:t>1.</w:t>
            </w:r>
          </w:p>
        </w:tc>
        <w:tc>
          <w:tcPr>
            <w:tcW w:w="1463" w:type="pct"/>
            <w:tcBorders>
              <w:top w:val="outset" w:sz="6" w:space="0" w:color="414142"/>
              <w:left w:val="outset" w:sz="6" w:space="0" w:color="414142"/>
              <w:bottom w:val="outset" w:sz="6" w:space="0" w:color="414142"/>
              <w:right w:val="outset" w:sz="6" w:space="0" w:color="414142"/>
            </w:tcBorders>
            <w:shd w:val="clear" w:color="auto" w:fill="FFFFFF"/>
            <w:hideMark/>
          </w:tcPr>
          <w:p w14:paraId="58B7098F" w14:textId="77777777" w:rsidR="008F68BE" w:rsidRPr="00A556F1" w:rsidRDefault="008F68BE" w:rsidP="0029736A">
            <w:pPr>
              <w:tabs>
                <w:tab w:val="left" w:pos="170"/>
              </w:tabs>
              <w:ind w:left="57" w:right="57"/>
            </w:pPr>
            <w:r w:rsidRPr="00A556F1">
              <w:t>Saistītie tiesību aktu projekti</w:t>
            </w:r>
          </w:p>
        </w:tc>
        <w:tc>
          <w:tcPr>
            <w:tcW w:w="3310" w:type="pct"/>
            <w:tcBorders>
              <w:top w:val="outset" w:sz="6" w:space="0" w:color="414142"/>
              <w:left w:val="outset" w:sz="6" w:space="0" w:color="414142"/>
              <w:bottom w:val="outset" w:sz="6" w:space="0" w:color="414142"/>
              <w:right w:val="outset" w:sz="6" w:space="0" w:color="414142"/>
            </w:tcBorders>
            <w:shd w:val="clear" w:color="auto" w:fill="FFFFFF"/>
            <w:hideMark/>
          </w:tcPr>
          <w:p w14:paraId="58B70991" w14:textId="77777777" w:rsidR="00A10DA2" w:rsidRPr="00A556F1" w:rsidRDefault="00A10DA2" w:rsidP="00A10DA2">
            <w:pPr>
              <w:tabs>
                <w:tab w:val="left" w:pos="170"/>
              </w:tabs>
              <w:ind w:left="57" w:right="57"/>
              <w:jc w:val="both"/>
            </w:pPr>
            <w:r w:rsidRPr="002826C6">
              <w:t xml:space="preserve">Vienlaikus ar grozījumiem </w:t>
            </w:r>
            <w:r w:rsidRPr="002826C6">
              <w:rPr>
                <w:rFonts w:eastAsia="Times New Roman"/>
              </w:rPr>
              <w:t xml:space="preserve">MK noteikumos Nr. 315 IZM virza </w:t>
            </w:r>
            <w:r w:rsidRPr="002826C6">
              <w:t>1.1.1.3. pasākuma noteikumu projektu, kas paredz veikt precizējumus MK noteikumu Nr. 41 9. un 10. punkta redakcijā, lai samazinātu 1</w:t>
            </w:r>
            <w:r w:rsidRPr="00A556F1">
              <w:t>.1.1.3. pasākumam pieejamā ERAF finansējuma apmēru, kā arī 7.1.2. apakšpunkta redakcijā, precizējot iznākuma rādītāja vērtību.</w:t>
            </w:r>
          </w:p>
        </w:tc>
      </w:tr>
      <w:tr w:rsidR="000506CD" w:rsidRPr="00A556F1" w14:paraId="58B70996" w14:textId="77777777" w:rsidTr="002858B3">
        <w:tc>
          <w:tcPr>
            <w:tcW w:w="227" w:type="pct"/>
            <w:tcBorders>
              <w:top w:val="outset" w:sz="6" w:space="0" w:color="414142"/>
              <w:left w:val="outset" w:sz="6" w:space="0" w:color="414142"/>
              <w:bottom w:val="outset" w:sz="6" w:space="0" w:color="414142"/>
              <w:right w:val="outset" w:sz="6" w:space="0" w:color="414142"/>
            </w:tcBorders>
            <w:shd w:val="clear" w:color="auto" w:fill="FFFFFF"/>
            <w:hideMark/>
          </w:tcPr>
          <w:p w14:paraId="58B70993" w14:textId="77777777" w:rsidR="008F68BE" w:rsidRPr="00A556F1" w:rsidRDefault="008F68BE" w:rsidP="008F68BE">
            <w:pPr>
              <w:tabs>
                <w:tab w:val="left" w:pos="170"/>
              </w:tabs>
              <w:ind w:left="57" w:right="57"/>
            </w:pPr>
            <w:r w:rsidRPr="00A556F1">
              <w:t>2.</w:t>
            </w:r>
          </w:p>
        </w:tc>
        <w:tc>
          <w:tcPr>
            <w:tcW w:w="1463" w:type="pct"/>
            <w:tcBorders>
              <w:top w:val="outset" w:sz="6" w:space="0" w:color="414142"/>
              <w:left w:val="outset" w:sz="6" w:space="0" w:color="414142"/>
              <w:bottom w:val="outset" w:sz="6" w:space="0" w:color="414142"/>
              <w:right w:val="outset" w:sz="6" w:space="0" w:color="414142"/>
            </w:tcBorders>
            <w:shd w:val="clear" w:color="auto" w:fill="FFFFFF"/>
            <w:hideMark/>
          </w:tcPr>
          <w:p w14:paraId="58B70994" w14:textId="77777777" w:rsidR="008F68BE" w:rsidRPr="00A556F1" w:rsidRDefault="008F68BE" w:rsidP="0029736A">
            <w:pPr>
              <w:tabs>
                <w:tab w:val="left" w:pos="170"/>
              </w:tabs>
              <w:ind w:left="57" w:right="57"/>
            </w:pPr>
            <w:r w:rsidRPr="00A556F1">
              <w:t>Atbildīgā institūcija</w:t>
            </w:r>
          </w:p>
        </w:tc>
        <w:tc>
          <w:tcPr>
            <w:tcW w:w="3310" w:type="pct"/>
            <w:tcBorders>
              <w:top w:val="outset" w:sz="6" w:space="0" w:color="414142"/>
              <w:left w:val="outset" w:sz="6" w:space="0" w:color="414142"/>
              <w:bottom w:val="outset" w:sz="6" w:space="0" w:color="414142"/>
              <w:right w:val="outset" w:sz="6" w:space="0" w:color="414142"/>
            </w:tcBorders>
            <w:shd w:val="clear" w:color="auto" w:fill="FFFFFF"/>
            <w:hideMark/>
          </w:tcPr>
          <w:p w14:paraId="58B70995" w14:textId="77777777" w:rsidR="008F68BE" w:rsidRPr="00A556F1" w:rsidRDefault="0029736A" w:rsidP="008F68BE">
            <w:pPr>
              <w:tabs>
                <w:tab w:val="left" w:pos="170"/>
              </w:tabs>
              <w:ind w:left="57" w:right="57"/>
            </w:pPr>
            <w:r w:rsidRPr="00A556F1">
              <w:t>IZM.</w:t>
            </w:r>
          </w:p>
        </w:tc>
      </w:tr>
      <w:tr w:rsidR="000506CD" w:rsidRPr="00A556F1" w14:paraId="58B7099A" w14:textId="77777777" w:rsidTr="002858B3">
        <w:tc>
          <w:tcPr>
            <w:tcW w:w="227" w:type="pct"/>
            <w:tcBorders>
              <w:top w:val="outset" w:sz="6" w:space="0" w:color="414142"/>
              <w:left w:val="outset" w:sz="6" w:space="0" w:color="414142"/>
              <w:bottom w:val="outset" w:sz="6" w:space="0" w:color="414142"/>
              <w:right w:val="outset" w:sz="6" w:space="0" w:color="414142"/>
            </w:tcBorders>
            <w:shd w:val="clear" w:color="auto" w:fill="FFFFFF"/>
            <w:hideMark/>
          </w:tcPr>
          <w:p w14:paraId="58B70997" w14:textId="77777777" w:rsidR="008F68BE" w:rsidRPr="00A556F1" w:rsidRDefault="008F68BE" w:rsidP="008F68BE">
            <w:pPr>
              <w:tabs>
                <w:tab w:val="left" w:pos="170"/>
              </w:tabs>
              <w:ind w:left="57" w:right="57"/>
            </w:pPr>
            <w:r w:rsidRPr="00A556F1">
              <w:t>3.</w:t>
            </w:r>
          </w:p>
        </w:tc>
        <w:tc>
          <w:tcPr>
            <w:tcW w:w="1463" w:type="pct"/>
            <w:tcBorders>
              <w:top w:val="outset" w:sz="6" w:space="0" w:color="414142"/>
              <w:left w:val="outset" w:sz="6" w:space="0" w:color="414142"/>
              <w:bottom w:val="outset" w:sz="6" w:space="0" w:color="414142"/>
              <w:right w:val="outset" w:sz="6" w:space="0" w:color="414142"/>
            </w:tcBorders>
            <w:shd w:val="clear" w:color="auto" w:fill="FFFFFF"/>
            <w:hideMark/>
          </w:tcPr>
          <w:p w14:paraId="58B70998" w14:textId="77777777" w:rsidR="008F68BE" w:rsidRPr="00A556F1" w:rsidRDefault="008F68BE" w:rsidP="0029736A">
            <w:pPr>
              <w:tabs>
                <w:tab w:val="left" w:pos="170"/>
              </w:tabs>
              <w:ind w:left="57" w:right="57"/>
            </w:pPr>
            <w:r w:rsidRPr="00A556F1">
              <w:t>Cita informācija</w:t>
            </w:r>
          </w:p>
        </w:tc>
        <w:tc>
          <w:tcPr>
            <w:tcW w:w="3310" w:type="pct"/>
            <w:tcBorders>
              <w:top w:val="outset" w:sz="6" w:space="0" w:color="414142"/>
              <w:left w:val="outset" w:sz="6" w:space="0" w:color="414142"/>
              <w:bottom w:val="outset" w:sz="6" w:space="0" w:color="414142"/>
              <w:right w:val="outset" w:sz="6" w:space="0" w:color="414142"/>
            </w:tcBorders>
            <w:shd w:val="clear" w:color="auto" w:fill="FFFFFF"/>
            <w:hideMark/>
          </w:tcPr>
          <w:p w14:paraId="58B70999" w14:textId="77777777" w:rsidR="008F68BE" w:rsidRPr="00A556F1" w:rsidRDefault="0029736A" w:rsidP="008F68BE">
            <w:pPr>
              <w:tabs>
                <w:tab w:val="left" w:pos="170"/>
              </w:tabs>
              <w:ind w:left="57" w:right="57"/>
            </w:pPr>
            <w:r w:rsidRPr="00A556F1">
              <w:t>Nav.</w:t>
            </w:r>
          </w:p>
        </w:tc>
      </w:tr>
    </w:tbl>
    <w:p w14:paraId="58B7099B" w14:textId="77777777" w:rsidR="00E613DD" w:rsidRPr="00A556F1" w:rsidRDefault="008F68BE" w:rsidP="00E613DD">
      <w:pPr>
        <w:rPr>
          <w:rFonts w:ascii="Arial" w:eastAsia="Times New Roman" w:hAnsi="Arial" w:cs="Arial"/>
          <w:sz w:val="27"/>
          <w:szCs w:val="27"/>
          <w:shd w:val="clear" w:color="auto" w:fill="FFFFFF"/>
          <w:lang w:eastAsia="en-US"/>
        </w:rPr>
      </w:pPr>
      <w:r w:rsidRPr="00A556F1">
        <w:rPr>
          <w:rFonts w:ascii="Arial" w:eastAsia="Times New Roman" w:hAnsi="Arial" w:cs="Arial"/>
          <w:sz w:val="27"/>
          <w:szCs w:val="27"/>
          <w:shd w:val="clear" w:color="auto" w:fill="FFFFFF"/>
          <w:lang w:eastAsia="en-US"/>
        </w:rPr>
        <w:t> </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21"/>
        <w:gridCol w:w="1810"/>
        <w:gridCol w:w="198"/>
        <w:gridCol w:w="401"/>
        <w:gridCol w:w="1737"/>
        <w:gridCol w:w="1344"/>
        <w:gridCol w:w="804"/>
        <w:gridCol w:w="120"/>
        <w:gridCol w:w="2237"/>
      </w:tblGrid>
      <w:tr w:rsidR="000506CD" w:rsidRPr="00A556F1" w14:paraId="58B7099D" w14:textId="77777777" w:rsidTr="002858B3">
        <w:trPr>
          <w:trHeight w:val="421"/>
          <w:jc w:val="center"/>
        </w:trPr>
        <w:tc>
          <w:tcPr>
            <w:tcW w:w="9072" w:type="dxa"/>
            <w:gridSpan w:val="9"/>
            <w:tcBorders>
              <w:top w:val="single" w:sz="4" w:space="0" w:color="auto"/>
              <w:left w:val="single" w:sz="4" w:space="0" w:color="auto"/>
              <w:bottom w:val="single" w:sz="4" w:space="0" w:color="auto"/>
              <w:right w:val="single" w:sz="4" w:space="0" w:color="auto"/>
            </w:tcBorders>
            <w:vAlign w:val="center"/>
          </w:tcPr>
          <w:p w14:paraId="58B7099C" w14:textId="77777777" w:rsidR="00E613DD" w:rsidRPr="00A556F1" w:rsidRDefault="00E613DD" w:rsidP="002A5B86">
            <w:pPr>
              <w:jc w:val="center"/>
              <w:rPr>
                <w:rFonts w:eastAsia="Times New Roman"/>
                <w:b/>
              </w:rPr>
            </w:pPr>
            <w:r w:rsidRPr="00A556F1">
              <w:rPr>
                <w:rFonts w:eastAsia="Times New Roman"/>
                <w:b/>
              </w:rPr>
              <w:t>V. Tiesību akta projekta atbilstība Latvijas Republikas starptautiskajām saistībām</w:t>
            </w:r>
          </w:p>
        </w:tc>
      </w:tr>
      <w:tr w:rsidR="000506CD" w:rsidRPr="00A556F1" w14:paraId="58B709A3" w14:textId="77777777" w:rsidTr="002858B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421" w:type="dxa"/>
            <w:tcBorders>
              <w:top w:val="outset" w:sz="6" w:space="0" w:color="auto"/>
              <w:left w:val="outset" w:sz="6" w:space="0" w:color="auto"/>
              <w:bottom w:val="outset" w:sz="6" w:space="0" w:color="auto"/>
              <w:right w:val="outset" w:sz="6" w:space="0" w:color="auto"/>
            </w:tcBorders>
          </w:tcPr>
          <w:p w14:paraId="58B7099E" w14:textId="77777777" w:rsidR="00E613DD" w:rsidRPr="00A556F1" w:rsidRDefault="00E613DD" w:rsidP="00E613DD">
            <w:pPr>
              <w:rPr>
                <w:rFonts w:eastAsia="Times New Roman"/>
              </w:rPr>
            </w:pPr>
            <w:r w:rsidRPr="00A556F1">
              <w:rPr>
                <w:rFonts w:eastAsia="Times New Roman"/>
              </w:rPr>
              <w:t>1.</w:t>
            </w:r>
          </w:p>
        </w:tc>
        <w:tc>
          <w:tcPr>
            <w:tcW w:w="2409" w:type="dxa"/>
            <w:gridSpan w:val="3"/>
            <w:tcBorders>
              <w:top w:val="outset" w:sz="6" w:space="0" w:color="auto"/>
              <w:left w:val="outset" w:sz="6" w:space="0" w:color="auto"/>
              <w:bottom w:val="outset" w:sz="6" w:space="0" w:color="auto"/>
              <w:right w:val="outset" w:sz="6" w:space="0" w:color="auto"/>
            </w:tcBorders>
          </w:tcPr>
          <w:p w14:paraId="58B7099F" w14:textId="77777777" w:rsidR="00E613DD" w:rsidRPr="00A556F1" w:rsidRDefault="00E613DD" w:rsidP="00E613DD">
            <w:pPr>
              <w:ind w:left="57" w:right="113"/>
              <w:jc w:val="both"/>
              <w:rPr>
                <w:rFonts w:eastAsia="Times New Roman"/>
              </w:rPr>
            </w:pPr>
            <w:r w:rsidRPr="00A556F1">
              <w:rPr>
                <w:rFonts w:eastAsia="Times New Roman"/>
              </w:rPr>
              <w:t>Saistības pret Eiropas Savienību</w:t>
            </w:r>
          </w:p>
        </w:tc>
        <w:tc>
          <w:tcPr>
            <w:tcW w:w="6242" w:type="dxa"/>
            <w:gridSpan w:val="5"/>
            <w:tcBorders>
              <w:top w:val="outset" w:sz="6" w:space="0" w:color="auto"/>
              <w:left w:val="outset" w:sz="6" w:space="0" w:color="auto"/>
              <w:bottom w:val="outset" w:sz="6" w:space="0" w:color="auto"/>
              <w:right w:val="outset" w:sz="6" w:space="0" w:color="auto"/>
            </w:tcBorders>
          </w:tcPr>
          <w:p w14:paraId="58B709A0" w14:textId="7AE5937A" w:rsidR="00131038" w:rsidRPr="00A556F1" w:rsidRDefault="0007592F" w:rsidP="00131038">
            <w:pPr>
              <w:numPr>
                <w:ilvl w:val="0"/>
                <w:numId w:val="11"/>
              </w:numPr>
              <w:ind w:left="57" w:right="113"/>
              <w:contextualSpacing/>
              <w:jc w:val="both"/>
              <w:rPr>
                <w:rFonts w:eastAsia="Times New Roman"/>
              </w:rPr>
            </w:pPr>
            <w:r w:rsidRPr="00A556F1">
              <w:rPr>
                <w:rFonts w:eastAsia="Times New Roman"/>
              </w:rPr>
              <w:t xml:space="preserve">- </w:t>
            </w:r>
            <w:r w:rsidR="00552705" w:rsidRPr="00A556F1">
              <w:rPr>
                <w:rFonts w:eastAsia="Times New Roman"/>
              </w:rPr>
              <w:t>Regula Nr.</w:t>
            </w:r>
            <w:r w:rsidR="004339FA">
              <w:rPr>
                <w:rFonts w:eastAsia="Times New Roman"/>
              </w:rPr>
              <w:t> </w:t>
            </w:r>
            <w:r w:rsidR="00552705" w:rsidRPr="00A556F1">
              <w:rPr>
                <w:rFonts w:eastAsia="Times New Roman"/>
              </w:rPr>
              <w:t>1407/2013</w:t>
            </w:r>
            <w:r w:rsidR="00131038" w:rsidRPr="00A556F1">
              <w:rPr>
                <w:rFonts w:eastAsia="Times New Roman"/>
              </w:rPr>
              <w:t>;</w:t>
            </w:r>
          </w:p>
          <w:p w14:paraId="58B709A1" w14:textId="5F35BEEB" w:rsidR="00D20C22" w:rsidRPr="00A556F1" w:rsidRDefault="00131038" w:rsidP="00E613DD">
            <w:pPr>
              <w:numPr>
                <w:ilvl w:val="0"/>
                <w:numId w:val="11"/>
              </w:numPr>
              <w:ind w:left="57" w:right="113"/>
              <w:contextualSpacing/>
              <w:jc w:val="both"/>
              <w:rPr>
                <w:rFonts w:eastAsia="Times New Roman"/>
              </w:rPr>
            </w:pPr>
            <w:r w:rsidRPr="00A556F1">
              <w:t>- Regula Nr. </w:t>
            </w:r>
            <w:hyperlink r:id="rId12" w:tgtFrame="_blank" w:history="1">
              <w:r w:rsidRPr="00A556F1">
                <w:t>651/2014</w:t>
              </w:r>
            </w:hyperlink>
            <w:r w:rsidR="001D1633">
              <w:t>.</w:t>
            </w:r>
          </w:p>
          <w:p w14:paraId="58B709A2" w14:textId="7096CA4C" w:rsidR="00E613DD" w:rsidRPr="00A556F1" w:rsidRDefault="00E613DD" w:rsidP="002A5B86">
            <w:pPr>
              <w:ind w:left="-303" w:right="113"/>
              <w:contextualSpacing/>
              <w:jc w:val="both"/>
              <w:rPr>
                <w:rFonts w:eastAsia="Times New Roman"/>
              </w:rPr>
            </w:pPr>
          </w:p>
        </w:tc>
      </w:tr>
      <w:tr w:rsidR="000506CD" w:rsidRPr="00A556F1" w14:paraId="58B709A7" w14:textId="77777777" w:rsidTr="002858B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421" w:type="dxa"/>
            <w:tcBorders>
              <w:top w:val="outset" w:sz="6" w:space="0" w:color="auto"/>
              <w:left w:val="outset" w:sz="6" w:space="0" w:color="auto"/>
              <w:bottom w:val="outset" w:sz="6" w:space="0" w:color="auto"/>
              <w:right w:val="outset" w:sz="6" w:space="0" w:color="auto"/>
            </w:tcBorders>
          </w:tcPr>
          <w:p w14:paraId="58B709A4" w14:textId="77777777" w:rsidR="00E613DD" w:rsidRPr="00A556F1" w:rsidRDefault="00E613DD" w:rsidP="00E613DD">
            <w:pPr>
              <w:rPr>
                <w:rFonts w:eastAsia="Times New Roman"/>
              </w:rPr>
            </w:pPr>
            <w:r w:rsidRPr="00A556F1">
              <w:rPr>
                <w:rFonts w:eastAsia="Times New Roman"/>
              </w:rPr>
              <w:t>2.</w:t>
            </w:r>
          </w:p>
        </w:tc>
        <w:tc>
          <w:tcPr>
            <w:tcW w:w="2409" w:type="dxa"/>
            <w:gridSpan w:val="3"/>
            <w:tcBorders>
              <w:top w:val="outset" w:sz="6" w:space="0" w:color="auto"/>
              <w:left w:val="outset" w:sz="6" w:space="0" w:color="auto"/>
              <w:bottom w:val="outset" w:sz="6" w:space="0" w:color="auto"/>
              <w:right w:val="outset" w:sz="6" w:space="0" w:color="auto"/>
            </w:tcBorders>
          </w:tcPr>
          <w:p w14:paraId="58B709A5" w14:textId="77777777" w:rsidR="00E613DD" w:rsidRPr="00A556F1" w:rsidRDefault="00E613DD" w:rsidP="00E613DD">
            <w:pPr>
              <w:rPr>
                <w:rFonts w:eastAsia="Times New Roman"/>
              </w:rPr>
            </w:pPr>
            <w:r w:rsidRPr="00A556F1">
              <w:rPr>
                <w:rFonts w:eastAsia="Times New Roman"/>
              </w:rPr>
              <w:t>Citas starptautiskās saistības</w:t>
            </w:r>
          </w:p>
        </w:tc>
        <w:tc>
          <w:tcPr>
            <w:tcW w:w="6242" w:type="dxa"/>
            <w:gridSpan w:val="5"/>
            <w:tcBorders>
              <w:top w:val="outset" w:sz="6" w:space="0" w:color="auto"/>
              <w:left w:val="outset" w:sz="6" w:space="0" w:color="auto"/>
              <w:bottom w:val="outset" w:sz="6" w:space="0" w:color="auto"/>
              <w:right w:val="outset" w:sz="6" w:space="0" w:color="auto"/>
            </w:tcBorders>
          </w:tcPr>
          <w:p w14:paraId="58B709A6" w14:textId="63DBAFC8" w:rsidR="00E613DD" w:rsidRPr="00A556F1" w:rsidRDefault="0091650B" w:rsidP="00E613DD">
            <w:pPr>
              <w:ind w:left="57" w:right="113"/>
              <w:jc w:val="both"/>
              <w:rPr>
                <w:rFonts w:eastAsia="Times New Roman"/>
              </w:rPr>
            </w:pPr>
            <w:r>
              <w:rPr>
                <w:rFonts w:eastAsia="Times New Roman"/>
              </w:rPr>
              <w:t>1.1.1.5. pasākuma n</w:t>
            </w:r>
            <w:r w:rsidR="00E613DD" w:rsidRPr="00A556F1">
              <w:rPr>
                <w:rFonts w:eastAsia="Times New Roman"/>
              </w:rPr>
              <w:t>oteikumu projekts šo jomu neskar.</w:t>
            </w:r>
          </w:p>
        </w:tc>
      </w:tr>
      <w:tr w:rsidR="000506CD" w:rsidRPr="00A556F1" w14:paraId="58B709AB" w14:textId="77777777" w:rsidTr="002858B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421" w:type="dxa"/>
            <w:tcBorders>
              <w:top w:val="outset" w:sz="6" w:space="0" w:color="auto"/>
              <w:left w:val="outset" w:sz="6" w:space="0" w:color="auto"/>
              <w:bottom w:val="outset" w:sz="6" w:space="0" w:color="auto"/>
              <w:right w:val="outset" w:sz="6" w:space="0" w:color="auto"/>
            </w:tcBorders>
          </w:tcPr>
          <w:p w14:paraId="58B709A8" w14:textId="77777777" w:rsidR="00E613DD" w:rsidRPr="00A556F1" w:rsidRDefault="00E613DD" w:rsidP="00E613DD">
            <w:pPr>
              <w:rPr>
                <w:rFonts w:eastAsia="Times New Roman"/>
              </w:rPr>
            </w:pPr>
            <w:r w:rsidRPr="00A556F1">
              <w:rPr>
                <w:rFonts w:eastAsia="Times New Roman"/>
              </w:rPr>
              <w:t>3.</w:t>
            </w:r>
          </w:p>
        </w:tc>
        <w:tc>
          <w:tcPr>
            <w:tcW w:w="2409" w:type="dxa"/>
            <w:gridSpan w:val="3"/>
            <w:tcBorders>
              <w:top w:val="outset" w:sz="6" w:space="0" w:color="auto"/>
              <w:left w:val="outset" w:sz="6" w:space="0" w:color="auto"/>
              <w:bottom w:val="outset" w:sz="6" w:space="0" w:color="auto"/>
              <w:right w:val="outset" w:sz="6" w:space="0" w:color="auto"/>
            </w:tcBorders>
          </w:tcPr>
          <w:p w14:paraId="58B709A9" w14:textId="77777777" w:rsidR="00E613DD" w:rsidRPr="00A556F1" w:rsidRDefault="00E613DD" w:rsidP="00E613DD">
            <w:pPr>
              <w:rPr>
                <w:rFonts w:eastAsia="Times New Roman"/>
              </w:rPr>
            </w:pPr>
            <w:r w:rsidRPr="00A556F1">
              <w:rPr>
                <w:rFonts w:eastAsia="Times New Roman"/>
              </w:rPr>
              <w:t>Cita informācija</w:t>
            </w:r>
          </w:p>
        </w:tc>
        <w:tc>
          <w:tcPr>
            <w:tcW w:w="6242" w:type="dxa"/>
            <w:gridSpan w:val="5"/>
            <w:tcBorders>
              <w:top w:val="outset" w:sz="6" w:space="0" w:color="auto"/>
              <w:left w:val="outset" w:sz="6" w:space="0" w:color="auto"/>
              <w:bottom w:val="outset" w:sz="6" w:space="0" w:color="auto"/>
              <w:right w:val="outset" w:sz="6" w:space="0" w:color="auto"/>
            </w:tcBorders>
          </w:tcPr>
          <w:p w14:paraId="58B709AA" w14:textId="77777777" w:rsidR="00E613DD" w:rsidRPr="00A556F1" w:rsidRDefault="00E613DD" w:rsidP="00E613DD">
            <w:pPr>
              <w:ind w:left="57" w:right="113"/>
              <w:jc w:val="both"/>
              <w:rPr>
                <w:rFonts w:eastAsia="Times New Roman"/>
              </w:rPr>
            </w:pPr>
            <w:r w:rsidRPr="00A556F1">
              <w:rPr>
                <w:rFonts w:eastAsia="Times New Roman"/>
              </w:rPr>
              <w:t>Nav.</w:t>
            </w:r>
          </w:p>
        </w:tc>
      </w:tr>
      <w:tr w:rsidR="000506CD" w:rsidRPr="00A556F1" w14:paraId="58B709AE" w14:textId="77777777" w:rsidTr="002858B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trHeight w:val="364"/>
          <w:jc w:val="center"/>
        </w:trPr>
        <w:tc>
          <w:tcPr>
            <w:tcW w:w="9072" w:type="dxa"/>
            <w:gridSpan w:val="9"/>
            <w:tcBorders>
              <w:top w:val="outset" w:sz="6" w:space="0" w:color="auto"/>
              <w:left w:val="outset" w:sz="6" w:space="0" w:color="auto"/>
              <w:bottom w:val="outset" w:sz="6" w:space="0" w:color="auto"/>
              <w:right w:val="outset" w:sz="6" w:space="0" w:color="auto"/>
            </w:tcBorders>
            <w:vAlign w:val="center"/>
          </w:tcPr>
          <w:p w14:paraId="58B709AC" w14:textId="77777777" w:rsidR="00E613DD" w:rsidRPr="00A556F1" w:rsidRDefault="00E613DD" w:rsidP="001851A7">
            <w:pPr>
              <w:jc w:val="center"/>
              <w:rPr>
                <w:rFonts w:eastAsia="Times New Roman"/>
                <w:b/>
              </w:rPr>
            </w:pPr>
            <w:r w:rsidRPr="00A556F1">
              <w:rPr>
                <w:rFonts w:eastAsia="Times New Roman"/>
                <w:b/>
              </w:rPr>
              <w:t>1.tabula</w:t>
            </w:r>
          </w:p>
          <w:p w14:paraId="58B709AD" w14:textId="77777777" w:rsidR="00E613DD" w:rsidRPr="00A556F1" w:rsidRDefault="00E613DD" w:rsidP="001851A7">
            <w:pPr>
              <w:jc w:val="center"/>
              <w:rPr>
                <w:rFonts w:eastAsia="Times New Roman"/>
              </w:rPr>
            </w:pPr>
            <w:r w:rsidRPr="00A556F1">
              <w:rPr>
                <w:rFonts w:eastAsia="Times New Roman"/>
                <w:b/>
              </w:rPr>
              <w:t>Tiesību akta projekta atbilstība ES tiesību aktiem</w:t>
            </w:r>
          </w:p>
        </w:tc>
      </w:tr>
      <w:tr w:rsidR="000506CD" w:rsidRPr="00A556F1" w14:paraId="58B709B3" w14:textId="77777777" w:rsidTr="002858B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231" w:type="dxa"/>
            <w:gridSpan w:val="2"/>
            <w:tcBorders>
              <w:top w:val="outset" w:sz="6" w:space="0" w:color="auto"/>
              <w:left w:val="outset" w:sz="6" w:space="0" w:color="auto"/>
              <w:bottom w:val="outset" w:sz="6" w:space="0" w:color="auto"/>
              <w:right w:val="single" w:sz="4" w:space="0" w:color="auto"/>
            </w:tcBorders>
          </w:tcPr>
          <w:p w14:paraId="58B709AF" w14:textId="77777777" w:rsidR="00E613DD" w:rsidRPr="00A556F1" w:rsidRDefault="00E613DD" w:rsidP="00E613DD">
            <w:pPr>
              <w:rPr>
                <w:rFonts w:eastAsia="Times New Roman"/>
              </w:rPr>
            </w:pPr>
            <w:r w:rsidRPr="00A556F1">
              <w:rPr>
                <w:rFonts w:eastAsia="Times New Roman"/>
              </w:rPr>
              <w:t>Attiecīgā ES tiesību akta datums, numurs un nosaukums</w:t>
            </w:r>
          </w:p>
        </w:tc>
        <w:tc>
          <w:tcPr>
            <w:tcW w:w="4604" w:type="dxa"/>
            <w:gridSpan w:val="6"/>
            <w:tcBorders>
              <w:top w:val="single" w:sz="4" w:space="0" w:color="auto"/>
              <w:left w:val="single" w:sz="4" w:space="0" w:color="auto"/>
              <w:bottom w:val="single" w:sz="4" w:space="0" w:color="auto"/>
            </w:tcBorders>
          </w:tcPr>
          <w:p w14:paraId="58B709B0" w14:textId="77777777" w:rsidR="0007592F" w:rsidRPr="00A556F1" w:rsidRDefault="0007592F" w:rsidP="0007592F">
            <w:pPr>
              <w:rPr>
                <w:rFonts w:eastAsia="Times New Roman"/>
              </w:rPr>
            </w:pPr>
            <w:r w:rsidRPr="00A556F1">
              <w:rPr>
                <w:rFonts w:eastAsia="Times New Roman"/>
              </w:rPr>
              <w:t>Regula Nr. 651/2014;</w:t>
            </w:r>
          </w:p>
          <w:p w14:paraId="58B709B1" w14:textId="0915F4B6" w:rsidR="00E613DD" w:rsidRPr="00A556F1" w:rsidRDefault="0007592F" w:rsidP="0007592F">
            <w:pPr>
              <w:rPr>
                <w:rFonts w:eastAsia="Times New Roman"/>
              </w:rPr>
            </w:pPr>
            <w:r w:rsidRPr="00A556F1">
              <w:rPr>
                <w:rFonts w:eastAsia="Times New Roman"/>
              </w:rPr>
              <w:t>Regula Nr.</w:t>
            </w:r>
            <w:r w:rsidR="00F10F3D">
              <w:rPr>
                <w:rFonts w:eastAsia="Times New Roman"/>
              </w:rPr>
              <w:t> </w:t>
            </w:r>
            <w:r w:rsidRPr="00A556F1">
              <w:rPr>
                <w:rFonts w:eastAsia="Times New Roman"/>
              </w:rPr>
              <w:t>1407/2013</w:t>
            </w:r>
          </w:p>
        </w:tc>
        <w:tc>
          <w:tcPr>
            <w:tcW w:w="2237" w:type="dxa"/>
          </w:tcPr>
          <w:p w14:paraId="58B709B2" w14:textId="77777777" w:rsidR="00E613DD" w:rsidRPr="00A556F1" w:rsidRDefault="00E613DD" w:rsidP="00E613DD">
            <w:pPr>
              <w:rPr>
                <w:rFonts w:eastAsia="Times New Roman"/>
              </w:rPr>
            </w:pPr>
          </w:p>
        </w:tc>
      </w:tr>
      <w:tr w:rsidR="000506CD" w:rsidRPr="00A556F1" w14:paraId="58B709B8" w14:textId="77777777" w:rsidTr="002858B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231" w:type="dxa"/>
            <w:gridSpan w:val="2"/>
            <w:tcBorders>
              <w:top w:val="outset" w:sz="6" w:space="0" w:color="auto"/>
              <w:left w:val="outset" w:sz="6" w:space="0" w:color="auto"/>
              <w:bottom w:val="outset" w:sz="6" w:space="0" w:color="auto"/>
              <w:right w:val="outset" w:sz="6" w:space="0" w:color="auto"/>
            </w:tcBorders>
            <w:vAlign w:val="center"/>
          </w:tcPr>
          <w:p w14:paraId="58B709B4" w14:textId="77777777" w:rsidR="00E613DD" w:rsidRPr="00A556F1" w:rsidRDefault="00E613DD" w:rsidP="001851A7">
            <w:pPr>
              <w:jc w:val="center"/>
              <w:rPr>
                <w:rFonts w:eastAsia="Times New Roman"/>
              </w:rPr>
            </w:pPr>
            <w:r w:rsidRPr="00A556F1">
              <w:rPr>
                <w:rFonts w:eastAsia="Times New Roman"/>
              </w:rPr>
              <w:t>A</w:t>
            </w:r>
          </w:p>
        </w:tc>
        <w:tc>
          <w:tcPr>
            <w:tcW w:w="2336" w:type="dxa"/>
            <w:gridSpan w:val="3"/>
            <w:tcBorders>
              <w:top w:val="outset" w:sz="6" w:space="0" w:color="auto"/>
              <w:left w:val="outset" w:sz="6" w:space="0" w:color="auto"/>
              <w:bottom w:val="outset" w:sz="6" w:space="0" w:color="auto"/>
              <w:right w:val="outset" w:sz="6" w:space="0" w:color="auto"/>
            </w:tcBorders>
            <w:vAlign w:val="center"/>
          </w:tcPr>
          <w:p w14:paraId="58B709B5" w14:textId="77777777" w:rsidR="00E613DD" w:rsidRPr="00A556F1" w:rsidRDefault="00E613DD" w:rsidP="001851A7">
            <w:pPr>
              <w:jc w:val="center"/>
              <w:rPr>
                <w:rFonts w:eastAsia="Times New Roman"/>
              </w:rPr>
            </w:pPr>
            <w:r w:rsidRPr="00A556F1">
              <w:rPr>
                <w:rFonts w:eastAsia="Times New Roman"/>
              </w:rPr>
              <w:t>B</w:t>
            </w:r>
          </w:p>
        </w:tc>
        <w:tc>
          <w:tcPr>
            <w:tcW w:w="2148" w:type="dxa"/>
            <w:gridSpan w:val="2"/>
            <w:tcBorders>
              <w:top w:val="outset" w:sz="6" w:space="0" w:color="auto"/>
              <w:left w:val="outset" w:sz="6" w:space="0" w:color="auto"/>
              <w:bottom w:val="outset" w:sz="6" w:space="0" w:color="auto"/>
              <w:right w:val="outset" w:sz="6" w:space="0" w:color="auto"/>
            </w:tcBorders>
            <w:vAlign w:val="center"/>
          </w:tcPr>
          <w:p w14:paraId="58B709B6" w14:textId="77777777" w:rsidR="00E613DD" w:rsidRPr="00A556F1" w:rsidRDefault="00E613DD" w:rsidP="001851A7">
            <w:pPr>
              <w:jc w:val="center"/>
              <w:rPr>
                <w:rFonts w:eastAsia="Times New Roman"/>
              </w:rPr>
            </w:pPr>
            <w:r w:rsidRPr="00A556F1">
              <w:rPr>
                <w:rFonts w:eastAsia="Times New Roman"/>
              </w:rPr>
              <w:t>C</w:t>
            </w:r>
          </w:p>
        </w:tc>
        <w:tc>
          <w:tcPr>
            <w:tcW w:w="2357" w:type="dxa"/>
            <w:gridSpan w:val="2"/>
            <w:tcBorders>
              <w:top w:val="outset" w:sz="6" w:space="0" w:color="auto"/>
              <w:left w:val="outset" w:sz="6" w:space="0" w:color="auto"/>
              <w:bottom w:val="outset" w:sz="6" w:space="0" w:color="auto"/>
              <w:right w:val="outset" w:sz="6" w:space="0" w:color="auto"/>
            </w:tcBorders>
            <w:vAlign w:val="center"/>
          </w:tcPr>
          <w:p w14:paraId="58B709B7" w14:textId="77777777" w:rsidR="00E613DD" w:rsidRPr="00A556F1" w:rsidRDefault="00E613DD" w:rsidP="001851A7">
            <w:pPr>
              <w:jc w:val="center"/>
              <w:rPr>
                <w:rFonts w:eastAsia="Times New Roman"/>
              </w:rPr>
            </w:pPr>
            <w:r w:rsidRPr="00A556F1">
              <w:rPr>
                <w:rFonts w:eastAsia="Times New Roman"/>
              </w:rPr>
              <w:t>D</w:t>
            </w:r>
          </w:p>
        </w:tc>
      </w:tr>
      <w:tr w:rsidR="000506CD" w:rsidRPr="00A556F1" w14:paraId="58B709C1" w14:textId="77777777" w:rsidTr="002858B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231" w:type="dxa"/>
            <w:gridSpan w:val="2"/>
            <w:tcBorders>
              <w:top w:val="outset" w:sz="6" w:space="0" w:color="auto"/>
              <w:left w:val="outset" w:sz="6" w:space="0" w:color="auto"/>
              <w:bottom w:val="outset" w:sz="6" w:space="0" w:color="auto"/>
              <w:right w:val="outset" w:sz="6" w:space="0" w:color="auto"/>
            </w:tcBorders>
          </w:tcPr>
          <w:p w14:paraId="58B709B9" w14:textId="77777777" w:rsidR="00E613DD" w:rsidRPr="00A556F1" w:rsidRDefault="00E613DD" w:rsidP="00E613DD">
            <w:pPr>
              <w:rPr>
                <w:rFonts w:eastAsia="Times New Roman"/>
              </w:rPr>
            </w:pPr>
            <w:r w:rsidRPr="00A556F1">
              <w:rPr>
                <w:rFonts w:eastAsia="Times New Roman"/>
              </w:rPr>
              <w:t>Attiecīgā ES tiesību akta panta numurs (uzskaitot katru tiesību akta vienību – pantu, daļu, punktu, apakšpunktu)</w:t>
            </w:r>
          </w:p>
        </w:tc>
        <w:tc>
          <w:tcPr>
            <w:tcW w:w="2336" w:type="dxa"/>
            <w:gridSpan w:val="3"/>
            <w:tcBorders>
              <w:top w:val="outset" w:sz="6" w:space="0" w:color="auto"/>
              <w:left w:val="outset" w:sz="6" w:space="0" w:color="auto"/>
              <w:bottom w:val="outset" w:sz="6" w:space="0" w:color="auto"/>
              <w:right w:val="outset" w:sz="6" w:space="0" w:color="auto"/>
            </w:tcBorders>
          </w:tcPr>
          <w:p w14:paraId="58B709BA" w14:textId="77777777" w:rsidR="00E613DD" w:rsidRPr="00A556F1" w:rsidRDefault="00E613DD" w:rsidP="00E613DD">
            <w:pPr>
              <w:rPr>
                <w:rFonts w:eastAsia="Times New Roman"/>
              </w:rPr>
            </w:pPr>
            <w:r w:rsidRPr="00A556F1">
              <w:rPr>
                <w:rFonts w:eastAsia="Times New Roman"/>
              </w:rPr>
              <w:t>Projekta vienība, kas pārņem vai ievieš katru šīs tabulas A ailē minēto ES tiesību akta vienību, vai tiesību akts, kur attiecīgā ES tiesību akta vienība pārņemta vai ieviesta</w:t>
            </w:r>
          </w:p>
        </w:tc>
        <w:tc>
          <w:tcPr>
            <w:tcW w:w="2148" w:type="dxa"/>
            <w:gridSpan w:val="2"/>
            <w:tcBorders>
              <w:top w:val="outset" w:sz="6" w:space="0" w:color="auto"/>
              <w:left w:val="outset" w:sz="6" w:space="0" w:color="auto"/>
              <w:bottom w:val="outset" w:sz="6" w:space="0" w:color="auto"/>
              <w:right w:val="outset" w:sz="6" w:space="0" w:color="auto"/>
            </w:tcBorders>
          </w:tcPr>
          <w:p w14:paraId="58B709BB" w14:textId="77777777" w:rsidR="00E613DD" w:rsidRPr="00A556F1" w:rsidRDefault="00E613DD" w:rsidP="00E613DD">
            <w:pPr>
              <w:rPr>
                <w:rFonts w:eastAsia="Times New Roman"/>
              </w:rPr>
            </w:pPr>
            <w:r w:rsidRPr="00A556F1">
              <w:rPr>
                <w:rFonts w:eastAsia="Times New Roman"/>
              </w:rPr>
              <w:t>Informācija par to, vai šīs tabulas A ailē minētās ES tiesību akta vienības tiek pārņemtas vai ieviestas pilnībā vai daļēji.</w:t>
            </w:r>
          </w:p>
          <w:p w14:paraId="58B709BC" w14:textId="77777777" w:rsidR="00E613DD" w:rsidRPr="00A556F1" w:rsidRDefault="00E613DD" w:rsidP="00E613DD">
            <w:pPr>
              <w:rPr>
                <w:rFonts w:eastAsia="Times New Roman"/>
              </w:rPr>
            </w:pPr>
            <w:r w:rsidRPr="00A556F1">
              <w:rPr>
                <w:rFonts w:eastAsia="Times New Roman"/>
              </w:rPr>
              <w:t>Ja attiecīgā ES tiesību akta vienība tiek pārņemta vai ieviesta daļēji, sniedz attiecīgu skaidrojumu, kā arī precīzi norāda, kad un kādā veidā ES tiesību akta vienība tiks pārņemta vai ieviesta pilnībā.</w:t>
            </w:r>
          </w:p>
          <w:p w14:paraId="58B709BD" w14:textId="77777777" w:rsidR="00E613DD" w:rsidRPr="00A556F1" w:rsidRDefault="00E613DD" w:rsidP="00E613DD">
            <w:pPr>
              <w:rPr>
                <w:rFonts w:eastAsia="Times New Roman"/>
              </w:rPr>
            </w:pPr>
            <w:r w:rsidRPr="00A556F1">
              <w:rPr>
                <w:rFonts w:eastAsia="Times New Roman"/>
              </w:rPr>
              <w:t>Norāda institūciju, kas ir atbildīga par šo saistību izpildi pilnībā</w:t>
            </w:r>
          </w:p>
        </w:tc>
        <w:tc>
          <w:tcPr>
            <w:tcW w:w="2357" w:type="dxa"/>
            <w:gridSpan w:val="2"/>
            <w:tcBorders>
              <w:top w:val="outset" w:sz="6" w:space="0" w:color="auto"/>
              <w:left w:val="outset" w:sz="6" w:space="0" w:color="auto"/>
              <w:bottom w:val="outset" w:sz="6" w:space="0" w:color="auto"/>
              <w:right w:val="outset" w:sz="6" w:space="0" w:color="auto"/>
            </w:tcBorders>
          </w:tcPr>
          <w:p w14:paraId="58B709BE" w14:textId="77777777" w:rsidR="00E613DD" w:rsidRPr="00A556F1" w:rsidRDefault="00E613DD" w:rsidP="00E613DD">
            <w:pPr>
              <w:rPr>
                <w:rFonts w:eastAsia="Times New Roman"/>
              </w:rPr>
            </w:pPr>
            <w:r w:rsidRPr="00A556F1">
              <w:rPr>
                <w:rFonts w:eastAsia="Times New Roman"/>
              </w:rPr>
              <w:t>Informācija par to, vai šīs tabulas B ailē minētās projekta vienības paredz stingrākas prasības nekā šīs tabulas A ailē minētās ES tiesību akta vienības.</w:t>
            </w:r>
          </w:p>
          <w:p w14:paraId="58B709BF" w14:textId="77777777" w:rsidR="00E613DD" w:rsidRPr="00A556F1" w:rsidRDefault="00E613DD" w:rsidP="00E613DD">
            <w:pPr>
              <w:rPr>
                <w:rFonts w:eastAsia="Times New Roman"/>
              </w:rPr>
            </w:pPr>
            <w:r w:rsidRPr="00A556F1">
              <w:rPr>
                <w:rFonts w:eastAsia="Times New Roman"/>
              </w:rPr>
              <w:t>Ja projekts satur stingrā</w:t>
            </w:r>
            <w:r w:rsidRPr="00A556F1">
              <w:rPr>
                <w:rFonts w:eastAsia="Times New Roman"/>
              </w:rPr>
              <w:softHyphen/>
              <w:t>kas prasības nekā attie</w:t>
            </w:r>
            <w:r w:rsidRPr="00A556F1">
              <w:rPr>
                <w:rFonts w:eastAsia="Times New Roman"/>
              </w:rPr>
              <w:softHyphen/>
              <w:t>cīgais ES tiesību akts, norāda pamatojumu un samērīgumu.</w:t>
            </w:r>
          </w:p>
          <w:p w14:paraId="58B709C0" w14:textId="77777777" w:rsidR="00E613DD" w:rsidRPr="00A556F1" w:rsidRDefault="00E613DD" w:rsidP="00E613DD">
            <w:pPr>
              <w:rPr>
                <w:rFonts w:eastAsia="Times New Roman"/>
              </w:rPr>
            </w:pPr>
            <w:r w:rsidRPr="00A556F1">
              <w:rPr>
                <w:rFonts w:eastAsia="Times New Roman"/>
              </w:rPr>
              <w:t xml:space="preserve">Norāda iespējamās alternatīvas (t.sk. alternatīvas, kas neparedz tiesiskā regulējuma izstrādi) – kādos gadījumos būtu iespējams izvairīties no stingrāku prasību </w:t>
            </w:r>
            <w:r w:rsidRPr="00A556F1">
              <w:rPr>
                <w:rFonts w:eastAsia="Times New Roman"/>
              </w:rPr>
              <w:lastRenderedPageBreak/>
              <w:t>noteikšanas, nekā paredzēts attiecīgajos ES tiesību aktos</w:t>
            </w:r>
          </w:p>
        </w:tc>
      </w:tr>
      <w:tr w:rsidR="000506CD" w:rsidRPr="00A556F1" w14:paraId="58B709C6" w14:textId="77777777" w:rsidTr="002858B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231" w:type="dxa"/>
            <w:gridSpan w:val="2"/>
            <w:tcBorders>
              <w:top w:val="outset" w:sz="6" w:space="0" w:color="auto"/>
              <w:left w:val="outset" w:sz="6" w:space="0" w:color="auto"/>
              <w:bottom w:val="outset" w:sz="6" w:space="0" w:color="auto"/>
              <w:right w:val="outset" w:sz="6" w:space="0" w:color="auto"/>
            </w:tcBorders>
          </w:tcPr>
          <w:p w14:paraId="58B709C2" w14:textId="77777777" w:rsidR="00131038" w:rsidRPr="00A556F1" w:rsidRDefault="00131038" w:rsidP="00131038">
            <w:pPr>
              <w:rPr>
                <w:rFonts w:eastAsia="Times New Roman"/>
              </w:rPr>
            </w:pPr>
            <w:r w:rsidRPr="00A556F1">
              <w:lastRenderedPageBreak/>
              <w:t>Regulas Nr.</w:t>
            </w:r>
            <w:r w:rsidRPr="00A556F1">
              <w:rPr>
                <w:rFonts w:eastAsia="Times New Roman"/>
              </w:rPr>
              <w:t xml:space="preserve"> </w:t>
            </w:r>
            <w:hyperlink r:id="rId13" w:tgtFrame="_blank" w:history="1">
              <w:r w:rsidRPr="00A556F1">
                <w:rPr>
                  <w:rFonts w:eastAsia="Times New Roman"/>
                </w:rPr>
                <w:t>1407/2013</w:t>
              </w:r>
            </w:hyperlink>
            <w:r w:rsidRPr="00A556F1">
              <w:rPr>
                <w:rFonts w:eastAsia="Times New Roman"/>
              </w:rPr>
              <w:t xml:space="preserve"> 3</w:t>
            </w:r>
            <w:r w:rsidRPr="00A556F1">
              <w:t>. panta 4. punkts</w:t>
            </w:r>
          </w:p>
        </w:tc>
        <w:tc>
          <w:tcPr>
            <w:tcW w:w="2336" w:type="dxa"/>
            <w:gridSpan w:val="3"/>
            <w:tcBorders>
              <w:top w:val="outset" w:sz="6" w:space="0" w:color="auto"/>
              <w:left w:val="outset" w:sz="6" w:space="0" w:color="auto"/>
              <w:bottom w:val="outset" w:sz="6" w:space="0" w:color="auto"/>
              <w:right w:val="outset" w:sz="6" w:space="0" w:color="auto"/>
            </w:tcBorders>
          </w:tcPr>
          <w:p w14:paraId="58B709C3" w14:textId="5B212DD2" w:rsidR="00131038" w:rsidRPr="00A556F1" w:rsidRDefault="00F10F3D" w:rsidP="00E613DD">
            <w:pPr>
              <w:rPr>
                <w:rFonts w:eastAsia="Times New Roman"/>
              </w:rPr>
            </w:pPr>
            <w:r>
              <w:rPr>
                <w:rFonts w:eastAsia="Times New Roman"/>
              </w:rPr>
              <w:t>1.1.1.5. pasākuma n</w:t>
            </w:r>
            <w:r w:rsidR="00131038" w:rsidRPr="00A556F1">
              <w:t>oteikumu projekta</w:t>
            </w:r>
            <w:r w:rsidR="005A2448">
              <w:t xml:space="preserve"> 4</w:t>
            </w:r>
            <w:r>
              <w:t>. </w:t>
            </w:r>
            <w:r w:rsidR="00131038" w:rsidRPr="00A556F1">
              <w:t>punkts</w:t>
            </w:r>
          </w:p>
        </w:tc>
        <w:tc>
          <w:tcPr>
            <w:tcW w:w="2148" w:type="dxa"/>
            <w:gridSpan w:val="2"/>
            <w:tcBorders>
              <w:top w:val="outset" w:sz="6" w:space="0" w:color="auto"/>
              <w:left w:val="outset" w:sz="6" w:space="0" w:color="auto"/>
              <w:bottom w:val="outset" w:sz="6" w:space="0" w:color="auto"/>
              <w:right w:val="outset" w:sz="6" w:space="0" w:color="auto"/>
            </w:tcBorders>
          </w:tcPr>
          <w:p w14:paraId="58B709C4" w14:textId="77777777" w:rsidR="00131038" w:rsidRPr="00A556F1" w:rsidRDefault="00131038" w:rsidP="00E613DD">
            <w:pPr>
              <w:rPr>
                <w:rFonts w:eastAsia="Times New Roman"/>
              </w:rPr>
            </w:pPr>
            <w:r w:rsidRPr="00A556F1">
              <w:t>ieviesta pilnībā</w:t>
            </w:r>
          </w:p>
        </w:tc>
        <w:tc>
          <w:tcPr>
            <w:tcW w:w="2357" w:type="dxa"/>
            <w:gridSpan w:val="2"/>
            <w:tcBorders>
              <w:top w:val="outset" w:sz="6" w:space="0" w:color="auto"/>
              <w:left w:val="outset" w:sz="6" w:space="0" w:color="auto"/>
              <w:bottom w:val="outset" w:sz="6" w:space="0" w:color="auto"/>
              <w:right w:val="outset" w:sz="6" w:space="0" w:color="auto"/>
            </w:tcBorders>
          </w:tcPr>
          <w:p w14:paraId="58B709C5" w14:textId="77777777" w:rsidR="00131038" w:rsidRPr="00A556F1" w:rsidRDefault="00131038" w:rsidP="00E613DD">
            <w:pPr>
              <w:rPr>
                <w:rFonts w:eastAsia="Times New Roman"/>
              </w:rPr>
            </w:pPr>
            <w:r w:rsidRPr="00A556F1">
              <w:t>neparedz stingrākas prasības</w:t>
            </w:r>
          </w:p>
        </w:tc>
      </w:tr>
      <w:tr w:rsidR="000506CD" w:rsidRPr="00A556F1" w14:paraId="58B709CB" w14:textId="77777777" w:rsidTr="002858B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231" w:type="dxa"/>
            <w:gridSpan w:val="2"/>
            <w:tcBorders>
              <w:top w:val="outset" w:sz="6" w:space="0" w:color="auto"/>
              <w:left w:val="outset" w:sz="6" w:space="0" w:color="auto"/>
              <w:bottom w:val="outset" w:sz="6" w:space="0" w:color="auto"/>
              <w:right w:val="outset" w:sz="6" w:space="0" w:color="auto"/>
            </w:tcBorders>
          </w:tcPr>
          <w:p w14:paraId="58B709C7" w14:textId="2A5994D4" w:rsidR="00131038" w:rsidRPr="00A556F1" w:rsidRDefault="00131038" w:rsidP="00131038">
            <w:r w:rsidRPr="00A556F1">
              <w:t>Regulas Nr.</w:t>
            </w:r>
            <w:r w:rsidR="00F10F3D">
              <w:t> </w:t>
            </w:r>
            <w:r w:rsidRPr="00A556F1">
              <w:t>651/2014 2. panta 28. punkts</w:t>
            </w:r>
          </w:p>
        </w:tc>
        <w:tc>
          <w:tcPr>
            <w:tcW w:w="2336" w:type="dxa"/>
            <w:gridSpan w:val="3"/>
            <w:tcBorders>
              <w:top w:val="outset" w:sz="6" w:space="0" w:color="auto"/>
              <w:left w:val="outset" w:sz="6" w:space="0" w:color="auto"/>
              <w:bottom w:val="outset" w:sz="6" w:space="0" w:color="auto"/>
              <w:right w:val="outset" w:sz="6" w:space="0" w:color="auto"/>
            </w:tcBorders>
          </w:tcPr>
          <w:p w14:paraId="58B709C8" w14:textId="2F1DE5D2" w:rsidR="00131038" w:rsidRPr="00A556F1" w:rsidRDefault="00F10F3D" w:rsidP="00131038">
            <w:r>
              <w:rPr>
                <w:rFonts w:eastAsia="Times New Roman"/>
              </w:rPr>
              <w:t>1.1.1.5. pasākuma n</w:t>
            </w:r>
            <w:r w:rsidR="00131038" w:rsidRPr="00A556F1">
              <w:t xml:space="preserve">oteikumu projekta </w:t>
            </w:r>
            <w:r w:rsidR="005A2448">
              <w:t>8</w:t>
            </w:r>
            <w:r>
              <w:t>. </w:t>
            </w:r>
            <w:r w:rsidR="00131038" w:rsidRPr="00A556F1">
              <w:t>punkts</w:t>
            </w:r>
          </w:p>
        </w:tc>
        <w:tc>
          <w:tcPr>
            <w:tcW w:w="2148" w:type="dxa"/>
            <w:gridSpan w:val="2"/>
            <w:tcBorders>
              <w:top w:val="outset" w:sz="6" w:space="0" w:color="auto"/>
              <w:left w:val="outset" w:sz="6" w:space="0" w:color="auto"/>
              <w:bottom w:val="outset" w:sz="6" w:space="0" w:color="auto"/>
              <w:right w:val="outset" w:sz="6" w:space="0" w:color="auto"/>
            </w:tcBorders>
          </w:tcPr>
          <w:p w14:paraId="58B709C9" w14:textId="77777777" w:rsidR="00131038" w:rsidRPr="00A556F1" w:rsidRDefault="00131038" w:rsidP="00131038">
            <w:r w:rsidRPr="00A556F1">
              <w:t>ieviesta pilnībā</w:t>
            </w:r>
          </w:p>
        </w:tc>
        <w:tc>
          <w:tcPr>
            <w:tcW w:w="2357" w:type="dxa"/>
            <w:gridSpan w:val="2"/>
            <w:tcBorders>
              <w:top w:val="outset" w:sz="6" w:space="0" w:color="auto"/>
              <w:left w:val="outset" w:sz="6" w:space="0" w:color="auto"/>
              <w:bottom w:val="outset" w:sz="6" w:space="0" w:color="auto"/>
              <w:right w:val="outset" w:sz="6" w:space="0" w:color="auto"/>
            </w:tcBorders>
          </w:tcPr>
          <w:p w14:paraId="58B709CA" w14:textId="77777777" w:rsidR="00131038" w:rsidRPr="00A556F1" w:rsidRDefault="00131038" w:rsidP="00131038">
            <w:r w:rsidRPr="00A556F1">
              <w:t>neparedz stingrākas prasības</w:t>
            </w:r>
          </w:p>
        </w:tc>
      </w:tr>
      <w:tr w:rsidR="000506CD" w:rsidRPr="00A556F1" w14:paraId="58B709CF" w14:textId="77777777" w:rsidTr="002858B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231" w:type="dxa"/>
            <w:gridSpan w:val="2"/>
            <w:tcBorders>
              <w:top w:val="outset" w:sz="6" w:space="0" w:color="auto"/>
              <w:left w:val="outset" w:sz="6" w:space="0" w:color="auto"/>
              <w:bottom w:val="outset" w:sz="6" w:space="0" w:color="auto"/>
              <w:right w:val="outset" w:sz="6" w:space="0" w:color="auto"/>
            </w:tcBorders>
          </w:tcPr>
          <w:p w14:paraId="58B709CC" w14:textId="77777777" w:rsidR="00131038" w:rsidRPr="00A556F1" w:rsidRDefault="00131038" w:rsidP="00131038">
            <w:pPr>
              <w:rPr>
                <w:rFonts w:eastAsia="Times New Roman"/>
              </w:rPr>
            </w:pPr>
            <w:r w:rsidRPr="00A556F1">
              <w:rPr>
                <w:rFonts w:eastAsia="Times New Roman"/>
              </w:rPr>
              <w:t>Kā ir izmantota ES tiesību aktā paredzētā rīcības brīvība dalīb</w:t>
            </w:r>
            <w:r w:rsidRPr="00A556F1">
              <w:rPr>
                <w:rFonts w:eastAsia="Times New Roman"/>
              </w:rPr>
              <w:softHyphen/>
              <w:t>valstij pārņemt vai ieviest noteiktas ES tiesību akta normas?</w:t>
            </w:r>
          </w:p>
          <w:p w14:paraId="58B709CD" w14:textId="77777777" w:rsidR="00131038" w:rsidRPr="00A556F1" w:rsidRDefault="00131038" w:rsidP="00131038">
            <w:pPr>
              <w:rPr>
                <w:rFonts w:eastAsia="Times New Roman"/>
              </w:rPr>
            </w:pPr>
            <w:r w:rsidRPr="00A556F1">
              <w:rPr>
                <w:rFonts w:eastAsia="Times New Roman"/>
              </w:rPr>
              <w:t>Kādēļ?</w:t>
            </w:r>
          </w:p>
        </w:tc>
        <w:tc>
          <w:tcPr>
            <w:tcW w:w="6841" w:type="dxa"/>
            <w:gridSpan w:val="7"/>
            <w:tcBorders>
              <w:top w:val="outset" w:sz="6" w:space="0" w:color="auto"/>
              <w:left w:val="outset" w:sz="6" w:space="0" w:color="auto"/>
              <w:bottom w:val="outset" w:sz="6" w:space="0" w:color="auto"/>
              <w:right w:val="outset" w:sz="6" w:space="0" w:color="auto"/>
            </w:tcBorders>
          </w:tcPr>
          <w:p w14:paraId="58B709CE" w14:textId="52C8978A" w:rsidR="00131038" w:rsidRPr="00A556F1" w:rsidRDefault="00304EA6" w:rsidP="00131038">
            <w:pPr>
              <w:rPr>
                <w:rFonts w:eastAsia="Times New Roman"/>
              </w:rPr>
            </w:pPr>
            <w:r>
              <w:rPr>
                <w:rFonts w:eastAsia="Times New Roman"/>
              </w:rPr>
              <w:t>1.1.1.5. pasākuma n</w:t>
            </w:r>
            <w:r w:rsidR="00131038" w:rsidRPr="00A556F1">
              <w:rPr>
                <w:rFonts w:eastAsia="Times New Roman"/>
              </w:rPr>
              <w:t>oteikumu projekts šo jomu neskar.</w:t>
            </w:r>
          </w:p>
        </w:tc>
      </w:tr>
      <w:tr w:rsidR="000506CD" w:rsidRPr="00A556F1" w14:paraId="58B709D3" w14:textId="77777777" w:rsidTr="002858B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231" w:type="dxa"/>
            <w:gridSpan w:val="2"/>
            <w:tcBorders>
              <w:top w:val="outset" w:sz="6" w:space="0" w:color="auto"/>
              <w:left w:val="outset" w:sz="6" w:space="0" w:color="auto"/>
              <w:bottom w:val="outset" w:sz="6" w:space="0" w:color="auto"/>
              <w:right w:val="outset" w:sz="6" w:space="0" w:color="auto"/>
            </w:tcBorders>
          </w:tcPr>
          <w:p w14:paraId="58B709D0" w14:textId="77777777" w:rsidR="00131038" w:rsidRPr="00A556F1" w:rsidRDefault="00131038" w:rsidP="00131038">
            <w:pPr>
              <w:rPr>
                <w:rFonts w:eastAsia="Times New Roman"/>
              </w:rPr>
            </w:pPr>
            <w:r w:rsidRPr="00A556F1">
              <w:rPr>
                <w:rFonts w:eastAsia="Times New Roman"/>
              </w:rPr>
              <w:t>Saistības sniegt paziņojumu ES insti</w:t>
            </w:r>
            <w:r w:rsidRPr="00A556F1">
              <w:rPr>
                <w:rFonts w:eastAsia="Times New Roman"/>
              </w:rPr>
              <w:softHyphen/>
              <w:t>tūcijām un ES dalīb</w:t>
            </w:r>
            <w:r w:rsidRPr="00A556F1">
              <w:rPr>
                <w:rFonts w:eastAsia="Times New Roman"/>
              </w:rPr>
              <w:softHyphen/>
              <w:t>valstīm atbilstoši normatīvajiem aktiem, kas regulē informācijas sniegšanu par tehnisko noteikumu, valsts atbalsta piešķir</w:t>
            </w:r>
            <w:r w:rsidRPr="00A556F1">
              <w:rPr>
                <w:rFonts w:eastAsia="Times New Roman"/>
              </w:rPr>
              <w:softHyphen/>
              <w:t>šanas un finanšu noteikumu (attiecībā uz monetāro politiku) projektiem</w:t>
            </w:r>
          </w:p>
        </w:tc>
        <w:tc>
          <w:tcPr>
            <w:tcW w:w="6841" w:type="dxa"/>
            <w:gridSpan w:val="7"/>
            <w:tcBorders>
              <w:top w:val="outset" w:sz="6" w:space="0" w:color="auto"/>
              <w:left w:val="outset" w:sz="6" w:space="0" w:color="auto"/>
              <w:bottom w:val="outset" w:sz="6" w:space="0" w:color="auto"/>
              <w:right w:val="outset" w:sz="6" w:space="0" w:color="auto"/>
            </w:tcBorders>
          </w:tcPr>
          <w:p w14:paraId="58B709D1" w14:textId="3FF80753" w:rsidR="00131038" w:rsidRPr="00A556F1" w:rsidRDefault="00131038" w:rsidP="00131038">
            <w:pPr>
              <w:ind w:right="85"/>
              <w:jc w:val="both"/>
              <w:rPr>
                <w:rFonts w:eastAsia="Times New Roman"/>
                <w:iCs/>
              </w:rPr>
            </w:pPr>
            <w:r w:rsidRPr="00A556F1">
              <w:rPr>
                <w:rFonts w:eastAsia="Times New Roman"/>
                <w:iCs/>
              </w:rPr>
              <w:t xml:space="preserve">IZM kā ES fondu atbildīgā iestāde saskaņā ar </w:t>
            </w:r>
            <w:r w:rsidR="0016249A" w:rsidRPr="00A556F1">
              <w:rPr>
                <w:rFonts w:eastAsia="Times New Roman"/>
              </w:rPr>
              <w:t xml:space="preserve">Komisijas </w:t>
            </w:r>
            <w:r w:rsidR="0016249A">
              <w:rPr>
                <w:rFonts w:eastAsia="Times New Roman"/>
              </w:rPr>
              <w:t xml:space="preserve">2004. gada 21. aprīļa </w:t>
            </w:r>
            <w:r w:rsidR="0016249A" w:rsidRPr="00A556F1">
              <w:rPr>
                <w:rFonts w:eastAsia="Times New Roman"/>
              </w:rPr>
              <w:t>Regula</w:t>
            </w:r>
            <w:r w:rsidR="0016249A">
              <w:rPr>
                <w:rFonts w:eastAsia="Times New Roman"/>
              </w:rPr>
              <w:t>s</w:t>
            </w:r>
            <w:r w:rsidR="0016249A" w:rsidRPr="00A556F1">
              <w:rPr>
                <w:rFonts w:eastAsia="Times New Roman"/>
              </w:rPr>
              <w:t xml:space="preserve"> (EK) Nr. 794/2004, ar ko īsteno Padomes Regulu (EK) Nr. 659/1999, ar kuru nosaka sīki izstrādātus noteikumus EK Līguma 93. panta piemērošanai</w:t>
            </w:r>
            <w:r w:rsidR="00B92055">
              <w:rPr>
                <w:rFonts w:eastAsia="Times New Roman"/>
              </w:rPr>
              <w:t>,</w:t>
            </w:r>
            <w:r w:rsidR="0016249A" w:rsidRPr="00A556F1">
              <w:rPr>
                <w:rFonts w:eastAsia="Times New Roman"/>
              </w:rPr>
              <w:t xml:space="preserve"> </w:t>
            </w:r>
            <w:r w:rsidRPr="00A556F1">
              <w:t xml:space="preserve">4. panta 2. punktu </w:t>
            </w:r>
            <w:r w:rsidRPr="00A556F1">
              <w:rPr>
                <w:rFonts w:eastAsia="Times New Roman"/>
                <w:iCs/>
              </w:rPr>
              <w:t xml:space="preserve">20 darba dienu laikā pēc grozījumu </w:t>
            </w:r>
            <w:r w:rsidRPr="00A556F1">
              <w:rPr>
                <w:rFonts w:eastAsia="Times New Roman"/>
              </w:rPr>
              <w:t xml:space="preserve">MK noteikumos Nr. 315 </w:t>
            </w:r>
            <w:r w:rsidRPr="00A556F1">
              <w:rPr>
                <w:rFonts w:eastAsia="Times New Roman"/>
                <w:iCs/>
              </w:rPr>
              <w:t>spēkā stāšanās EK nosūt</w:t>
            </w:r>
            <w:r w:rsidR="005609A0">
              <w:rPr>
                <w:rFonts w:eastAsia="Times New Roman"/>
                <w:iCs/>
              </w:rPr>
              <w:t>īs</w:t>
            </w:r>
            <w:r w:rsidRPr="00A556F1">
              <w:rPr>
                <w:rFonts w:eastAsia="Times New Roman"/>
                <w:iCs/>
              </w:rPr>
              <w:t xml:space="preserve"> kopsavilkuma informāciju par</w:t>
            </w:r>
            <w:r w:rsidRPr="00A556F1">
              <w:t xml:space="preserve"> izmaiņām (sākotnējā budžeta palielināšana par vairāk nekā par 20%) atbalsta programmā, tādējādi nodrošinot 1.1.1.5. pasākuma noteikumu projekt</w:t>
            </w:r>
            <w:r w:rsidR="00D83495">
              <w:t>ā noteiktā tiesiskā regulējuma</w:t>
            </w:r>
            <w:r w:rsidRPr="00A556F1">
              <w:t xml:space="preserve"> atbilstību komercdarbības atbalsta kontroles regulējumam</w:t>
            </w:r>
            <w:r w:rsidRPr="00A556F1">
              <w:rPr>
                <w:rFonts w:eastAsia="Times New Roman"/>
                <w:iCs/>
              </w:rPr>
              <w:t>.</w:t>
            </w:r>
          </w:p>
          <w:p w14:paraId="58B709D2" w14:textId="77777777" w:rsidR="00131038" w:rsidRPr="00A556F1" w:rsidRDefault="00131038" w:rsidP="00131038">
            <w:pPr>
              <w:ind w:right="85"/>
              <w:jc w:val="both"/>
              <w:rPr>
                <w:rFonts w:eastAsia="Times New Roman"/>
              </w:rPr>
            </w:pPr>
          </w:p>
        </w:tc>
      </w:tr>
      <w:tr w:rsidR="000506CD" w:rsidRPr="00A556F1" w14:paraId="58B709D6" w14:textId="77777777" w:rsidTr="002858B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231" w:type="dxa"/>
            <w:gridSpan w:val="2"/>
            <w:tcBorders>
              <w:top w:val="outset" w:sz="6" w:space="0" w:color="auto"/>
              <w:left w:val="outset" w:sz="6" w:space="0" w:color="auto"/>
              <w:bottom w:val="outset" w:sz="6" w:space="0" w:color="auto"/>
              <w:right w:val="outset" w:sz="6" w:space="0" w:color="auto"/>
            </w:tcBorders>
          </w:tcPr>
          <w:p w14:paraId="58B709D4" w14:textId="77777777" w:rsidR="00131038" w:rsidRPr="00A556F1" w:rsidRDefault="00131038" w:rsidP="00131038">
            <w:pPr>
              <w:rPr>
                <w:rFonts w:eastAsia="Times New Roman"/>
              </w:rPr>
            </w:pPr>
            <w:r w:rsidRPr="00A556F1">
              <w:rPr>
                <w:rFonts w:eastAsia="Times New Roman"/>
              </w:rPr>
              <w:t>Cita informācija</w:t>
            </w:r>
          </w:p>
        </w:tc>
        <w:tc>
          <w:tcPr>
            <w:tcW w:w="6841" w:type="dxa"/>
            <w:gridSpan w:val="7"/>
            <w:tcBorders>
              <w:top w:val="outset" w:sz="6" w:space="0" w:color="auto"/>
              <w:left w:val="outset" w:sz="6" w:space="0" w:color="auto"/>
              <w:bottom w:val="outset" w:sz="6" w:space="0" w:color="auto"/>
              <w:right w:val="outset" w:sz="6" w:space="0" w:color="auto"/>
            </w:tcBorders>
          </w:tcPr>
          <w:p w14:paraId="58B709D5" w14:textId="5ED5C66D" w:rsidR="00131038" w:rsidRPr="00A556F1" w:rsidRDefault="00131038" w:rsidP="00131038">
            <w:pPr>
              <w:ind w:right="85"/>
              <w:jc w:val="both"/>
              <w:rPr>
                <w:rFonts w:eastAsia="Times New Roman"/>
                <w:highlight w:val="yellow"/>
              </w:rPr>
            </w:pPr>
            <w:r w:rsidRPr="00A556F1">
              <w:rPr>
                <w:rFonts w:eastAsia="Times New Roman"/>
              </w:rPr>
              <w:t>Nav</w:t>
            </w:r>
            <w:r w:rsidR="00721092">
              <w:rPr>
                <w:rFonts w:eastAsia="Times New Roman"/>
              </w:rPr>
              <w:t>.</w:t>
            </w:r>
          </w:p>
        </w:tc>
      </w:tr>
      <w:tr w:rsidR="000506CD" w:rsidRPr="00A556F1" w14:paraId="58B709DA" w14:textId="77777777" w:rsidTr="002858B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9072" w:type="dxa"/>
            <w:gridSpan w:val="9"/>
            <w:tcBorders>
              <w:top w:val="outset" w:sz="6" w:space="0" w:color="auto"/>
              <w:left w:val="outset" w:sz="6" w:space="0" w:color="auto"/>
              <w:bottom w:val="outset" w:sz="6" w:space="0" w:color="auto"/>
              <w:right w:val="outset" w:sz="6" w:space="0" w:color="auto"/>
            </w:tcBorders>
            <w:vAlign w:val="center"/>
          </w:tcPr>
          <w:p w14:paraId="58B709D7" w14:textId="77777777" w:rsidR="00131038" w:rsidRPr="00A556F1" w:rsidRDefault="00131038" w:rsidP="00131038">
            <w:pPr>
              <w:jc w:val="center"/>
              <w:rPr>
                <w:rFonts w:eastAsia="Times New Roman"/>
                <w:b/>
              </w:rPr>
            </w:pPr>
            <w:r w:rsidRPr="00A556F1">
              <w:rPr>
                <w:rFonts w:eastAsia="Times New Roman"/>
                <w:b/>
              </w:rPr>
              <w:t>2.tabula</w:t>
            </w:r>
          </w:p>
          <w:p w14:paraId="58B709D8" w14:textId="77777777" w:rsidR="00131038" w:rsidRPr="00A556F1" w:rsidRDefault="00131038" w:rsidP="00131038">
            <w:pPr>
              <w:jc w:val="center"/>
              <w:rPr>
                <w:rFonts w:eastAsia="Times New Roman"/>
                <w:b/>
              </w:rPr>
            </w:pPr>
            <w:r w:rsidRPr="00A556F1">
              <w:rPr>
                <w:rFonts w:eastAsia="Times New Roman"/>
                <w:b/>
              </w:rPr>
              <w:t>Ar tiesību akta projektu izpildītās vai uzņemtās saistības, kas izriet no starptautiskajiem tiesību aktiem vai starptautiskas institūcijas vai organizācijas dokumentiem.</w:t>
            </w:r>
          </w:p>
          <w:p w14:paraId="58B709D9" w14:textId="77777777" w:rsidR="00131038" w:rsidRPr="00A556F1" w:rsidRDefault="00131038" w:rsidP="00131038">
            <w:pPr>
              <w:jc w:val="center"/>
              <w:rPr>
                <w:rFonts w:eastAsia="Times New Roman"/>
                <w:b/>
              </w:rPr>
            </w:pPr>
            <w:r w:rsidRPr="00A556F1">
              <w:rPr>
                <w:rFonts w:eastAsia="Times New Roman"/>
                <w:b/>
              </w:rPr>
              <w:t>Pasākumi šo saistību izpildei</w:t>
            </w:r>
          </w:p>
        </w:tc>
      </w:tr>
      <w:tr w:rsidR="000506CD" w:rsidRPr="00A556F1" w14:paraId="58B709DD" w14:textId="77777777" w:rsidTr="002858B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429" w:type="dxa"/>
            <w:gridSpan w:val="3"/>
            <w:tcBorders>
              <w:top w:val="outset" w:sz="6" w:space="0" w:color="auto"/>
              <w:left w:val="outset" w:sz="6" w:space="0" w:color="auto"/>
              <w:bottom w:val="outset" w:sz="6" w:space="0" w:color="auto"/>
              <w:right w:val="outset" w:sz="6" w:space="0" w:color="auto"/>
            </w:tcBorders>
            <w:vAlign w:val="center"/>
          </w:tcPr>
          <w:p w14:paraId="58B709DB" w14:textId="77777777" w:rsidR="00131038" w:rsidRPr="00A556F1" w:rsidRDefault="00131038" w:rsidP="00131038">
            <w:pPr>
              <w:rPr>
                <w:rFonts w:eastAsia="Times New Roman"/>
              </w:rPr>
            </w:pPr>
            <w:r w:rsidRPr="00A556F1">
              <w:rPr>
                <w:rFonts w:eastAsia="Times New Roman"/>
              </w:rPr>
              <w:t>Attiecīgā starptautiskā tiesību akta vai starptautiskas institūcijas vai organizācijas dokumenta (turpmāk – starptautiskais dokuments) datums, numurs un nosaukums</w:t>
            </w:r>
          </w:p>
        </w:tc>
        <w:tc>
          <w:tcPr>
            <w:tcW w:w="6643" w:type="dxa"/>
            <w:gridSpan w:val="6"/>
            <w:tcBorders>
              <w:top w:val="outset" w:sz="6" w:space="0" w:color="auto"/>
              <w:left w:val="outset" w:sz="6" w:space="0" w:color="auto"/>
              <w:bottom w:val="outset" w:sz="6" w:space="0" w:color="auto"/>
              <w:right w:val="outset" w:sz="6" w:space="0" w:color="auto"/>
            </w:tcBorders>
          </w:tcPr>
          <w:p w14:paraId="58B709DC" w14:textId="293DCB7A" w:rsidR="00131038" w:rsidRPr="00A556F1" w:rsidRDefault="007C11C4" w:rsidP="00131038">
            <w:pPr>
              <w:rPr>
                <w:rFonts w:eastAsia="Times New Roman"/>
              </w:rPr>
            </w:pPr>
            <w:r>
              <w:rPr>
                <w:rFonts w:eastAsia="Times New Roman"/>
              </w:rPr>
              <w:t>1.1.1.5. pasākuma n</w:t>
            </w:r>
            <w:r w:rsidR="00131038" w:rsidRPr="00A556F1">
              <w:rPr>
                <w:rFonts w:eastAsia="Times New Roman"/>
              </w:rPr>
              <w:t>oteikumu projekts šo jomu neskar.</w:t>
            </w:r>
          </w:p>
        </w:tc>
      </w:tr>
      <w:tr w:rsidR="000506CD" w:rsidRPr="00A556F1" w14:paraId="58B709E1" w14:textId="77777777" w:rsidTr="002858B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429" w:type="dxa"/>
            <w:gridSpan w:val="3"/>
            <w:tcBorders>
              <w:top w:val="outset" w:sz="6" w:space="0" w:color="auto"/>
              <w:left w:val="outset" w:sz="6" w:space="0" w:color="auto"/>
              <w:bottom w:val="outset" w:sz="6" w:space="0" w:color="auto"/>
              <w:right w:val="outset" w:sz="6" w:space="0" w:color="auto"/>
            </w:tcBorders>
            <w:vAlign w:val="center"/>
          </w:tcPr>
          <w:p w14:paraId="58B709DE" w14:textId="77777777" w:rsidR="00131038" w:rsidRPr="00A556F1" w:rsidRDefault="00131038" w:rsidP="00131038">
            <w:pPr>
              <w:jc w:val="center"/>
              <w:rPr>
                <w:rFonts w:eastAsia="Times New Roman"/>
              </w:rPr>
            </w:pPr>
            <w:r w:rsidRPr="00A556F1">
              <w:rPr>
                <w:rFonts w:eastAsia="Times New Roman"/>
              </w:rPr>
              <w:t>A</w:t>
            </w:r>
          </w:p>
        </w:tc>
        <w:tc>
          <w:tcPr>
            <w:tcW w:w="3482" w:type="dxa"/>
            <w:gridSpan w:val="3"/>
            <w:tcBorders>
              <w:top w:val="outset" w:sz="6" w:space="0" w:color="auto"/>
              <w:left w:val="outset" w:sz="6" w:space="0" w:color="auto"/>
              <w:bottom w:val="outset" w:sz="6" w:space="0" w:color="auto"/>
              <w:right w:val="outset" w:sz="6" w:space="0" w:color="auto"/>
            </w:tcBorders>
            <w:vAlign w:val="center"/>
          </w:tcPr>
          <w:p w14:paraId="58B709DF" w14:textId="77777777" w:rsidR="00131038" w:rsidRPr="00A556F1" w:rsidRDefault="00131038" w:rsidP="00131038">
            <w:pPr>
              <w:jc w:val="center"/>
              <w:rPr>
                <w:rFonts w:eastAsia="Times New Roman"/>
              </w:rPr>
            </w:pPr>
            <w:r w:rsidRPr="00A556F1">
              <w:rPr>
                <w:rFonts w:eastAsia="Times New Roman"/>
              </w:rPr>
              <w:t>B</w:t>
            </w:r>
          </w:p>
        </w:tc>
        <w:tc>
          <w:tcPr>
            <w:tcW w:w="3161" w:type="dxa"/>
            <w:gridSpan w:val="3"/>
            <w:tcBorders>
              <w:top w:val="outset" w:sz="6" w:space="0" w:color="auto"/>
              <w:left w:val="outset" w:sz="6" w:space="0" w:color="auto"/>
              <w:bottom w:val="outset" w:sz="6" w:space="0" w:color="auto"/>
              <w:right w:val="outset" w:sz="6" w:space="0" w:color="auto"/>
            </w:tcBorders>
            <w:vAlign w:val="center"/>
          </w:tcPr>
          <w:p w14:paraId="58B709E0" w14:textId="77777777" w:rsidR="00131038" w:rsidRPr="00A556F1" w:rsidRDefault="00131038" w:rsidP="00131038">
            <w:pPr>
              <w:jc w:val="center"/>
              <w:rPr>
                <w:rFonts w:eastAsia="Times New Roman"/>
              </w:rPr>
            </w:pPr>
            <w:r w:rsidRPr="00A556F1">
              <w:rPr>
                <w:rFonts w:eastAsia="Times New Roman"/>
              </w:rPr>
              <w:t>C</w:t>
            </w:r>
          </w:p>
        </w:tc>
      </w:tr>
      <w:tr w:rsidR="000506CD" w:rsidRPr="00A556F1" w14:paraId="58B709E8" w14:textId="77777777" w:rsidTr="002858B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429" w:type="dxa"/>
            <w:gridSpan w:val="3"/>
            <w:tcBorders>
              <w:top w:val="outset" w:sz="6" w:space="0" w:color="auto"/>
              <w:left w:val="outset" w:sz="6" w:space="0" w:color="auto"/>
              <w:bottom w:val="outset" w:sz="6" w:space="0" w:color="auto"/>
              <w:right w:val="outset" w:sz="6" w:space="0" w:color="auto"/>
            </w:tcBorders>
          </w:tcPr>
          <w:p w14:paraId="58B709E2" w14:textId="77777777" w:rsidR="00131038" w:rsidRPr="00A556F1" w:rsidRDefault="00131038" w:rsidP="00131038">
            <w:pPr>
              <w:rPr>
                <w:rFonts w:eastAsia="Times New Roman"/>
              </w:rPr>
            </w:pPr>
            <w:r w:rsidRPr="00A556F1">
              <w:rPr>
                <w:rFonts w:eastAsia="Times New Roman"/>
              </w:rPr>
              <w:t xml:space="preserve">Starptautiskās saistības (pēc būtības), kas izriet </w:t>
            </w:r>
            <w:r w:rsidRPr="00A556F1">
              <w:rPr>
                <w:rFonts w:eastAsia="Times New Roman"/>
              </w:rPr>
              <w:lastRenderedPageBreak/>
              <w:t>no norādītā starptautiskā dokumenta.</w:t>
            </w:r>
          </w:p>
          <w:p w14:paraId="58B709E3" w14:textId="77777777" w:rsidR="00131038" w:rsidRPr="00A556F1" w:rsidRDefault="00131038" w:rsidP="00131038">
            <w:pPr>
              <w:rPr>
                <w:rFonts w:eastAsia="Times New Roman"/>
              </w:rPr>
            </w:pPr>
            <w:r w:rsidRPr="00A556F1">
              <w:rPr>
                <w:rFonts w:eastAsia="Times New Roman"/>
              </w:rPr>
              <w:t>Konkrēti veicamie pasākumi vai uzdevumi, kas nepieciešami šo starptautisko saistību izpildei</w:t>
            </w:r>
          </w:p>
        </w:tc>
        <w:tc>
          <w:tcPr>
            <w:tcW w:w="3482" w:type="dxa"/>
            <w:gridSpan w:val="3"/>
            <w:tcBorders>
              <w:top w:val="outset" w:sz="6" w:space="0" w:color="auto"/>
              <w:left w:val="outset" w:sz="6" w:space="0" w:color="auto"/>
              <w:bottom w:val="outset" w:sz="6" w:space="0" w:color="auto"/>
              <w:right w:val="outset" w:sz="6" w:space="0" w:color="auto"/>
            </w:tcBorders>
          </w:tcPr>
          <w:p w14:paraId="58B709E4" w14:textId="77777777" w:rsidR="00131038" w:rsidRPr="00A556F1" w:rsidRDefault="00131038" w:rsidP="00131038">
            <w:pPr>
              <w:rPr>
                <w:rFonts w:eastAsia="Times New Roman"/>
              </w:rPr>
            </w:pPr>
            <w:r w:rsidRPr="00A556F1">
              <w:rPr>
                <w:rFonts w:eastAsia="Times New Roman"/>
              </w:rPr>
              <w:lastRenderedPageBreak/>
              <w:t xml:space="preserve">Ja pasākumi vai uzdevumi, ar ko tiks izpildītas starptautiskās saistības, tiek noteikti projektā, </w:t>
            </w:r>
            <w:r w:rsidRPr="00A556F1">
              <w:rPr>
                <w:rFonts w:eastAsia="Times New Roman"/>
              </w:rPr>
              <w:lastRenderedPageBreak/>
              <w:t>norāda attiecīgo projekta vienību vai dokumentu, kurā sniegts izvērsts skaidrojums, kādā veidā tiks nodrošināta starptautisko saistību izpilde</w:t>
            </w:r>
          </w:p>
        </w:tc>
        <w:tc>
          <w:tcPr>
            <w:tcW w:w="3161" w:type="dxa"/>
            <w:gridSpan w:val="3"/>
            <w:tcBorders>
              <w:top w:val="outset" w:sz="6" w:space="0" w:color="auto"/>
              <w:left w:val="outset" w:sz="6" w:space="0" w:color="auto"/>
              <w:bottom w:val="outset" w:sz="6" w:space="0" w:color="auto"/>
              <w:right w:val="outset" w:sz="6" w:space="0" w:color="auto"/>
            </w:tcBorders>
          </w:tcPr>
          <w:p w14:paraId="58B709E5" w14:textId="77777777" w:rsidR="00131038" w:rsidRPr="00A556F1" w:rsidRDefault="00131038" w:rsidP="00131038">
            <w:pPr>
              <w:rPr>
                <w:rFonts w:eastAsia="Times New Roman"/>
              </w:rPr>
            </w:pPr>
            <w:r w:rsidRPr="00A556F1">
              <w:rPr>
                <w:rFonts w:eastAsia="Times New Roman"/>
              </w:rPr>
              <w:lastRenderedPageBreak/>
              <w:t xml:space="preserve">Informācija par to, vai starptautiskās saistības, kas </w:t>
            </w:r>
            <w:r w:rsidRPr="00A556F1">
              <w:rPr>
                <w:rFonts w:eastAsia="Times New Roman"/>
              </w:rPr>
              <w:lastRenderedPageBreak/>
              <w:t>minētas šīs tabulas A ailē, tiek izpildītas pilnībā vai daļēji.</w:t>
            </w:r>
          </w:p>
          <w:p w14:paraId="58B709E6" w14:textId="77777777" w:rsidR="00131038" w:rsidRPr="00A556F1" w:rsidRDefault="00131038" w:rsidP="00131038">
            <w:pPr>
              <w:rPr>
                <w:rFonts w:eastAsia="Times New Roman"/>
              </w:rPr>
            </w:pPr>
            <w:r w:rsidRPr="00A556F1">
              <w:rPr>
                <w:rFonts w:eastAsia="Times New Roman"/>
              </w:rPr>
              <w:t>Ja attiecīgās starptautiskās saistības tiek izpildītas daļēji, sniedz skaidrojumu, kā arī precīzi norāda, kad un kādā veidā starptautiskās saistības tiks izpildītas pilnībā.</w:t>
            </w:r>
          </w:p>
          <w:p w14:paraId="58B709E7" w14:textId="77777777" w:rsidR="00131038" w:rsidRPr="00A556F1" w:rsidRDefault="00131038" w:rsidP="00131038">
            <w:pPr>
              <w:rPr>
                <w:rFonts w:eastAsia="Times New Roman"/>
              </w:rPr>
            </w:pPr>
            <w:r w:rsidRPr="00A556F1">
              <w:rPr>
                <w:rFonts w:eastAsia="Times New Roman"/>
              </w:rPr>
              <w:t>Norāda institūciju, kas ir atbildīga par šo saistību izpildi pilnībā</w:t>
            </w:r>
          </w:p>
        </w:tc>
      </w:tr>
      <w:tr w:rsidR="000506CD" w:rsidRPr="00A556F1" w14:paraId="58B709EC" w14:textId="77777777" w:rsidTr="002858B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429" w:type="dxa"/>
            <w:gridSpan w:val="3"/>
            <w:tcBorders>
              <w:top w:val="outset" w:sz="6" w:space="0" w:color="auto"/>
              <w:left w:val="outset" w:sz="6" w:space="0" w:color="auto"/>
              <w:bottom w:val="outset" w:sz="6" w:space="0" w:color="auto"/>
              <w:right w:val="outset" w:sz="6" w:space="0" w:color="auto"/>
            </w:tcBorders>
          </w:tcPr>
          <w:p w14:paraId="58B709E9" w14:textId="42B3D65F" w:rsidR="00131038" w:rsidRPr="00A556F1" w:rsidRDefault="00721092" w:rsidP="00131038">
            <w:pPr>
              <w:rPr>
                <w:rFonts w:eastAsia="Times New Roman"/>
              </w:rPr>
            </w:pPr>
            <w:r>
              <w:rPr>
                <w:rFonts w:eastAsia="Times New Roman"/>
              </w:rPr>
              <w:lastRenderedPageBreak/>
              <w:t>1.1.1.5. pasākuma n</w:t>
            </w:r>
            <w:r w:rsidR="00131038" w:rsidRPr="00A556F1">
              <w:rPr>
                <w:rFonts w:eastAsia="Times New Roman"/>
              </w:rPr>
              <w:t>oteikumu projekts šo jomu neskar.</w:t>
            </w:r>
          </w:p>
        </w:tc>
        <w:tc>
          <w:tcPr>
            <w:tcW w:w="3482" w:type="dxa"/>
            <w:gridSpan w:val="3"/>
            <w:tcBorders>
              <w:top w:val="outset" w:sz="6" w:space="0" w:color="auto"/>
              <w:left w:val="outset" w:sz="6" w:space="0" w:color="auto"/>
              <w:bottom w:val="outset" w:sz="6" w:space="0" w:color="auto"/>
              <w:right w:val="outset" w:sz="6" w:space="0" w:color="auto"/>
            </w:tcBorders>
          </w:tcPr>
          <w:p w14:paraId="58B709EA" w14:textId="0833C631" w:rsidR="00131038" w:rsidRPr="00A556F1" w:rsidRDefault="00721092" w:rsidP="00131038">
            <w:pPr>
              <w:rPr>
                <w:rFonts w:eastAsia="Times New Roman"/>
              </w:rPr>
            </w:pPr>
            <w:r>
              <w:rPr>
                <w:rFonts w:eastAsia="Times New Roman"/>
              </w:rPr>
              <w:t>1.1.1.5. pasākuma n</w:t>
            </w:r>
            <w:r w:rsidR="00131038" w:rsidRPr="00A556F1">
              <w:rPr>
                <w:rFonts w:eastAsia="Times New Roman"/>
              </w:rPr>
              <w:t>oteikumu projekts šo jomu neskar.</w:t>
            </w:r>
          </w:p>
        </w:tc>
        <w:tc>
          <w:tcPr>
            <w:tcW w:w="3161" w:type="dxa"/>
            <w:gridSpan w:val="3"/>
            <w:tcBorders>
              <w:top w:val="outset" w:sz="6" w:space="0" w:color="auto"/>
              <w:left w:val="outset" w:sz="6" w:space="0" w:color="auto"/>
              <w:bottom w:val="outset" w:sz="6" w:space="0" w:color="auto"/>
              <w:right w:val="outset" w:sz="6" w:space="0" w:color="auto"/>
            </w:tcBorders>
          </w:tcPr>
          <w:p w14:paraId="58B709EB" w14:textId="45470ACF" w:rsidR="00131038" w:rsidRPr="00A556F1" w:rsidRDefault="00721092" w:rsidP="00131038">
            <w:pPr>
              <w:rPr>
                <w:rFonts w:eastAsia="Times New Roman"/>
              </w:rPr>
            </w:pPr>
            <w:r>
              <w:rPr>
                <w:rFonts w:eastAsia="Times New Roman"/>
              </w:rPr>
              <w:t>1.1.1.5. pasākuma n</w:t>
            </w:r>
            <w:r w:rsidR="00131038" w:rsidRPr="00A556F1">
              <w:rPr>
                <w:rFonts w:eastAsia="Times New Roman"/>
              </w:rPr>
              <w:t>oteikumu projekts šo jomu neskar.</w:t>
            </w:r>
          </w:p>
        </w:tc>
      </w:tr>
      <w:tr w:rsidR="000506CD" w:rsidRPr="00A556F1" w14:paraId="58B709EF" w14:textId="77777777" w:rsidTr="002858B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429" w:type="dxa"/>
            <w:gridSpan w:val="3"/>
            <w:tcBorders>
              <w:top w:val="outset" w:sz="6" w:space="0" w:color="auto"/>
              <w:left w:val="outset" w:sz="6" w:space="0" w:color="auto"/>
              <w:bottom w:val="outset" w:sz="6" w:space="0" w:color="auto"/>
              <w:right w:val="outset" w:sz="6" w:space="0" w:color="auto"/>
            </w:tcBorders>
          </w:tcPr>
          <w:p w14:paraId="58B709ED" w14:textId="77777777" w:rsidR="00131038" w:rsidRPr="00A556F1" w:rsidRDefault="00131038" w:rsidP="00131038">
            <w:pPr>
              <w:rPr>
                <w:rFonts w:eastAsia="Times New Roman"/>
              </w:rPr>
            </w:pPr>
            <w:r w:rsidRPr="00A556F1">
              <w:rPr>
                <w:rFonts w:eastAsia="Times New Roman"/>
              </w:rPr>
              <w:t>Vai starptautiskajā dokumentā paredzētās saistības nav pretrunā ar jau esošajām Latvijas Republikas starptautis</w:t>
            </w:r>
            <w:r w:rsidRPr="00A556F1">
              <w:rPr>
                <w:rFonts w:eastAsia="Times New Roman"/>
              </w:rPr>
              <w:softHyphen/>
              <w:t>kajām saistībām</w:t>
            </w:r>
          </w:p>
        </w:tc>
        <w:tc>
          <w:tcPr>
            <w:tcW w:w="6643" w:type="dxa"/>
            <w:gridSpan w:val="6"/>
            <w:tcBorders>
              <w:top w:val="outset" w:sz="6" w:space="0" w:color="auto"/>
              <w:left w:val="outset" w:sz="6" w:space="0" w:color="auto"/>
              <w:bottom w:val="outset" w:sz="6" w:space="0" w:color="auto"/>
              <w:right w:val="outset" w:sz="6" w:space="0" w:color="auto"/>
            </w:tcBorders>
          </w:tcPr>
          <w:p w14:paraId="58B709EE" w14:textId="51768C34" w:rsidR="00131038" w:rsidRPr="00A556F1" w:rsidRDefault="00721092" w:rsidP="00131038">
            <w:pPr>
              <w:rPr>
                <w:rFonts w:eastAsia="Times New Roman"/>
              </w:rPr>
            </w:pPr>
            <w:r>
              <w:rPr>
                <w:rFonts w:eastAsia="Times New Roman"/>
              </w:rPr>
              <w:t>1.1.1.5. pasākuma n</w:t>
            </w:r>
            <w:r w:rsidR="00131038" w:rsidRPr="00A556F1">
              <w:rPr>
                <w:rFonts w:eastAsia="Times New Roman"/>
              </w:rPr>
              <w:t>oteikumu projekts šo jomu neskar.</w:t>
            </w:r>
          </w:p>
        </w:tc>
      </w:tr>
      <w:tr w:rsidR="000506CD" w:rsidRPr="00A556F1" w14:paraId="58B709F2" w14:textId="77777777" w:rsidTr="002858B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429" w:type="dxa"/>
            <w:gridSpan w:val="3"/>
            <w:tcBorders>
              <w:top w:val="outset" w:sz="6" w:space="0" w:color="auto"/>
              <w:left w:val="outset" w:sz="6" w:space="0" w:color="auto"/>
              <w:bottom w:val="outset" w:sz="6" w:space="0" w:color="auto"/>
              <w:right w:val="outset" w:sz="6" w:space="0" w:color="auto"/>
            </w:tcBorders>
          </w:tcPr>
          <w:p w14:paraId="58B709F0" w14:textId="77777777" w:rsidR="00131038" w:rsidRPr="00A556F1" w:rsidRDefault="00131038" w:rsidP="00131038">
            <w:pPr>
              <w:rPr>
                <w:rFonts w:eastAsia="Times New Roman"/>
              </w:rPr>
            </w:pPr>
            <w:r w:rsidRPr="00A556F1">
              <w:rPr>
                <w:rFonts w:eastAsia="Times New Roman"/>
              </w:rPr>
              <w:t>Cita informācija</w:t>
            </w:r>
          </w:p>
        </w:tc>
        <w:tc>
          <w:tcPr>
            <w:tcW w:w="6643" w:type="dxa"/>
            <w:gridSpan w:val="6"/>
            <w:tcBorders>
              <w:top w:val="outset" w:sz="6" w:space="0" w:color="auto"/>
              <w:left w:val="outset" w:sz="6" w:space="0" w:color="auto"/>
              <w:bottom w:val="outset" w:sz="6" w:space="0" w:color="auto"/>
              <w:right w:val="outset" w:sz="6" w:space="0" w:color="auto"/>
            </w:tcBorders>
          </w:tcPr>
          <w:p w14:paraId="58B709F1" w14:textId="77777777" w:rsidR="00131038" w:rsidRPr="00A556F1" w:rsidRDefault="00131038" w:rsidP="00131038">
            <w:pPr>
              <w:rPr>
                <w:rFonts w:eastAsia="Times New Roman"/>
              </w:rPr>
            </w:pPr>
            <w:r w:rsidRPr="00A556F1">
              <w:rPr>
                <w:rFonts w:eastAsia="Times New Roman"/>
              </w:rPr>
              <w:t>Nav.</w:t>
            </w:r>
          </w:p>
        </w:tc>
      </w:tr>
    </w:tbl>
    <w:p w14:paraId="58B709F3" w14:textId="77777777" w:rsidR="005142E7" w:rsidRPr="00A556F1" w:rsidRDefault="005142E7" w:rsidP="004A7F10">
      <w:pPr>
        <w:tabs>
          <w:tab w:val="left" w:pos="3382"/>
        </w:tabs>
        <w:rPr>
          <w:lang w:eastAsia="en-US"/>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26"/>
        <w:gridCol w:w="2694"/>
        <w:gridCol w:w="5952"/>
      </w:tblGrid>
      <w:tr w:rsidR="000506CD" w:rsidRPr="00A556F1" w14:paraId="58B709F5" w14:textId="77777777" w:rsidTr="002858B3">
        <w:trPr>
          <w:trHeight w:val="421"/>
        </w:trPr>
        <w:tc>
          <w:tcPr>
            <w:tcW w:w="9072" w:type="dxa"/>
            <w:gridSpan w:val="3"/>
            <w:vAlign w:val="center"/>
          </w:tcPr>
          <w:p w14:paraId="58B709F4" w14:textId="77777777" w:rsidR="004A7F10" w:rsidRPr="00A556F1" w:rsidRDefault="004A7F10" w:rsidP="0067150E">
            <w:pPr>
              <w:pStyle w:val="naisnod"/>
              <w:spacing w:before="0" w:beforeAutospacing="0" w:after="0" w:afterAutospacing="0"/>
              <w:ind w:left="57" w:right="57"/>
              <w:jc w:val="center"/>
            </w:pPr>
            <w:r w:rsidRPr="00A556F1">
              <w:rPr>
                <w:b/>
              </w:rPr>
              <w:t>VI. Sabiedrības līdzdalība un komunikācijas aktivitātes</w:t>
            </w:r>
          </w:p>
        </w:tc>
      </w:tr>
      <w:tr w:rsidR="000506CD" w:rsidRPr="00A556F1" w14:paraId="58B709F9" w14:textId="77777777" w:rsidTr="002858B3">
        <w:trPr>
          <w:trHeight w:val="553"/>
        </w:trPr>
        <w:tc>
          <w:tcPr>
            <w:tcW w:w="426" w:type="dxa"/>
          </w:tcPr>
          <w:p w14:paraId="58B709F6" w14:textId="77777777" w:rsidR="004A7F10" w:rsidRPr="00A556F1" w:rsidRDefault="004A7F10" w:rsidP="0067150E">
            <w:pPr>
              <w:ind w:left="57" w:right="57"/>
              <w:jc w:val="both"/>
              <w:rPr>
                <w:bCs/>
              </w:rPr>
            </w:pPr>
            <w:r w:rsidRPr="00A556F1">
              <w:rPr>
                <w:bCs/>
              </w:rPr>
              <w:t>1.</w:t>
            </w:r>
          </w:p>
        </w:tc>
        <w:tc>
          <w:tcPr>
            <w:tcW w:w="2694" w:type="dxa"/>
          </w:tcPr>
          <w:p w14:paraId="58B709F7" w14:textId="77777777" w:rsidR="004A7F10" w:rsidRPr="00A556F1" w:rsidRDefault="004A7F10" w:rsidP="0067150E">
            <w:pPr>
              <w:tabs>
                <w:tab w:val="left" w:pos="170"/>
              </w:tabs>
              <w:ind w:left="57" w:right="57"/>
            </w:pPr>
            <w:r w:rsidRPr="00A556F1">
              <w:t>Plānotās sabiedrības līdzdalības un komunikācijas aktivitātes saistībā ar projektu</w:t>
            </w:r>
          </w:p>
        </w:tc>
        <w:tc>
          <w:tcPr>
            <w:tcW w:w="5952" w:type="dxa"/>
          </w:tcPr>
          <w:p w14:paraId="58B709F8" w14:textId="243CFFE0" w:rsidR="004A7F10" w:rsidRPr="00A556F1" w:rsidRDefault="00F93CB7" w:rsidP="00450CE4">
            <w:pPr>
              <w:shd w:val="clear" w:color="auto" w:fill="FFFFFF"/>
              <w:ind w:left="94" w:right="57"/>
              <w:jc w:val="both"/>
            </w:pPr>
            <w:bookmarkStart w:id="1" w:name="p61"/>
            <w:bookmarkEnd w:id="1"/>
            <w:r w:rsidRPr="00A556F1">
              <w:rPr>
                <w:iCs/>
              </w:rPr>
              <w:t xml:space="preserve">1.1.1.5. pasākuma </w:t>
            </w:r>
            <w:r w:rsidR="00F828B3" w:rsidRPr="00A556F1">
              <w:rPr>
                <w:bCs/>
              </w:rPr>
              <w:t>n</w:t>
            </w:r>
            <w:r w:rsidR="004A7F10" w:rsidRPr="00A556F1">
              <w:rPr>
                <w:bCs/>
              </w:rPr>
              <w:t>oteikumu projekt</w:t>
            </w:r>
            <w:r w:rsidRPr="00A556F1">
              <w:rPr>
                <w:bCs/>
              </w:rPr>
              <w:t>s</w:t>
            </w:r>
            <w:r w:rsidR="004A7F10" w:rsidRPr="00A556F1">
              <w:rPr>
                <w:bCs/>
              </w:rPr>
              <w:t xml:space="preserve"> precizē MK noteikumu</w:t>
            </w:r>
            <w:r w:rsidR="0084184C" w:rsidRPr="00A556F1">
              <w:rPr>
                <w:bCs/>
              </w:rPr>
              <w:t xml:space="preserve"> Nr. 315 </w:t>
            </w:r>
            <w:r w:rsidR="00EB3CC2" w:rsidRPr="00A556F1">
              <w:rPr>
                <w:bCs/>
              </w:rPr>
              <w:t xml:space="preserve">7., </w:t>
            </w:r>
            <w:r w:rsidR="0084184C" w:rsidRPr="00A556F1">
              <w:rPr>
                <w:bCs/>
              </w:rPr>
              <w:t>9.</w:t>
            </w:r>
            <w:r w:rsidR="00EB3CC2" w:rsidRPr="00A556F1">
              <w:rPr>
                <w:bCs/>
              </w:rPr>
              <w:t>,</w:t>
            </w:r>
            <w:r w:rsidR="00EF3F4F" w:rsidRPr="00A556F1">
              <w:rPr>
                <w:bCs/>
              </w:rPr>
              <w:t xml:space="preserve"> </w:t>
            </w:r>
            <w:r w:rsidR="00EB3CC2" w:rsidRPr="00A556F1">
              <w:rPr>
                <w:bCs/>
              </w:rPr>
              <w:t>57. un 58</w:t>
            </w:r>
            <w:r w:rsidR="0084184C" w:rsidRPr="00A556F1">
              <w:rPr>
                <w:bCs/>
              </w:rPr>
              <w:t>. </w:t>
            </w:r>
            <w:r w:rsidR="004A7F10" w:rsidRPr="00A556F1">
              <w:rPr>
                <w:bCs/>
              </w:rPr>
              <w:t xml:space="preserve">punkta </w:t>
            </w:r>
            <w:r w:rsidR="008D42B7" w:rsidRPr="00A556F1">
              <w:rPr>
                <w:bCs/>
              </w:rPr>
              <w:t xml:space="preserve">formulējumu, lai nodrošinātu </w:t>
            </w:r>
            <w:r w:rsidR="000F0E75" w:rsidRPr="00A556F1">
              <w:rPr>
                <w:bCs/>
              </w:rPr>
              <w:t xml:space="preserve">atlases kārtai </w:t>
            </w:r>
            <w:r w:rsidR="00EB3CC2" w:rsidRPr="00A556F1">
              <w:rPr>
                <w:bCs/>
              </w:rPr>
              <w:t>papildu</w:t>
            </w:r>
            <w:r w:rsidR="000F0E75" w:rsidRPr="00A556F1">
              <w:rPr>
                <w:bCs/>
              </w:rPr>
              <w:t xml:space="preserve"> finansējuma piešķiršanu</w:t>
            </w:r>
            <w:r w:rsidR="00C07D08" w:rsidRPr="00A556F1">
              <w:rPr>
                <w:bCs/>
              </w:rPr>
              <w:t>,</w:t>
            </w:r>
            <w:r w:rsidR="00EB3CC2" w:rsidRPr="00A556F1">
              <w:rPr>
                <w:bCs/>
              </w:rPr>
              <w:t xml:space="preserve"> un paredz tehniskus precizējumu</w:t>
            </w:r>
            <w:r w:rsidR="00704CF3">
              <w:rPr>
                <w:bCs/>
              </w:rPr>
              <w:t xml:space="preserve">s MK noteikumu Nr. 315 </w:t>
            </w:r>
            <w:r w:rsidR="00EF3F4F" w:rsidRPr="00A556F1">
              <w:rPr>
                <w:bCs/>
              </w:rPr>
              <w:t>16., 38.</w:t>
            </w:r>
            <w:r w:rsidR="000E3572" w:rsidRPr="00A556F1">
              <w:rPr>
                <w:bCs/>
              </w:rPr>
              <w:t>, 39.</w:t>
            </w:r>
            <w:r w:rsidR="00EF3F4F" w:rsidRPr="00A556F1">
              <w:rPr>
                <w:bCs/>
              </w:rPr>
              <w:t xml:space="preserve"> </w:t>
            </w:r>
            <w:r w:rsidR="00EB3CC2" w:rsidRPr="00A556F1">
              <w:rPr>
                <w:bCs/>
              </w:rPr>
              <w:t>un 40. punktā</w:t>
            </w:r>
            <w:r w:rsidR="000E3572" w:rsidRPr="00A556F1">
              <w:rPr>
                <w:bCs/>
              </w:rPr>
              <w:t>,</w:t>
            </w:r>
            <w:r w:rsidR="00927DFF" w:rsidRPr="00A556F1">
              <w:rPr>
                <w:bCs/>
              </w:rPr>
              <w:t xml:space="preserve"> kā arī </w:t>
            </w:r>
            <w:r w:rsidR="00EA289E">
              <w:rPr>
                <w:bCs/>
              </w:rPr>
              <w:t xml:space="preserve">paredz papildināt </w:t>
            </w:r>
            <w:r w:rsidR="00927DFF" w:rsidRPr="00A556F1">
              <w:rPr>
                <w:bCs/>
              </w:rPr>
              <w:t>MK noteikumus Nr. 315 ar  24.</w:t>
            </w:r>
            <w:r w:rsidR="00927DFF" w:rsidRPr="00A556F1">
              <w:rPr>
                <w:bCs/>
                <w:vertAlign w:val="superscript"/>
              </w:rPr>
              <w:t>1</w:t>
            </w:r>
            <w:r w:rsidR="00927DFF" w:rsidRPr="00A556F1">
              <w:rPr>
                <w:bCs/>
              </w:rPr>
              <w:t xml:space="preserve"> un 62.</w:t>
            </w:r>
            <w:r w:rsidR="00927DFF" w:rsidRPr="00A556F1">
              <w:rPr>
                <w:bCs/>
                <w:vertAlign w:val="superscript"/>
              </w:rPr>
              <w:t>1</w:t>
            </w:r>
            <w:r w:rsidR="00927DFF" w:rsidRPr="00A556F1">
              <w:rPr>
                <w:bCs/>
              </w:rPr>
              <w:t xml:space="preserve"> punkt</w:t>
            </w:r>
            <w:r w:rsidR="00EA289E">
              <w:rPr>
                <w:bCs/>
              </w:rPr>
              <w:t>u</w:t>
            </w:r>
            <w:r w:rsidR="00797D53" w:rsidRPr="00A556F1">
              <w:rPr>
                <w:bCs/>
              </w:rPr>
              <w:t>, nosakot atbalsta piešķiršanas brīdi ar saimniecisku darbību saistīta projekta īstenošanai</w:t>
            </w:r>
            <w:r w:rsidR="00E90F28">
              <w:rPr>
                <w:bCs/>
              </w:rPr>
              <w:t>,</w:t>
            </w:r>
            <w:r w:rsidR="00863287" w:rsidRPr="00A556F1">
              <w:rPr>
                <w:bCs/>
              </w:rPr>
              <w:t xml:space="preserve"> l</w:t>
            </w:r>
            <w:r w:rsidR="000E3572" w:rsidRPr="00A556F1">
              <w:rPr>
                <w:bCs/>
              </w:rPr>
              <w:t xml:space="preserve">īdz ar to </w:t>
            </w:r>
            <w:r w:rsidR="00D52B0A" w:rsidRPr="00A556F1">
              <w:rPr>
                <w:bCs/>
              </w:rPr>
              <w:t>sabiedrības līdzdalības nodrošināšana</w:t>
            </w:r>
            <w:r w:rsidR="000E3572" w:rsidRPr="00A556F1">
              <w:rPr>
                <w:bCs/>
              </w:rPr>
              <w:t xml:space="preserve"> </w:t>
            </w:r>
            <w:r w:rsidR="00D52B0A" w:rsidRPr="00A556F1">
              <w:rPr>
                <w:bCs/>
              </w:rPr>
              <w:t xml:space="preserve">nav nepieciešama. </w:t>
            </w:r>
          </w:p>
        </w:tc>
      </w:tr>
      <w:tr w:rsidR="000506CD" w:rsidRPr="00A556F1" w14:paraId="58B709FD" w14:textId="77777777" w:rsidTr="002858B3">
        <w:trPr>
          <w:trHeight w:val="339"/>
        </w:trPr>
        <w:tc>
          <w:tcPr>
            <w:tcW w:w="426" w:type="dxa"/>
          </w:tcPr>
          <w:p w14:paraId="58B709FA" w14:textId="77777777" w:rsidR="004A7F10" w:rsidRPr="00A556F1" w:rsidRDefault="004A7F10" w:rsidP="0067150E">
            <w:pPr>
              <w:ind w:left="57" w:right="57"/>
              <w:jc w:val="both"/>
              <w:rPr>
                <w:bCs/>
              </w:rPr>
            </w:pPr>
            <w:r w:rsidRPr="00A556F1">
              <w:rPr>
                <w:bCs/>
              </w:rPr>
              <w:t>2.</w:t>
            </w:r>
          </w:p>
        </w:tc>
        <w:tc>
          <w:tcPr>
            <w:tcW w:w="2694" w:type="dxa"/>
          </w:tcPr>
          <w:p w14:paraId="58B709FB" w14:textId="77777777" w:rsidR="004A7F10" w:rsidRPr="00A556F1" w:rsidRDefault="004A7F10" w:rsidP="0067150E">
            <w:pPr>
              <w:ind w:left="57" w:right="57"/>
            </w:pPr>
            <w:r w:rsidRPr="00A556F1">
              <w:t>Sabiedrības līdzdalība projekta izstrādē</w:t>
            </w:r>
          </w:p>
        </w:tc>
        <w:tc>
          <w:tcPr>
            <w:tcW w:w="5952" w:type="dxa"/>
          </w:tcPr>
          <w:p w14:paraId="58B709FC" w14:textId="3BEFB5CE" w:rsidR="004A7F10" w:rsidRPr="00A556F1" w:rsidRDefault="00D52B0A" w:rsidP="0067150E">
            <w:pPr>
              <w:shd w:val="clear" w:color="auto" w:fill="FFFFFF"/>
              <w:ind w:left="94" w:right="57"/>
              <w:jc w:val="both"/>
              <w:rPr>
                <w:rFonts w:eastAsiaTheme="minorHAnsi"/>
                <w:bCs/>
                <w:lang w:eastAsia="en-US"/>
              </w:rPr>
            </w:pPr>
            <w:bookmarkStart w:id="2" w:name="p62"/>
            <w:bookmarkEnd w:id="2"/>
            <w:r w:rsidRPr="00A556F1">
              <w:rPr>
                <w:bCs/>
              </w:rPr>
              <w:t>Sabiedrīb</w:t>
            </w:r>
            <w:r w:rsidR="00EF3F4F" w:rsidRPr="00A556F1">
              <w:rPr>
                <w:bCs/>
              </w:rPr>
              <w:t xml:space="preserve">as līdzdalību </w:t>
            </w:r>
            <w:r w:rsidR="00E90F28" w:rsidRPr="00A556F1">
              <w:rPr>
                <w:iCs/>
              </w:rPr>
              <w:t xml:space="preserve">1.1.1.5. pasākuma </w:t>
            </w:r>
            <w:r w:rsidR="00120C50" w:rsidRPr="00A556F1">
              <w:rPr>
                <w:bCs/>
              </w:rPr>
              <w:t>noteikumu projekta</w:t>
            </w:r>
            <w:r w:rsidRPr="00A556F1">
              <w:rPr>
                <w:bCs/>
              </w:rPr>
              <w:t xml:space="preserve"> izstrādē nebija nepieciešams nodrošināt.</w:t>
            </w:r>
          </w:p>
        </w:tc>
      </w:tr>
      <w:tr w:rsidR="000506CD" w:rsidRPr="00A556F1" w14:paraId="58B70A01" w14:textId="77777777" w:rsidTr="002858B3">
        <w:trPr>
          <w:trHeight w:val="476"/>
        </w:trPr>
        <w:tc>
          <w:tcPr>
            <w:tcW w:w="426" w:type="dxa"/>
          </w:tcPr>
          <w:p w14:paraId="58B709FE" w14:textId="77777777" w:rsidR="004A7F10" w:rsidRPr="00A556F1" w:rsidRDefault="004A7F10" w:rsidP="0067150E">
            <w:pPr>
              <w:ind w:left="57" w:right="57"/>
              <w:jc w:val="both"/>
              <w:rPr>
                <w:bCs/>
              </w:rPr>
            </w:pPr>
            <w:r w:rsidRPr="00A556F1">
              <w:rPr>
                <w:bCs/>
              </w:rPr>
              <w:t>3.</w:t>
            </w:r>
          </w:p>
        </w:tc>
        <w:tc>
          <w:tcPr>
            <w:tcW w:w="2694" w:type="dxa"/>
          </w:tcPr>
          <w:p w14:paraId="58B709FF" w14:textId="77777777" w:rsidR="004A7F10" w:rsidRPr="00A556F1" w:rsidRDefault="004A7F10" w:rsidP="0067150E">
            <w:pPr>
              <w:ind w:left="57" w:right="57"/>
            </w:pPr>
            <w:r w:rsidRPr="00A556F1">
              <w:t>Sabiedrības līdzdalības rezultāti</w:t>
            </w:r>
          </w:p>
        </w:tc>
        <w:tc>
          <w:tcPr>
            <w:tcW w:w="5952" w:type="dxa"/>
          </w:tcPr>
          <w:p w14:paraId="58B70A00" w14:textId="528E846A" w:rsidR="004A7F10" w:rsidRPr="00A556F1" w:rsidRDefault="00420453" w:rsidP="0067150E">
            <w:pPr>
              <w:shd w:val="clear" w:color="auto" w:fill="FFFFFF"/>
              <w:tabs>
                <w:tab w:val="left" w:pos="878"/>
              </w:tabs>
              <w:ind w:left="94" w:right="57"/>
              <w:jc w:val="both"/>
            </w:pPr>
            <w:r w:rsidRPr="00A556F1">
              <w:rPr>
                <w:bCs/>
              </w:rPr>
              <w:t xml:space="preserve">Sabiedrības līdzdalību </w:t>
            </w:r>
            <w:r w:rsidR="00E90F28" w:rsidRPr="00A556F1">
              <w:rPr>
                <w:iCs/>
              </w:rPr>
              <w:t xml:space="preserve">1.1.1.5. pasākuma </w:t>
            </w:r>
            <w:r w:rsidR="00120C50" w:rsidRPr="00A556F1">
              <w:rPr>
                <w:bCs/>
              </w:rPr>
              <w:t>noteikumu projekta</w:t>
            </w:r>
            <w:r w:rsidRPr="00A556F1">
              <w:rPr>
                <w:bCs/>
              </w:rPr>
              <w:t xml:space="preserve"> izstrādē nebija nepieciešams nodrošināt.</w:t>
            </w:r>
          </w:p>
        </w:tc>
      </w:tr>
      <w:tr w:rsidR="000506CD" w:rsidRPr="00A556F1" w14:paraId="58B70A05" w14:textId="77777777" w:rsidTr="002858B3">
        <w:trPr>
          <w:trHeight w:val="205"/>
        </w:trPr>
        <w:tc>
          <w:tcPr>
            <w:tcW w:w="426" w:type="dxa"/>
          </w:tcPr>
          <w:p w14:paraId="58B70A02" w14:textId="77777777" w:rsidR="004A7F10" w:rsidRPr="00A556F1" w:rsidRDefault="004A7F10" w:rsidP="0067150E">
            <w:pPr>
              <w:ind w:left="57" w:right="57"/>
              <w:jc w:val="both"/>
              <w:rPr>
                <w:bCs/>
              </w:rPr>
            </w:pPr>
            <w:r w:rsidRPr="00A556F1">
              <w:rPr>
                <w:bCs/>
              </w:rPr>
              <w:t>4.</w:t>
            </w:r>
          </w:p>
        </w:tc>
        <w:tc>
          <w:tcPr>
            <w:tcW w:w="2694" w:type="dxa"/>
          </w:tcPr>
          <w:p w14:paraId="58B70A03" w14:textId="77777777" w:rsidR="004A7F10" w:rsidRPr="00A556F1" w:rsidRDefault="004A7F10" w:rsidP="0067150E">
            <w:pPr>
              <w:ind w:left="57" w:right="57"/>
            </w:pPr>
            <w:r w:rsidRPr="00A556F1">
              <w:t>Cita informācija</w:t>
            </w:r>
          </w:p>
        </w:tc>
        <w:tc>
          <w:tcPr>
            <w:tcW w:w="5952" w:type="dxa"/>
          </w:tcPr>
          <w:p w14:paraId="58B70A04" w14:textId="77777777" w:rsidR="004A7F10" w:rsidRPr="00A556F1" w:rsidRDefault="004A7F10" w:rsidP="0067150E">
            <w:pPr>
              <w:ind w:left="57" w:right="113" w:firstLine="37"/>
              <w:jc w:val="both"/>
            </w:pPr>
            <w:r w:rsidRPr="00A556F1">
              <w:t>Nav.</w:t>
            </w:r>
          </w:p>
        </w:tc>
      </w:tr>
    </w:tbl>
    <w:p w14:paraId="58B70A06" w14:textId="77777777" w:rsidR="004A7F10" w:rsidRPr="00A556F1" w:rsidRDefault="004A7F10" w:rsidP="004A7F10">
      <w:pPr>
        <w:jc w:val="both"/>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26"/>
        <w:gridCol w:w="3051"/>
        <w:gridCol w:w="5595"/>
      </w:tblGrid>
      <w:tr w:rsidR="000506CD" w:rsidRPr="00A556F1" w14:paraId="58B70A08" w14:textId="77777777" w:rsidTr="002858B3">
        <w:trPr>
          <w:trHeight w:val="421"/>
        </w:trPr>
        <w:tc>
          <w:tcPr>
            <w:tcW w:w="9072" w:type="dxa"/>
            <w:gridSpan w:val="3"/>
            <w:vAlign w:val="center"/>
          </w:tcPr>
          <w:p w14:paraId="58B70A07" w14:textId="77777777" w:rsidR="000952B3" w:rsidRPr="00A556F1" w:rsidRDefault="00B650B7" w:rsidP="001351FC">
            <w:pPr>
              <w:pStyle w:val="naisnod"/>
              <w:spacing w:before="0" w:beforeAutospacing="0" w:after="0" w:afterAutospacing="0"/>
              <w:ind w:left="57" w:right="57"/>
              <w:jc w:val="center"/>
            </w:pPr>
            <w:r w:rsidRPr="00A556F1">
              <w:rPr>
                <w:b/>
              </w:rPr>
              <w:t>VII. Tiesību akta projekta izpildes nodrošināšana un tās ietekme uz institūcijām</w:t>
            </w:r>
          </w:p>
        </w:tc>
      </w:tr>
      <w:tr w:rsidR="000506CD" w:rsidRPr="00A556F1" w14:paraId="58B70A0C" w14:textId="77777777" w:rsidTr="002858B3">
        <w:trPr>
          <w:trHeight w:val="553"/>
        </w:trPr>
        <w:tc>
          <w:tcPr>
            <w:tcW w:w="426" w:type="dxa"/>
          </w:tcPr>
          <w:p w14:paraId="58B70A09" w14:textId="77777777" w:rsidR="000952B3" w:rsidRPr="00A556F1" w:rsidRDefault="00B650B7" w:rsidP="001351FC">
            <w:pPr>
              <w:ind w:left="57" w:right="57"/>
              <w:jc w:val="both"/>
              <w:rPr>
                <w:bCs/>
              </w:rPr>
            </w:pPr>
            <w:r w:rsidRPr="00A556F1">
              <w:rPr>
                <w:bCs/>
              </w:rPr>
              <w:t>1.</w:t>
            </w:r>
          </w:p>
        </w:tc>
        <w:tc>
          <w:tcPr>
            <w:tcW w:w="3051" w:type="dxa"/>
          </w:tcPr>
          <w:p w14:paraId="58B70A0A" w14:textId="77777777" w:rsidR="000952B3" w:rsidRPr="00A556F1" w:rsidRDefault="00B650B7" w:rsidP="001351FC">
            <w:pPr>
              <w:ind w:left="57" w:right="57"/>
            </w:pPr>
            <w:r w:rsidRPr="00A556F1">
              <w:t>Projekta izpildē iesaistītās institūcijas</w:t>
            </w:r>
          </w:p>
        </w:tc>
        <w:tc>
          <w:tcPr>
            <w:tcW w:w="5595" w:type="dxa"/>
          </w:tcPr>
          <w:p w14:paraId="58B70A0B" w14:textId="77777777" w:rsidR="000952B3" w:rsidRPr="00A556F1" w:rsidRDefault="007525AE" w:rsidP="00103A8D">
            <w:pPr>
              <w:shd w:val="clear" w:color="auto" w:fill="FFFFFF"/>
              <w:ind w:left="57" w:right="113"/>
              <w:jc w:val="both"/>
            </w:pPr>
            <w:r w:rsidRPr="00A556F1">
              <w:t>Atbildīgās iestādes funkcijas pilda IZM, sadarbības iestādes funkcijas – CFLA.</w:t>
            </w:r>
            <w:r w:rsidR="00103A8D" w:rsidRPr="00A556F1">
              <w:t xml:space="preserve"> 1.1.1.5. pasākuma trešās</w:t>
            </w:r>
            <w:r w:rsidR="00B27CD9" w:rsidRPr="00A556F1">
              <w:t xml:space="preserve"> projektu iesniegumu</w:t>
            </w:r>
            <w:r w:rsidR="00103A8D" w:rsidRPr="00A556F1">
              <w:t xml:space="preserve"> atlases kārtas projektu iesniegumu iesniedzēji – zinātniskās institūcijas un tiešās pārvaldes iestāde.</w:t>
            </w:r>
          </w:p>
        </w:tc>
      </w:tr>
      <w:tr w:rsidR="000506CD" w:rsidRPr="00A556F1" w14:paraId="58B70A11" w14:textId="77777777" w:rsidTr="002858B3">
        <w:trPr>
          <w:trHeight w:val="339"/>
        </w:trPr>
        <w:tc>
          <w:tcPr>
            <w:tcW w:w="426" w:type="dxa"/>
          </w:tcPr>
          <w:p w14:paraId="58B70A0D" w14:textId="77777777" w:rsidR="000952B3" w:rsidRPr="00A556F1" w:rsidRDefault="00B650B7" w:rsidP="001351FC">
            <w:pPr>
              <w:ind w:left="57" w:right="57"/>
              <w:jc w:val="both"/>
              <w:rPr>
                <w:bCs/>
              </w:rPr>
            </w:pPr>
            <w:r w:rsidRPr="00A556F1">
              <w:rPr>
                <w:bCs/>
              </w:rPr>
              <w:t>2.</w:t>
            </w:r>
          </w:p>
        </w:tc>
        <w:tc>
          <w:tcPr>
            <w:tcW w:w="3051" w:type="dxa"/>
          </w:tcPr>
          <w:p w14:paraId="58B70A0E" w14:textId="77777777" w:rsidR="000952B3" w:rsidRPr="00A556F1" w:rsidRDefault="00B650B7" w:rsidP="001351FC">
            <w:pPr>
              <w:ind w:left="57" w:right="57"/>
            </w:pPr>
            <w:r w:rsidRPr="00A556F1">
              <w:t xml:space="preserve">Projekta izpildes ietekme uz pārvaldes funkcijām un institucionālo struktūru. </w:t>
            </w:r>
          </w:p>
          <w:p w14:paraId="58B70A0F" w14:textId="77777777" w:rsidR="000952B3" w:rsidRPr="00A556F1" w:rsidRDefault="00B650B7" w:rsidP="001351FC">
            <w:pPr>
              <w:ind w:left="57" w:right="57"/>
            </w:pPr>
            <w:r w:rsidRPr="00A556F1">
              <w:t xml:space="preserve">Jaunu institūciju izveide, esošu institūciju likvidācija </w:t>
            </w:r>
            <w:r w:rsidRPr="00A556F1">
              <w:lastRenderedPageBreak/>
              <w:t>vai reorganizācija, to ietekme uz institūcijas cilvēkresursiem</w:t>
            </w:r>
          </w:p>
        </w:tc>
        <w:tc>
          <w:tcPr>
            <w:tcW w:w="5595" w:type="dxa"/>
          </w:tcPr>
          <w:p w14:paraId="58B70A10" w14:textId="77777777" w:rsidR="008D738C" w:rsidRPr="00A556F1" w:rsidRDefault="009D5DAC" w:rsidP="00927DFF">
            <w:pPr>
              <w:ind w:left="57"/>
              <w:jc w:val="both"/>
              <w:rPr>
                <w:kern w:val="24"/>
              </w:rPr>
            </w:pPr>
            <w:r w:rsidRPr="00A556F1">
              <w:rPr>
                <w:iCs/>
              </w:rPr>
              <w:lastRenderedPageBreak/>
              <w:t>1.1.1.5.</w:t>
            </w:r>
            <w:r w:rsidR="008E138F" w:rsidRPr="00A556F1">
              <w:rPr>
                <w:iCs/>
              </w:rPr>
              <w:t> </w:t>
            </w:r>
            <w:r w:rsidRPr="00A556F1">
              <w:rPr>
                <w:iCs/>
              </w:rPr>
              <w:t xml:space="preserve">pasākuma noteikumu projektam </w:t>
            </w:r>
            <w:r w:rsidR="004B4AB8" w:rsidRPr="00A556F1">
              <w:t>nav ietekmes uz pārvaldes funkcijām un institucionālo struktūru.</w:t>
            </w:r>
            <w:r w:rsidR="00927DFF" w:rsidRPr="00A556F1">
              <w:t xml:space="preserve"> Tā</w:t>
            </w:r>
            <w:r w:rsidR="00EF3F4F" w:rsidRPr="00A556F1">
              <w:t xml:space="preserve"> izpilde tiks nodrošināta IZM un CFLA </w:t>
            </w:r>
            <w:r w:rsidR="00337CF5" w:rsidRPr="00A556F1">
              <w:t xml:space="preserve">esošo </w:t>
            </w:r>
            <w:r w:rsidR="00EF3F4F" w:rsidRPr="00A556F1">
              <w:t>funkciju ietvaros.</w:t>
            </w:r>
            <w:r w:rsidR="00295304" w:rsidRPr="00A556F1">
              <w:rPr>
                <w:iCs/>
              </w:rPr>
              <w:t xml:space="preserve"> 1.1.1.5. pasākuma </w:t>
            </w:r>
            <w:r w:rsidR="008E138F" w:rsidRPr="00A556F1">
              <w:t>n</w:t>
            </w:r>
            <w:r w:rsidR="004B4AB8" w:rsidRPr="00A556F1">
              <w:t>oteikumu projekt</w:t>
            </w:r>
            <w:r w:rsidR="00927DFF" w:rsidRPr="00A556F1">
              <w:t>a</w:t>
            </w:r>
            <w:r w:rsidR="004B4AB8" w:rsidRPr="00A556F1">
              <w:t xml:space="preserve"> izpildes rezultātā n</w:t>
            </w:r>
            <w:r w:rsidR="00B650B7" w:rsidRPr="00A556F1">
              <w:t xml:space="preserve">av plānota jaunu institūciju izveide, esošu </w:t>
            </w:r>
            <w:r w:rsidR="00B650B7" w:rsidRPr="00A556F1">
              <w:lastRenderedPageBreak/>
              <w:t>ins</w:t>
            </w:r>
            <w:r w:rsidR="007A045B" w:rsidRPr="00A556F1">
              <w:t>titūciju likvidācija vai reorga</w:t>
            </w:r>
            <w:r w:rsidR="00B650B7" w:rsidRPr="00A556F1">
              <w:t>nizācija.</w:t>
            </w:r>
            <w:r w:rsidR="00927DFF" w:rsidRPr="00A556F1">
              <w:rPr>
                <w:iCs/>
              </w:rPr>
              <w:t xml:space="preserve"> </w:t>
            </w:r>
            <w:r w:rsidR="00295304" w:rsidRPr="00A556F1">
              <w:rPr>
                <w:iCs/>
              </w:rPr>
              <w:t xml:space="preserve">1.1.1.5. pasākuma </w:t>
            </w:r>
            <w:r w:rsidR="008E138F" w:rsidRPr="00A556F1">
              <w:rPr>
                <w:iCs/>
              </w:rPr>
              <w:t>noteikumu p</w:t>
            </w:r>
            <w:r w:rsidR="008D738C" w:rsidRPr="00A556F1">
              <w:rPr>
                <w:iCs/>
              </w:rPr>
              <w:t>rojekta izpilde nodrošināma pieejamo cilvēkresursu ietvaros.</w:t>
            </w:r>
          </w:p>
        </w:tc>
      </w:tr>
      <w:tr w:rsidR="000506CD" w:rsidRPr="00A556F1" w14:paraId="58B70A15" w14:textId="77777777" w:rsidTr="002858B3">
        <w:trPr>
          <w:trHeight w:val="476"/>
        </w:trPr>
        <w:tc>
          <w:tcPr>
            <w:tcW w:w="426" w:type="dxa"/>
          </w:tcPr>
          <w:p w14:paraId="58B70A12" w14:textId="77777777" w:rsidR="000952B3" w:rsidRPr="00A556F1" w:rsidRDefault="00B650B7" w:rsidP="001351FC">
            <w:pPr>
              <w:ind w:left="57" w:right="57"/>
              <w:jc w:val="both"/>
              <w:rPr>
                <w:bCs/>
              </w:rPr>
            </w:pPr>
            <w:r w:rsidRPr="00A556F1">
              <w:rPr>
                <w:bCs/>
              </w:rPr>
              <w:lastRenderedPageBreak/>
              <w:t>3.</w:t>
            </w:r>
          </w:p>
        </w:tc>
        <w:tc>
          <w:tcPr>
            <w:tcW w:w="3051" w:type="dxa"/>
          </w:tcPr>
          <w:p w14:paraId="58B70A13" w14:textId="77777777" w:rsidR="000952B3" w:rsidRPr="00A556F1" w:rsidRDefault="00B650B7" w:rsidP="001351FC">
            <w:pPr>
              <w:ind w:left="57" w:right="57"/>
            </w:pPr>
            <w:r w:rsidRPr="00A556F1">
              <w:t>Cita informācija</w:t>
            </w:r>
          </w:p>
        </w:tc>
        <w:tc>
          <w:tcPr>
            <w:tcW w:w="5595" w:type="dxa"/>
          </w:tcPr>
          <w:p w14:paraId="58B70A14" w14:textId="77777777" w:rsidR="000952B3" w:rsidRPr="00A556F1" w:rsidRDefault="006F24D8" w:rsidP="00734009">
            <w:pPr>
              <w:shd w:val="clear" w:color="auto" w:fill="FFFFFF"/>
              <w:ind w:right="113"/>
              <w:jc w:val="both"/>
            </w:pPr>
            <w:r w:rsidRPr="00A556F1">
              <w:t>Nav.</w:t>
            </w:r>
          </w:p>
        </w:tc>
      </w:tr>
    </w:tbl>
    <w:p w14:paraId="58B70A16" w14:textId="77777777" w:rsidR="007A045B" w:rsidRPr="00A556F1" w:rsidRDefault="007A045B" w:rsidP="001351FC">
      <w:pPr>
        <w:rPr>
          <w:b/>
        </w:rPr>
      </w:pPr>
    </w:p>
    <w:p w14:paraId="58B70A17" w14:textId="77777777" w:rsidR="00AF0818" w:rsidRPr="00A556F1" w:rsidRDefault="00AF0818" w:rsidP="001351FC"/>
    <w:tbl>
      <w:tblPr>
        <w:tblW w:w="0" w:type="auto"/>
        <w:tblLook w:val="04A0" w:firstRow="1" w:lastRow="0" w:firstColumn="1" w:lastColumn="0" w:noHBand="0" w:noVBand="1"/>
      </w:tblPr>
      <w:tblGrid>
        <w:gridCol w:w="5767"/>
        <w:gridCol w:w="3304"/>
      </w:tblGrid>
      <w:tr w:rsidR="00F5134A" w:rsidRPr="00A556F1" w14:paraId="0C18B30C" w14:textId="77777777" w:rsidTr="00BC456E">
        <w:tc>
          <w:tcPr>
            <w:tcW w:w="5767" w:type="dxa"/>
          </w:tcPr>
          <w:p w14:paraId="5FB343C9" w14:textId="4F23E0AE" w:rsidR="002017BA" w:rsidRPr="00A556F1" w:rsidRDefault="00F5134A" w:rsidP="00BC456E">
            <w:pPr>
              <w:tabs>
                <w:tab w:val="left" w:pos="4320"/>
              </w:tabs>
            </w:pPr>
            <w:r w:rsidRPr="00A556F1">
              <w:t xml:space="preserve">Izglītības un </w:t>
            </w:r>
            <w:r w:rsidR="00054C52">
              <w:t>zinātnes ministre</w:t>
            </w:r>
          </w:p>
        </w:tc>
        <w:tc>
          <w:tcPr>
            <w:tcW w:w="3304" w:type="dxa"/>
          </w:tcPr>
          <w:p w14:paraId="7B3C5EB1" w14:textId="41187500" w:rsidR="00F5134A" w:rsidRDefault="00054C52" w:rsidP="00054C52">
            <w:pPr>
              <w:tabs>
                <w:tab w:val="left" w:pos="1496"/>
              </w:tabs>
              <w:ind w:firstLine="504"/>
              <w:jc w:val="center"/>
            </w:pPr>
            <w:r>
              <w:t xml:space="preserve">      I.Šuplinska</w:t>
            </w:r>
            <w:r w:rsidR="00F5134A" w:rsidRPr="00A556F1">
              <w:t xml:space="preserve">     </w:t>
            </w:r>
          </w:p>
          <w:p w14:paraId="5609A2FC" w14:textId="554BC0AC" w:rsidR="00F5134A" w:rsidRPr="00A556F1" w:rsidRDefault="00F5134A" w:rsidP="00BC456E">
            <w:pPr>
              <w:tabs>
                <w:tab w:val="left" w:pos="1496"/>
              </w:tabs>
              <w:ind w:firstLine="504"/>
              <w:jc w:val="center"/>
            </w:pPr>
            <w:r w:rsidRPr="00A556F1">
              <w:t xml:space="preserve"> </w:t>
            </w:r>
          </w:p>
          <w:p w14:paraId="4ABE92F6" w14:textId="77777777" w:rsidR="00F5134A" w:rsidRPr="00A556F1" w:rsidRDefault="00F5134A" w:rsidP="00BC456E">
            <w:pPr>
              <w:tabs>
                <w:tab w:val="left" w:pos="4320"/>
              </w:tabs>
              <w:jc w:val="right"/>
            </w:pPr>
          </w:p>
        </w:tc>
      </w:tr>
      <w:tr w:rsidR="00F5134A" w:rsidRPr="00A556F1" w14:paraId="11B059C2" w14:textId="77777777" w:rsidTr="00BC456E">
        <w:tc>
          <w:tcPr>
            <w:tcW w:w="5767" w:type="dxa"/>
          </w:tcPr>
          <w:p w14:paraId="2A99985F" w14:textId="77777777" w:rsidR="00F5134A" w:rsidRPr="00A556F1" w:rsidRDefault="00F5134A" w:rsidP="00BC456E">
            <w:pPr>
              <w:pStyle w:val="NormalWeb"/>
              <w:spacing w:before="0" w:beforeAutospacing="0" w:after="0" w:afterAutospacing="0"/>
            </w:pPr>
          </w:p>
          <w:p w14:paraId="61773326" w14:textId="77777777" w:rsidR="00F5134A" w:rsidRPr="00A556F1" w:rsidRDefault="00F5134A" w:rsidP="00BC456E">
            <w:pPr>
              <w:pStyle w:val="NormalWeb"/>
              <w:spacing w:before="0" w:beforeAutospacing="0" w:after="0" w:afterAutospacing="0"/>
            </w:pPr>
            <w:r w:rsidRPr="00A556F1">
              <w:t>Vizē:</w:t>
            </w:r>
            <w:r w:rsidRPr="00A556F1">
              <w:tab/>
            </w:r>
          </w:p>
        </w:tc>
        <w:tc>
          <w:tcPr>
            <w:tcW w:w="3304" w:type="dxa"/>
          </w:tcPr>
          <w:p w14:paraId="34F23350" w14:textId="77777777" w:rsidR="00F5134A" w:rsidRPr="00A556F1" w:rsidRDefault="00F5134A" w:rsidP="00BC456E">
            <w:pPr>
              <w:tabs>
                <w:tab w:val="left" w:pos="4320"/>
              </w:tabs>
              <w:jc w:val="right"/>
            </w:pPr>
          </w:p>
          <w:p w14:paraId="4AA75D3A" w14:textId="77777777" w:rsidR="00F5134A" w:rsidRPr="00A556F1" w:rsidRDefault="00F5134A" w:rsidP="00BC456E">
            <w:pPr>
              <w:tabs>
                <w:tab w:val="left" w:pos="4320"/>
              </w:tabs>
              <w:jc w:val="center"/>
            </w:pPr>
          </w:p>
        </w:tc>
      </w:tr>
    </w:tbl>
    <w:p w14:paraId="3570193B" w14:textId="77777777" w:rsidR="00F5134A" w:rsidRPr="008A2DB9" w:rsidRDefault="00F5134A" w:rsidP="00F5134A">
      <w:pPr>
        <w:tabs>
          <w:tab w:val="left" w:pos="4320"/>
        </w:tabs>
        <w:ind w:left="142"/>
      </w:pPr>
      <w:r w:rsidRPr="008A2DB9">
        <w:t xml:space="preserve">Valsts sekretāra vietniece – </w:t>
      </w:r>
    </w:p>
    <w:p w14:paraId="2884B74A" w14:textId="2579663F" w:rsidR="00F5134A" w:rsidRPr="008A2DB9" w:rsidRDefault="00EF38D4" w:rsidP="00F5134A">
      <w:pPr>
        <w:tabs>
          <w:tab w:val="left" w:pos="4320"/>
        </w:tabs>
        <w:ind w:left="142"/>
      </w:pPr>
      <w:r>
        <w:t>Struktūrfondu</w:t>
      </w:r>
      <w:r w:rsidR="00F5134A" w:rsidRPr="008A2DB9">
        <w:t xml:space="preserve"> departamenta direktore,</w:t>
      </w:r>
    </w:p>
    <w:p w14:paraId="067856F8" w14:textId="510CC0FD" w:rsidR="00F5134A" w:rsidRPr="008A2DB9" w:rsidRDefault="00F5134A" w:rsidP="00F5134A">
      <w:pPr>
        <w:tabs>
          <w:tab w:val="left" w:pos="4320"/>
        </w:tabs>
        <w:ind w:left="142"/>
      </w:pPr>
      <w:r w:rsidRPr="008A2DB9">
        <w:t>valsts sekretāra pienākumu izpildītāja</w:t>
      </w:r>
      <w:r w:rsidRPr="008A2DB9">
        <w:tab/>
      </w:r>
      <w:r w:rsidRPr="008A2DB9">
        <w:tab/>
      </w:r>
      <w:r w:rsidRPr="008A2DB9">
        <w:tab/>
      </w:r>
      <w:r w:rsidRPr="008A2DB9">
        <w:tab/>
      </w:r>
      <w:r w:rsidRPr="008A2DB9">
        <w:tab/>
      </w:r>
      <w:r>
        <w:t xml:space="preserve">  </w:t>
      </w:r>
      <w:r w:rsidR="00EF38D4">
        <w:t>S.Šmīdlere</w:t>
      </w:r>
      <w:bookmarkStart w:id="3" w:name="_GoBack"/>
      <w:bookmarkEnd w:id="3"/>
    </w:p>
    <w:p w14:paraId="58B70A24" w14:textId="77777777" w:rsidR="001151C4" w:rsidRPr="00A556F1" w:rsidRDefault="001151C4" w:rsidP="00F3153D">
      <w:pPr>
        <w:tabs>
          <w:tab w:val="left" w:pos="2340"/>
          <w:tab w:val="center" w:pos="4153"/>
          <w:tab w:val="right" w:pos="8306"/>
        </w:tabs>
        <w:rPr>
          <w:rFonts w:eastAsia="Times New Roman"/>
          <w:sz w:val="20"/>
          <w:szCs w:val="20"/>
        </w:rPr>
      </w:pPr>
    </w:p>
    <w:p w14:paraId="58B70A25" w14:textId="77777777" w:rsidR="001151C4" w:rsidRDefault="001151C4" w:rsidP="00F3153D">
      <w:pPr>
        <w:tabs>
          <w:tab w:val="left" w:pos="2340"/>
          <w:tab w:val="center" w:pos="4153"/>
          <w:tab w:val="right" w:pos="8306"/>
        </w:tabs>
        <w:rPr>
          <w:rFonts w:eastAsia="Times New Roman"/>
          <w:sz w:val="20"/>
          <w:szCs w:val="20"/>
        </w:rPr>
      </w:pPr>
    </w:p>
    <w:p w14:paraId="5425D8C0" w14:textId="77777777" w:rsidR="00F5134A" w:rsidRDefault="00F5134A" w:rsidP="00F3153D">
      <w:pPr>
        <w:tabs>
          <w:tab w:val="left" w:pos="2340"/>
          <w:tab w:val="center" w:pos="4153"/>
          <w:tab w:val="right" w:pos="8306"/>
        </w:tabs>
        <w:rPr>
          <w:rFonts w:eastAsia="Times New Roman"/>
          <w:sz w:val="20"/>
          <w:szCs w:val="20"/>
        </w:rPr>
      </w:pPr>
    </w:p>
    <w:p w14:paraId="4AF91C3C" w14:textId="77777777" w:rsidR="00F5134A" w:rsidRDefault="00F5134A" w:rsidP="00F3153D">
      <w:pPr>
        <w:tabs>
          <w:tab w:val="left" w:pos="2340"/>
          <w:tab w:val="center" w:pos="4153"/>
          <w:tab w:val="right" w:pos="8306"/>
        </w:tabs>
        <w:rPr>
          <w:rFonts w:eastAsia="Times New Roman"/>
          <w:sz w:val="20"/>
          <w:szCs w:val="20"/>
        </w:rPr>
      </w:pPr>
    </w:p>
    <w:p w14:paraId="51BD0582" w14:textId="77777777" w:rsidR="00F5134A" w:rsidRDefault="00F5134A" w:rsidP="00F3153D">
      <w:pPr>
        <w:tabs>
          <w:tab w:val="left" w:pos="2340"/>
          <w:tab w:val="center" w:pos="4153"/>
          <w:tab w:val="right" w:pos="8306"/>
        </w:tabs>
        <w:rPr>
          <w:rFonts w:eastAsia="Times New Roman"/>
          <w:sz w:val="20"/>
          <w:szCs w:val="20"/>
        </w:rPr>
      </w:pPr>
    </w:p>
    <w:p w14:paraId="5B8932A7" w14:textId="77777777" w:rsidR="00F5134A" w:rsidRDefault="00F5134A" w:rsidP="00F3153D">
      <w:pPr>
        <w:tabs>
          <w:tab w:val="left" w:pos="2340"/>
          <w:tab w:val="center" w:pos="4153"/>
          <w:tab w:val="right" w:pos="8306"/>
        </w:tabs>
        <w:rPr>
          <w:rFonts w:eastAsia="Times New Roman"/>
          <w:sz w:val="20"/>
          <w:szCs w:val="20"/>
        </w:rPr>
      </w:pPr>
    </w:p>
    <w:p w14:paraId="3969161F" w14:textId="77777777" w:rsidR="00F5134A" w:rsidRDefault="00F5134A" w:rsidP="00F3153D">
      <w:pPr>
        <w:tabs>
          <w:tab w:val="left" w:pos="2340"/>
          <w:tab w:val="center" w:pos="4153"/>
          <w:tab w:val="right" w:pos="8306"/>
        </w:tabs>
        <w:rPr>
          <w:rFonts w:eastAsia="Times New Roman"/>
          <w:sz w:val="20"/>
          <w:szCs w:val="20"/>
        </w:rPr>
      </w:pPr>
    </w:p>
    <w:p w14:paraId="0F827ADB" w14:textId="77777777" w:rsidR="00F5134A" w:rsidRDefault="00F5134A" w:rsidP="00F3153D">
      <w:pPr>
        <w:tabs>
          <w:tab w:val="left" w:pos="2340"/>
          <w:tab w:val="center" w:pos="4153"/>
          <w:tab w:val="right" w:pos="8306"/>
        </w:tabs>
        <w:rPr>
          <w:rFonts w:eastAsia="Times New Roman"/>
          <w:sz w:val="20"/>
          <w:szCs w:val="20"/>
        </w:rPr>
      </w:pPr>
    </w:p>
    <w:p w14:paraId="1BAFE400" w14:textId="77777777" w:rsidR="00F5134A" w:rsidRDefault="00F5134A" w:rsidP="00F3153D">
      <w:pPr>
        <w:tabs>
          <w:tab w:val="left" w:pos="2340"/>
          <w:tab w:val="center" w:pos="4153"/>
          <w:tab w:val="right" w:pos="8306"/>
        </w:tabs>
        <w:rPr>
          <w:rFonts w:eastAsia="Times New Roman"/>
          <w:sz w:val="20"/>
          <w:szCs w:val="20"/>
        </w:rPr>
      </w:pPr>
    </w:p>
    <w:p w14:paraId="45CA8F91" w14:textId="77777777" w:rsidR="00F5134A" w:rsidRDefault="00F5134A" w:rsidP="00F3153D">
      <w:pPr>
        <w:tabs>
          <w:tab w:val="left" w:pos="2340"/>
          <w:tab w:val="center" w:pos="4153"/>
          <w:tab w:val="right" w:pos="8306"/>
        </w:tabs>
        <w:rPr>
          <w:rFonts w:eastAsia="Times New Roman"/>
          <w:sz w:val="20"/>
          <w:szCs w:val="20"/>
        </w:rPr>
      </w:pPr>
    </w:p>
    <w:p w14:paraId="06F29707" w14:textId="77777777" w:rsidR="00F5134A" w:rsidRDefault="00F5134A" w:rsidP="00F3153D">
      <w:pPr>
        <w:tabs>
          <w:tab w:val="left" w:pos="2340"/>
          <w:tab w:val="center" w:pos="4153"/>
          <w:tab w:val="right" w:pos="8306"/>
        </w:tabs>
        <w:rPr>
          <w:rFonts w:eastAsia="Times New Roman"/>
          <w:sz w:val="20"/>
          <w:szCs w:val="20"/>
        </w:rPr>
      </w:pPr>
    </w:p>
    <w:p w14:paraId="2398A9DB" w14:textId="77777777" w:rsidR="00F5134A" w:rsidRDefault="00F5134A" w:rsidP="00F3153D">
      <w:pPr>
        <w:tabs>
          <w:tab w:val="left" w:pos="2340"/>
          <w:tab w:val="center" w:pos="4153"/>
          <w:tab w:val="right" w:pos="8306"/>
        </w:tabs>
        <w:rPr>
          <w:rFonts w:eastAsia="Times New Roman"/>
          <w:sz w:val="20"/>
          <w:szCs w:val="20"/>
        </w:rPr>
      </w:pPr>
    </w:p>
    <w:p w14:paraId="32B906E2" w14:textId="77777777" w:rsidR="00F5134A" w:rsidRPr="00A556F1" w:rsidRDefault="00F5134A" w:rsidP="00F3153D">
      <w:pPr>
        <w:tabs>
          <w:tab w:val="left" w:pos="2340"/>
          <w:tab w:val="center" w:pos="4153"/>
          <w:tab w:val="right" w:pos="8306"/>
        </w:tabs>
        <w:rPr>
          <w:rFonts w:eastAsia="Times New Roman"/>
          <w:sz w:val="20"/>
          <w:szCs w:val="20"/>
        </w:rPr>
      </w:pPr>
    </w:p>
    <w:p w14:paraId="58B70A26" w14:textId="77777777" w:rsidR="001151C4" w:rsidRPr="00A556F1" w:rsidRDefault="001151C4" w:rsidP="00F3153D">
      <w:pPr>
        <w:tabs>
          <w:tab w:val="left" w:pos="2340"/>
          <w:tab w:val="center" w:pos="4153"/>
          <w:tab w:val="right" w:pos="8306"/>
        </w:tabs>
        <w:rPr>
          <w:rFonts w:eastAsia="Times New Roman"/>
          <w:sz w:val="20"/>
          <w:szCs w:val="20"/>
        </w:rPr>
      </w:pPr>
    </w:p>
    <w:p w14:paraId="58B70A27" w14:textId="77777777" w:rsidR="003676E2" w:rsidRPr="00A556F1" w:rsidRDefault="003676E2" w:rsidP="00F3153D">
      <w:pPr>
        <w:rPr>
          <w:rFonts w:eastAsia="Times New Roman"/>
          <w:sz w:val="20"/>
          <w:szCs w:val="20"/>
          <w:u w:val="single"/>
        </w:rPr>
      </w:pPr>
    </w:p>
    <w:p w14:paraId="58B70A28" w14:textId="77777777" w:rsidR="003676E2" w:rsidRPr="00A556F1" w:rsidRDefault="003B6A5E" w:rsidP="003676E2">
      <w:pPr>
        <w:rPr>
          <w:rFonts w:eastAsiaTheme="minorHAnsi"/>
          <w:sz w:val="20"/>
          <w:szCs w:val="22"/>
          <w:lang w:eastAsia="en-US"/>
        </w:rPr>
      </w:pPr>
      <w:r w:rsidRPr="00A556F1">
        <w:rPr>
          <w:sz w:val="20"/>
        </w:rPr>
        <w:t>Usāre 67047818</w:t>
      </w:r>
    </w:p>
    <w:p w14:paraId="58B70A2C" w14:textId="7B7DADD6" w:rsidR="00FA19C0" w:rsidRDefault="001F4F0B" w:rsidP="003676E2">
      <w:pPr>
        <w:rPr>
          <w:rStyle w:val="Hyperlink"/>
          <w:color w:val="auto"/>
          <w:sz w:val="20"/>
          <w:u w:val="none"/>
        </w:rPr>
      </w:pPr>
      <w:hyperlink r:id="rId14" w:history="1">
        <w:r w:rsidR="008C6BD8" w:rsidRPr="0054397A">
          <w:rPr>
            <w:rStyle w:val="Hyperlink"/>
            <w:sz w:val="20"/>
          </w:rPr>
          <w:t>elina.usare@izm.gov.lv</w:t>
        </w:r>
      </w:hyperlink>
    </w:p>
    <w:p w14:paraId="19D361A5" w14:textId="77777777" w:rsidR="008C6BD8" w:rsidRDefault="008C6BD8" w:rsidP="003676E2">
      <w:pPr>
        <w:rPr>
          <w:rStyle w:val="Hyperlink"/>
          <w:color w:val="auto"/>
          <w:sz w:val="20"/>
          <w:u w:val="none"/>
        </w:rPr>
      </w:pPr>
    </w:p>
    <w:p w14:paraId="1F82F18A" w14:textId="16E9D9F7" w:rsidR="008C6BD8" w:rsidRDefault="008C6BD8" w:rsidP="003676E2">
      <w:pPr>
        <w:rPr>
          <w:rStyle w:val="Hyperlink"/>
          <w:color w:val="auto"/>
          <w:sz w:val="20"/>
          <w:u w:val="none"/>
        </w:rPr>
      </w:pPr>
      <w:r>
        <w:rPr>
          <w:rStyle w:val="Hyperlink"/>
          <w:color w:val="auto"/>
          <w:sz w:val="20"/>
          <w:u w:val="none"/>
        </w:rPr>
        <w:t>Griķe 67047861</w:t>
      </w:r>
    </w:p>
    <w:p w14:paraId="10468F31" w14:textId="3ABBB0A7" w:rsidR="00156BAF" w:rsidRPr="00A556F1" w:rsidRDefault="001F4F0B" w:rsidP="003676E2">
      <w:pPr>
        <w:rPr>
          <w:sz w:val="20"/>
        </w:rPr>
      </w:pPr>
      <w:hyperlink r:id="rId15" w:history="1">
        <w:r w:rsidR="00851EBF" w:rsidRPr="003E41A3">
          <w:rPr>
            <w:rStyle w:val="Hyperlink"/>
            <w:sz w:val="20"/>
          </w:rPr>
          <w:t>ieva.grike@izm.gov.lv</w:t>
        </w:r>
      </w:hyperlink>
    </w:p>
    <w:sectPr w:rsidR="00156BAF" w:rsidRPr="00A556F1" w:rsidSect="002858B3">
      <w:headerReference w:type="default" r:id="rId16"/>
      <w:footerReference w:type="default" r:id="rId17"/>
      <w:footerReference w:type="first" r:id="rId18"/>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17F553" w14:textId="77777777" w:rsidR="001F4F0B" w:rsidRDefault="001F4F0B">
      <w:r>
        <w:separator/>
      </w:r>
    </w:p>
  </w:endnote>
  <w:endnote w:type="continuationSeparator" w:id="0">
    <w:p w14:paraId="70A7ABFA" w14:textId="77777777" w:rsidR="001F4F0B" w:rsidRDefault="001F4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okChampa">
    <w:altName w:val="Arial Unicode MS"/>
    <w:charset w:val="00"/>
    <w:family w:val="swiss"/>
    <w:pitch w:val="variable"/>
    <w:sig w:usb0="00000000"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B70A33" w14:textId="41990C86" w:rsidR="00A47A37" w:rsidRDefault="007F7F62" w:rsidP="00B94A93">
    <w:pPr>
      <w:pStyle w:val="Footer"/>
      <w:tabs>
        <w:tab w:val="clear" w:pos="8306"/>
      </w:tabs>
      <w:jc w:val="both"/>
    </w:pPr>
    <w:r>
      <w:rPr>
        <w:noProof/>
        <w:sz w:val="20"/>
        <w:szCs w:val="20"/>
      </w:rPr>
      <w:t>IZMAn</w:t>
    </w:r>
    <w:r w:rsidR="00F5134A">
      <w:rPr>
        <w:noProof/>
        <w:sz w:val="20"/>
        <w:szCs w:val="20"/>
      </w:rPr>
      <w:t>ot_26</w:t>
    </w:r>
    <w:r w:rsidR="00836AEF">
      <w:rPr>
        <w:noProof/>
        <w:sz w:val="20"/>
        <w:szCs w:val="20"/>
      </w:rPr>
      <w:t>07</w:t>
    </w:r>
    <w:r w:rsidR="005D3A62">
      <w:rPr>
        <w:noProof/>
        <w:sz w:val="20"/>
        <w:szCs w:val="20"/>
      </w:rPr>
      <w:t>19_groz1115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B70A34" w14:textId="4BC8099E" w:rsidR="00A47A37" w:rsidRPr="00521075" w:rsidRDefault="00F5134A" w:rsidP="00521075">
    <w:pPr>
      <w:pStyle w:val="Footer"/>
      <w:tabs>
        <w:tab w:val="clear" w:pos="8306"/>
      </w:tabs>
      <w:jc w:val="both"/>
      <w:rPr>
        <w:noProof/>
        <w:sz w:val="20"/>
        <w:szCs w:val="20"/>
      </w:rPr>
    </w:pPr>
    <w:r>
      <w:rPr>
        <w:noProof/>
        <w:sz w:val="20"/>
        <w:szCs w:val="20"/>
      </w:rPr>
      <w:t>IZMAnot_26</w:t>
    </w:r>
    <w:r w:rsidR="00836AEF">
      <w:rPr>
        <w:noProof/>
        <w:sz w:val="20"/>
        <w:szCs w:val="20"/>
      </w:rPr>
      <w:t>07</w:t>
    </w:r>
    <w:r w:rsidR="005D3A62">
      <w:rPr>
        <w:noProof/>
        <w:sz w:val="20"/>
        <w:szCs w:val="20"/>
      </w:rPr>
      <w:t>19_groz1115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4F1BA3" w14:textId="77777777" w:rsidR="001F4F0B" w:rsidRDefault="001F4F0B">
      <w:r>
        <w:separator/>
      </w:r>
    </w:p>
  </w:footnote>
  <w:footnote w:type="continuationSeparator" w:id="0">
    <w:p w14:paraId="77803EAF" w14:textId="77777777" w:rsidR="001F4F0B" w:rsidRDefault="001F4F0B">
      <w:r>
        <w:continuationSeparator/>
      </w:r>
    </w:p>
  </w:footnote>
  <w:footnote w:id="1">
    <w:p w14:paraId="58B70A35" w14:textId="7EAD17DF" w:rsidR="00A47A37" w:rsidRPr="00151E21" w:rsidRDefault="00A47A37">
      <w:pPr>
        <w:pStyle w:val="FootnoteText"/>
      </w:pPr>
      <w:r w:rsidRPr="00151E21">
        <w:rPr>
          <w:rStyle w:val="FootnoteReference"/>
        </w:rPr>
        <w:footnoteRef/>
      </w:r>
      <w:r w:rsidRPr="00151E21">
        <w:t xml:space="preserve"> Informācija pieejama Centrālās finanšu un līgumu aģentūras tīmekļvietnē: </w:t>
      </w:r>
      <w:hyperlink r:id="rId1" w:history="1">
        <w:r w:rsidRPr="00151E21">
          <w:rPr>
            <w:rStyle w:val="Hyperlink"/>
            <w:color w:val="auto"/>
          </w:rPr>
          <w:t>https://cfla.gov.lv/lv/es-fondi-2014-2020/izsludinatas-atlases/1-1-1-5-k-3</w:t>
        </w:r>
      </w:hyperlink>
      <w:r w:rsidR="00280576" w:rsidRPr="001F5636">
        <w:rPr>
          <w:rStyle w:val="Hyperlink"/>
          <w:color w:val="auto"/>
          <w:u w:val="none"/>
        </w:rPr>
        <w:t xml:space="preserve"> </w:t>
      </w:r>
      <w:r w:rsidR="001F5636">
        <w:rPr>
          <w:rStyle w:val="Hyperlink"/>
          <w:color w:val="auto"/>
          <w:u w:val="none"/>
        </w:rPr>
        <w:t>(</w:t>
      </w:r>
      <w:r w:rsidR="002A5B86">
        <w:rPr>
          <w:rStyle w:val="Hyperlink"/>
          <w:color w:val="auto"/>
          <w:u w:val="none"/>
        </w:rPr>
        <w:t>dati uz 04.06</w:t>
      </w:r>
      <w:r w:rsidR="00280576" w:rsidRPr="001F5636">
        <w:rPr>
          <w:rStyle w:val="Hyperlink"/>
          <w:color w:val="auto"/>
          <w:u w:val="none"/>
        </w:rPr>
        <w:t>.2019.</w:t>
      </w:r>
      <w:r w:rsidR="001F5636">
        <w:rPr>
          <w:rStyle w:val="Hyperlink"/>
          <w:color w:val="auto"/>
          <w:u w:val="none"/>
        </w:rPr>
        <w:t>).</w:t>
      </w:r>
      <w:r w:rsidRPr="00151E21">
        <w:t xml:space="preserve"> </w:t>
      </w:r>
    </w:p>
  </w:footnote>
  <w:footnote w:id="2">
    <w:p w14:paraId="154713CD" w14:textId="77777777" w:rsidR="009130D5" w:rsidRDefault="009130D5" w:rsidP="00A43C20">
      <w:pPr>
        <w:pStyle w:val="FootnoteText"/>
      </w:pPr>
      <w:r>
        <w:rPr>
          <w:rStyle w:val="FootnoteReference"/>
        </w:rPr>
        <w:footnoteRef/>
      </w:r>
      <w:r>
        <w:t xml:space="preserve"> </w:t>
      </w:r>
      <w:hyperlink r:id="rId2" w:history="1">
        <w:r w:rsidRPr="0067150E">
          <w:rPr>
            <w:rStyle w:val="Hyperlink"/>
            <w:sz w:val="18"/>
            <w:szCs w:val="18"/>
          </w:rPr>
          <w:t>http://tap.mk.gov.lv/lv/mk/tap/?pid=40414024</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8740153"/>
      <w:docPartObj>
        <w:docPartGallery w:val="Page Numbers (Top of Page)"/>
        <w:docPartUnique/>
      </w:docPartObj>
    </w:sdtPr>
    <w:sdtEndPr>
      <w:rPr>
        <w:noProof/>
      </w:rPr>
    </w:sdtEndPr>
    <w:sdtContent>
      <w:p w14:paraId="58B70A31" w14:textId="77777777" w:rsidR="00A47A37" w:rsidRDefault="00A47A37">
        <w:pPr>
          <w:pStyle w:val="Header"/>
          <w:jc w:val="center"/>
        </w:pPr>
        <w:r>
          <w:fldChar w:fldCharType="begin"/>
        </w:r>
        <w:r>
          <w:instrText xml:space="preserve"> PAGE   \* MERGEFORMAT </w:instrText>
        </w:r>
        <w:r>
          <w:fldChar w:fldCharType="separate"/>
        </w:r>
        <w:r w:rsidR="00EF38D4">
          <w:rPr>
            <w:noProof/>
          </w:rPr>
          <w:t>14</w:t>
        </w:r>
        <w:r>
          <w:rPr>
            <w:noProof/>
          </w:rPr>
          <w:fldChar w:fldCharType="end"/>
        </w:r>
      </w:p>
    </w:sdtContent>
  </w:sdt>
  <w:p w14:paraId="58B70A32" w14:textId="77777777" w:rsidR="00A47A37" w:rsidRDefault="00A47A37" w:rsidP="005210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E00A7"/>
    <w:multiLevelType w:val="hybridMultilevel"/>
    <w:tmpl w:val="B7FCBE90"/>
    <w:lvl w:ilvl="0" w:tplc="947E2E76">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0F621C"/>
    <w:multiLevelType w:val="hybridMultilevel"/>
    <w:tmpl w:val="98D49D5C"/>
    <w:lvl w:ilvl="0" w:tplc="539AB96E">
      <w:start w:val="1"/>
      <w:numFmt w:val="bullet"/>
      <w:lvlText w:val=""/>
      <w:lvlJc w:val="left"/>
      <w:pPr>
        <w:ind w:left="754" w:hanging="360"/>
      </w:pPr>
      <w:rPr>
        <w:rFonts w:ascii="Symbol" w:hAnsi="Symbol" w:hint="default"/>
      </w:rPr>
    </w:lvl>
    <w:lvl w:ilvl="1" w:tplc="6198616E" w:tentative="1">
      <w:start w:val="1"/>
      <w:numFmt w:val="bullet"/>
      <w:lvlText w:val="o"/>
      <w:lvlJc w:val="left"/>
      <w:pPr>
        <w:ind w:left="1474" w:hanging="360"/>
      </w:pPr>
      <w:rPr>
        <w:rFonts w:ascii="Courier New" w:hAnsi="Courier New" w:cs="Courier New" w:hint="default"/>
      </w:rPr>
    </w:lvl>
    <w:lvl w:ilvl="2" w:tplc="3014D0EA" w:tentative="1">
      <w:start w:val="1"/>
      <w:numFmt w:val="bullet"/>
      <w:lvlText w:val=""/>
      <w:lvlJc w:val="left"/>
      <w:pPr>
        <w:ind w:left="2194" w:hanging="360"/>
      </w:pPr>
      <w:rPr>
        <w:rFonts w:ascii="Wingdings" w:hAnsi="Wingdings" w:hint="default"/>
      </w:rPr>
    </w:lvl>
    <w:lvl w:ilvl="3" w:tplc="38EE95B8" w:tentative="1">
      <w:start w:val="1"/>
      <w:numFmt w:val="bullet"/>
      <w:lvlText w:val=""/>
      <w:lvlJc w:val="left"/>
      <w:pPr>
        <w:ind w:left="2914" w:hanging="360"/>
      </w:pPr>
      <w:rPr>
        <w:rFonts w:ascii="Symbol" w:hAnsi="Symbol" w:hint="default"/>
      </w:rPr>
    </w:lvl>
    <w:lvl w:ilvl="4" w:tplc="598EFF7A" w:tentative="1">
      <w:start w:val="1"/>
      <w:numFmt w:val="bullet"/>
      <w:lvlText w:val="o"/>
      <w:lvlJc w:val="left"/>
      <w:pPr>
        <w:ind w:left="3634" w:hanging="360"/>
      </w:pPr>
      <w:rPr>
        <w:rFonts w:ascii="Courier New" w:hAnsi="Courier New" w:cs="Courier New" w:hint="default"/>
      </w:rPr>
    </w:lvl>
    <w:lvl w:ilvl="5" w:tplc="B40827D0" w:tentative="1">
      <w:start w:val="1"/>
      <w:numFmt w:val="bullet"/>
      <w:lvlText w:val=""/>
      <w:lvlJc w:val="left"/>
      <w:pPr>
        <w:ind w:left="4354" w:hanging="360"/>
      </w:pPr>
      <w:rPr>
        <w:rFonts w:ascii="Wingdings" w:hAnsi="Wingdings" w:hint="default"/>
      </w:rPr>
    </w:lvl>
    <w:lvl w:ilvl="6" w:tplc="99840C46" w:tentative="1">
      <w:start w:val="1"/>
      <w:numFmt w:val="bullet"/>
      <w:lvlText w:val=""/>
      <w:lvlJc w:val="left"/>
      <w:pPr>
        <w:ind w:left="5074" w:hanging="360"/>
      </w:pPr>
      <w:rPr>
        <w:rFonts w:ascii="Symbol" w:hAnsi="Symbol" w:hint="default"/>
      </w:rPr>
    </w:lvl>
    <w:lvl w:ilvl="7" w:tplc="48F68A4C" w:tentative="1">
      <w:start w:val="1"/>
      <w:numFmt w:val="bullet"/>
      <w:lvlText w:val="o"/>
      <w:lvlJc w:val="left"/>
      <w:pPr>
        <w:ind w:left="5794" w:hanging="360"/>
      </w:pPr>
      <w:rPr>
        <w:rFonts w:ascii="Courier New" w:hAnsi="Courier New" w:cs="Courier New" w:hint="default"/>
      </w:rPr>
    </w:lvl>
    <w:lvl w:ilvl="8" w:tplc="0284EFD8" w:tentative="1">
      <w:start w:val="1"/>
      <w:numFmt w:val="bullet"/>
      <w:lvlText w:val=""/>
      <w:lvlJc w:val="left"/>
      <w:pPr>
        <w:ind w:left="6514" w:hanging="360"/>
      </w:pPr>
      <w:rPr>
        <w:rFonts w:ascii="Wingdings" w:hAnsi="Wingdings" w:hint="default"/>
      </w:rPr>
    </w:lvl>
  </w:abstractNum>
  <w:abstractNum w:abstractNumId="2">
    <w:nsid w:val="0D133711"/>
    <w:multiLevelType w:val="hybridMultilevel"/>
    <w:tmpl w:val="6EE004F2"/>
    <w:lvl w:ilvl="0" w:tplc="C152F7CE">
      <w:start w:val="1"/>
      <w:numFmt w:val="decimal"/>
      <w:lvlText w:val="%1."/>
      <w:lvlJc w:val="left"/>
      <w:pPr>
        <w:ind w:left="720" w:hanging="360"/>
      </w:pPr>
    </w:lvl>
    <w:lvl w:ilvl="1" w:tplc="3CD067AC" w:tentative="1">
      <w:start w:val="1"/>
      <w:numFmt w:val="lowerLetter"/>
      <w:lvlText w:val="%2."/>
      <w:lvlJc w:val="left"/>
      <w:pPr>
        <w:ind w:left="1440" w:hanging="360"/>
      </w:pPr>
    </w:lvl>
    <w:lvl w:ilvl="2" w:tplc="8B163E64" w:tentative="1">
      <w:start w:val="1"/>
      <w:numFmt w:val="lowerRoman"/>
      <w:lvlText w:val="%3."/>
      <w:lvlJc w:val="right"/>
      <w:pPr>
        <w:ind w:left="2160" w:hanging="180"/>
      </w:pPr>
    </w:lvl>
    <w:lvl w:ilvl="3" w:tplc="D9E47EDE" w:tentative="1">
      <w:start w:val="1"/>
      <w:numFmt w:val="decimal"/>
      <w:lvlText w:val="%4."/>
      <w:lvlJc w:val="left"/>
      <w:pPr>
        <w:ind w:left="2880" w:hanging="360"/>
      </w:pPr>
    </w:lvl>
    <w:lvl w:ilvl="4" w:tplc="ACD87378" w:tentative="1">
      <w:start w:val="1"/>
      <w:numFmt w:val="lowerLetter"/>
      <w:lvlText w:val="%5."/>
      <w:lvlJc w:val="left"/>
      <w:pPr>
        <w:ind w:left="3600" w:hanging="360"/>
      </w:pPr>
    </w:lvl>
    <w:lvl w:ilvl="5" w:tplc="46B4CC26" w:tentative="1">
      <w:start w:val="1"/>
      <w:numFmt w:val="lowerRoman"/>
      <w:lvlText w:val="%6."/>
      <w:lvlJc w:val="right"/>
      <w:pPr>
        <w:ind w:left="4320" w:hanging="180"/>
      </w:pPr>
    </w:lvl>
    <w:lvl w:ilvl="6" w:tplc="8A2895D4" w:tentative="1">
      <w:start w:val="1"/>
      <w:numFmt w:val="decimal"/>
      <w:lvlText w:val="%7."/>
      <w:lvlJc w:val="left"/>
      <w:pPr>
        <w:ind w:left="5040" w:hanging="360"/>
      </w:pPr>
    </w:lvl>
    <w:lvl w:ilvl="7" w:tplc="50E0FBE6" w:tentative="1">
      <w:start w:val="1"/>
      <w:numFmt w:val="lowerLetter"/>
      <w:lvlText w:val="%8."/>
      <w:lvlJc w:val="left"/>
      <w:pPr>
        <w:ind w:left="5760" w:hanging="360"/>
      </w:pPr>
    </w:lvl>
    <w:lvl w:ilvl="8" w:tplc="6E30B3C0" w:tentative="1">
      <w:start w:val="1"/>
      <w:numFmt w:val="lowerRoman"/>
      <w:lvlText w:val="%9."/>
      <w:lvlJc w:val="right"/>
      <w:pPr>
        <w:ind w:left="6480" w:hanging="180"/>
      </w:pPr>
    </w:lvl>
  </w:abstractNum>
  <w:abstractNum w:abstractNumId="3">
    <w:nsid w:val="0D4C5E04"/>
    <w:multiLevelType w:val="hybridMultilevel"/>
    <w:tmpl w:val="2BA6FEEC"/>
    <w:lvl w:ilvl="0" w:tplc="3F5E6684">
      <w:start w:val="1"/>
      <w:numFmt w:val="decimal"/>
      <w:lvlText w:val="%1."/>
      <w:lvlJc w:val="left"/>
      <w:pPr>
        <w:ind w:left="720" w:hanging="360"/>
      </w:pPr>
    </w:lvl>
    <w:lvl w:ilvl="1" w:tplc="5C2C69A0" w:tentative="1">
      <w:start w:val="1"/>
      <w:numFmt w:val="lowerLetter"/>
      <w:lvlText w:val="%2."/>
      <w:lvlJc w:val="left"/>
      <w:pPr>
        <w:ind w:left="1440" w:hanging="360"/>
      </w:pPr>
    </w:lvl>
    <w:lvl w:ilvl="2" w:tplc="8236E16C" w:tentative="1">
      <w:start w:val="1"/>
      <w:numFmt w:val="lowerRoman"/>
      <w:lvlText w:val="%3."/>
      <w:lvlJc w:val="right"/>
      <w:pPr>
        <w:ind w:left="2160" w:hanging="180"/>
      </w:pPr>
    </w:lvl>
    <w:lvl w:ilvl="3" w:tplc="7D8A81A0" w:tentative="1">
      <w:start w:val="1"/>
      <w:numFmt w:val="decimal"/>
      <w:lvlText w:val="%4."/>
      <w:lvlJc w:val="left"/>
      <w:pPr>
        <w:ind w:left="2880" w:hanging="360"/>
      </w:pPr>
    </w:lvl>
    <w:lvl w:ilvl="4" w:tplc="49DE5DA8" w:tentative="1">
      <w:start w:val="1"/>
      <w:numFmt w:val="lowerLetter"/>
      <w:lvlText w:val="%5."/>
      <w:lvlJc w:val="left"/>
      <w:pPr>
        <w:ind w:left="3600" w:hanging="360"/>
      </w:pPr>
    </w:lvl>
    <w:lvl w:ilvl="5" w:tplc="4EA202C0" w:tentative="1">
      <w:start w:val="1"/>
      <w:numFmt w:val="lowerRoman"/>
      <w:lvlText w:val="%6."/>
      <w:lvlJc w:val="right"/>
      <w:pPr>
        <w:ind w:left="4320" w:hanging="180"/>
      </w:pPr>
    </w:lvl>
    <w:lvl w:ilvl="6" w:tplc="D5DCEF2C" w:tentative="1">
      <w:start w:val="1"/>
      <w:numFmt w:val="decimal"/>
      <w:lvlText w:val="%7."/>
      <w:lvlJc w:val="left"/>
      <w:pPr>
        <w:ind w:left="5040" w:hanging="360"/>
      </w:pPr>
    </w:lvl>
    <w:lvl w:ilvl="7" w:tplc="215C3218" w:tentative="1">
      <w:start w:val="1"/>
      <w:numFmt w:val="lowerLetter"/>
      <w:lvlText w:val="%8."/>
      <w:lvlJc w:val="left"/>
      <w:pPr>
        <w:ind w:left="5760" w:hanging="360"/>
      </w:pPr>
    </w:lvl>
    <w:lvl w:ilvl="8" w:tplc="0F243188" w:tentative="1">
      <w:start w:val="1"/>
      <w:numFmt w:val="lowerRoman"/>
      <w:lvlText w:val="%9."/>
      <w:lvlJc w:val="right"/>
      <w:pPr>
        <w:ind w:left="6480" w:hanging="180"/>
      </w:pPr>
    </w:lvl>
  </w:abstractNum>
  <w:abstractNum w:abstractNumId="4">
    <w:nsid w:val="0FA30857"/>
    <w:multiLevelType w:val="hybridMultilevel"/>
    <w:tmpl w:val="D562A5F4"/>
    <w:lvl w:ilvl="0" w:tplc="4C3618C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C74F28"/>
    <w:multiLevelType w:val="multilevel"/>
    <w:tmpl w:val="CE2857E4"/>
    <w:lvl w:ilvl="0">
      <w:start w:val="1"/>
      <w:numFmt w:val="decimal"/>
      <w:lvlText w:val="%1."/>
      <w:lvlJc w:val="left"/>
      <w:pPr>
        <w:ind w:left="720" w:hanging="720"/>
      </w:pPr>
      <w:rPr>
        <w:rFonts w:hint="default"/>
      </w:rPr>
    </w:lvl>
    <w:lvl w:ilvl="1">
      <w:start w:val="1"/>
      <w:numFmt w:val="decimal"/>
      <w:lvlText w:val="%1.%2."/>
      <w:lvlJc w:val="left"/>
      <w:pPr>
        <w:ind w:left="820" w:hanging="720"/>
      </w:pPr>
      <w:rPr>
        <w:rFonts w:hint="default"/>
      </w:rPr>
    </w:lvl>
    <w:lvl w:ilvl="2">
      <w:start w:val="1"/>
      <w:numFmt w:val="decimal"/>
      <w:lvlText w:val="%1.%2.%3."/>
      <w:lvlJc w:val="left"/>
      <w:pPr>
        <w:ind w:left="920" w:hanging="720"/>
      </w:pPr>
      <w:rPr>
        <w:rFonts w:hint="default"/>
      </w:rPr>
    </w:lvl>
    <w:lvl w:ilvl="3">
      <w:start w:val="3"/>
      <w:numFmt w:val="decimal"/>
      <w:lvlText w:val="%1.%2.%3.%4."/>
      <w:lvlJc w:val="left"/>
      <w:pPr>
        <w:ind w:left="1020" w:hanging="720"/>
      </w:pPr>
      <w:rPr>
        <w:rFonts w:hint="default"/>
      </w:rPr>
    </w:lvl>
    <w:lvl w:ilvl="4">
      <w:start w:val="1"/>
      <w:numFmt w:val="decimal"/>
      <w:lvlText w:val="%1.%2.%3.%4.%5."/>
      <w:lvlJc w:val="left"/>
      <w:pPr>
        <w:ind w:left="1480" w:hanging="1080"/>
      </w:pPr>
      <w:rPr>
        <w:rFonts w:hint="default"/>
      </w:rPr>
    </w:lvl>
    <w:lvl w:ilvl="5">
      <w:start w:val="1"/>
      <w:numFmt w:val="decimal"/>
      <w:lvlText w:val="%1.%2.%3.%4.%5.%6."/>
      <w:lvlJc w:val="left"/>
      <w:pPr>
        <w:ind w:left="1580" w:hanging="1080"/>
      </w:pPr>
      <w:rPr>
        <w:rFonts w:hint="default"/>
      </w:rPr>
    </w:lvl>
    <w:lvl w:ilvl="6">
      <w:start w:val="1"/>
      <w:numFmt w:val="decimal"/>
      <w:lvlText w:val="%1.%2.%3.%4.%5.%6.%7."/>
      <w:lvlJc w:val="left"/>
      <w:pPr>
        <w:ind w:left="2040" w:hanging="1440"/>
      </w:pPr>
      <w:rPr>
        <w:rFonts w:hint="default"/>
      </w:rPr>
    </w:lvl>
    <w:lvl w:ilvl="7">
      <w:start w:val="1"/>
      <w:numFmt w:val="decimal"/>
      <w:lvlText w:val="%1.%2.%3.%4.%5.%6.%7.%8."/>
      <w:lvlJc w:val="left"/>
      <w:pPr>
        <w:ind w:left="2140" w:hanging="1440"/>
      </w:pPr>
      <w:rPr>
        <w:rFonts w:hint="default"/>
      </w:rPr>
    </w:lvl>
    <w:lvl w:ilvl="8">
      <w:start w:val="1"/>
      <w:numFmt w:val="decimal"/>
      <w:lvlText w:val="%1.%2.%3.%4.%5.%6.%7.%8.%9."/>
      <w:lvlJc w:val="left"/>
      <w:pPr>
        <w:ind w:left="2600" w:hanging="1800"/>
      </w:pPr>
      <w:rPr>
        <w:rFonts w:hint="default"/>
      </w:rPr>
    </w:lvl>
  </w:abstractNum>
  <w:abstractNum w:abstractNumId="6">
    <w:nsid w:val="15256F0C"/>
    <w:multiLevelType w:val="hybridMultilevel"/>
    <w:tmpl w:val="83F495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5903C8"/>
    <w:multiLevelType w:val="hybridMultilevel"/>
    <w:tmpl w:val="95543244"/>
    <w:lvl w:ilvl="0" w:tplc="A866DC78">
      <w:start w:val="1"/>
      <w:numFmt w:val="bullet"/>
      <w:lvlText w:val=""/>
      <w:lvlJc w:val="left"/>
      <w:pPr>
        <w:ind w:left="777" w:hanging="360"/>
      </w:pPr>
      <w:rPr>
        <w:rFonts w:ascii="Symbol" w:hAnsi="Symbol" w:hint="default"/>
      </w:rPr>
    </w:lvl>
    <w:lvl w:ilvl="1" w:tplc="63D2D884" w:tentative="1">
      <w:start w:val="1"/>
      <w:numFmt w:val="bullet"/>
      <w:lvlText w:val="o"/>
      <w:lvlJc w:val="left"/>
      <w:pPr>
        <w:ind w:left="1497" w:hanging="360"/>
      </w:pPr>
      <w:rPr>
        <w:rFonts w:ascii="Courier New" w:hAnsi="Courier New" w:cs="Courier New" w:hint="default"/>
      </w:rPr>
    </w:lvl>
    <w:lvl w:ilvl="2" w:tplc="C6F05ECC" w:tentative="1">
      <w:start w:val="1"/>
      <w:numFmt w:val="bullet"/>
      <w:lvlText w:val=""/>
      <w:lvlJc w:val="left"/>
      <w:pPr>
        <w:ind w:left="2217" w:hanging="360"/>
      </w:pPr>
      <w:rPr>
        <w:rFonts w:ascii="Wingdings" w:hAnsi="Wingdings" w:hint="default"/>
      </w:rPr>
    </w:lvl>
    <w:lvl w:ilvl="3" w:tplc="13D2DD98" w:tentative="1">
      <w:start w:val="1"/>
      <w:numFmt w:val="bullet"/>
      <w:lvlText w:val=""/>
      <w:lvlJc w:val="left"/>
      <w:pPr>
        <w:ind w:left="2937" w:hanging="360"/>
      </w:pPr>
      <w:rPr>
        <w:rFonts w:ascii="Symbol" w:hAnsi="Symbol" w:hint="default"/>
      </w:rPr>
    </w:lvl>
    <w:lvl w:ilvl="4" w:tplc="A03CAF4C" w:tentative="1">
      <w:start w:val="1"/>
      <w:numFmt w:val="bullet"/>
      <w:lvlText w:val="o"/>
      <w:lvlJc w:val="left"/>
      <w:pPr>
        <w:ind w:left="3657" w:hanging="360"/>
      </w:pPr>
      <w:rPr>
        <w:rFonts w:ascii="Courier New" w:hAnsi="Courier New" w:cs="Courier New" w:hint="default"/>
      </w:rPr>
    </w:lvl>
    <w:lvl w:ilvl="5" w:tplc="75B8743C" w:tentative="1">
      <w:start w:val="1"/>
      <w:numFmt w:val="bullet"/>
      <w:lvlText w:val=""/>
      <w:lvlJc w:val="left"/>
      <w:pPr>
        <w:ind w:left="4377" w:hanging="360"/>
      </w:pPr>
      <w:rPr>
        <w:rFonts w:ascii="Wingdings" w:hAnsi="Wingdings" w:hint="default"/>
      </w:rPr>
    </w:lvl>
    <w:lvl w:ilvl="6" w:tplc="99E447AE" w:tentative="1">
      <w:start w:val="1"/>
      <w:numFmt w:val="bullet"/>
      <w:lvlText w:val=""/>
      <w:lvlJc w:val="left"/>
      <w:pPr>
        <w:ind w:left="5097" w:hanging="360"/>
      </w:pPr>
      <w:rPr>
        <w:rFonts w:ascii="Symbol" w:hAnsi="Symbol" w:hint="default"/>
      </w:rPr>
    </w:lvl>
    <w:lvl w:ilvl="7" w:tplc="476ED51E" w:tentative="1">
      <w:start w:val="1"/>
      <w:numFmt w:val="bullet"/>
      <w:lvlText w:val="o"/>
      <w:lvlJc w:val="left"/>
      <w:pPr>
        <w:ind w:left="5817" w:hanging="360"/>
      </w:pPr>
      <w:rPr>
        <w:rFonts w:ascii="Courier New" w:hAnsi="Courier New" w:cs="Courier New" w:hint="default"/>
      </w:rPr>
    </w:lvl>
    <w:lvl w:ilvl="8" w:tplc="8E68D1F6" w:tentative="1">
      <w:start w:val="1"/>
      <w:numFmt w:val="bullet"/>
      <w:lvlText w:val=""/>
      <w:lvlJc w:val="left"/>
      <w:pPr>
        <w:ind w:left="6537" w:hanging="360"/>
      </w:pPr>
      <w:rPr>
        <w:rFonts w:ascii="Wingdings" w:hAnsi="Wingdings" w:hint="default"/>
      </w:rPr>
    </w:lvl>
  </w:abstractNum>
  <w:abstractNum w:abstractNumId="8">
    <w:nsid w:val="38607FC9"/>
    <w:multiLevelType w:val="hybridMultilevel"/>
    <w:tmpl w:val="2E889A98"/>
    <w:lvl w:ilvl="0" w:tplc="A6CA32E4">
      <w:start w:val="1"/>
      <w:numFmt w:val="decimal"/>
      <w:lvlText w:val="%1."/>
      <w:lvlJc w:val="left"/>
      <w:pPr>
        <w:ind w:left="720" w:hanging="360"/>
      </w:pPr>
      <w:rPr>
        <w:sz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nsid w:val="39827329"/>
    <w:multiLevelType w:val="hybridMultilevel"/>
    <w:tmpl w:val="CCEC3474"/>
    <w:lvl w:ilvl="0" w:tplc="CDA4A210">
      <w:start w:val="5"/>
      <w:numFmt w:val="bullet"/>
      <w:lvlText w:val="-"/>
      <w:lvlJc w:val="left"/>
      <w:pPr>
        <w:ind w:left="417" w:hanging="360"/>
      </w:pPr>
      <w:rPr>
        <w:rFonts w:ascii="Times New Roman" w:eastAsia="Times New Roman" w:hAnsi="Times New Roman" w:cs="Times New Roman" w:hint="default"/>
        <w:sz w:val="28"/>
      </w:rPr>
    </w:lvl>
    <w:lvl w:ilvl="1" w:tplc="04260003" w:tentative="1">
      <w:start w:val="1"/>
      <w:numFmt w:val="bullet"/>
      <w:lvlText w:val="o"/>
      <w:lvlJc w:val="left"/>
      <w:pPr>
        <w:ind w:left="1137" w:hanging="360"/>
      </w:pPr>
      <w:rPr>
        <w:rFonts w:ascii="Courier New" w:hAnsi="Courier New" w:cs="Courier New" w:hint="default"/>
      </w:rPr>
    </w:lvl>
    <w:lvl w:ilvl="2" w:tplc="04260005" w:tentative="1">
      <w:start w:val="1"/>
      <w:numFmt w:val="bullet"/>
      <w:lvlText w:val=""/>
      <w:lvlJc w:val="left"/>
      <w:pPr>
        <w:ind w:left="1857" w:hanging="360"/>
      </w:pPr>
      <w:rPr>
        <w:rFonts w:ascii="Wingdings" w:hAnsi="Wingdings" w:hint="default"/>
      </w:rPr>
    </w:lvl>
    <w:lvl w:ilvl="3" w:tplc="04260001" w:tentative="1">
      <w:start w:val="1"/>
      <w:numFmt w:val="bullet"/>
      <w:lvlText w:val=""/>
      <w:lvlJc w:val="left"/>
      <w:pPr>
        <w:ind w:left="2577" w:hanging="360"/>
      </w:pPr>
      <w:rPr>
        <w:rFonts w:ascii="Symbol" w:hAnsi="Symbol" w:hint="default"/>
      </w:rPr>
    </w:lvl>
    <w:lvl w:ilvl="4" w:tplc="04260003" w:tentative="1">
      <w:start w:val="1"/>
      <w:numFmt w:val="bullet"/>
      <w:lvlText w:val="o"/>
      <w:lvlJc w:val="left"/>
      <w:pPr>
        <w:ind w:left="3297" w:hanging="360"/>
      </w:pPr>
      <w:rPr>
        <w:rFonts w:ascii="Courier New" w:hAnsi="Courier New" w:cs="Courier New" w:hint="default"/>
      </w:rPr>
    </w:lvl>
    <w:lvl w:ilvl="5" w:tplc="04260005" w:tentative="1">
      <w:start w:val="1"/>
      <w:numFmt w:val="bullet"/>
      <w:lvlText w:val=""/>
      <w:lvlJc w:val="left"/>
      <w:pPr>
        <w:ind w:left="4017" w:hanging="360"/>
      </w:pPr>
      <w:rPr>
        <w:rFonts w:ascii="Wingdings" w:hAnsi="Wingdings" w:hint="default"/>
      </w:rPr>
    </w:lvl>
    <w:lvl w:ilvl="6" w:tplc="04260001" w:tentative="1">
      <w:start w:val="1"/>
      <w:numFmt w:val="bullet"/>
      <w:lvlText w:val=""/>
      <w:lvlJc w:val="left"/>
      <w:pPr>
        <w:ind w:left="4737" w:hanging="360"/>
      </w:pPr>
      <w:rPr>
        <w:rFonts w:ascii="Symbol" w:hAnsi="Symbol" w:hint="default"/>
      </w:rPr>
    </w:lvl>
    <w:lvl w:ilvl="7" w:tplc="04260003" w:tentative="1">
      <w:start w:val="1"/>
      <w:numFmt w:val="bullet"/>
      <w:lvlText w:val="o"/>
      <w:lvlJc w:val="left"/>
      <w:pPr>
        <w:ind w:left="5457" w:hanging="360"/>
      </w:pPr>
      <w:rPr>
        <w:rFonts w:ascii="Courier New" w:hAnsi="Courier New" w:cs="Courier New" w:hint="default"/>
      </w:rPr>
    </w:lvl>
    <w:lvl w:ilvl="8" w:tplc="04260005" w:tentative="1">
      <w:start w:val="1"/>
      <w:numFmt w:val="bullet"/>
      <w:lvlText w:val=""/>
      <w:lvlJc w:val="left"/>
      <w:pPr>
        <w:ind w:left="6177" w:hanging="360"/>
      </w:pPr>
      <w:rPr>
        <w:rFonts w:ascii="Wingdings" w:hAnsi="Wingdings" w:hint="default"/>
      </w:rPr>
    </w:lvl>
  </w:abstractNum>
  <w:abstractNum w:abstractNumId="10">
    <w:nsid w:val="47821293"/>
    <w:multiLevelType w:val="hybridMultilevel"/>
    <w:tmpl w:val="91F851B8"/>
    <w:lvl w:ilvl="0" w:tplc="2DC42034">
      <w:start w:val="1"/>
      <w:numFmt w:val="decimal"/>
      <w:lvlText w:val="%1."/>
      <w:lvlJc w:val="left"/>
      <w:pPr>
        <w:ind w:left="720" w:hanging="360"/>
      </w:pPr>
    </w:lvl>
    <w:lvl w:ilvl="1" w:tplc="F2A41AC8" w:tentative="1">
      <w:start w:val="1"/>
      <w:numFmt w:val="lowerLetter"/>
      <w:lvlText w:val="%2."/>
      <w:lvlJc w:val="left"/>
      <w:pPr>
        <w:ind w:left="1440" w:hanging="360"/>
      </w:pPr>
    </w:lvl>
    <w:lvl w:ilvl="2" w:tplc="F0A69B3A" w:tentative="1">
      <w:start w:val="1"/>
      <w:numFmt w:val="lowerRoman"/>
      <w:lvlText w:val="%3."/>
      <w:lvlJc w:val="right"/>
      <w:pPr>
        <w:ind w:left="2160" w:hanging="180"/>
      </w:pPr>
    </w:lvl>
    <w:lvl w:ilvl="3" w:tplc="A39C38C6" w:tentative="1">
      <w:start w:val="1"/>
      <w:numFmt w:val="decimal"/>
      <w:lvlText w:val="%4."/>
      <w:lvlJc w:val="left"/>
      <w:pPr>
        <w:ind w:left="2880" w:hanging="360"/>
      </w:pPr>
    </w:lvl>
    <w:lvl w:ilvl="4" w:tplc="83F004FE" w:tentative="1">
      <w:start w:val="1"/>
      <w:numFmt w:val="lowerLetter"/>
      <w:lvlText w:val="%5."/>
      <w:lvlJc w:val="left"/>
      <w:pPr>
        <w:ind w:left="3600" w:hanging="360"/>
      </w:pPr>
    </w:lvl>
    <w:lvl w:ilvl="5" w:tplc="E0162AB0" w:tentative="1">
      <w:start w:val="1"/>
      <w:numFmt w:val="lowerRoman"/>
      <w:lvlText w:val="%6."/>
      <w:lvlJc w:val="right"/>
      <w:pPr>
        <w:ind w:left="4320" w:hanging="180"/>
      </w:pPr>
    </w:lvl>
    <w:lvl w:ilvl="6" w:tplc="061A63E2" w:tentative="1">
      <w:start w:val="1"/>
      <w:numFmt w:val="decimal"/>
      <w:lvlText w:val="%7."/>
      <w:lvlJc w:val="left"/>
      <w:pPr>
        <w:ind w:left="5040" w:hanging="360"/>
      </w:pPr>
    </w:lvl>
    <w:lvl w:ilvl="7" w:tplc="48BA7904" w:tentative="1">
      <w:start w:val="1"/>
      <w:numFmt w:val="lowerLetter"/>
      <w:lvlText w:val="%8."/>
      <w:lvlJc w:val="left"/>
      <w:pPr>
        <w:ind w:left="5760" w:hanging="360"/>
      </w:pPr>
    </w:lvl>
    <w:lvl w:ilvl="8" w:tplc="1D22E78A" w:tentative="1">
      <w:start w:val="1"/>
      <w:numFmt w:val="lowerRoman"/>
      <w:lvlText w:val="%9."/>
      <w:lvlJc w:val="right"/>
      <w:pPr>
        <w:ind w:left="6480" w:hanging="180"/>
      </w:pPr>
    </w:lvl>
  </w:abstractNum>
  <w:abstractNum w:abstractNumId="11">
    <w:nsid w:val="541915C6"/>
    <w:multiLevelType w:val="hybridMultilevel"/>
    <w:tmpl w:val="C360BDB6"/>
    <w:lvl w:ilvl="0" w:tplc="3CF4B130">
      <w:start w:val="1"/>
      <w:numFmt w:val="decimal"/>
      <w:lvlText w:val="%1."/>
      <w:lvlJc w:val="left"/>
      <w:pPr>
        <w:ind w:left="720" w:hanging="360"/>
      </w:pPr>
      <w:rPr>
        <w:rFonts w:ascii="Times New Roman" w:eastAsia="Times New Roman" w:hAnsi="Times New Roman" w:cs="Times New Roman"/>
      </w:rPr>
    </w:lvl>
    <w:lvl w:ilvl="1" w:tplc="1F8C8748" w:tentative="1">
      <w:start w:val="1"/>
      <w:numFmt w:val="lowerLetter"/>
      <w:lvlText w:val="%2."/>
      <w:lvlJc w:val="left"/>
      <w:pPr>
        <w:ind w:left="1440" w:hanging="360"/>
      </w:pPr>
    </w:lvl>
    <w:lvl w:ilvl="2" w:tplc="5F48E9C2" w:tentative="1">
      <w:start w:val="1"/>
      <w:numFmt w:val="lowerRoman"/>
      <w:lvlText w:val="%3."/>
      <w:lvlJc w:val="right"/>
      <w:pPr>
        <w:ind w:left="2160" w:hanging="180"/>
      </w:pPr>
    </w:lvl>
    <w:lvl w:ilvl="3" w:tplc="7BAE4D48" w:tentative="1">
      <w:start w:val="1"/>
      <w:numFmt w:val="decimal"/>
      <w:lvlText w:val="%4."/>
      <w:lvlJc w:val="left"/>
      <w:pPr>
        <w:ind w:left="2880" w:hanging="360"/>
      </w:pPr>
    </w:lvl>
    <w:lvl w:ilvl="4" w:tplc="41F48E1E" w:tentative="1">
      <w:start w:val="1"/>
      <w:numFmt w:val="lowerLetter"/>
      <w:lvlText w:val="%5."/>
      <w:lvlJc w:val="left"/>
      <w:pPr>
        <w:ind w:left="3600" w:hanging="360"/>
      </w:pPr>
    </w:lvl>
    <w:lvl w:ilvl="5" w:tplc="B6406A0C" w:tentative="1">
      <w:start w:val="1"/>
      <w:numFmt w:val="lowerRoman"/>
      <w:lvlText w:val="%6."/>
      <w:lvlJc w:val="right"/>
      <w:pPr>
        <w:ind w:left="4320" w:hanging="180"/>
      </w:pPr>
    </w:lvl>
    <w:lvl w:ilvl="6" w:tplc="DE8646C2" w:tentative="1">
      <w:start w:val="1"/>
      <w:numFmt w:val="decimal"/>
      <w:lvlText w:val="%7."/>
      <w:lvlJc w:val="left"/>
      <w:pPr>
        <w:ind w:left="5040" w:hanging="360"/>
      </w:pPr>
    </w:lvl>
    <w:lvl w:ilvl="7" w:tplc="05923572" w:tentative="1">
      <w:start w:val="1"/>
      <w:numFmt w:val="lowerLetter"/>
      <w:lvlText w:val="%8."/>
      <w:lvlJc w:val="left"/>
      <w:pPr>
        <w:ind w:left="5760" w:hanging="360"/>
      </w:pPr>
    </w:lvl>
    <w:lvl w:ilvl="8" w:tplc="B9683AC0" w:tentative="1">
      <w:start w:val="1"/>
      <w:numFmt w:val="lowerRoman"/>
      <w:lvlText w:val="%9."/>
      <w:lvlJc w:val="right"/>
      <w:pPr>
        <w:ind w:left="6480" w:hanging="180"/>
      </w:pPr>
    </w:lvl>
  </w:abstractNum>
  <w:abstractNum w:abstractNumId="12">
    <w:nsid w:val="55124A7D"/>
    <w:multiLevelType w:val="hybridMultilevel"/>
    <w:tmpl w:val="1EA635A0"/>
    <w:lvl w:ilvl="0" w:tplc="36A61118">
      <w:start w:val="1"/>
      <w:numFmt w:val="decimal"/>
      <w:lvlText w:val="%1)"/>
      <w:lvlJc w:val="left"/>
      <w:pPr>
        <w:ind w:left="720" w:hanging="360"/>
      </w:pPr>
      <w:rPr>
        <w:rFonts w:ascii="Times New Roman" w:hAnsi="Times New Roman" w:cs="Times New Roman"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80F0188"/>
    <w:multiLevelType w:val="hybridMultilevel"/>
    <w:tmpl w:val="B38A35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99A3748"/>
    <w:multiLevelType w:val="hybridMultilevel"/>
    <w:tmpl w:val="486CB8CA"/>
    <w:lvl w:ilvl="0" w:tplc="1A1E52D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2186FD9"/>
    <w:multiLevelType w:val="hybridMultilevel"/>
    <w:tmpl w:val="2CB0A9C2"/>
    <w:lvl w:ilvl="0" w:tplc="9C3C222C">
      <w:start w:val="1"/>
      <w:numFmt w:val="decimal"/>
      <w:lvlText w:val="%1."/>
      <w:lvlJc w:val="left"/>
      <w:pPr>
        <w:ind w:left="754" w:hanging="360"/>
      </w:pPr>
    </w:lvl>
    <w:lvl w:ilvl="1" w:tplc="7A963396" w:tentative="1">
      <w:start w:val="1"/>
      <w:numFmt w:val="lowerLetter"/>
      <w:lvlText w:val="%2."/>
      <w:lvlJc w:val="left"/>
      <w:pPr>
        <w:ind w:left="1474" w:hanging="360"/>
      </w:pPr>
    </w:lvl>
    <w:lvl w:ilvl="2" w:tplc="8DE88FCA" w:tentative="1">
      <w:start w:val="1"/>
      <w:numFmt w:val="lowerRoman"/>
      <w:lvlText w:val="%3."/>
      <w:lvlJc w:val="right"/>
      <w:pPr>
        <w:ind w:left="2194" w:hanging="180"/>
      </w:pPr>
    </w:lvl>
    <w:lvl w:ilvl="3" w:tplc="9D7E929E" w:tentative="1">
      <w:start w:val="1"/>
      <w:numFmt w:val="decimal"/>
      <w:lvlText w:val="%4."/>
      <w:lvlJc w:val="left"/>
      <w:pPr>
        <w:ind w:left="2914" w:hanging="360"/>
      </w:pPr>
    </w:lvl>
    <w:lvl w:ilvl="4" w:tplc="563CD118" w:tentative="1">
      <w:start w:val="1"/>
      <w:numFmt w:val="lowerLetter"/>
      <w:lvlText w:val="%5."/>
      <w:lvlJc w:val="left"/>
      <w:pPr>
        <w:ind w:left="3634" w:hanging="360"/>
      </w:pPr>
    </w:lvl>
    <w:lvl w:ilvl="5" w:tplc="144886FE" w:tentative="1">
      <w:start w:val="1"/>
      <w:numFmt w:val="lowerRoman"/>
      <w:lvlText w:val="%6."/>
      <w:lvlJc w:val="right"/>
      <w:pPr>
        <w:ind w:left="4354" w:hanging="180"/>
      </w:pPr>
    </w:lvl>
    <w:lvl w:ilvl="6" w:tplc="311A38B2" w:tentative="1">
      <w:start w:val="1"/>
      <w:numFmt w:val="decimal"/>
      <w:lvlText w:val="%7."/>
      <w:lvlJc w:val="left"/>
      <w:pPr>
        <w:ind w:left="5074" w:hanging="360"/>
      </w:pPr>
    </w:lvl>
    <w:lvl w:ilvl="7" w:tplc="62E8CBEA" w:tentative="1">
      <w:start w:val="1"/>
      <w:numFmt w:val="lowerLetter"/>
      <w:lvlText w:val="%8."/>
      <w:lvlJc w:val="left"/>
      <w:pPr>
        <w:ind w:left="5794" w:hanging="360"/>
      </w:pPr>
    </w:lvl>
    <w:lvl w:ilvl="8" w:tplc="4560D550" w:tentative="1">
      <w:start w:val="1"/>
      <w:numFmt w:val="lowerRoman"/>
      <w:lvlText w:val="%9."/>
      <w:lvlJc w:val="right"/>
      <w:pPr>
        <w:ind w:left="6514" w:hanging="180"/>
      </w:pPr>
    </w:lvl>
  </w:abstractNum>
  <w:abstractNum w:abstractNumId="16">
    <w:nsid w:val="6D1749D6"/>
    <w:multiLevelType w:val="hybridMultilevel"/>
    <w:tmpl w:val="071ACABC"/>
    <w:lvl w:ilvl="0" w:tplc="9EA0E718">
      <w:start w:val="5"/>
      <w:numFmt w:val="decimal"/>
      <w:lvlText w:val="%1."/>
      <w:lvlJc w:val="left"/>
      <w:pPr>
        <w:ind w:left="2344" w:hanging="360"/>
      </w:pPr>
      <w:rPr>
        <w:rFonts w:hint="default"/>
      </w:rPr>
    </w:lvl>
    <w:lvl w:ilvl="1" w:tplc="04090019" w:tentative="1">
      <w:start w:val="1"/>
      <w:numFmt w:val="lowerLetter"/>
      <w:lvlText w:val="%2."/>
      <w:lvlJc w:val="left"/>
      <w:pPr>
        <w:ind w:left="1192" w:hanging="360"/>
      </w:pPr>
    </w:lvl>
    <w:lvl w:ilvl="2" w:tplc="0409001B" w:tentative="1">
      <w:start w:val="1"/>
      <w:numFmt w:val="lowerRoman"/>
      <w:lvlText w:val="%3."/>
      <w:lvlJc w:val="right"/>
      <w:pPr>
        <w:ind w:left="1912" w:hanging="180"/>
      </w:pPr>
    </w:lvl>
    <w:lvl w:ilvl="3" w:tplc="0409000F" w:tentative="1">
      <w:start w:val="1"/>
      <w:numFmt w:val="decimal"/>
      <w:lvlText w:val="%4."/>
      <w:lvlJc w:val="left"/>
      <w:pPr>
        <w:ind w:left="2632" w:hanging="360"/>
      </w:pPr>
    </w:lvl>
    <w:lvl w:ilvl="4" w:tplc="04090019" w:tentative="1">
      <w:start w:val="1"/>
      <w:numFmt w:val="lowerLetter"/>
      <w:lvlText w:val="%5."/>
      <w:lvlJc w:val="left"/>
      <w:pPr>
        <w:ind w:left="3352" w:hanging="360"/>
      </w:pPr>
    </w:lvl>
    <w:lvl w:ilvl="5" w:tplc="0409001B" w:tentative="1">
      <w:start w:val="1"/>
      <w:numFmt w:val="lowerRoman"/>
      <w:lvlText w:val="%6."/>
      <w:lvlJc w:val="right"/>
      <w:pPr>
        <w:ind w:left="4072" w:hanging="180"/>
      </w:pPr>
    </w:lvl>
    <w:lvl w:ilvl="6" w:tplc="0409000F" w:tentative="1">
      <w:start w:val="1"/>
      <w:numFmt w:val="decimal"/>
      <w:lvlText w:val="%7."/>
      <w:lvlJc w:val="left"/>
      <w:pPr>
        <w:ind w:left="4792" w:hanging="360"/>
      </w:pPr>
    </w:lvl>
    <w:lvl w:ilvl="7" w:tplc="04090019" w:tentative="1">
      <w:start w:val="1"/>
      <w:numFmt w:val="lowerLetter"/>
      <w:lvlText w:val="%8."/>
      <w:lvlJc w:val="left"/>
      <w:pPr>
        <w:ind w:left="5512" w:hanging="360"/>
      </w:pPr>
    </w:lvl>
    <w:lvl w:ilvl="8" w:tplc="0409001B" w:tentative="1">
      <w:start w:val="1"/>
      <w:numFmt w:val="lowerRoman"/>
      <w:lvlText w:val="%9."/>
      <w:lvlJc w:val="right"/>
      <w:pPr>
        <w:ind w:left="6232" w:hanging="180"/>
      </w:pPr>
    </w:lvl>
  </w:abstractNum>
  <w:abstractNum w:abstractNumId="17">
    <w:nsid w:val="71C26178"/>
    <w:multiLevelType w:val="hybridMultilevel"/>
    <w:tmpl w:val="9FBED11A"/>
    <w:lvl w:ilvl="0" w:tplc="A432BC34">
      <w:start w:val="1"/>
      <w:numFmt w:val="decimal"/>
      <w:lvlText w:val="%1)"/>
      <w:lvlJc w:val="left"/>
      <w:pPr>
        <w:ind w:left="720" w:hanging="360"/>
      </w:pPr>
      <w:rPr>
        <w:rFonts w:hint="default"/>
      </w:rPr>
    </w:lvl>
    <w:lvl w:ilvl="1" w:tplc="8A4E48BA" w:tentative="1">
      <w:start w:val="1"/>
      <w:numFmt w:val="lowerLetter"/>
      <w:lvlText w:val="%2."/>
      <w:lvlJc w:val="left"/>
      <w:pPr>
        <w:ind w:left="1440" w:hanging="360"/>
      </w:pPr>
    </w:lvl>
    <w:lvl w:ilvl="2" w:tplc="8EA248BC" w:tentative="1">
      <w:start w:val="1"/>
      <w:numFmt w:val="lowerRoman"/>
      <w:lvlText w:val="%3."/>
      <w:lvlJc w:val="right"/>
      <w:pPr>
        <w:ind w:left="2160" w:hanging="180"/>
      </w:pPr>
    </w:lvl>
    <w:lvl w:ilvl="3" w:tplc="E3A611FE" w:tentative="1">
      <w:start w:val="1"/>
      <w:numFmt w:val="decimal"/>
      <w:lvlText w:val="%4."/>
      <w:lvlJc w:val="left"/>
      <w:pPr>
        <w:ind w:left="2880" w:hanging="360"/>
      </w:pPr>
    </w:lvl>
    <w:lvl w:ilvl="4" w:tplc="B554D1C0" w:tentative="1">
      <w:start w:val="1"/>
      <w:numFmt w:val="lowerLetter"/>
      <w:lvlText w:val="%5."/>
      <w:lvlJc w:val="left"/>
      <w:pPr>
        <w:ind w:left="3600" w:hanging="360"/>
      </w:pPr>
    </w:lvl>
    <w:lvl w:ilvl="5" w:tplc="6D62E65C" w:tentative="1">
      <w:start w:val="1"/>
      <w:numFmt w:val="lowerRoman"/>
      <w:lvlText w:val="%6."/>
      <w:lvlJc w:val="right"/>
      <w:pPr>
        <w:ind w:left="4320" w:hanging="180"/>
      </w:pPr>
    </w:lvl>
    <w:lvl w:ilvl="6" w:tplc="138095DE" w:tentative="1">
      <w:start w:val="1"/>
      <w:numFmt w:val="decimal"/>
      <w:lvlText w:val="%7."/>
      <w:lvlJc w:val="left"/>
      <w:pPr>
        <w:ind w:left="5040" w:hanging="360"/>
      </w:pPr>
    </w:lvl>
    <w:lvl w:ilvl="7" w:tplc="DCDC8090" w:tentative="1">
      <w:start w:val="1"/>
      <w:numFmt w:val="lowerLetter"/>
      <w:lvlText w:val="%8."/>
      <w:lvlJc w:val="left"/>
      <w:pPr>
        <w:ind w:left="5760" w:hanging="360"/>
      </w:pPr>
    </w:lvl>
    <w:lvl w:ilvl="8" w:tplc="96108AE6" w:tentative="1">
      <w:start w:val="1"/>
      <w:numFmt w:val="lowerRoman"/>
      <w:lvlText w:val="%9."/>
      <w:lvlJc w:val="right"/>
      <w:pPr>
        <w:ind w:left="6480" w:hanging="180"/>
      </w:pPr>
    </w:lvl>
  </w:abstractNum>
  <w:abstractNum w:abstractNumId="18">
    <w:nsid w:val="74F8102F"/>
    <w:multiLevelType w:val="hybridMultilevel"/>
    <w:tmpl w:val="A48283C8"/>
    <w:lvl w:ilvl="0" w:tplc="1ADE2DB0">
      <w:start w:val="1"/>
      <w:numFmt w:val="decimal"/>
      <w:lvlText w:val="%1)"/>
      <w:lvlJc w:val="left"/>
      <w:pPr>
        <w:ind w:left="720" w:hanging="360"/>
      </w:pPr>
      <w:rPr>
        <w:rFonts w:hint="default"/>
      </w:rPr>
    </w:lvl>
    <w:lvl w:ilvl="1" w:tplc="387C3560" w:tentative="1">
      <w:start w:val="1"/>
      <w:numFmt w:val="lowerLetter"/>
      <w:lvlText w:val="%2."/>
      <w:lvlJc w:val="left"/>
      <w:pPr>
        <w:ind w:left="1440" w:hanging="360"/>
      </w:pPr>
    </w:lvl>
    <w:lvl w:ilvl="2" w:tplc="0004F6AE" w:tentative="1">
      <w:start w:val="1"/>
      <w:numFmt w:val="lowerRoman"/>
      <w:lvlText w:val="%3."/>
      <w:lvlJc w:val="right"/>
      <w:pPr>
        <w:ind w:left="2160" w:hanging="180"/>
      </w:pPr>
    </w:lvl>
    <w:lvl w:ilvl="3" w:tplc="F2FC4D34" w:tentative="1">
      <w:start w:val="1"/>
      <w:numFmt w:val="decimal"/>
      <w:lvlText w:val="%4."/>
      <w:lvlJc w:val="left"/>
      <w:pPr>
        <w:ind w:left="2880" w:hanging="360"/>
      </w:pPr>
    </w:lvl>
    <w:lvl w:ilvl="4" w:tplc="544C3D16" w:tentative="1">
      <w:start w:val="1"/>
      <w:numFmt w:val="lowerLetter"/>
      <w:lvlText w:val="%5."/>
      <w:lvlJc w:val="left"/>
      <w:pPr>
        <w:ind w:left="3600" w:hanging="360"/>
      </w:pPr>
    </w:lvl>
    <w:lvl w:ilvl="5" w:tplc="C8062364" w:tentative="1">
      <w:start w:val="1"/>
      <w:numFmt w:val="lowerRoman"/>
      <w:lvlText w:val="%6."/>
      <w:lvlJc w:val="right"/>
      <w:pPr>
        <w:ind w:left="4320" w:hanging="180"/>
      </w:pPr>
    </w:lvl>
    <w:lvl w:ilvl="6" w:tplc="3EC80560" w:tentative="1">
      <w:start w:val="1"/>
      <w:numFmt w:val="decimal"/>
      <w:lvlText w:val="%7."/>
      <w:lvlJc w:val="left"/>
      <w:pPr>
        <w:ind w:left="5040" w:hanging="360"/>
      </w:pPr>
    </w:lvl>
    <w:lvl w:ilvl="7" w:tplc="6DD89586" w:tentative="1">
      <w:start w:val="1"/>
      <w:numFmt w:val="lowerLetter"/>
      <w:lvlText w:val="%8."/>
      <w:lvlJc w:val="left"/>
      <w:pPr>
        <w:ind w:left="5760" w:hanging="360"/>
      </w:pPr>
    </w:lvl>
    <w:lvl w:ilvl="8" w:tplc="D7B01546" w:tentative="1">
      <w:start w:val="1"/>
      <w:numFmt w:val="lowerRoman"/>
      <w:lvlText w:val="%9."/>
      <w:lvlJc w:val="right"/>
      <w:pPr>
        <w:ind w:left="6480" w:hanging="180"/>
      </w:pPr>
    </w:lvl>
  </w:abstractNum>
  <w:abstractNum w:abstractNumId="19">
    <w:nsid w:val="7F7619F5"/>
    <w:multiLevelType w:val="hybridMultilevel"/>
    <w:tmpl w:val="C758ED3C"/>
    <w:lvl w:ilvl="0" w:tplc="A9F0EC62">
      <w:start w:val="1"/>
      <w:numFmt w:val="decimal"/>
      <w:lvlText w:val="%1)"/>
      <w:lvlJc w:val="left"/>
      <w:pPr>
        <w:ind w:left="720" w:hanging="360"/>
      </w:pPr>
      <w:rPr>
        <w:rFonts w:hint="default"/>
      </w:rPr>
    </w:lvl>
    <w:lvl w:ilvl="1" w:tplc="EC7037BA" w:tentative="1">
      <w:start w:val="1"/>
      <w:numFmt w:val="lowerLetter"/>
      <w:lvlText w:val="%2."/>
      <w:lvlJc w:val="left"/>
      <w:pPr>
        <w:ind w:left="1440" w:hanging="360"/>
      </w:pPr>
    </w:lvl>
    <w:lvl w:ilvl="2" w:tplc="5820178A" w:tentative="1">
      <w:start w:val="1"/>
      <w:numFmt w:val="lowerRoman"/>
      <w:lvlText w:val="%3."/>
      <w:lvlJc w:val="right"/>
      <w:pPr>
        <w:ind w:left="2160" w:hanging="180"/>
      </w:pPr>
    </w:lvl>
    <w:lvl w:ilvl="3" w:tplc="8B1AF176" w:tentative="1">
      <w:start w:val="1"/>
      <w:numFmt w:val="decimal"/>
      <w:lvlText w:val="%4."/>
      <w:lvlJc w:val="left"/>
      <w:pPr>
        <w:ind w:left="2880" w:hanging="360"/>
      </w:pPr>
    </w:lvl>
    <w:lvl w:ilvl="4" w:tplc="D32CC9B8" w:tentative="1">
      <w:start w:val="1"/>
      <w:numFmt w:val="lowerLetter"/>
      <w:lvlText w:val="%5."/>
      <w:lvlJc w:val="left"/>
      <w:pPr>
        <w:ind w:left="3600" w:hanging="360"/>
      </w:pPr>
    </w:lvl>
    <w:lvl w:ilvl="5" w:tplc="3778557C" w:tentative="1">
      <w:start w:val="1"/>
      <w:numFmt w:val="lowerRoman"/>
      <w:lvlText w:val="%6."/>
      <w:lvlJc w:val="right"/>
      <w:pPr>
        <w:ind w:left="4320" w:hanging="180"/>
      </w:pPr>
    </w:lvl>
    <w:lvl w:ilvl="6" w:tplc="0FFEEEB4" w:tentative="1">
      <w:start w:val="1"/>
      <w:numFmt w:val="decimal"/>
      <w:lvlText w:val="%7."/>
      <w:lvlJc w:val="left"/>
      <w:pPr>
        <w:ind w:left="5040" w:hanging="360"/>
      </w:pPr>
    </w:lvl>
    <w:lvl w:ilvl="7" w:tplc="1DC8F246" w:tentative="1">
      <w:start w:val="1"/>
      <w:numFmt w:val="lowerLetter"/>
      <w:lvlText w:val="%8."/>
      <w:lvlJc w:val="left"/>
      <w:pPr>
        <w:ind w:left="5760" w:hanging="360"/>
      </w:pPr>
    </w:lvl>
    <w:lvl w:ilvl="8" w:tplc="FF1EDB62" w:tentative="1">
      <w:start w:val="1"/>
      <w:numFmt w:val="lowerRoman"/>
      <w:lvlText w:val="%9."/>
      <w:lvlJc w:val="right"/>
      <w:pPr>
        <w:ind w:left="6480" w:hanging="180"/>
      </w:pPr>
    </w:lvl>
  </w:abstractNum>
  <w:num w:numId="1">
    <w:abstractNumId w:val="15"/>
  </w:num>
  <w:num w:numId="2">
    <w:abstractNumId w:val="2"/>
  </w:num>
  <w:num w:numId="3">
    <w:abstractNumId w:val="3"/>
  </w:num>
  <w:num w:numId="4">
    <w:abstractNumId w:val="10"/>
  </w:num>
  <w:num w:numId="5">
    <w:abstractNumId w:val="7"/>
  </w:num>
  <w:num w:numId="6">
    <w:abstractNumId w:val="11"/>
  </w:num>
  <w:num w:numId="7">
    <w:abstractNumId w:val="1"/>
  </w:num>
  <w:num w:numId="8">
    <w:abstractNumId w:val="18"/>
  </w:num>
  <w:num w:numId="9">
    <w:abstractNumId w:val="19"/>
  </w:num>
  <w:num w:numId="10">
    <w:abstractNumId w:val="17"/>
  </w:num>
  <w:num w:numId="11">
    <w:abstractNumId w:val="9"/>
  </w:num>
  <w:num w:numId="12">
    <w:abstractNumId w:val="14"/>
  </w:num>
  <w:num w:numId="13">
    <w:abstractNumId w:val="0"/>
  </w:num>
  <w:num w:numId="14">
    <w:abstractNumId w:val="6"/>
  </w:num>
  <w:num w:numId="15">
    <w:abstractNumId w:val="12"/>
  </w:num>
  <w:num w:numId="16">
    <w:abstractNumId w:val="5"/>
  </w:num>
  <w:num w:numId="17">
    <w:abstractNumId w:val="13"/>
  </w:num>
  <w:num w:numId="18">
    <w:abstractNumId w:val="8"/>
  </w:num>
  <w:num w:numId="19">
    <w:abstractNumId w:val="16"/>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01C"/>
    <w:rsid w:val="00000B7A"/>
    <w:rsid w:val="000065D8"/>
    <w:rsid w:val="00006F0F"/>
    <w:rsid w:val="00011D41"/>
    <w:rsid w:val="00017924"/>
    <w:rsid w:val="000242C4"/>
    <w:rsid w:val="00026629"/>
    <w:rsid w:val="0002692C"/>
    <w:rsid w:val="000326E7"/>
    <w:rsid w:val="00033DEE"/>
    <w:rsid w:val="00043305"/>
    <w:rsid w:val="000435B1"/>
    <w:rsid w:val="00044224"/>
    <w:rsid w:val="00044C80"/>
    <w:rsid w:val="00044C88"/>
    <w:rsid w:val="0004793C"/>
    <w:rsid w:val="00047A59"/>
    <w:rsid w:val="000506CD"/>
    <w:rsid w:val="00051D26"/>
    <w:rsid w:val="000532A9"/>
    <w:rsid w:val="00054C52"/>
    <w:rsid w:val="0005551E"/>
    <w:rsid w:val="00055596"/>
    <w:rsid w:val="00055FF5"/>
    <w:rsid w:val="00060804"/>
    <w:rsid w:val="00061975"/>
    <w:rsid w:val="0006431E"/>
    <w:rsid w:val="00066596"/>
    <w:rsid w:val="000726BF"/>
    <w:rsid w:val="00073C8B"/>
    <w:rsid w:val="0007592F"/>
    <w:rsid w:val="000864C7"/>
    <w:rsid w:val="00087F42"/>
    <w:rsid w:val="000952B3"/>
    <w:rsid w:val="00097994"/>
    <w:rsid w:val="000A4EDF"/>
    <w:rsid w:val="000A525F"/>
    <w:rsid w:val="000A5450"/>
    <w:rsid w:val="000A7A0E"/>
    <w:rsid w:val="000B0691"/>
    <w:rsid w:val="000B21FA"/>
    <w:rsid w:val="000B2EE9"/>
    <w:rsid w:val="000B6AEB"/>
    <w:rsid w:val="000C0BA7"/>
    <w:rsid w:val="000C7B1B"/>
    <w:rsid w:val="000D0766"/>
    <w:rsid w:val="000D0862"/>
    <w:rsid w:val="000D24CB"/>
    <w:rsid w:val="000D404F"/>
    <w:rsid w:val="000E051A"/>
    <w:rsid w:val="000E0AD0"/>
    <w:rsid w:val="000E3572"/>
    <w:rsid w:val="000E5BD4"/>
    <w:rsid w:val="000E5C99"/>
    <w:rsid w:val="000E7C62"/>
    <w:rsid w:val="000F01C5"/>
    <w:rsid w:val="000F0E75"/>
    <w:rsid w:val="000F2179"/>
    <w:rsid w:val="000F21B1"/>
    <w:rsid w:val="000F2D2A"/>
    <w:rsid w:val="000F4BC5"/>
    <w:rsid w:val="000F796B"/>
    <w:rsid w:val="00100CF4"/>
    <w:rsid w:val="00102173"/>
    <w:rsid w:val="00103A8D"/>
    <w:rsid w:val="0010529A"/>
    <w:rsid w:val="00111038"/>
    <w:rsid w:val="001144E3"/>
    <w:rsid w:val="001151C4"/>
    <w:rsid w:val="00115A56"/>
    <w:rsid w:val="00120C50"/>
    <w:rsid w:val="001226BE"/>
    <w:rsid w:val="001247CA"/>
    <w:rsid w:val="001273A7"/>
    <w:rsid w:val="00130088"/>
    <w:rsid w:val="00131038"/>
    <w:rsid w:val="001351FC"/>
    <w:rsid w:val="00142DF7"/>
    <w:rsid w:val="001435F6"/>
    <w:rsid w:val="001478DF"/>
    <w:rsid w:val="00150D7D"/>
    <w:rsid w:val="00151E21"/>
    <w:rsid w:val="001522EB"/>
    <w:rsid w:val="0015241F"/>
    <w:rsid w:val="00156BAF"/>
    <w:rsid w:val="00160BDB"/>
    <w:rsid w:val="0016249A"/>
    <w:rsid w:val="00162663"/>
    <w:rsid w:val="00166824"/>
    <w:rsid w:val="00166920"/>
    <w:rsid w:val="001718C7"/>
    <w:rsid w:val="00173A4C"/>
    <w:rsid w:val="001740A1"/>
    <w:rsid w:val="001742ED"/>
    <w:rsid w:val="0017518B"/>
    <w:rsid w:val="00175CEA"/>
    <w:rsid w:val="001769A4"/>
    <w:rsid w:val="0017792B"/>
    <w:rsid w:val="001851A7"/>
    <w:rsid w:val="001929F5"/>
    <w:rsid w:val="001930D7"/>
    <w:rsid w:val="0019383F"/>
    <w:rsid w:val="001A037F"/>
    <w:rsid w:val="001A7223"/>
    <w:rsid w:val="001B090E"/>
    <w:rsid w:val="001B348C"/>
    <w:rsid w:val="001B37B4"/>
    <w:rsid w:val="001B37C9"/>
    <w:rsid w:val="001C0AEA"/>
    <w:rsid w:val="001C0C9B"/>
    <w:rsid w:val="001C5666"/>
    <w:rsid w:val="001D0050"/>
    <w:rsid w:val="001D0ECB"/>
    <w:rsid w:val="001D1633"/>
    <w:rsid w:val="001D1E23"/>
    <w:rsid w:val="001D3C5A"/>
    <w:rsid w:val="001D45E6"/>
    <w:rsid w:val="001D5531"/>
    <w:rsid w:val="001D7DE5"/>
    <w:rsid w:val="001E081D"/>
    <w:rsid w:val="001E130E"/>
    <w:rsid w:val="001E2C60"/>
    <w:rsid w:val="001F097E"/>
    <w:rsid w:val="001F3907"/>
    <w:rsid w:val="001F4F0B"/>
    <w:rsid w:val="001F5636"/>
    <w:rsid w:val="002017BA"/>
    <w:rsid w:val="00201E47"/>
    <w:rsid w:val="0020262C"/>
    <w:rsid w:val="00202B48"/>
    <w:rsid w:val="00206091"/>
    <w:rsid w:val="00206A3D"/>
    <w:rsid w:val="00207834"/>
    <w:rsid w:val="00217B74"/>
    <w:rsid w:val="0022054B"/>
    <w:rsid w:val="00221D56"/>
    <w:rsid w:val="00222D1C"/>
    <w:rsid w:val="0022526E"/>
    <w:rsid w:val="00227589"/>
    <w:rsid w:val="0023009A"/>
    <w:rsid w:val="00231822"/>
    <w:rsid w:val="00240149"/>
    <w:rsid w:val="00251A42"/>
    <w:rsid w:val="00253057"/>
    <w:rsid w:val="002546DF"/>
    <w:rsid w:val="00254E50"/>
    <w:rsid w:val="00256189"/>
    <w:rsid w:val="00257D45"/>
    <w:rsid w:val="00257E24"/>
    <w:rsid w:val="00261E34"/>
    <w:rsid w:val="002710C5"/>
    <w:rsid w:val="00273E66"/>
    <w:rsid w:val="002765F0"/>
    <w:rsid w:val="00276D5D"/>
    <w:rsid w:val="00277223"/>
    <w:rsid w:val="00280576"/>
    <w:rsid w:val="002826C6"/>
    <w:rsid w:val="00282B48"/>
    <w:rsid w:val="00284FF6"/>
    <w:rsid w:val="002858B3"/>
    <w:rsid w:val="00286420"/>
    <w:rsid w:val="00291002"/>
    <w:rsid w:val="00295304"/>
    <w:rsid w:val="0029736A"/>
    <w:rsid w:val="00297863"/>
    <w:rsid w:val="00297D17"/>
    <w:rsid w:val="002A0265"/>
    <w:rsid w:val="002A1724"/>
    <w:rsid w:val="002A5B86"/>
    <w:rsid w:val="002A6489"/>
    <w:rsid w:val="002B0227"/>
    <w:rsid w:val="002B0E96"/>
    <w:rsid w:val="002B1C7A"/>
    <w:rsid w:val="002B24DC"/>
    <w:rsid w:val="002B5072"/>
    <w:rsid w:val="002B6DF9"/>
    <w:rsid w:val="002B70B6"/>
    <w:rsid w:val="002B7D78"/>
    <w:rsid w:val="002C0432"/>
    <w:rsid w:val="002C22BE"/>
    <w:rsid w:val="002C2A17"/>
    <w:rsid w:val="002C58E8"/>
    <w:rsid w:val="002D02E7"/>
    <w:rsid w:val="00300972"/>
    <w:rsid w:val="00301E2B"/>
    <w:rsid w:val="00302DC1"/>
    <w:rsid w:val="00303EC5"/>
    <w:rsid w:val="00304EA6"/>
    <w:rsid w:val="0031039B"/>
    <w:rsid w:val="00310A25"/>
    <w:rsid w:val="00310C6F"/>
    <w:rsid w:val="003120F0"/>
    <w:rsid w:val="0032007A"/>
    <w:rsid w:val="00320675"/>
    <w:rsid w:val="003218D1"/>
    <w:rsid w:val="00327F78"/>
    <w:rsid w:val="00335A14"/>
    <w:rsid w:val="00336B56"/>
    <w:rsid w:val="00337CF5"/>
    <w:rsid w:val="00345D6D"/>
    <w:rsid w:val="0034707A"/>
    <w:rsid w:val="0034796B"/>
    <w:rsid w:val="00352BE9"/>
    <w:rsid w:val="00360223"/>
    <w:rsid w:val="00364B5A"/>
    <w:rsid w:val="003676E2"/>
    <w:rsid w:val="00371B34"/>
    <w:rsid w:val="00372500"/>
    <w:rsid w:val="00373840"/>
    <w:rsid w:val="0037447A"/>
    <w:rsid w:val="00376346"/>
    <w:rsid w:val="00380A86"/>
    <w:rsid w:val="003810A1"/>
    <w:rsid w:val="003834D0"/>
    <w:rsid w:val="003911C1"/>
    <w:rsid w:val="003917B3"/>
    <w:rsid w:val="003A21D1"/>
    <w:rsid w:val="003A2E74"/>
    <w:rsid w:val="003A4376"/>
    <w:rsid w:val="003B01C6"/>
    <w:rsid w:val="003B6A5E"/>
    <w:rsid w:val="003B7FA9"/>
    <w:rsid w:val="003C096F"/>
    <w:rsid w:val="003C2699"/>
    <w:rsid w:val="003C326B"/>
    <w:rsid w:val="003D09DE"/>
    <w:rsid w:val="003D455E"/>
    <w:rsid w:val="003D46F5"/>
    <w:rsid w:val="003E05A2"/>
    <w:rsid w:val="003F0DD3"/>
    <w:rsid w:val="003F61CB"/>
    <w:rsid w:val="003F7624"/>
    <w:rsid w:val="00400A89"/>
    <w:rsid w:val="004040B1"/>
    <w:rsid w:val="004048C7"/>
    <w:rsid w:val="00407F82"/>
    <w:rsid w:val="00412257"/>
    <w:rsid w:val="0041305A"/>
    <w:rsid w:val="00413839"/>
    <w:rsid w:val="00413BD9"/>
    <w:rsid w:val="00415F17"/>
    <w:rsid w:val="00417797"/>
    <w:rsid w:val="00417B84"/>
    <w:rsid w:val="00420453"/>
    <w:rsid w:val="0042075F"/>
    <w:rsid w:val="004210D4"/>
    <w:rsid w:val="004219C7"/>
    <w:rsid w:val="00430E44"/>
    <w:rsid w:val="0043297F"/>
    <w:rsid w:val="004339FA"/>
    <w:rsid w:val="00433F84"/>
    <w:rsid w:val="0043517D"/>
    <w:rsid w:val="00441759"/>
    <w:rsid w:val="00442A7F"/>
    <w:rsid w:val="004433D7"/>
    <w:rsid w:val="0044498D"/>
    <w:rsid w:val="004453B6"/>
    <w:rsid w:val="00446A92"/>
    <w:rsid w:val="00450CE4"/>
    <w:rsid w:val="004536EF"/>
    <w:rsid w:val="0045394E"/>
    <w:rsid w:val="0045535A"/>
    <w:rsid w:val="004622C3"/>
    <w:rsid w:val="00465C98"/>
    <w:rsid w:val="004701C2"/>
    <w:rsid w:val="00470924"/>
    <w:rsid w:val="00477435"/>
    <w:rsid w:val="00477F62"/>
    <w:rsid w:val="00481885"/>
    <w:rsid w:val="00492C8A"/>
    <w:rsid w:val="00492D3C"/>
    <w:rsid w:val="0049306F"/>
    <w:rsid w:val="00494B25"/>
    <w:rsid w:val="004A14C3"/>
    <w:rsid w:val="004A4EBE"/>
    <w:rsid w:val="004A7F10"/>
    <w:rsid w:val="004B4AB8"/>
    <w:rsid w:val="004B700E"/>
    <w:rsid w:val="004C4068"/>
    <w:rsid w:val="004D17FB"/>
    <w:rsid w:val="004D2E35"/>
    <w:rsid w:val="004D3A54"/>
    <w:rsid w:val="004D5248"/>
    <w:rsid w:val="004F3807"/>
    <w:rsid w:val="004F4658"/>
    <w:rsid w:val="004F66A9"/>
    <w:rsid w:val="005023B7"/>
    <w:rsid w:val="00506D16"/>
    <w:rsid w:val="00510199"/>
    <w:rsid w:val="00510284"/>
    <w:rsid w:val="005142E7"/>
    <w:rsid w:val="00520E68"/>
    <w:rsid w:val="00521075"/>
    <w:rsid w:val="0052108D"/>
    <w:rsid w:val="00523237"/>
    <w:rsid w:val="00524753"/>
    <w:rsid w:val="005308F9"/>
    <w:rsid w:val="0053202D"/>
    <w:rsid w:val="005404B9"/>
    <w:rsid w:val="00542A12"/>
    <w:rsid w:val="005464A0"/>
    <w:rsid w:val="00552705"/>
    <w:rsid w:val="00553934"/>
    <w:rsid w:val="00553EFC"/>
    <w:rsid w:val="00556BF9"/>
    <w:rsid w:val="005603AF"/>
    <w:rsid w:val="005607AD"/>
    <w:rsid w:val="005609A0"/>
    <w:rsid w:val="00563E5C"/>
    <w:rsid w:val="00583F50"/>
    <w:rsid w:val="00593FC8"/>
    <w:rsid w:val="005A2448"/>
    <w:rsid w:val="005A624E"/>
    <w:rsid w:val="005A68FB"/>
    <w:rsid w:val="005A7F61"/>
    <w:rsid w:val="005B11A3"/>
    <w:rsid w:val="005B1837"/>
    <w:rsid w:val="005C1803"/>
    <w:rsid w:val="005C451C"/>
    <w:rsid w:val="005C4A89"/>
    <w:rsid w:val="005C5125"/>
    <w:rsid w:val="005C5C45"/>
    <w:rsid w:val="005D0733"/>
    <w:rsid w:val="005D3A62"/>
    <w:rsid w:val="005D3DA0"/>
    <w:rsid w:val="005E2B9A"/>
    <w:rsid w:val="005E4D75"/>
    <w:rsid w:val="005E64A1"/>
    <w:rsid w:val="005F36DF"/>
    <w:rsid w:val="005F658D"/>
    <w:rsid w:val="00601BEB"/>
    <w:rsid w:val="0060368C"/>
    <w:rsid w:val="00604BCD"/>
    <w:rsid w:val="00605C6C"/>
    <w:rsid w:val="006075E8"/>
    <w:rsid w:val="0061052C"/>
    <w:rsid w:val="006109C0"/>
    <w:rsid w:val="00610EA4"/>
    <w:rsid w:val="0061189A"/>
    <w:rsid w:val="006130EC"/>
    <w:rsid w:val="00615F04"/>
    <w:rsid w:val="00616CE1"/>
    <w:rsid w:val="00621927"/>
    <w:rsid w:val="00624449"/>
    <w:rsid w:val="006260FC"/>
    <w:rsid w:val="00626CD0"/>
    <w:rsid w:val="00627BF3"/>
    <w:rsid w:val="00634C56"/>
    <w:rsid w:val="006403D5"/>
    <w:rsid w:val="00663762"/>
    <w:rsid w:val="00665B2E"/>
    <w:rsid w:val="00670FA6"/>
    <w:rsid w:val="0067150E"/>
    <w:rsid w:val="00672FD6"/>
    <w:rsid w:val="0067518D"/>
    <w:rsid w:val="00683937"/>
    <w:rsid w:val="00683F07"/>
    <w:rsid w:val="00683F5F"/>
    <w:rsid w:val="00691C2B"/>
    <w:rsid w:val="006947C6"/>
    <w:rsid w:val="006948DB"/>
    <w:rsid w:val="00695F0A"/>
    <w:rsid w:val="006A07CE"/>
    <w:rsid w:val="006B4F32"/>
    <w:rsid w:val="006B5D72"/>
    <w:rsid w:val="006B69F3"/>
    <w:rsid w:val="006C03A6"/>
    <w:rsid w:val="006C4B7C"/>
    <w:rsid w:val="006C65CA"/>
    <w:rsid w:val="006D18E7"/>
    <w:rsid w:val="006D1EAD"/>
    <w:rsid w:val="006D231B"/>
    <w:rsid w:val="006D2712"/>
    <w:rsid w:val="006D4F7C"/>
    <w:rsid w:val="006E06FC"/>
    <w:rsid w:val="006E1C69"/>
    <w:rsid w:val="006E2626"/>
    <w:rsid w:val="006E48A2"/>
    <w:rsid w:val="006E6B8E"/>
    <w:rsid w:val="006E6C0E"/>
    <w:rsid w:val="006E6F68"/>
    <w:rsid w:val="006E755A"/>
    <w:rsid w:val="006F24D8"/>
    <w:rsid w:val="006F4A8C"/>
    <w:rsid w:val="00700BE1"/>
    <w:rsid w:val="00701FA5"/>
    <w:rsid w:val="007028F9"/>
    <w:rsid w:val="00704CF3"/>
    <w:rsid w:val="00704DDD"/>
    <w:rsid w:val="00707925"/>
    <w:rsid w:val="00710801"/>
    <w:rsid w:val="007151BA"/>
    <w:rsid w:val="007164D3"/>
    <w:rsid w:val="00721092"/>
    <w:rsid w:val="00722617"/>
    <w:rsid w:val="0072528C"/>
    <w:rsid w:val="007257CB"/>
    <w:rsid w:val="007303BC"/>
    <w:rsid w:val="00734009"/>
    <w:rsid w:val="007362D7"/>
    <w:rsid w:val="007403A1"/>
    <w:rsid w:val="00742CA8"/>
    <w:rsid w:val="00745F7A"/>
    <w:rsid w:val="00750EC0"/>
    <w:rsid w:val="007525AE"/>
    <w:rsid w:val="0075395A"/>
    <w:rsid w:val="007609F0"/>
    <w:rsid w:val="00763C11"/>
    <w:rsid w:val="007660C6"/>
    <w:rsid w:val="007764C0"/>
    <w:rsid w:val="00780860"/>
    <w:rsid w:val="00780E7D"/>
    <w:rsid w:val="00781529"/>
    <w:rsid w:val="00782C36"/>
    <w:rsid w:val="00782FE5"/>
    <w:rsid w:val="007832B6"/>
    <w:rsid w:val="00786AB4"/>
    <w:rsid w:val="007900F8"/>
    <w:rsid w:val="00791FE1"/>
    <w:rsid w:val="00792C6E"/>
    <w:rsid w:val="00795D3B"/>
    <w:rsid w:val="00796715"/>
    <w:rsid w:val="00797D53"/>
    <w:rsid w:val="007A045B"/>
    <w:rsid w:val="007A2571"/>
    <w:rsid w:val="007B1CFF"/>
    <w:rsid w:val="007B2909"/>
    <w:rsid w:val="007B7A42"/>
    <w:rsid w:val="007B7B5E"/>
    <w:rsid w:val="007C0062"/>
    <w:rsid w:val="007C11C4"/>
    <w:rsid w:val="007C19B4"/>
    <w:rsid w:val="007D24DE"/>
    <w:rsid w:val="007D4159"/>
    <w:rsid w:val="007D5662"/>
    <w:rsid w:val="007D6B9E"/>
    <w:rsid w:val="007D7F5E"/>
    <w:rsid w:val="007E02D8"/>
    <w:rsid w:val="007E465C"/>
    <w:rsid w:val="007F3CF4"/>
    <w:rsid w:val="007F68E8"/>
    <w:rsid w:val="007F7448"/>
    <w:rsid w:val="007F7F62"/>
    <w:rsid w:val="008001A9"/>
    <w:rsid w:val="00804652"/>
    <w:rsid w:val="00814195"/>
    <w:rsid w:val="00814D8D"/>
    <w:rsid w:val="00814FDD"/>
    <w:rsid w:val="0082224C"/>
    <w:rsid w:val="0082480A"/>
    <w:rsid w:val="00827F2C"/>
    <w:rsid w:val="00832044"/>
    <w:rsid w:val="008321E7"/>
    <w:rsid w:val="00832351"/>
    <w:rsid w:val="008361C1"/>
    <w:rsid w:val="00836AEF"/>
    <w:rsid w:val="0083701C"/>
    <w:rsid w:val="0084184C"/>
    <w:rsid w:val="0084191B"/>
    <w:rsid w:val="00844AAA"/>
    <w:rsid w:val="0085122C"/>
    <w:rsid w:val="00851EBF"/>
    <w:rsid w:val="008542CA"/>
    <w:rsid w:val="0085441A"/>
    <w:rsid w:val="0085612F"/>
    <w:rsid w:val="00856841"/>
    <w:rsid w:val="00856FD9"/>
    <w:rsid w:val="008573E5"/>
    <w:rsid w:val="008605BD"/>
    <w:rsid w:val="00863287"/>
    <w:rsid w:val="00864C2A"/>
    <w:rsid w:val="00867D90"/>
    <w:rsid w:val="0087701A"/>
    <w:rsid w:val="008772B7"/>
    <w:rsid w:val="0088165B"/>
    <w:rsid w:val="00887F3F"/>
    <w:rsid w:val="00892CC7"/>
    <w:rsid w:val="008939F7"/>
    <w:rsid w:val="00895249"/>
    <w:rsid w:val="00896040"/>
    <w:rsid w:val="008A0436"/>
    <w:rsid w:val="008A262D"/>
    <w:rsid w:val="008A72DA"/>
    <w:rsid w:val="008B18A8"/>
    <w:rsid w:val="008B392D"/>
    <w:rsid w:val="008C5103"/>
    <w:rsid w:val="008C6BD8"/>
    <w:rsid w:val="008D42B7"/>
    <w:rsid w:val="008D738C"/>
    <w:rsid w:val="008D7E2C"/>
    <w:rsid w:val="008E138F"/>
    <w:rsid w:val="008E33BA"/>
    <w:rsid w:val="008F079A"/>
    <w:rsid w:val="008F3862"/>
    <w:rsid w:val="008F5B70"/>
    <w:rsid w:val="008F64A6"/>
    <w:rsid w:val="008F68BE"/>
    <w:rsid w:val="008F746A"/>
    <w:rsid w:val="009038B3"/>
    <w:rsid w:val="00907E1B"/>
    <w:rsid w:val="009104BC"/>
    <w:rsid w:val="00910BBB"/>
    <w:rsid w:val="00912B59"/>
    <w:rsid w:val="009130D5"/>
    <w:rsid w:val="00913BBD"/>
    <w:rsid w:val="00913D6E"/>
    <w:rsid w:val="0091650B"/>
    <w:rsid w:val="00916FF7"/>
    <w:rsid w:val="00920BD9"/>
    <w:rsid w:val="0092196F"/>
    <w:rsid w:val="0092310A"/>
    <w:rsid w:val="009242BD"/>
    <w:rsid w:val="00927DFF"/>
    <w:rsid w:val="00930F1B"/>
    <w:rsid w:val="009322C9"/>
    <w:rsid w:val="009379BE"/>
    <w:rsid w:val="00940C74"/>
    <w:rsid w:val="00942B4A"/>
    <w:rsid w:val="00946E60"/>
    <w:rsid w:val="00946F67"/>
    <w:rsid w:val="00956D71"/>
    <w:rsid w:val="00962068"/>
    <w:rsid w:val="00962FB9"/>
    <w:rsid w:val="0096666B"/>
    <w:rsid w:val="009755BE"/>
    <w:rsid w:val="0098188F"/>
    <w:rsid w:val="00981FF3"/>
    <w:rsid w:val="009877B1"/>
    <w:rsid w:val="00993742"/>
    <w:rsid w:val="00994359"/>
    <w:rsid w:val="009966FA"/>
    <w:rsid w:val="00997420"/>
    <w:rsid w:val="0099780F"/>
    <w:rsid w:val="009A1BBC"/>
    <w:rsid w:val="009B1E75"/>
    <w:rsid w:val="009B574B"/>
    <w:rsid w:val="009B6418"/>
    <w:rsid w:val="009B7421"/>
    <w:rsid w:val="009C31BC"/>
    <w:rsid w:val="009C4B01"/>
    <w:rsid w:val="009D464E"/>
    <w:rsid w:val="009D5DAC"/>
    <w:rsid w:val="009D7AC4"/>
    <w:rsid w:val="009D7E50"/>
    <w:rsid w:val="009E0190"/>
    <w:rsid w:val="009F0CDF"/>
    <w:rsid w:val="009F69AC"/>
    <w:rsid w:val="00A029E8"/>
    <w:rsid w:val="00A03194"/>
    <w:rsid w:val="00A10DA2"/>
    <w:rsid w:val="00A11266"/>
    <w:rsid w:val="00A16A05"/>
    <w:rsid w:val="00A1753F"/>
    <w:rsid w:val="00A229DC"/>
    <w:rsid w:val="00A262E5"/>
    <w:rsid w:val="00A324CA"/>
    <w:rsid w:val="00A37EA4"/>
    <w:rsid w:val="00A42243"/>
    <w:rsid w:val="00A43C20"/>
    <w:rsid w:val="00A46330"/>
    <w:rsid w:val="00A46393"/>
    <w:rsid w:val="00A47A37"/>
    <w:rsid w:val="00A518C8"/>
    <w:rsid w:val="00A52AB7"/>
    <w:rsid w:val="00A540C5"/>
    <w:rsid w:val="00A547FE"/>
    <w:rsid w:val="00A548B0"/>
    <w:rsid w:val="00A54B04"/>
    <w:rsid w:val="00A556F1"/>
    <w:rsid w:val="00A5752C"/>
    <w:rsid w:val="00A57712"/>
    <w:rsid w:val="00A617FC"/>
    <w:rsid w:val="00A6487D"/>
    <w:rsid w:val="00A70ED3"/>
    <w:rsid w:val="00A73FCB"/>
    <w:rsid w:val="00A84065"/>
    <w:rsid w:val="00A84862"/>
    <w:rsid w:val="00A87150"/>
    <w:rsid w:val="00A908EA"/>
    <w:rsid w:val="00AA10B6"/>
    <w:rsid w:val="00AA7085"/>
    <w:rsid w:val="00AB2579"/>
    <w:rsid w:val="00AC5216"/>
    <w:rsid w:val="00AD1252"/>
    <w:rsid w:val="00AD1F14"/>
    <w:rsid w:val="00AD59A6"/>
    <w:rsid w:val="00AD5C9A"/>
    <w:rsid w:val="00AE008E"/>
    <w:rsid w:val="00AE0688"/>
    <w:rsid w:val="00AE0973"/>
    <w:rsid w:val="00AE1DA4"/>
    <w:rsid w:val="00AE4997"/>
    <w:rsid w:val="00AF0697"/>
    <w:rsid w:val="00AF0818"/>
    <w:rsid w:val="00AF3F9D"/>
    <w:rsid w:val="00AF4534"/>
    <w:rsid w:val="00AF60F9"/>
    <w:rsid w:val="00AF6E38"/>
    <w:rsid w:val="00B015B8"/>
    <w:rsid w:val="00B03459"/>
    <w:rsid w:val="00B03EA9"/>
    <w:rsid w:val="00B05BC4"/>
    <w:rsid w:val="00B15E8C"/>
    <w:rsid w:val="00B17F1A"/>
    <w:rsid w:val="00B216F0"/>
    <w:rsid w:val="00B25163"/>
    <w:rsid w:val="00B252D6"/>
    <w:rsid w:val="00B27CD9"/>
    <w:rsid w:val="00B31328"/>
    <w:rsid w:val="00B333B6"/>
    <w:rsid w:val="00B37972"/>
    <w:rsid w:val="00B4020C"/>
    <w:rsid w:val="00B405D4"/>
    <w:rsid w:val="00B50AC4"/>
    <w:rsid w:val="00B53338"/>
    <w:rsid w:val="00B555AF"/>
    <w:rsid w:val="00B6044D"/>
    <w:rsid w:val="00B63595"/>
    <w:rsid w:val="00B650B7"/>
    <w:rsid w:val="00B6710B"/>
    <w:rsid w:val="00B67217"/>
    <w:rsid w:val="00B7205F"/>
    <w:rsid w:val="00B77976"/>
    <w:rsid w:val="00B77F99"/>
    <w:rsid w:val="00B85C57"/>
    <w:rsid w:val="00B8617A"/>
    <w:rsid w:val="00B92055"/>
    <w:rsid w:val="00B926B1"/>
    <w:rsid w:val="00B94A93"/>
    <w:rsid w:val="00B94D4E"/>
    <w:rsid w:val="00BA020E"/>
    <w:rsid w:val="00BA7A9F"/>
    <w:rsid w:val="00BB393B"/>
    <w:rsid w:val="00BB4F00"/>
    <w:rsid w:val="00BB787D"/>
    <w:rsid w:val="00BC0E04"/>
    <w:rsid w:val="00BC1851"/>
    <w:rsid w:val="00BC19F1"/>
    <w:rsid w:val="00BC4492"/>
    <w:rsid w:val="00BC58D7"/>
    <w:rsid w:val="00BD3440"/>
    <w:rsid w:val="00BD5928"/>
    <w:rsid w:val="00BE06CF"/>
    <w:rsid w:val="00BE4AD6"/>
    <w:rsid w:val="00BE72D9"/>
    <w:rsid w:val="00BF269E"/>
    <w:rsid w:val="00BF345E"/>
    <w:rsid w:val="00BF3C09"/>
    <w:rsid w:val="00C00421"/>
    <w:rsid w:val="00C012E4"/>
    <w:rsid w:val="00C06EED"/>
    <w:rsid w:val="00C07D08"/>
    <w:rsid w:val="00C11118"/>
    <w:rsid w:val="00C14E75"/>
    <w:rsid w:val="00C20D0C"/>
    <w:rsid w:val="00C232D2"/>
    <w:rsid w:val="00C24113"/>
    <w:rsid w:val="00C24E80"/>
    <w:rsid w:val="00C314FA"/>
    <w:rsid w:val="00C321A7"/>
    <w:rsid w:val="00C328AF"/>
    <w:rsid w:val="00C3351F"/>
    <w:rsid w:val="00C34D87"/>
    <w:rsid w:val="00C37BBD"/>
    <w:rsid w:val="00C4035B"/>
    <w:rsid w:val="00C4208D"/>
    <w:rsid w:val="00C46410"/>
    <w:rsid w:val="00C52B4E"/>
    <w:rsid w:val="00C53C73"/>
    <w:rsid w:val="00C55E67"/>
    <w:rsid w:val="00C6378B"/>
    <w:rsid w:val="00C66C36"/>
    <w:rsid w:val="00C710EF"/>
    <w:rsid w:val="00C722A7"/>
    <w:rsid w:val="00C74F29"/>
    <w:rsid w:val="00C85B2A"/>
    <w:rsid w:val="00C93278"/>
    <w:rsid w:val="00CA7C60"/>
    <w:rsid w:val="00CB14F4"/>
    <w:rsid w:val="00CC06F1"/>
    <w:rsid w:val="00CC2DDC"/>
    <w:rsid w:val="00CC5D40"/>
    <w:rsid w:val="00CD0784"/>
    <w:rsid w:val="00CD6FEA"/>
    <w:rsid w:val="00CE0C28"/>
    <w:rsid w:val="00CE5D85"/>
    <w:rsid w:val="00CF5953"/>
    <w:rsid w:val="00D019DA"/>
    <w:rsid w:val="00D02E50"/>
    <w:rsid w:val="00D03CFF"/>
    <w:rsid w:val="00D06379"/>
    <w:rsid w:val="00D07B64"/>
    <w:rsid w:val="00D15822"/>
    <w:rsid w:val="00D15CDC"/>
    <w:rsid w:val="00D20C22"/>
    <w:rsid w:val="00D212EB"/>
    <w:rsid w:val="00D26436"/>
    <w:rsid w:val="00D27C0A"/>
    <w:rsid w:val="00D32ABF"/>
    <w:rsid w:val="00D36040"/>
    <w:rsid w:val="00D452BA"/>
    <w:rsid w:val="00D47E43"/>
    <w:rsid w:val="00D50DCF"/>
    <w:rsid w:val="00D50F66"/>
    <w:rsid w:val="00D523B5"/>
    <w:rsid w:val="00D52B0A"/>
    <w:rsid w:val="00D544B7"/>
    <w:rsid w:val="00D5567F"/>
    <w:rsid w:val="00D6166B"/>
    <w:rsid w:val="00D63F38"/>
    <w:rsid w:val="00D645B5"/>
    <w:rsid w:val="00D650B2"/>
    <w:rsid w:val="00D70DB8"/>
    <w:rsid w:val="00D70E43"/>
    <w:rsid w:val="00D71A77"/>
    <w:rsid w:val="00D72BA7"/>
    <w:rsid w:val="00D83004"/>
    <w:rsid w:val="00D83495"/>
    <w:rsid w:val="00D83AB0"/>
    <w:rsid w:val="00D85B21"/>
    <w:rsid w:val="00D872A3"/>
    <w:rsid w:val="00D87E7D"/>
    <w:rsid w:val="00D90746"/>
    <w:rsid w:val="00D92D97"/>
    <w:rsid w:val="00DA1882"/>
    <w:rsid w:val="00DA2C23"/>
    <w:rsid w:val="00DB17CA"/>
    <w:rsid w:val="00DB3879"/>
    <w:rsid w:val="00DC2319"/>
    <w:rsid w:val="00DC5C89"/>
    <w:rsid w:val="00DD0B18"/>
    <w:rsid w:val="00DD41A6"/>
    <w:rsid w:val="00DD5E7A"/>
    <w:rsid w:val="00DD69D9"/>
    <w:rsid w:val="00DD6E06"/>
    <w:rsid w:val="00DE0C54"/>
    <w:rsid w:val="00DE0D04"/>
    <w:rsid w:val="00DE1198"/>
    <w:rsid w:val="00DE229B"/>
    <w:rsid w:val="00DE4937"/>
    <w:rsid w:val="00DF1351"/>
    <w:rsid w:val="00DF3BD0"/>
    <w:rsid w:val="00DF3C5B"/>
    <w:rsid w:val="00DF4080"/>
    <w:rsid w:val="00E11D04"/>
    <w:rsid w:val="00E130C3"/>
    <w:rsid w:val="00E15EC6"/>
    <w:rsid w:val="00E16B77"/>
    <w:rsid w:val="00E23120"/>
    <w:rsid w:val="00E24445"/>
    <w:rsid w:val="00E24D2C"/>
    <w:rsid w:val="00E263CE"/>
    <w:rsid w:val="00E322DA"/>
    <w:rsid w:val="00E422A7"/>
    <w:rsid w:val="00E4250B"/>
    <w:rsid w:val="00E471C8"/>
    <w:rsid w:val="00E501E8"/>
    <w:rsid w:val="00E54FB9"/>
    <w:rsid w:val="00E5666D"/>
    <w:rsid w:val="00E613DD"/>
    <w:rsid w:val="00E614B8"/>
    <w:rsid w:val="00E645DB"/>
    <w:rsid w:val="00E64A86"/>
    <w:rsid w:val="00E64D98"/>
    <w:rsid w:val="00E66E6D"/>
    <w:rsid w:val="00E6780B"/>
    <w:rsid w:val="00E67F36"/>
    <w:rsid w:val="00E70A5A"/>
    <w:rsid w:val="00E71A32"/>
    <w:rsid w:val="00E74F9D"/>
    <w:rsid w:val="00E8357F"/>
    <w:rsid w:val="00E84A62"/>
    <w:rsid w:val="00E86E59"/>
    <w:rsid w:val="00E90F28"/>
    <w:rsid w:val="00E92611"/>
    <w:rsid w:val="00E928E0"/>
    <w:rsid w:val="00E935C9"/>
    <w:rsid w:val="00E94657"/>
    <w:rsid w:val="00E94930"/>
    <w:rsid w:val="00E9647D"/>
    <w:rsid w:val="00E9733D"/>
    <w:rsid w:val="00E976F5"/>
    <w:rsid w:val="00EA151B"/>
    <w:rsid w:val="00EA289E"/>
    <w:rsid w:val="00EA63E8"/>
    <w:rsid w:val="00EA7048"/>
    <w:rsid w:val="00EB3CC2"/>
    <w:rsid w:val="00EC40D9"/>
    <w:rsid w:val="00EC4F36"/>
    <w:rsid w:val="00EC6C87"/>
    <w:rsid w:val="00ED01EB"/>
    <w:rsid w:val="00ED2CF7"/>
    <w:rsid w:val="00ED64E2"/>
    <w:rsid w:val="00ED6931"/>
    <w:rsid w:val="00EE1431"/>
    <w:rsid w:val="00EE3E4B"/>
    <w:rsid w:val="00EE69C1"/>
    <w:rsid w:val="00EF1CC5"/>
    <w:rsid w:val="00EF38D4"/>
    <w:rsid w:val="00EF3F4F"/>
    <w:rsid w:val="00EF4EC8"/>
    <w:rsid w:val="00EF77E7"/>
    <w:rsid w:val="00F01D7A"/>
    <w:rsid w:val="00F03F81"/>
    <w:rsid w:val="00F07651"/>
    <w:rsid w:val="00F10F3D"/>
    <w:rsid w:val="00F14906"/>
    <w:rsid w:val="00F226DE"/>
    <w:rsid w:val="00F22B0F"/>
    <w:rsid w:val="00F245D1"/>
    <w:rsid w:val="00F27283"/>
    <w:rsid w:val="00F3153D"/>
    <w:rsid w:val="00F31CB6"/>
    <w:rsid w:val="00F31DB3"/>
    <w:rsid w:val="00F32A36"/>
    <w:rsid w:val="00F37EA5"/>
    <w:rsid w:val="00F4193B"/>
    <w:rsid w:val="00F5064B"/>
    <w:rsid w:val="00F5134A"/>
    <w:rsid w:val="00F53036"/>
    <w:rsid w:val="00F53A6B"/>
    <w:rsid w:val="00F54162"/>
    <w:rsid w:val="00F5669D"/>
    <w:rsid w:val="00F6008E"/>
    <w:rsid w:val="00F60B95"/>
    <w:rsid w:val="00F62143"/>
    <w:rsid w:val="00F70F1F"/>
    <w:rsid w:val="00F77D07"/>
    <w:rsid w:val="00F828B3"/>
    <w:rsid w:val="00F8323A"/>
    <w:rsid w:val="00F863D0"/>
    <w:rsid w:val="00F86F16"/>
    <w:rsid w:val="00F8760F"/>
    <w:rsid w:val="00F93CB7"/>
    <w:rsid w:val="00F93CBC"/>
    <w:rsid w:val="00FA0397"/>
    <w:rsid w:val="00FA0DC8"/>
    <w:rsid w:val="00FA19C0"/>
    <w:rsid w:val="00FA2764"/>
    <w:rsid w:val="00FA699C"/>
    <w:rsid w:val="00FB0188"/>
    <w:rsid w:val="00FB61E7"/>
    <w:rsid w:val="00FB6A69"/>
    <w:rsid w:val="00FC052C"/>
    <w:rsid w:val="00FC4E94"/>
    <w:rsid w:val="00FC5812"/>
    <w:rsid w:val="00FC608F"/>
    <w:rsid w:val="00FD0363"/>
    <w:rsid w:val="00FD487B"/>
    <w:rsid w:val="00FD593A"/>
    <w:rsid w:val="00FE0C58"/>
    <w:rsid w:val="00FE21D6"/>
    <w:rsid w:val="00FE414E"/>
    <w:rsid w:val="00FE5FE2"/>
    <w:rsid w:val="00FE61D7"/>
    <w:rsid w:val="00FE63F2"/>
    <w:rsid w:val="00FE7643"/>
    <w:rsid w:val="00FF3060"/>
    <w:rsid w:val="00FF3823"/>
    <w:rsid w:val="00FF678F"/>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7092E"/>
  <w15:chartTrackingRefBased/>
  <w15:docId w15:val="{62614DB7-040C-4B74-B3F4-A52E207D3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2B3"/>
    <w:pPr>
      <w:spacing w:after="0" w:line="240" w:lineRule="auto"/>
    </w:pPr>
    <w:rPr>
      <w:rFonts w:ascii="Times New Roman" w:eastAsia="Calibri" w:hAnsi="Times New Roman" w:cs="Times New Roman"/>
      <w:sz w:val="24"/>
      <w:szCs w:val="24"/>
      <w:lang w:eastAsia="lv-LV"/>
    </w:rPr>
  </w:style>
  <w:style w:type="paragraph" w:styleId="Heading1">
    <w:name w:val="heading 1"/>
    <w:basedOn w:val="Normal"/>
    <w:link w:val="Heading1Char"/>
    <w:uiPriority w:val="9"/>
    <w:qFormat/>
    <w:rsid w:val="00814FDD"/>
    <w:pPr>
      <w:spacing w:before="100" w:beforeAutospacing="1" w:after="100" w:afterAutospacing="1"/>
      <w:outlineLvl w:val="0"/>
    </w:pPr>
    <w:rPr>
      <w:rFonts w:eastAsia="Times New Roman"/>
      <w:b/>
      <w:bCs/>
      <w:kern w:val="36"/>
      <w:sz w:val="48"/>
      <w:szCs w:val="4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952B3"/>
    <w:rPr>
      <w:rFonts w:cs="Times New Roman"/>
      <w:color w:val="0000FF"/>
      <w:u w:val="single"/>
    </w:rPr>
  </w:style>
  <w:style w:type="paragraph" w:styleId="ListParagraph">
    <w:name w:val="List Paragraph"/>
    <w:aliases w:val="2,Strip,H&amp;P List Paragraph,Colorful List - Accent 12"/>
    <w:basedOn w:val="Normal"/>
    <w:link w:val="ListParagraphChar"/>
    <w:uiPriority w:val="34"/>
    <w:qFormat/>
    <w:rsid w:val="000952B3"/>
    <w:pPr>
      <w:ind w:left="720"/>
      <w:contextualSpacing/>
    </w:pPr>
    <w:rPr>
      <w:rFonts w:eastAsia="Times New Roman"/>
      <w:sz w:val="22"/>
      <w:szCs w:val="22"/>
    </w:rPr>
  </w:style>
  <w:style w:type="character" w:customStyle="1" w:styleId="ListParagraphChar">
    <w:name w:val="List Paragraph Char"/>
    <w:aliases w:val="2 Char,Strip Char,H&amp;P List Paragraph Char,Colorful List - Accent 12 Char"/>
    <w:link w:val="ListParagraph"/>
    <w:uiPriority w:val="34"/>
    <w:rsid w:val="000952B3"/>
    <w:rPr>
      <w:rFonts w:ascii="Times New Roman" w:eastAsia="Times New Roman" w:hAnsi="Times New Roman" w:cs="Times New Roman"/>
      <w:lang w:eastAsia="lv-LV"/>
    </w:rPr>
  </w:style>
  <w:style w:type="paragraph" w:customStyle="1" w:styleId="Default">
    <w:name w:val="Default"/>
    <w:rsid w:val="000952B3"/>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paragraph" w:customStyle="1" w:styleId="naiskr">
    <w:name w:val="naiskr"/>
    <w:basedOn w:val="Normal"/>
    <w:rsid w:val="000952B3"/>
    <w:pPr>
      <w:spacing w:before="100" w:beforeAutospacing="1" w:after="100" w:afterAutospacing="1"/>
    </w:pPr>
    <w:rPr>
      <w:rFonts w:eastAsia="Times New Roman"/>
    </w:rPr>
  </w:style>
  <w:style w:type="paragraph" w:customStyle="1" w:styleId="naisnod">
    <w:name w:val="naisnod"/>
    <w:basedOn w:val="Normal"/>
    <w:rsid w:val="000952B3"/>
    <w:pPr>
      <w:spacing w:before="100" w:beforeAutospacing="1" w:after="100" w:afterAutospacing="1"/>
    </w:pPr>
    <w:rPr>
      <w:rFonts w:eastAsia="Times New Roman"/>
    </w:rPr>
  </w:style>
  <w:style w:type="character" w:styleId="CommentReference">
    <w:name w:val="annotation reference"/>
    <w:unhideWhenUsed/>
    <w:rsid w:val="00055596"/>
    <w:rPr>
      <w:sz w:val="16"/>
      <w:szCs w:val="16"/>
    </w:rPr>
  </w:style>
  <w:style w:type="paragraph" w:styleId="CommentText">
    <w:name w:val="annotation text"/>
    <w:basedOn w:val="Normal"/>
    <w:link w:val="CommentTextChar"/>
    <w:unhideWhenUsed/>
    <w:rsid w:val="00055596"/>
    <w:pPr>
      <w:spacing w:after="200"/>
    </w:pPr>
    <w:rPr>
      <w:rFonts w:ascii="Calibri" w:hAnsi="Calibri"/>
      <w:sz w:val="20"/>
      <w:szCs w:val="20"/>
      <w:lang w:val="x-none" w:eastAsia="x-none"/>
    </w:rPr>
  </w:style>
  <w:style w:type="character" w:customStyle="1" w:styleId="CommentTextChar">
    <w:name w:val="Comment Text Char"/>
    <w:basedOn w:val="DefaultParagraphFont"/>
    <w:link w:val="CommentText"/>
    <w:rsid w:val="00055596"/>
    <w:rPr>
      <w:rFonts w:ascii="Calibri" w:eastAsia="Calibri" w:hAnsi="Calibri" w:cs="Times New Roman"/>
      <w:sz w:val="20"/>
      <w:szCs w:val="20"/>
      <w:lang w:val="x-none" w:eastAsia="x-none"/>
    </w:rPr>
  </w:style>
  <w:style w:type="paragraph" w:styleId="BalloonText">
    <w:name w:val="Balloon Text"/>
    <w:basedOn w:val="Normal"/>
    <w:link w:val="BalloonTextChar"/>
    <w:uiPriority w:val="99"/>
    <w:semiHidden/>
    <w:unhideWhenUsed/>
    <w:rsid w:val="000555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5596"/>
    <w:rPr>
      <w:rFonts w:ascii="Segoe UI" w:eastAsia="Calibri" w:hAnsi="Segoe UI" w:cs="Segoe UI"/>
      <w:sz w:val="18"/>
      <w:szCs w:val="18"/>
      <w:lang w:eastAsia="lv-LV"/>
    </w:rPr>
  </w:style>
  <w:style w:type="table" w:styleId="TableGrid">
    <w:name w:val="Table Grid"/>
    <w:basedOn w:val="TableNormal"/>
    <w:uiPriority w:val="39"/>
    <w:rsid w:val="00DF40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7A045B"/>
    <w:pPr>
      <w:spacing w:before="100" w:beforeAutospacing="1" w:after="100" w:afterAutospacing="1"/>
    </w:pPr>
    <w:rPr>
      <w:rFonts w:eastAsia="Times New Roman"/>
    </w:rPr>
  </w:style>
  <w:style w:type="paragraph" w:styleId="Header">
    <w:name w:val="header"/>
    <w:basedOn w:val="Normal"/>
    <w:link w:val="HeaderChar"/>
    <w:uiPriority w:val="99"/>
    <w:unhideWhenUsed/>
    <w:rsid w:val="007A045B"/>
    <w:pPr>
      <w:tabs>
        <w:tab w:val="center" w:pos="4153"/>
        <w:tab w:val="right" w:pos="8306"/>
      </w:tabs>
    </w:pPr>
  </w:style>
  <w:style w:type="character" w:customStyle="1" w:styleId="HeaderChar">
    <w:name w:val="Header Char"/>
    <w:basedOn w:val="DefaultParagraphFont"/>
    <w:link w:val="Header"/>
    <w:uiPriority w:val="99"/>
    <w:rsid w:val="007A045B"/>
    <w:rPr>
      <w:rFonts w:ascii="Times New Roman" w:eastAsia="Calibri" w:hAnsi="Times New Roman" w:cs="Times New Roman"/>
      <w:sz w:val="24"/>
      <w:szCs w:val="24"/>
      <w:lang w:eastAsia="lv-LV"/>
    </w:rPr>
  </w:style>
  <w:style w:type="paragraph" w:styleId="Footer">
    <w:name w:val="footer"/>
    <w:basedOn w:val="Normal"/>
    <w:link w:val="FooterChar"/>
    <w:uiPriority w:val="99"/>
    <w:unhideWhenUsed/>
    <w:rsid w:val="007A045B"/>
    <w:pPr>
      <w:tabs>
        <w:tab w:val="center" w:pos="4153"/>
        <w:tab w:val="right" w:pos="8306"/>
      </w:tabs>
    </w:pPr>
  </w:style>
  <w:style w:type="character" w:customStyle="1" w:styleId="FooterChar">
    <w:name w:val="Footer Char"/>
    <w:basedOn w:val="DefaultParagraphFont"/>
    <w:link w:val="Footer"/>
    <w:uiPriority w:val="99"/>
    <w:rsid w:val="007A045B"/>
    <w:rPr>
      <w:rFonts w:ascii="Times New Roman" w:eastAsia="Calibri" w:hAnsi="Times New Roman" w:cs="Times New Roman"/>
      <w:sz w:val="24"/>
      <w:szCs w:val="24"/>
      <w:lang w:eastAsia="lv-LV"/>
    </w:rPr>
  </w:style>
  <w:style w:type="paragraph" w:styleId="CommentSubject">
    <w:name w:val="annotation subject"/>
    <w:basedOn w:val="CommentText"/>
    <w:next w:val="CommentText"/>
    <w:link w:val="CommentSubjectChar"/>
    <w:uiPriority w:val="99"/>
    <w:semiHidden/>
    <w:unhideWhenUsed/>
    <w:rsid w:val="00B94D4E"/>
    <w:pPr>
      <w:spacing w:after="0"/>
    </w:pPr>
    <w:rPr>
      <w:rFonts w:ascii="Times New Roman" w:hAnsi="Times New Roman"/>
      <w:b/>
      <w:bCs/>
      <w:lang w:val="lv-LV" w:eastAsia="lv-LV"/>
    </w:rPr>
  </w:style>
  <w:style w:type="character" w:customStyle="1" w:styleId="CommentSubjectChar">
    <w:name w:val="Comment Subject Char"/>
    <w:basedOn w:val="CommentTextChar"/>
    <w:link w:val="CommentSubject"/>
    <w:uiPriority w:val="99"/>
    <w:semiHidden/>
    <w:rsid w:val="00B94D4E"/>
    <w:rPr>
      <w:rFonts w:ascii="Times New Roman" w:eastAsia="Calibri" w:hAnsi="Times New Roman" w:cs="Times New Roman"/>
      <w:b/>
      <w:bCs/>
      <w:sz w:val="20"/>
      <w:szCs w:val="20"/>
      <w:lang w:val="x-none" w:eastAsia="lv-LV"/>
    </w:rPr>
  </w:style>
  <w:style w:type="paragraph" w:styleId="Revision">
    <w:name w:val="Revision"/>
    <w:hidden/>
    <w:uiPriority w:val="99"/>
    <w:semiHidden/>
    <w:rsid w:val="004040B1"/>
    <w:pPr>
      <w:spacing w:after="0" w:line="240" w:lineRule="auto"/>
    </w:pPr>
    <w:rPr>
      <w:rFonts w:ascii="Times New Roman" w:eastAsia="Calibri" w:hAnsi="Times New Roman" w:cs="Times New Roman"/>
      <w:sz w:val="24"/>
      <w:szCs w:val="24"/>
      <w:lang w:eastAsia="lv-LV"/>
    </w:rPr>
  </w:style>
  <w:style w:type="character" w:styleId="FootnoteReference">
    <w:name w:val="footnote reference"/>
    <w:aliases w:val="Footnote Reference Number,Footnote symbol,SUPERS,Footnote Refernece,ftref,Footnote Reference Superscript,stylish,BVI fnr,Fußnotenzeichen_Raxen,callout,Vēres atsauce,Odwołanie przypisu,Footnotes refss,Ref,de nota al pie,Times 10 Point"/>
    <w:basedOn w:val="DefaultParagraphFont"/>
    <w:link w:val="CharCharCharChar"/>
    <w:uiPriority w:val="99"/>
    <w:unhideWhenUsed/>
    <w:rsid w:val="00B31328"/>
    <w:rPr>
      <w:vertAlign w:val="superscript"/>
    </w:rPr>
  </w:style>
  <w:style w:type="paragraph" w:styleId="FootnoteText">
    <w:name w:val="footnote text"/>
    <w:aliases w:val="Footnote Text Char2,Footnote Text Char1 Char,Footnote Text Char Char Char,Footnote Text Char Char Char Char Char Char Char,Footnote Char Char Char Char Char Char Char,Fußnote Char Char Char Char Char Char Char,Footnote Text Char Char,f"/>
    <w:basedOn w:val="Normal"/>
    <w:link w:val="FootnoteTextChar"/>
    <w:uiPriority w:val="99"/>
    <w:unhideWhenUsed/>
    <w:rsid w:val="003F61CB"/>
    <w:rPr>
      <w:sz w:val="20"/>
      <w:szCs w:val="20"/>
    </w:rPr>
  </w:style>
  <w:style w:type="character" w:customStyle="1" w:styleId="FootnoteTextChar">
    <w:name w:val="Footnote Text Char"/>
    <w:aliases w:val="Footnote Text Char2 Char,Footnote Text Char1 Char Char,Footnote Text Char Char Char Char,Footnote Text Char Char Char Char Char Char Char Char,Footnote Char Char Char Char Char Char Char Char,Footnote Text Char Char Char1,f Char"/>
    <w:basedOn w:val="DefaultParagraphFont"/>
    <w:link w:val="FootnoteText"/>
    <w:uiPriority w:val="99"/>
    <w:rsid w:val="003F61CB"/>
    <w:rPr>
      <w:rFonts w:ascii="Times New Roman" w:eastAsia="Calibri" w:hAnsi="Times New Roman" w:cs="Times New Roman"/>
      <w:sz w:val="20"/>
      <w:szCs w:val="20"/>
      <w:lang w:eastAsia="lv-LV"/>
    </w:rPr>
  </w:style>
  <w:style w:type="paragraph" w:customStyle="1" w:styleId="CharCharCharChar">
    <w:name w:val="Char Char Char Char"/>
    <w:aliases w:val="Char2"/>
    <w:basedOn w:val="Normal"/>
    <w:next w:val="Normal"/>
    <w:link w:val="FootnoteReference"/>
    <w:uiPriority w:val="99"/>
    <w:rsid w:val="00782C36"/>
    <w:pPr>
      <w:spacing w:after="160" w:line="240" w:lineRule="exact"/>
      <w:jc w:val="both"/>
      <w:textAlignment w:val="baseline"/>
    </w:pPr>
    <w:rPr>
      <w:rFonts w:asciiTheme="minorHAnsi" w:eastAsiaTheme="minorHAnsi" w:hAnsiTheme="minorHAnsi" w:cstheme="minorBidi"/>
      <w:sz w:val="22"/>
      <w:szCs w:val="22"/>
      <w:vertAlign w:val="superscript"/>
      <w:lang w:eastAsia="en-US"/>
    </w:rPr>
  </w:style>
  <w:style w:type="paragraph" w:styleId="PlainText">
    <w:name w:val="Plain Text"/>
    <w:basedOn w:val="Normal"/>
    <w:link w:val="PlainTextChar"/>
    <w:uiPriority w:val="99"/>
    <w:unhideWhenUsed/>
    <w:rsid w:val="00782C36"/>
    <w:rPr>
      <w:rFonts w:ascii="Calibri" w:hAnsi="Calibri"/>
      <w:color w:val="1F497D"/>
      <w:sz w:val="22"/>
      <w:szCs w:val="21"/>
      <w:lang w:val="x-none" w:eastAsia="en-US"/>
    </w:rPr>
  </w:style>
  <w:style w:type="character" w:customStyle="1" w:styleId="PlainTextChar">
    <w:name w:val="Plain Text Char"/>
    <w:basedOn w:val="DefaultParagraphFont"/>
    <w:link w:val="PlainText"/>
    <w:uiPriority w:val="99"/>
    <w:rsid w:val="00782C36"/>
    <w:rPr>
      <w:rFonts w:ascii="Calibri" w:eastAsia="Calibri" w:hAnsi="Calibri" w:cs="Times New Roman"/>
      <w:color w:val="1F497D"/>
      <w:szCs w:val="21"/>
      <w:lang w:val="x-none"/>
    </w:rPr>
  </w:style>
  <w:style w:type="character" w:customStyle="1" w:styleId="Heading1Char">
    <w:name w:val="Heading 1 Char"/>
    <w:basedOn w:val="DefaultParagraphFont"/>
    <w:link w:val="Heading1"/>
    <w:uiPriority w:val="9"/>
    <w:rsid w:val="00814FDD"/>
    <w:rPr>
      <w:rFonts w:ascii="Times New Roman" w:eastAsia="Times New Roman" w:hAnsi="Times New Roman" w:cs="Times New Roman"/>
      <w:b/>
      <w:bCs/>
      <w:kern w:val="36"/>
      <w:sz w:val="48"/>
      <w:szCs w:val="48"/>
      <w:lang w:val="en-US"/>
    </w:rPr>
  </w:style>
  <w:style w:type="paragraph" w:customStyle="1" w:styleId="tv213">
    <w:name w:val="tv213"/>
    <w:basedOn w:val="Normal"/>
    <w:rsid w:val="001144E3"/>
    <w:pPr>
      <w:spacing w:before="100" w:beforeAutospacing="1" w:after="100" w:afterAutospacing="1"/>
    </w:pPr>
    <w:rPr>
      <w:rFonts w:eastAsia="Times New Roman"/>
    </w:rPr>
  </w:style>
  <w:style w:type="paragraph" w:styleId="Title">
    <w:name w:val="Title"/>
    <w:basedOn w:val="Normal"/>
    <w:link w:val="TitleChar"/>
    <w:uiPriority w:val="10"/>
    <w:qFormat/>
    <w:rsid w:val="007B2909"/>
    <w:pPr>
      <w:spacing w:before="120" w:after="120" w:line="276" w:lineRule="auto"/>
      <w:jc w:val="center"/>
    </w:pPr>
    <w:rPr>
      <w:rFonts w:eastAsia="Times New Roman"/>
      <w:b/>
      <w:sz w:val="28"/>
      <w:szCs w:val="28"/>
      <w:lang w:eastAsia="en-US"/>
    </w:rPr>
  </w:style>
  <w:style w:type="character" w:customStyle="1" w:styleId="TitleChar">
    <w:name w:val="Title Char"/>
    <w:basedOn w:val="DefaultParagraphFont"/>
    <w:link w:val="Title"/>
    <w:uiPriority w:val="10"/>
    <w:rsid w:val="007B2909"/>
    <w:rPr>
      <w:rFonts w:ascii="Times New Roman" w:eastAsia="Times New Roman" w:hAnsi="Times New Roman" w:cs="Times New Roman"/>
      <w:b/>
      <w:sz w:val="28"/>
      <w:szCs w:val="28"/>
    </w:rPr>
  </w:style>
  <w:style w:type="paragraph" w:styleId="BodyText">
    <w:name w:val="Body Text"/>
    <w:basedOn w:val="Normal"/>
    <w:link w:val="BodyTextChar"/>
    <w:rsid w:val="007B2909"/>
    <w:pPr>
      <w:spacing w:before="120" w:after="120" w:line="276" w:lineRule="auto"/>
    </w:pPr>
    <w:rPr>
      <w:rFonts w:eastAsia="Times New Roman"/>
      <w:b/>
      <w:bCs/>
      <w:lang w:val="en-GB" w:eastAsia="en-US"/>
    </w:rPr>
  </w:style>
  <w:style w:type="character" w:customStyle="1" w:styleId="BodyTextChar">
    <w:name w:val="Body Text Char"/>
    <w:basedOn w:val="DefaultParagraphFont"/>
    <w:link w:val="BodyText"/>
    <w:rsid w:val="007B2909"/>
    <w:rPr>
      <w:rFonts w:ascii="Times New Roman" w:eastAsia="Times New Roman" w:hAnsi="Times New Roman" w:cs="Times New Roman"/>
      <w:b/>
      <w:bCs/>
      <w:sz w:val="24"/>
      <w:szCs w:val="24"/>
      <w:lang w:val="en-GB"/>
    </w:rPr>
  </w:style>
  <w:style w:type="paragraph" w:customStyle="1" w:styleId="tvhtml">
    <w:name w:val="tv_html"/>
    <w:basedOn w:val="Normal"/>
    <w:rsid w:val="008F68BE"/>
    <w:pPr>
      <w:spacing w:before="100" w:beforeAutospacing="1" w:after="100" w:afterAutospacing="1"/>
    </w:pPr>
    <w:rPr>
      <w:rFonts w:eastAsia="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683372">
      <w:bodyDiv w:val="1"/>
      <w:marLeft w:val="0"/>
      <w:marRight w:val="0"/>
      <w:marTop w:val="0"/>
      <w:marBottom w:val="0"/>
      <w:divBdr>
        <w:top w:val="none" w:sz="0" w:space="0" w:color="auto"/>
        <w:left w:val="none" w:sz="0" w:space="0" w:color="auto"/>
        <w:bottom w:val="none" w:sz="0" w:space="0" w:color="auto"/>
        <w:right w:val="none" w:sz="0" w:space="0" w:color="auto"/>
      </w:divBdr>
    </w:div>
    <w:div w:id="158230493">
      <w:bodyDiv w:val="1"/>
      <w:marLeft w:val="0"/>
      <w:marRight w:val="0"/>
      <w:marTop w:val="0"/>
      <w:marBottom w:val="0"/>
      <w:divBdr>
        <w:top w:val="none" w:sz="0" w:space="0" w:color="auto"/>
        <w:left w:val="none" w:sz="0" w:space="0" w:color="auto"/>
        <w:bottom w:val="none" w:sz="0" w:space="0" w:color="auto"/>
        <w:right w:val="none" w:sz="0" w:space="0" w:color="auto"/>
      </w:divBdr>
    </w:div>
    <w:div w:id="255794755">
      <w:bodyDiv w:val="1"/>
      <w:marLeft w:val="0"/>
      <w:marRight w:val="0"/>
      <w:marTop w:val="0"/>
      <w:marBottom w:val="0"/>
      <w:divBdr>
        <w:top w:val="none" w:sz="0" w:space="0" w:color="auto"/>
        <w:left w:val="none" w:sz="0" w:space="0" w:color="auto"/>
        <w:bottom w:val="none" w:sz="0" w:space="0" w:color="auto"/>
        <w:right w:val="none" w:sz="0" w:space="0" w:color="auto"/>
      </w:divBdr>
    </w:div>
    <w:div w:id="634409358">
      <w:bodyDiv w:val="1"/>
      <w:marLeft w:val="0"/>
      <w:marRight w:val="0"/>
      <w:marTop w:val="0"/>
      <w:marBottom w:val="0"/>
      <w:divBdr>
        <w:top w:val="none" w:sz="0" w:space="0" w:color="auto"/>
        <w:left w:val="none" w:sz="0" w:space="0" w:color="auto"/>
        <w:bottom w:val="none" w:sz="0" w:space="0" w:color="auto"/>
        <w:right w:val="none" w:sz="0" w:space="0" w:color="auto"/>
      </w:divBdr>
    </w:div>
    <w:div w:id="653146846">
      <w:bodyDiv w:val="1"/>
      <w:marLeft w:val="0"/>
      <w:marRight w:val="0"/>
      <w:marTop w:val="0"/>
      <w:marBottom w:val="0"/>
      <w:divBdr>
        <w:top w:val="none" w:sz="0" w:space="0" w:color="auto"/>
        <w:left w:val="none" w:sz="0" w:space="0" w:color="auto"/>
        <w:bottom w:val="none" w:sz="0" w:space="0" w:color="auto"/>
        <w:right w:val="none" w:sz="0" w:space="0" w:color="auto"/>
      </w:divBdr>
    </w:div>
    <w:div w:id="1058241921">
      <w:bodyDiv w:val="1"/>
      <w:marLeft w:val="0"/>
      <w:marRight w:val="0"/>
      <w:marTop w:val="0"/>
      <w:marBottom w:val="0"/>
      <w:divBdr>
        <w:top w:val="none" w:sz="0" w:space="0" w:color="auto"/>
        <w:left w:val="none" w:sz="0" w:space="0" w:color="auto"/>
        <w:bottom w:val="none" w:sz="0" w:space="0" w:color="auto"/>
        <w:right w:val="none" w:sz="0" w:space="0" w:color="auto"/>
      </w:divBdr>
    </w:div>
    <w:div w:id="1344091829">
      <w:bodyDiv w:val="1"/>
      <w:marLeft w:val="0"/>
      <w:marRight w:val="0"/>
      <w:marTop w:val="0"/>
      <w:marBottom w:val="0"/>
      <w:divBdr>
        <w:top w:val="none" w:sz="0" w:space="0" w:color="auto"/>
        <w:left w:val="none" w:sz="0" w:space="0" w:color="auto"/>
        <w:bottom w:val="none" w:sz="0" w:space="0" w:color="auto"/>
        <w:right w:val="none" w:sz="0" w:space="0" w:color="auto"/>
      </w:divBdr>
    </w:div>
    <w:div w:id="1456213429">
      <w:bodyDiv w:val="1"/>
      <w:marLeft w:val="0"/>
      <w:marRight w:val="0"/>
      <w:marTop w:val="0"/>
      <w:marBottom w:val="0"/>
      <w:divBdr>
        <w:top w:val="none" w:sz="0" w:space="0" w:color="auto"/>
        <w:left w:val="none" w:sz="0" w:space="0" w:color="auto"/>
        <w:bottom w:val="none" w:sz="0" w:space="0" w:color="auto"/>
        <w:right w:val="none" w:sz="0" w:space="0" w:color="auto"/>
      </w:divBdr>
    </w:div>
    <w:div w:id="1677734371">
      <w:bodyDiv w:val="1"/>
      <w:marLeft w:val="0"/>
      <w:marRight w:val="0"/>
      <w:marTop w:val="0"/>
      <w:marBottom w:val="0"/>
      <w:divBdr>
        <w:top w:val="none" w:sz="0" w:space="0" w:color="auto"/>
        <w:left w:val="none" w:sz="0" w:space="0" w:color="auto"/>
        <w:bottom w:val="none" w:sz="0" w:space="0" w:color="auto"/>
        <w:right w:val="none" w:sz="0" w:space="0" w:color="auto"/>
      </w:divBdr>
    </w:div>
    <w:div w:id="1757287477">
      <w:bodyDiv w:val="1"/>
      <w:marLeft w:val="0"/>
      <w:marRight w:val="0"/>
      <w:marTop w:val="0"/>
      <w:marBottom w:val="0"/>
      <w:divBdr>
        <w:top w:val="none" w:sz="0" w:space="0" w:color="auto"/>
        <w:left w:val="none" w:sz="0" w:space="0" w:color="auto"/>
        <w:bottom w:val="none" w:sz="0" w:space="0" w:color="auto"/>
        <w:right w:val="none" w:sz="0" w:space="0" w:color="auto"/>
      </w:divBdr>
    </w:div>
    <w:div w:id="1832287755">
      <w:bodyDiv w:val="1"/>
      <w:marLeft w:val="0"/>
      <w:marRight w:val="0"/>
      <w:marTop w:val="0"/>
      <w:marBottom w:val="0"/>
      <w:divBdr>
        <w:top w:val="none" w:sz="0" w:space="0" w:color="auto"/>
        <w:left w:val="none" w:sz="0" w:space="0" w:color="auto"/>
        <w:bottom w:val="none" w:sz="0" w:space="0" w:color="auto"/>
        <w:right w:val="none" w:sz="0" w:space="0" w:color="auto"/>
      </w:divBdr>
    </w:div>
    <w:div w:id="2013874120">
      <w:bodyDiv w:val="1"/>
      <w:marLeft w:val="0"/>
      <w:marRight w:val="0"/>
      <w:marTop w:val="0"/>
      <w:marBottom w:val="0"/>
      <w:divBdr>
        <w:top w:val="none" w:sz="0" w:space="0" w:color="auto"/>
        <w:left w:val="none" w:sz="0" w:space="0" w:color="auto"/>
        <w:bottom w:val="none" w:sz="0" w:space="0" w:color="auto"/>
        <w:right w:val="none" w:sz="0" w:space="0" w:color="auto"/>
      </w:divBdr>
    </w:div>
    <w:div w:id="2060477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pvis.esfondi.lv/LV/AttistibasPlans/Index" TargetMode="External"/><Relationship Id="rId13" Type="http://schemas.openxmlformats.org/officeDocument/2006/relationships/hyperlink" Target="http://eur-lex.europa.eu/eli/reg/2013/1407/oj/?locale=LV"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ur-lex.europa.eu/eli/reg/2014/651?locale=L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eli/reg/2013/1407/oj/?locale=LV" TargetMode="External"/><Relationship Id="rId5" Type="http://schemas.openxmlformats.org/officeDocument/2006/relationships/webSettings" Target="webSettings.xml"/><Relationship Id="rId15" Type="http://schemas.openxmlformats.org/officeDocument/2006/relationships/hyperlink" Target="mailto:ieva.grike@izm.gov.lv" TargetMode="External"/><Relationship Id="rId10" Type="http://schemas.openxmlformats.org/officeDocument/2006/relationships/hyperlink" Target="http://eur-lex.europa.eu/eli/reg/2014/651?locale=L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ur-lex.europa.eu/eli/reg/2014/651?locale=LV" TargetMode="External"/><Relationship Id="rId14" Type="http://schemas.openxmlformats.org/officeDocument/2006/relationships/hyperlink" Target="mailto:elina.usare@izm.gov.lv"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tap.mk.gov.lv/lv/mk/tap/?pid=40414024" TargetMode="External"/><Relationship Id="rId1" Type="http://schemas.openxmlformats.org/officeDocument/2006/relationships/hyperlink" Target="https://cfla.gov.lv/lv/es-fondi-2014-2020/izsludinatas-atlases/1-1-1-5-k-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C51C95-B416-4EBC-AE25-080E58E63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21816</Words>
  <Characters>12436</Characters>
  <Application>Microsoft Office Word</Application>
  <DocSecurity>0</DocSecurity>
  <Lines>103</Lines>
  <Paragraphs>68</Paragraphs>
  <ScaleCrop>false</ScaleCrop>
  <HeadingPairs>
    <vt:vector size="2" baseType="variant">
      <vt:variant>
        <vt:lpstr>Title</vt:lpstr>
      </vt:variant>
      <vt:variant>
        <vt:i4>1</vt:i4>
      </vt:variant>
    </vt:vector>
  </HeadingPairs>
  <TitlesOfParts>
    <vt:vector size="1" baseType="lpstr">
      <vt:lpstr>Anotācija</vt:lpstr>
    </vt:vector>
  </TitlesOfParts>
  <Company>IZM</Company>
  <LinksUpToDate>false</LinksUpToDate>
  <CharactersWithSpaces>34184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Anotācija</dc:title>
  <dc:subject>MK noteikumu grozījumi</dc:subject>
  <dc:creator>Elīna Usāre</dc:creator>
  <dc:description>E.Usāre
67047818
Elina.Usare@izm.gov.lv</dc:description>
  <cp:lastModifiedBy>Ieva Grike</cp:lastModifiedBy>
  <cp:revision>2</cp:revision>
  <cp:lastPrinted>2019-06-06T07:47:00Z</cp:lastPrinted>
  <dcterms:created xsi:type="dcterms:W3CDTF">2019-08-16T11:49:00Z</dcterms:created>
  <dcterms:modified xsi:type="dcterms:W3CDTF">2019-08-16T11:49:00Z</dcterms:modified>
</cp:coreProperties>
</file>