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E15D" w14:textId="77777777" w:rsidR="005B6DA0" w:rsidRDefault="005B6DA0" w:rsidP="001302DC">
      <w:pPr>
        <w:jc w:val="center"/>
        <w:rPr>
          <w:b/>
          <w:sz w:val="26"/>
          <w:szCs w:val="26"/>
        </w:rPr>
      </w:pPr>
      <w:bookmarkStart w:id="0" w:name="_GoBack"/>
      <w:bookmarkEnd w:id="0"/>
    </w:p>
    <w:p w14:paraId="033181F4" w14:textId="617E633D" w:rsidR="001302DC" w:rsidRPr="005B6DA0" w:rsidRDefault="001302DC" w:rsidP="001302DC">
      <w:pPr>
        <w:jc w:val="center"/>
        <w:rPr>
          <w:b/>
          <w:sz w:val="26"/>
          <w:szCs w:val="26"/>
        </w:rPr>
      </w:pPr>
      <w:r w:rsidRPr="005B6DA0">
        <w:rPr>
          <w:b/>
          <w:sz w:val="26"/>
          <w:szCs w:val="26"/>
        </w:rPr>
        <w:t xml:space="preserve">Informatīvais ziņojums </w:t>
      </w:r>
      <w:r w:rsidR="00F15CD5" w:rsidRPr="005B6DA0">
        <w:rPr>
          <w:b/>
          <w:sz w:val="26"/>
          <w:szCs w:val="26"/>
        </w:rPr>
        <w:t xml:space="preserve">par Latvijas sadarbību ar Eiropas Kosmosa aģentūru no 2020.gada </w:t>
      </w:r>
    </w:p>
    <w:p w14:paraId="0CC1777A" w14:textId="77777777" w:rsidR="00F15CD5" w:rsidRDefault="00F15CD5" w:rsidP="00CB7DEA">
      <w:pPr>
        <w:tabs>
          <w:tab w:val="left" w:pos="1134"/>
        </w:tabs>
        <w:spacing w:after="120"/>
        <w:contextualSpacing/>
        <w:rPr>
          <w:rFonts w:eastAsia="Times New Roman"/>
          <w:bCs/>
          <w:color w:val="000000" w:themeColor="text1"/>
          <w:sz w:val="26"/>
          <w:szCs w:val="26"/>
        </w:rPr>
      </w:pPr>
    </w:p>
    <w:p w14:paraId="59ED6E6C" w14:textId="77777777" w:rsidR="005B6DA0" w:rsidRPr="005B6DA0" w:rsidRDefault="005B6DA0" w:rsidP="00CB7DEA">
      <w:pPr>
        <w:tabs>
          <w:tab w:val="left" w:pos="1134"/>
        </w:tabs>
        <w:spacing w:after="120"/>
        <w:contextualSpacing/>
        <w:rPr>
          <w:rFonts w:eastAsia="Times New Roman"/>
          <w:bCs/>
          <w:color w:val="000000" w:themeColor="text1"/>
          <w:sz w:val="26"/>
          <w:szCs w:val="26"/>
        </w:rPr>
      </w:pPr>
    </w:p>
    <w:p w14:paraId="63456A3B" w14:textId="2B378050" w:rsidR="00097393" w:rsidRPr="00097393" w:rsidRDefault="004A5A0B" w:rsidP="00097393">
      <w:pPr>
        <w:tabs>
          <w:tab w:val="left" w:pos="720"/>
        </w:tabs>
        <w:spacing w:after="120"/>
        <w:contextualSpacing/>
        <w:rPr>
          <w:rFonts w:eastAsia="Times New Roman"/>
          <w:bCs/>
          <w:color w:val="000000" w:themeColor="text1"/>
          <w:sz w:val="26"/>
          <w:szCs w:val="26"/>
        </w:rPr>
      </w:pPr>
      <w:r w:rsidRPr="005B6DA0">
        <w:rPr>
          <w:rFonts w:eastAsia="Times New Roman"/>
          <w:bCs/>
          <w:color w:val="000000" w:themeColor="text1"/>
          <w:sz w:val="26"/>
          <w:szCs w:val="26"/>
        </w:rPr>
        <w:tab/>
      </w:r>
      <w:r w:rsidR="00097393" w:rsidRPr="00097393">
        <w:rPr>
          <w:rFonts w:eastAsia="Times New Roman"/>
          <w:bCs/>
          <w:color w:val="000000" w:themeColor="text1"/>
          <w:sz w:val="26"/>
          <w:szCs w:val="26"/>
        </w:rPr>
        <w:t>Izglītības un zinātnes ministrija (turpmāk</w:t>
      </w:r>
      <w:r w:rsidR="00883DA6">
        <w:rPr>
          <w:rFonts w:eastAsia="Times New Roman"/>
          <w:bCs/>
          <w:color w:val="000000" w:themeColor="text1"/>
          <w:sz w:val="26"/>
          <w:szCs w:val="26"/>
        </w:rPr>
        <w:t xml:space="preserve"> </w:t>
      </w:r>
      <w:r w:rsidR="00097393" w:rsidRPr="00097393">
        <w:rPr>
          <w:rFonts w:eastAsia="Times New Roman"/>
          <w:bCs/>
          <w:color w:val="000000" w:themeColor="text1"/>
          <w:sz w:val="26"/>
          <w:szCs w:val="26"/>
        </w:rPr>
        <w:t>- IZM) ir izstrādājusi</w:t>
      </w:r>
      <w:r w:rsidR="00097393">
        <w:rPr>
          <w:rFonts w:eastAsia="Times New Roman"/>
          <w:bCs/>
          <w:color w:val="000000" w:themeColor="text1"/>
          <w:sz w:val="26"/>
          <w:szCs w:val="26"/>
        </w:rPr>
        <w:t xml:space="preserve"> i</w:t>
      </w:r>
      <w:r w:rsidR="00097393" w:rsidRPr="00097393">
        <w:rPr>
          <w:rFonts w:eastAsia="Times New Roman"/>
          <w:bCs/>
          <w:color w:val="000000" w:themeColor="text1"/>
          <w:sz w:val="26"/>
          <w:szCs w:val="26"/>
        </w:rPr>
        <w:t>nformatīvo ziņojumu par Latvijas sadarbību ar Eiropas Kosmosa aģentūru no 2020.gada (turpmāk – ziņojums), pamatojoties uz Valdības rīcības plāna Deklarācijas par Artura Krišjāņa Kariņa vadītā Ministru kabineta iecerēto darbību īstenošanai 57.1. punktu</w:t>
      </w:r>
      <w:r w:rsidR="00097393" w:rsidRPr="00097393">
        <w:rPr>
          <w:rFonts w:eastAsia="Times New Roman"/>
          <w:bCs/>
          <w:color w:val="000000" w:themeColor="text1"/>
          <w:sz w:val="26"/>
          <w:szCs w:val="26"/>
          <w:vertAlign w:val="superscript"/>
        </w:rPr>
        <w:footnoteReference w:id="1"/>
      </w:r>
      <w:r w:rsidR="00097393" w:rsidRPr="00097393">
        <w:rPr>
          <w:rFonts w:eastAsia="Times New Roman"/>
          <w:bCs/>
          <w:color w:val="000000" w:themeColor="text1"/>
          <w:sz w:val="26"/>
          <w:szCs w:val="26"/>
        </w:rPr>
        <w:t xml:space="preserve"> un Latvijas Republikas valdības un Eiropas Kosmosa aģentūras Eiropas sadarbības valsts līguma</w:t>
      </w:r>
      <w:r w:rsidR="00097393" w:rsidRPr="00097393">
        <w:rPr>
          <w:rFonts w:eastAsia="Times New Roman"/>
          <w:bCs/>
          <w:color w:val="000000" w:themeColor="text1"/>
          <w:sz w:val="26"/>
          <w:szCs w:val="26"/>
          <w:vertAlign w:val="superscript"/>
        </w:rPr>
        <w:footnoteReference w:id="2"/>
      </w:r>
      <w:r w:rsidR="00097393" w:rsidRPr="00097393">
        <w:rPr>
          <w:rFonts w:eastAsia="Times New Roman"/>
          <w:bCs/>
          <w:color w:val="000000" w:themeColor="text1"/>
          <w:sz w:val="26"/>
          <w:szCs w:val="26"/>
        </w:rPr>
        <w:t xml:space="preserve"> (turpmāk – ESV līgums)</w:t>
      </w:r>
      <w:r w:rsidR="00883DA6">
        <w:rPr>
          <w:rFonts w:eastAsia="Times New Roman"/>
          <w:bCs/>
          <w:color w:val="000000" w:themeColor="text1"/>
          <w:sz w:val="26"/>
          <w:szCs w:val="26"/>
        </w:rPr>
        <w:t>,</w:t>
      </w:r>
      <w:r w:rsidR="00097393" w:rsidRPr="00097393">
        <w:rPr>
          <w:rFonts w:eastAsia="Times New Roman"/>
          <w:bCs/>
          <w:color w:val="000000" w:themeColor="text1"/>
          <w:sz w:val="26"/>
          <w:szCs w:val="26"/>
        </w:rPr>
        <w:t xml:space="preserve"> kas stājās spēkā 2015.gada 30.janvārī un</w:t>
      </w:r>
      <w:r w:rsidR="00097393">
        <w:rPr>
          <w:rFonts w:eastAsia="Times New Roman"/>
          <w:bCs/>
          <w:color w:val="000000" w:themeColor="text1"/>
          <w:sz w:val="26"/>
          <w:szCs w:val="26"/>
        </w:rPr>
        <w:t xml:space="preserve"> </w:t>
      </w:r>
      <w:r w:rsidR="00097393" w:rsidRPr="00097393">
        <w:rPr>
          <w:rFonts w:eastAsia="Times New Roman"/>
          <w:bCs/>
          <w:color w:val="000000" w:themeColor="text1"/>
          <w:sz w:val="26"/>
          <w:szCs w:val="26"/>
        </w:rPr>
        <w:t xml:space="preserve">ir noslēgts uz pieciem gadiem, </w:t>
      </w:r>
      <w:r w:rsidR="00883DA6">
        <w:rPr>
          <w:rFonts w:eastAsia="Times New Roman"/>
          <w:bCs/>
          <w:color w:val="000000" w:themeColor="text1"/>
          <w:sz w:val="26"/>
          <w:szCs w:val="26"/>
        </w:rPr>
        <w:t xml:space="preserve">saskaņā ar ESV līguma </w:t>
      </w:r>
      <w:r w:rsidR="00097393" w:rsidRPr="00097393">
        <w:rPr>
          <w:rFonts w:eastAsia="Times New Roman"/>
          <w:bCs/>
          <w:color w:val="000000" w:themeColor="text1"/>
          <w:sz w:val="26"/>
          <w:szCs w:val="26"/>
        </w:rPr>
        <w:t xml:space="preserve">15.1. un 15.2.punktu. ESV līguma darbības termiņš izbeidzas 2020.gada 29.janvārī, un, lai turpinātu sadarbību ar Eiropas Kosmosa aģentūru (turpmāk – EKA), ir jānoslēdz jauns līgums un jāizvēlas nākamais sadarbības modelis Latvijas sadarbībai ar EKA no 2020.gada. </w:t>
      </w:r>
    </w:p>
    <w:p w14:paraId="790941CE" w14:textId="77777777" w:rsidR="00097393" w:rsidRPr="00097393" w:rsidRDefault="00097393" w:rsidP="00097393">
      <w:p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ab/>
        <w:t xml:space="preserve">Informatīvajā ziņojumā veiktā Latvijas un EKA līdzšinējā sadarbības analīze, kā arī piedāvātais nākotnes sadarbības modelis balstās uz EKA gala novērtējuma ziņojumu un IZM pasūtīto neatkarīgo </w:t>
      </w:r>
      <w:proofErr w:type="spellStart"/>
      <w:r w:rsidRPr="00097393">
        <w:rPr>
          <w:rFonts w:eastAsia="Times New Roman"/>
          <w:bCs/>
          <w:color w:val="000000" w:themeColor="text1"/>
          <w:sz w:val="26"/>
          <w:szCs w:val="26"/>
        </w:rPr>
        <w:t>izvērtējumu</w:t>
      </w:r>
      <w:proofErr w:type="spellEnd"/>
      <w:r w:rsidRPr="00097393">
        <w:rPr>
          <w:rFonts w:eastAsia="Times New Roman"/>
          <w:bCs/>
          <w:color w:val="000000" w:themeColor="text1"/>
          <w:sz w:val="26"/>
          <w:szCs w:val="26"/>
        </w:rPr>
        <w:t xml:space="preserve"> par </w:t>
      </w:r>
      <w:proofErr w:type="spellStart"/>
      <w:r w:rsidRPr="00097393">
        <w:rPr>
          <w:rFonts w:eastAsia="Times New Roman"/>
          <w:bCs/>
          <w:i/>
          <w:color w:val="000000" w:themeColor="text1"/>
          <w:sz w:val="26"/>
          <w:szCs w:val="26"/>
        </w:rPr>
        <w:t>ex</w:t>
      </w:r>
      <w:proofErr w:type="spellEnd"/>
      <w:r w:rsidRPr="00097393">
        <w:rPr>
          <w:rFonts w:eastAsia="Times New Roman"/>
          <w:bCs/>
          <w:i/>
          <w:color w:val="000000" w:themeColor="text1"/>
          <w:sz w:val="26"/>
          <w:szCs w:val="26"/>
        </w:rPr>
        <w:t>-post</w:t>
      </w:r>
      <w:r w:rsidRPr="00097393">
        <w:rPr>
          <w:rFonts w:eastAsia="Times New Roman"/>
          <w:bCs/>
          <w:color w:val="000000" w:themeColor="text1"/>
          <w:sz w:val="26"/>
          <w:szCs w:val="26"/>
        </w:rPr>
        <w:t xml:space="preserve"> (rezultātu un ietekmes vērtējums) novērtējumu un </w:t>
      </w:r>
      <w:proofErr w:type="spellStart"/>
      <w:r w:rsidRPr="00097393">
        <w:rPr>
          <w:rFonts w:eastAsia="Times New Roman"/>
          <w:bCs/>
          <w:i/>
          <w:color w:val="000000" w:themeColor="text1"/>
          <w:sz w:val="26"/>
          <w:szCs w:val="26"/>
        </w:rPr>
        <w:t>ex-ante</w:t>
      </w:r>
      <w:proofErr w:type="spellEnd"/>
      <w:r w:rsidRPr="00097393">
        <w:rPr>
          <w:rFonts w:eastAsia="Times New Roman"/>
          <w:bCs/>
          <w:color w:val="000000" w:themeColor="text1"/>
          <w:sz w:val="26"/>
          <w:szCs w:val="26"/>
        </w:rPr>
        <w:t xml:space="preserve"> (sākuma) analīzi par Latvijas dalību EKA aktivitātēs.</w:t>
      </w:r>
      <w:r w:rsidRPr="00097393">
        <w:rPr>
          <w:rFonts w:eastAsia="Times New Roman"/>
          <w:bCs/>
          <w:color w:val="000000" w:themeColor="text1"/>
          <w:sz w:val="26"/>
          <w:szCs w:val="26"/>
          <w:vertAlign w:val="superscript"/>
        </w:rPr>
        <w:footnoteReference w:id="3"/>
      </w:r>
      <w:r w:rsidRPr="00097393">
        <w:rPr>
          <w:rFonts w:eastAsia="Times New Roman"/>
          <w:bCs/>
          <w:color w:val="000000" w:themeColor="text1"/>
          <w:sz w:val="26"/>
          <w:szCs w:val="26"/>
        </w:rPr>
        <w:t xml:space="preserve"> </w:t>
      </w:r>
    </w:p>
    <w:p w14:paraId="601CD3FC" w14:textId="6550AE8E" w:rsidR="004A5A0B" w:rsidRPr="005B6DA0" w:rsidRDefault="004A5A0B" w:rsidP="00097393">
      <w:pPr>
        <w:tabs>
          <w:tab w:val="left" w:pos="720"/>
        </w:tabs>
        <w:spacing w:after="120"/>
        <w:contextualSpacing/>
        <w:rPr>
          <w:rFonts w:eastAsia="Times New Roman"/>
          <w:bCs/>
          <w:color w:val="000000" w:themeColor="text1"/>
          <w:sz w:val="26"/>
          <w:szCs w:val="26"/>
        </w:rPr>
      </w:pPr>
    </w:p>
    <w:p w14:paraId="4CFD5B2A" w14:textId="5FDAF6DB" w:rsidR="004A5A0B" w:rsidRPr="005B6DA0" w:rsidRDefault="004A5A0B" w:rsidP="005A235B">
      <w:pPr>
        <w:tabs>
          <w:tab w:val="left" w:pos="720"/>
        </w:tabs>
        <w:spacing w:after="120"/>
        <w:contextualSpacing/>
        <w:jc w:val="center"/>
        <w:rPr>
          <w:rFonts w:eastAsia="Times New Roman"/>
          <w:b/>
          <w:bCs/>
          <w:color w:val="000000" w:themeColor="text1"/>
          <w:sz w:val="26"/>
          <w:szCs w:val="26"/>
        </w:rPr>
      </w:pPr>
      <w:r w:rsidRPr="005B6DA0">
        <w:rPr>
          <w:rFonts w:eastAsia="Times New Roman"/>
          <w:b/>
          <w:bCs/>
          <w:color w:val="000000" w:themeColor="text1"/>
          <w:sz w:val="26"/>
          <w:szCs w:val="26"/>
        </w:rPr>
        <w:t xml:space="preserve">Latvijas un EKA sadarbības novērtējums periodā no 2015.gada </w:t>
      </w:r>
      <w:r w:rsidR="006A651D" w:rsidRPr="005B6DA0">
        <w:rPr>
          <w:rFonts w:eastAsia="Times New Roman"/>
          <w:b/>
          <w:bCs/>
          <w:color w:val="000000" w:themeColor="text1"/>
          <w:sz w:val="26"/>
          <w:szCs w:val="26"/>
        </w:rPr>
        <w:t>līdz 2019.gadam</w:t>
      </w:r>
    </w:p>
    <w:p w14:paraId="300E462E" w14:textId="77777777" w:rsidR="00F15CD5" w:rsidRPr="005B6DA0" w:rsidRDefault="00F15CD5" w:rsidP="004A5A0B">
      <w:pPr>
        <w:tabs>
          <w:tab w:val="left" w:pos="720"/>
        </w:tabs>
        <w:spacing w:after="120"/>
        <w:contextualSpacing/>
        <w:rPr>
          <w:rFonts w:eastAsia="Times New Roman"/>
          <w:bCs/>
          <w:color w:val="000000" w:themeColor="text1"/>
          <w:sz w:val="26"/>
          <w:szCs w:val="26"/>
        </w:rPr>
      </w:pPr>
    </w:p>
    <w:p w14:paraId="50EDD5A6" w14:textId="51DC94F2" w:rsidR="009A74BB" w:rsidRPr="005B6DA0" w:rsidRDefault="0010640B" w:rsidP="004A5A0B">
      <w:pPr>
        <w:tabs>
          <w:tab w:val="left" w:pos="720"/>
        </w:tabs>
        <w:spacing w:after="120"/>
        <w:contextualSpacing/>
        <w:rPr>
          <w:rFonts w:eastAsia="Times New Roman"/>
          <w:bCs/>
          <w:color w:val="000000" w:themeColor="text1"/>
          <w:sz w:val="26"/>
          <w:szCs w:val="26"/>
        </w:rPr>
      </w:pPr>
      <w:r w:rsidRPr="005B6DA0">
        <w:rPr>
          <w:rFonts w:eastAsia="Times New Roman"/>
          <w:bCs/>
          <w:color w:val="000000" w:themeColor="text1"/>
          <w:sz w:val="26"/>
          <w:szCs w:val="26"/>
        </w:rPr>
        <w:tab/>
      </w:r>
      <w:r w:rsidR="00097393" w:rsidRPr="00097393">
        <w:rPr>
          <w:rFonts w:eastAsia="Times New Roman"/>
          <w:bCs/>
          <w:color w:val="000000" w:themeColor="text1"/>
          <w:sz w:val="26"/>
          <w:szCs w:val="26"/>
        </w:rPr>
        <w:t>Noslēdzot ESV līgumu, IZM veica ikgadējas iemaksas EKA budžetā atbilstoši  Ministru kabineta 2015.gada 23.februāra rīkojumam Nr. 87 “Par atļauju Izglītības un zinātnes ministrijai uzņemties ilgtermiņa saistības, lai nodrošinātu Latvijas dalību Eiropas Kosmosa aģentūrā Eiropas sadarbības valsts statusā”</w:t>
      </w:r>
      <w:r w:rsidR="00097393" w:rsidRPr="00097393">
        <w:rPr>
          <w:rFonts w:eastAsia="Times New Roman"/>
          <w:bCs/>
          <w:color w:val="000000" w:themeColor="text1"/>
          <w:sz w:val="26"/>
          <w:szCs w:val="26"/>
          <w:vertAlign w:val="superscript"/>
        </w:rPr>
        <w:footnoteReference w:id="4"/>
      </w:r>
      <w:r w:rsidR="00097393" w:rsidRPr="00097393">
        <w:rPr>
          <w:rFonts w:eastAsia="Times New Roman"/>
          <w:bCs/>
          <w:color w:val="000000" w:themeColor="text1"/>
          <w:sz w:val="26"/>
          <w:szCs w:val="26"/>
        </w:rPr>
        <w:t xml:space="preserve">, kas piecu gadu laikā sastādīja 7,12 milj. </w:t>
      </w:r>
      <w:proofErr w:type="spellStart"/>
      <w:r w:rsidR="00097393" w:rsidRPr="00097393">
        <w:rPr>
          <w:rFonts w:eastAsia="Times New Roman"/>
          <w:bCs/>
          <w:i/>
          <w:color w:val="000000" w:themeColor="text1"/>
          <w:sz w:val="26"/>
          <w:szCs w:val="26"/>
        </w:rPr>
        <w:t>euro</w:t>
      </w:r>
      <w:proofErr w:type="spellEnd"/>
      <w:r w:rsidR="00097393" w:rsidRPr="00097393">
        <w:rPr>
          <w:rFonts w:eastAsia="Times New Roman"/>
          <w:bCs/>
          <w:color w:val="000000" w:themeColor="text1"/>
          <w:sz w:val="26"/>
          <w:szCs w:val="26"/>
        </w:rPr>
        <w:t>. Aptuveni 85% no minētā ieguldītā valsts budžeta finansējuma ir atgriezti ar EKA organizēto atklāto projektu konkursā uzvarējušo projektu finansējumu Latvijas institūcijām un organizācijām – zinātniskajām institūcijām, augstskolām un komercsabiedrībām. Atlikušos 15% EKA izmanto administratīvajām izmaksām, kas saistītas ar projektu konkursu izstrādi, organizēšanu, projektu izvērtēšanu un ieviešanu. Uz 2019.gada septembri 39 (trīsdesmit deviņi) kosmosa tehnoloģiju attīstības projekti dažādās īstenošanas fāzēs tiek realizēti, kurus</w:t>
      </w:r>
      <w:r w:rsidR="008F44BD">
        <w:rPr>
          <w:rFonts w:eastAsia="Times New Roman"/>
          <w:bCs/>
          <w:color w:val="000000" w:themeColor="text1"/>
          <w:sz w:val="26"/>
          <w:szCs w:val="26"/>
        </w:rPr>
        <w:t xml:space="preserve"> </w:t>
      </w:r>
      <w:r w:rsidR="00097393" w:rsidRPr="00097393">
        <w:rPr>
          <w:rFonts w:eastAsia="Times New Roman"/>
          <w:bCs/>
          <w:color w:val="000000" w:themeColor="text1"/>
          <w:sz w:val="26"/>
          <w:szCs w:val="26"/>
        </w:rPr>
        <w:t xml:space="preserve">īsteno piecpadsmit dažādas Latvijas institūcijas un organizācijas. Tabulā Nr. 1 apkopoti galvenie sadarbības rādītāji ar EKA.  </w:t>
      </w:r>
    </w:p>
    <w:p w14:paraId="1BBF5EDE" w14:textId="445A6CFE" w:rsidR="009A74BB" w:rsidRPr="006A651D" w:rsidRDefault="009A74BB" w:rsidP="009A74BB">
      <w:pPr>
        <w:tabs>
          <w:tab w:val="left" w:pos="720"/>
        </w:tabs>
        <w:spacing w:after="120"/>
        <w:contextualSpacing/>
        <w:jc w:val="right"/>
        <w:rPr>
          <w:rFonts w:eastAsia="Times New Roman"/>
          <w:bCs/>
          <w:color w:val="000000" w:themeColor="text1"/>
          <w:sz w:val="22"/>
        </w:rPr>
      </w:pPr>
      <w:r w:rsidRPr="006A651D">
        <w:rPr>
          <w:rFonts w:eastAsia="Times New Roman"/>
          <w:bCs/>
          <w:color w:val="000000" w:themeColor="text1"/>
          <w:sz w:val="22"/>
        </w:rPr>
        <w:t xml:space="preserve">Tabula </w:t>
      </w:r>
      <w:r w:rsidR="0074711C" w:rsidRPr="006A651D">
        <w:rPr>
          <w:rFonts w:eastAsia="Times New Roman"/>
          <w:bCs/>
          <w:color w:val="000000" w:themeColor="text1"/>
          <w:sz w:val="22"/>
        </w:rPr>
        <w:t xml:space="preserve">Nr. </w:t>
      </w:r>
      <w:r w:rsidRPr="006A651D">
        <w:rPr>
          <w:rFonts w:eastAsia="Times New Roman"/>
          <w:bCs/>
          <w:color w:val="000000" w:themeColor="text1"/>
          <w:sz w:val="22"/>
        </w:rPr>
        <w:t xml:space="preserve">1 </w:t>
      </w:r>
    </w:p>
    <w:p w14:paraId="5C5406B0" w14:textId="30147C92" w:rsidR="00F15CD5" w:rsidRDefault="009A74BB" w:rsidP="006A651D">
      <w:pPr>
        <w:tabs>
          <w:tab w:val="left" w:pos="720"/>
        </w:tabs>
        <w:spacing w:after="120"/>
        <w:contextualSpacing/>
        <w:jc w:val="center"/>
        <w:rPr>
          <w:rFonts w:eastAsia="Times New Roman"/>
          <w:b/>
          <w:bCs/>
          <w:color w:val="000000" w:themeColor="text1"/>
          <w:sz w:val="22"/>
        </w:rPr>
      </w:pPr>
      <w:r w:rsidRPr="006A651D">
        <w:rPr>
          <w:rFonts w:eastAsia="Times New Roman"/>
          <w:b/>
          <w:bCs/>
          <w:color w:val="000000" w:themeColor="text1"/>
          <w:sz w:val="22"/>
        </w:rPr>
        <w:t>Galvenie sadarbības rādītāji ar EKA</w:t>
      </w:r>
    </w:p>
    <w:p w14:paraId="5C3B988C" w14:textId="77777777" w:rsidR="005A235B" w:rsidRPr="006A651D" w:rsidRDefault="005A235B" w:rsidP="006A651D">
      <w:pPr>
        <w:tabs>
          <w:tab w:val="left" w:pos="720"/>
        </w:tabs>
        <w:spacing w:after="120"/>
        <w:contextualSpacing/>
        <w:jc w:val="center"/>
        <w:rPr>
          <w:rFonts w:eastAsia="Times New Roman"/>
          <w:b/>
          <w:bCs/>
          <w:color w:val="000000" w:themeColor="text1"/>
          <w:sz w:val="22"/>
        </w:rPr>
      </w:pPr>
    </w:p>
    <w:tbl>
      <w:tblPr>
        <w:tblStyle w:val="GridTable4-Accent4"/>
        <w:tblW w:w="0" w:type="auto"/>
        <w:tblLook w:val="04A0" w:firstRow="1" w:lastRow="0" w:firstColumn="1" w:lastColumn="0" w:noHBand="0" w:noVBand="1"/>
      </w:tblPr>
      <w:tblGrid>
        <w:gridCol w:w="6799"/>
        <w:gridCol w:w="2262"/>
      </w:tblGrid>
      <w:tr w:rsidR="009A74BB" w:rsidRPr="00B6543A" w14:paraId="6392EA3B" w14:textId="77777777" w:rsidTr="00DC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B80006B" w14:textId="1B80BE76" w:rsidR="009A74BB" w:rsidRPr="006C4C3E" w:rsidRDefault="009A74BB" w:rsidP="00CB7DEA">
            <w:pPr>
              <w:tabs>
                <w:tab w:val="left" w:pos="1134"/>
              </w:tabs>
              <w:spacing w:after="120"/>
              <w:contextualSpacing/>
              <w:rPr>
                <w:rFonts w:eastAsia="Times New Roman"/>
                <w:bCs w:val="0"/>
                <w:color w:val="000000" w:themeColor="text1"/>
                <w:sz w:val="22"/>
              </w:rPr>
            </w:pPr>
            <w:r w:rsidRPr="006C4C3E">
              <w:rPr>
                <w:rFonts w:eastAsia="Times New Roman"/>
                <w:bCs w:val="0"/>
                <w:color w:val="000000" w:themeColor="text1"/>
                <w:sz w:val="22"/>
              </w:rPr>
              <w:t>Latvijas ieguldītais finansējuma apjoms</w:t>
            </w:r>
          </w:p>
        </w:tc>
        <w:tc>
          <w:tcPr>
            <w:tcW w:w="2262" w:type="dxa"/>
          </w:tcPr>
          <w:p w14:paraId="689CD48C" w14:textId="1DB538EA" w:rsidR="009A74BB" w:rsidRPr="007270F2" w:rsidRDefault="00D934D1" w:rsidP="00D934D1">
            <w:pPr>
              <w:tabs>
                <w:tab w:val="left" w:pos="1134"/>
              </w:tabs>
              <w:spacing w:after="12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2"/>
              </w:rPr>
            </w:pPr>
            <w:r w:rsidRPr="007270F2">
              <w:rPr>
                <w:rFonts w:eastAsia="Times New Roman"/>
                <w:bCs w:val="0"/>
                <w:color w:val="000000" w:themeColor="text1"/>
                <w:sz w:val="22"/>
              </w:rPr>
              <w:t xml:space="preserve">7,12 milj. </w:t>
            </w:r>
            <w:proofErr w:type="spellStart"/>
            <w:r w:rsidRPr="007270F2">
              <w:rPr>
                <w:rFonts w:eastAsia="Times New Roman"/>
                <w:bCs w:val="0"/>
                <w:i/>
                <w:color w:val="000000" w:themeColor="text1"/>
                <w:sz w:val="22"/>
              </w:rPr>
              <w:t>euro</w:t>
            </w:r>
            <w:proofErr w:type="spellEnd"/>
          </w:p>
        </w:tc>
      </w:tr>
      <w:tr w:rsidR="00D934D1" w:rsidRPr="00B6543A" w14:paraId="36695D19" w14:textId="77777777" w:rsidTr="00DC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2903EA6" w14:textId="5C142A9B" w:rsidR="00D934D1" w:rsidRPr="006C4C3E" w:rsidRDefault="00D934D1" w:rsidP="00CB7DEA">
            <w:pPr>
              <w:tabs>
                <w:tab w:val="left" w:pos="1134"/>
              </w:tabs>
              <w:spacing w:after="120"/>
              <w:contextualSpacing/>
              <w:rPr>
                <w:rFonts w:eastAsia="Times New Roman"/>
                <w:bCs w:val="0"/>
                <w:color w:val="000000" w:themeColor="text1"/>
                <w:sz w:val="22"/>
              </w:rPr>
            </w:pPr>
            <w:r w:rsidRPr="006C4C3E">
              <w:rPr>
                <w:rFonts w:eastAsia="Times New Roman"/>
                <w:bCs w:val="0"/>
                <w:color w:val="000000" w:themeColor="text1"/>
                <w:sz w:val="22"/>
              </w:rPr>
              <w:t xml:space="preserve">Uz 2019.gada septembri </w:t>
            </w:r>
            <w:r w:rsidR="00895F93" w:rsidRPr="006C4C3E">
              <w:rPr>
                <w:rFonts w:eastAsia="Times New Roman"/>
                <w:bCs w:val="0"/>
                <w:color w:val="000000" w:themeColor="text1"/>
                <w:sz w:val="22"/>
              </w:rPr>
              <w:t xml:space="preserve">atgūtais </w:t>
            </w:r>
            <w:r w:rsidRPr="006C4C3E">
              <w:rPr>
                <w:rFonts w:eastAsia="Times New Roman"/>
                <w:bCs w:val="0"/>
                <w:color w:val="000000" w:themeColor="text1"/>
                <w:sz w:val="22"/>
              </w:rPr>
              <w:t>finansējums</w:t>
            </w:r>
            <w:r w:rsidR="00947C6C" w:rsidRPr="006C4C3E">
              <w:rPr>
                <w:rFonts w:eastAsia="Times New Roman"/>
                <w:bCs w:val="0"/>
                <w:color w:val="000000" w:themeColor="text1"/>
                <w:sz w:val="22"/>
              </w:rPr>
              <w:t xml:space="preserve"> (apstiprinātās saistības)</w:t>
            </w:r>
          </w:p>
        </w:tc>
        <w:tc>
          <w:tcPr>
            <w:tcW w:w="2262" w:type="dxa"/>
          </w:tcPr>
          <w:p w14:paraId="52C04D7C" w14:textId="5323B2D0" w:rsidR="00D934D1" w:rsidRPr="007270F2" w:rsidRDefault="008C05A3" w:rsidP="00D934D1">
            <w:pPr>
              <w:tabs>
                <w:tab w:val="left" w:pos="1134"/>
              </w:tabs>
              <w:spacing w:after="12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2"/>
              </w:rPr>
            </w:pPr>
            <w:r w:rsidRPr="007270F2">
              <w:rPr>
                <w:rFonts w:eastAsia="Times New Roman"/>
                <w:b/>
                <w:bCs/>
                <w:color w:val="000000" w:themeColor="text1"/>
                <w:sz w:val="22"/>
              </w:rPr>
              <w:t>5,15</w:t>
            </w:r>
            <w:r w:rsidR="00D934D1" w:rsidRPr="007270F2">
              <w:rPr>
                <w:rFonts w:eastAsia="Times New Roman"/>
                <w:b/>
                <w:bCs/>
                <w:color w:val="000000" w:themeColor="text1"/>
                <w:sz w:val="22"/>
              </w:rPr>
              <w:t xml:space="preserve"> milj. </w:t>
            </w:r>
            <w:proofErr w:type="spellStart"/>
            <w:r w:rsidR="00D934D1" w:rsidRPr="007270F2">
              <w:rPr>
                <w:rFonts w:eastAsia="Times New Roman"/>
                <w:b/>
                <w:bCs/>
                <w:i/>
                <w:color w:val="000000" w:themeColor="text1"/>
                <w:sz w:val="22"/>
              </w:rPr>
              <w:t>euro</w:t>
            </w:r>
            <w:proofErr w:type="spellEnd"/>
          </w:p>
        </w:tc>
      </w:tr>
      <w:tr w:rsidR="009A74BB" w:rsidRPr="00B6543A" w14:paraId="04A19E8C" w14:textId="77777777" w:rsidTr="00DC4555">
        <w:tc>
          <w:tcPr>
            <w:cnfStyle w:val="001000000000" w:firstRow="0" w:lastRow="0" w:firstColumn="1" w:lastColumn="0" w:oddVBand="0" w:evenVBand="0" w:oddHBand="0" w:evenHBand="0" w:firstRowFirstColumn="0" w:firstRowLastColumn="0" w:lastRowFirstColumn="0" w:lastRowLastColumn="0"/>
            <w:tcW w:w="6799" w:type="dxa"/>
          </w:tcPr>
          <w:p w14:paraId="1630BE71" w14:textId="67139DF5" w:rsidR="009A74BB" w:rsidRPr="006C4C3E" w:rsidRDefault="00D934D1" w:rsidP="00CB7DEA">
            <w:pPr>
              <w:tabs>
                <w:tab w:val="left" w:pos="1134"/>
              </w:tabs>
              <w:spacing w:after="120"/>
              <w:contextualSpacing/>
              <w:rPr>
                <w:rFonts w:eastAsia="Times New Roman"/>
                <w:bCs w:val="0"/>
                <w:color w:val="000000" w:themeColor="text1"/>
                <w:sz w:val="22"/>
              </w:rPr>
            </w:pPr>
            <w:r w:rsidRPr="006C4C3E">
              <w:rPr>
                <w:rFonts w:eastAsia="Times New Roman"/>
                <w:bCs w:val="0"/>
                <w:color w:val="000000" w:themeColor="text1"/>
                <w:sz w:val="22"/>
              </w:rPr>
              <w:t xml:space="preserve">Iesniegto projektu skaits </w:t>
            </w:r>
          </w:p>
        </w:tc>
        <w:tc>
          <w:tcPr>
            <w:tcW w:w="2262" w:type="dxa"/>
          </w:tcPr>
          <w:p w14:paraId="6706A2D4" w14:textId="769FA1DB" w:rsidR="009A74BB" w:rsidRPr="00DC4555" w:rsidRDefault="00D934D1" w:rsidP="00D934D1">
            <w:pPr>
              <w:tabs>
                <w:tab w:val="left" w:pos="1134"/>
              </w:tabs>
              <w:spacing w:after="12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sz w:val="22"/>
              </w:rPr>
            </w:pPr>
            <w:r w:rsidRPr="00DC4555">
              <w:rPr>
                <w:rFonts w:eastAsia="Times New Roman"/>
                <w:b/>
                <w:bCs/>
                <w:color w:val="000000" w:themeColor="text1"/>
                <w:sz w:val="22"/>
              </w:rPr>
              <w:t>88</w:t>
            </w:r>
          </w:p>
        </w:tc>
      </w:tr>
      <w:tr w:rsidR="009A74BB" w:rsidRPr="00B6543A" w14:paraId="6F3245DE" w14:textId="77777777" w:rsidTr="00DC4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74C1A2E" w14:textId="3ECFD66D" w:rsidR="009A74BB" w:rsidRPr="006C4C3E" w:rsidRDefault="00947C6C" w:rsidP="00CB7DEA">
            <w:pPr>
              <w:tabs>
                <w:tab w:val="left" w:pos="1134"/>
              </w:tabs>
              <w:spacing w:after="120"/>
              <w:contextualSpacing/>
              <w:rPr>
                <w:rFonts w:eastAsia="Times New Roman"/>
                <w:bCs w:val="0"/>
                <w:color w:val="000000" w:themeColor="text1"/>
                <w:sz w:val="22"/>
              </w:rPr>
            </w:pPr>
            <w:r w:rsidRPr="006C4C3E">
              <w:rPr>
                <w:rFonts w:eastAsia="Times New Roman"/>
                <w:bCs w:val="0"/>
                <w:color w:val="000000" w:themeColor="text1"/>
                <w:sz w:val="22"/>
              </w:rPr>
              <w:t xml:space="preserve">Finansējamo </w:t>
            </w:r>
            <w:r w:rsidR="00D934D1" w:rsidRPr="006C4C3E">
              <w:rPr>
                <w:rFonts w:eastAsia="Times New Roman"/>
                <w:bCs w:val="0"/>
                <w:color w:val="000000" w:themeColor="text1"/>
                <w:sz w:val="22"/>
              </w:rPr>
              <w:t xml:space="preserve">projektu skaits </w:t>
            </w:r>
          </w:p>
        </w:tc>
        <w:tc>
          <w:tcPr>
            <w:tcW w:w="2262" w:type="dxa"/>
          </w:tcPr>
          <w:p w14:paraId="4D952ED3" w14:textId="12F2492B" w:rsidR="009A74BB" w:rsidRPr="00DC4555" w:rsidRDefault="00D934D1" w:rsidP="00D934D1">
            <w:pPr>
              <w:tabs>
                <w:tab w:val="left" w:pos="1134"/>
              </w:tabs>
              <w:spacing w:after="12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2"/>
              </w:rPr>
            </w:pPr>
            <w:r w:rsidRPr="00DC4555">
              <w:rPr>
                <w:rFonts w:eastAsia="Times New Roman"/>
                <w:b/>
                <w:bCs/>
                <w:color w:val="000000" w:themeColor="text1"/>
                <w:sz w:val="22"/>
              </w:rPr>
              <w:t>39</w:t>
            </w:r>
          </w:p>
        </w:tc>
      </w:tr>
      <w:tr w:rsidR="009A74BB" w:rsidRPr="00B6543A" w14:paraId="755C1323" w14:textId="77777777" w:rsidTr="00DC4555">
        <w:tc>
          <w:tcPr>
            <w:cnfStyle w:val="001000000000" w:firstRow="0" w:lastRow="0" w:firstColumn="1" w:lastColumn="0" w:oddVBand="0" w:evenVBand="0" w:oddHBand="0" w:evenHBand="0" w:firstRowFirstColumn="0" w:firstRowLastColumn="0" w:lastRowFirstColumn="0" w:lastRowLastColumn="0"/>
            <w:tcW w:w="6799" w:type="dxa"/>
          </w:tcPr>
          <w:p w14:paraId="76AF4118" w14:textId="0AF2CEC2" w:rsidR="009A74BB" w:rsidRPr="006C4C3E" w:rsidRDefault="00D934D1" w:rsidP="00D934D1">
            <w:pPr>
              <w:tabs>
                <w:tab w:val="left" w:pos="1134"/>
              </w:tabs>
              <w:spacing w:after="120"/>
              <w:contextualSpacing/>
              <w:rPr>
                <w:rFonts w:eastAsia="Times New Roman"/>
                <w:bCs w:val="0"/>
                <w:color w:val="000000" w:themeColor="text1"/>
                <w:sz w:val="22"/>
              </w:rPr>
            </w:pPr>
            <w:r w:rsidRPr="006C4C3E">
              <w:rPr>
                <w:rFonts w:eastAsia="Times New Roman"/>
                <w:bCs w:val="0"/>
                <w:color w:val="000000" w:themeColor="text1"/>
                <w:sz w:val="22"/>
              </w:rPr>
              <w:t xml:space="preserve">Latvijas </w:t>
            </w:r>
            <w:r w:rsidR="00883DA6">
              <w:rPr>
                <w:rFonts w:eastAsia="Times New Roman"/>
                <w:bCs w:val="0"/>
                <w:color w:val="000000" w:themeColor="text1"/>
                <w:sz w:val="22"/>
              </w:rPr>
              <w:t xml:space="preserve">institūciju un </w:t>
            </w:r>
            <w:r w:rsidRPr="006C4C3E">
              <w:rPr>
                <w:rFonts w:eastAsia="Times New Roman"/>
                <w:bCs w:val="0"/>
                <w:color w:val="000000" w:themeColor="text1"/>
                <w:sz w:val="22"/>
              </w:rPr>
              <w:t>organizāciju skaits, kas īsteno projektus</w:t>
            </w:r>
          </w:p>
        </w:tc>
        <w:tc>
          <w:tcPr>
            <w:tcW w:w="2262" w:type="dxa"/>
          </w:tcPr>
          <w:p w14:paraId="3C6121D7" w14:textId="3B9AD6F0" w:rsidR="009A74BB" w:rsidRPr="00DC4555" w:rsidRDefault="00D934D1" w:rsidP="00D934D1">
            <w:pPr>
              <w:tabs>
                <w:tab w:val="left" w:pos="1134"/>
              </w:tabs>
              <w:spacing w:after="12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themeColor="text1"/>
                <w:sz w:val="22"/>
              </w:rPr>
            </w:pPr>
            <w:r w:rsidRPr="00DC4555">
              <w:rPr>
                <w:rFonts w:eastAsia="Times New Roman"/>
                <w:b/>
                <w:bCs/>
                <w:color w:val="000000" w:themeColor="text1"/>
                <w:sz w:val="22"/>
              </w:rPr>
              <w:t>15</w:t>
            </w:r>
          </w:p>
        </w:tc>
      </w:tr>
    </w:tbl>
    <w:p w14:paraId="4F9C9D0B" w14:textId="77777777" w:rsidR="00F15CD5" w:rsidRPr="00B6543A" w:rsidRDefault="00F15CD5" w:rsidP="00CB7DEA">
      <w:pPr>
        <w:tabs>
          <w:tab w:val="left" w:pos="1134"/>
        </w:tabs>
        <w:spacing w:after="120"/>
        <w:contextualSpacing/>
        <w:rPr>
          <w:rFonts w:eastAsia="Times New Roman"/>
          <w:bCs/>
          <w:color w:val="000000" w:themeColor="text1"/>
        </w:rPr>
      </w:pPr>
    </w:p>
    <w:p w14:paraId="34BF7294" w14:textId="77777777" w:rsidR="00097393" w:rsidRPr="00097393" w:rsidRDefault="004418EF" w:rsidP="00097393">
      <w:pPr>
        <w:tabs>
          <w:tab w:val="left" w:pos="720"/>
        </w:tabs>
        <w:spacing w:after="120"/>
        <w:contextualSpacing/>
        <w:rPr>
          <w:rFonts w:eastAsia="Times New Roman"/>
          <w:bCs/>
          <w:color w:val="000000" w:themeColor="text1"/>
          <w:sz w:val="26"/>
          <w:szCs w:val="26"/>
        </w:rPr>
      </w:pPr>
      <w:r w:rsidRPr="005B6DA0">
        <w:rPr>
          <w:rFonts w:eastAsia="Times New Roman"/>
          <w:bCs/>
          <w:color w:val="000000" w:themeColor="text1"/>
          <w:sz w:val="26"/>
          <w:szCs w:val="26"/>
        </w:rPr>
        <w:tab/>
      </w:r>
      <w:r w:rsidR="00097393" w:rsidRPr="00097393">
        <w:rPr>
          <w:rFonts w:eastAsia="Times New Roman"/>
          <w:bCs/>
          <w:color w:val="000000" w:themeColor="text1"/>
          <w:sz w:val="26"/>
          <w:szCs w:val="26"/>
        </w:rPr>
        <w:t xml:space="preserve">Latvijas institūciju un organizāciju īstenotie 39 (trīsdesmit deviņi) projekti tika iesniegti piecos atvērtajos kosmosa tehnoloģiju projektu konkursos, kurus organizēja EKA sadarbībā ar IZM. Ar projektu iesniegšanas beigu termiņu š.g. 18.septembrī  ir atvērts noslēdzošais – 6.projektu konkurss, kas visticamāk palielinās gan projektu skaitu, gan Latvijas institūciju un organizāciju skaitu, kas īsteno šos projektus. </w:t>
      </w:r>
    </w:p>
    <w:p w14:paraId="2F9B731B" w14:textId="77777777" w:rsidR="00097393" w:rsidRPr="00097393" w:rsidRDefault="00097393" w:rsidP="00097393">
      <w:p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ab/>
        <w:t xml:space="preserve">ESV līguma mērķi ir šādi: </w:t>
      </w:r>
    </w:p>
    <w:p w14:paraId="799BAD65" w14:textId="77777777" w:rsidR="00097393" w:rsidRPr="00097393" w:rsidRDefault="00097393" w:rsidP="00097393">
      <w:pPr>
        <w:numPr>
          <w:ilvl w:val="0"/>
          <w:numId w:val="28"/>
        </w:num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 xml:space="preserve">veidot un stiprināt Latvijas organizāciju industriālo ekspertīzi  un pētniecības un attīstības kapacitāti, lai nodrošinātu to veiksmīgu dalību EKA programmās; </w:t>
      </w:r>
    </w:p>
    <w:p w14:paraId="6457ECAE" w14:textId="77777777" w:rsidR="00097393" w:rsidRPr="00097393" w:rsidRDefault="00097393" w:rsidP="00097393">
      <w:pPr>
        <w:numPr>
          <w:ilvl w:val="0"/>
          <w:numId w:val="28"/>
        </w:num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uzlabot Latvijas organizāciju izpratni par EKA organizāciju, funkcionēšanas principiem, standartiem un procedūrām;</w:t>
      </w:r>
    </w:p>
    <w:p w14:paraId="1C1FCC1E" w14:textId="77777777" w:rsidR="00097393" w:rsidRPr="00097393" w:rsidRDefault="00097393" w:rsidP="00097393">
      <w:pPr>
        <w:numPr>
          <w:ilvl w:val="0"/>
          <w:numId w:val="28"/>
        </w:num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 xml:space="preserve">izveidot sadarbību ar kosmosa nozares kopienu Latvijā un EKA dalībvalstīs; </w:t>
      </w:r>
    </w:p>
    <w:p w14:paraId="0AE66CE0" w14:textId="77777777" w:rsidR="00097393" w:rsidRPr="00097393" w:rsidRDefault="00097393" w:rsidP="00097393">
      <w:pPr>
        <w:numPr>
          <w:ilvl w:val="0"/>
          <w:numId w:val="28"/>
        </w:num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 xml:space="preserve">saskaņot Latvijas kosmosa aktivitātes ar EKA programmās īstenotajām aktivitātēm.  </w:t>
      </w:r>
    </w:p>
    <w:p w14:paraId="1D14E9AB" w14:textId="44EB75E9" w:rsidR="00D036E4" w:rsidRDefault="00097393" w:rsidP="00097393">
      <w:pPr>
        <w:tabs>
          <w:tab w:val="left" w:pos="720"/>
        </w:tabs>
        <w:spacing w:after="120"/>
        <w:contextualSpacing/>
        <w:rPr>
          <w:rFonts w:eastAsia="Times New Roman"/>
          <w:bCs/>
          <w:color w:val="000000" w:themeColor="text1"/>
          <w:sz w:val="26"/>
          <w:szCs w:val="26"/>
        </w:rPr>
      </w:pPr>
      <w:r w:rsidRPr="00097393">
        <w:rPr>
          <w:rFonts w:eastAsia="Times New Roman"/>
          <w:bCs/>
          <w:color w:val="000000" w:themeColor="text1"/>
          <w:sz w:val="26"/>
          <w:szCs w:val="26"/>
        </w:rPr>
        <w:tab/>
        <w:t>Tabulā Nr. 2 un Nr. 3 ir apkopotas Latvijas institūcijas un organizācijas, kas īstenoja EKA apstiprinātos trīsdesmit deviņus projektus pēc apstiprināto projektu skaita un piesaistītā finansējuma.</w:t>
      </w:r>
    </w:p>
    <w:p w14:paraId="1A4E091F" w14:textId="77777777" w:rsidR="00097393" w:rsidRDefault="00097393" w:rsidP="00097393">
      <w:pPr>
        <w:tabs>
          <w:tab w:val="left" w:pos="720"/>
        </w:tabs>
        <w:spacing w:after="120"/>
        <w:contextualSpacing/>
        <w:rPr>
          <w:rFonts w:eastAsia="Times New Roman"/>
          <w:bCs/>
          <w:color w:val="000000" w:themeColor="text1"/>
        </w:rPr>
      </w:pPr>
    </w:p>
    <w:p w14:paraId="4949E3C8" w14:textId="13C36449" w:rsidR="00D036E4" w:rsidRPr="003274D0" w:rsidRDefault="00D036E4" w:rsidP="00D036E4">
      <w:pPr>
        <w:tabs>
          <w:tab w:val="left" w:pos="1134"/>
        </w:tabs>
        <w:spacing w:after="120"/>
        <w:contextualSpacing/>
        <w:jc w:val="right"/>
        <w:rPr>
          <w:rFonts w:eastAsia="Times New Roman"/>
          <w:bCs/>
          <w:color w:val="000000" w:themeColor="text1"/>
        </w:rPr>
      </w:pPr>
      <w:r w:rsidRPr="00C82E12">
        <w:rPr>
          <w:rFonts w:eastAsia="Times New Roman"/>
          <w:bCs/>
          <w:color w:val="000000" w:themeColor="text1"/>
          <w:sz w:val="22"/>
        </w:rPr>
        <w:tab/>
      </w:r>
      <w:r w:rsidRPr="000C7E5A">
        <w:rPr>
          <w:rFonts w:eastAsia="Times New Roman"/>
          <w:bCs/>
          <w:color w:val="000000" w:themeColor="text1"/>
          <w:sz w:val="22"/>
        </w:rPr>
        <w:t xml:space="preserve">Tabula </w:t>
      </w:r>
      <w:r w:rsidR="0074711C" w:rsidRPr="000C7E5A">
        <w:rPr>
          <w:rFonts w:eastAsia="Times New Roman"/>
          <w:bCs/>
          <w:color w:val="000000" w:themeColor="text1"/>
          <w:sz w:val="22"/>
        </w:rPr>
        <w:t xml:space="preserve">Nr. </w:t>
      </w:r>
      <w:r w:rsidRPr="000C7E5A">
        <w:rPr>
          <w:rFonts w:eastAsia="Times New Roman"/>
          <w:bCs/>
          <w:color w:val="000000" w:themeColor="text1"/>
          <w:sz w:val="22"/>
        </w:rPr>
        <w:t xml:space="preserve">2 </w:t>
      </w:r>
    </w:p>
    <w:p w14:paraId="17F77553" w14:textId="43BEFBC1" w:rsidR="00D036E4" w:rsidRDefault="00D036E4" w:rsidP="006A651D">
      <w:pPr>
        <w:tabs>
          <w:tab w:val="left" w:pos="1134"/>
        </w:tabs>
        <w:spacing w:after="120"/>
        <w:contextualSpacing/>
        <w:jc w:val="center"/>
        <w:rPr>
          <w:rFonts w:eastAsia="Times New Roman"/>
          <w:b/>
          <w:bCs/>
          <w:color w:val="000000" w:themeColor="text1"/>
          <w:sz w:val="22"/>
        </w:rPr>
      </w:pPr>
      <w:r w:rsidRPr="006A651D">
        <w:rPr>
          <w:rFonts w:eastAsia="Times New Roman"/>
          <w:b/>
          <w:bCs/>
          <w:color w:val="000000" w:themeColor="text1"/>
          <w:sz w:val="22"/>
        </w:rPr>
        <w:t>Latvijas organizācijas – EKA projektu īstenotājas</w:t>
      </w:r>
    </w:p>
    <w:p w14:paraId="7CEF6D62" w14:textId="77777777" w:rsidR="005A235B" w:rsidRPr="006A651D" w:rsidRDefault="005A235B" w:rsidP="006A651D">
      <w:pPr>
        <w:tabs>
          <w:tab w:val="left" w:pos="1134"/>
        </w:tabs>
        <w:spacing w:after="120"/>
        <w:contextualSpacing/>
        <w:jc w:val="center"/>
        <w:rPr>
          <w:rFonts w:eastAsia="Times New Roman"/>
          <w:b/>
          <w:bCs/>
          <w:color w:val="000000" w:themeColor="text1"/>
          <w:sz w:val="22"/>
        </w:rPr>
      </w:pPr>
    </w:p>
    <w:p w14:paraId="0B5CA3A8" w14:textId="0F3E64A0" w:rsidR="00D036E4" w:rsidRDefault="00D036E4" w:rsidP="001302DC">
      <w:r>
        <w:rPr>
          <w:noProof/>
          <w:lang w:eastAsia="lv-LV"/>
        </w:rPr>
        <w:drawing>
          <wp:inline distT="0" distB="0" distL="0" distR="0" wp14:anchorId="67A709B1" wp14:editId="634F7DB5">
            <wp:extent cx="5705475" cy="2981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FF27D7" w14:textId="77777777" w:rsidR="00D036E4" w:rsidRPr="001302DC" w:rsidRDefault="00D036E4" w:rsidP="001302DC"/>
    <w:p w14:paraId="7B966630" w14:textId="77777777" w:rsidR="00097393" w:rsidRDefault="003E58A1" w:rsidP="00097393">
      <w:r>
        <w:tab/>
      </w:r>
    </w:p>
    <w:p w14:paraId="382756FF" w14:textId="728ECA26" w:rsidR="00097393" w:rsidRDefault="00097393" w:rsidP="00097393">
      <w:pPr>
        <w:rPr>
          <w:sz w:val="26"/>
          <w:szCs w:val="26"/>
        </w:rPr>
      </w:pPr>
      <w:r w:rsidRPr="00097393">
        <w:rPr>
          <w:sz w:val="26"/>
          <w:szCs w:val="26"/>
        </w:rPr>
        <w:t xml:space="preserve">Pēc iegūto projektu skaita veiksmīgākās organizācijas ir Zinātnisko institūciju reģistrā reģistrētais privātpersonu dibinātais nodibinājums ”Vides risinājumu institūts”, kas ir specializējies dažādu risinājumu izstrādē, izmantojot zemes novērošanas datus, un A/S “RD Alfa”, kas ir specializējusies radiācijas izturīgu integrēto mikroshēmu izstrādē dažādām kosmosa komponentēm </w:t>
      </w:r>
      <w:r w:rsidRPr="00097393">
        <w:rPr>
          <w:bCs/>
          <w:sz w:val="26"/>
          <w:szCs w:val="26"/>
        </w:rPr>
        <w:t>–</w:t>
      </w:r>
      <w:r w:rsidR="00F432E9">
        <w:rPr>
          <w:bCs/>
          <w:sz w:val="26"/>
          <w:szCs w:val="26"/>
        </w:rPr>
        <w:t xml:space="preserve"> </w:t>
      </w:r>
      <w:r w:rsidRPr="00097393">
        <w:rPr>
          <w:sz w:val="26"/>
          <w:szCs w:val="26"/>
        </w:rPr>
        <w:t>katra no šīm organizācijām ir ieguvušas piecus projektus.</w:t>
      </w:r>
    </w:p>
    <w:p w14:paraId="22E171EE" w14:textId="77777777" w:rsidR="00F432E9" w:rsidRDefault="0010640B" w:rsidP="00097393">
      <w:pPr>
        <w:jc w:val="right"/>
      </w:pPr>
      <w:r>
        <w:tab/>
      </w:r>
      <w:r>
        <w:tab/>
      </w:r>
      <w:r>
        <w:tab/>
      </w:r>
      <w:r>
        <w:tab/>
      </w:r>
      <w:r>
        <w:tab/>
      </w:r>
    </w:p>
    <w:p w14:paraId="4D413C60" w14:textId="77777777" w:rsidR="00F432E9" w:rsidRDefault="00F432E9" w:rsidP="00097393">
      <w:pPr>
        <w:jc w:val="right"/>
      </w:pPr>
    </w:p>
    <w:p w14:paraId="5AB60710" w14:textId="77777777" w:rsidR="00F432E9" w:rsidRDefault="00F432E9" w:rsidP="00097393">
      <w:pPr>
        <w:jc w:val="right"/>
      </w:pPr>
    </w:p>
    <w:p w14:paraId="1439E900" w14:textId="77777777" w:rsidR="00F432E9" w:rsidRDefault="00F432E9" w:rsidP="00097393">
      <w:pPr>
        <w:jc w:val="right"/>
      </w:pPr>
    </w:p>
    <w:p w14:paraId="01F695BF" w14:textId="3DDC7354" w:rsidR="0035010A" w:rsidRPr="003274D0" w:rsidRDefault="0010640B" w:rsidP="00097393">
      <w:pPr>
        <w:jc w:val="right"/>
      </w:pPr>
      <w:r w:rsidRPr="003274D0">
        <w:lastRenderedPageBreak/>
        <w:t xml:space="preserve">Tabula </w:t>
      </w:r>
      <w:r w:rsidR="0074711C" w:rsidRPr="003274D0">
        <w:t xml:space="preserve"> Nr. </w:t>
      </w:r>
      <w:r w:rsidRPr="003274D0">
        <w:t>3</w:t>
      </w:r>
    </w:p>
    <w:p w14:paraId="5DB46675" w14:textId="77777777" w:rsidR="003E58A1" w:rsidRDefault="003E58A1" w:rsidP="001302DC"/>
    <w:p w14:paraId="7029892D" w14:textId="04B20393" w:rsidR="005B6DA0" w:rsidRDefault="005B6DA0" w:rsidP="005B6DA0">
      <w:pPr>
        <w:tabs>
          <w:tab w:val="left" w:pos="1134"/>
        </w:tabs>
        <w:spacing w:after="120"/>
        <w:contextualSpacing/>
        <w:jc w:val="center"/>
        <w:rPr>
          <w:rFonts w:eastAsia="Times New Roman"/>
          <w:b/>
          <w:bCs/>
          <w:color w:val="000000" w:themeColor="text1"/>
          <w:sz w:val="22"/>
        </w:rPr>
      </w:pPr>
      <w:r w:rsidRPr="006A651D">
        <w:rPr>
          <w:rFonts w:eastAsia="Times New Roman"/>
          <w:b/>
          <w:bCs/>
          <w:color w:val="000000" w:themeColor="text1"/>
          <w:sz w:val="22"/>
        </w:rPr>
        <w:t>Latvijas organizācijas – EKA projektu īstenotājas</w:t>
      </w:r>
    </w:p>
    <w:p w14:paraId="531F4B0B" w14:textId="77777777" w:rsidR="008F44BD" w:rsidRPr="005B6DA0" w:rsidRDefault="008F44BD" w:rsidP="005B6DA0">
      <w:pPr>
        <w:tabs>
          <w:tab w:val="left" w:pos="1134"/>
        </w:tabs>
        <w:spacing w:after="120"/>
        <w:contextualSpacing/>
        <w:jc w:val="center"/>
        <w:rPr>
          <w:rFonts w:eastAsia="Times New Roman"/>
          <w:b/>
          <w:bCs/>
          <w:color w:val="000000" w:themeColor="text1"/>
          <w:sz w:val="22"/>
        </w:rPr>
      </w:pPr>
    </w:p>
    <w:p w14:paraId="6CCB86D2" w14:textId="6CFDFAA2" w:rsidR="003E58A1" w:rsidRDefault="0035010A" w:rsidP="001302DC">
      <w:r>
        <w:rPr>
          <w:noProof/>
          <w:lang w:eastAsia="lv-LV"/>
        </w:rPr>
        <w:drawing>
          <wp:inline distT="0" distB="0" distL="0" distR="0" wp14:anchorId="66850DAA" wp14:editId="12E78CA0">
            <wp:extent cx="5772150" cy="2819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000AD7" w14:textId="77777777" w:rsidR="003E58A1" w:rsidRDefault="003E58A1" w:rsidP="001302DC"/>
    <w:p w14:paraId="7BE6E9E3" w14:textId="4CAF173B" w:rsidR="003E58A1" w:rsidRPr="005B6DA0" w:rsidRDefault="00B6543A" w:rsidP="00B6543A">
      <w:pPr>
        <w:rPr>
          <w:sz w:val="26"/>
          <w:szCs w:val="26"/>
        </w:rPr>
      </w:pPr>
      <w:r>
        <w:tab/>
      </w:r>
      <w:r w:rsidR="008C05A3" w:rsidRPr="005B6DA0">
        <w:rPr>
          <w:sz w:val="26"/>
          <w:szCs w:val="26"/>
        </w:rPr>
        <w:t xml:space="preserve">Līdzīga situācija ir arī pēc piesaistītā finansējuma, kur pirmajā trijniekā ir </w:t>
      </w:r>
      <w:r w:rsidR="0074711C" w:rsidRPr="005B6DA0">
        <w:rPr>
          <w:sz w:val="26"/>
          <w:szCs w:val="26"/>
        </w:rPr>
        <w:t xml:space="preserve">ierindojusies </w:t>
      </w:r>
      <w:r w:rsidR="008C05A3" w:rsidRPr="005B6DA0">
        <w:rPr>
          <w:sz w:val="26"/>
          <w:szCs w:val="26"/>
        </w:rPr>
        <w:t xml:space="preserve">SIA </w:t>
      </w:r>
      <w:r w:rsidR="0074711C" w:rsidRPr="005B6DA0">
        <w:rPr>
          <w:sz w:val="26"/>
          <w:szCs w:val="26"/>
        </w:rPr>
        <w:t>“</w:t>
      </w:r>
      <w:proofErr w:type="spellStart"/>
      <w:r w:rsidR="008C05A3" w:rsidRPr="005B6DA0">
        <w:rPr>
          <w:sz w:val="26"/>
          <w:szCs w:val="26"/>
        </w:rPr>
        <w:t>Eventech</w:t>
      </w:r>
      <w:proofErr w:type="spellEnd"/>
      <w:r w:rsidR="0074711C" w:rsidRPr="005B6DA0">
        <w:rPr>
          <w:sz w:val="26"/>
          <w:szCs w:val="26"/>
        </w:rPr>
        <w:t>”</w:t>
      </w:r>
      <w:r w:rsidR="008C05A3" w:rsidRPr="005B6DA0">
        <w:rPr>
          <w:sz w:val="26"/>
          <w:szCs w:val="26"/>
        </w:rPr>
        <w:t>, kas izstrādā augstas precizi</w:t>
      </w:r>
      <w:r w:rsidR="00C82E12" w:rsidRPr="005B6DA0">
        <w:rPr>
          <w:sz w:val="26"/>
          <w:szCs w:val="26"/>
        </w:rPr>
        <w:t xml:space="preserve">tātes laika notikumu mērītājus un </w:t>
      </w:r>
      <w:r w:rsidR="006C4C3E" w:rsidRPr="005B6DA0">
        <w:rPr>
          <w:sz w:val="26"/>
          <w:szCs w:val="26"/>
        </w:rPr>
        <w:t xml:space="preserve">satelītu </w:t>
      </w:r>
      <w:proofErr w:type="spellStart"/>
      <w:r w:rsidR="006C4C3E" w:rsidRPr="005B6DA0">
        <w:rPr>
          <w:sz w:val="26"/>
          <w:szCs w:val="26"/>
        </w:rPr>
        <w:t>lāzerlokācijas</w:t>
      </w:r>
      <w:proofErr w:type="spellEnd"/>
      <w:r w:rsidR="00C82E12" w:rsidRPr="005B6DA0">
        <w:rPr>
          <w:sz w:val="26"/>
          <w:szCs w:val="26"/>
        </w:rPr>
        <w:t xml:space="preserve"> tehnoloģijas. Trīs veiksmīgākās organizācijas pēc piesaistītā finansējuma savu tehnoloģiju attīstībai ir ieguvušas 2,18 milj. </w:t>
      </w:r>
      <w:proofErr w:type="spellStart"/>
      <w:r w:rsidR="00C82E12" w:rsidRPr="005B6DA0">
        <w:rPr>
          <w:i/>
          <w:sz w:val="26"/>
          <w:szCs w:val="26"/>
        </w:rPr>
        <w:t>euro</w:t>
      </w:r>
      <w:proofErr w:type="spellEnd"/>
      <w:r w:rsidR="00C82E12" w:rsidRPr="005B6DA0">
        <w:rPr>
          <w:sz w:val="26"/>
          <w:szCs w:val="26"/>
        </w:rPr>
        <w:t xml:space="preserve">. </w:t>
      </w:r>
    </w:p>
    <w:p w14:paraId="64A7A505" w14:textId="6AEDF5E2" w:rsidR="003E58A1" w:rsidRPr="005B6DA0" w:rsidRDefault="00C82E12" w:rsidP="003A2541">
      <w:pPr>
        <w:rPr>
          <w:sz w:val="26"/>
          <w:szCs w:val="26"/>
        </w:rPr>
      </w:pPr>
      <w:r w:rsidRPr="005B6DA0">
        <w:rPr>
          <w:sz w:val="26"/>
          <w:szCs w:val="26"/>
        </w:rPr>
        <w:tab/>
        <w:t>Analizējot ESV</w:t>
      </w:r>
      <w:r w:rsidR="002760D9" w:rsidRPr="005B6DA0">
        <w:rPr>
          <w:sz w:val="26"/>
          <w:szCs w:val="26"/>
        </w:rPr>
        <w:t xml:space="preserve"> līguma ietvaros izstrādāt</w:t>
      </w:r>
      <w:r w:rsidR="00A957FA" w:rsidRPr="005B6DA0">
        <w:rPr>
          <w:sz w:val="26"/>
          <w:szCs w:val="26"/>
        </w:rPr>
        <w:t xml:space="preserve">o </w:t>
      </w:r>
      <w:r w:rsidR="002760D9" w:rsidRPr="005B6DA0">
        <w:rPr>
          <w:sz w:val="26"/>
          <w:szCs w:val="26"/>
        </w:rPr>
        <w:t>tehnolo</w:t>
      </w:r>
      <w:r w:rsidR="00A957FA" w:rsidRPr="005B6DA0">
        <w:rPr>
          <w:sz w:val="26"/>
          <w:szCs w:val="26"/>
        </w:rPr>
        <w:t>ģiju un pielietojumu iestrādnes</w:t>
      </w:r>
      <w:r w:rsidR="002760D9" w:rsidRPr="005B6DA0">
        <w:rPr>
          <w:sz w:val="26"/>
          <w:szCs w:val="26"/>
        </w:rPr>
        <w:t xml:space="preserve"> pēc mērķa tehnoloģiju gatavības līmeņa</w:t>
      </w:r>
      <w:r w:rsidR="00A957FA" w:rsidRPr="005B6DA0">
        <w:rPr>
          <w:rStyle w:val="FootnoteReference"/>
          <w:sz w:val="26"/>
          <w:szCs w:val="26"/>
        </w:rPr>
        <w:footnoteReference w:id="5"/>
      </w:r>
      <w:r w:rsidR="002760D9" w:rsidRPr="005B6DA0">
        <w:rPr>
          <w:sz w:val="26"/>
          <w:szCs w:val="26"/>
        </w:rPr>
        <w:t xml:space="preserve"> (</w:t>
      </w:r>
      <w:proofErr w:type="spellStart"/>
      <w:r w:rsidR="002760D9" w:rsidRPr="005B6DA0">
        <w:rPr>
          <w:i/>
          <w:sz w:val="26"/>
          <w:szCs w:val="26"/>
        </w:rPr>
        <w:t>technology</w:t>
      </w:r>
      <w:proofErr w:type="spellEnd"/>
      <w:r w:rsidR="002760D9" w:rsidRPr="005B6DA0">
        <w:rPr>
          <w:i/>
          <w:sz w:val="26"/>
          <w:szCs w:val="26"/>
        </w:rPr>
        <w:t xml:space="preserve"> </w:t>
      </w:r>
      <w:proofErr w:type="spellStart"/>
      <w:r w:rsidR="002760D9" w:rsidRPr="005B6DA0">
        <w:rPr>
          <w:i/>
          <w:sz w:val="26"/>
          <w:szCs w:val="26"/>
        </w:rPr>
        <w:t>readiness</w:t>
      </w:r>
      <w:proofErr w:type="spellEnd"/>
      <w:r w:rsidR="002760D9" w:rsidRPr="005B6DA0">
        <w:rPr>
          <w:i/>
          <w:sz w:val="26"/>
          <w:szCs w:val="26"/>
        </w:rPr>
        <w:t xml:space="preserve"> </w:t>
      </w:r>
      <w:proofErr w:type="spellStart"/>
      <w:r w:rsidR="002760D9" w:rsidRPr="005B6DA0">
        <w:rPr>
          <w:i/>
          <w:sz w:val="26"/>
          <w:szCs w:val="26"/>
        </w:rPr>
        <w:t>level</w:t>
      </w:r>
      <w:proofErr w:type="spellEnd"/>
      <w:r w:rsidR="00A957FA" w:rsidRPr="005B6DA0">
        <w:rPr>
          <w:sz w:val="26"/>
          <w:szCs w:val="26"/>
        </w:rPr>
        <w:t xml:space="preserve"> </w:t>
      </w:r>
      <w:r w:rsidR="00097393">
        <w:rPr>
          <w:sz w:val="26"/>
          <w:szCs w:val="26"/>
        </w:rPr>
        <w:t xml:space="preserve">(turpmāk </w:t>
      </w:r>
      <w:r w:rsidR="00A957FA" w:rsidRPr="005B6DA0">
        <w:rPr>
          <w:sz w:val="26"/>
          <w:szCs w:val="26"/>
        </w:rPr>
        <w:t>– TRL</w:t>
      </w:r>
      <w:r w:rsidR="002760D9" w:rsidRPr="005B6DA0">
        <w:rPr>
          <w:sz w:val="26"/>
          <w:szCs w:val="26"/>
        </w:rPr>
        <w:t>)</w:t>
      </w:r>
      <w:r w:rsidR="008F44BD">
        <w:rPr>
          <w:sz w:val="26"/>
          <w:szCs w:val="26"/>
        </w:rPr>
        <w:t>)</w:t>
      </w:r>
      <w:r w:rsidR="00A957FA" w:rsidRPr="005B6DA0">
        <w:rPr>
          <w:sz w:val="26"/>
          <w:szCs w:val="26"/>
        </w:rPr>
        <w:t>, redzams, ka lielākā daļa aktivitāšu atrodas TRL skalā – 3, kas nozīmē</w:t>
      </w:r>
      <w:r w:rsidR="00624CA8" w:rsidRPr="005B6DA0">
        <w:rPr>
          <w:sz w:val="26"/>
          <w:szCs w:val="26"/>
        </w:rPr>
        <w:t>, ka</w:t>
      </w:r>
      <w:r w:rsidR="00A957FA" w:rsidRPr="005B6DA0">
        <w:rPr>
          <w:sz w:val="26"/>
          <w:szCs w:val="26"/>
        </w:rPr>
        <w:t xml:space="preserve"> izstrādātā tehnoloģija atrodas demonstrācijas fāzē</w:t>
      </w:r>
      <w:r w:rsidR="00FD5356" w:rsidRPr="005B6DA0">
        <w:rPr>
          <w:sz w:val="26"/>
          <w:szCs w:val="26"/>
        </w:rPr>
        <w:t>,</w:t>
      </w:r>
      <w:r w:rsidR="00A957FA" w:rsidRPr="005B6DA0">
        <w:rPr>
          <w:sz w:val="26"/>
          <w:szCs w:val="26"/>
        </w:rPr>
        <w:t xml:space="preserve"> izmantojot analītiskos modeļus, kuru</w:t>
      </w:r>
      <w:r w:rsidRPr="005B6DA0">
        <w:rPr>
          <w:sz w:val="26"/>
          <w:szCs w:val="26"/>
        </w:rPr>
        <w:t>s</w:t>
      </w:r>
      <w:r w:rsidR="00A957FA" w:rsidRPr="005B6DA0">
        <w:rPr>
          <w:sz w:val="26"/>
          <w:szCs w:val="26"/>
        </w:rPr>
        <w:t xml:space="preserve"> atbalsta </w:t>
      </w:r>
      <w:r w:rsidR="001D4872" w:rsidRPr="005B6DA0">
        <w:rPr>
          <w:sz w:val="26"/>
          <w:szCs w:val="26"/>
        </w:rPr>
        <w:t>eksperimentāli dati. Tikai neliela daļa tehnoloģisko un pielietojumu iestrādņu</w:t>
      </w:r>
      <w:r w:rsidR="00624CA8" w:rsidRPr="005B6DA0">
        <w:rPr>
          <w:sz w:val="26"/>
          <w:szCs w:val="26"/>
        </w:rPr>
        <w:t xml:space="preserve"> </w:t>
      </w:r>
      <w:r w:rsidR="001D4872" w:rsidRPr="005B6DA0">
        <w:rPr>
          <w:sz w:val="26"/>
          <w:szCs w:val="26"/>
        </w:rPr>
        <w:t>atrodas daudz nobriedušākos tehnoloģijas gatavības līmeņos</w:t>
      </w:r>
      <w:r w:rsidRPr="005B6DA0">
        <w:rPr>
          <w:sz w:val="26"/>
          <w:szCs w:val="26"/>
        </w:rPr>
        <w:t xml:space="preserve"> TRL 6 – 7</w:t>
      </w:r>
      <w:r w:rsidR="001D4872" w:rsidRPr="005B6DA0">
        <w:rPr>
          <w:sz w:val="26"/>
          <w:szCs w:val="26"/>
        </w:rPr>
        <w:t>. Tabula</w:t>
      </w:r>
      <w:r w:rsidR="003A2541" w:rsidRPr="005B6DA0">
        <w:rPr>
          <w:sz w:val="26"/>
          <w:szCs w:val="26"/>
        </w:rPr>
        <w:t xml:space="preserve"> Nr.</w:t>
      </w:r>
      <w:r w:rsidR="00FD5356" w:rsidRPr="005B6DA0">
        <w:rPr>
          <w:sz w:val="26"/>
          <w:szCs w:val="26"/>
        </w:rPr>
        <w:t xml:space="preserve"> </w:t>
      </w:r>
      <w:r w:rsidR="003A2541" w:rsidRPr="005B6DA0">
        <w:rPr>
          <w:sz w:val="26"/>
          <w:szCs w:val="26"/>
        </w:rPr>
        <w:t>3</w:t>
      </w:r>
      <w:r w:rsidR="001D4872" w:rsidRPr="005B6DA0">
        <w:rPr>
          <w:sz w:val="26"/>
          <w:szCs w:val="26"/>
        </w:rPr>
        <w:t xml:space="preserve"> demonstrē EKA projektu īstenoto aktivitāšu sadalījumu pēc</w:t>
      </w:r>
      <w:r w:rsidRPr="005B6DA0">
        <w:rPr>
          <w:sz w:val="26"/>
          <w:szCs w:val="26"/>
        </w:rPr>
        <w:t xml:space="preserve"> mērķa</w:t>
      </w:r>
      <w:r w:rsidR="001D4872" w:rsidRPr="005B6DA0">
        <w:rPr>
          <w:sz w:val="26"/>
          <w:szCs w:val="26"/>
        </w:rPr>
        <w:t xml:space="preserve"> TRL</w:t>
      </w:r>
      <w:r w:rsidR="003A2541" w:rsidRPr="005B6DA0">
        <w:rPr>
          <w:sz w:val="26"/>
          <w:szCs w:val="26"/>
        </w:rPr>
        <w:t xml:space="preserve"> skalas</w:t>
      </w:r>
      <w:r w:rsidRPr="005B6DA0">
        <w:rPr>
          <w:sz w:val="26"/>
          <w:szCs w:val="26"/>
        </w:rPr>
        <w:t>.</w:t>
      </w:r>
    </w:p>
    <w:p w14:paraId="033182C8" w14:textId="6D9DE704" w:rsidR="001302DC" w:rsidRPr="001302DC" w:rsidRDefault="003E58A1" w:rsidP="001302DC">
      <w:r>
        <w:t xml:space="preserve"> </w:t>
      </w:r>
      <w:r>
        <w:tab/>
      </w:r>
    </w:p>
    <w:p w14:paraId="554B5A4B" w14:textId="08BB9647" w:rsidR="001D4872" w:rsidRPr="003274D0" w:rsidRDefault="003A2541" w:rsidP="003A2541">
      <w:pPr>
        <w:jc w:val="right"/>
      </w:pPr>
      <w:r w:rsidRPr="003274D0">
        <w:t xml:space="preserve">Tabula </w:t>
      </w:r>
      <w:r w:rsidR="00FD5356" w:rsidRPr="003274D0">
        <w:t xml:space="preserve">Nr. </w:t>
      </w:r>
      <w:r w:rsidRPr="003274D0">
        <w:t xml:space="preserve">3 </w:t>
      </w:r>
    </w:p>
    <w:p w14:paraId="74F27A22" w14:textId="741B1111" w:rsidR="00193004" w:rsidRDefault="003A2541" w:rsidP="006C4C3E">
      <w:pPr>
        <w:jc w:val="center"/>
        <w:rPr>
          <w:b/>
          <w:sz w:val="22"/>
        </w:rPr>
      </w:pPr>
      <w:r w:rsidRPr="00F71053">
        <w:rPr>
          <w:b/>
          <w:sz w:val="22"/>
        </w:rPr>
        <w:t>Latvijas organizāciju īstenotās aktivitātes pēc TRL skalas</w:t>
      </w:r>
    </w:p>
    <w:p w14:paraId="23A7F1AE" w14:textId="77777777" w:rsidR="005A235B" w:rsidRPr="006C4C3E" w:rsidRDefault="005A235B" w:rsidP="006C4C3E">
      <w:pPr>
        <w:jc w:val="center"/>
        <w:rPr>
          <w:b/>
          <w:sz w:val="22"/>
        </w:rPr>
      </w:pPr>
    </w:p>
    <w:p w14:paraId="154454E7" w14:textId="012A9546" w:rsidR="00193004" w:rsidRDefault="00193004" w:rsidP="003A2541">
      <w:pPr>
        <w:jc w:val="center"/>
        <w:rPr>
          <w:b/>
        </w:rPr>
      </w:pPr>
      <w:r>
        <w:rPr>
          <w:b/>
          <w:noProof/>
          <w:lang w:eastAsia="lv-LV"/>
        </w:rPr>
        <w:drawing>
          <wp:inline distT="0" distB="0" distL="0" distR="0" wp14:anchorId="59AD55A7" wp14:editId="7403F90E">
            <wp:extent cx="5676900" cy="23241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515952" w14:textId="77777777" w:rsidR="00B55C29" w:rsidRDefault="00B55C29" w:rsidP="001302DC"/>
    <w:p w14:paraId="2BAC8CBE" w14:textId="55FEA19B" w:rsidR="001D4872" w:rsidRPr="005B6DA0" w:rsidRDefault="006B6C5B" w:rsidP="001302DC">
      <w:pPr>
        <w:rPr>
          <w:sz w:val="26"/>
          <w:szCs w:val="26"/>
        </w:rPr>
      </w:pPr>
      <w:r>
        <w:tab/>
      </w:r>
      <w:r w:rsidRPr="005B6DA0">
        <w:rPr>
          <w:sz w:val="26"/>
          <w:szCs w:val="26"/>
        </w:rPr>
        <w:t>L</w:t>
      </w:r>
      <w:r w:rsidR="00624CA8" w:rsidRPr="005B6DA0">
        <w:rPr>
          <w:sz w:val="26"/>
          <w:szCs w:val="26"/>
        </w:rPr>
        <w:t>ielākā daļa tehnoloģiju un pielietojumu atrodas agrās tehnoloģiju gatavības fāzēs un tikai neliela daļa tuvojas TRL skalas līmeņiem 8 un 9, kas nozīmē, ka tehnoloģija</w:t>
      </w:r>
      <w:r w:rsidR="00C82E12" w:rsidRPr="005B6DA0">
        <w:rPr>
          <w:sz w:val="26"/>
          <w:szCs w:val="26"/>
        </w:rPr>
        <w:t xml:space="preserve"> </w:t>
      </w:r>
      <w:r w:rsidR="00624CA8" w:rsidRPr="005B6DA0">
        <w:rPr>
          <w:sz w:val="26"/>
          <w:szCs w:val="26"/>
        </w:rPr>
        <w:t xml:space="preserve">ir </w:t>
      </w:r>
      <w:r w:rsidR="00C82E12" w:rsidRPr="005B6DA0">
        <w:rPr>
          <w:sz w:val="26"/>
          <w:szCs w:val="26"/>
        </w:rPr>
        <w:t xml:space="preserve">sasniegusi </w:t>
      </w:r>
      <w:r w:rsidR="00FD5356" w:rsidRPr="005B6DA0">
        <w:rPr>
          <w:sz w:val="26"/>
          <w:szCs w:val="26"/>
        </w:rPr>
        <w:t xml:space="preserve">pietiekami augstu </w:t>
      </w:r>
      <w:r w:rsidR="00A57E27" w:rsidRPr="005B6DA0">
        <w:rPr>
          <w:sz w:val="26"/>
          <w:szCs w:val="26"/>
        </w:rPr>
        <w:t>rādītāju</w:t>
      </w:r>
      <w:r w:rsidR="00C82E12" w:rsidRPr="005B6DA0">
        <w:rPr>
          <w:sz w:val="26"/>
          <w:szCs w:val="26"/>
        </w:rPr>
        <w:t>, lai to</w:t>
      </w:r>
      <w:r w:rsidR="00624CA8" w:rsidRPr="005B6DA0">
        <w:rPr>
          <w:sz w:val="26"/>
          <w:szCs w:val="26"/>
        </w:rPr>
        <w:t xml:space="preserve"> komercializ</w:t>
      </w:r>
      <w:r w:rsidR="00C82E12" w:rsidRPr="005B6DA0">
        <w:rPr>
          <w:sz w:val="26"/>
          <w:szCs w:val="26"/>
        </w:rPr>
        <w:t>ētu</w:t>
      </w:r>
      <w:r w:rsidR="00947C6C" w:rsidRPr="005B6DA0">
        <w:rPr>
          <w:sz w:val="26"/>
          <w:szCs w:val="26"/>
        </w:rPr>
        <w:t xml:space="preserve"> globālā tirgū.</w:t>
      </w:r>
    </w:p>
    <w:p w14:paraId="11AE621D" w14:textId="15CED08B" w:rsidR="00235A65" w:rsidRPr="005B6DA0" w:rsidRDefault="00FE05E7" w:rsidP="001302DC">
      <w:pPr>
        <w:rPr>
          <w:sz w:val="26"/>
          <w:szCs w:val="26"/>
        </w:rPr>
      </w:pPr>
      <w:r w:rsidRPr="005B6DA0">
        <w:rPr>
          <w:sz w:val="26"/>
          <w:szCs w:val="26"/>
        </w:rPr>
        <w:tab/>
        <w:t xml:space="preserve">Analizējot </w:t>
      </w:r>
      <w:r w:rsidR="007B19F8" w:rsidRPr="005B6DA0">
        <w:rPr>
          <w:sz w:val="26"/>
          <w:szCs w:val="26"/>
        </w:rPr>
        <w:t>ESV līgumu</w:t>
      </w:r>
      <w:r w:rsidRPr="005B6DA0">
        <w:rPr>
          <w:sz w:val="26"/>
          <w:szCs w:val="26"/>
        </w:rPr>
        <w:t xml:space="preserve"> ietvaros veiktās aktivit</w:t>
      </w:r>
      <w:r w:rsidR="007B19F8" w:rsidRPr="005B6DA0">
        <w:rPr>
          <w:sz w:val="26"/>
          <w:szCs w:val="26"/>
        </w:rPr>
        <w:t>ātes</w:t>
      </w:r>
      <w:r w:rsidR="006B6C5B" w:rsidRPr="005B6DA0">
        <w:rPr>
          <w:sz w:val="26"/>
          <w:szCs w:val="26"/>
        </w:rPr>
        <w:t>, tās</w:t>
      </w:r>
      <w:r w:rsidR="00A06DF9" w:rsidRPr="005B6DA0">
        <w:rPr>
          <w:sz w:val="26"/>
          <w:szCs w:val="26"/>
        </w:rPr>
        <w:t xml:space="preserve"> </w:t>
      </w:r>
      <w:r w:rsidRPr="005B6DA0">
        <w:rPr>
          <w:sz w:val="26"/>
          <w:szCs w:val="26"/>
        </w:rPr>
        <w:t>var iedalīt divās lielās grupās</w:t>
      </w:r>
      <w:r w:rsidR="00A06DF9" w:rsidRPr="005B6DA0">
        <w:rPr>
          <w:sz w:val="26"/>
          <w:szCs w:val="26"/>
        </w:rPr>
        <w:t xml:space="preserve"> – tehnoloģijas un pielietojumi, </w:t>
      </w:r>
      <w:r w:rsidR="006256F8" w:rsidRPr="005B6DA0">
        <w:rPr>
          <w:sz w:val="26"/>
          <w:szCs w:val="26"/>
        </w:rPr>
        <w:t xml:space="preserve">kas </w:t>
      </w:r>
      <w:r w:rsidR="00A06DF9" w:rsidRPr="005B6DA0">
        <w:rPr>
          <w:sz w:val="26"/>
          <w:szCs w:val="26"/>
        </w:rPr>
        <w:t xml:space="preserve">vērsti </w:t>
      </w:r>
      <w:r w:rsidR="00C82E12" w:rsidRPr="005B6DA0">
        <w:rPr>
          <w:sz w:val="26"/>
          <w:szCs w:val="26"/>
        </w:rPr>
        <w:t xml:space="preserve">uz </w:t>
      </w:r>
      <w:r w:rsidR="00A06DF9" w:rsidRPr="005B6DA0">
        <w:rPr>
          <w:sz w:val="26"/>
          <w:szCs w:val="26"/>
        </w:rPr>
        <w:t>augšupējo tirgu (</w:t>
      </w:r>
      <w:proofErr w:type="spellStart"/>
      <w:r w:rsidR="00A06DF9" w:rsidRPr="005B6DA0">
        <w:rPr>
          <w:i/>
          <w:sz w:val="26"/>
          <w:szCs w:val="26"/>
        </w:rPr>
        <w:t>upstream</w:t>
      </w:r>
      <w:proofErr w:type="spellEnd"/>
      <w:r w:rsidR="00A06DF9" w:rsidRPr="005B6DA0">
        <w:rPr>
          <w:i/>
          <w:sz w:val="26"/>
          <w:szCs w:val="26"/>
        </w:rPr>
        <w:t xml:space="preserve"> </w:t>
      </w:r>
      <w:proofErr w:type="spellStart"/>
      <w:r w:rsidR="00A06DF9" w:rsidRPr="005B6DA0">
        <w:rPr>
          <w:i/>
          <w:sz w:val="26"/>
          <w:szCs w:val="26"/>
        </w:rPr>
        <w:t>sector</w:t>
      </w:r>
      <w:proofErr w:type="spellEnd"/>
      <w:r w:rsidR="00A06DF9" w:rsidRPr="005B6DA0">
        <w:rPr>
          <w:sz w:val="26"/>
          <w:szCs w:val="26"/>
        </w:rPr>
        <w:t>)</w:t>
      </w:r>
      <w:r w:rsidR="00A06DF9" w:rsidRPr="005B6DA0">
        <w:rPr>
          <w:rStyle w:val="FootnoteReference"/>
          <w:sz w:val="26"/>
          <w:szCs w:val="26"/>
        </w:rPr>
        <w:footnoteReference w:id="6"/>
      </w:r>
      <w:r w:rsidR="00A06DF9" w:rsidRPr="005B6DA0">
        <w:rPr>
          <w:sz w:val="26"/>
          <w:szCs w:val="26"/>
        </w:rPr>
        <w:t xml:space="preserve"> un lejupējo</w:t>
      </w:r>
      <w:r w:rsidR="007B19F8" w:rsidRPr="005B6DA0">
        <w:rPr>
          <w:sz w:val="26"/>
          <w:szCs w:val="26"/>
        </w:rPr>
        <w:t xml:space="preserve"> tirgu</w:t>
      </w:r>
      <w:r w:rsidR="00A06DF9" w:rsidRPr="005B6DA0">
        <w:rPr>
          <w:sz w:val="26"/>
          <w:szCs w:val="26"/>
        </w:rPr>
        <w:t xml:space="preserve"> (</w:t>
      </w:r>
      <w:proofErr w:type="spellStart"/>
      <w:r w:rsidR="00A06DF9" w:rsidRPr="005B6DA0">
        <w:rPr>
          <w:i/>
          <w:sz w:val="26"/>
          <w:szCs w:val="26"/>
        </w:rPr>
        <w:t>downstream</w:t>
      </w:r>
      <w:proofErr w:type="spellEnd"/>
      <w:r w:rsidR="00A06DF9" w:rsidRPr="005B6DA0">
        <w:rPr>
          <w:i/>
          <w:sz w:val="26"/>
          <w:szCs w:val="26"/>
        </w:rPr>
        <w:t xml:space="preserve"> </w:t>
      </w:r>
      <w:proofErr w:type="spellStart"/>
      <w:r w:rsidR="00A06DF9" w:rsidRPr="005B6DA0">
        <w:rPr>
          <w:i/>
          <w:sz w:val="26"/>
          <w:szCs w:val="26"/>
        </w:rPr>
        <w:t>sector</w:t>
      </w:r>
      <w:proofErr w:type="spellEnd"/>
      <w:r w:rsidR="00A06DF9" w:rsidRPr="005B6DA0">
        <w:rPr>
          <w:sz w:val="26"/>
          <w:szCs w:val="26"/>
        </w:rPr>
        <w:t>)</w:t>
      </w:r>
      <w:r w:rsidR="00A06DF9" w:rsidRPr="005B6DA0">
        <w:rPr>
          <w:rStyle w:val="FootnoteReference"/>
          <w:sz w:val="26"/>
          <w:szCs w:val="26"/>
        </w:rPr>
        <w:footnoteReference w:id="7"/>
      </w:r>
      <w:r w:rsidR="00A06DF9" w:rsidRPr="005B6DA0">
        <w:rPr>
          <w:sz w:val="26"/>
          <w:szCs w:val="26"/>
        </w:rPr>
        <w:t>, savukārt tos iedala detalizētākās kategorijās, kam pamatā ir tehnoloģiju veids vai lejupējā tirgus gadījumā</w:t>
      </w:r>
      <w:r w:rsidR="00FD5356" w:rsidRPr="005B6DA0">
        <w:rPr>
          <w:sz w:val="26"/>
          <w:szCs w:val="26"/>
        </w:rPr>
        <w:t xml:space="preserve"> </w:t>
      </w:r>
      <w:r w:rsidR="00FD5356" w:rsidRPr="005B6DA0">
        <w:rPr>
          <w:color w:val="000000"/>
          <w:sz w:val="26"/>
          <w:szCs w:val="26"/>
          <w:shd w:val="clear" w:color="auto" w:fill="F9F9F9"/>
        </w:rPr>
        <w:t>–</w:t>
      </w:r>
      <w:r w:rsidR="00A06DF9" w:rsidRPr="005B6DA0">
        <w:rPr>
          <w:sz w:val="26"/>
          <w:szCs w:val="26"/>
        </w:rPr>
        <w:t xml:space="preserve"> izmantotās kosmosa infrastruktūras veids. </w:t>
      </w:r>
      <w:r w:rsidR="0030486A" w:rsidRPr="005B6DA0">
        <w:rPr>
          <w:sz w:val="26"/>
          <w:szCs w:val="26"/>
        </w:rPr>
        <w:t xml:space="preserve">Savukārt izglītības projekti ir vērsti uz sabiedrības izpratnes veicināšanu par kosmosa nozari un tehnoloģijām, kā arī </w:t>
      </w:r>
      <w:r w:rsidR="00BF5CD0" w:rsidRPr="005B6DA0">
        <w:rPr>
          <w:sz w:val="26"/>
          <w:szCs w:val="26"/>
        </w:rPr>
        <w:t xml:space="preserve">to ietvaros tiek izstrādātas augstskolu studiju </w:t>
      </w:r>
      <w:r w:rsidR="0030486A" w:rsidRPr="005B6DA0">
        <w:rPr>
          <w:sz w:val="26"/>
          <w:szCs w:val="26"/>
        </w:rPr>
        <w:t>programmas</w:t>
      </w:r>
      <w:r w:rsidR="00BF5CD0" w:rsidRPr="005B6DA0">
        <w:rPr>
          <w:sz w:val="26"/>
          <w:szCs w:val="26"/>
        </w:rPr>
        <w:t xml:space="preserve">, lai nodrošinātu kvalificētus cilvēkresursus nozarei nākotnē. </w:t>
      </w:r>
      <w:r w:rsidR="007B19F8" w:rsidRPr="005B6DA0">
        <w:rPr>
          <w:sz w:val="26"/>
          <w:szCs w:val="26"/>
        </w:rPr>
        <w:t>Tabula Nr. 4 piedāvā ESV</w:t>
      </w:r>
      <w:r w:rsidR="007847CF" w:rsidRPr="005B6DA0">
        <w:rPr>
          <w:sz w:val="26"/>
          <w:szCs w:val="26"/>
        </w:rPr>
        <w:t xml:space="preserve"> līguma ietvaros attīstīto tehnoloģiju un pielietojumu apskatu, ievērojot to TRL skalu un piederību pie noteiktas kosmosa tehnoloģiju un pielietojumu kategorijas. </w:t>
      </w:r>
      <w:r w:rsidR="00C74738" w:rsidRPr="005B6DA0">
        <w:rPr>
          <w:sz w:val="26"/>
          <w:szCs w:val="26"/>
        </w:rPr>
        <w:t xml:space="preserve">Vairākiem </w:t>
      </w:r>
      <w:r w:rsidR="00DC6116" w:rsidRPr="005B6DA0">
        <w:rPr>
          <w:sz w:val="26"/>
          <w:szCs w:val="26"/>
        </w:rPr>
        <w:t xml:space="preserve">Latvijas </w:t>
      </w:r>
      <w:r w:rsidR="00C74738" w:rsidRPr="005B6DA0">
        <w:rPr>
          <w:sz w:val="26"/>
          <w:szCs w:val="26"/>
        </w:rPr>
        <w:t xml:space="preserve">uzņēmumiem kā SIA </w:t>
      </w:r>
      <w:r w:rsidR="00FD5356" w:rsidRPr="005B6DA0">
        <w:rPr>
          <w:sz w:val="26"/>
          <w:szCs w:val="26"/>
        </w:rPr>
        <w:t>“</w:t>
      </w:r>
      <w:proofErr w:type="spellStart"/>
      <w:r w:rsidR="00C74738" w:rsidRPr="005B6DA0">
        <w:rPr>
          <w:sz w:val="26"/>
          <w:szCs w:val="26"/>
        </w:rPr>
        <w:t>Axon</w:t>
      </w:r>
      <w:proofErr w:type="spellEnd"/>
      <w:r w:rsidR="00C74738" w:rsidRPr="005B6DA0">
        <w:rPr>
          <w:sz w:val="26"/>
          <w:szCs w:val="26"/>
        </w:rPr>
        <w:t xml:space="preserve"> </w:t>
      </w:r>
      <w:proofErr w:type="spellStart"/>
      <w:r w:rsidR="00C74738" w:rsidRPr="005B6DA0">
        <w:rPr>
          <w:sz w:val="26"/>
          <w:szCs w:val="26"/>
        </w:rPr>
        <w:t>cable</w:t>
      </w:r>
      <w:proofErr w:type="spellEnd"/>
      <w:r w:rsidR="00C74738" w:rsidRPr="005B6DA0">
        <w:rPr>
          <w:sz w:val="26"/>
          <w:szCs w:val="26"/>
        </w:rPr>
        <w:t xml:space="preserve"> Latvia</w:t>
      </w:r>
      <w:r w:rsidR="00FD5356" w:rsidRPr="005B6DA0">
        <w:rPr>
          <w:sz w:val="26"/>
          <w:szCs w:val="26"/>
        </w:rPr>
        <w:t>”</w:t>
      </w:r>
      <w:r w:rsidR="00C74738" w:rsidRPr="005B6DA0">
        <w:rPr>
          <w:sz w:val="26"/>
          <w:szCs w:val="26"/>
        </w:rPr>
        <w:t xml:space="preserve"> un SIA </w:t>
      </w:r>
      <w:r w:rsidR="00FD5356" w:rsidRPr="005B6DA0">
        <w:rPr>
          <w:sz w:val="26"/>
          <w:szCs w:val="26"/>
        </w:rPr>
        <w:t>“</w:t>
      </w:r>
      <w:proofErr w:type="spellStart"/>
      <w:r w:rsidR="00C74738" w:rsidRPr="005B6DA0">
        <w:rPr>
          <w:sz w:val="26"/>
          <w:szCs w:val="26"/>
        </w:rPr>
        <w:t>Fiber</w:t>
      </w:r>
      <w:proofErr w:type="spellEnd"/>
      <w:r w:rsidR="00C74738" w:rsidRPr="005B6DA0">
        <w:rPr>
          <w:sz w:val="26"/>
          <w:szCs w:val="26"/>
        </w:rPr>
        <w:t xml:space="preserve"> </w:t>
      </w:r>
      <w:proofErr w:type="spellStart"/>
      <w:r w:rsidR="00C74738" w:rsidRPr="005B6DA0">
        <w:rPr>
          <w:sz w:val="26"/>
          <w:szCs w:val="26"/>
        </w:rPr>
        <w:t>Optical</w:t>
      </w:r>
      <w:proofErr w:type="spellEnd"/>
      <w:r w:rsidR="00C74738" w:rsidRPr="005B6DA0">
        <w:rPr>
          <w:sz w:val="26"/>
          <w:szCs w:val="26"/>
        </w:rPr>
        <w:t xml:space="preserve"> Solutions</w:t>
      </w:r>
      <w:r w:rsidR="00FD5356" w:rsidRPr="005B6DA0">
        <w:rPr>
          <w:sz w:val="26"/>
          <w:szCs w:val="26"/>
        </w:rPr>
        <w:t>”</w:t>
      </w:r>
      <w:r w:rsidR="00C74738" w:rsidRPr="005B6DA0">
        <w:rPr>
          <w:sz w:val="26"/>
          <w:szCs w:val="26"/>
        </w:rPr>
        <w:t xml:space="preserve"> ir neapšaubāma augstas kvalitātes kompetence kosmosa nozarē, bet tie līdz piektajam </w:t>
      </w:r>
      <w:r w:rsidR="007B19F8" w:rsidRPr="005B6DA0">
        <w:rPr>
          <w:sz w:val="26"/>
          <w:szCs w:val="26"/>
        </w:rPr>
        <w:t xml:space="preserve">EKA </w:t>
      </w:r>
      <w:r w:rsidR="00C74738" w:rsidRPr="005B6DA0">
        <w:rPr>
          <w:sz w:val="26"/>
          <w:szCs w:val="26"/>
        </w:rPr>
        <w:t>projektu konkursam neb</w:t>
      </w:r>
      <w:r w:rsidR="006B6C5B" w:rsidRPr="005B6DA0">
        <w:rPr>
          <w:sz w:val="26"/>
          <w:szCs w:val="26"/>
        </w:rPr>
        <w:t>ija iesnieguši nevienu projektu, tādēļ nav iekļauti šajā tabulā.</w:t>
      </w:r>
      <w:r w:rsidR="00C74738" w:rsidRPr="005B6DA0">
        <w:rPr>
          <w:sz w:val="26"/>
          <w:szCs w:val="26"/>
        </w:rPr>
        <w:t xml:space="preserve"> </w:t>
      </w:r>
      <w:r w:rsidR="00097393" w:rsidRPr="00097393">
        <w:rPr>
          <w:sz w:val="26"/>
          <w:szCs w:val="26"/>
        </w:rPr>
        <w:t xml:space="preserve">Tāpat diviem uzņēmumiem SIA “HEE </w:t>
      </w:r>
      <w:proofErr w:type="spellStart"/>
      <w:r w:rsidR="00097393" w:rsidRPr="00097393">
        <w:rPr>
          <w:sz w:val="26"/>
          <w:szCs w:val="26"/>
        </w:rPr>
        <w:t>Photnic</w:t>
      </w:r>
      <w:proofErr w:type="spellEnd"/>
      <w:r w:rsidR="00097393" w:rsidRPr="00097393">
        <w:rPr>
          <w:sz w:val="26"/>
          <w:szCs w:val="26"/>
        </w:rPr>
        <w:t xml:space="preserve"> Labs” un SIA “</w:t>
      </w:r>
      <w:proofErr w:type="spellStart"/>
      <w:r w:rsidR="00097393" w:rsidRPr="00097393">
        <w:rPr>
          <w:sz w:val="26"/>
          <w:szCs w:val="26"/>
        </w:rPr>
        <w:t>Cryogenic</w:t>
      </w:r>
      <w:proofErr w:type="spellEnd"/>
      <w:r w:rsidR="00097393" w:rsidRPr="00097393">
        <w:rPr>
          <w:sz w:val="26"/>
          <w:szCs w:val="26"/>
        </w:rPr>
        <w:t xml:space="preserve"> </w:t>
      </w:r>
      <w:proofErr w:type="spellStart"/>
      <w:r w:rsidR="00097393" w:rsidRPr="00097393">
        <w:rPr>
          <w:sz w:val="26"/>
          <w:szCs w:val="26"/>
        </w:rPr>
        <w:t>Vacuum</w:t>
      </w:r>
      <w:proofErr w:type="spellEnd"/>
      <w:r w:rsidR="00097393" w:rsidRPr="00097393">
        <w:rPr>
          <w:sz w:val="26"/>
          <w:szCs w:val="26"/>
        </w:rPr>
        <w:t xml:space="preserve"> </w:t>
      </w:r>
      <w:proofErr w:type="spellStart"/>
      <w:r w:rsidR="00097393" w:rsidRPr="00097393">
        <w:rPr>
          <w:sz w:val="26"/>
          <w:szCs w:val="26"/>
        </w:rPr>
        <w:t>System</w:t>
      </w:r>
      <w:proofErr w:type="spellEnd"/>
      <w:r w:rsidR="00097393" w:rsidRPr="00097393">
        <w:rPr>
          <w:sz w:val="26"/>
          <w:szCs w:val="26"/>
        </w:rPr>
        <w:t xml:space="preserve">” ir atzīta kompetence kosmosa nozarē, taču neviens no iesniegtajiem projektiem nav ieguvis </w:t>
      </w:r>
      <w:proofErr w:type="spellStart"/>
      <w:r w:rsidR="00097393" w:rsidRPr="00097393">
        <w:rPr>
          <w:sz w:val="26"/>
          <w:szCs w:val="26"/>
        </w:rPr>
        <w:t>virssliekšņa</w:t>
      </w:r>
      <w:proofErr w:type="spellEnd"/>
      <w:r w:rsidR="00097393" w:rsidRPr="00097393">
        <w:rPr>
          <w:sz w:val="26"/>
          <w:szCs w:val="26"/>
        </w:rPr>
        <w:t xml:space="preserve"> novērtējumu, lai gan ir ieguvuši </w:t>
      </w:r>
      <w:r w:rsidR="00097393">
        <w:rPr>
          <w:sz w:val="26"/>
          <w:szCs w:val="26"/>
        </w:rPr>
        <w:t>p</w:t>
      </w:r>
      <w:r w:rsidR="00097393" w:rsidRPr="00097393">
        <w:rPr>
          <w:sz w:val="26"/>
          <w:szCs w:val="26"/>
        </w:rPr>
        <w:t>ētniecības un inovāciju pamatprogrammas “Apvārsnis 2020” sīko, mazo un vidējo uzņēmumu (MVU) instrumenta 1.fāzes projektus kosmosa tematikā.</w:t>
      </w:r>
      <w:r w:rsidR="00097393" w:rsidRPr="00097393">
        <w:rPr>
          <w:sz w:val="26"/>
          <w:szCs w:val="26"/>
          <w:vertAlign w:val="superscript"/>
        </w:rPr>
        <w:footnoteReference w:id="8"/>
      </w:r>
      <w:r w:rsidR="00097393" w:rsidRPr="00097393">
        <w:rPr>
          <w:sz w:val="26"/>
          <w:szCs w:val="26"/>
        </w:rPr>
        <w:t xml:space="preserve"> Abi šie gadījumi liecina par vēl neizmantotu potenciālu kosmosa nozarē Latvijā, kas var īstenoties turpmākajos gados.</w:t>
      </w:r>
    </w:p>
    <w:p w14:paraId="69F6BB70" w14:textId="67F533F0" w:rsidR="00235A65" w:rsidRPr="003274D0" w:rsidRDefault="00235A65" w:rsidP="00235A65">
      <w:pPr>
        <w:jc w:val="right"/>
      </w:pPr>
      <w:r w:rsidRPr="003274D0">
        <w:t xml:space="preserve">Tabula </w:t>
      </w:r>
      <w:r w:rsidR="00A57E27" w:rsidRPr="003274D0">
        <w:t xml:space="preserve">Nr. </w:t>
      </w:r>
      <w:r w:rsidRPr="003274D0">
        <w:t xml:space="preserve">4 </w:t>
      </w:r>
    </w:p>
    <w:p w14:paraId="416B6BA6" w14:textId="0B822F4B" w:rsidR="00235A65" w:rsidRPr="003274D0" w:rsidRDefault="0030486A" w:rsidP="00235A65">
      <w:pPr>
        <w:jc w:val="center"/>
        <w:rPr>
          <w:b/>
        </w:rPr>
      </w:pPr>
      <w:r>
        <w:rPr>
          <w:b/>
        </w:rPr>
        <w:t>ESV</w:t>
      </w:r>
      <w:r w:rsidR="00235A65" w:rsidRPr="003274D0">
        <w:rPr>
          <w:b/>
        </w:rPr>
        <w:t xml:space="preserve"> līguma ietvaros </w:t>
      </w:r>
      <w:r w:rsidR="00C73225" w:rsidRPr="003274D0">
        <w:rPr>
          <w:b/>
        </w:rPr>
        <w:t>attīstīto</w:t>
      </w:r>
      <w:r w:rsidR="00235A65" w:rsidRPr="003274D0">
        <w:rPr>
          <w:b/>
        </w:rPr>
        <w:t xml:space="preserve"> kosmosa tehnoloģiju kopsavilkums</w:t>
      </w:r>
    </w:p>
    <w:p w14:paraId="1008CEEB" w14:textId="77777777" w:rsidR="00C73225" w:rsidRPr="006256F8" w:rsidRDefault="00C73225" w:rsidP="001302DC"/>
    <w:tbl>
      <w:tblPr>
        <w:tblStyle w:val="GridTable4-Accent4"/>
        <w:tblW w:w="0" w:type="auto"/>
        <w:tblLook w:val="04A0" w:firstRow="1" w:lastRow="0" w:firstColumn="1" w:lastColumn="0" w:noHBand="0" w:noVBand="1"/>
      </w:tblPr>
      <w:tblGrid>
        <w:gridCol w:w="1860"/>
        <w:gridCol w:w="2003"/>
        <w:gridCol w:w="852"/>
        <w:gridCol w:w="972"/>
        <w:gridCol w:w="3374"/>
      </w:tblGrid>
      <w:tr w:rsidR="0030486A" w:rsidRPr="006256F8" w14:paraId="4E53FB85" w14:textId="77777777" w:rsidTr="0030486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61" w:type="dxa"/>
          </w:tcPr>
          <w:p w14:paraId="386ED10B" w14:textId="073D9D4E" w:rsidR="00581FA6" w:rsidRPr="0030486A" w:rsidRDefault="00581FA6" w:rsidP="003274D0">
            <w:pPr>
              <w:jc w:val="center"/>
              <w:rPr>
                <w:bCs w:val="0"/>
                <w:color w:val="000000" w:themeColor="text1"/>
                <w:sz w:val="20"/>
                <w:szCs w:val="20"/>
                <w:u w:val="single"/>
              </w:rPr>
            </w:pPr>
            <w:r w:rsidRPr="0030486A">
              <w:rPr>
                <w:color w:val="000000" w:themeColor="text1"/>
                <w:sz w:val="20"/>
                <w:szCs w:val="20"/>
                <w:u w:val="single"/>
              </w:rPr>
              <w:t>Tehnoloģiju kategorija</w:t>
            </w:r>
          </w:p>
        </w:tc>
        <w:tc>
          <w:tcPr>
            <w:tcW w:w="2005" w:type="dxa"/>
          </w:tcPr>
          <w:p w14:paraId="0E565B01" w14:textId="401D297F" w:rsidR="00581FA6" w:rsidRPr="0030486A" w:rsidRDefault="00581FA6" w:rsidP="003274D0">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u w:val="single"/>
              </w:rPr>
            </w:pPr>
            <w:r w:rsidRPr="0030486A">
              <w:rPr>
                <w:color w:val="000000" w:themeColor="text1"/>
                <w:sz w:val="20"/>
                <w:szCs w:val="20"/>
                <w:u w:val="single"/>
              </w:rPr>
              <w:t>Organizācijas nosaukums</w:t>
            </w:r>
          </w:p>
        </w:tc>
        <w:tc>
          <w:tcPr>
            <w:tcW w:w="852" w:type="dxa"/>
          </w:tcPr>
          <w:p w14:paraId="21EDFE32" w14:textId="44762584" w:rsidR="00581FA6" w:rsidRPr="0030486A" w:rsidRDefault="00581FA6" w:rsidP="003274D0">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u w:val="single"/>
              </w:rPr>
            </w:pPr>
            <w:r w:rsidRPr="0030486A">
              <w:rPr>
                <w:color w:val="000000" w:themeColor="text1"/>
                <w:sz w:val="20"/>
                <w:szCs w:val="20"/>
                <w:u w:val="single"/>
              </w:rPr>
              <w:t>Mērķa TRL</w:t>
            </w:r>
          </w:p>
        </w:tc>
        <w:tc>
          <w:tcPr>
            <w:tcW w:w="962" w:type="dxa"/>
          </w:tcPr>
          <w:p w14:paraId="15189E19" w14:textId="39FAAC1F" w:rsidR="00581FA6" w:rsidRPr="0030486A" w:rsidRDefault="00581FA6" w:rsidP="003274D0">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u w:val="single"/>
              </w:rPr>
            </w:pPr>
            <w:r w:rsidRPr="0030486A">
              <w:rPr>
                <w:color w:val="000000" w:themeColor="text1"/>
                <w:sz w:val="20"/>
                <w:szCs w:val="20"/>
                <w:u w:val="single"/>
              </w:rPr>
              <w:t>Projektu skaits</w:t>
            </w:r>
          </w:p>
        </w:tc>
        <w:tc>
          <w:tcPr>
            <w:tcW w:w="3381" w:type="dxa"/>
          </w:tcPr>
          <w:p w14:paraId="423D8CEB" w14:textId="083FDD47" w:rsidR="00581FA6" w:rsidRPr="0030486A" w:rsidRDefault="00581FA6" w:rsidP="003274D0">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szCs w:val="20"/>
                <w:u w:val="single"/>
              </w:rPr>
            </w:pPr>
            <w:r w:rsidRPr="0030486A">
              <w:rPr>
                <w:color w:val="000000" w:themeColor="text1"/>
                <w:sz w:val="20"/>
                <w:szCs w:val="20"/>
                <w:u w:val="single"/>
              </w:rPr>
              <w:t>Attīstītās tehnoloģijas, pielietojuma vai kompetences apraksts</w:t>
            </w:r>
          </w:p>
        </w:tc>
      </w:tr>
      <w:tr w:rsidR="00C74738" w:rsidRPr="006256F8" w14:paraId="0B92C66D" w14:textId="77777777" w:rsidTr="0030486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061" w:type="dxa"/>
            <w:gridSpan w:val="5"/>
          </w:tcPr>
          <w:p w14:paraId="70B28485" w14:textId="2BBEB729" w:rsidR="00C74738" w:rsidRPr="0030486A" w:rsidRDefault="00C74738" w:rsidP="00C74738">
            <w:pPr>
              <w:jc w:val="center"/>
              <w:rPr>
                <w:sz w:val="20"/>
                <w:szCs w:val="20"/>
                <w:u w:val="single"/>
              </w:rPr>
            </w:pPr>
            <w:r w:rsidRPr="0030486A">
              <w:rPr>
                <w:sz w:val="20"/>
                <w:szCs w:val="20"/>
              </w:rPr>
              <w:t>Augšupējā tirgus (</w:t>
            </w:r>
            <w:proofErr w:type="spellStart"/>
            <w:r w:rsidRPr="0030486A">
              <w:rPr>
                <w:i/>
                <w:sz w:val="20"/>
                <w:szCs w:val="20"/>
              </w:rPr>
              <w:t>Upstream</w:t>
            </w:r>
            <w:proofErr w:type="spellEnd"/>
            <w:r w:rsidRPr="0030486A">
              <w:rPr>
                <w:i/>
                <w:sz w:val="20"/>
                <w:szCs w:val="20"/>
              </w:rPr>
              <w:t xml:space="preserve"> </w:t>
            </w:r>
            <w:proofErr w:type="spellStart"/>
            <w:r w:rsidRPr="0030486A">
              <w:rPr>
                <w:i/>
                <w:sz w:val="20"/>
                <w:szCs w:val="20"/>
              </w:rPr>
              <w:t>market</w:t>
            </w:r>
            <w:proofErr w:type="spellEnd"/>
            <w:r w:rsidRPr="0030486A">
              <w:rPr>
                <w:sz w:val="20"/>
                <w:szCs w:val="20"/>
              </w:rPr>
              <w:t>) tehnoloģijas</w:t>
            </w:r>
          </w:p>
        </w:tc>
      </w:tr>
      <w:tr w:rsidR="00C74738" w:rsidRPr="006256F8" w14:paraId="78422346"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06E50997" w14:textId="30A4A49E" w:rsidR="00581FA6" w:rsidRPr="0030486A" w:rsidRDefault="00581FA6" w:rsidP="00C74738">
            <w:pPr>
              <w:jc w:val="center"/>
              <w:rPr>
                <w:sz w:val="20"/>
                <w:szCs w:val="20"/>
              </w:rPr>
            </w:pPr>
            <w:r w:rsidRPr="0030486A">
              <w:rPr>
                <w:sz w:val="20"/>
                <w:szCs w:val="20"/>
              </w:rPr>
              <w:t>Instrumenti</w:t>
            </w:r>
          </w:p>
        </w:tc>
        <w:tc>
          <w:tcPr>
            <w:tcW w:w="2005" w:type="dxa"/>
          </w:tcPr>
          <w:p w14:paraId="1BADAB64" w14:textId="3CBC557F" w:rsidR="00581FA6" w:rsidRPr="0030486A" w:rsidRDefault="00581FA6"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SIA </w:t>
            </w:r>
            <w:proofErr w:type="spellStart"/>
            <w:r w:rsidRPr="0030486A">
              <w:rPr>
                <w:sz w:val="20"/>
                <w:szCs w:val="20"/>
              </w:rPr>
              <w:t>Baltic</w:t>
            </w:r>
            <w:proofErr w:type="spellEnd"/>
            <w:r w:rsidRPr="0030486A">
              <w:rPr>
                <w:sz w:val="20"/>
                <w:szCs w:val="20"/>
              </w:rPr>
              <w:t xml:space="preserve"> </w:t>
            </w:r>
            <w:proofErr w:type="spellStart"/>
            <w:r w:rsidRPr="0030486A">
              <w:rPr>
                <w:sz w:val="20"/>
                <w:szCs w:val="20"/>
              </w:rPr>
              <w:t>Scientific</w:t>
            </w:r>
            <w:proofErr w:type="spellEnd"/>
            <w:r w:rsidRPr="0030486A">
              <w:rPr>
                <w:sz w:val="20"/>
                <w:szCs w:val="20"/>
              </w:rPr>
              <w:t xml:space="preserve"> Instruments</w:t>
            </w:r>
          </w:p>
        </w:tc>
        <w:tc>
          <w:tcPr>
            <w:tcW w:w="852" w:type="dxa"/>
          </w:tcPr>
          <w:p w14:paraId="7094E461" w14:textId="44D67313" w:rsidR="00581FA6" w:rsidRPr="0030486A" w:rsidRDefault="00581FA6"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2 </w:t>
            </w:r>
            <w:r w:rsidR="008A56D2" w:rsidRPr="0030486A">
              <w:rPr>
                <w:sz w:val="20"/>
                <w:szCs w:val="20"/>
              </w:rPr>
              <w:t>–</w:t>
            </w:r>
            <w:r w:rsidRPr="0030486A">
              <w:rPr>
                <w:sz w:val="20"/>
                <w:szCs w:val="20"/>
              </w:rPr>
              <w:t xml:space="preserve"> 4</w:t>
            </w:r>
          </w:p>
        </w:tc>
        <w:tc>
          <w:tcPr>
            <w:tcW w:w="962" w:type="dxa"/>
          </w:tcPr>
          <w:p w14:paraId="02FE5539" w14:textId="476E63C2" w:rsidR="00581FA6" w:rsidRPr="0030486A" w:rsidRDefault="00581FA6"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2</w:t>
            </w:r>
          </w:p>
        </w:tc>
        <w:tc>
          <w:tcPr>
            <w:tcW w:w="3381" w:type="dxa"/>
          </w:tcPr>
          <w:p w14:paraId="1B0A6144" w14:textId="6C75EC7C" w:rsidR="00581FA6" w:rsidRPr="0030486A" w:rsidRDefault="00581FA6"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Instrumenti un tehnoloģijas radiācijas noteikšanai un mērīšanai kosmosā</w:t>
            </w:r>
          </w:p>
        </w:tc>
      </w:tr>
      <w:tr w:rsidR="0030486A" w:rsidRPr="006256F8" w14:paraId="6FFE6660"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1C502FC4" w14:textId="09A537CA" w:rsidR="00581FA6" w:rsidRPr="0030486A" w:rsidRDefault="00581FA6" w:rsidP="00C74738">
            <w:pPr>
              <w:jc w:val="center"/>
              <w:rPr>
                <w:sz w:val="20"/>
                <w:szCs w:val="20"/>
              </w:rPr>
            </w:pPr>
            <w:r w:rsidRPr="0030486A">
              <w:rPr>
                <w:sz w:val="20"/>
                <w:szCs w:val="20"/>
              </w:rPr>
              <w:t>Instrumenti</w:t>
            </w:r>
          </w:p>
        </w:tc>
        <w:tc>
          <w:tcPr>
            <w:tcW w:w="2005" w:type="dxa"/>
          </w:tcPr>
          <w:p w14:paraId="4B452514" w14:textId="14E56134" w:rsidR="00581FA6" w:rsidRPr="0030486A" w:rsidRDefault="00581FA6"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SIA Allatherm</w:t>
            </w:r>
          </w:p>
        </w:tc>
        <w:tc>
          <w:tcPr>
            <w:tcW w:w="852" w:type="dxa"/>
          </w:tcPr>
          <w:p w14:paraId="36AC56EB" w14:textId="6D8BAC02" w:rsidR="00581FA6" w:rsidRPr="0030486A" w:rsidRDefault="00581FA6"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6</w:t>
            </w:r>
          </w:p>
        </w:tc>
        <w:tc>
          <w:tcPr>
            <w:tcW w:w="962" w:type="dxa"/>
          </w:tcPr>
          <w:p w14:paraId="24D28455" w14:textId="70F5DA9F" w:rsidR="00581FA6" w:rsidRPr="0030486A" w:rsidRDefault="00581FA6"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1</w:t>
            </w:r>
          </w:p>
        </w:tc>
        <w:tc>
          <w:tcPr>
            <w:tcW w:w="3381" w:type="dxa"/>
          </w:tcPr>
          <w:p w14:paraId="0C8F495F" w14:textId="72182F11" w:rsidR="00581FA6" w:rsidRPr="0030486A" w:rsidRDefault="00581FA6"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Termiskās un ksenona </w:t>
            </w:r>
            <w:proofErr w:type="spellStart"/>
            <w:r w:rsidRPr="0030486A">
              <w:rPr>
                <w:sz w:val="20"/>
                <w:szCs w:val="20"/>
              </w:rPr>
              <w:t>uzpildes</w:t>
            </w:r>
            <w:proofErr w:type="spellEnd"/>
            <w:r w:rsidRPr="0030486A">
              <w:rPr>
                <w:sz w:val="20"/>
                <w:szCs w:val="20"/>
              </w:rPr>
              <w:t xml:space="preserve"> tehnoloģijas</w:t>
            </w:r>
          </w:p>
        </w:tc>
      </w:tr>
      <w:tr w:rsidR="00C74738" w:rsidRPr="006256F8" w14:paraId="083568AE"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0DAA58CE" w14:textId="4E3F3240" w:rsidR="00581FA6" w:rsidRPr="0030486A" w:rsidRDefault="00581FA6" w:rsidP="00C74738">
            <w:pPr>
              <w:jc w:val="center"/>
              <w:rPr>
                <w:sz w:val="20"/>
                <w:szCs w:val="20"/>
              </w:rPr>
            </w:pPr>
            <w:r w:rsidRPr="0030486A">
              <w:rPr>
                <w:sz w:val="20"/>
                <w:szCs w:val="20"/>
              </w:rPr>
              <w:t>Elektronika</w:t>
            </w:r>
          </w:p>
        </w:tc>
        <w:tc>
          <w:tcPr>
            <w:tcW w:w="2005" w:type="dxa"/>
          </w:tcPr>
          <w:p w14:paraId="5B1D87EA" w14:textId="3B4EED4F" w:rsidR="00581FA6" w:rsidRPr="0030486A" w:rsidRDefault="00DC4811"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AS RD Alfa </w:t>
            </w:r>
            <w:proofErr w:type="spellStart"/>
            <w:r w:rsidRPr="0030486A">
              <w:rPr>
                <w:sz w:val="20"/>
                <w:szCs w:val="20"/>
              </w:rPr>
              <w:t>Mikroelektroniks</w:t>
            </w:r>
            <w:proofErr w:type="spellEnd"/>
          </w:p>
        </w:tc>
        <w:tc>
          <w:tcPr>
            <w:tcW w:w="852" w:type="dxa"/>
          </w:tcPr>
          <w:p w14:paraId="16F3F4E0" w14:textId="72098787" w:rsidR="00581FA6" w:rsidRPr="0030486A" w:rsidRDefault="00DC4811"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7</w:t>
            </w:r>
          </w:p>
        </w:tc>
        <w:tc>
          <w:tcPr>
            <w:tcW w:w="962" w:type="dxa"/>
          </w:tcPr>
          <w:p w14:paraId="0F6752AD" w14:textId="0E737B33" w:rsidR="00581FA6" w:rsidRPr="0030486A" w:rsidRDefault="00DC4811"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5</w:t>
            </w:r>
          </w:p>
        </w:tc>
        <w:tc>
          <w:tcPr>
            <w:tcW w:w="3381" w:type="dxa"/>
          </w:tcPr>
          <w:p w14:paraId="2805F930" w14:textId="5C120B78" w:rsidR="00581FA6" w:rsidRPr="0030486A" w:rsidRDefault="00DC4811"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Radiācijas izturīgas integrētās mikroshēmas un elektroniskās komponentes kosmosa programmām</w:t>
            </w:r>
          </w:p>
        </w:tc>
      </w:tr>
      <w:tr w:rsidR="0030486A" w:rsidRPr="006256F8" w14:paraId="62858734"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03FD7E35" w14:textId="46B19EBA" w:rsidR="00581FA6" w:rsidRPr="0030486A" w:rsidRDefault="00DC4811" w:rsidP="00C74738">
            <w:pPr>
              <w:jc w:val="center"/>
              <w:rPr>
                <w:sz w:val="20"/>
                <w:szCs w:val="20"/>
              </w:rPr>
            </w:pPr>
            <w:r w:rsidRPr="0030486A">
              <w:rPr>
                <w:sz w:val="20"/>
                <w:szCs w:val="20"/>
              </w:rPr>
              <w:t>Elektronika</w:t>
            </w:r>
          </w:p>
        </w:tc>
        <w:tc>
          <w:tcPr>
            <w:tcW w:w="2005" w:type="dxa"/>
          </w:tcPr>
          <w:p w14:paraId="2EDF6410" w14:textId="45FFE92C" w:rsidR="00581FA6" w:rsidRPr="0030486A" w:rsidRDefault="00AF351D"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SIA </w:t>
            </w:r>
            <w:proofErr w:type="spellStart"/>
            <w:r w:rsidRPr="0030486A">
              <w:rPr>
                <w:sz w:val="20"/>
                <w:szCs w:val="20"/>
              </w:rPr>
              <w:t>Eventech</w:t>
            </w:r>
            <w:proofErr w:type="spellEnd"/>
          </w:p>
        </w:tc>
        <w:tc>
          <w:tcPr>
            <w:tcW w:w="852" w:type="dxa"/>
          </w:tcPr>
          <w:p w14:paraId="4B0E851D" w14:textId="72A127E6" w:rsidR="00581FA6" w:rsidRPr="0030486A" w:rsidRDefault="00AF351D"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7</w:t>
            </w:r>
          </w:p>
        </w:tc>
        <w:tc>
          <w:tcPr>
            <w:tcW w:w="962" w:type="dxa"/>
          </w:tcPr>
          <w:p w14:paraId="42093E22" w14:textId="5332E70D" w:rsidR="00581FA6" w:rsidRPr="0030486A" w:rsidRDefault="00AF351D"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3</w:t>
            </w:r>
          </w:p>
        </w:tc>
        <w:tc>
          <w:tcPr>
            <w:tcW w:w="3381" w:type="dxa"/>
          </w:tcPr>
          <w:p w14:paraId="0715986F" w14:textId="46307AFA" w:rsidR="00581FA6" w:rsidRPr="0030486A" w:rsidRDefault="00AF351D"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Ļoti augstas precizitātes laika notikumu mērītājs un satelītu </w:t>
            </w:r>
            <w:proofErr w:type="spellStart"/>
            <w:r w:rsidRPr="0030486A">
              <w:rPr>
                <w:sz w:val="20"/>
                <w:szCs w:val="20"/>
              </w:rPr>
              <w:t>lāzerlokāciju</w:t>
            </w:r>
            <w:proofErr w:type="spellEnd"/>
            <w:r w:rsidRPr="0030486A">
              <w:rPr>
                <w:sz w:val="20"/>
                <w:szCs w:val="20"/>
              </w:rPr>
              <w:t xml:space="preserve"> tehnoloģijas</w:t>
            </w:r>
          </w:p>
        </w:tc>
      </w:tr>
      <w:tr w:rsidR="00C74738" w:rsidRPr="006256F8" w14:paraId="3251C819"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37A0CE87" w14:textId="609FDCDE" w:rsidR="00581FA6" w:rsidRPr="0030486A" w:rsidRDefault="00AF351D" w:rsidP="00C74738">
            <w:pPr>
              <w:jc w:val="center"/>
              <w:rPr>
                <w:sz w:val="20"/>
                <w:szCs w:val="20"/>
              </w:rPr>
            </w:pPr>
            <w:r w:rsidRPr="0030486A">
              <w:rPr>
                <w:sz w:val="20"/>
                <w:szCs w:val="20"/>
              </w:rPr>
              <w:t>Materiāli un procesi</w:t>
            </w:r>
          </w:p>
        </w:tc>
        <w:tc>
          <w:tcPr>
            <w:tcW w:w="2005" w:type="dxa"/>
          </w:tcPr>
          <w:p w14:paraId="2F1FD574" w14:textId="255A90DC" w:rsidR="00581FA6" w:rsidRPr="0030486A" w:rsidRDefault="00366E44"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LV Koksnes ķ</w:t>
            </w:r>
            <w:r w:rsidR="00AF351D" w:rsidRPr="0030486A">
              <w:rPr>
                <w:sz w:val="20"/>
                <w:szCs w:val="20"/>
              </w:rPr>
              <w:t>īmijas institūts</w:t>
            </w:r>
          </w:p>
        </w:tc>
        <w:tc>
          <w:tcPr>
            <w:tcW w:w="852" w:type="dxa"/>
          </w:tcPr>
          <w:p w14:paraId="734C96C2" w14:textId="2B848516" w:rsidR="00581FA6" w:rsidRPr="0030486A" w:rsidRDefault="00AF351D"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5 </w:t>
            </w:r>
            <w:r w:rsidR="008A56D2" w:rsidRPr="0030486A">
              <w:rPr>
                <w:sz w:val="20"/>
                <w:szCs w:val="20"/>
              </w:rPr>
              <w:t>–</w:t>
            </w:r>
            <w:r w:rsidRPr="0030486A">
              <w:rPr>
                <w:sz w:val="20"/>
                <w:szCs w:val="20"/>
              </w:rPr>
              <w:t xml:space="preserve"> 6</w:t>
            </w:r>
          </w:p>
        </w:tc>
        <w:tc>
          <w:tcPr>
            <w:tcW w:w="962" w:type="dxa"/>
          </w:tcPr>
          <w:p w14:paraId="0A0DF026" w14:textId="76387829" w:rsidR="00581FA6" w:rsidRPr="0030486A" w:rsidRDefault="00AF351D"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3</w:t>
            </w:r>
          </w:p>
        </w:tc>
        <w:tc>
          <w:tcPr>
            <w:tcW w:w="3381" w:type="dxa"/>
          </w:tcPr>
          <w:p w14:paraId="5C408597" w14:textId="3ECED07F" w:rsidR="00581FA6" w:rsidRPr="0030486A" w:rsidRDefault="00AF351D"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Viegli izolācijas materiāli nesējraķešu degvielas tvertnēm</w:t>
            </w:r>
          </w:p>
        </w:tc>
      </w:tr>
      <w:tr w:rsidR="0030486A" w:rsidRPr="006256F8" w14:paraId="167BCC4A"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0676438C" w14:textId="17344CA2" w:rsidR="00581FA6" w:rsidRPr="0030486A" w:rsidRDefault="00AF351D" w:rsidP="00C74738">
            <w:pPr>
              <w:jc w:val="center"/>
              <w:rPr>
                <w:sz w:val="20"/>
                <w:szCs w:val="20"/>
              </w:rPr>
            </w:pPr>
            <w:r w:rsidRPr="0030486A">
              <w:rPr>
                <w:sz w:val="20"/>
                <w:szCs w:val="20"/>
              </w:rPr>
              <w:t>Materiāli un procesi</w:t>
            </w:r>
          </w:p>
        </w:tc>
        <w:tc>
          <w:tcPr>
            <w:tcW w:w="2005" w:type="dxa"/>
          </w:tcPr>
          <w:p w14:paraId="020A0AE2" w14:textId="78F5826E" w:rsidR="00581FA6" w:rsidRPr="0030486A" w:rsidRDefault="00AF351D"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Rīgas Tehniskā Universitāte</w:t>
            </w:r>
          </w:p>
        </w:tc>
        <w:tc>
          <w:tcPr>
            <w:tcW w:w="852" w:type="dxa"/>
          </w:tcPr>
          <w:p w14:paraId="56503C58" w14:textId="15F27170" w:rsidR="00581FA6" w:rsidRPr="0030486A" w:rsidRDefault="00AF351D"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4</w:t>
            </w:r>
          </w:p>
        </w:tc>
        <w:tc>
          <w:tcPr>
            <w:tcW w:w="962" w:type="dxa"/>
          </w:tcPr>
          <w:p w14:paraId="688FD7BA" w14:textId="09310626" w:rsidR="00581FA6" w:rsidRPr="0030486A" w:rsidRDefault="00AF351D"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3</w:t>
            </w:r>
          </w:p>
        </w:tc>
        <w:tc>
          <w:tcPr>
            <w:tcW w:w="3381" w:type="dxa"/>
          </w:tcPr>
          <w:p w14:paraId="5F27D74F" w14:textId="58D3398D" w:rsidR="00581FA6" w:rsidRPr="0030486A" w:rsidRDefault="00AF351D"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Kompozītu struktūras: izstr</w:t>
            </w:r>
            <w:r w:rsidR="00F92775" w:rsidRPr="0030486A">
              <w:rPr>
                <w:sz w:val="20"/>
                <w:szCs w:val="20"/>
              </w:rPr>
              <w:t>āde</w:t>
            </w:r>
            <w:r w:rsidR="00143F01">
              <w:rPr>
                <w:sz w:val="20"/>
                <w:szCs w:val="20"/>
              </w:rPr>
              <w:t xml:space="preserve">, testēšana un </w:t>
            </w:r>
            <w:proofErr w:type="spellStart"/>
            <w:r w:rsidR="00143F01">
              <w:rPr>
                <w:sz w:val="20"/>
                <w:szCs w:val="20"/>
              </w:rPr>
              <w:t>prototipēšana</w:t>
            </w:r>
            <w:proofErr w:type="spellEnd"/>
            <w:r w:rsidR="00143F01">
              <w:rPr>
                <w:sz w:val="20"/>
                <w:szCs w:val="20"/>
              </w:rPr>
              <w:t>;</w:t>
            </w:r>
            <w:r w:rsidRPr="0030486A">
              <w:rPr>
                <w:sz w:val="20"/>
                <w:szCs w:val="20"/>
              </w:rPr>
              <w:t xml:space="preserve"> </w:t>
            </w:r>
            <w:r w:rsidR="00F92775" w:rsidRPr="0030486A">
              <w:rPr>
                <w:sz w:val="20"/>
                <w:szCs w:val="20"/>
              </w:rPr>
              <w:t>Kompozītmateriālu s</w:t>
            </w:r>
            <w:r w:rsidRPr="0030486A">
              <w:rPr>
                <w:sz w:val="20"/>
                <w:szCs w:val="20"/>
              </w:rPr>
              <w:t>trukturālās drošības noteikšana</w:t>
            </w:r>
          </w:p>
        </w:tc>
      </w:tr>
      <w:tr w:rsidR="0010395A" w:rsidRPr="006256F8" w14:paraId="4F28AC82" w14:textId="77777777" w:rsidTr="0030486A">
        <w:tc>
          <w:tcPr>
            <w:cnfStyle w:val="001000000000" w:firstRow="0" w:lastRow="0" w:firstColumn="1" w:lastColumn="0" w:oddVBand="0" w:evenVBand="0" w:oddHBand="0" w:evenHBand="0" w:firstRowFirstColumn="0" w:firstRowLastColumn="0" w:lastRowFirstColumn="0" w:lastRowLastColumn="0"/>
            <w:tcW w:w="9061" w:type="dxa"/>
            <w:gridSpan w:val="5"/>
          </w:tcPr>
          <w:p w14:paraId="3942B50E" w14:textId="74E9639F" w:rsidR="0010395A" w:rsidRPr="0030486A" w:rsidRDefault="0010395A" w:rsidP="00DC6116">
            <w:pPr>
              <w:jc w:val="center"/>
              <w:rPr>
                <w:sz w:val="20"/>
                <w:szCs w:val="20"/>
              </w:rPr>
            </w:pPr>
            <w:r w:rsidRPr="0030486A">
              <w:rPr>
                <w:sz w:val="20"/>
                <w:szCs w:val="20"/>
              </w:rPr>
              <w:t>Lejupēj</w:t>
            </w:r>
            <w:r w:rsidR="00275A47" w:rsidRPr="0030486A">
              <w:rPr>
                <w:sz w:val="20"/>
                <w:szCs w:val="20"/>
              </w:rPr>
              <w:t>ais</w:t>
            </w:r>
            <w:r w:rsidRPr="0030486A">
              <w:rPr>
                <w:sz w:val="20"/>
                <w:szCs w:val="20"/>
              </w:rPr>
              <w:t xml:space="preserve"> tirgus (</w:t>
            </w:r>
            <w:proofErr w:type="spellStart"/>
            <w:r w:rsidRPr="0030486A">
              <w:rPr>
                <w:i/>
                <w:sz w:val="20"/>
                <w:szCs w:val="20"/>
              </w:rPr>
              <w:t>Downstream</w:t>
            </w:r>
            <w:proofErr w:type="spellEnd"/>
            <w:r w:rsidRPr="0030486A">
              <w:rPr>
                <w:i/>
                <w:sz w:val="20"/>
                <w:szCs w:val="20"/>
              </w:rPr>
              <w:t xml:space="preserve"> </w:t>
            </w:r>
            <w:proofErr w:type="spellStart"/>
            <w:r w:rsidRPr="0030486A">
              <w:rPr>
                <w:i/>
                <w:sz w:val="20"/>
                <w:szCs w:val="20"/>
              </w:rPr>
              <w:t>market</w:t>
            </w:r>
            <w:proofErr w:type="spellEnd"/>
            <w:r w:rsidRPr="0030486A">
              <w:rPr>
                <w:sz w:val="20"/>
                <w:szCs w:val="20"/>
              </w:rPr>
              <w:t>) tehnoloģijas</w:t>
            </w:r>
          </w:p>
        </w:tc>
      </w:tr>
      <w:tr w:rsidR="0030486A" w:rsidRPr="006256F8" w14:paraId="6483A7A3"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239E03F6" w14:textId="4CEA3955" w:rsidR="00F92775" w:rsidRPr="0030486A" w:rsidRDefault="0010395A" w:rsidP="00C74738">
            <w:pPr>
              <w:jc w:val="center"/>
              <w:rPr>
                <w:sz w:val="20"/>
                <w:szCs w:val="20"/>
              </w:rPr>
            </w:pPr>
            <w:r w:rsidRPr="0030486A">
              <w:rPr>
                <w:sz w:val="20"/>
                <w:szCs w:val="20"/>
              </w:rPr>
              <w:lastRenderedPageBreak/>
              <w:t>Zemes novērošana</w:t>
            </w:r>
          </w:p>
        </w:tc>
        <w:tc>
          <w:tcPr>
            <w:tcW w:w="2005" w:type="dxa"/>
          </w:tcPr>
          <w:p w14:paraId="000AA8AC" w14:textId="612CB4D8" w:rsidR="00F92775" w:rsidRPr="0030486A" w:rsidRDefault="0010395A"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Vides Risinājumu institūts</w:t>
            </w:r>
          </w:p>
        </w:tc>
        <w:tc>
          <w:tcPr>
            <w:tcW w:w="852" w:type="dxa"/>
          </w:tcPr>
          <w:p w14:paraId="33F579B8" w14:textId="610C52FC" w:rsidR="00F92775" w:rsidRPr="0030486A" w:rsidRDefault="0010395A"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6</w:t>
            </w:r>
          </w:p>
        </w:tc>
        <w:tc>
          <w:tcPr>
            <w:tcW w:w="962" w:type="dxa"/>
          </w:tcPr>
          <w:p w14:paraId="6B4B5A44" w14:textId="77AF2FE4" w:rsidR="00F92775" w:rsidRPr="0030486A" w:rsidRDefault="0010395A"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5</w:t>
            </w:r>
          </w:p>
        </w:tc>
        <w:tc>
          <w:tcPr>
            <w:tcW w:w="3381" w:type="dxa"/>
          </w:tcPr>
          <w:p w14:paraId="44D2C2B0" w14:textId="4CF00833" w:rsidR="00F92775" w:rsidRPr="0030486A" w:rsidRDefault="0010395A"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Risinājumi un pielietojumi vides problēmām un dabas resursu pārvaldībai, izmantojot zemes novērošanas datus</w:t>
            </w:r>
          </w:p>
        </w:tc>
      </w:tr>
      <w:tr w:rsidR="00275A47" w:rsidRPr="006256F8" w14:paraId="0FB3F673"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6272826F" w14:textId="6A02EA9D" w:rsidR="0010395A" w:rsidRPr="0030486A" w:rsidRDefault="0010395A" w:rsidP="00C74738">
            <w:pPr>
              <w:jc w:val="center"/>
              <w:rPr>
                <w:sz w:val="20"/>
                <w:szCs w:val="20"/>
              </w:rPr>
            </w:pPr>
            <w:r w:rsidRPr="0030486A">
              <w:rPr>
                <w:sz w:val="20"/>
                <w:szCs w:val="20"/>
              </w:rPr>
              <w:t>Zemes novērošana</w:t>
            </w:r>
          </w:p>
        </w:tc>
        <w:tc>
          <w:tcPr>
            <w:tcW w:w="2005" w:type="dxa"/>
          </w:tcPr>
          <w:p w14:paraId="5E02CFA3" w14:textId="4E88EC3E" w:rsidR="0010395A" w:rsidRPr="0030486A" w:rsidRDefault="0010395A"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Elektronikas un datorzinātņu institūts</w:t>
            </w:r>
          </w:p>
        </w:tc>
        <w:tc>
          <w:tcPr>
            <w:tcW w:w="852" w:type="dxa"/>
          </w:tcPr>
          <w:p w14:paraId="2CE48EF6" w14:textId="30D8672A" w:rsidR="0010395A" w:rsidRPr="0030486A" w:rsidRDefault="0046393E"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5</w:t>
            </w:r>
          </w:p>
        </w:tc>
        <w:tc>
          <w:tcPr>
            <w:tcW w:w="962" w:type="dxa"/>
          </w:tcPr>
          <w:p w14:paraId="574D38AD" w14:textId="1A174E77" w:rsidR="0010395A" w:rsidRPr="0030486A" w:rsidRDefault="0046393E"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2</w:t>
            </w:r>
          </w:p>
        </w:tc>
        <w:tc>
          <w:tcPr>
            <w:tcW w:w="3381" w:type="dxa"/>
          </w:tcPr>
          <w:p w14:paraId="3A53BD1A" w14:textId="77777777" w:rsidR="00143F01" w:rsidRDefault="0046393E"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Algoritmu izstrāde zemes novērošanas pielietojumiem; </w:t>
            </w:r>
          </w:p>
          <w:p w14:paraId="48841F5C" w14:textId="766AAF31" w:rsidR="0010395A" w:rsidRPr="0030486A" w:rsidRDefault="00143F01"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Satelīt</w:t>
            </w:r>
            <w:r w:rsidR="0046393E" w:rsidRPr="0030486A">
              <w:rPr>
                <w:sz w:val="20"/>
                <w:szCs w:val="20"/>
              </w:rPr>
              <w:t>attēlu apstrāde un analīze</w:t>
            </w:r>
          </w:p>
        </w:tc>
      </w:tr>
      <w:tr w:rsidR="0030486A" w:rsidRPr="006256F8" w14:paraId="1B753392"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6F0B8B97" w14:textId="01F0D75F" w:rsidR="0046393E" w:rsidRPr="0030486A" w:rsidRDefault="00275A47" w:rsidP="00C74738">
            <w:pPr>
              <w:jc w:val="center"/>
              <w:rPr>
                <w:sz w:val="20"/>
                <w:szCs w:val="20"/>
              </w:rPr>
            </w:pPr>
            <w:r w:rsidRPr="0030486A">
              <w:rPr>
                <w:sz w:val="20"/>
                <w:szCs w:val="20"/>
              </w:rPr>
              <w:t>Zemes novērošana</w:t>
            </w:r>
          </w:p>
        </w:tc>
        <w:tc>
          <w:tcPr>
            <w:tcW w:w="2005" w:type="dxa"/>
          </w:tcPr>
          <w:p w14:paraId="28F70C34" w14:textId="314F1D54" w:rsidR="0046393E" w:rsidRPr="0030486A" w:rsidRDefault="00275A47"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SIA </w:t>
            </w:r>
            <w:proofErr w:type="spellStart"/>
            <w:r w:rsidRPr="0030486A">
              <w:rPr>
                <w:sz w:val="20"/>
                <w:szCs w:val="20"/>
              </w:rPr>
              <w:t>Baltic</w:t>
            </w:r>
            <w:proofErr w:type="spellEnd"/>
            <w:r w:rsidRPr="0030486A">
              <w:rPr>
                <w:sz w:val="20"/>
                <w:szCs w:val="20"/>
              </w:rPr>
              <w:t xml:space="preserve"> </w:t>
            </w:r>
            <w:proofErr w:type="spellStart"/>
            <w:r w:rsidRPr="0030486A">
              <w:rPr>
                <w:sz w:val="20"/>
                <w:szCs w:val="20"/>
              </w:rPr>
              <w:t>Satelllite</w:t>
            </w:r>
            <w:proofErr w:type="spellEnd"/>
            <w:r w:rsidRPr="0030486A">
              <w:rPr>
                <w:sz w:val="20"/>
                <w:szCs w:val="20"/>
              </w:rPr>
              <w:t xml:space="preserve"> Services</w:t>
            </w:r>
          </w:p>
        </w:tc>
        <w:tc>
          <w:tcPr>
            <w:tcW w:w="852" w:type="dxa"/>
          </w:tcPr>
          <w:p w14:paraId="289BF38B" w14:textId="78FA7306" w:rsidR="0046393E" w:rsidRPr="0030486A" w:rsidRDefault="00275A47"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7</w:t>
            </w:r>
          </w:p>
        </w:tc>
        <w:tc>
          <w:tcPr>
            <w:tcW w:w="962" w:type="dxa"/>
          </w:tcPr>
          <w:p w14:paraId="01DAEE5F" w14:textId="74852142" w:rsidR="0046393E" w:rsidRPr="0030486A" w:rsidRDefault="00275A47"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3</w:t>
            </w:r>
          </w:p>
        </w:tc>
        <w:tc>
          <w:tcPr>
            <w:tcW w:w="3381" w:type="dxa"/>
          </w:tcPr>
          <w:p w14:paraId="46F761F1" w14:textId="54B94BD7" w:rsidR="0046393E" w:rsidRPr="0030486A" w:rsidRDefault="00C74738"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Uz zemes novērošanas datiem balstīta p</w:t>
            </w:r>
            <w:r w:rsidR="00275A47" w:rsidRPr="0030486A">
              <w:rPr>
                <w:sz w:val="20"/>
                <w:szCs w:val="20"/>
              </w:rPr>
              <w:t>akalpojumu izstrāde mežniecībā un gāzes tīklu pārvaldībā</w:t>
            </w:r>
          </w:p>
        </w:tc>
      </w:tr>
      <w:tr w:rsidR="00275A47" w:rsidRPr="006256F8" w14:paraId="0C4657B2"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451EE592" w14:textId="0F830B24" w:rsidR="00275A47" w:rsidRPr="0030486A" w:rsidRDefault="00275A47" w:rsidP="00C74738">
            <w:pPr>
              <w:jc w:val="center"/>
              <w:rPr>
                <w:sz w:val="20"/>
                <w:szCs w:val="20"/>
              </w:rPr>
            </w:pPr>
            <w:r w:rsidRPr="0030486A">
              <w:rPr>
                <w:sz w:val="20"/>
                <w:szCs w:val="20"/>
              </w:rPr>
              <w:t>Zemes novērošana</w:t>
            </w:r>
          </w:p>
        </w:tc>
        <w:tc>
          <w:tcPr>
            <w:tcW w:w="2005" w:type="dxa"/>
          </w:tcPr>
          <w:p w14:paraId="4D59E369" w14:textId="7CB970AE" w:rsidR="00275A47" w:rsidRPr="0030486A" w:rsidRDefault="00275A47"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SIA Mežu Īpašnieku konsultatīvais centrs</w:t>
            </w:r>
          </w:p>
        </w:tc>
        <w:tc>
          <w:tcPr>
            <w:tcW w:w="852" w:type="dxa"/>
          </w:tcPr>
          <w:p w14:paraId="0C761707" w14:textId="3B1B92EF" w:rsidR="00275A47" w:rsidRPr="0030486A" w:rsidRDefault="00275A47"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3 </w:t>
            </w:r>
            <w:r w:rsidR="008A56D2" w:rsidRPr="0030486A">
              <w:rPr>
                <w:sz w:val="20"/>
                <w:szCs w:val="20"/>
              </w:rPr>
              <w:t>–</w:t>
            </w:r>
            <w:r w:rsidRPr="0030486A">
              <w:rPr>
                <w:sz w:val="20"/>
                <w:szCs w:val="20"/>
              </w:rPr>
              <w:t xml:space="preserve"> 7</w:t>
            </w:r>
          </w:p>
        </w:tc>
        <w:tc>
          <w:tcPr>
            <w:tcW w:w="962" w:type="dxa"/>
          </w:tcPr>
          <w:p w14:paraId="295E1FE4" w14:textId="02DD68E5" w:rsidR="00275A47" w:rsidRPr="0030486A" w:rsidRDefault="00275A47"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4</w:t>
            </w:r>
          </w:p>
        </w:tc>
        <w:tc>
          <w:tcPr>
            <w:tcW w:w="3381" w:type="dxa"/>
          </w:tcPr>
          <w:p w14:paraId="1AFA3816" w14:textId="3616EF08" w:rsidR="00275A47" w:rsidRPr="0030486A" w:rsidRDefault="00C74738"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Uz zemes novērošanas datiem balstīta p</w:t>
            </w:r>
            <w:r w:rsidR="00275A47" w:rsidRPr="0030486A">
              <w:rPr>
                <w:sz w:val="20"/>
                <w:szCs w:val="20"/>
              </w:rPr>
              <w:t>akalpojumu izstrāde mežniecībā un telpiskajā plānošanā</w:t>
            </w:r>
          </w:p>
        </w:tc>
      </w:tr>
      <w:tr w:rsidR="0030486A" w:rsidRPr="008F5506" w14:paraId="44781319"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0821E7BE" w14:textId="17C41208" w:rsidR="00275A47" w:rsidRPr="0030486A" w:rsidRDefault="00275A47" w:rsidP="00C74738">
            <w:pPr>
              <w:jc w:val="center"/>
              <w:rPr>
                <w:sz w:val="20"/>
                <w:szCs w:val="20"/>
              </w:rPr>
            </w:pPr>
            <w:r w:rsidRPr="0030486A">
              <w:rPr>
                <w:sz w:val="20"/>
                <w:szCs w:val="20"/>
              </w:rPr>
              <w:t>Satelīt</w:t>
            </w:r>
          </w:p>
          <w:p w14:paraId="706E9CD9" w14:textId="4D31BCB9" w:rsidR="00275A47" w:rsidRPr="0030486A" w:rsidRDefault="00275A47" w:rsidP="00C74738">
            <w:pPr>
              <w:jc w:val="center"/>
              <w:rPr>
                <w:sz w:val="20"/>
                <w:szCs w:val="20"/>
              </w:rPr>
            </w:pPr>
            <w:r w:rsidRPr="0030486A">
              <w:rPr>
                <w:sz w:val="20"/>
                <w:szCs w:val="20"/>
              </w:rPr>
              <w:t>telekomunikācija</w:t>
            </w:r>
          </w:p>
        </w:tc>
        <w:tc>
          <w:tcPr>
            <w:tcW w:w="2005" w:type="dxa"/>
          </w:tcPr>
          <w:p w14:paraId="5E8417C8" w14:textId="4CE226A5" w:rsidR="00275A47" w:rsidRPr="0030486A" w:rsidRDefault="00275A47"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Ventspils Starptautiskais radioastronomijas centrs</w:t>
            </w:r>
          </w:p>
        </w:tc>
        <w:tc>
          <w:tcPr>
            <w:tcW w:w="852" w:type="dxa"/>
          </w:tcPr>
          <w:p w14:paraId="0C9143AD" w14:textId="5A904E5B" w:rsidR="00275A47" w:rsidRPr="0030486A" w:rsidRDefault="00275A47"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2</w:t>
            </w:r>
          </w:p>
        </w:tc>
        <w:tc>
          <w:tcPr>
            <w:tcW w:w="962" w:type="dxa"/>
          </w:tcPr>
          <w:p w14:paraId="3BDE0C87" w14:textId="6D1AD24C" w:rsidR="00275A47" w:rsidRPr="0030486A" w:rsidRDefault="00275A47"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1</w:t>
            </w:r>
          </w:p>
        </w:tc>
        <w:tc>
          <w:tcPr>
            <w:tcW w:w="3381" w:type="dxa"/>
          </w:tcPr>
          <w:p w14:paraId="50937839" w14:textId="2CE90E15" w:rsidR="00275A47" w:rsidRPr="0030486A" w:rsidRDefault="00275A47"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Datu centrs un apstrāde; zemes stacijas pakalpojumi</w:t>
            </w:r>
          </w:p>
        </w:tc>
      </w:tr>
      <w:tr w:rsidR="00275A47" w:rsidRPr="008F5506" w14:paraId="0E95440B"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2A39B9CE" w14:textId="02207FB0" w:rsidR="00275A47" w:rsidRPr="0030486A" w:rsidRDefault="00275A47" w:rsidP="00C74738">
            <w:pPr>
              <w:jc w:val="center"/>
              <w:rPr>
                <w:sz w:val="20"/>
                <w:szCs w:val="20"/>
              </w:rPr>
            </w:pPr>
            <w:r w:rsidRPr="0030486A">
              <w:rPr>
                <w:sz w:val="20"/>
                <w:szCs w:val="20"/>
              </w:rPr>
              <w:t>Kosmosa situācijas apzināšana</w:t>
            </w:r>
          </w:p>
        </w:tc>
        <w:tc>
          <w:tcPr>
            <w:tcW w:w="2005" w:type="dxa"/>
          </w:tcPr>
          <w:p w14:paraId="0399D5ED" w14:textId="1AF15FFC" w:rsidR="00275A47" w:rsidRPr="0030486A" w:rsidRDefault="00275A47"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Latvijas Universitāte</w:t>
            </w:r>
          </w:p>
        </w:tc>
        <w:tc>
          <w:tcPr>
            <w:tcW w:w="852" w:type="dxa"/>
          </w:tcPr>
          <w:p w14:paraId="3FB0A084" w14:textId="6F86EEC8" w:rsidR="00275A47" w:rsidRPr="0030486A" w:rsidRDefault="00275A47"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2  </w:t>
            </w:r>
            <w:r w:rsidR="00143F01" w:rsidRPr="0030486A">
              <w:rPr>
                <w:sz w:val="20"/>
                <w:szCs w:val="20"/>
              </w:rPr>
              <w:t>–</w:t>
            </w:r>
            <w:r w:rsidRPr="0030486A">
              <w:rPr>
                <w:sz w:val="20"/>
                <w:szCs w:val="20"/>
              </w:rPr>
              <w:t xml:space="preserve"> 3</w:t>
            </w:r>
          </w:p>
        </w:tc>
        <w:tc>
          <w:tcPr>
            <w:tcW w:w="962" w:type="dxa"/>
          </w:tcPr>
          <w:p w14:paraId="760AC35D" w14:textId="52674786" w:rsidR="00275A47" w:rsidRPr="0030486A" w:rsidRDefault="00275A47"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3</w:t>
            </w:r>
          </w:p>
        </w:tc>
        <w:tc>
          <w:tcPr>
            <w:tcW w:w="3381" w:type="dxa"/>
          </w:tcPr>
          <w:p w14:paraId="15F5B7B4" w14:textId="67B797F1" w:rsidR="00275A47" w:rsidRPr="0030486A" w:rsidRDefault="00275A47"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Satelītlazerlokācija, kosmosa laikapstākļu ietekme uz GNSS</w:t>
            </w:r>
            <w:r w:rsidR="0030486A" w:rsidRPr="0030486A">
              <w:rPr>
                <w:rStyle w:val="FootnoteReference"/>
                <w:sz w:val="20"/>
                <w:szCs w:val="20"/>
              </w:rPr>
              <w:footnoteReference w:id="9"/>
            </w:r>
            <w:r w:rsidRPr="0030486A">
              <w:rPr>
                <w:sz w:val="20"/>
                <w:szCs w:val="20"/>
              </w:rPr>
              <w:t xml:space="preserve"> kļūdām</w:t>
            </w:r>
          </w:p>
        </w:tc>
      </w:tr>
      <w:tr w:rsidR="00C74738" w:rsidRPr="008F5506" w14:paraId="74D3DBC9" w14:textId="77777777" w:rsidTr="0030486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061" w:type="dxa"/>
            <w:gridSpan w:val="5"/>
          </w:tcPr>
          <w:p w14:paraId="1D6989B0" w14:textId="05F1DA48" w:rsidR="00C74738" w:rsidRPr="0030486A" w:rsidRDefault="00C74738" w:rsidP="00DC6116">
            <w:pPr>
              <w:jc w:val="center"/>
              <w:rPr>
                <w:sz w:val="20"/>
                <w:szCs w:val="20"/>
              </w:rPr>
            </w:pPr>
            <w:r w:rsidRPr="0030486A">
              <w:rPr>
                <w:sz w:val="20"/>
                <w:szCs w:val="20"/>
              </w:rPr>
              <w:t>Izglītība</w:t>
            </w:r>
          </w:p>
        </w:tc>
      </w:tr>
      <w:tr w:rsidR="00C74738" w:rsidRPr="008F5506" w14:paraId="663FF67B" w14:textId="77777777" w:rsidTr="0030486A">
        <w:tc>
          <w:tcPr>
            <w:cnfStyle w:val="001000000000" w:firstRow="0" w:lastRow="0" w:firstColumn="1" w:lastColumn="0" w:oddVBand="0" w:evenVBand="0" w:oddHBand="0" w:evenHBand="0" w:firstRowFirstColumn="0" w:firstRowLastColumn="0" w:lastRowFirstColumn="0" w:lastRowLastColumn="0"/>
            <w:tcW w:w="1861" w:type="dxa"/>
          </w:tcPr>
          <w:p w14:paraId="5105A528" w14:textId="6BA11661" w:rsidR="00C74738" w:rsidRPr="0030486A" w:rsidRDefault="00C74738" w:rsidP="00C74738">
            <w:pPr>
              <w:jc w:val="center"/>
              <w:rPr>
                <w:sz w:val="20"/>
                <w:szCs w:val="20"/>
              </w:rPr>
            </w:pPr>
            <w:r w:rsidRPr="0030486A">
              <w:rPr>
                <w:sz w:val="20"/>
                <w:szCs w:val="20"/>
              </w:rPr>
              <w:t>Izglītība</w:t>
            </w:r>
          </w:p>
        </w:tc>
        <w:tc>
          <w:tcPr>
            <w:tcW w:w="2005" w:type="dxa"/>
          </w:tcPr>
          <w:p w14:paraId="609DCB3E" w14:textId="2BE0A814" w:rsidR="00C74738" w:rsidRPr="0030486A" w:rsidRDefault="00C74738" w:rsidP="00DC6116">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Ventspils </w:t>
            </w:r>
            <w:r w:rsidR="008A56D2" w:rsidRPr="0030486A">
              <w:rPr>
                <w:sz w:val="20"/>
                <w:szCs w:val="20"/>
              </w:rPr>
              <w:t>A</w:t>
            </w:r>
            <w:r w:rsidRPr="0030486A">
              <w:rPr>
                <w:sz w:val="20"/>
                <w:szCs w:val="20"/>
              </w:rPr>
              <w:t>ugstskola</w:t>
            </w:r>
          </w:p>
        </w:tc>
        <w:tc>
          <w:tcPr>
            <w:tcW w:w="852" w:type="dxa"/>
          </w:tcPr>
          <w:p w14:paraId="208AEFF4" w14:textId="12E42E31" w:rsidR="00C74738" w:rsidRPr="000B1D33" w:rsidRDefault="000B1D33" w:rsidP="000B1D3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B1D33">
              <w:rPr>
                <w:sz w:val="20"/>
                <w:szCs w:val="20"/>
              </w:rPr>
              <w:t>–</w:t>
            </w:r>
          </w:p>
        </w:tc>
        <w:tc>
          <w:tcPr>
            <w:tcW w:w="962" w:type="dxa"/>
          </w:tcPr>
          <w:p w14:paraId="0D2422BC" w14:textId="51E75ADD" w:rsidR="00C74738" w:rsidRPr="0030486A" w:rsidRDefault="00C74738" w:rsidP="00C747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1</w:t>
            </w:r>
          </w:p>
        </w:tc>
        <w:tc>
          <w:tcPr>
            <w:tcW w:w="3381" w:type="dxa"/>
          </w:tcPr>
          <w:p w14:paraId="3E553786" w14:textId="586CA756" w:rsidR="00C74738" w:rsidRPr="0030486A" w:rsidRDefault="00111A5F" w:rsidP="00111A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30486A">
              <w:rPr>
                <w:sz w:val="20"/>
                <w:szCs w:val="20"/>
              </w:rPr>
              <w:t xml:space="preserve">Satelīttehnoloģiju izglītības programma </w:t>
            </w:r>
          </w:p>
        </w:tc>
      </w:tr>
      <w:tr w:rsidR="0030486A" w:rsidRPr="008F5506" w14:paraId="24A95676" w14:textId="77777777" w:rsidTr="00304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10EBC0F5" w14:textId="6261B9F3" w:rsidR="00C74738" w:rsidRPr="0030486A" w:rsidRDefault="00C74738" w:rsidP="00C74738">
            <w:pPr>
              <w:jc w:val="center"/>
              <w:rPr>
                <w:sz w:val="20"/>
                <w:szCs w:val="20"/>
              </w:rPr>
            </w:pPr>
            <w:r w:rsidRPr="0030486A">
              <w:rPr>
                <w:sz w:val="20"/>
                <w:szCs w:val="20"/>
              </w:rPr>
              <w:t>Izglītība</w:t>
            </w:r>
          </w:p>
        </w:tc>
        <w:tc>
          <w:tcPr>
            <w:tcW w:w="2005" w:type="dxa"/>
          </w:tcPr>
          <w:p w14:paraId="3F563C03" w14:textId="5A277C30" w:rsidR="00C74738" w:rsidRPr="0030486A" w:rsidRDefault="00C74738" w:rsidP="00DC6116">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 xml:space="preserve">SIA </w:t>
            </w:r>
            <w:proofErr w:type="spellStart"/>
            <w:r w:rsidRPr="0030486A">
              <w:rPr>
                <w:sz w:val="20"/>
                <w:szCs w:val="20"/>
              </w:rPr>
              <w:t>Aspired</w:t>
            </w:r>
            <w:proofErr w:type="spellEnd"/>
          </w:p>
        </w:tc>
        <w:tc>
          <w:tcPr>
            <w:tcW w:w="852" w:type="dxa"/>
          </w:tcPr>
          <w:p w14:paraId="6A492417" w14:textId="56CCBB95" w:rsidR="00C74738" w:rsidRPr="000B1D33" w:rsidRDefault="000B1D33" w:rsidP="000B1D3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B1D33">
              <w:rPr>
                <w:sz w:val="20"/>
                <w:szCs w:val="20"/>
              </w:rPr>
              <w:t>–</w:t>
            </w:r>
          </w:p>
        </w:tc>
        <w:tc>
          <w:tcPr>
            <w:tcW w:w="962" w:type="dxa"/>
          </w:tcPr>
          <w:p w14:paraId="12FA80DE" w14:textId="135E0E01" w:rsidR="00C74738" w:rsidRPr="0030486A" w:rsidRDefault="00C74738"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1</w:t>
            </w:r>
          </w:p>
        </w:tc>
        <w:tc>
          <w:tcPr>
            <w:tcW w:w="3381" w:type="dxa"/>
          </w:tcPr>
          <w:p w14:paraId="2F2E7774" w14:textId="31D037AD" w:rsidR="00C74738" w:rsidRPr="0030486A" w:rsidRDefault="00111A5F" w:rsidP="00C747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30486A">
              <w:rPr>
                <w:sz w:val="20"/>
                <w:szCs w:val="20"/>
              </w:rPr>
              <w:t>Rīki izpratnes veidošanai par kosmosa tehnoloģijām</w:t>
            </w:r>
          </w:p>
        </w:tc>
      </w:tr>
    </w:tbl>
    <w:p w14:paraId="3FA638E7" w14:textId="77777777" w:rsidR="008F5506" w:rsidRDefault="008F5506" w:rsidP="001302DC"/>
    <w:p w14:paraId="2DA60DA6" w14:textId="77777777" w:rsidR="005A235B" w:rsidRPr="005B6DA0" w:rsidRDefault="005A235B" w:rsidP="002835D2">
      <w:pPr>
        <w:rPr>
          <w:b/>
          <w:sz w:val="26"/>
          <w:szCs w:val="26"/>
        </w:rPr>
      </w:pPr>
    </w:p>
    <w:p w14:paraId="735D8F71" w14:textId="0AC3D2E2" w:rsidR="001D4872" w:rsidRPr="005B6DA0" w:rsidRDefault="00156859" w:rsidP="005A235B">
      <w:pPr>
        <w:jc w:val="center"/>
        <w:rPr>
          <w:b/>
          <w:sz w:val="26"/>
          <w:szCs w:val="26"/>
        </w:rPr>
      </w:pPr>
      <w:r w:rsidRPr="005B6DA0">
        <w:rPr>
          <w:b/>
          <w:sz w:val="26"/>
          <w:szCs w:val="26"/>
        </w:rPr>
        <w:t>ESVP līguma ietvaros veikto aktivitāšu komerciālie, tehnoloģiskie un citi netiešie efekti</w:t>
      </w:r>
    </w:p>
    <w:p w14:paraId="6754C75A" w14:textId="77777777" w:rsidR="001D4872" w:rsidRPr="005B6DA0" w:rsidRDefault="001D4872" w:rsidP="005A235B">
      <w:pPr>
        <w:jc w:val="center"/>
        <w:rPr>
          <w:sz w:val="26"/>
          <w:szCs w:val="26"/>
        </w:rPr>
      </w:pPr>
    </w:p>
    <w:p w14:paraId="4B1D3097" w14:textId="018B4109" w:rsidR="00FD0F18" w:rsidRPr="00143F01" w:rsidRDefault="00FD0F18" w:rsidP="00143F01">
      <w:pPr>
        <w:ind w:firstLine="720"/>
        <w:rPr>
          <w:lang w:val="en-US"/>
        </w:rPr>
      </w:pPr>
      <w:r w:rsidRPr="005B6DA0">
        <w:rPr>
          <w:sz w:val="26"/>
          <w:szCs w:val="26"/>
        </w:rPr>
        <w:t xml:space="preserve">Saskaņā ar </w:t>
      </w:r>
      <w:r w:rsidR="000019CC" w:rsidRPr="005B6DA0">
        <w:rPr>
          <w:sz w:val="26"/>
          <w:szCs w:val="26"/>
        </w:rPr>
        <w:t xml:space="preserve">Parīzes </w:t>
      </w:r>
      <w:r w:rsidR="008A56D2" w:rsidRPr="005B6DA0">
        <w:rPr>
          <w:sz w:val="26"/>
          <w:szCs w:val="26"/>
        </w:rPr>
        <w:t>U</w:t>
      </w:r>
      <w:r w:rsidR="000019CC" w:rsidRPr="005B6DA0">
        <w:rPr>
          <w:sz w:val="26"/>
          <w:szCs w:val="26"/>
        </w:rPr>
        <w:t xml:space="preserve">niversitātes </w:t>
      </w:r>
      <w:r w:rsidRPr="005B6DA0">
        <w:rPr>
          <w:sz w:val="26"/>
          <w:szCs w:val="26"/>
        </w:rPr>
        <w:t xml:space="preserve">profesora </w:t>
      </w:r>
      <w:proofErr w:type="spellStart"/>
      <w:r w:rsidRPr="005B6DA0">
        <w:rPr>
          <w:i/>
          <w:sz w:val="26"/>
          <w:szCs w:val="26"/>
        </w:rPr>
        <w:t>P</w:t>
      </w:r>
      <w:r w:rsidR="00A57E27" w:rsidRPr="005B6DA0">
        <w:rPr>
          <w:i/>
          <w:sz w:val="26"/>
          <w:szCs w:val="26"/>
        </w:rPr>
        <w:t>atrick</w:t>
      </w:r>
      <w:proofErr w:type="spellEnd"/>
      <w:r w:rsidR="00A57E27" w:rsidRPr="005B6DA0">
        <w:rPr>
          <w:i/>
          <w:sz w:val="26"/>
          <w:szCs w:val="26"/>
        </w:rPr>
        <w:t xml:space="preserve"> </w:t>
      </w:r>
      <w:proofErr w:type="spellStart"/>
      <w:r w:rsidRPr="005B6DA0">
        <w:rPr>
          <w:i/>
          <w:sz w:val="26"/>
          <w:szCs w:val="26"/>
        </w:rPr>
        <w:t>Cohendet</w:t>
      </w:r>
      <w:proofErr w:type="spellEnd"/>
      <w:r w:rsidRPr="005B6DA0">
        <w:rPr>
          <w:sz w:val="26"/>
          <w:szCs w:val="26"/>
        </w:rPr>
        <w:t xml:space="preserve"> pētījumu</w:t>
      </w:r>
      <w:r w:rsidRPr="005B6DA0">
        <w:rPr>
          <w:rStyle w:val="FootnoteReference"/>
          <w:sz w:val="26"/>
          <w:szCs w:val="26"/>
        </w:rPr>
        <w:footnoteReference w:id="10"/>
      </w:r>
      <w:r w:rsidRPr="005B6DA0">
        <w:rPr>
          <w:sz w:val="26"/>
          <w:szCs w:val="26"/>
        </w:rPr>
        <w:t xml:space="preserve"> par netie</w:t>
      </w:r>
      <w:r w:rsidR="000019CC" w:rsidRPr="005B6DA0">
        <w:rPr>
          <w:sz w:val="26"/>
          <w:szCs w:val="26"/>
        </w:rPr>
        <w:t xml:space="preserve">šajiem industriālajiem efektiem, </w:t>
      </w:r>
      <w:r w:rsidRPr="005B6DA0">
        <w:rPr>
          <w:sz w:val="26"/>
          <w:szCs w:val="26"/>
        </w:rPr>
        <w:t xml:space="preserve">īstenojot EKA tehnoloģiju programmas, tiek </w:t>
      </w:r>
      <w:r w:rsidR="008A56D2" w:rsidRPr="005B6DA0">
        <w:rPr>
          <w:sz w:val="26"/>
          <w:szCs w:val="26"/>
        </w:rPr>
        <w:t>minēti</w:t>
      </w:r>
      <w:r w:rsidRPr="005B6DA0">
        <w:rPr>
          <w:sz w:val="26"/>
          <w:szCs w:val="26"/>
        </w:rPr>
        <w:t xml:space="preserve"> četru veidu efekt</w:t>
      </w:r>
      <w:r w:rsidR="008A56D2" w:rsidRPr="005B6DA0">
        <w:rPr>
          <w:sz w:val="26"/>
          <w:szCs w:val="26"/>
        </w:rPr>
        <w:t>i</w:t>
      </w:r>
      <w:r w:rsidRPr="005B6DA0">
        <w:rPr>
          <w:sz w:val="26"/>
          <w:szCs w:val="26"/>
        </w:rPr>
        <w:t xml:space="preserve"> – tehnoloģiskie efekti, komerciālie efekti, organizatoriskie efekti un darba faktoru efekti. </w:t>
      </w:r>
      <w:r w:rsidR="000B1D33" w:rsidRPr="005B6DA0">
        <w:rPr>
          <w:sz w:val="26"/>
          <w:szCs w:val="26"/>
        </w:rPr>
        <w:t>N</w:t>
      </w:r>
      <w:r w:rsidR="00143F01" w:rsidRPr="005B6DA0">
        <w:rPr>
          <w:sz w:val="26"/>
          <w:szCs w:val="26"/>
        </w:rPr>
        <w:t>etiešie</w:t>
      </w:r>
      <w:r w:rsidRPr="005B6DA0">
        <w:rPr>
          <w:sz w:val="26"/>
          <w:szCs w:val="26"/>
        </w:rPr>
        <w:t xml:space="preserve"> </w:t>
      </w:r>
      <w:r w:rsidR="00143F01" w:rsidRPr="005B6DA0">
        <w:rPr>
          <w:sz w:val="26"/>
          <w:szCs w:val="26"/>
        </w:rPr>
        <w:t>industriālie</w:t>
      </w:r>
      <w:r w:rsidRPr="005B6DA0">
        <w:rPr>
          <w:sz w:val="26"/>
          <w:szCs w:val="26"/>
          <w:lang w:val="en-US"/>
        </w:rPr>
        <w:t xml:space="preserve"> </w:t>
      </w:r>
      <w:r w:rsidR="00143F01" w:rsidRPr="005B6DA0">
        <w:rPr>
          <w:sz w:val="26"/>
          <w:szCs w:val="26"/>
        </w:rPr>
        <w:t>efekti</w:t>
      </w:r>
      <w:r w:rsidRPr="005B6DA0">
        <w:rPr>
          <w:sz w:val="26"/>
          <w:szCs w:val="26"/>
        </w:rPr>
        <w:t xml:space="preserve"> saskaņā ar profesora </w:t>
      </w:r>
      <w:proofErr w:type="spellStart"/>
      <w:r w:rsidRPr="005B6DA0">
        <w:rPr>
          <w:i/>
          <w:sz w:val="26"/>
          <w:szCs w:val="26"/>
        </w:rPr>
        <w:t>P.Cohendet</w:t>
      </w:r>
      <w:proofErr w:type="spellEnd"/>
      <w:r w:rsidRPr="005B6DA0">
        <w:rPr>
          <w:sz w:val="26"/>
          <w:szCs w:val="26"/>
        </w:rPr>
        <w:t xml:space="preserve"> pētījumu</w:t>
      </w:r>
      <w:r w:rsidR="000B1D33" w:rsidRPr="005B6DA0">
        <w:rPr>
          <w:sz w:val="26"/>
          <w:szCs w:val="26"/>
        </w:rPr>
        <w:t xml:space="preserve"> apkopoti Tabulā Nr. 5</w:t>
      </w:r>
      <w:r>
        <w:t>.</w:t>
      </w:r>
    </w:p>
    <w:p w14:paraId="55EC77A4" w14:textId="77777777" w:rsidR="008A56D2" w:rsidRDefault="008A56D2" w:rsidP="00FD0F18">
      <w:pPr>
        <w:ind w:firstLine="720"/>
      </w:pPr>
    </w:p>
    <w:p w14:paraId="0FAFD54A" w14:textId="3A2001AF" w:rsidR="00FD0F18" w:rsidRPr="003274D0" w:rsidRDefault="00FD0F18" w:rsidP="00DC6116">
      <w:pPr>
        <w:ind w:firstLine="720"/>
        <w:jc w:val="right"/>
      </w:pPr>
      <w:r w:rsidRPr="003274D0">
        <w:t xml:space="preserve">Tabula </w:t>
      </w:r>
      <w:r w:rsidR="005A235B">
        <w:t xml:space="preserve">Nr. </w:t>
      </w:r>
      <w:r w:rsidRPr="003274D0">
        <w:t xml:space="preserve">5 </w:t>
      </w:r>
    </w:p>
    <w:p w14:paraId="0949203B" w14:textId="15785CCC" w:rsidR="00FD0F18" w:rsidRDefault="00FD0F18" w:rsidP="005A235B">
      <w:pPr>
        <w:jc w:val="center"/>
        <w:rPr>
          <w:b/>
        </w:rPr>
      </w:pPr>
      <w:r w:rsidRPr="003274D0">
        <w:rPr>
          <w:b/>
        </w:rPr>
        <w:t>Netiešie industriālie efekti no EKA tehnoloģiju programmām</w:t>
      </w:r>
    </w:p>
    <w:p w14:paraId="0B24F3C1" w14:textId="77777777" w:rsidR="005A235B" w:rsidRPr="005A235B" w:rsidRDefault="005A235B" w:rsidP="005A235B">
      <w:pPr>
        <w:jc w:val="center"/>
        <w:rPr>
          <w:b/>
        </w:rPr>
      </w:pPr>
    </w:p>
    <w:tbl>
      <w:tblPr>
        <w:tblStyle w:val="GridTable4-Accent4"/>
        <w:tblW w:w="0" w:type="auto"/>
        <w:tblLook w:val="04A0" w:firstRow="1" w:lastRow="0" w:firstColumn="1" w:lastColumn="0" w:noHBand="0" w:noVBand="1"/>
      </w:tblPr>
      <w:tblGrid>
        <w:gridCol w:w="2265"/>
        <w:gridCol w:w="2265"/>
        <w:gridCol w:w="2265"/>
        <w:gridCol w:w="2266"/>
      </w:tblGrid>
      <w:tr w:rsidR="00FD0F18" w:rsidRPr="008A56D2" w14:paraId="4BBA231F" w14:textId="77777777" w:rsidTr="00327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vAlign w:val="center"/>
          </w:tcPr>
          <w:p w14:paraId="55663E3D" w14:textId="77777777" w:rsidR="00FD0F18" w:rsidRPr="0030486A" w:rsidRDefault="00FD0F18" w:rsidP="003274D0">
            <w:pPr>
              <w:jc w:val="center"/>
              <w:rPr>
                <w:color w:val="000000" w:themeColor="text1"/>
                <w:sz w:val="20"/>
              </w:rPr>
            </w:pPr>
            <w:r w:rsidRPr="0030486A">
              <w:rPr>
                <w:color w:val="000000" w:themeColor="text1"/>
                <w:sz w:val="20"/>
              </w:rPr>
              <w:t>Tehnoloģiskie efekti</w:t>
            </w:r>
          </w:p>
        </w:tc>
        <w:tc>
          <w:tcPr>
            <w:tcW w:w="2265" w:type="dxa"/>
            <w:tcBorders>
              <w:top w:val="single" w:sz="4" w:space="0" w:color="auto"/>
              <w:left w:val="single" w:sz="4" w:space="0" w:color="auto"/>
              <w:bottom w:val="single" w:sz="4" w:space="0" w:color="auto"/>
              <w:right w:val="single" w:sz="4" w:space="0" w:color="auto"/>
            </w:tcBorders>
            <w:vAlign w:val="center"/>
          </w:tcPr>
          <w:p w14:paraId="4E6E9CF3" w14:textId="77777777" w:rsidR="00FD0F18" w:rsidRPr="0030486A" w:rsidRDefault="00FD0F18" w:rsidP="003274D0">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30486A">
              <w:rPr>
                <w:color w:val="000000" w:themeColor="text1"/>
                <w:sz w:val="20"/>
              </w:rPr>
              <w:t>Komerciālie efekti</w:t>
            </w:r>
          </w:p>
        </w:tc>
        <w:tc>
          <w:tcPr>
            <w:tcW w:w="2265" w:type="dxa"/>
            <w:tcBorders>
              <w:top w:val="single" w:sz="4" w:space="0" w:color="auto"/>
              <w:left w:val="single" w:sz="4" w:space="0" w:color="auto"/>
              <w:bottom w:val="single" w:sz="4" w:space="0" w:color="auto"/>
              <w:right w:val="single" w:sz="4" w:space="0" w:color="auto"/>
            </w:tcBorders>
            <w:vAlign w:val="center"/>
          </w:tcPr>
          <w:p w14:paraId="0487FA9C" w14:textId="77777777" w:rsidR="00FD0F18" w:rsidRPr="0030486A" w:rsidRDefault="00FD0F18" w:rsidP="003274D0">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30486A">
              <w:rPr>
                <w:color w:val="000000" w:themeColor="text1"/>
                <w:sz w:val="20"/>
              </w:rPr>
              <w:t>Organizatoriskie un metožu efekti</w:t>
            </w:r>
          </w:p>
        </w:tc>
        <w:tc>
          <w:tcPr>
            <w:tcW w:w="2266" w:type="dxa"/>
            <w:tcBorders>
              <w:top w:val="single" w:sz="4" w:space="0" w:color="auto"/>
              <w:left w:val="single" w:sz="4" w:space="0" w:color="auto"/>
              <w:bottom w:val="single" w:sz="4" w:space="0" w:color="auto"/>
              <w:right w:val="single" w:sz="4" w:space="0" w:color="auto"/>
            </w:tcBorders>
            <w:vAlign w:val="center"/>
          </w:tcPr>
          <w:p w14:paraId="6FA5EE76" w14:textId="77777777" w:rsidR="00FD0F18" w:rsidRPr="0030486A" w:rsidRDefault="00FD0F18" w:rsidP="003274D0">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30486A">
              <w:rPr>
                <w:color w:val="000000" w:themeColor="text1"/>
                <w:sz w:val="20"/>
              </w:rPr>
              <w:t>Darba faktoru efekti</w:t>
            </w:r>
          </w:p>
        </w:tc>
      </w:tr>
      <w:tr w:rsidR="00FD0F18" w:rsidRPr="008A56D2" w14:paraId="24B71277" w14:textId="77777777" w:rsidTr="003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tcPr>
          <w:p w14:paraId="3EE238A6" w14:textId="77777777" w:rsidR="00FD0F18" w:rsidRPr="007270F2" w:rsidRDefault="00FD0F18" w:rsidP="00B7653A">
            <w:pPr>
              <w:rPr>
                <w:b w:val="0"/>
                <w:sz w:val="20"/>
              </w:rPr>
            </w:pPr>
            <w:r w:rsidRPr="007270F2">
              <w:rPr>
                <w:b w:val="0"/>
                <w:sz w:val="20"/>
              </w:rPr>
              <w:t xml:space="preserve">Tehnoloģiju </w:t>
            </w:r>
            <w:proofErr w:type="spellStart"/>
            <w:r w:rsidRPr="007270F2">
              <w:rPr>
                <w:b w:val="0"/>
                <w:sz w:val="20"/>
              </w:rPr>
              <w:t>pārnese</w:t>
            </w:r>
            <w:proofErr w:type="spellEnd"/>
            <w:r w:rsidRPr="007270F2">
              <w:rPr>
                <w:b w:val="0"/>
                <w:sz w:val="20"/>
              </w:rPr>
              <w:t xml:space="preserve"> P&amp;A programmu īstenošanā: </w:t>
            </w:r>
          </w:p>
          <w:p w14:paraId="07A410B9" w14:textId="77777777" w:rsidR="00FD0F18" w:rsidRPr="007270F2" w:rsidRDefault="00FD0F18" w:rsidP="00B7653A">
            <w:pPr>
              <w:pStyle w:val="ListParagraph"/>
              <w:numPr>
                <w:ilvl w:val="0"/>
                <w:numId w:val="28"/>
              </w:numPr>
              <w:ind w:left="337"/>
              <w:rPr>
                <w:b w:val="0"/>
                <w:sz w:val="20"/>
                <w:szCs w:val="24"/>
              </w:rPr>
            </w:pPr>
            <w:r w:rsidRPr="007270F2">
              <w:rPr>
                <w:rFonts w:ascii="Times New Roman" w:hAnsi="Times New Roman" w:cs="Times New Roman"/>
                <w:b w:val="0"/>
                <w:sz w:val="20"/>
                <w:szCs w:val="24"/>
              </w:rPr>
              <w:t>atvasinājumi no EKA produktiem;</w:t>
            </w:r>
          </w:p>
          <w:p w14:paraId="3C224992" w14:textId="77777777" w:rsidR="00FD0F18" w:rsidRPr="007270F2" w:rsidRDefault="00FD0F18" w:rsidP="00B7653A">
            <w:pPr>
              <w:pStyle w:val="ListParagraph"/>
              <w:numPr>
                <w:ilvl w:val="0"/>
                <w:numId w:val="28"/>
              </w:numPr>
              <w:ind w:left="337"/>
              <w:rPr>
                <w:b w:val="0"/>
                <w:sz w:val="20"/>
                <w:szCs w:val="24"/>
              </w:rPr>
            </w:pPr>
            <w:r w:rsidRPr="007270F2">
              <w:rPr>
                <w:rFonts w:ascii="Times New Roman" w:hAnsi="Times New Roman" w:cs="Times New Roman"/>
                <w:b w:val="0"/>
                <w:sz w:val="20"/>
                <w:szCs w:val="24"/>
              </w:rPr>
              <w:t>jauni produkti;</w:t>
            </w:r>
          </w:p>
          <w:p w14:paraId="0A6D4101" w14:textId="098C5245" w:rsidR="00FD0F18" w:rsidRPr="0030486A" w:rsidRDefault="00FD0F18" w:rsidP="00B7653A">
            <w:pPr>
              <w:pStyle w:val="ListParagraph"/>
              <w:numPr>
                <w:ilvl w:val="0"/>
                <w:numId w:val="28"/>
              </w:numPr>
              <w:ind w:left="337"/>
              <w:rPr>
                <w:sz w:val="20"/>
                <w:szCs w:val="24"/>
              </w:rPr>
            </w:pPr>
            <w:r w:rsidRPr="007270F2">
              <w:rPr>
                <w:rFonts w:ascii="Times New Roman" w:hAnsi="Times New Roman" w:cs="Times New Roman"/>
                <w:b w:val="0"/>
                <w:sz w:val="20"/>
                <w:szCs w:val="24"/>
              </w:rPr>
              <w:t>produktu uzlabojumi.</w:t>
            </w:r>
            <w:r w:rsidRPr="0030486A">
              <w:rPr>
                <w:rFonts w:ascii="Times New Roman" w:hAnsi="Times New Roman" w:cs="Times New Roman"/>
                <w:sz w:val="20"/>
                <w:szCs w:val="24"/>
              </w:rPr>
              <w:t xml:space="preserve"> </w:t>
            </w:r>
          </w:p>
        </w:tc>
        <w:tc>
          <w:tcPr>
            <w:tcW w:w="2265" w:type="dxa"/>
            <w:tcBorders>
              <w:top w:val="single" w:sz="4" w:space="0" w:color="auto"/>
            </w:tcBorders>
          </w:tcPr>
          <w:p w14:paraId="1C638A79" w14:textId="4C9567AC" w:rsidR="00FD0F18" w:rsidRPr="0030486A" w:rsidRDefault="00FD0F18"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Tīklošanās efekti – ietekme no biznesa kontaktiem starp EKA programmu dalībniekiem</w:t>
            </w:r>
            <w:r w:rsidR="002E06AA" w:rsidRPr="0030486A">
              <w:rPr>
                <w:sz w:val="20"/>
              </w:rPr>
              <w:t>;</w:t>
            </w:r>
          </w:p>
          <w:p w14:paraId="31C405E5" w14:textId="0A411540" w:rsidR="00FD0F18" w:rsidRPr="0030486A" w:rsidRDefault="008A56D2"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r</w:t>
            </w:r>
            <w:r w:rsidR="00FD0F18" w:rsidRPr="0030486A">
              <w:rPr>
                <w:sz w:val="20"/>
              </w:rPr>
              <w:t xml:space="preserve">eputāciju efekti </w:t>
            </w:r>
            <w:r w:rsidRPr="0030486A">
              <w:rPr>
                <w:sz w:val="20"/>
              </w:rPr>
              <w:t>–</w:t>
            </w:r>
            <w:r w:rsidR="00FD0F18" w:rsidRPr="0030486A">
              <w:rPr>
                <w:sz w:val="20"/>
              </w:rPr>
              <w:t xml:space="preserve"> EKA līgumi tiek izmantoti, kā mārketinga rīks vai atsauce.</w:t>
            </w:r>
          </w:p>
        </w:tc>
        <w:tc>
          <w:tcPr>
            <w:tcW w:w="2265" w:type="dxa"/>
            <w:tcBorders>
              <w:top w:val="single" w:sz="4" w:space="0" w:color="auto"/>
            </w:tcBorders>
          </w:tcPr>
          <w:p w14:paraId="4822F609" w14:textId="77777777" w:rsidR="00FD0F18" w:rsidRPr="0030486A" w:rsidRDefault="00FD0F18"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 xml:space="preserve">Organizatoriskās struktūras izmaiņas; </w:t>
            </w:r>
          </w:p>
          <w:p w14:paraId="00459AEE" w14:textId="7DD8F6F6" w:rsidR="00FD0F18" w:rsidRPr="0030486A" w:rsidRDefault="008A56D2"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u</w:t>
            </w:r>
            <w:r w:rsidR="00FD0F18" w:rsidRPr="0030486A">
              <w:rPr>
                <w:sz w:val="20"/>
              </w:rPr>
              <w:t>zlabotu kvalitātes kontroles standartu pieņemšana;</w:t>
            </w:r>
          </w:p>
          <w:p w14:paraId="09553FE8" w14:textId="07873CD9" w:rsidR="00FD0F18" w:rsidRPr="0030486A" w:rsidRDefault="008A56D2"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e</w:t>
            </w:r>
            <w:r w:rsidR="00FD0F18" w:rsidRPr="0030486A">
              <w:rPr>
                <w:sz w:val="20"/>
              </w:rPr>
              <w:t xml:space="preserve">ksperimentālas procedūras; </w:t>
            </w:r>
          </w:p>
          <w:p w14:paraId="2681578A" w14:textId="349824A6" w:rsidR="00FD0F18" w:rsidRPr="0030486A" w:rsidRDefault="008A56D2"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j</w:t>
            </w:r>
            <w:r w:rsidR="00FD0F18" w:rsidRPr="0030486A">
              <w:rPr>
                <w:sz w:val="20"/>
              </w:rPr>
              <w:t>aunas pārvaldības metodes</w:t>
            </w:r>
            <w:r w:rsidR="002E06AA" w:rsidRPr="0030486A">
              <w:rPr>
                <w:sz w:val="20"/>
              </w:rPr>
              <w:t>.</w:t>
            </w:r>
          </w:p>
        </w:tc>
        <w:tc>
          <w:tcPr>
            <w:tcW w:w="2266" w:type="dxa"/>
            <w:tcBorders>
              <w:top w:val="single" w:sz="4" w:space="0" w:color="auto"/>
            </w:tcBorders>
          </w:tcPr>
          <w:p w14:paraId="4B080A16" w14:textId="77777777" w:rsidR="00FD0F18" w:rsidRPr="0030486A" w:rsidRDefault="00FD0F18"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 xml:space="preserve">Uzlabota kvalifikācija un prasmes darbiniekiem, kas iesaistījušies EKA projektos; </w:t>
            </w:r>
          </w:p>
          <w:p w14:paraId="0E77CB18" w14:textId="4BC2C8E6" w:rsidR="00FD0F18" w:rsidRPr="0030486A" w:rsidRDefault="008A56D2" w:rsidP="00B7653A">
            <w:pPr>
              <w:cnfStyle w:val="000000100000" w:firstRow="0" w:lastRow="0" w:firstColumn="0" w:lastColumn="0" w:oddVBand="0" w:evenVBand="0" w:oddHBand="1" w:evenHBand="0" w:firstRowFirstColumn="0" w:firstRowLastColumn="0" w:lastRowFirstColumn="0" w:lastRowLastColumn="0"/>
              <w:rPr>
                <w:sz w:val="20"/>
              </w:rPr>
            </w:pPr>
            <w:r w:rsidRPr="0030486A">
              <w:rPr>
                <w:sz w:val="20"/>
              </w:rPr>
              <w:t>i</w:t>
            </w:r>
            <w:r w:rsidR="00FD0F18" w:rsidRPr="0030486A">
              <w:rPr>
                <w:sz w:val="20"/>
              </w:rPr>
              <w:t xml:space="preserve">esaistīto speciālistu, zinātnieku, inženieru un tehniķu kritiskās masas izveide organizācijā. </w:t>
            </w:r>
          </w:p>
        </w:tc>
      </w:tr>
    </w:tbl>
    <w:p w14:paraId="701CE94E" w14:textId="77777777" w:rsidR="00FD0F18" w:rsidRPr="008A56D2" w:rsidRDefault="00FD0F18" w:rsidP="00FD0F18">
      <w:pPr>
        <w:ind w:firstLine="720"/>
      </w:pPr>
    </w:p>
    <w:p w14:paraId="46A28F30" w14:textId="564A9D9B" w:rsidR="00FD0F18" w:rsidRPr="005B6DA0" w:rsidRDefault="00FD0F18" w:rsidP="00FD0F18">
      <w:pPr>
        <w:ind w:firstLine="720"/>
        <w:rPr>
          <w:sz w:val="26"/>
          <w:szCs w:val="26"/>
        </w:rPr>
      </w:pPr>
      <w:r w:rsidRPr="005B6DA0">
        <w:rPr>
          <w:sz w:val="26"/>
          <w:szCs w:val="26"/>
        </w:rPr>
        <w:t>Ņemot vērā īso laika perioda</w:t>
      </w:r>
      <w:r w:rsidR="000B1D33" w:rsidRPr="005B6DA0">
        <w:rPr>
          <w:sz w:val="26"/>
          <w:szCs w:val="26"/>
        </w:rPr>
        <w:t>,</w:t>
      </w:r>
      <w:r w:rsidRPr="005B6DA0">
        <w:rPr>
          <w:sz w:val="26"/>
          <w:szCs w:val="26"/>
        </w:rPr>
        <w:t xml:space="preserve"> kopš ir pabeigti atsevišķi ESV līgumi (vairāki no tiem turpinās vai vēl pat nav uzsākti), ir grūti noteikt to netiešos industriālos efektus, kas </w:t>
      </w:r>
      <w:r w:rsidR="000312EC" w:rsidRPr="005B6DA0">
        <w:rPr>
          <w:sz w:val="26"/>
          <w:szCs w:val="26"/>
        </w:rPr>
        <w:lastRenderedPageBreak/>
        <w:t>var parādīties trīs līdz četru</w:t>
      </w:r>
      <w:r w:rsidRPr="005B6DA0">
        <w:rPr>
          <w:sz w:val="26"/>
          <w:szCs w:val="26"/>
        </w:rPr>
        <w:t xml:space="preserve"> gadu laikā pēc projektu pabeigšanas ar nosacījumu, ja īstenotās aktivitāt</w:t>
      </w:r>
      <w:r w:rsidR="000019CC" w:rsidRPr="005B6DA0">
        <w:rPr>
          <w:sz w:val="26"/>
          <w:szCs w:val="26"/>
        </w:rPr>
        <w:t>es tiks turpinātas arī nākotnē.</w:t>
      </w:r>
    </w:p>
    <w:p w14:paraId="1144B02A" w14:textId="20394A06" w:rsidR="001D4872" w:rsidRPr="005B6DA0" w:rsidRDefault="00156859" w:rsidP="00FD0F18">
      <w:pPr>
        <w:ind w:firstLine="720"/>
        <w:rPr>
          <w:sz w:val="26"/>
          <w:szCs w:val="26"/>
        </w:rPr>
      </w:pPr>
      <w:r w:rsidRPr="005B6DA0">
        <w:rPr>
          <w:sz w:val="26"/>
          <w:szCs w:val="26"/>
        </w:rPr>
        <w:t>Lai arī lielākā daļa no ESV līguma ietvaros veiktajām aktivitātēm ir salīdzinoši zem</w:t>
      </w:r>
      <w:r w:rsidR="002E06AA" w:rsidRPr="005B6DA0">
        <w:rPr>
          <w:sz w:val="26"/>
          <w:szCs w:val="26"/>
        </w:rPr>
        <w:t>ā</w:t>
      </w:r>
      <w:r w:rsidRPr="005B6DA0">
        <w:rPr>
          <w:sz w:val="26"/>
          <w:szCs w:val="26"/>
        </w:rPr>
        <w:t xml:space="preserve"> </w:t>
      </w:r>
      <w:r w:rsidR="00C64762" w:rsidRPr="005B6DA0">
        <w:rPr>
          <w:sz w:val="26"/>
          <w:szCs w:val="26"/>
        </w:rPr>
        <w:t xml:space="preserve">TRL </w:t>
      </w:r>
      <w:r w:rsidR="002E06AA" w:rsidRPr="005B6DA0">
        <w:rPr>
          <w:sz w:val="26"/>
          <w:szCs w:val="26"/>
        </w:rPr>
        <w:t>līmenī</w:t>
      </w:r>
      <w:r w:rsidR="00097393">
        <w:rPr>
          <w:sz w:val="26"/>
          <w:szCs w:val="26"/>
        </w:rPr>
        <w:t>, vairākas organizācijas</w:t>
      </w:r>
      <w:r w:rsidR="00C64762" w:rsidRPr="005B6DA0">
        <w:rPr>
          <w:sz w:val="26"/>
          <w:szCs w:val="26"/>
        </w:rPr>
        <w:t xml:space="preserve"> ir norādījuš</w:t>
      </w:r>
      <w:r w:rsidR="00097393">
        <w:rPr>
          <w:sz w:val="26"/>
          <w:szCs w:val="26"/>
        </w:rPr>
        <w:t>as</w:t>
      </w:r>
      <w:r w:rsidR="00C64762" w:rsidRPr="005B6DA0">
        <w:rPr>
          <w:sz w:val="26"/>
          <w:szCs w:val="26"/>
        </w:rPr>
        <w:t xml:space="preserve"> uz būtiskiem </w:t>
      </w:r>
      <w:r w:rsidR="00781943" w:rsidRPr="005B6DA0">
        <w:rPr>
          <w:sz w:val="26"/>
          <w:szCs w:val="26"/>
        </w:rPr>
        <w:t>p</w:t>
      </w:r>
      <w:r w:rsidR="00111A5F" w:rsidRPr="005B6DA0">
        <w:rPr>
          <w:sz w:val="26"/>
          <w:szCs w:val="26"/>
        </w:rPr>
        <w:t>ozitīviem efektiem, ko sniegušas īstenotās aktivitātes</w:t>
      </w:r>
      <w:r w:rsidR="00781943" w:rsidRPr="005B6DA0">
        <w:rPr>
          <w:sz w:val="26"/>
          <w:szCs w:val="26"/>
        </w:rPr>
        <w:t>. Tā</w:t>
      </w:r>
      <w:r w:rsidR="002E06AA" w:rsidRPr="005B6DA0">
        <w:rPr>
          <w:sz w:val="26"/>
          <w:szCs w:val="26"/>
        </w:rPr>
        <w:t>,</w:t>
      </w:r>
      <w:r w:rsidR="00781943" w:rsidRPr="005B6DA0">
        <w:rPr>
          <w:sz w:val="26"/>
          <w:szCs w:val="26"/>
        </w:rPr>
        <w:t xml:space="preserve"> piemēram</w:t>
      </w:r>
      <w:r w:rsidR="00111A5F" w:rsidRPr="005B6DA0">
        <w:rPr>
          <w:sz w:val="26"/>
          <w:szCs w:val="26"/>
        </w:rPr>
        <w:t>,</w:t>
      </w:r>
      <w:r w:rsidR="00781943" w:rsidRPr="005B6DA0">
        <w:rPr>
          <w:sz w:val="26"/>
          <w:szCs w:val="26"/>
        </w:rPr>
        <w:t xml:space="preserve"> SIA </w:t>
      </w:r>
      <w:r w:rsidR="000312EC" w:rsidRPr="005B6DA0">
        <w:rPr>
          <w:sz w:val="26"/>
          <w:szCs w:val="26"/>
        </w:rPr>
        <w:t>“</w:t>
      </w:r>
      <w:proofErr w:type="spellStart"/>
      <w:r w:rsidR="00781943" w:rsidRPr="005B6DA0">
        <w:rPr>
          <w:sz w:val="26"/>
          <w:szCs w:val="26"/>
        </w:rPr>
        <w:t>Eventech</w:t>
      </w:r>
      <w:proofErr w:type="spellEnd"/>
      <w:r w:rsidR="000312EC" w:rsidRPr="005B6DA0">
        <w:rPr>
          <w:sz w:val="26"/>
          <w:szCs w:val="26"/>
        </w:rPr>
        <w:t>”</w:t>
      </w:r>
      <w:r w:rsidR="00781943" w:rsidRPr="005B6DA0">
        <w:rPr>
          <w:sz w:val="26"/>
          <w:szCs w:val="26"/>
        </w:rPr>
        <w:t xml:space="preserve"> ir norādījusi, ka ir pārdevusi vairākas licences no izstrādātajām tehnoloģijām un nodibināju</w:t>
      </w:r>
      <w:r w:rsidR="000312EC" w:rsidRPr="005B6DA0">
        <w:rPr>
          <w:sz w:val="26"/>
          <w:szCs w:val="26"/>
        </w:rPr>
        <w:t>si</w:t>
      </w:r>
      <w:r w:rsidR="00781943" w:rsidRPr="005B6DA0">
        <w:rPr>
          <w:sz w:val="26"/>
          <w:szCs w:val="26"/>
        </w:rPr>
        <w:t xml:space="preserve"> vērtīgus biznesa kontaktus</w:t>
      </w:r>
      <w:r w:rsidR="00111A5F" w:rsidRPr="005B6DA0">
        <w:rPr>
          <w:sz w:val="26"/>
          <w:szCs w:val="26"/>
        </w:rPr>
        <w:t xml:space="preserve"> ar ārvalstu uzņēmumiem un EKA</w:t>
      </w:r>
      <w:r w:rsidR="00781943" w:rsidRPr="005B6DA0">
        <w:rPr>
          <w:sz w:val="26"/>
          <w:szCs w:val="26"/>
        </w:rPr>
        <w:t>. A</w:t>
      </w:r>
      <w:r w:rsidR="004C4E90">
        <w:rPr>
          <w:sz w:val="26"/>
          <w:szCs w:val="26"/>
        </w:rPr>
        <w:t>/</w:t>
      </w:r>
      <w:r w:rsidR="00781943" w:rsidRPr="005B6DA0">
        <w:rPr>
          <w:sz w:val="26"/>
          <w:szCs w:val="26"/>
        </w:rPr>
        <w:t xml:space="preserve">S </w:t>
      </w:r>
      <w:r w:rsidR="000312EC" w:rsidRPr="005B6DA0">
        <w:rPr>
          <w:sz w:val="26"/>
          <w:szCs w:val="26"/>
        </w:rPr>
        <w:t>“</w:t>
      </w:r>
      <w:r w:rsidR="00781943" w:rsidRPr="005B6DA0">
        <w:rPr>
          <w:sz w:val="26"/>
          <w:szCs w:val="26"/>
        </w:rPr>
        <w:t>RD Alfa</w:t>
      </w:r>
      <w:r w:rsidR="000312EC" w:rsidRPr="005B6DA0">
        <w:rPr>
          <w:sz w:val="26"/>
          <w:szCs w:val="26"/>
        </w:rPr>
        <w:t>”</w:t>
      </w:r>
      <w:r w:rsidR="00781943" w:rsidRPr="005B6DA0">
        <w:rPr>
          <w:sz w:val="26"/>
          <w:szCs w:val="26"/>
        </w:rPr>
        <w:t xml:space="preserve"> norāda, ka izstrādātās integrētās mikroshēmas ir </w:t>
      </w:r>
      <w:r w:rsidR="00111A5F" w:rsidRPr="005B6DA0">
        <w:rPr>
          <w:sz w:val="26"/>
          <w:szCs w:val="26"/>
        </w:rPr>
        <w:t xml:space="preserve">ar </w:t>
      </w:r>
      <w:r w:rsidR="00781943" w:rsidRPr="005B6DA0">
        <w:rPr>
          <w:sz w:val="26"/>
          <w:szCs w:val="26"/>
        </w:rPr>
        <w:t xml:space="preserve">ļoti augstu </w:t>
      </w:r>
      <w:proofErr w:type="spellStart"/>
      <w:r w:rsidR="00781943" w:rsidRPr="005B6DA0">
        <w:rPr>
          <w:sz w:val="26"/>
          <w:szCs w:val="26"/>
        </w:rPr>
        <w:t>komercializācijas</w:t>
      </w:r>
      <w:proofErr w:type="spellEnd"/>
      <w:r w:rsidR="00781943" w:rsidRPr="005B6DA0">
        <w:rPr>
          <w:sz w:val="26"/>
          <w:szCs w:val="26"/>
        </w:rPr>
        <w:t xml:space="preserve"> potenciālu un ESV līgumi ļāvuši nodibināt kontaktus ar lielajiem sistēmu integratoriem</w:t>
      </w:r>
      <w:r w:rsidR="00781943" w:rsidRPr="005B6DA0">
        <w:rPr>
          <w:rStyle w:val="FootnoteReference"/>
          <w:sz w:val="26"/>
          <w:szCs w:val="26"/>
        </w:rPr>
        <w:footnoteReference w:id="11"/>
      </w:r>
      <w:r w:rsidR="00FD0F18" w:rsidRPr="005B6DA0">
        <w:rPr>
          <w:sz w:val="26"/>
          <w:szCs w:val="26"/>
        </w:rPr>
        <w:t xml:space="preserve">, kas ir būtiski produktu </w:t>
      </w:r>
      <w:proofErr w:type="spellStart"/>
      <w:r w:rsidR="00FD0F18" w:rsidRPr="005B6DA0">
        <w:rPr>
          <w:sz w:val="26"/>
          <w:szCs w:val="26"/>
        </w:rPr>
        <w:t>komercializācijā</w:t>
      </w:r>
      <w:proofErr w:type="spellEnd"/>
      <w:r w:rsidR="00FD0F18" w:rsidRPr="005B6DA0">
        <w:rPr>
          <w:sz w:val="26"/>
          <w:szCs w:val="26"/>
        </w:rPr>
        <w:t>.</w:t>
      </w:r>
      <w:r w:rsidR="006532F0" w:rsidRPr="005B6DA0">
        <w:rPr>
          <w:sz w:val="26"/>
          <w:szCs w:val="26"/>
        </w:rPr>
        <w:t xml:space="preserve"> Abas </w:t>
      </w:r>
      <w:r w:rsidR="00097393">
        <w:rPr>
          <w:sz w:val="26"/>
          <w:szCs w:val="26"/>
        </w:rPr>
        <w:t>organizācijas</w:t>
      </w:r>
      <w:r w:rsidR="006532F0" w:rsidRPr="005B6DA0">
        <w:rPr>
          <w:sz w:val="26"/>
          <w:szCs w:val="26"/>
        </w:rPr>
        <w:t xml:space="preserve"> atrodas unikālā stāvokl</w:t>
      </w:r>
      <w:r w:rsidR="00EA5284" w:rsidRPr="005B6DA0">
        <w:rPr>
          <w:sz w:val="26"/>
          <w:szCs w:val="26"/>
        </w:rPr>
        <w:t xml:space="preserve">ī, jo piedāvā tehnoloģijas, kas </w:t>
      </w:r>
      <w:r w:rsidR="00FD0F18" w:rsidRPr="005B6DA0">
        <w:rPr>
          <w:sz w:val="26"/>
          <w:szCs w:val="26"/>
        </w:rPr>
        <w:t>ir pieprasītas</w:t>
      </w:r>
      <w:r w:rsidR="00EA5284" w:rsidRPr="005B6DA0">
        <w:rPr>
          <w:sz w:val="26"/>
          <w:szCs w:val="26"/>
        </w:rPr>
        <w:t xml:space="preserve"> Eiropas kosmosa sektor</w:t>
      </w:r>
      <w:r w:rsidR="002E06AA" w:rsidRPr="005B6DA0">
        <w:rPr>
          <w:sz w:val="26"/>
          <w:szCs w:val="26"/>
        </w:rPr>
        <w:t>ā</w:t>
      </w:r>
      <w:r w:rsidR="00EA5284" w:rsidRPr="005B6DA0">
        <w:rPr>
          <w:sz w:val="26"/>
          <w:szCs w:val="26"/>
        </w:rPr>
        <w:t xml:space="preserve">. </w:t>
      </w:r>
    </w:p>
    <w:p w14:paraId="0EF90353" w14:textId="77777777" w:rsidR="00097393" w:rsidRPr="00097393" w:rsidRDefault="00EA5284" w:rsidP="00097393">
      <w:pPr>
        <w:rPr>
          <w:sz w:val="26"/>
          <w:szCs w:val="26"/>
        </w:rPr>
      </w:pPr>
      <w:r>
        <w:tab/>
      </w:r>
      <w:r w:rsidR="00097393" w:rsidRPr="00097393">
        <w:rPr>
          <w:sz w:val="26"/>
          <w:szCs w:val="26"/>
        </w:rPr>
        <w:t xml:space="preserve">Zemes novērošanas segmentā divas organizācijas, zinātniskās institūcijas – nodibinājums “Vides risinājumu institūts” un valsts zinātniskais institūts “Elektronikas un datorzinātņu institūts” – uzsver, ka ESV līgumi ļāvuši noslēgt vairākus līgumus ar privātajiem klientiem par zemes novērošanas pakalpojumiem, piesaistīt piecus jaunus zemes novērošanas ekspertus un īstenot projektus citās starptautiskās programmās. Elektronikas un datorzinātņu institūts uzsvēris, ka plāno dibināt </w:t>
      </w:r>
      <w:proofErr w:type="spellStart"/>
      <w:r w:rsidR="00097393" w:rsidRPr="00097393">
        <w:rPr>
          <w:i/>
          <w:sz w:val="26"/>
          <w:szCs w:val="26"/>
        </w:rPr>
        <w:t>spin-off</w:t>
      </w:r>
      <w:proofErr w:type="spellEnd"/>
      <w:r w:rsidR="00097393" w:rsidRPr="00097393">
        <w:rPr>
          <w:sz w:val="26"/>
          <w:szCs w:val="26"/>
        </w:rPr>
        <w:t xml:space="preserve"> kompāniju EKA projektu ietvaros iegūto kompetenču </w:t>
      </w:r>
      <w:proofErr w:type="spellStart"/>
      <w:r w:rsidR="00097393" w:rsidRPr="00097393">
        <w:rPr>
          <w:sz w:val="26"/>
          <w:szCs w:val="26"/>
        </w:rPr>
        <w:t>komercializācijai</w:t>
      </w:r>
      <w:proofErr w:type="spellEnd"/>
      <w:r w:rsidR="00097393" w:rsidRPr="00097393">
        <w:rPr>
          <w:sz w:val="26"/>
          <w:szCs w:val="26"/>
        </w:rPr>
        <w:t xml:space="preserve">. </w:t>
      </w:r>
    </w:p>
    <w:p w14:paraId="02013A55" w14:textId="1189F73D" w:rsidR="00097393" w:rsidRPr="00097393" w:rsidRDefault="00097393" w:rsidP="004C4E90">
      <w:pPr>
        <w:ind w:firstLine="720"/>
        <w:rPr>
          <w:sz w:val="26"/>
          <w:szCs w:val="26"/>
        </w:rPr>
      </w:pPr>
      <w:r w:rsidRPr="00097393">
        <w:rPr>
          <w:sz w:val="26"/>
          <w:szCs w:val="26"/>
        </w:rPr>
        <w:t xml:space="preserve">EKA izglītības projekts Ventspils Augstskolā ir radījis vērā ņemamas izmaiņas tās studiju programmās, jo </w:t>
      </w:r>
      <w:proofErr w:type="spellStart"/>
      <w:r w:rsidRPr="00097393">
        <w:rPr>
          <w:sz w:val="26"/>
          <w:szCs w:val="26"/>
        </w:rPr>
        <w:t>satelītehnoloģiju</w:t>
      </w:r>
      <w:proofErr w:type="spellEnd"/>
      <w:r w:rsidRPr="00097393">
        <w:rPr>
          <w:sz w:val="26"/>
          <w:szCs w:val="26"/>
        </w:rPr>
        <w:t xml:space="preserve"> izglītības programma ir kļuvusi par neatņemamu augstskolas sastāvdaļu, un katru gadu četri līdz pieci studenti raksta bakalaura vai maģistra darbus </w:t>
      </w:r>
      <w:proofErr w:type="spellStart"/>
      <w:r w:rsidRPr="00097393">
        <w:rPr>
          <w:sz w:val="26"/>
          <w:szCs w:val="26"/>
        </w:rPr>
        <w:t>satelītehnoloģiju</w:t>
      </w:r>
      <w:proofErr w:type="spellEnd"/>
      <w:r w:rsidRPr="00097393">
        <w:rPr>
          <w:sz w:val="26"/>
          <w:szCs w:val="26"/>
        </w:rPr>
        <w:t xml:space="preserve"> jomā. Savukārt nodibinājuma “Vides risinājumu institūt</w:t>
      </w:r>
      <w:r w:rsidR="00F432E9">
        <w:rPr>
          <w:sz w:val="26"/>
          <w:szCs w:val="26"/>
        </w:rPr>
        <w:t>a</w:t>
      </w:r>
      <w:r w:rsidRPr="00097393">
        <w:rPr>
          <w:sz w:val="26"/>
          <w:szCs w:val="26"/>
        </w:rPr>
        <w:t xml:space="preserve">” īstenotais izglītības projekts paredz izstrādāt Latvijas specifikai atbilstošus mācību materiālus, demonstrējot lēmuma pieņēmējiem zemes novērošanas segmenta ieguvumus dažādās tautsaimniecības jomās. </w:t>
      </w:r>
    </w:p>
    <w:p w14:paraId="566668BA" w14:textId="6FF7C2CC" w:rsidR="005A235B" w:rsidRPr="005B6DA0" w:rsidRDefault="005A235B" w:rsidP="00097393">
      <w:pPr>
        <w:rPr>
          <w:b/>
          <w:sz w:val="26"/>
          <w:szCs w:val="26"/>
        </w:rPr>
      </w:pPr>
    </w:p>
    <w:p w14:paraId="2239879D" w14:textId="3DB134CF" w:rsidR="001D4872" w:rsidRPr="005B6DA0" w:rsidRDefault="00FD0F18" w:rsidP="003274D0">
      <w:pPr>
        <w:jc w:val="center"/>
        <w:rPr>
          <w:b/>
          <w:sz w:val="26"/>
          <w:szCs w:val="26"/>
        </w:rPr>
      </w:pPr>
      <w:r w:rsidRPr="005B6DA0">
        <w:rPr>
          <w:b/>
          <w:sz w:val="26"/>
          <w:szCs w:val="26"/>
        </w:rPr>
        <w:t xml:space="preserve">Turpmākās sadarbības scenāriji </w:t>
      </w:r>
      <w:r w:rsidR="007C5DD5" w:rsidRPr="005B6DA0">
        <w:rPr>
          <w:b/>
          <w:sz w:val="26"/>
          <w:szCs w:val="26"/>
        </w:rPr>
        <w:t>ar EKA no 2020.gada</w:t>
      </w:r>
    </w:p>
    <w:p w14:paraId="6D2DD10C" w14:textId="77777777" w:rsidR="001D4872" w:rsidRPr="005B6DA0" w:rsidRDefault="001D4872" w:rsidP="001302DC">
      <w:pPr>
        <w:rPr>
          <w:sz w:val="26"/>
          <w:szCs w:val="26"/>
        </w:rPr>
      </w:pPr>
    </w:p>
    <w:p w14:paraId="42D6C6E4" w14:textId="3B26041C" w:rsidR="007C5DD5" w:rsidRPr="005B6DA0" w:rsidRDefault="004C4E90" w:rsidP="007C5DD5">
      <w:pPr>
        <w:ind w:firstLine="720"/>
        <w:rPr>
          <w:sz w:val="26"/>
          <w:szCs w:val="26"/>
        </w:rPr>
      </w:pPr>
      <w:r>
        <w:rPr>
          <w:sz w:val="26"/>
          <w:szCs w:val="26"/>
        </w:rPr>
        <w:t>Turpmākā sadarbībā</w:t>
      </w:r>
      <w:r w:rsidR="007C5DD5" w:rsidRPr="005B6DA0">
        <w:rPr>
          <w:sz w:val="26"/>
          <w:szCs w:val="26"/>
        </w:rPr>
        <w:t xml:space="preserve"> ar EKA Latvijai ir jāizvēlas no div</w:t>
      </w:r>
      <w:r w:rsidR="004B5AAE" w:rsidRPr="005B6DA0">
        <w:rPr>
          <w:sz w:val="26"/>
          <w:szCs w:val="26"/>
        </w:rPr>
        <w:t>iem</w:t>
      </w:r>
      <w:r w:rsidR="007C5DD5" w:rsidRPr="005B6DA0">
        <w:rPr>
          <w:sz w:val="26"/>
          <w:szCs w:val="26"/>
        </w:rPr>
        <w:t xml:space="preserve"> sadarbības </w:t>
      </w:r>
      <w:r w:rsidR="004B5AAE" w:rsidRPr="005B6DA0">
        <w:rPr>
          <w:sz w:val="26"/>
          <w:szCs w:val="26"/>
        </w:rPr>
        <w:t>scenārijiem</w:t>
      </w:r>
      <w:r w:rsidR="007C5DD5" w:rsidRPr="005B6DA0">
        <w:rPr>
          <w:sz w:val="26"/>
          <w:szCs w:val="26"/>
        </w:rPr>
        <w:t xml:space="preserve"> – </w:t>
      </w:r>
      <w:r w:rsidR="00796453" w:rsidRPr="005B6DA0">
        <w:rPr>
          <w:sz w:val="26"/>
          <w:szCs w:val="26"/>
        </w:rPr>
        <w:t>a</w:t>
      </w:r>
      <w:r w:rsidR="007C5DD5" w:rsidRPr="005B6DA0">
        <w:rPr>
          <w:sz w:val="26"/>
          <w:szCs w:val="26"/>
        </w:rPr>
        <w:t xml:space="preserve">sociētās </w:t>
      </w:r>
      <w:r w:rsidR="00097393">
        <w:rPr>
          <w:sz w:val="26"/>
          <w:szCs w:val="26"/>
        </w:rPr>
        <w:t>dalīb</w:t>
      </w:r>
      <w:r w:rsidR="007C5DD5" w:rsidRPr="005B6DA0">
        <w:rPr>
          <w:sz w:val="26"/>
          <w:szCs w:val="26"/>
        </w:rPr>
        <w:t xml:space="preserve">valsts statuss vai ESV </w:t>
      </w:r>
      <w:r w:rsidR="004B5AAE" w:rsidRPr="005B6DA0">
        <w:rPr>
          <w:sz w:val="26"/>
          <w:szCs w:val="26"/>
        </w:rPr>
        <w:t>otrais raunds.</w:t>
      </w:r>
    </w:p>
    <w:p w14:paraId="7BBB5F6E" w14:textId="1C66C977" w:rsidR="007C5DD5" w:rsidRPr="005B6DA0" w:rsidRDefault="007C5DD5" w:rsidP="007C5DD5">
      <w:pPr>
        <w:rPr>
          <w:sz w:val="26"/>
          <w:szCs w:val="26"/>
        </w:rPr>
      </w:pPr>
      <w:r w:rsidRPr="005B6DA0">
        <w:rPr>
          <w:b/>
          <w:sz w:val="26"/>
          <w:szCs w:val="26"/>
        </w:rPr>
        <w:tab/>
      </w:r>
      <w:r w:rsidRPr="005B6DA0">
        <w:rPr>
          <w:sz w:val="26"/>
          <w:szCs w:val="26"/>
        </w:rPr>
        <w:t xml:space="preserve">Ja tiek izvēlēts </w:t>
      </w:r>
      <w:r w:rsidR="00796453" w:rsidRPr="005B6DA0">
        <w:rPr>
          <w:sz w:val="26"/>
          <w:szCs w:val="26"/>
        </w:rPr>
        <w:t>a</w:t>
      </w:r>
      <w:r w:rsidRPr="005B6DA0">
        <w:rPr>
          <w:sz w:val="26"/>
          <w:szCs w:val="26"/>
        </w:rPr>
        <w:t>sociētā</w:t>
      </w:r>
      <w:r w:rsidR="000312EC" w:rsidRPr="005B6DA0">
        <w:rPr>
          <w:sz w:val="26"/>
          <w:szCs w:val="26"/>
        </w:rPr>
        <w:t>s</w:t>
      </w:r>
      <w:r w:rsidRPr="005B6DA0">
        <w:rPr>
          <w:sz w:val="26"/>
          <w:szCs w:val="26"/>
        </w:rPr>
        <w:t xml:space="preserve"> </w:t>
      </w:r>
      <w:r w:rsidR="00F432E9">
        <w:rPr>
          <w:sz w:val="26"/>
          <w:szCs w:val="26"/>
        </w:rPr>
        <w:t>dalīb</w:t>
      </w:r>
      <w:r w:rsidRPr="005B6DA0">
        <w:rPr>
          <w:sz w:val="26"/>
          <w:szCs w:val="26"/>
        </w:rPr>
        <w:t xml:space="preserve">valsts scenārijs, Latvijai ir jāveic rūpīga EKA </w:t>
      </w:r>
      <w:r w:rsidR="00947C6C" w:rsidRPr="005B6DA0">
        <w:rPr>
          <w:sz w:val="26"/>
          <w:szCs w:val="26"/>
        </w:rPr>
        <w:t>i</w:t>
      </w:r>
      <w:r w:rsidRPr="005B6DA0">
        <w:rPr>
          <w:sz w:val="26"/>
          <w:szCs w:val="26"/>
        </w:rPr>
        <w:t>zvēles programmu (</w:t>
      </w:r>
      <w:proofErr w:type="spellStart"/>
      <w:r w:rsidR="00796453" w:rsidRPr="005B6DA0">
        <w:rPr>
          <w:i/>
          <w:sz w:val="26"/>
          <w:szCs w:val="26"/>
        </w:rPr>
        <w:t>o</w:t>
      </w:r>
      <w:r w:rsidRPr="005B6DA0">
        <w:rPr>
          <w:i/>
          <w:sz w:val="26"/>
          <w:szCs w:val="26"/>
        </w:rPr>
        <w:t>ptional</w:t>
      </w:r>
      <w:proofErr w:type="spellEnd"/>
      <w:r w:rsidRPr="005B6DA0">
        <w:rPr>
          <w:i/>
          <w:sz w:val="26"/>
          <w:szCs w:val="26"/>
        </w:rPr>
        <w:t xml:space="preserve"> </w:t>
      </w:r>
      <w:proofErr w:type="spellStart"/>
      <w:r w:rsidRPr="005B6DA0">
        <w:rPr>
          <w:i/>
          <w:sz w:val="26"/>
          <w:szCs w:val="26"/>
        </w:rPr>
        <w:t>programme</w:t>
      </w:r>
      <w:r w:rsidR="00947C6C" w:rsidRPr="005B6DA0">
        <w:rPr>
          <w:i/>
          <w:sz w:val="26"/>
          <w:szCs w:val="26"/>
        </w:rPr>
        <w:t>s</w:t>
      </w:r>
      <w:proofErr w:type="spellEnd"/>
      <w:r w:rsidRPr="005B6DA0">
        <w:rPr>
          <w:sz w:val="26"/>
          <w:szCs w:val="26"/>
        </w:rPr>
        <w:t>) izvēle, atbilstoši Latvijas industrijas iespējām un Latvijas mērķiem kosmosa nozarē. Papildus ir jāveic ieguldījumi Trešās puses programmā</w:t>
      </w:r>
      <w:r w:rsidR="004B5AAE" w:rsidRPr="005B6DA0">
        <w:rPr>
          <w:sz w:val="26"/>
          <w:szCs w:val="26"/>
        </w:rPr>
        <w:t>, ko</w:t>
      </w:r>
      <w:r w:rsidRPr="005B6DA0">
        <w:rPr>
          <w:sz w:val="26"/>
          <w:szCs w:val="26"/>
        </w:rPr>
        <w:t xml:space="preserve"> var izmantot kā instrumentu, lai palīdzētu Latvijas industrijai atgūt ieguldīto (</w:t>
      </w:r>
      <w:proofErr w:type="spellStart"/>
      <w:r w:rsidRPr="005B6DA0">
        <w:rPr>
          <w:i/>
          <w:sz w:val="26"/>
          <w:szCs w:val="26"/>
        </w:rPr>
        <w:t>geo-return</w:t>
      </w:r>
      <w:proofErr w:type="spellEnd"/>
      <w:r w:rsidR="00947C6C" w:rsidRPr="005B6DA0">
        <w:rPr>
          <w:sz w:val="26"/>
          <w:szCs w:val="26"/>
        </w:rPr>
        <w:t>) EKA i</w:t>
      </w:r>
      <w:r w:rsidRPr="005B6DA0">
        <w:rPr>
          <w:sz w:val="26"/>
          <w:szCs w:val="26"/>
        </w:rPr>
        <w:t>zvēles pro</w:t>
      </w:r>
      <w:r w:rsidR="00373A8E" w:rsidRPr="005B6DA0">
        <w:rPr>
          <w:sz w:val="26"/>
          <w:szCs w:val="26"/>
        </w:rPr>
        <w:t>grammās. Trešās puses programma asociētās dalībvalsts statusā</w:t>
      </w:r>
      <w:r w:rsidRPr="005B6DA0">
        <w:rPr>
          <w:sz w:val="26"/>
          <w:szCs w:val="26"/>
        </w:rPr>
        <w:t xml:space="preserve"> tika ieviesta</w:t>
      </w:r>
      <w:r w:rsidR="00796453" w:rsidRPr="005B6DA0">
        <w:rPr>
          <w:sz w:val="26"/>
          <w:szCs w:val="26"/>
        </w:rPr>
        <w:t xml:space="preserve"> saskaņā ar EKA Padomes lēmumu</w:t>
      </w:r>
      <w:r w:rsidRPr="005B6DA0">
        <w:rPr>
          <w:sz w:val="26"/>
          <w:szCs w:val="26"/>
        </w:rPr>
        <w:t xml:space="preserve"> </w:t>
      </w:r>
      <w:r w:rsidR="004B5AAE" w:rsidRPr="005B6DA0">
        <w:rPr>
          <w:sz w:val="26"/>
          <w:szCs w:val="26"/>
        </w:rPr>
        <w:t>2018.gada beigās</w:t>
      </w:r>
      <w:r w:rsidR="00E90C46" w:rsidRPr="005B6DA0">
        <w:rPr>
          <w:sz w:val="26"/>
          <w:szCs w:val="26"/>
        </w:rPr>
        <w:t>,</w:t>
      </w:r>
      <w:r w:rsidRPr="005B6DA0">
        <w:rPr>
          <w:sz w:val="26"/>
          <w:szCs w:val="26"/>
        </w:rPr>
        <w:t xml:space="preserve"> kā iespēja jaunajām EKA asociētajām valstīm attīstīt kosmosa tehnoloģijas neatkarīgi </w:t>
      </w:r>
      <w:r w:rsidR="004B5AAE" w:rsidRPr="005B6DA0">
        <w:rPr>
          <w:sz w:val="26"/>
          <w:szCs w:val="26"/>
        </w:rPr>
        <w:t>no dalības EKA pamatprogrammās</w:t>
      </w:r>
      <w:r w:rsidR="00E90C46" w:rsidRPr="005B6DA0">
        <w:rPr>
          <w:sz w:val="26"/>
          <w:szCs w:val="26"/>
        </w:rPr>
        <w:t>,</w:t>
      </w:r>
      <w:r w:rsidR="004B5AAE" w:rsidRPr="005B6DA0">
        <w:rPr>
          <w:sz w:val="26"/>
          <w:szCs w:val="26"/>
        </w:rPr>
        <w:t xml:space="preserve"> un funkcionē līdzīgi kā ESV līgums. Asociētās </w:t>
      </w:r>
      <w:r w:rsidR="00373A8E" w:rsidRPr="005B6DA0">
        <w:rPr>
          <w:sz w:val="26"/>
          <w:szCs w:val="26"/>
        </w:rPr>
        <w:t>dalīb</w:t>
      </w:r>
      <w:r w:rsidR="004B5AAE" w:rsidRPr="005B6DA0">
        <w:rPr>
          <w:sz w:val="26"/>
          <w:szCs w:val="26"/>
        </w:rPr>
        <w:t xml:space="preserve">valsts līgums tiek slēgts uz </w:t>
      </w:r>
      <w:r w:rsidR="00796453" w:rsidRPr="005B6DA0">
        <w:rPr>
          <w:sz w:val="26"/>
          <w:szCs w:val="26"/>
        </w:rPr>
        <w:t xml:space="preserve">septiņiem </w:t>
      </w:r>
      <w:r w:rsidR="004B5AAE" w:rsidRPr="005B6DA0">
        <w:rPr>
          <w:sz w:val="26"/>
          <w:szCs w:val="26"/>
        </w:rPr>
        <w:t xml:space="preserve">gadiem ar iespēju to pagarināt vēl uz </w:t>
      </w:r>
      <w:r w:rsidR="00796453" w:rsidRPr="005B6DA0">
        <w:rPr>
          <w:sz w:val="26"/>
          <w:szCs w:val="26"/>
        </w:rPr>
        <w:t xml:space="preserve">septiņiem </w:t>
      </w:r>
      <w:r w:rsidR="004B5AAE" w:rsidRPr="005B6DA0">
        <w:rPr>
          <w:sz w:val="26"/>
          <w:szCs w:val="26"/>
        </w:rPr>
        <w:t xml:space="preserve">gadiem vai kļūt par EKA dalībvalsti. </w:t>
      </w:r>
    </w:p>
    <w:p w14:paraId="016B89BB" w14:textId="7591A7BC" w:rsidR="007C5DD5" w:rsidRDefault="004B5AAE" w:rsidP="004B5AAE">
      <w:pPr>
        <w:ind w:firstLine="720"/>
        <w:rPr>
          <w:sz w:val="26"/>
          <w:szCs w:val="26"/>
        </w:rPr>
      </w:pPr>
      <w:r w:rsidRPr="005B6DA0">
        <w:rPr>
          <w:sz w:val="26"/>
          <w:szCs w:val="26"/>
        </w:rPr>
        <w:t>Ja tiek izvēlēts otrs ESV raunds, tad tā ietvaros būtu jāpārskata ESV</w:t>
      </w:r>
      <w:r w:rsidR="004C4E90">
        <w:rPr>
          <w:sz w:val="26"/>
          <w:szCs w:val="26"/>
        </w:rPr>
        <w:t xml:space="preserve"> līguma</w:t>
      </w:r>
      <w:r w:rsidRPr="005B6DA0">
        <w:rPr>
          <w:sz w:val="26"/>
          <w:szCs w:val="26"/>
        </w:rPr>
        <w:t xml:space="preserve"> programmas nosacījumi, lai labāk atspoguļotu Latvijas kosmosa nozares pašreizējo attīstības stāvokli. Tas varētu ietvert papildu prasības, lai sasniegtu </w:t>
      </w:r>
      <w:r w:rsidR="00F432E9">
        <w:rPr>
          <w:sz w:val="26"/>
          <w:szCs w:val="26"/>
        </w:rPr>
        <w:t>augstāku TRL</w:t>
      </w:r>
      <w:r w:rsidRPr="005B6DA0">
        <w:rPr>
          <w:sz w:val="26"/>
          <w:szCs w:val="26"/>
        </w:rPr>
        <w:t xml:space="preserve"> līmeni </w:t>
      </w:r>
      <w:r w:rsidRPr="005B6DA0">
        <w:rPr>
          <w:sz w:val="26"/>
          <w:szCs w:val="26"/>
        </w:rPr>
        <w:lastRenderedPageBreak/>
        <w:t xml:space="preserve">un </w:t>
      </w:r>
      <w:r w:rsidR="00373A8E" w:rsidRPr="005B6DA0">
        <w:rPr>
          <w:sz w:val="26"/>
          <w:szCs w:val="26"/>
        </w:rPr>
        <w:t>plašāku</w:t>
      </w:r>
      <w:r w:rsidRPr="005B6DA0">
        <w:rPr>
          <w:sz w:val="26"/>
          <w:szCs w:val="26"/>
        </w:rPr>
        <w:t xml:space="preserve"> Latvijas industrijas iesaisti.</w:t>
      </w:r>
      <w:r w:rsidR="00E90C46" w:rsidRPr="005B6DA0">
        <w:rPr>
          <w:sz w:val="26"/>
          <w:szCs w:val="26"/>
        </w:rPr>
        <w:t xml:space="preserve"> Tabulā</w:t>
      </w:r>
      <w:r w:rsidR="00F85736" w:rsidRPr="005B6DA0">
        <w:rPr>
          <w:sz w:val="26"/>
          <w:szCs w:val="26"/>
        </w:rPr>
        <w:t xml:space="preserve"> </w:t>
      </w:r>
      <w:r w:rsidR="00796453" w:rsidRPr="005B6DA0">
        <w:rPr>
          <w:sz w:val="26"/>
          <w:szCs w:val="26"/>
        </w:rPr>
        <w:t xml:space="preserve">Nr. </w:t>
      </w:r>
      <w:r w:rsidR="00E90C46" w:rsidRPr="005B6DA0">
        <w:rPr>
          <w:sz w:val="26"/>
          <w:szCs w:val="26"/>
        </w:rPr>
        <w:t>6 salīdzināti iespējamie</w:t>
      </w:r>
      <w:r w:rsidR="00F85736" w:rsidRPr="005B6DA0">
        <w:rPr>
          <w:sz w:val="26"/>
          <w:szCs w:val="26"/>
        </w:rPr>
        <w:t xml:space="preserve"> sadarbības </w:t>
      </w:r>
      <w:r w:rsidR="00E90C46" w:rsidRPr="005B6DA0">
        <w:rPr>
          <w:sz w:val="26"/>
          <w:szCs w:val="26"/>
        </w:rPr>
        <w:t>scenāriji</w:t>
      </w:r>
      <w:r w:rsidR="00BF5D9D" w:rsidRPr="005B6DA0">
        <w:rPr>
          <w:sz w:val="26"/>
          <w:szCs w:val="26"/>
        </w:rPr>
        <w:t xml:space="preserve"> ar EKA no 2020.gada.</w:t>
      </w:r>
    </w:p>
    <w:p w14:paraId="06AB67FE" w14:textId="77777777" w:rsidR="002835D2" w:rsidRPr="005B6DA0" w:rsidRDefault="002835D2" w:rsidP="004B5AAE">
      <w:pPr>
        <w:ind w:firstLine="720"/>
        <w:rPr>
          <w:sz w:val="26"/>
          <w:szCs w:val="26"/>
        </w:rPr>
      </w:pPr>
    </w:p>
    <w:p w14:paraId="2A418C64" w14:textId="1DCA70EE" w:rsidR="00F85736" w:rsidRPr="00BF5D9D" w:rsidRDefault="00F85736" w:rsidP="00F85736">
      <w:pPr>
        <w:ind w:firstLine="720"/>
        <w:jc w:val="right"/>
        <w:rPr>
          <w:sz w:val="22"/>
        </w:rPr>
      </w:pPr>
      <w:r w:rsidRPr="00BF5D9D">
        <w:rPr>
          <w:sz w:val="22"/>
        </w:rPr>
        <w:t xml:space="preserve">Tabula </w:t>
      </w:r>
      <w:r w:rsidR="00796453" w:rsidRPr="00BF5D9D">
        <w:rPr>
          <w:sz w:val="22"/>
        </w:rPr>
        <w:t xml:space="preserve">Nr. </w:t>
      </w:r>
      <w:r w:rsidRPr="00BF5D9D">
        <w:rPr>
          <w:sz w:val="22"/>
        </w:rPr>
        <w:t xml:space="preserve">6 </w:t>
      </w:r>
    </w:p>
    <w:p w14:paraId="3BF06CFF" w14:textId="3533BABE" w:rsidR="00F85736" w:rsidRPr="00BF5D9D" w:rsidRDefault="00F85736" w:rsidP="00F85736">
      <w:pPr>
        <w:jc w:val="center"/>
        <w:rPr>
          <w:b/>
          <w:sz w:val="22"/>
        </w:rPr>
      </w:pPr>
      <w:r w:rsidRPr="00BF5D9D">
        <w:rPr>
          <w:b/>
          <w:sz w:val="22"/>
        </w:rPr>
        <w:t>Turpmākās sadarbības scen</w:t>
      </w:r>
      <w:r w:rsidR="004651C8" w:rsidRPr="00BF5D9D">
        <w:rPr>
          <w:b/>
          <w:sz w:val="22"/>
        </w:rPr>
        <w:t xml:space="preserve">āriju salīdzinājums </w:t>
      </w:r>
      <w:r w:rsidRPr="00BF5D9D">
        <w:rPr>
          <w:b/>
          <w:sz w:val="22"/>
        </w:rPr>
        <w:t>ar EKA no 2020.gada</w:t>
      </w:r>
    </w:p>
    <w:p w14:paraId="158F878E" w14:textId="77777777" w:rsidR="007C5DD5" w:rsidRPr="00A543D0" w:rsidRDefault="007C5DD5" w:rsidP="007C5DD5"/>
    <w:tbl>
      <w:tblPr>
        <w:tblStyle w:val="GridTable4-Accent4"/>
        <w:tblW w:w="9067" w:type="dxa"/>
        <w:tblLook w:val="04A0" w:firstRow="1" w:lastRow="0" w:firstColumn="1" w:lastColumn="0" w:noHBand="0" w:noVBand="1"/>
      </w:tblPr>
      <w:tblGrid>
        <w:gridCol w:w="1560"/>
        <w:gridCol w:w="1135"/>
        <w:gridCol w:w="2700"/>
        <w:gridCol w:w="3672"/>
      </w:tblGrid>
      <w:tr w:rsidR="004651C8" w:rsidRPr="00A543D0" w14:paraId="258611F3" w14:textId="77777777" w:rsidTr="00327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vAlign w:val="center"/>
          </w:tcPr>
          <w:p w14:paraId="5BA956D9" w14:textId="77777777" w:rsidR="003753B4" w:rsidRPr="003274D0" w:rsidRDefault="003753B4" w:rsidP="00B7653A">
            <w:pPr>
              <w:jc w:val="center"/>
              <w:rPr>
                <w:b w:val="0"/>
                <w:color w:val="000000" w:themeColor="text1"/>
                <w:sz w:val="22"/>
              </w:rPr>
            </w:pPr>
            <w:r w:rsidRPr="003274D0">
              <w:rPr>
                <w:color w:val="000000" w:themeColor="text1"/>
                <w:sz w:val="22"/>
              </w:rPr>
              <w:t>Scenārijs</w:t>
            </w:r>
          </w:p>
        </w:tc>
        <w:tc>
          <w:tcPr>
            <w:tcW w:w="1135" w:type="dxa"/>
            <w:tcBorders>
              <w:top w:val="single" w:sz="4" w:space="0" w:color="auto"/>
              <w:left w:val="single" w:sz="4" w:space="0" w:color="auto"/>
              <w:bottom w:val="single" w:sz="4" w:space="0" w:color="auto"/>
              <w:right w:val="single" w:sz="4" w:space="0" w:color="auto"/>
            </w:tcBorders>
            <w:vAlign w:val="center"/>
          </w:tcPr>
          <w:p w14:paraId="0A75BCD2" w14:textId="77777777" w:rsidR="003753B4" w:rsidRPr="003274D0" w:rsidRDefault="003753B4" w:rsidP="00B7653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3274D0">
              <w:rPr>
                <w:color w:val="000000" w:themeColor="text1"/>
                <w:sz w:val="22"/>
              </w:rPr>
              <w:t>Citu valstu pieredze</w:t>
            </w:r>
          </w:p>
        </w:tc>
        <w:tc>
          <w:tcPr>
            <w:tcW w:w="2700" w:type="dxa"/>
            <w:tcBorders>
              <w:top w:val="single" w:sz="4" w:space="0" w:color="auto"/>
              <w:left w:val="single" w:sz="4" w:space="0" w:color="auto"/>
              <w:bottom w:val="single" w:sz="4" w:space="0" w:color="auto"/>
              <w:right w:val="single" w:sz="4" w:space="0" w:color="auto"/>
            </w:tcBorders>
            <w:vAlign w:val="center"/>
          </w:tcPr>
          <w:p w14:paraId="61D96CAC" w14:textId="3E06B700" w:rsidR="003753B4" w:rsidRPr="003274D0" w:rsidRDefault="003753B4" w:rsidP="00B7653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3274D0">
              <w:rPr>
                <w:color w:val="000000" w:themeColor="text1"/>
                <w:sz w:val="22"/>
              </w:rPr>
              <w:t>Ietekme uz budžetu</w:t>
            </w:r>
            <w:r w:rsidR="00F85736" w:rsidRPr="003274D0">
              <w:rPr>
                <w:color w:val="000000" w:themeColor="text1"/>
                <w:sz w:val="22"/>
              </w:rPr>
              <w:t xml:space="preserve"> un aprēķins</w:t>
            </w:r>
          </w:p>
        </w:tc>
        <w:tc>
          <w:tcPr>
            <w:tcW w:w="3672" w:type="dxa"/>
            <w:tcBorders>
              <w:top w:val="single" w:sz="4" w:space="0" w:color="auto"/>
              <w:left w:val="single" w:sz="4" w:space="0" w:color="auto"/>
              <w:bottom w:val="single" w:sz="4" w:space="0" w:color="auto"/>
              <w:right w:val="single" w:sz="4" w:space="0" w:color="auto"/>
            </w:tcBorders>
            <w:vAlign w:val="center"/>
          </w:tcPr>
          <w:p w14:paraId="6D2AFF03" w14:textId="77777777" w:rsidR="003753B4" w:rsidRPr="003274D0" w:rsidRDefault="003753B4" w:rsidP="00B7653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3274D0">
              <w:rPr>
                <w:color w:val="000000" w:themeColor="text1"/>
                <w:sz w:val="22"/>
              </w:rPr>
              <w:t xml:space="preserve">Statusa galvenie principi </w:t>
            </w:r>
          </w:p>
        </w:tc>
      </w:tr>
      <w:tr w:rsidR="004651C8" w:rsidRPr="00A543D0" w14:paraId="23930276" w14:textId="77777777" w:rsidTr="003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tcPr>
          <w:p w14:paraId="236B547F" w14:textId="7FC090CF" w:rsidR="003753B4" w:rsidRPr="003274D0" w:rsidRDefault="003753B4" w:rsidP="00B7653A">
            <w:pPr>
              <w:rPr>
                <w:sz w:val="20"/>
              </w:rPr>
            </w:pPr>
            <w:r w:rsidRPr="003274D0">
              <w:rPr>
                <w:sz w:val="20"/>
              </w:rPr>
              <w:t xml:space="preserve">Optimālais scenārijs </w:t>
            </w:r>
            <w:r w:rsidR="00A543D0" w:rsidRPr="003274D0">
              <w:rPr>
                <w:sz w:val="20"/>
              </w:rPr>
              <w:t>–</w:t>
            </w:r>
            <w:r w:rsidRPr="003274D0">
              <w:rPr>
                <w:sz w:val="20"/>
              </w:rPr>
              <w:t xml:space="preserve"> </w:t>
            </w:r>
            <w:r w:rsidR="00A543D0" w:rsidRPr="003274D0">
              <w:rPr>
                <w:sz w:val="20"/>
              </w:rPr>
              <w:t xml:space="preserve">asociētā </w:t>
            </w:r>
            <w:r w:rsidRPr="003274D0">
              <w:rPr>
                <w:sz w:val="20"/>
              </w:rPr>
              <w:t xml:space="preserve">valsts </w:t>
            </w:r>
          </w:p>
        </w:tc>
        <w:tc>
          <w:tcPr>
            <w:tcW w:w="1135" w:type="dxa"/>
            <w:tcBorders>
              <w:top w:val="single" w:sz="4" w:space="0" w:color="auto"/>
            </w:tcBorders>
          </w:tcPr>
          <w:p w14:paraId="67954EF8" w14:textId="00CDDF66" w:rsidR="003753B4" w:rsidRPr="003274D0" w:rsidRDefault="003753B4" w:rsidP="003753B4">
            <w:pPr>
              <w:cnfStyle w:val="000000100000" w:firstRow="0" w:lastRow="0" w:firstColumn="0" w:lastColumn="0" w:oddVBand="0" w:evenVBand="0" w:oddHBand="1" w:evenHBand="0" w:firstRowFirstColumn="0" w:firstRowLastColumn="0" w:lastRowFirstColumn="0" w:lastRowLastColumn="0"/>
              <w:rPr>
                <w:sz w:val="20"/>
              </w:rPr>
            </w:pPr>
            <w:r w:rsidRPr="003274D0">
              <w:rPr>
                <w:sz w:val="20"/>
              </w:rPr>
              <w:t>Slovēnija</w:t>
            </w:r>
            <w:r w:rsidR="00F85736" w:rsidRPr="003274D0">
              <w:rPr>
                <w:sz w:val="20"/>
              </w:rPr>
              <w:t xml:space="preserve"> </w:t>
            </w:r>
          </w:p>
        </w:tc>
        <w:tc>
          <w:tcPr>
            <w:tcW w:w="2700" w:type="dxa"/>
            <w:tcBorders>
              <w:top w:val="single" w:sz="4" w:space="0" w:color="auto"/>
            </w:tcBorders>
          </w:tcPr>
          <w:p w14:paraId="2D2EF758" w14:textId="44F86824" w:rsidR="003753B4" w:rsidRPr="00F432E9" w:rsidRDefault="003753B4" w:rsidP="00B7653A">
            <w:pPr>
              <w:cnfStyle w:val="000000100000" w:firstRow="0" w:lastRow="0" w:firstColumn="0" w:lastColumn="0" w:oddVBand="0" w:evenVBand="0" w:oddHBand="1" w:evenHBand="0" w:firstRowFirstColumn="0" w:firstRowLastColumn="0" w:lastRowFirstColumn="0" w:lastRowLastColumn="0"/>
              <w:rPr>
                <w:sz w:val="20"/>
              </w:rPr>
            </w:pPr>
            <w:r w:rsidRPr="003274D0">
              <w:rPr>
                <w:sz w:val="20"/>
                <w:u w:val="single"/>
              </w:rPr>
              <w:t>Aptuveni 3</w:t>
            </w:r>
            <w:r w:rsidR="00C930C4" w:rsidRPr="003274D0">
              <w:rPr>
                <w:sz w:val="20"/>
                <w:u w:val="single"/>
              </w:rPr>
              <w:t>,0 – 3,2</w:t>
            </w:r>
            <w:r w:rsidR="004651C8" w:rsidRPr="003274D0">
              <w:rPr>
                <w:sz w:val="20"/>
                <w:u w:val="single"/>
              </w:rPr>
              <w:t xml:space="preserve"> milj. </w:t>
            </w:r>
            <w:proofErr w:type="spellStart"/>
            <w:r w:rsidR="004651C8" w:rsidRPr="003274D0">
              <w:rPr>
                <w:sz w:val="20"/>
                <w:u w:val="single"/>
              </w:rPr>
              <w:t>euro</w:t>
            </w:r>
            <w:proofErr w:type="spellEnd"/>
            <w:r w:rsidRPr="003274D0">
              <w:rPr>
                <w:sz w:val="20"/>
                <w:u w:val="single"/>
              </w:rPr>
              <w:t xml:space="preserve"> gadā</w:t>
            </w:r>
            <w:r w:rsidR="00F432E9" w:rsidRPr="00F432E9">
              <w:rPr>
                <w:sz w:val="20"/>
              </w:rPr>
              <w:t xml:space="preserve">, ko veido šādi ieguldījumi: </w:t>
            </w:r>
            <w:r w:rsidRPr="00F432E9">
              <w:rPr>
                <w:sz w:val="20"/>
              </w:rPr>
              <w:t xml:space="preserve"> </w:t>
            </w:r>
          </w:p>
          <w:p w14:paraId="7AF220CC" w14:textId="77777777" w:rsidR="004651C8" w:rsidRPr="003274D0" w:rsidRDefault="004651C8" w:rsidP="004651C8">
            <w:pPr>
              <w:cnfStyle w:val="000000100000" w:firstRow="0" w:lastRow="0" w:firstColumn="0" w:lastColumn="0" w:oddVBand="0" w:evenVBand="0" w:oddHBand="1" w:evenHBand="0" w:firstRowFirstColumn="0" w:firstRowLastColumn="0" w:lastRowFirstColumn="0" w:lastRowLastColumn="0"/>
              <w:rPr>
                <w:sz w:val="20"/>
              </w:rPr>
            </w:pPr>
          </w:p>
          <w:p w14:paraId="1A730A79" w14:textId="1F366D0A" w:rsidR="004651C8" w:rsidRPr="00540320" w:rsidRDefault="004651C8" w:rsidP="004651C8">
            <w:pPr>
              <w:cnfStyle w:val="000000100000" w:firstRow="0" w:lastRow="0" w:firstColumn="0" w:lastColumn="0" w:oddVBand="0" w:evenVBand="0" w:oddHBand="1" w:evenHBand="0" w:firstRowFirstColumn="0" w:firstRowLastColumn="0" w:lastRowFirstColumn="0" w:lastRowLastColumn="0"/>
              <w:rPr>
                <w:sz w:val="20"/>
              </w:rPr>
            </w:pPr>
            <w:r w:rsidRPr="003274D0">
              <w:rPr>
                <w:sz w:val="20"/>
              </w:rPr>
              <w:t>EKA obligātā programma (</w:t>
            </w:r>
            <w:proofErr w:type="spellStart"/>
            <w:r w:rsidRPr="003274D0">
              <w:rPr>
                <w:i/>
                <w:sz w:val="20"/>
              </w:rPr>
              <w:t>Mandatory</w:t>
            </w:r>
            <w:proofErr w:type="spellEnd"/>
            <w:r w:rsidRPr="003274D0">
              <w:rPr>
                <w:i/>
                <w:sz w:val="20"/>
              </w:rPr>
              <w:t xml:space="preserve"> </w:t>
            </w:r>
            <w:proofErr w:type="spellStart"/>
            <w:r w:rsidRPr="003274D0">
              <w:rPr>
                <w:i/>
                <w:sz w:val="20"/>
              </w:rPr>
              <w:t>Programme</w:t>
            </w:r>
            <w:proofErr w:type="spellEnd"/>
            <w:r w:rsidRPr="003274D0">
              <w:rPr>
                <w:sz w:val="20"/>
              </w:rPr>
              <w:t xml:space="preserve">) – 250,0 tūkst. </w:t>
            </w:r>
            <w:proofErr w:type="spellStart"/>
            <w:r w:rsidRPr="003274D0">
              <w:rPr>
                <w:i/>
                <w:iCs/>
                <w:sz w:val="20"/>
              </w:rPr>
              <w:t>euro</w:t>
            </w:r>
            <w:proofErr w:type="spellEnd"/>
            <w:r w:rsidR="007204D6" w:rsidRPr="003274D0">
              <w:rPr>
                <w:rStyle w:val="FootnoteReference"/>
                <w:sz w:val="20"/>
              </w:rPr>
              <w:footnoteReference w:id="12"/>
            </w:r>
            <w:r w:rsidR="00540320">
              <w:rPr>
                <w:iCs/>
                <w:sz w:val="20"/>
              </w:rPr>
              <w:t>;</w:t>
            </w:r>
          </w:p>
          <w:p w14:paraId="4548D394" w14:textId="0601ECB4" w:rsidR="004651C8" w:rsidRPr="00540320" w:rsidRDefault="00B7653A" w:rsidP="00B7653A">
            <w:pPr>
              <w:cnfStyle w:val="000000100000" w:firstRow="0" w:lastRow="0" w:firstColumn="0" w:lastColumn="0" w:oddVBand="0" w:evenVBand="0" w:oddHBand="1" w:evenHBand="0" w:firstRowFirstColumn="0" w:firstRowLastColumn="0" w:lastRowFirstColumn="0" w:lastRowLastColumn="0"/>
              <w:rPr>
                <w:sz w:val="20"/>
              </w:rPr>
            </w:pPr>
            <w:r w:rsidRPr="003274D0">
              <w:rPr>
                <w:sz w:val="20"/>
              </w:rPr>
              <w:t>EKA Izvēles programma</w:t>
            </w:r>
            <w:r w:rsidR="004651C8" w:rsidRPr="003274D0">
              <w:rPr>
                <w:sz w:val="20"/>
              </w:rPr>
              <w:t xml:space="preserve"> </w:t>
            </w:r>
            <w:r w:rsidR="00A543D0" w:rsidRPr="003274D0">
              <w:rPr>
                <w:sz w:val="20"/>
              </w:rPr>
              <w:t>–</w:t>
            </w:r>
            <w:r w:rsidR="004651C8" w:rsidRPr="003274D0">
              <w:rPr>
                <w:sz w:val="20"/>
              </w:rPr>
              <w:t xml:space="preserve"> Galvenā tehnoloģiju atbalsta programma (</w:t>
            </w:r>
            <w:proofErr w:type="spellStart"/>
            <w:r w:rsidR="004651C8" w:rsidRPr="003274D0">
              <w:rPr>
                <w:i/>
                <w:sz w:val="20"/>
              </w:rPr>
              <w:t>General</w:t>
            </w:r>
            <w:proofErr w:type="spellEnd"/>
            <w:r w:rsidR="004651C8" w:rsidRPr="003274D0">
              <w:rPr>
                <w:i/>
                <w:sz w:val="20"/>
              </w:rPr>
              <w:t xml:space="preserve"> </w:t>
            </w:r>
            <w:proofErr w:type="spellStart"/>
            <w:r w:rsidR="004651C8" w:rsidRPr="003274D0">
              <w:rPr>
                <w:i/>
                <w:sz w:val="20"/>
              </w:rPr>
              <w:t>Support</w:t>
            </w:r>
            <w:proofErr w:type="spellEnd"/>
            <w:r w:rsidR="004651C8" w:rsidRPr="003274D0">
              <w:rPr>
                <w:i/>
                <w:sz w:val="20"/>
              </w:rPr>
              <w:t xml:space="preserve"> </w:t>
            </w:r>
            <w:proofErr w:type="spellStart"/>
            <w:r w:rsidR="004651C8" w:rsidRPr="003274D0">
              <w:rPr>
                <w:i/>
                <w:sz w:val="20"/>
              </w:rPr>
              <w:t>Technology</w:t>
            </w:r>
            <w:proofErr w:type="spellEnd"/>
            <w:r w:rsidR="004651C8" w:rsidRPr="003274D0">
              <w:rPr>
                <w:i/>
                <w:sz w:val="20"/>
              </w:rPr>
              <w:t xml:space="preserve"> </w:t>
            </w:r>
            <w:proofErr w:type="spellStart"/>
            <w:r w:rsidR="004651C8" w:rsidRPr="003274D0">
              <w:rPr>
                <w:i/>
                <w:sz w:val="20"/>
              </w:rPr>
              <w:t>Programme</w:t>
            </w:r>
            <w:proofErr w:type="spellEnd"/>
            <w:r w:rsidR="004651C8" w:rsidRPr="003274D0">
              <w:rPr>
                <w:i/>
                <w:sz w:val="20"/>
              </w:rPr>
              <w:t xml:space="preserve"> – GSTP</w:t>
            </w:r>
            <w:r w:rsidR="004651C8" w:rsidRPr="003274D0">
              <w:rPr>
                <w:sz w:val="20"/>
              </w:rPr>
              <w:t xml:space="preserve">) – 1,5 milj. </w:t>
            </w:r>
            <w:proofErr w:type="spellStart"/>
            <w:r w:rsidR="004651C8" w:rsidRPr="003274D0">
              <w:rPr>
                <w:i/>
                <w:iCs/>
                <w:sz w:val="20"/>
              </w:rPr>
              <w:t>euro</w:t>
            </w:r>
            <w:proofErr w:type="spellEnd"/>
            <w:r w:rsidR="00540320">
              <w:rPr>
                <w:iCs/>
                <w:sz w:val="20"/>
              </w:rPr>
              <w:t>;</w:t>
            </w:r>
          </w:p>
          <w:p w14:paraId="3C63AE8C" w14:textId="12E25996" w:rsidR="00B7653A" w:rsidRPr="003274D0" w:rsidRDefault="00947C6C" w:rsidP="00B7653A">
            <w:pPr>
              <w:cnfStyle w:val="000000100000" w:firstRow="0" w:lastRow="0" w:firstColumn="0" w:lastColumn="0" w:oddVBand="0" w:evenVBand="0" w:oddHBand="1" w:evenHBand="0" w:firstRowFirstColumn="0" w:firstRowLastColumn="0" w:lastRowFirstColumn="0" w:lastRowLastColumn="0"/>
              <w:rPr>
                <w:sz w:val="20"/>
              </w:rPr>
            </w:pPr>
            <w:r w:rsidRPr="003274D0">
              <w:rPr>
                <w:sz w:val="20"/>
              </w:rPr>
              <w:t>Trešās puses programma – 1,3</w:t>
            </w:r>
            <w:r w:rsidR="00B7653A" w:rsidRPr="003274D0">
              <w:rPr>
                <w:sz w:val="20"/>
              </w:rPr>
              <w:t xml:space="preserve"> milj</w:t>
            </w:r>
            <w:r w:rsidR="00540320">
              <w:rPr>
                <w:sz w:val="20"/>
              </w:rPr>
              <w:t>.</w:t>
            </w:r>
            <w:r w:rsidR="00B7653A" w:rsidRPr="003274D0">
              <w:rPr>
                <w:sz w:val="20"/>
              </w:rPr>
              <w:t xml:space="preserve"> </w:t>
            </w:r>
            <w:proofErr w:type="spellStart"/>
            <w:r w:rsidR="00DC6116" w:rsidRPr="00540320">
              <w:rPr>
                <w:i/>
                <w:sz w:val="20"/>
              </w:rPr>
              <w:t>euro</w:t>
            </w:r>
            <w:proofErr w:type="spellEnd"/>
          </w:p>
          <w:p w14:paraId="66038131" w14:textId="109378B5" w:rsidR="00BF7CEB" w:rsidRPr="003274D0" w:rsidRDefault="00DC6116" w:rsidP="00B7653A">
            <w:pPr>
              <w:cnfStyle w:val="000000100000" w:firstRow="0" w:lastRow="0" w:firstColumn="0" w:lastColumn="0" w:oddVBand="0" w:evenVBand="0" w:oddHBand="1" w:evenHBand="0" w:firstRowFirstColumn="0" w:firstRowLastColumn="0" w:lastRowFirstColumn="0" w:lastRowLastColumn="0"/>
              <w:rPr>
                <w:sz w:val="20"/>
              </w:rPr>
            </w:pPr>
            <w:r w:rsidRPr="003274D0">
              <w:rPr>
                <w:sz w:val="20"/>
              </w:rPr>
              <w:t>(saglabājot elastību finansējuma pārdalē starp dažādām EKA programmām, atbilstoši</w:t>
            </w:r>
            <w:r w:rsidR="00F914CD" w:rsidRPr="003274D0">
              <w:rPr>
                <w:sz w:val="20"/>
              </w:rPr>
              <w:t xml:space="preserve"> Latvijas </w:t>
            </w:r>
            <w:r w:rsidR="00947C6C" w:rsidRPr="003274D0">
              <w:rPr>
                <w:sz w:val="20"/>
              </w:rPr>
              <w:t xml:space="preserve"> industrijas vajadzībām)</w:t>
            </w:r>
            <w:r w:rsidR="00540320">
              <w:rPr>
                <w:sz w:val="20"/>
              </w:rPr>
              <w:t>;</w:t>
            </w:r>
          </w:p>
        </w:tc>
        <w:tc>
          <w:tcPr>
            <w:tcW w:w="3672" w:type="dxa"/>
            <w:tcBorders>
              <w:top w:val="single" w:sz="4" w:space="0" w:color="auto"/>
            </w:tcBorders>
          </w:tcPr>
          <w:p w14:paraId="2F8033BB" w14:textId="690B291E" w:rsidR="003753B4" w:rsidRPr="003274D0"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 xml:space="preserve">Vieglāki nosacījumi EKA obligātajā programmā (70% iemaksa, kas balstīts uz </w:t>
            </w:r>
            <w:r w:rsidR="007204D6" w:rsidRPr="003274D0">
              <w:rPr>
                <w:rFonts w:ascii="Times New Roman" w:hAnsi="Times New Roman" w:cs="Times New Roman"/>
                <w:sz w:val="20"/>
                <w:szCs w:val="24"/>
              </w:rPr>
              <w:t xml:space="preserve">valsts </w:t>
            </w:r>
            <w:r w:rsidRPr="003274D0">
              <w:rPr>
                <w:rFonts w:ascii="Times New Roman" w:hAnsi="Times New Roman" w:cs="Times New Roman"/>
                <w:sz w:val="20"/>
                <w:szCs w:val="24"/>
              </w:rPr>
              <w:t xml:space="preserve">IKP); </w:t>
            </w:r>
          </w:p>
          <w:p w14:paraId="644D5B3B" w14:textId="392D171D" w:rsidR="003753B4" w:rsidRPr="003274D0"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 xml:space="preserve">Pieeja visām </w:t>
            </w:r>
            <w:r w:rsidR="00373A8E" w:rsidRPr="003274D0">
              <w:rPr>
                <w:rFonts w:ascii="Times New Roman" w:hAnsi="Times New Roman" w:cs="Times New Roman"/>
                <w:sz w:val="20"/>
                <w:szCs w:val="24"/>
              </w:rPr>
              <w:t>EKA i</w:t>
            </w:r>
            <w:r w:rsidRPr="003274D0">
              <w:rPr>
                <w:rFonts w:ascii="Times New Roman" w:hAnsi="Times New Roman" w:cs="Times New Roman"/>
                <w:sz w:val="20"/>
                <w:szCs w:val="24"/>
              </w:rPr>
              <w:t xml:space="preserve">zvēles programmām; </w:t>
            </w:r>
          </w:p>
          <w:p w14:paraId="22B36484" w14:textId="1B238629" w:rsidR="004651C8" w:rsidRPr="003274D0" w:rsidRDefault="004651C8"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Balsstiesības EKA padomē un visās EKA programmās, kurās Latvija piedalās</w:t>
            </w:r>
            <w:r w:rsidR="00B2312A" w:rsidRPr="003274D0">
              <w:rPr>
                <w:rFonts w:ascii="Times New Roman" w:hAnsi="Times New Roman" w:cs="Times New Roman"/>
                <w:sz w:val="20"/>
                <w:szCs w:val="24"/>
              </w:rPr>
              <w:t>, iz</w:t>
            </w:r>
            <w:r w:rsidR="00F11160">
              <w:rPr>
                <w:rFonts w:ascii="Times New Roman" w:hAnsi="Times New Roman" w:cs="Times New Roman"/>
                <w:sz w:val="20"/>
                <w:szCs w:val="24"/>
              </w:rPr>
              <w:t>ņemot EKA obligātajā programmā;</w:t>
            </w:r>
            <w:r w:rsidRPr="003274D0">
              <w:rPr>
                <w:rFonts w:ascii="Times New Roman" w:hAnsi="Times New Roman" w:cs="Times New Roman"/>
                <w:sz w:val="20"/>
                <w:szCs w:val="24"/>
              </w:rPr>
              <w:t xml:space="preserve"> </w:t>
            </w:r>
          </w:p>
          <w:p w14:paraId="0A0790EF" w14:textId="6D952880" w:rsidR="00DF37C2" w:rsidRPr="003274D0" w:rsidRDefault="00DF37C2" w:rsidP="004651C8">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Iespēja t</w:t>
            </w:r>
            <w:r w:rsidR="00F914CD" w:rsidRPr="003274D0">
              <w:rPr>
                <w:rFonts w:ascii="Times New Roman" w:hAnsi="Times New Roman" w:cs="Times New Roman"/>
                <w:sz w:val="20"/>
                <w:szCs w:val="24"/>
              </w:rPr>
              <w:t>urpināt dalību T</w:t>
            </w:r>
            <w:r w:rsidR="003753B4" w:rsidRPr="003274D0">
              <w:rPr>
                <w:rFonts w:ascii="Times New Roman" w:hAnsi="Times New Roman" w:cs="Times New Roman"/>
                <w:sz w:val="20"/>
                <w:szCs w:val="24"/>
              </w:rPr>
              <w:t>rešās puses programmā (lai palīdzētu industrijai būt sekmīgai izvēles programmās</w:t>
            </w:r>
            <w:r w:rsidR="00373A8E" w:rsidRPr="003274D0">
              <w:rPr>
                <w:rFonts w:ascii="Times New Roman" w:hAnsi="Times New Roman" w:cs="Times New Roman"/>
                <w:sz w:val="20"/>
                <w:szCs w:val="24"/>
              </w:rPr>
              <w:t xml:space="preserve"> un turpināt attīstīt industriālo kompetenci</w:t>
            </w:r>
            <w:r w:rsidR="003753B4" w:rsidRPr="003274D0">
              <w:rPr>
                <w:rFonts w:ascii="Times New Roman" w:hAnsi="Times New Roman" w:cs="Times New Roman"/>
                <w:sz w:val="20"/>
                <w:szCs w:val="24"/>
              </w:rPr>
              <w:t>)</w:t>
            </w:r>
            <w:r w:rsidRPr="003274D0">
              <w:rPr>
                <w:rFonts w:ascii="Times New Roman" w:hAnsi="Times New Roman" w:cs="Times New Roman"/>
                <w:sz w:val="20"/>
                <w:szCs w:val="24"/>
              </w:rPr>
              <w:t>;</w:t>
            </w:r>
          </w:p>
          <w:p w14:paraId="4544AE3E" w14:textId="4BF8880E" w:rsidR="003753B4" w:rsidRPr="003274D0"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Jāsasniedz 75% industrijas dalības</w:t>
            </w:r>
            <w:r w:rsidR="00DF37C2" w:rsidRPr="003274D0">
              <w:rPr>
                <w:rFonts w:ascii="Times New Roman" w:hAnsi="Times New Roman" w:cs="Times New Roman"/>
                <w:sz w:val="20"/>
                <w:szCs w:val="24"/>
              </w:rPr>
              <w:t>;</w:t>
            </w:r>
          </w:p>
          <w:p w14:paraId="678A0138" w14:textId="18885D7A" w:rsidR="003753B4" w:rsidRPr="003274D0" w:rsidRDefault="003753B4" w:rsidP="003753B4">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Nākamais solis – EKA dalībvalsts</w:t>
            </w:r>
            <w:r w:rsidR="00DF37C2" w:rsidRPr="003274D0">
              <w:rPr>
                <w:rFonts w:ascii="Times New Roman" w:hAnsi="Times New Roman" w:cs="Times New Roman"/>
                <w:sz w:val="20"/>
                <w:szCs w:val="24"/>
              </w:rPr>
              <w:t>;</w:t>
            </w:r>
          </w:p>
          <w:p w14:paraId="76DD51AB" w14:textId="32389D55" w:rsidR="00F85736" w:rsidRPr="003274D0" w:rsidRDefault="00F85736" w:rsidP="00F85736">
            <w:pPr>
              <w:pStyle w:val="ListParagraph"/>
              <w:numPr>
                <w:ilvl w:val="0"/>
                <w:numId w:val="30"/>
              </w:numPr>
              <w:ind w:left="252" w:hanging="18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Termiņš uz 7 gadiem</w:t>
            </w:r>
            <w:r w:rsidR="00E90C46">
              <w:rPr>
                <w:rFonts w:ascii="Times New Roman" w:hAnsi="Times New Roman" w:cs="Times New Roman"/>
                <w:sz w:val="20"/>
                <w:szCs w:val="24"/>
              </w:rPr>
              <w:t>;</w:t>
            </w:r>
          </w:p>
        </w:tc>
      </w:tr>
      <w:tr w:rsidR="003753B4" w:rsidRPr="00A543D0" w14:paraId="1031C0F4" w14:textId="77777777" w:rsidTr="003274D0">
        <w:tc>
          <w:tcPr>
            <w:cnfStyle w:val="001000000000" w:firstRow="0" w:lastRow="0" w:firstColumn="1" w:lastColumn="0" w:oddVBand="0" w:evenVBand="0" w:oddHBand="0" w:evenHBand="0" w:firstRowFirstColumn="0" w:firstRowLastColumn="0" w:lastRowFirstColumn="0" w:lastRowLastColumn="0"/>
            <w:tcW w:w="1560" w:type="dxa"/>
          </w:tcPr>
          <w:p w14:paraId="59D22DBA" w14:textId="0E3FB5BB" w:rsidR="003753B4" w:rsidRPr="003274D0" w:rsidRDefault="003753B4" w:rsidP="00B7653A">
            <w:pPr>
              <w:rPr>
                <w:sz w:val="20"/>
              </w:rPr>
            </w:pPr>
            <w:r w:rsidRPr="003274D0">
              <w:rPr>
                <w:sz w:val="20"/>
              </w:rPr>
              <w:t xml:space="preserve">Minimālais scenārijs </w:t>
            </w:r>
            <w:r w:rsidR="00A543D0" w:rsidRPr="003274D0">
              <w:rPr>
                <w:sz w:val="20"/>
              </w:rPr>
              <w:t>–</w:t>
            </w:r>
            <w:r w:rsidRPr="003274D0">
              <w:rPr>
                <w:sz w:val="20"/>
              </w:rPr>
              <w:t xml:space="preserve"> Eiropas Sadarbības valsts (ESV) </w:t>
            </w:r>
          </w:p>
        </w:tc>
        <w:tc>
          <w:tcPr>
            <w:tcW w:w="1135" w:type="dxa"/>
          </w:tcPr>
          <w:p w14:paraId="6F310FA2" w14:textId="109EF977" w:rsidR="003753B4" w:rsidRPr="003274D0" w:rsidRDefault="003753B4" w:rsidP="003753B4">
            <w:pPr>
              <w:cnfStyle w:val="000000000000" w:firstRow="0" w:lastRow="0" w:firstColumn="0" w:lastColumn="0" w:oddVBand="0" w:evenVBand="0" w:oddHBand="0" w:evenHBand="0" w:firstRowFirstColumn="0" w:firstRowLastColumn="0" w:lastRowFirstColumn="0" w:lastRowLastColumn="0"/>
              <w:rPr>
                <w:sz w:val="20"/>
              </w:rPr>
            </w:pPr>
            <w:r w:rsidRPr="003274D0">
              <w:rPr>
                <w:sz w:val="20"/>
              </w:rPr>
              <w:t>Lietuva, Malta, Kipra, Bulgārija un Slovākija</w:t>
            </w:r>
          </w:p>
        </w:tc>
        <w:tc>
          <w:tcPr>
            <w:tcW w:w="2700" w:type="dxa"/>
          </w:tcPr>
          <w:p w14:paraId="40CF9A90" w14:textId="40AEA9CE" w:rsidR="003753B4" w:rsidRPr="003274D0" w:rsidRDefault="003753B4" w:rsidP="00DF37C2">
            <w:pPr>
              <w:cnfStyle w:val="000000000000" w:firstRow="0" w:lastRow="0" w:firstColumn="0" w:lastColumn="0" w:oddVBand="0" w:evenVBand="0" w:oddHBand="0" w:evenHBand="0" w:firstRowFirstColumn="0" w:firstRowLastColumn="0" w:lastRowFirstColumn="0" w:lastRowLastColumn="0"/>
              <w:rPr>
                <w:sz w:val="20"/>
                <w:u w:val="single"/>
              </w:rPr>
            </w:pPr>
            <w:r w:rsidRPr="003274D0">
              <w:rPr>
                <w:sz w:val="20"/>
                <w:u w:val="single"/>
              </w:rPr>
              <w:t>Aptuveni 1,</w:t>
            </w:r>
            <w:r w:rsidR="00DF37C2" w:rsidRPr="003274D0">
              <w:rPr>
                <w:sz w:val="20"/>
                <w:u w:val="single"/>
              </w:rPr>
              <w:t>75</w:t>
            </w:r>
            <w:r w:rsidRPr="003274D0">
              <w:rPr>
                <w:sz w:val="20"/>
                <w:u w:val="single"/>
              </w:rPr>
              <w:t xml:space="preserve"> – </w:t>
            </w:r>
            <w:r w:rsidR="00DF37C2" w:rsidRPr="003274D0">
              <w:rPr>
                <w:sz w:val="20"/>
                <w:u w:val="single"/>
              </w:rPr>
              <w:t xml:space="preserve">2,5 milj. </w:t>
            </w:r>
            <w:proofErr w:type="spellStart"/>
            <w:r w:rsidR="004651C8" w:rsidRPr="003274D0">
              <w:rPr>
                <w:i/>
                <w:iCs/>
                <w:sz w:val="20"/>
                <w:u w:val="single"/>
              </w:rPr>
              <w:t>euro</w:t>
            </w:r>
            <w:proofErr w:type="spellEnd"/>
            <w:r w:rsidR="00DF37C2" w:rsidRPr="003274D0">
              <w:rPr>
                <w:sz w:val="20"/>
                <w:u w:val="single"/>
              </w:rPr>
              <w:t xml:space="preserve"> gadā.</w:t>
            </w:r>
          </w:p>
          <w:p w14:paraId="2C6B80AF" w14:textId="77777777" w:rsidR="004651C8" w:rsidRPr="003274D0" w:rsidRDefault="004651C8" w:rsidP="00DF37C2">
            <w:pPr>
              <w:cnfStyle w:val="000000000000" w:firstRow="0" w:lastRow="0" w:firstColumn="0" w:lastColumn="0" w:oddVBand="0" w:evenVBand="0" w:oddHBand="0" w:evenHBand="0" w:firstRowFirstColumn="0" w:firstRowLastColumn="0" w:lastRowFirstColumn="0" w:lastRowLastColumn="0"/>
              <w:rPr>
                <w:sz w:val="20"/>
              </w:rPr>
            </w:pPr>
          </w:p>
          <w:p w14:paraId="33349656" w14:textId="42AFDB56" w:rsidR="00DF37C2" w:rsidRPr="003274D0" w:rsidRDefault="00DF37C2" w:rsidP="00DF37C2">
            <w:pPr>
              <w:cnfStyle w:val="000000000000" w:firstRow="0" w:lastRow="0" w:firstColumn="0" w:lastColumn="0" w:oddVBand="0" w:evenVBand="0" w:oddHBand="0" w:evenHBand="0" w:firstRowFirstColumn="0" w:firstRowLastColumn="0" w:lastRowFirstColumn="0" w:lastRowLastColumn="0"/>
              <w:rPr>
                <w:sz w:val="20"/>
              </w:rPr>
            </w:pPr>
            <w:r w:rsidRPr="003274D0">
              <w:rPr>
                <w:sz w:val="20"/>
              </w:rPr>
              <w:t xml:space="preserve">Minimālā iemaksa </w:t>
            </w:r>
            <w:r w:rsidR="00BF7CEB" w:rsidRPr="003274D0">
              <w:rPr>
                <w:sz w:val="20"/>
              </w:rPr>
              <w:t xml:space="preserve">EKA </w:t>
            </w:r>
            <w:r w:rsidRPr="003274D0">
              <w:rPr>
                <w:sz w:val="20"/>
              </w:rPr>
              <w:t xml:space="preserve">ESV statusā ir noteikta 1 milj. </w:t>
            </w:r>
            <w:proofErr w:type="spellStart"/>
            <w:r w:rsidR="00A543D0" w:rsidRPr="003274D0">
              <w:rPr>
                <w:i/>
                <w:iCs/>
                <w:sz w:val="20"/>
              </w:rPr>
              <w:t>euro</w:t>
            </w:r>
            <w:proofErr w:type="spellEnd"/>
            <w:r w:rsidR="00A543D0" w:rsidRPr="003274D0">
              <w:rPr>
                <w:sz w:val="20"/>
              </w:rPr>
              <w:t xml:space="preserve"> </w:t>
            </w:r>
            <w:r w:rsidRPr="003274D0">
              <w:rPr>
                <w:sz w:val="20"/>
              </w:rPr>
              <w:t>2001.gada ekonomiskajos apstākļos</w:t>
            </w:r>
            <w:r w:rsidR="004651C8" w:rsidRPr="003274D0">
              <w:rPr>
                <w:sz w:val="20"/>
              </w:rPr>
              <w:t xml:space="preserve">, kas 2020.gadā sastādīs aptuveni 1,5 milj. </w:t>
            </w:r>
            <w:proofErr w:type="spellStart"/>
            <w:r w:rsidR="004651C8" w:rsidRPr="003274D0">
              <w:rPr>
                <w:i/>
                <w:iCs/>
                <w:sz w:val="20"/>
              </w:rPr>
              <w:t>euro</w:t>
            </w:r>
            <w:proofErr w:type="spellEnd"/>
            <w:r w:rsidR="004651C8" w:rsidRPr="003274D0">
              <w:rPr>
                <w:sz w:val="20"/>
              </w:rPr>
              <w:t xml:space="preserve"> gadā</w:t>
            </w:r>
            <w:r w:rsidR="00F11160">
              <w:rPr>
                <w:sz w:val="20"/>
              </w:rPr>
              <w:t>;</w:t>
            </w:r>
            <w:r w:rsidR="004651C8" w:rsidRPr="003274D0">
              <w:rPr>
                <w:sz w:val="20"/>
              </w:rPr>
              <w:t xml:space="preserve"> </w:t>
            </w:r>
          </w:p>
          <w:p w14:paraId="4831BC9A" w14:textId="5984A6F5" w:rsidR="004651C8" w:rsidRPr="003274D0" w:rsidRDefault="004651C8" w:rsidP="00F11160">
            <w:pPr>
              <w:cnfStyle w:val="000000000000" w:firstRow="0" w:lastRow="0" w:firstColumn="0" w:lastColumn="0" w:oddVBand="0" w:evenVBand="0" w:oddHBand="0" w:evenHBand="0" w:firstRowFirstColumn="0" w:firstRowLastColumn="0" w:lastRowFirstColumn="0" w:lastRowLastColumn="0"/>
              <w:rPr>
                <w:sz w:val="20"/>
              </w:rPr>
            </w:pPr>
            <w:r w:rsidRPr="003274D0">
              <w:rPr>
                <w:sz w:val="20"/>
              </w:rPr>
              <w:t xml:space="preserve">Lai turpinātu </w:t>
            </w:r>
            <w:r w:rsidR="00030AC0" w:rsidRPr="003274D0">
              <w:rPr>
                <w:sz w:val="20"/>
              </w:rPr>
              <w:t xml:space="preserve">izstrādāto </w:t>
            </w:r>
            <w:r w:rsidR="00BF7CEB" w:rsidRPr="003274D0">
              <w:rPr>
                <w:sz w:val="20"/>
              </w:rPr>
              <w:t>tehnoloģiju</w:t>
            </w:r>
            <w:r w:rsidRPr="003274D0">
              <w:rPr>
                <w:sz w:val="20"/>
              </w:rPr>
              <w:t xml:space="preserve"> virzību uz augstāku </w:t>
            </w:r>
            <w:r w:rsidR="00BF7CEB" w:rsidRPr="003274D0">
              <w:rPr>
                <w:sz w:val="20"/>
              </w:rPr>
              <w:t>TRL līmeni ir nepieciešams augstāks ieguldījuma līmenis</w:t>
            </w:r>
            <w:r w:rsidR="00F11160">
              <w:rPr>
                <w:sz w:val="20"/>
              </w:rPr>
              <w:t>;</w:t>
            </w:r>
          </w:p>
        </w:tc>
        <w:tc>
          <w:tcPr>
            <w:tcW w:w="3672" w:type="dxa"/>
          </w:tcPr>
          <w:p w14:paraId="371D3870" w14:textId="0BCC3892" w:rsidR="003753B4" w:rsidRPr="003274D0" w:rsidRDefault="003753B4" w:rsidP="003753B4">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Sagatavošanās programm</w:t>
            </w:r>
            <w:r w:rsidR="00373A8E" w:rsidRPr="003274D0">
              <w:rPr>
                <w:rFonts w:ascii="Times New Roman" w:hAnsi="Times New Roman" w:cs="Times New Roman"/>
                <w:sz w:val="20"/>
                <w:szCs w:val="24"/>
              </w:rPr>
              <w:t>a (T</w:t>
            </w:r>
            <w:r w:rsidR="00F85736" w:rsidRPr="003274D0">
              <w:rPr>
                <w:rFonts w:ascii="Times New Roman" w:hAnsi="Times New Roman" w:cs="Times New Roman"/>
                <w:sz w:val="20"/>
                <w:szCs w:val="24"/>
              </w:rPr>
              <w:t>rešās puses programma – ESV</w:t>
            </w:r>
            <w:r w:rsidR="00BD560B" w:rsidRPr="003274D0">
              <w:rPr>
                <w:rFonts w:ascii="Times New Roman" w:hAnsi="Times New Roman" w:cs="Times New Roman"/>
                <w:sz w:val="20"/>
                <w:szCs w:val="24"/>
              </w:rPr>
              <w:t>) industriālās kapacitātes stiprināšanai un ciešākai sadarbībai ar EKA</w:t>
            </w:r>
            <w:r w:rsidRPr="003274D0">
              <w:rPr>
                <w:rFonts w:ascii="Times New Roman" w:hAnsi="Times New Roman" w:cs="Times New Roman"/>
                <w:sz w:val="20"/>
                <w:szCs w:val="24"/>
              </w:rPr>
              <w:t xml:space="preserve">; </w:t>
            </w:r>
          </w:p>
          <w:p w14:paraId="6C29445F" w14:textId="77777777" w:rsidR="00F914CD" w:rsidRPr="003274D0" w:rsidRDefault="003753B4" w:rsidP="003753B4">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 xml:space="preserve">ESV </w:t>
            </w:r>
            <w:r w:rsidR="00DF37C2" w:rsidRPr="003274D0">
              <w:rPr>
                <w:rFonts w:ascii="Times New Roman" w:hAnsi="Times New Roman" w:cs="Times New Roman"/>
                <w:sz w:val="20"/>
                <w:szCs w:val="24"/>
              </w:rPr>
              <w:t xml:space="preserve">statuss </w:t>
            </w:r>
            <w:r w:rsidRPr="003274D0">
              <w:rPr>
                <w:rFonts w:ascii="Times New Roman" w:hAnsi="Times New Roman" w:cs="Times New Roman"/>
                <w:sz w:val="20"/>
                <w:szCs w:val="24"/>
              </w:rPr>
              <w:t xml:space="preserve">nav </w:t>
            </w:r>
            <w:r w:rsidR="00F85736" w:rsidRPr="003274D0">
              <w:rPr>
                <w:rFonts w:ascii="Times New Roman" w:hAnsi="Times New Roman" w:cs="Times New Roman"/>
                <w:sz w:val="20"/>
                <w:szCs w:val="24"/>
              </w:rPr>
              <w:t>EKA</w:t>
            </w:r>
            <w:r w:rsidR="00DF37C2" w:rsidRPr="003274D0">
              <w:rPr>
                <w:rFonts w:ascii="Times New Roman" w:hAnsi="Times New Roman" w:cs="Times New Roman"/>
                <w:sz w:val="20"/>
                <w:szCs w:val="24"/>
              </w:rPr>
              <w:t xml:space="preserve"> dalībnieka statuss</w:t>
            </w:r>
            <w:r w:rsidR="00BD560B" w:rsidRPr="003274D0">
              <w:rPr>
                <w:rFonts w:ascii="Times New Roman" w:hAnsi="Times New Roman" w:cs="Times New Roman"/>
                <w:sz w:val="20"/>
                <w:szCs w:val="24"/>
              </w:rPr>
              <w:t>;</w:t>
            </w:r>
          </w:p>
          <w:p w14:paraId="770AE804" w14:textId="79B08054" w:rsidR="003753B4" w:rsidRPr="003274D0" w:rsidRDefault="003753B4" w:rsidP="003753B4">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 xml:space="preserve">EKA pārvaldībā piedalās kā novērotājs; </w:t>
            </w:r>
          </w:p>
          <w:p w14:paraId="5F4FDFC4" w14:textId="62DB2827" w:rsidR="00DF37C2" w:rsidRPr="003274D0" w:rsidRDefault="00F85736" w:rsidP="004651C8">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Tiešā veidā neiesaistās EKA tehnoloģiju programmās</w:t>
            </w:r>
            <w:r w:rsidR="00373A8E" w:rsidRPr="003274D0">
              <w:rPr>
                <w:rFonts w:ascii="Times New Roman" w:hAnsi="Times New Roman" w:cs="Times New Roman"/>
                <w:sz w:val="20"/>
                <w:szCs w:val="24"/>
              </w:rPr>
              <w:t xml:space="preserve"> un misijās</w:t>
            </w:r>
            <w:r w:rsidRPr="003274D0">
              <w:rPr>
                <w:rFonts w:ascii="Times New Roman" w:hAnsi="Times New Roman" w:cs="Times New Roman"/>
                <w:sz w:val="20"/>
                <w:szCs w:val="24"/>
              </w:rPr>
              <w:t>;</w:t>
            </w:r>
          </w:p>
          <w:p w14:paraId="558C9FC8" w14:textId="40D965B6" w:rsidR="004651C8" w:rsidRPr="003274D0" w:rsidRDefault="00F914CD" w:rsidP="004651C8">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3274D0">
              <w:rPr>
                <w:rFonts w:ascii="Times New Roman" w:hAnsi="Times New Roman" w:cs="Times New Roman"/>
                <w:sz w:val="20"/>
                <w:szCs w:val="24"/>
              </w:rPr>
              <w:t>Minimālas</w:t>
            </w:r>
            <w:r w:rsidR="004651C8" w:rsidRPr="003274D0">
              <w:rPr>
                <w:rFonts w:ascii="Times New Roman" w:hAnsi="Times New Roman" w:cs="Times New Roman"/>
                <w:sz w:val="20"/>
                <w:szCs w:val="24"/>
              </w:rPr>
              <w:t xml:space="preserve"> iespējas sadarbībai ar Eiropas kosmosa industriju</w:t>
            </w:r>
            <w:r w:rsidR="00B2312A" w:rsidRPr="003274D0">
              <w:rPr>
                <w:rFonts w:ascii="Times New Roman" w:hAnsi="Times New Roman" w:cs="Times New Roman"/>
                <w:sz w:val="20"/>
                <w:szCs w:val="24"/>
              </w:rPr>
              <w:t>, jo ne</w:t>
            </w:r>
            <w:r w:rsidR="00E90C46">
              <w:rPr>
                <w:rFonts w:ascii="Times New Roman" w:hAnsi="Times New Roman" w:cs="Times New Roman"/>
                <w:sz w:val="20"/>
                <w:szCs w:val="24"/>
              </w:rPr>
              <w:t>piedalās EKA izvēles programmās;</w:t>
            </w:r>
            <w:r w:rsidR="00B2312A" w:rsidRPr="003274D0">
              <w:rPr>
                <w:rFonts w:ascii="Times New Roman" w:hAnsi="Times New Roman" w:cs="Times New Roman"/>
                <w:sz w:val="20"/>
                <w:szCs w:val="24"/>
              </w:rPr>
              <w:t xml:space="preserve"> </w:t>
            </w:r>
          </w:p>
          <w:p w14:paraId="7873DEA8" w14:textId="1C4530D4" w:rsidR="00F85736" w:rsidRPr="003274D0" w:rsidRDefault="00E90C46" w:rsidP="004651C8">
            <w:pPr>
              <w:pStyle w:val="ListParagraph"/>
              <w:numPr>
                <w:ilvl w:val="0"/>
                <w:numId w:val="29"/>
              </w:numPr>
              <w:ind w:left="290" w:hanging="18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Termiņš uz 5 gadiem;</w:t>
            </w:r>
          </w:p>
        </w:tc>
      </w:tr>
    </w:tbl>
    <w:p w14:paraId="3E50040A" w14:textId="77695F40" w:rsidR="007C5DD5" w:rsidRDefault="007C5DD5" w:rsidP="007C5DD5"/>
    <w:p w14:paraId="02FF7D09" w14:textId="5105EB21" w:rsidR="005219E2" w:rsidRPr="005B6DA0" w:rsidRDefault="004651C8" w:rsidP="007C5DD5">
      <w:pPr>
        <w:rPr>
          <w:sz w:val="26"/>
          <w:szCs w:val="26"/>
        </w:rPr>
      </w:pPr>
      <w:r w:rsidRPr="005B6DA0">
        <w:rPr>
          <w:sz w:val="26"/>
          <w:szCs w:val="26"/>
        </w:rPr>
        <w:tab/>
      </w:r>
      <w:r w:rsidR="00D0489C" w:rsidRPr="005B6DA0">
        <w:rPr>
          <w:sz w:val="26"/>
          <w:szCs w:val="26"/>
        </w:rPr>
        <w:t>Asociētās dalībvalsts statuss tika uzlabots un apstiprināts 2018.gada EKA Padomes laikā, lai nodrošinātu ESV līguma valstīm plūstošāku pāreju uz EKA dalībvalsts statusu. Galven</w:t>
      </w:r>
      <w:r w:rsidR="00796453" w:rsidRPr="005B6DA0">
        <w:rPr>
          <w:sz w:val="26"/>
          <w:szCs w:val="26"/>
        </w:rPr>
        <w:t>ie</w:t>
      </w:r>
      <w:r w:rsidR="00D0489C" w:rsidRPr="005B6DA0">
        <w:rPr>
          <w:sz w:val="26"/>
          <w:szCs w:val="26"/>
        </w:rPr>
        <w:t xml:space="preserve"> ieguvum</w:t>
      </w:r>
      <w:r w:rsidR="00796453" w:rsidRPr="005B6DA0">
        <w:rPr>
          <w:sz w:val="26"/>
          <w:szCs w:val="26"/>
        </w:rPr>
        <w:t>i</w:t>
      </w:r>
      <w:r w:rsidR="00D0489C" w:rsidRPr="005B6DA0">
        <w:rPr>
          <w:sz w:val="26"/>
          <w:szCs w:val="26"/>
        </w:rPr>
        <w:t xml:space="preserve"> no </w:t>
      </w:r>
      <w:r w:rsidR="00796453" w:rsidRPr="005B6DA0">
        <w:rPr>
          <w:sz w:val="26"/>
          <w:szCs w:val="26"/>
        </w:rPr>
        <w:t>a</w:t>
      </w:r>
      <w:r w:rsidR="00D0489C" w:rsidRPr="005B6DA0">
        <w:rPr>
          <w:sz w:val="26"/>
          <w:szCs w:val="26"/>
        </w:rPr>
        <w:t>sociētās dalībvalsts statusa ir samazināta iemaksa EKA obligātajā programmā, kas sastāda 70% no EKA dalībvalsts iemaksas</w:t>
      </w:r>
      <w:r w:rsidR="00F11160" w:rsidRPr="005B6DA0">
        <w:rPr>
          <w:sz w:val="26"/>
          <w:szCs w:val="26"/>
        </w:rPr>
        <w:t>,</w:t>
      </w:r>
      <w:r w:rsidR="00D0489C" w:rsidRPr="005B6DA0">
        <w:rPr>
          <w:sz w:val="26"/>
          <w:szCs w:val="26"/>
        </w:rPr>
        <w:t xml:space="preserve"> un iespēja veidot savu n</w:t>
      </w:r>
      <w:r w:rsidR="00F914CD" w:rsidRPr="005B6DA0">
        <w:rPr>
          <w:sz w:val="26"/>
          <w:szCs w:val="26"/>
        </w:rPr>
        <w:t>acionālo kosmosa programmu jeb T</w:t>
      </w:r>
      <w:r w:rsidR="00D0489C" w:rsidRPr="005B6DA0">
        <w:rPr>
          <w:sz w:val="26"/>
          <w:szCs w:val="26"/>
        </w:rPr>
        <w:t>rešās puses programmu</w:t>
      </w:r>
      <w:r w:rsidR="00FC1431" w:rsidRPr="005B6DA0">
        <w:rPr>
          <w:sz w:val="26"/>
          <w:szCs w:val="26"/>
        </w:rPr>
        <w:t xml:space="preserve"> EKA ietvaros, kur projektu konkursos piedalās tikai </w:t>
      </w:r>
      <w:r w:rsidR="00985253" w:rsidRPr="005B6DA0">
        <w:rPr>
          <w:sz w:val="26"/>
          <w:szCs w:val="26"/>
        </w:rPr>
        <w:t xml:space="preserve">konkrētās valsts </w:t>
      </w:r>
      <w:r w:rsidR="00FC1431" w:rsidRPr="005B6DA0">
        <w:rPr>
          <w:sz w:val="26"/>
          <w:szCs w:val="26"/>
        </w:rPr>
        <w:t xml:space="preserve">organizācijas. Vienlaikus </w:t>
      </w:r>
      <w:r w:rsidR="00796453" w:rsidRPr="005B6DA0">
        <w:rPr>
          <w:sz w:val="26"/>
          <w:szCs w:val="26"/>
        </w:rPr>
        <w:t>a</w:t>
      </w:r>
      <w:r w:rsidR="00FC1431" w:rsidRPr="005B6DA0">
        <w:rPr>
          <w:sz w:val="26"/>
          <w:szCs w:val="26"/>
        </w:rPr>
        <w:t xml:space="preserve">sociētās dalībvalsts statuss dod iespēju piedalīties </w:t>
      </w:r>
      <w:r w:rsidR="00E1537F" w:rsidRPr="005B6DA0">
        <w:rPr>
          <w:sz w:val="26"/>
          <w:szCs w:val="26"/>
        </w:rPr>
        <w:t xml:space="preserve">visās </w:t>
      </w:r>
      <w:r w:rsidR="00FC1431" w:rsidRPr="005B6DA0">
        <w:rPr>
          <w:sz w:val="26"/>
          <w:szCs w:val="26"/>
        </w:rPr>
        <w:t xml:space="preserve">EKA </w:t>
      </w:r>
      <w:r w:rsidR="00796453" w:rsidRPr="005B6DA0">
        <w:rPr>
          <w:sz w:val="26"/>
          <w:szCs w:val="26"/>
        </w:rPr>
        <w:t>i</w:t>
      </w:r>
      <w:r w:rsidR="00FC1431" w:rsidRPr="005B6DA0">
        <w:rPr>
          <w:sz w:val="26"/>
          <w:szCs w:val="26"/>
        </w:rPr>
        <w:t>zvēles programmās, kas ir EKA funkcionēšanas pamatā</w:t>
      </w:r>
      <w:r w:rsidR="00E1537F" w:rsidRPr="005B6DA0">
        <w:rPr>
          <w:sz w:val="26"/>
          <w:szCs w:val="26"/>
        </w:rPr>
        <w:t xml:space="preserve"> un kurās tiek īste</w:t>
      </w:r>
      <w:r w:rsidR="00A11073" w:rsidRPr="005B6DA0">
        <w:rPr>
          <w:sz w:val="26"/>
          <w:szCs w:val="26"/>
        </w:rPr>
        <w:t>nota</w:t>
      </w:r>
      <w:r w:rsidR="005219E2" w:rsidRPr="005B6DA0">
        <w:rPr>
          <w:sz w:val="26"/>
          <w:szCs w:val="26"/>
        </w:rPr>
        <w:t>s</w:t>
      </w:r>
      <w:r w:rsidR="00A11073" w:rsidRPr="005B6DA0">
        <w:rPr>
          <w:sz w:val="26"/>
          <w:szCs w:val="26"/>
        </w:rPr>
        <w:t xml:space="preserve"> visas </w:t>
      </w:r>
      <w:r w:rsidR="00EF5157" w:rsidRPr="005B6DA0">
        <w:rPr>
          <w:sz w:val="26"/>
          <w:szCs w:val="26"/>
        </w:rPr>
        <w:t>EKA tehnoloģiju misijas. Katrai</w:t>
      </w:r>
      <w:r w:rsidR="00A11073" w:rsidRPr="005B6DA0">
        <w:rPr>
          <w:sz w:val="26"/>
          <w:szCs w:val="26"/>
        </w:rPr>
        <w:t xml:space="preserve"> </w:t>
      </w:r>
      <w:r w:rsidR="00EF5157" w:rsidRPr="005B6DA0">
        <w:rPr>
          <w:sz w:val="26"/>
          <w:szCs w:val="26"/>
        </w:rPr>
        <w:t xml:space="preserve">EKA </w:t>
      </w:r>
      <w:r w:rsidR="00796453" w:rsidRPr="005B6DA0">
        <w:rPr>
          <w:sz w:val="26"/>
          <w:szCs w:val="26"/>
        </w:rPr>
        <w:t>i</w:t>
      </w:r>
      <w:r w:rsidR="00EF5157" w:rsidRPr="005B6DA0">
        <w:rPr>
          <w:sz w:val="26"/>
          <w:szCs w:val="26"/>
        </w:rPr>
        <w:t>zvēles programmai ir savi mērķi, noteikumi un EKA dalībvalstis</w:t>
      </w:r>
      <w:r w:rsidR="00A11073" w:rsidRPr="005B6DA0">
        <w:rPr>
          <w:sz w:val="26"/>
          <w:szCs w:val="26"/>
        </w:rPr>
        <w:t xml:space="preserve"> un asociētā</w:t>
      </w:r>
      <w:r w:rsidR="00EF5157" w:rsidRPr="005B6DA0">
        <w:rPr>
          <w:sz w:val="26"/>
          <w:szCs w:val="26"/>
        </w:rPr>
        <w:t>s valstis</w:t>
      </w:r>
      <w:r w:rsidR="00A11073" w:rsidRPr="005B6DA0">
        <w:rPr>
          <w:sz w:val="26"/>
          <w:szCs w:val="26"/>
        </w:rPr>
        <w:t xml:space="preserve"> var piedalīties jebkurā EKA </w:t>
      </w:r>
      <w:r w:rsidR="00796453" w:rsidRPr="005B6DA0">
        <w:rPr>
          <w:sz w:val="26"/>
          <w:szCs w:val="26"/>
        </w:rPr>
        <w:t>i</w:t>
      </w:r>
      <w:r w:rsidR="00A11073" w:rsidRPr="005B6DA0">
        <w:rPr>
          <w:sz w:val="26"/>
          <w:szCs w:val="26"/>
        </w:rPr>
        <w:t>zvēles programmā</w:t>
      </w:r>
      <w:r w:rsidR="00A543D0" w:rsidRPr="005B6DA0">
        <w:rPr>
          <w:sz w:val="26"/>
          <w:szCs w:val="26"/>
        </w:rPr>
        <w:t>,</w:t>
      </w:r>
      <w:r w:rsidR="00A11073" w:rsidRPr="005B6DA0">
        <w:rPr>
          <w:sz w:val="26"/>
          <w:szCs w:val="26"/>
        </w:rPr>
        <w:t xml:space="preserve"> </w:t>
      </w:r>
      <w:r w:rsidR="00A11073" w:rsidRPr="005B6DA0">
        <w:rPr>
          <w:sz w:val="26"/>
          <w:szCs w:val="26"/>
        </w:rPr>
        <w:lastRenderedPageBreak/>
        <w:t>attie</w:t>
      </w:r>
      <w:r w:rsidR="00EF5157" w:rsidRPr="005B6DA0">
        <w:rPr>
          <w:sz w:val="26"/>
          <w:szCs w:val="26"/>
        </w:rPr>
        <w:t>cīgi ieguldot tajā finansējumu.</w:t>
      </w:r>
      <w:r w:rsidR="00A11073" w:rsidRPr="005B6DA0">
        <w:rPr>
          <w:sz w:val="26"/>
          <w:szCs w:val="26"/>
        </w:rPr>
        <w:t xml:space="preserve"> </w:t>
      </w:r>
      <w:r w:rsidR="005219E2" w:rsidRPr="005B6DA0">
        <w:rPr>
          <w:sz w:val="26"/>
          <w:szCs w:val="26"/>
        </w:rPr>
        <w:t xml:space="preserve">Kopējie EKA </w:t>
      </w:r>
      <w:r w:rsidR="00796453" w:rsidRPr="005B6DA0">
        <w:rPr>
          <w:sz w:val="26"/>
          <w:szCs w:val="26"/>
        </w:rPr>
        <w:t>i</w:t>
      </w:r>
      <w:r w:rsidR="005219E2" w:rsidRPr="005B6DA0">
        <w:rPr>
          <w:sz w:val="26"/>
          <w:szCs w:val="26"/>
        </w:rPr>
        <w:t>zvēles programmu mērķi ir sekmēt Eiropas industrijas konkurētspēju un inovācijas, radot jaunus produktus</w:t>
      </w:r>
      <w:r w:rsidR="006D2B2E" w:rsidRPr="005B6DA0">
        <w:rPr>
          <w:sz w:val="26"/>
          <w:szCs w:val="26"/>
        </w:rPr>
        <w:t>,</w:t>
      </w:r>
      <w:r w:rsidR="005219E2" w:rsidRPr="005B6DA0">
        <w:rPr>
          <w:sz w:val="26"/>
          <w:szCs w:val="26"/>
        </w:rPr>
        <w:t xml:space="preserve"> un uzlabot Eiropas tehnoloģisko neatkarību un pieeju kritiskajām tehnoloģijām, kā arī veicināt tehnoloģiju izplatību ārpus kosmosa sektora.</w:t>
      </w:r>
    </w:p>
    <w:p w14:paraId="7E9D8D8B" w14:textId="0327DF26" w:rsidR="005A235B" w:rsidRPr="004C4E90" w:rsidRDefault="00650D16" w:rsidP="004C4E90">
      <w:pPr>
        <w:rPr>
          <w:sz w:val="26"/>
          <w:szCs w:val="26"/>
        </w:rPr>
      </w:pPr>
      <w:r w:rsidRPr="005B6DA0">
        <w:rPr>
          <w:sz w:val="26"/>
          <w:szCs w:val="26"/>
        </w:rPr>
        <w:tab/>
        <w:t xml:space="preserve">Izvērtējot Latvijas industrijas </w:t>
      </w:r>
      <w:r w:rsidR="002A7D92" w:rsidRPr="005B6DA0">
        <w:rPr>
          <w:sz w:val="26"/>
          <w:szCs w:val="26"/>
        </w:rPr>
        <w:t xml:space="preserve">kompetences </w:t>
      </w:r>
      <w:r w:rsidRPr="005B6DA0">
        <w:rPr>
          <w:sz w:val="26"/>
          <w:szCs w:val="26"/>
        </w:rPr>
        <w:t>piedalīties EKA izvēlēs programmās</w:t>
      </w:r>
      <w:r w:rsidR="002A7D92" w:rsidRPr="005B6DA0">
        <w:rPr>
          <w:sz w:val="26"/>
          <w:szCs w:val="26"/>
        </w:rPr>
        <w:t>, atbilstoši EKA un neatkarīgo ekspertu rekomendācijām</w:t>
      </w:r>
      <w:r w:rsidR="00BF5CD0" w:rsidRPr="005B6DA0">
        <w:rPr>
          <w:sz w:val="26"/>
          <w:szCs w:val="26"/>
        </w:rPr>
        <w:t>,</w:t>
      </w:r>
      <w:r w:rsidR="002A7D92" w:rsidRPr="005B6DA0">
        <w:rPr>
          <w:sz w:val="26"/>
          <w:szCs w:val="26"/>
        </w:rPr>
        <w:t xml:space="preserve"> Latvijai šobrīd ir vislabākās iespējas</w:t>
      </w:r>
      <w:r w:rsidR="00774BBE" w:rsidRPr="005B6DA0">
        <w:rPr>
          <w:sz w:val="26"/>
          <w:szCs w:val="26"/>
        </w:rPr>
        <w:t xml:space="preserve"> un </w:t>
      </w:r>
      <w:r w:rsidR="006D2B2E" w:rsidRPr="005B6DA0">
        <w:rPr>
          <w:sz w:val="26"/>
          <w:szCs w:val="26"/>
        </w:rPr>
        <w:t xml:space="preserve">augstākais </w:t>
      </w:r>
      <w:r w:rsidR="00774BBE" w:rsidRPr="005B6DA0">
        <w:rPr>
          <w:sz w:val="26"/>
          <w:szCs w:val="26"/>
        </w:rPr>
        <w:t>potenciāls</w:t>
      </w:r>
      <w:r w:rsidR="002A7D92" w:rsidRPr="005B6DA0">
        <w:rPr>
          <w:sz w:val="26"/>
          <w:szCs w:val="26"/>
        </w:rPr>
        <w:t xml:space="preserve"> piedalīties divās izvēles programmās </w:t>
      </w:r>
      <w:r w:rsidR="00A543D0" w:rsidRPr="005B6DA0">
        <w:rPr>
          <w:sz w:val="26"/>
          <w:szCs w:val="26"/>
        </w:rPr>
        <w:t>–</w:t>
      </w:r>
      <w:r w:rsidR="002A7D92" w:rsidRPr="005B6DA0">
        <w:rPr>
          <w:sz w:val="26"/>
          <w:szCs w:val="26"/>
        </w:rPr>
        <w:t xml:space="preserve"> Galvenā tehnoloģiju atbalsta programma (</w:t>
      </w:r>
      <w:proofErr w:type="spellStart"/>
      <w:r w:rsidR="002A7D92" w:rsidRPr="005B6DA0">
        <w:rPr>
          <w:i/>
          <w:sz w:val="26"/>
          <w:szCs w:val="26"/>
        </w:rPr>
        <w:t>General</w:t>
      </w:r>
      <w:proofErr w:type="spellEnd"/>
      <w:r w:rsidR="002A7D92" w:rsidRPr="005B6DA0">
        <w:rPr>
          <w:i/>
          <w:sz w:val="26"/>
          <w:szCs w:val="26"/>
        </w:rPr>
        <w:t xml:space="preserve"> </w:t>
      </w:r>
      <w:proofErr w:type="spellStart"/>
      <w:r w:rsidR="002A7D92" w:rsidRPr="005B6DA0">
        <w:rPr>
          <w:i/>
          <w:sz w:val="26"/>
          <w:szCs w:val="26"/>
        </w:rPr>
        <w:t>Support</w:t>
      </w:r>
      <w:proofErr w:type="spellEnd"/>
      <w:r w:rsidR="002A7D92" w:rsidRPr="005B6DA0">
        <w:rPr>
          <w:i/>
          <w:sz w:val="26"/>
          <w:szCs w:val="26"/>
        </w:rPr>
        <w:t xml:space="preserve"> </w:t>
      </w:r>
      <w:proofErr w:type="spellStart"/>
      <w:r w:rsidR="002A7D92" w:rsidRPr="005B6DA0">
        <w:rPr>
          <w:i/>
          <w:sz w:val="26"/>
          <w:szCs w:val="26"/>
        </w:rPr>
        <w:t>Technology</w:t>
      </w:r>
      <w:proofErr w:type="spellEnd"/>
      <w:r w:rsidR="002A7D92" w:rsidRPr="005B6DA0">
        <w:rPr>
          <w:i/>
          <w:sz w:val="26"/>
          <w:szCs w:val="26"/>
        </w:rPr>
        <w:t xml:space="preserve"> </w:t>
      </w:r>
      <w:proofErr w:type="spellStart"/>
      <w:r w:rsidR="002A7D92" w:rsidRPr="005B6DA0">
        <w:rPr>
          <w:i/>
          <w:sz w:val="26"/>
          <w:szCs w:val="26"/>
        </w:rPr>
        <w:t>Programme</w:t>
      </w:r>
      <w:proofErr w:type="spellEnd"/>
      <w:r w:rsidR="002A7D92" w:rsidRPr="005B6DA0">
        <w:rPr>
          <w:i/>
          <w:sz w:val="26"/>
          <w:szCs w:val="26"/>
        </w:rPr>
        <w:t xml:space="preserve"> – GSTP</w:t>
      </w:r>
      <w:r w:rsidR="001C71DE" w:rsidRPr="005B6DA0">
        <w:rPr>
          <w:rStyle w:val="FootnoteReference"/>
          <w:i/>
          <w:sz w:val="26"/>
          <w:szCs w:val="26"/>
        </w:rPr>
        <w:footnoteReference w:id="13"/>
      </w:r>
      <w:r w:rsidR="002A7D92" w:rsidRPr="005B6DA0">
        <w:rPr>
          <w:sz w:val="26"/>
          <w:szCs w:val="26"/>
        </w:rPr>
        <w:t>) un Zemes novērošanas programmā</w:t>
      </w:r>
      <w:r w:rsidR="00774BBE" w:rsidRPr="005B6DA0">
        <w:rPr>
          <w:sz w:val="26"/>
          <w:szCs w:val="26"/>
        </w:rPr>
        <w:t xml:space="preserve"> (</w:t>
      </w:r>
      <w:proofErr w:type="spellStart"/>
      <w:r w:rsidR="00774BBE" w:rsidRPr="005B6DA0">
        <w:rPr>
          <w:i/>
          <w:sz w:val="26"/>
          <w:szCs w:val="26"/>
        </w:rPr>
        <w:t>Earth</w:t>
      </w:r>
      <w:proofErr w:type="spellEnd"/>
      <w:r w:rsidR="00774BBE" w:rsidRPr="005B6DA0">
        <w:rPr>
          <w:i/>
          <w:sz w:val="26"/>
          <w:szCs w:val="26"/>
        </w:rPr>
        <w:t xml:space="preserve"> </w:t>
      </w:r>
      <w:proofErr w:type="spellStart"/>
      <w:r w:rsidR="00774BBE" w:rsidRPr="005B6DA0">
        <w:rPr>
          <w:i/>
          <w:sz w:val="26"/>
          <w:szCs w:val="26"/>
        </w:rPr>
        <w:t>Observation</w:t>
      </w:r>
      <w:proofErr w:type="spellEnd"/>
      <w:r w:rsidR="00774BBE" w:rsidRPr="005B6DA0">
        <w:rPr>
          <w:i/>
          <w:sz w:val="26"/>
          <w:szCs w:val="26"/>
        </w:rPr>
        <w:t xml:space="preserve"> </w:t>
      </w:r>
      <w:proofErr w:type="spellStart"/>
      <w:r w:rsidR="00774BBE" w:rsidRPr="005B6DA0">
        <w:rPr>
          <w:i/>
          <w:sz w:val="26"/>
          <w:szCs w:val="26"/>
        </w:rPr>
        <w:t>Envelope</w:t>
      </w:r>
      <w:proofErr w:type="spellEnd"/>
      <w:r w:rsidR="00774BBE" w:rsidRPr="005B6DA0">
        <w:rPr>
          <w:i/>
          <w:sz w:val="26"/>
          <w:szCs w:val="26"/>
        </w:rPr>
        <w:t xml:space="preserve"> </w:t>
      </w:r>
      <w:proofErr w:type="spellStart"/>
      <w:r w:rsidR="00774BBE" w:rsidRPr="005B6DA0">
        <w:rPr>
          <w:i/>
          <w:sz w:val="26"/>
          <w:szCs w:val="26"/>
        </w:rPr>
        <w:t>Programme</w:t>
      </w:r>
      <w:proofErr w:type="spellEnd"/>
      <w:r w:rsidR="00774BBE" w:rsidRPr="005B6DA0">
        <w:rPr>
          <w:i/>
          <w:sz w:val="26"/>
          <w:szCs w:val="26"/>
        </w:rPr>
        <w:t xml:space="preserve"> </w:t>
      </w:r>
      <w:r w:rsidR="00A543D0" w:rsidRPr="005B6DA0">
        <w:rPr>
          <w:i/>
          <w:sz w:val="26"/>
          <w:szCs w:val="26"/>
        </w:rPr>
        <w:t>–</w:t>
      </w:r>
      <w:r w:rsidR="00774BBE" w:rsidRPr="005B6DA0">
        <w:rPr>
          <w:i/>
          <w:sz w:val="26"/>
          <w:szCs w:val="26"/>
        </w:rPr>
        <w:t xml:space="preserve"> EOEP</w:t>
      </w:r>
      <w:r w:rsidR="00774BBE" w:rsidRPr="005B6DA0">
        <w:rPr>
          <w:sz w:val="26"/>
          <w:szCs w:val="26"/>
        </w:rPr>
        <w:t>)</w:t>
      </w:r>
      <w:r w:rsidR="002A7D92" w:rsidRPr="005B6DA0">
        <w:rPr>
          <w:sz w:val="26"/>
          <w:szCs w:val="26"/>
        </w:rPr>
        <w:t xml:space="preserve">. </w:t>
      </w:r>
      <w:r w:rsidR="00774BBE" w:rsidRPr="005B6DA0">
        <w:rPr>
          <w:sz w:val="26"/>
          <w:szCs w:val="26"/>
        </w:rPr>
        <w:t>Šajās programmās Latvijas industrija varētu piedāvāt atbilstošu kritisko masu, lai nodrošinātu ieguldīto investīciju atdevi. Vienlaikus</w:t>
      </w:r>
      <w:r w:rsidR="004C4E90">
        <w:rPr>
          <w:sz w:val="26"/>
          <w:szCs w:val="26"/>
        </w:rPr>
        <w:t>,</w:t>
      </w:r>
      <w:r w:rsidR="00774BBE" w:rsidRPr="005B6DA0">
        <w:rPr>
          <w:sz w:val="26"/>
          <w:szCs w:val="26"/>
        </w:rPr>
        <w:t xml:space="preserve"> redzeslok</w:t>
      </w:r>
      <w:r w:rsidR="00840787" w:rsidRPr="005B6DA0">
        <w:rPr>
          <w:sz w:val="26"/>
          <w:szCs w:val="26"/>
        </w:rPr>
        <w:t>ā</w:t>
      </w:r>
      <w:r w:rsidR="00774BBE" w:rsidRPr="005B6DA0">
        <w:rPr>
          <w:sz w:val="26"/>
          <w:szCs w:val="26"/>
        </w:rPr>
        <w:t xml:space="preserve"> </w:t>
      </w:r>
      <w:r w:rsidR="00147490" w:rsidRPr="005B6DA0">
        <w:rPr>
          <w:sz w:val="26"/>
          <w:szCs w:val="26"/>
        </w:rPr>
        <w:t>jāpatur vairākas</w:t>
      </w:r>
      <w:r w:rsidR="00F11160" w:rsidRPr="005B6DA0">
        <w:rPr>
          <w:sz w:val="26"/>
          <w:szCs w:val="26"/>
        </w:rPr>
        <w:t xml:space="preserve"> citas EKA izvēles programmas</w:t>
      </w:r>
      <w:r w:rsidR="006D2B2E" w:rsidRPr="005B6DA0">
        <w:rPr>
          <w:sz w:val="26"/>
          <w:szCs w:val="26"/>
        </w:rPr>
        <w:t>, piemēram,</w:t>
      </w:r>
      <w:r w:rsidR="00147490" w:rsidRPr="005B6DA0">
        <w:rPr>
          <w:sz w:val="26"/>
          <w:szCs w:val="26"/>
        </w:rPr>
        <w:t xml:space="preserve"> Industriālās attīstības un zinātnisko eksperimentu programma – (</w:t>
      </w:r>
      <w:proofErr w:type="spellStart"/>
      <w:r w:rsidR="00147490" w:rsidRPr="005B6DA0">
        <w:rPr>
          <w:i/>
          <w:sz w:val="26"/>
          <w:szCs w:val="26"/>
        </w:rPr>
        <w:t>PROgramme</w:t>
      </w:r>
      <w:proofErr w:type="spellEnd"/>
      <w:r w:rsidR="00147490" w:rsidRPr="005B6DA0">
        <w:rPr>
          <w:i/>
          <w:sz w:val="26"/>
          <w:szCs w:val="26"/>
        </w:rPr>
        <w:t xml:space="preserve"> </w:t>
      </w:r>
      <w:proofErr w:type="spellStart"/>
      <w:r w:rsidR="00147490" w:rsidRPr="005B6DA0">
        <w:rPr>
          <w:i/>
          <w:sz w:val="26"/>
          <w:szCs w:val="26"/>
        </w:rPr>
        <w:t>de</w:t>
      </w:r>
      <w:proofErr w:type="spellEnd"/>
      <w:r w:rsidR="00147490" w:rsidRPr="005B6DA0">
        <w:rPr>
          <w:i/>
          <w:sz w:val="26"/>
          <w:szCs w:val="26"/>
        </w:rPr>
        <w:t xml:space="preserve"> </w:t>
      </w:r>
      <w:proofErr w:type="spellStart"/>
      <w:r w:rsidR="00147490" w:rsidRPr="005B6DA0">
        <w:rPr>
          <w:i/>
          <w:sz w:val="26"/>
          <w:szCs w:val="26"/>
        </w:rPr>
        <w:t>Développement</w:t>
      </w:r>
      <w:proofErr w:type="spellEnd"/>
      <w:r w:rsidR="00147490" w:rsidRPr="005B6DA0">
        <w:rPr>
          <w:i/>
          <w:sz w:val="26"/>
          <w:szCs w:val="26"/>
        </w:rPr>
        <w:t xml:space="preserve"> </w:t>
      </w:r>
      <w:proofErr w:type="spellStart"/>
      <w:r w:rsidR="00147490" w:rsidRPr="005B6DA0">
        <w:rPr>
          <w:i/>
          <w:sz w:val="26"/>
          <w:szCs w:val="26"/>
        </w:rPr>
        <w:t>d'Expériences</w:t>
      </w:r>
      <w:proofErr w:type="spellEnd"/>
      <w:r w:rsidR="00147490" w:rsidRPr="005B6DA0">
        <w:rPr>
          <w:i/>
          <w:sz w:val="26"/>
          <w:szCs w:val="26"/>
        </w:rPr>
        <w:t xml:space="preserve"> </w:t>
      </w:r>
      <w:proofErr w:type="spellStart"/>
      <w:r w:rsidR="00147490" w:rsidRPr="005B6DA0">
        <w:rPr>
          <w:i/>
          <w:sz w:val="26"/>
          <w:szCs w:val="26"/>
        </w:rPr>
        <w:t>scientifiques</w:t>
      </w:r>
      <w:proofErr w:type="spellEnd"/>
      <w:r w:rsidR="00147490" w:rsidRPr="005B6DA0">
        <w:rPr>
          <w:i/>
          <w:sz w:val="26"/>
          <w:szCs w:val="26"/>
        </w:rPr>
        <w:t xml:space="preserve"> </w:t>
      </w:r>
      <w:r w:rsidR="00A543D0" w:rsidRPr="005B6DA0">
        <w:rPr>
          <w:i/>
          <w:sz w:val="26"/>
          <w:szCs w:val="26"/>
        </w:rPr>
        <w:t>–</w:t>
      </w:r>
      <w:r w:rsidR="00147490" w:rsidRPr="005B6DA0">
        <w:rPr>
          <w:i/>
          <w:sz w:val="26"/>
          <w:szCs w:val="26"/>
        </w:rPr>
        <w:t xml:space="preserve"> PRODEX</w:t>
      </w:r>
      <w:r w:rsidR="00147490" w:rsidRPr="005B6DA0">
        <w:rPr>
          <w:sz w:val="26"/>
          <w:szCs w:val="26"/>
        </w:rPr>
        <w:t>), izvēles programma par kosmosa situācijas apzināšanu (</w:t>
      </w:r>
      <w:proofErr w:type="spellStart"/>
      <w:r w:rsidR="00147490" w:rsidRPr="005B6DA0">
        <w:rPr>
          <w:i/>
          <w:sz w:val="26"/>
          <w:szCs w:val="26"/>
        </w:rPr>
        <w:t>Space</w:t>
      </w:r>
      <w:proofErr w:type="spellEnd"/>
      <w:r w:rsidR="00147490" w:rsidRPr="005B6DA0">
        <w:rPr>
          <w:i/>
          <w:sz w:val="26"/>
          <w:szCs w:val="26"/>
        </w:rPr>
        <w:t xml:space="preserve"> </w:t>
      </w:r>
      <w:proofErr w:type="spellStart"/>
      <w:r w:rsidR="00147490" w:rsidRPr="005B6DA0">
        <w:rPr>
          <w:i/>
          <w:sz w:val="26"/>
          <w:szCs w:val="26"/>
        </w:rPr>
        <w:t>Situational</w:t>
      </w:r>
      <w:proofErr w:type="spellEnd"/>
      <w:r w:rsidR="00147490" w:rsidRPr="005B6DA0">
        <w:rPr>
          <w:i/>
          <w:sz w:val="26"/>
          <w:szCs w:val="26"/>
        </w:rPr>
        <w:t xml:space="preserve"> </w:t>
      </w:r>
      <w:proofErr w:type="spellStart"/>
      <w:r w:rsidR="00147490" w:rsidRPr="005B6DA0">
        <w:rPr>
          <w:i/>
          <w:sz w:val="26"/>
          <w:szCs w:val="26"/>
        </w:rPr>
        <w:t>Awareness</w:t>
      </w:r>
      <w:proofErr w:type="spellEnd"/>
      <w:r w:rsidR="00147490" w:rsidRPr="005B6DA0">
        <w:rPr>
          <w:i/>
          <w:sz w:val="26"/>
          <w:szCs w:val="26"/>
        </w:rPr>
        <w:t xml:space="preserve"> </w:t>
      </w:r>
      <w:proofErr w:type="spellStart"/>
      <w:r w:rsidR="00147490" w:rsidRPr="005B6DA0">
        <w:rPr>
          <w:i/>
          <w:sz w:val="26"/>
          <w:szCs w:val="26"/>
        </w:rPr>
        <w:t>Programme</w:t>
      </w:r>
      <w:proofErr w:type="spellEnd"/>
      <w:r w:rsidR="00147490" w:rsidRPr="005B6DA0">
        <w:rPr>
          <w:i/>
          <w:sz w:val="26"/>
          <w:szCs w:val="26"/>
        </w:rPr>
        <w:t xml:space="preserve"> – SSA</w:t>
      </w:r>
      <w:r w:rsidR="00147490" w:rsidRPr="005B6DA0">
        <w:rPr>
          <w:sz w:val="26"/>
          <w:szCs w:val="26"/>
        </w:rPr>
        <w:t xml:space="preserve">) un </w:t>
      </w:r>
      <w:r w:rsidR="006C691F" w:rsidRPr="005B6DA0">
        <w:rPr>
          <w:sz w:val="26"/>
          <w:szCs w:val="26"/>
        </w:rPr>
        <w:t xml:space="preserve">Eiropas </w:t>
      </w:r>
      <w:r w:rsidR="001C71DE" w:rsidRPr="005B6DA0">
        <w:rPr>
          <w:sz w:val="26"/>
          <w:szCs w:val="26"/>
        </w:rPr>
        <w:t>izpētes pamatprogramma (</w:t>
      </w:r>
      <w:proofErr w:type="spellStart"/>
      <w:r w:rsidR="001C71DE" w:rsidRPr="005B6DA0">
        <w:rPr>
          <w:i/>
          <w:sz w:val="26"/>
          <w:szCs w:val="26"/>
        </w:rPr>
        <w:t>European</w:t>
      </w:r>
      <w:proofErr w:type="spellEnd"/>
      <w:r w:rsidR="001C71DE" w:rsidRPr="005B6DA0">
        <w:rPr>
          <w:i/>
          <w:sz w:val="26"/>
          <w:szCs w:val="26"/>
        </w:rPr>
        <w:t xml:space="preserve"> </w:t>
      </w:r>
      <w:proofErr w:type="spellStart"/>
      <w:r w:rsidR="001C71DE" w:rsidRPr="005B6DA0">
        <w:rPr>
          <w:i/>
          <w:sz w:val="26"/>
          <w:szCs w:val="26"/>
        </w:rPr>
        <w:t>Exploration</w:t>
      </w:r>
      <w:proofErr w:type="spellEnd"/>
      <w:r w:rsidR="001C71DE" w:rsidRPr="005B6DA0">
        <w:rPr>
          <w:i/>
          <w:sz w:val="26"/>
          <w:szCs w:val="26"/>
        </w:rPr>
        <w:t xml:space="preserve"> </w:t>
      </w:r>
      <w:proofErr w:type="spellStart"/>
      <w:r w:rsidR="001C71DE" w:rsidRPr="005B6DA0">
        <w:rPr>
          <w:i/>
          <w:sz w:val="26"/>
          <w:szCs w:val="26"/>
        </w:rPr>
        <w:t>Envelope</w:t>
      </w:r>
      <w:proofErr w:type="spellEnd"/>
      <w:r w:rsidR="001C71DE" w:rsidRPr="005B6DA0">
        <w:rPr>
          <w:i/>
          <w:sz w:val="26"/>
          <w:szCs w:val="26"/>
        </w:rPr>
        <w:t xml:space="preserve"> </w:t>
      </w:r>
      <w:r w:rsidR="00A543D0" w:rsidRPr="005B6DA0">
        <w:rPr>
          <w:i/>
          <w:sz w:val="26"/>
          <w:szCs w:val="26"/>
        </w:rPr>
        <w:t>–</w:t>
      </w:r>
      <w:r w:rsidR="001C71DE" w:rsidRPr="005B6DA0">
        <w:rPr>
          <w:i/>
          <w:sz w:val="26"/>
          <w:szCs w:val="26"/>
        </w:rPr>
        <w:t xml:space="preserve"> E3P</w:t>
      </w:r>
      <w:r w:rsidR="001C71DE" w:rsidRPr="005B6DA0">
        <w:rPr>
          <w:sz w:val="26"/>
          <w:szCs w:val="26"/>
        </w:rPr>
        <w:t>)</w:t>
      </w:r>
      <w:r w:rsidR="00840787" w:rsidRPr="005B6DA0">
        <w:rPr>
          <w:sz w:val="26"/>
          <w:szCs w:val="26"/>
        </w:rPr>
        <w:t>, kurās Latvija</w:t>
      </w:r>
      <w:r w:rsidR="006D2B2E" w:rsidRPr="005B6DA0">
        <w:rPr>
          <w:sz w:val="26"/>
          <w:szCs w:val="26"/>
        </w:rPr>
        <w:t>s</w:t>
      </w:r>
      <w:r w:rsidR="00840787" w:rsidRPr="005B6DA0">
        <w:rPr>
          <w:sz w:val="26"/>
          <w:szCs w:val="26"/>
        </w:rPr>
        <w:t xml:space="preserve"> industrijai ir vērā ņemama ekspertīze</w:t>
      </w:r>
      <w:r w:rsidR="00373A8E" w:rsidRPr="005B6DA0">
        <w:rPr>
          <w:sz w:val="26"/>
          <w:szCs w:val="26"/>
        </w:rPr>
        <w:t xml:space="preserve"> un kurās</w:t>
      </w:r>
      <w:r w:rsidR="006D2B2E" w:rsidRPr="005B6DA0">
        <w:rPr>
          <w:sz w:val="26"/>
          <w:szCs w:val="26"/>
        </w:rPr>
        <w:t xml:space="preserve"> dalība</w:t>
      </w:r>
      <w:r w:rsidR="00373A8E" w:rsidRPr="005B6DA0">
        <w:rPr>
          <w:sz w:val="26"/>
          <w:szCs w:val="26"/>
        </w:rPr>
        <w:t xml:space="preserve"> ir </w:t>
      </w:r>
      <w:r w:rsidR="006D2B2E" w:rsidRPr="005B6DA0">
        <w:rPr>
          <w:sz w:val="26"/>
          <w:szCs w:val="26"/>
        </w:rPr>
        <w:t xml:space="preserve">apsverama </w:t>
      </w:r>
      <w:r w:rsidR="00373A8E" w:rsidRPr="005B6DA0">
        <w:rPr>
          <w:sz w:val="26"/>
          <w:szCs w:val="26"/>
        </w:rPr>
        <w:t xml:space="preserve">nākotnē. </w:t>
      </w:r>
      <w:r w:rsidR="00840787" w:rsidRPr="005B6DA0">
        <w:rPr>
          <w:sz w:val="26"/>
          <w:szCs w:val="26"/>
        </w:rPr>
        <w:t>Latvijas industrijas interes</w:t>
      </w:r>
      <w:r w:rsidR="00F11160" w:rsidRPr="005B6DA0">
        <w:rPr>
          <w:sz w:val="26"/>
          <w:szCs w:val="26"/>
        </w:rPr>
        <w:t>e</w:t>
      </w:r>
      <w:r w:rsidR="002E75B2" w:rsidRPr="005B6DA0">
        <w:rPr>
          <w:sz w:val="26"/>
          <w:szCs w:val="26"/>
        </w:rPr>
        <w:t xml:space="preserve"> un kompetences</w:t>
      </w:r>
      <w:r w:rsidR="00840787" w:rsidRPr="005B6DA0">
        <w:rPr>
          <w:sz w:val="26"/>
          <w:szCs w:val="26"/>
        </w:rPr>
        <w:t xml:space="preserve"> iesais</w:t>
      </w:r>
      <w:r w:rsidR="00BF5D9D" w:rsidRPr="005B6DA0">
        <w:rPr>
          <w:sz w:val="26"/>
          <w:szCs w:val="26"/>
        </w:rPr>
        <w:t>tīties EKA izvēles programmās</w:t>
      </w:r>
      <w:r w:rsidR="00F11160" w:rsidRPr="005B6DA0">
        <w:rPr>
          <w:sz w:val="26"/>
          <w:szCs w:val="26"/>
        </w:rPr>
        <w:t xml:space="preserve"> ir apkopotas Tabulā Nr. 7</w:t>
      </w:r>
      <w:r w:rsidR="00BF5D9D" w:rsidRPr="005B6DA0">
        <w:rPr>
          <w:sz w:val="26"/>
          <w:szCs w:val="26"/>
        </w:rPr>
        <w:t xml:space="preserve">. </w:t>
      </w:r>
    </w:p>
    <w:p w14:paraId="53899AEE" w14:textId="10A6C720" w:rsidR="005A235B" w:rsidRPr="005A235B" w:rsidRDefault="00840787" w:rsidP="005A235B">
      <w:pPr>
        <w:jc w:val="right"/>
      </w:pPr>
      <w:r w:rsidRPr="002B4A49">
        <w:t>Tabula</w:t>
      </w:r>
      <w:r w:rsidR="006D2B2E" w:rsidRPr="002B4A49">
        <w:t xml:space="preserve"> Nr.</w:t>
      </w:r>
      <w:r w:rsidRPr="002B4A49">
        <w:t xml:space="preserve"> 7 </w:t>
      </w:r>
    </w:p>
    <w:p w14:paraId="61097B2B" w14:textId="77777777" w:rsidR="005A235B" w:rsidRDefault="005A235B" w:rsidP="00840787">
      <w:pPr>
        <w:jc w:val="center"/>
        <w:rPr>
          <w:b/>
        </w:rPr>
      </w:pPr>
    </w:p>
    <w:p w14:paraId="2FBEB2CC" w14:textId="428EC055" w:rsidR="00840787" w:rsidRPr="003274D0" w:rsidRDefault="00840787" w:rsidP="00840787">
      <w:pPr>
        <w:jc w:val="center"/>
        <w:rPr>
          <w:b/>
        </w:rPr>
      </w:pPr>
      <w:r w:rsidRPr="003274D0">
        <w:rPr>
          <w:b/>
        </w:rPr>
        <w:t>Latvijas industrija</w:t>
      </w:r>
      <w:r w:rsidR="002B0DA2" w:rsidRPr="003274D0">
        <w:rPr>
          <w:b/>
        </w:rPr>
        <w:t xml:space="preserve">s kompetences </w:t>
      </w:r>
      <w:r w:rsidRPr="003274D0">
        <w:rPr>
          <w:b/>
        </w:rPr>
        <w:t>EKA izvēles programmās</w:t>
      </w:r>
    </w:p>
    <w:p w14:paraId="41DDFB0D" w14:textId="77777777" w:rsidR="00840787" w:rsidRDefault="00840787" w:rsidP="00840787">
      <w:pPr>
        <w:jc w:val="center"/>
        <w:rPr>
          <w:b/>
        </w:rPr>
      </w:pPr>
    </w:p>
    <w:tbl>
      <w:tblPr>
        <w:tblStyle w:val="GridTable4-Accent4"/>
        <w:tblW w:w="9041" w:type="dxa"/>
        <w:tblLayout w:type="fixed"/>
        <w:tblLook w:val="04A0" w:firstRow="1" w:lastRow="0" w:firstColumn="1" w:lastColumn="0" w:noHBand="0" w:noVBand="1"/>
      </w:tblPr>
      <w:tblGrid>
        <w:gridCol w:w="3114"/>
        <w:gridCol w:w="931"/>
        <w:gridCol w:w="1053"/>
        <w:gridCol w:w="851"/>
        <w:gridCol w:w="1042"/>
        <w:gridCol w:w="1113"/>
        <w:gridCol w:w="937"/>
      </w:tblGrid>
      <w:tr w:rsidR="00840787" w:rsidRPr="0043682C" w14:paraId="564C3355" w14:textId="7A6909A6" w:rsidTr="0030486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hideMark/>
          </w:tcPr>
          <w:p w14:paraId="368F402F" w14:textId="77777777" w:rsidR="00840787" w:rsidRPr="003274D0" w:rsidRDefault="00840787" w:rsidP="00796453">
            <w:pPr>
              <w:spacing w:line="247" w:lineRule="auto"/>
              <w:rPr>
                <w:rFonts w:ascii="Cambria" w:eastAsia="Times New Roman" w:hAnsi="Cambria" w:cs="Calibri"/>
                <w:color w:val="000000" w:themeColor="text1"/>
                <w:lang w:val="en-GB" w:eastAsia="et-EE"/>
              </w:rPr>
            </w:pPr>
            <w:r w:rsidRPr="003274D0">
              <w:rPr>
                <w:rFonts w:ascii="Cambria" w:eastAsia="Times New Roman" w:hAnsi="Cambria" w:cs="Calibri"/>
                <w:color w:val="000000" w:themeColor="text1"/>
                <w:lang w:val="en-GB" w:eastAsia="et-EE"/>
              </w:rPr>
              <w:t> </w:t>
            </w:r>
          </w:p>
        </w:tc>
        <w:tc>
          <w:tcPr>
            <w:tcW w:w="931" w:type="dxa"/>
            <w:tcBorders>
              <w:top w:val="single" w:sz="4" w:space="0" w:color="auto"/>
              <w:left w:val="single" w:sz="4" w:space="0" w:color="auto"/>
              <w:bottom w:val="single" w:sz="4" w:space="0" w:color="auto"/>
              <w:right w:val="single" w:sz="4" w:space="0" w:color="auto"/>
            </w:tcBorders>
            <w:noWrap/>
            <w:hideMark/>
          </w:tcPr>
          <w:p w14:paraId="309E2B5C" w14:textId="77777777" w:rsidR="00840787" w:rsidRPr="003274D0"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lang w:val="en-GB" w:eastAsia="et-EE"/>
              </w:rPr>
            </w:pPr>
            <w:r w:rsidRPr="003274D0">
              <w:rPr>
                <w:rFonts w:eastAsia="Times New Roman"/>
                <w:color w:val="000000" w:themeColor="text1"/>
                <w:lang w:val="en-GB" w:eastAsia="et-EE"/>
              </w:rPr>
              <w:t>GSTP</w:t>
            </w:r>
          </w:p>
        </w:tc>
        <w:tc>
          <w:tcPr>
            <w:tcW w:w="1053" w:type="dxa"/>
            <w:tcBorders>
              <w:top w:val="single" w:sz="4" w:space="0" w:color="auto"/>
              <w:left w:val="single" w:sz="4" w:space="0" w:color="auto"/>
              <w:bottom w:val="single" w:sz="4" w:space="0" w:color="auto"/>
              <w:right w:val="single" w:sz="4" w:space="0" w:color="auto"/>
            </w:tcBorders>
            <w:noWrap/>
            <w:hideMark/>
          </w:tcPr>
          <w:p w14:paraId="3EF22B8F" w14:textId="70525326" w:rsidR="00840787" w:rsidRPr="003274D0"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lang w:val="en-GB" w:eastAsia="et-EE"/>
              </w:rPr>
            </w:pPr>
            <w:r w:rsidRPr="003274D0">
              <w:rPr>
                <w:rFonts w:eastAsia="Times New Roman"/>
                <w:color w:val="000000" w:themeColor="text1"/>
                <w:lang w:val="en-GB" w:eastAsia="et-EE"/>
              </w:rPr>
              <w:t>EOEP</w:t>
            </w:r>
          </w:p>
        </w:tc>
        <w:tc>
          <w:tcPr>
            <w:tcW w:w="851" w:type="dxa"/>
            <w:tcBorders>
              <w:top w:val="single" w:sz="4" w:space="0" w:color="auto"/>
              <w:left w:val="single" w:sz="4" w:space="0" w:color="auto"/>
              <w:bottom w:val="single" w:sz="4" w:space="0" w:color="auto"/>
              <w:right w:val="single" w:sz="4" w:space="0" w:color="auto"/>
            </w:tcBorders>
            <w:noWrap/>
            <w:hideMark/>
          </w:tcPr>
          <w:p w14:paraId="6B7DDD32" w14:textId="214CC0CF" w:rsidR="00840787" w:rsidRPr="003274D0"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lang w:val="en-GB" w:eastAsia="et-EE"/>
              </w:rPr>
            </w:pPr>
            <w:r w:rsidRPr="003274D0">
              <w:rPr>
                <w:rFonts w:eastAsia="Times New Roman"/>
                <w:color w:val="000000" w:themeColor="text1"/>
                <w:lang w:val="en-GB" w:eastAsia="et-EE"/>
              </w:rPr>
              <w:t>SSA</w:t>
            </w:r>
          </w:p>
        </w:tc>
        <w:tc>
          <w:tcPr>
            <w:tcW w:w="1042" w:type="dxa"/>
            <w:tcBorders>
              <w:top w:val="single" w:sz="4" w:space="0" w:color="auto"/>
              <w:left w:val="single" w:sz="4" w:space="0" w:color="auto"/>
              <w:bottom w:val="single" w:sz="4" w:space="0" w:color="auto"/>
              <w:right w:val="single" w:sz="4" w:space="0" w:color="auto"/>
            </w:tcBorders>
            <w:noWrap/>
            <w:hideMark/>
          </w:tcPr>
          <w:p w14:paraId="569BB59B" w14:textId="61683F60" w:rsidR="00840787" w:rsidRPr="003274D0"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lang w:val="en-GB" w:eastAsia="et-EE"/>
              </w:rPr>
            </w:pPr>
            <w:r w:rsidRPr="003274D0">
              <w:rPr>
                <w:rFonts w:eastAsia="Times New Roman"/>
                <w:color w:val="000000" w:themeColor="text1"/>
                <w:lang w:val="en-GB" w:eastAsia="et-EE"/>
              </w:rPr>
              <w:t>FLPP</w:t>
            </w:r>
            <w:r w:rsidRPr="003274D0">
              <w:rPr>
                <w:rStyle w:val="FootnoteReference"/>
                <w:rFonts w:eastAsia="Times New Roman"/>
                <w:color w:val="000000" w:themeColor="text1"/>
                <w:lang w:val="en-GB" w:eastAsia="et-EE"/>
              </w:rPr>
              <w:footnoteReference w:id="14"/>
            </w:r>
          </w:p>
        </w:tc>
        <w:tc>
          <w:tcPr>
            <w:tcW w:w="1113" w:type="dxa"/>
            <w:tcBorders>
              <w:top w:val="single" w:sz="4" w:space="0" w:color="auto"/>
              <w:left w:val="single" w:sz="4" w:space="0" w:color="auto"/>
              <w:bottom w:val="single" w:sz="4" w:space="0" w:color="auto"/>
              <w:right w:val="single" w:sz="4" w:space="0" w:color="auto"/>
            </w:tcBorders>
            <w:noWrap/>
            <w:hideMark/>
          </w:tcPr>
          <w:p w14:paraId="2E92F19F" w14:textId="77777777" w:rsidR="00840787" w:rsidRPr="003274D0" w:rsidRDefault="00840787" w:rsidP="003274D0">
            <w:pPr>
              <w:spacing w:line="247" w:lineRule="auto"/>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lang w:val="en-GB" w:eastAsia="et-EE"/>
              </w:rPr>
            </w:pPr>
            <w:r w:rsidRPr="003274D0">
              <w:rPr>
                <w:rFonts w:eastAsia="Times New Roman"/>
                <w:color w:val="000000" w:themeColor="text1"/>
                <w:lang w:val="en-GB" w:eastAsia="et-EE"/>
              </w:rPr>
              <w:t>PRODEX</w:t>
            </w:r>
          </w:p>
        </w:tc>
        <w:tc>
          <w:tcPr>
            <w:tcW w:w="937" w:type="dxa"/>
            <w:tcBorders>
              <w:top w:val="single" w:sz="4" w:space="0" w:color="auto"/>
              <w:left w:val="single" w:sz="4" w:space="0" w:color="auto"/>
              <w:bottom w:val="single" w:sz="4" w:space="0" w:color="auto"/>
              <w:right w:val="single" w:sz="4" w:space="0" w:color="auto"/>
            </w:tcBorders>
          </w:tcPr>
          <w:p w14:paraId="2AA425F5" w14:textId="6B010533" w:rsidR="00840787" w:rsidRPr="003274D0" w:rsidRDefault="00840787" w:rsidP="003274D0">
            <w:pPr>
              <w:spacing w:line="247" w:lineRule="auto"/>
              <w:ind w:left="-57" w:right="-57"/>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lang w:val="en-GB" w:eastAsia="et-EE"/>
              </w:rPr>
            </w:pPr>
            <w:r w:rsidRPr="003274D0">
              <w:rPr>
                <w:rFonts w:eastAsia="Times New Roman"/>
                <w:color w:val="000000" w:themeColor="text1"/>
                <w:lang w:val="en-GB" w:eastAsia="et-EE"/>
              </w:rPr>
              <w:t>E3P</w:t>
            </w:r>
          </w:p>
        </w:tc>
      </w:tr>
      <w:tr w:rsidR="00840787" w:rsidRPr="0043682C" w14:paraId="7A55FC7F" w14:textId="7650FD32" w:rsidTr="003048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tcBorders>
            <w:hideMark/>
          </w:tcPr>
          <w:p w14:paraId="445A2429" w14:textId="334135E8" w:rsidR="00840787" w:rsidRPr="0030486A" w:rsidRDefault="00840787"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Vides </w:t>
            </w:r>
            <w:r w:rsidR="00A543D0" w:rsidRPr="0030486A">
              <w:rPr>
                <w:rFonts w:eastAsia="Times New Roman"/>
                <w:color w:val="000000"/>
                <w:sz w:val="22"/>
                <w:lang w:eastAsia="et-EE"/>
              </w:rPr>
              <w:t xml:space="preserve">risinājumu </w:t>
            </w:r>
            <w:r w:rsidRPr="0030486A">
              <w:rPr>
                <w:rFonts w:eastAsia="Times New Roman"/>
                <w:color w:val="000000"/>
                <w:sz w:val="22"/>
                <w:lang w:eastAsia="et-EE"/>
              </w:rPr>
              <w:t>institūts</w:t>
            </w:r>
          </w:p>
        </w:tc>
        <w:tc>
          <w:tcPr>
            <w:tcW w:w="931" w:type="dxa"/>
            <w:tcBorders>
              <w:top w:val="single" w:sz="4" w:space="0" w:color="auto"/>
            </w:tcBorders>
            <w:noWrap/>
            <w:hideMark/>
          </w:tcPr>
          <w:p w14:paraId="512A2265" w14:textId="50FB0DD1" w:rsidR="00840787" w:rsidRPr="0043682C" w:rsidRDefault="002E75B2"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7696" behindDoc="0" locked="0" layoutInCell="1" allowOverlap="1" wp14:anchorId="54EC8154" wp14:editId="11CC789D">
                  <wp:simplePos x="0" y="0"/>
                  <wp:positionH relativeFrom="column">
                    <wp:posOffset>112395</wp:posOffset>
                  </wp:positionH>
                  <wp:positionV relativeFrom="paragraph">
                    <wp:posOffset>-12065</wp:posOffset>
                  </wp:positionV>
                  <wp:extent cx="222250" cy="21590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15900"/>
                          </a:xfrm>
                          <a:prstGeom prst="rect">
                            <a:avLst/>
                          </a:prstGeom>
                        </pic:spPr>
                      </pic:pic>
                    </a:graphicData>
                  </a:graphic>
                  <wp14:sizeRelH relativeFrom="page">
                    <wp14:pctWidth>0</wp14:pctWidth>
                  </wp14:sizeRelH>
                  <wp14:sizeRelV relativeFrom="page">
                    <wp14:pctHeight>0</wp14:pctHeight>
                  </wp14:sizeRelV>
                </wp:anchor>
              </w:drawing>
            </w:r>
            <w:r w:rsidR="00840787" w:rsidRPr="0043682C">
              <w:rPr>
                <w:rFonts w:ascii="Cambria" w:eastAsia="Times New Roman" w:hAnsi="Cambria" w:cs="Calibri"/>
                <w:color w:val="000000"/>
                <w:sz w:val="20"/>
                <w:szCs w:val="20"/>
                <w:lang w:val="en-GB" w:eastAsia="et-EE"/>
              </w:rPr>
              <w:t> </w:t>
            </w:r>
          </w:p>
        </w:tc>
        <w:tc>
          <w:tcPr>
            <w:tcW w:w="1053" w:type="dxa"/>
            <w:tcBorders>
              <w:top w:val="single" w:sz="4" w:space="0" w:color="auto"/>
            </w:tcBorders>
            <w:noWrap/>
            <w:hideMark/>
          </w:tcPr>
          <w:p w14:paraId="58764CF0"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1552" behindDoc="0" locked="0" layoutInCell="1" allowOverlap="1" wp14:anchorId="021C8D3D" wp14:editId="093BDE62">
                  <wp:simplePos x="0" y="0"/>
                  <wp:positionH relativeFrom="column">
                    <wp:posOffset>123825</wp:posOffset>
                  </wp:positionH>
                  <wp:positionV relativeFrom="paragraph">
                    <wp:posOffset>14605</wp:posOffset>
                  </wp:positionV>
                  <wp:extent cx="215900" cy="2159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tcBorders>
            <w:noWrap/>
            <w:hideMark/>
          </w:tcPr>
          <w:p w14:paraId="4D7281A2"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042" w:type="dxa"/>
            <w:tcBorders>
              <w:top w:val="single" w:sz="4" w:space="0" w:color="auto"/>
            </w:tcBorders>
            <w:noWrap/>
            <w:hideMark/>
          </w:tcPr>
          <w:p w14:paraId="3CE3F3A7"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113" w:type="dxa"/>
            <w:tcBorders>
              <w:top w:val="single" w:sz="4" w:space="0" w:color="auto"/>
            </w:tcBorders>
            <w:noWrap/>
            <w:hideMark/>
          </w:tcPr>
          <w:p w14:paraId="1007124E"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937" w:type="dxa"/>
            <w:tcBorders>
              <w:top w:val="single" w:sz="4" w:space="0" w:color="auto"/>
            </w:tcBorders>
          </w:tcPr>
          <w:p w14:paraId="1C0E5529"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r>
      <w:tr w:rsidR="00840787" w:rsidRPr="0043682C" w14:paraId="282CCA36" w14:textId="6CE5D23E" w:rsidTr="0030486A">
        <w:trPr>
          <w:trHeight w:val="341"/>
        </w:trPr>
        <w:tc>
          <w:tcPr>
            <w:cnfStyle w:val="001000000000" w:firstRow="0" w:lastRow="0" w:firstColumn="1" w:lastColumn="0" w:oddVBand="0" w:evenVBand="0" w:oddHBand="0" w:evenHBand="0" w:firstRowFirstColumn="0" w:firstRowLastColumn="0" w:lastRowFirstColumn="0" w:lastRowLastColumn="0"/>
            <w:tcW w:w="3114" w:type="dxa"/>
            <w:hideMark/>
          </w:tcPr>
          <w:p w14:paraId="4FC47CE3" w14:textId="77777777" w:rsidR="00840787" w:rsidRPr="0030486A" w:rsidRDefault="00840787" w:rsidP="00796453">
            <w:pPr>
              <w:spacing w:line="247" w:lineRule="auto"/>
              <w:rPr>
                <w:rFonts w:eastAsia="Times New Roman"/>
                <w:b w:val="0"/>
                <w:bCs w:val="0"/>
                <w:color w:val="000000"/>
                <w:sz w:val="22"/>
                <w:lang w:eastAsia="et-EE"/>
              </w:rPr>
            </w:pPr>
            <w:proofErr w:type="spellStart"/>
            <w:r w:rsidRPr="0030486A">
              <w:rPr>
                <w:rFonts w:eastAsia="Times New Roman"/>
                <w:color w:val="000000"/>
                <w:sz w:val="22"/>
                <w:lang w:eastAsia="et-EE"/>
              </w:rPr>
              <w:t>Eventech</w:t>
            </w:r>
            <w:proofErr w:type="spellEnd"/>
            <w:r w:rsidRPr="0030486A">
              <w:rPr>
                <w:rFonts w:eastAsia="Times New Roman"/>
                <w:color w:val="000000"/>
                <w:sz w:val="22"/>
                <w:lang w:eastAsia="et-EE"/>
              </w:rPr>
              <w:t>, SIA</w:t>
            </w:r>
          </w:p>
        </w:tc>
        <w:tc>
          <w:tcPr>
            <w:tcW w:w="931" w:type="dxa"/>
            <w:noWrap/>
            <w:hideMark/>
          </w:tcPr>
          <w:p w14:paraId="3FF7E7E8" w14:textId="05F63279"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69504" behindDoc="0" locked="0" layoutInCell="1" allowOverlap="1" wp14:anchorId="1D4BC85E" wp14:editId="07861DC2">
                  <wp:simplePos x="0" y="0"/>
                  <wp:positionH relativeFrom="column">
                    <wp:posOffset>99695</wp:posOffset>
                  </wp:positionH>
                  <wp:positionV relativeFrom="paragraph">
                    <wp:posOffset>0</wp:posOffset>
                  </wp:positionV>
                  <wp:extent cx="222250" cy="21590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1590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hideMark/>
          </w:tcPr>
          <w:p w14:paraId="24888826"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851" w:type="dxa"/>
            <w:noWrap/>
            <w:hideMark/>
          </w:tcPr>
          <w:p w14:paraId="24DBDD9E"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0528" behindDoc="0" locked="0" layoutInCell="1" allowOverlap="1" wp14:anchorId="1D2DA723" wp14:editId="40FA705A">
                  <wp:simplePos x="0" y="0"/>
                  <wp:positionH relativeFrom="column">
                    <wp:posOffset>98425</wp:posOffset>
                  </wp:positionH>
                  <wp:positionV relativeFrom="paragraph">
                    <wp:posOffset>-14605</wp:posOffset>
                  </wp:positionV>
                  <wp:extent cx="215900" cy="2222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1042" w:type="dxa"/>
            <w:noWrap/>
            <w:hideMark/>
          </w:tcPr>
          <w:p w14:paraId="21D1B8A3"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113" w:type="dxa"/>
            <w:noWrap/>
            <w:hideMark/>
          </w:tcPr>
          <w:p w14:paraId="05A50E93"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937" w:type="dxa"/>
          </w:tcPr>
          <w:p w14:paraId="47BF983F" w14:textId="2464D23A" w:rsidR="00840787" w:rsidRPr="0043682C" w:rsidRDefault="002B0DA2"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96128" behindDoc="0" locked="0" layoutInCell="1" allowOverlap="1" wp14:anchorId="4AE1B7B0" wp14:editId="6BB2AF59">
                  <wp:simplePos x="0" y="0"/>
                  <wp:positionH relativeFrom="column">
                    <wp:posOffset>146050</wp:posOffset>
                  </wp:positionH>
                  <wp:positionV relativeFrom="paragraph">
                    <wp:posOffset>-13970</wp:posOffset>
                  </wp:positionV>
                  <wp:extent cx="215900" cy="2222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r>
      <w:tr w:rsidR="00840787" w:rsidRPr="0043682C" w14:paraId="5B1FA0B5" w14:textId="1C408F51" w:rsidTr="003048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14" w:type="dxa"/>
            <w:hideMark/>
          </w:tcPr>
          <w:p w14:paraId="595644EB" w14:textId="4CAC43B7" w:rsidR="00840787" w:rsidRPr="0030486A" w:rsidRDefault="00366E44" w:rsidP="00366E44">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AS </w:t>
            </w:r>
            <w:r w:rsidR="00840787" w:rsidRPr="0030486A">
              <w:rPr>
                <w:rFonts w:eastAsia="Times New Roman"/>
                <w:color w:val="000000"/>
                <w:sz w:val="22"/>
                <w:lang w:eastAsia="et-EE"/>
              </w:rPr>
              <w:t xml:space="preserve">RD Alfa </w:t>
            </w:r>
          </w:p>
        </w:tc>
        <w:tc>
          <w:tcPr>
            <w:tcW w:w="931" w:type="dxa"/>
            <w:noWrap/>
            <w:hideMark/>
          </w:tcPr>
          <w:p w14:paraId="5D9EDA43" w14:textId="153B2B44"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53" w:type="dxa"/>
            <w:noWrap/>
            <w:hideMark/>
          </w:tcPr>
          <w:p w14:paraId="322835F3"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851" w:type="dxa"/>
            <w:noWrap/>
            <w:hideMark/>
          </w:tcPr>
          <w:p w14:paraId="4BAA7D8C"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042" w:type="dxa"/>
            <w:noWrap/>
            <w:hideMark/>
          </w:tcPr>
          <w:p w14:paraId="669F4EA1"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113" w:type="dxa"/>
            <w:noWrap/>
            <w:hideMark/>
          </w:tcPr>
          <w:p w14:paraId="0898707A"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937" w:type="dxa"/>
          </w:tcPr>
          <w:p w14:paraId="73C6D583"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r>
      <w:tr w:rsidR="00840787" w:rsidRPr="0043682C" w14:paraId="46830043" w14:textId="2DFA008C" w:rsidTr="0030486A">
        <w:trPr>
          <w:trHeight w:val="341"/>
        </w:trPr>
        <w:tc>
          <w:tcPr>
            <w:cnfStyle w:val="001000000000" w:firstRow="0" w:lastRow="0" w:firstColumn="1" w:lastColumn="0" w:oddVBand="0" w:evenVBand="0" w:oddHBand="0" w:evenHBand="0" w:firstRowFirstColumn="0" w:firstRowLastColumn="0" w:lastRowFirstColumn="0" w:lastRowLastColumn="0"/>
            <w:tcW w:w="3114" w:type="dxa"/>
            <w:hideMark/>
          </w:tcPr>
          <w:p w14:paraId="676515EB" w14:textId="661D0144" w:rsidR="00840787"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LV Koksnes ķīmijas institūts</w:t>
            </w:r>
          </w:p>
        </w:tc>
        <w:tc>
          <w:tcPr>
            <w:tcW w:w="931" w:type="dxa"/>
            <w:noWrap/>
            <w:hideMark/>
          </w:tcPr>
          <w:p w14:paraId="2C06D43B"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3600" behindDoc="0" locked="0" layoutInCell="1" allowOverlap="1" wp14:anchorId="42E3625A" wp14:editId="704B0744">
                  <wp:simplePos x="0" y="0"/>
                  <wp:positionH relativeFrom="column">
                    <wp:posOffset>99060</wp:posOffset>
                  </wp:positionH>
                  <wp:positionV relativeFrom="paragraph">
                    <wp:posOffset>-11430</wp:posOffset>
                  </wp:positionV>
                  <wp:extent cx="222250" cy="222250"/>
                  <wp:effectExtent l="0" t="0" r="6350" b="635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hideMark/>
          </w:tcPr>
          <w:p w14:paraId="1D089894"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851" w:type="dxa"/>
            <w:noWrap/>
            <w:hideMark/>
          </w:tcPr>
          <w:p w14:paraId="6DD221A2"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042" w:type="dxa"/>
            <w:noWrap/>
            <w:hideMark/>
          </w:tcPr>
          <w:p w14:paraId="316122B6"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4624" behindDoc="0" locked="0" layoutInCell="1" allowOverlap="1" wp14:anchorId="5BAC6838" wp14:editId="3A02A9B5">
                  <wp:simplePos x="0" y="0"/>
                  <wp:positionH relativeFrom="column">
                    <wp:posOffset>111125</wp:posOffset>
                  </wp:positionH>
                  <wp:positionV relativeFrom="paragraph">
                    <wp:posOffset>-1905</wp:posOffset>
                  </wp:positionV>
                  <wp:extent cx="222250" cy="222250"/>
                  <wp:effectExtent l="0" t="0" r="6350" b="635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113" w:type="dxa"/>
            <w:noWrap/>
            <w:hideMark/>
          </w:tcPr>
          <w:p w14:paraId="767D7874"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937" w:type="dxa"/>
          </w:tcPr>
          <w:p w14:paraId="6AF3BB5F"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r>
      <w:tr w:rsidR="00840787" w:rsidRPr="0043682C" w14:paraId="753C0C0F" w14:textId="2368146A" w:rsidTr="0030486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114" w:type="dxa"/>
            <w:hideMark/>
          </w:tcPr>
          <w:p w14:paraId="2AADE993" w14:textId="0B24F190" w:rsidR="00840787"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Rīgas Tehniskā universitāte</w:t>
            </w:r>
          </w:p>
        </w:tc>
        <w:tc>
          <w:tcPr>
            <w:tcW w:w="931" w:type="dxa"/>
            <w:noWrap/>
            <w:hideMark/>
          </w:tcPr>
          <w:p w14:paraId="6CE68112"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6672" behindDoc="0" locked="0" layoutInCell="1" allowOverlap="1" wp14:anchorId="77556604" wp14:editId="01D0D978">
                  <wp:simplePos x="0" y="0"/>
                  <wp:positionH relativeFrom="column">
                    <wp:posOffset>97155</wp:posOffset>
                  </wp:positionH>
                  <wp:positionV relativeFrom="paragraph">
                    <wp:posOffset>4445</wp:posOffset>
                  </wp:positionV>
                  <wp:extent cx="215900" cy="2222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hideMark/>
          </w:tcPr>
          <w:p w14:paraId="61F2731E"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851" w:type="dxa"/>
            <w:noWrap/>
            <w:hideMark/>
          </w:tcPr>
          <w:p w14:paraId="2D372F2D"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042" w:type="dxa"/>
            <w:noWrap/>
            <w:hideMark/>
          </w:tcPr>
          <w:p w14:paraId="39198CB1"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5648" behindDoc="0" locked="0" layoutInCell="1" allowOverlap="1" wp14:anchorId="492B1A91" wp14:editId="42C18B49">
                  <wp:simplePos x="0" y="0"/>
                  <wp:positionH relativeFrom="column">
                    <wp:posOffset>120650</wp:posOffset>
                  </wp:positionH>
                  <wp:positionV relativeFrom="paragraph">
                    <wp:posOffset>5080</wp:posOffset>
                  </wp:positionV>
                  <wp:extent cx="222250" cy="222250"/>
                  <wp:effectExtent l="0" t="0" r="6350" b="635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113" w:type="dxa"/>
            <w:noWrap/>
            <w:hideMark/>
          </w:tcPr>
          <w:p w14:paraId="243736BF"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937" w:type="dxa"/>
          </w:tcPr>
          <w:p w14:paraId="6AE3E55F"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r>
      <w:tr w:rsidR="00366E44" w:rsidRPr="0043682C" w14:paraId="20F6C866" w14:textId="77777777" w:rsidTr="0030486A">
        <w:trPr>
          <w:trHeight w:val="341"/>
        </w:trPr>
        <w:tc>
          <w:tcPr>
            <w:cnfStyle w:val="001000000000" w:firstRow="0" w:lastRow="0" w:firstColumn="1" w:lastColumn="0" w:oddVBand="0" w:evenVBand="0" w:oddHBand="0" w:evenHBand="0" w:firstRowFirstColumn="0" w:firstRowLastColumn="0" w:lastRowFirstColumn="0" w:lastRowLastColumn="0"/>
            <w:tcW w:w="3114" w:type="dxa"/>
          </w:tcPr>
          <w:p w14:paraId="7379210D" w14:textId="24E388AD" w:rsidR="00366E44"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Latvijas Universitāte</w:t>
            </w:r>
          </w:p>
        </w:tc>
        <w:tc>
          <w:tcPr>
            <w:tcW w:w="931" w:type="dxa"/>
            <w:noWrap/>
          </w:tcPr>
          <w:p w14:paraId="08F5F0E7" w14:textId="0A8280D6"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color w:val="000000"/>
                <w:sz w:val="20"/>
                <w:szCs w:val="20"/>
                <w:lang w:val="en-US"/>
              </w:rPr>
            </w:pPr>
          </w:p>
        </w:tc>
        <w:tc>
          <w:tcPr>
            <w:tcW w:w="1053" w:type="dxa"/>
            <w:noWrap/>
          </w:tcPr>
          <w:p w14:paraId="5E278716" w14:textId="72029195"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851" w:type="dxa"/>
            <w:noWrap/>
          </w:tcPr>
          <w:p w14:paraId="2D764789" w14:textId="00583FE3"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83840" behindDoc="0" locked="0" layoutInCell="1" allowOverlap="1" wp14:anchorId="549788A8" wp14:editId="0BAEA73D">
                  <wp:simplePos x="0" y="0"/>
                  <wp:positionH relativeFrom="column">
                    <wp:posOffset>92075</wp:posOffset>
                  </wp:positionH>
                  <wp:positionV relativeFrom="paragraph">
                    <wp:posOffset>-15875</wp:posOffset>
                  </wp:positionV>
                  <wp:extent cx="222250" cy="222250"/>
                  <wp:effectExtent l="0" t="0" r="6350" b="6350"/>
                  <wp:wrapNone/>
                  <wp:docPr id="15" name="Picture 15"/>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42" w:type="dxa"/>
            <w:noWrap/>
          </w:tcPr>
          <w:p w14:paraId="2DA325DE"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color w:val="000000"/>
                <w:sz w:val="20"/>
                <w:szCs w:val="20"/>
                <w:lang w:val="en-US"/>
              </w:rPr>
            </w:pPr>
          </w:p>
        </w:tc>
        <w:tc>
          <w:tcPr>
            <w:tcW w:w="1113" w:type="dxa"/>
            <w:noWrap/>
          </w:tcPr>
          <w:p w14:paraId="66F079FB"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937" w:type="dxa"/>
          </w:tcPr>
          <w:p w14:paraId="32848533"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r>
      <w:tr w:rsidR="003C4510" w:rsidRPr="0043682C" w14:paraId="31ABACC3" w14:textId="77777777" w:rsidTr="0030486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114" w:type="dxa"/>
          </w:tcPr>
          <w:p w14:paraId="3F06DA8D" w14:textId="6E706552" w:rsidR="003C4510" w:rsidRPr="0030486A" w:rsidRDefault="00B4310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SIA </w:t>
            </w:r>
            <w:proofErr w:type="spellStart"/>
            <w:r w:rsidR="003C4510" w:rsidRPr="0030486A">
              <w:rPr>
                <w:rFonts w:eastAsia="Times New Roman"/>
                <w:color w:val="000000"/>
                <w:sz w:val="22"/>
                <w:lang w:eastAsia="et-EE"/>
              </w:rPr>
              <w:t>Ba</w:t>
            </w:r>
            <w:r w:rsidRPr="0030486A">
              <w:rPr>
                <w:rFonts w:eastAsia="Times New Roman"/>
                <w:color w:val="000000"/>
                <w:sz w:val="22"/>
                <w:lang w:eastAsia="et-EE"/>
              </w:rPr>
              <w:t>ltic</w:t>
            </w:r>
            <w:proofErr w:type="spellEnd"/>
            <w:r w:rsidRPr="0030486A">
              <w:rPr>
                <w:rFonts w:eastAsia="Times New Roman"/>
                <w:color w:val="000000"/>
                <w:sz w:val="22"/>
                <w:lang w:eastAsia="et-EE"/>
              </w:rPr>
              <w:t xml:space="preserve"> </w:t>
            </w:r>
            <w:proofErr w:type="spellStart"/>
            <w:r w:rsidRPr="0030486A">
              <w:rPr>
                <w:rFonts w:eastAsia="Times New Roman"/>
                <w:color w:val="000000"/>
                <w:sz w:val="22"/>
                <w:lang w:eastAsia="et-EE"/>
              </w:rPr>
              <w:t>Scientific</w:t>
            </w:r>
            <w:proofErr w:type="spellEnd"/>
            <w:r w:rsidRPr="0030486A">
              <w:rPr>
                <w:rFonts w:eastAsia="Times New Roman"/>
                <w:color w:val="000000"/>
                <w:sz w:val="22"/>
                <w:lang w:eastAsia="et-EE"/>
              </w:rPr>
              <w:t xml:space="preserve"> Instruments</w:t>
            </w:r>
          </w:p>
        </w:tc>
        <w:tc>
          <w:tcPr>
            <w:tcW w:w="931" w:type="dxa"/>
            <w:noWrap/>
          </w:tcPr>
          <w:p w14:paraId="04FB389B" w14:textId="4B953C87" w:rsidR="003C4510" w:rsidRPr="0043682C" w:rsidRDefault="002B4A49"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color w:val="000000"/>
                <w:sz w:val="20"/>
                <w:szCs w:val="20"/>
                <w:lang w:val="en-US"/>
              </w:rPr>
            </w:pPr>
            <w:r w:rsidRPr="0043682C">
              <w:rPr>
                <w:rFonts w:ascii="Cambria" w:eastAsia="Times New Roman" w:hAnsi="Cambria" w:cs="Calibri"/>
                <w:noProof/>
                <w:color w:val="000000"/>
                <w:sz w:val="20"/>
                <w:szCs w:val="20"/>
                <w:lang w:eastAsia="lv-LV"/>
              </w:rPr>
              <w:drawing>
                <wp:anchor distT="0" distB="0" distL="114300" distR="114300" simplePos="0" relativeHeight="251694080" behindDoc="0" locked="0" layoutInCell="1" allowOverlap="1" wp14:anchorId="4553B59D" wp14:editId="630B8D13">
                  <wp:simplePos x="0" y="0"/>
                  <wp:positionH relativeFrom="column">
                    <wp:posOffset>101600</wp:posOffset>
                  </wp:positionH>
                  <wp:positionV relativeFrom="paragraph">
                    <wp:posOffset>-635</wp:posOffset>
                  </wp:positionV>
                  <wp:extent cx="222250" cy="222250"/>
                  <wp:effectExtent l="0" t="0" r="6350" b="6350"/>
                  <wp:wrapNone/>
                  <wp:docPr id="20" name="Picture 20"/>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tcPr>
          <w:p w14:paraId="34B75392" w14:textId="6797E455" w:rsidR="003C4510" w:rsidRPr="0043682C" w:rsidRDefault="0030486A"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2576" behindDoc="0" locked="0" layoutInCell="1" allowOverlap="1" wp14:anchorId="418140D8" wp14:editId="062D095A">
                  <wp:simplePos x="0" y="0"/>
                  <wp:positionH relativeFrom="column">
                    <wp:posOffset>88900</wp:posOffset>
                  </wp:positionH>
                  <wp:positionV relativeFrom="paragraph">
                    <wp:posOffset>24130</wp:posOffset>
                  </wp:positionV>
                  <wp:extent cx="215900" cy="222250"/>
                  <wp:effectExtent l="0" t="0" r="0" b="635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tcPr>
          <w:p w14:paraId="780DE9E4" w14:textId="77777777" w:rsidR="003C4510" w:rsidRPr="0043682C"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color w:val="000000"/>
                <w:sz w:val="20"/>
                <w:szCs w:val="20"/>
                <w:lang w:val="en-US"/>
              </w:rPr>
            </w:pPr>
          </w:p>
        </w:tc>
        <w:tc>
          <w:tcPr>
            <w:tcW w:w="1042" w:type="dxa"/>
            <w:noWrap/>
          </w:tcPr>
          <w:p w14:paraId="48D2D892" w14:textId="77777777" w:rsidR="003C4510" w:rsidRPr="0043682C"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color w:val="000000"/>
                <w:sz w:val="20"/>
                <w:szCs w:val="20"/>
                <w:lang w:val="en-US"/>
              </w:rPr>
            </w:pPr>
          </w:p>
        </w:tc>
        <w:tc>
          <w:tcPr>
            <w:tcW w:w="1113" w:type="dxa"/>
            <w:noWrap/>
          </w:tcPr>
          <w:p w14:paraId="5BCB45E9" w14:textId="4FB9FF75" w:rsidR="003C4510" w:rsidRPr="0043682C"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92032" behindDoc="0" locked="0" layoutInCell="1" allowOverlap="1" wp14:anchorId="2D89FEE7" wp14:editId="56E6CC77">
                  <wp:simplePos x="0" y="0"/>
                  <wp:positionH relativeFrom="column">
                    <wp:posOffset>149225</wp:posOffset>
                  </wp:positionH>
                  <wp:positionV relativeFrom="paragraph">
                    <wp:posOffset>31115</wp:posOffset>
                  </wp:positionV>
                  <wp:extent cx="222250" cy="222250"/>
                  <wp:effectExtent l="0" t="0" r="6350" b="6350"/>
                  <wp:wrapNone/>
                  <wp:docPr id="19" name="Picture 19"/>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937" w:type="dxa"/>
          </w:tcPr>
          <w:p w14:paraId="2045D290" w14:textId="77777777" w:rsidR="003C4510" w:rsidRPr="0043682C" w:rsidRDefault="003C4510"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r>
      <w:tr w:rsidR="00840787" w:rsidRPr="0043682C" w14:paraId="043F0E84" w14:textId="5EF6BC15" w:rsidTr="0030486A">
        <w:trPr>
          <w:trHeight w:val="377"/>
        </w:trPr>
        <w:tc>
          <w:tcPr>
            <w:cnfStyle w:val="001000000000" w:firstRow="0" w:lastRow="0" w:firstColumn="1" w:lastColumn="0" w:oddVBand="0" w:evenVBand="0" w:oddHBand="0" w:evenHBand="0" w:firstRowFirstColumn="0" w:firstRowLastColumn="0" w:lastRowFirstColumn="0" w:lastRowLastColumn="0"/>
            <w:tcW w:w="3114" w:type="dxa"/>
            <w:hideMark/>
          </w:tcPr>
          <w:p w14:paraId="0AA4AAF7" w14:textId="71BE4005" w:rsidR="00840787"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Elektronikas un datorzinātņu institūts</w:t>
            </w:r>
          </w:p>
        </w:tc>
        <w:tc>
          <w:tcPr>
            <w:tcW w:w="931" w:type="dxa"/>
            <w:noWrap/>
            <w:hideMark/>
          </w:tcPr>
          <w:p w14:paraId="6A3F6CD7"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053" w:type="dxa"/>
            <w:noWrap/>
            <w:hideMark/>
          </w:tcPr>
          <w:p w14:paraId="1E3F6D44" w14:textId="02691029" w:rsidR="00840787" w:rsidRPr="0043682C" w:rsidRDefault="002E75B2"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79744" behindDoc="0" locked="0" layoutInCell="1" allowOverlap="1" wp14:anchorId="24B7D1A4" wp14:editId="535C4C2D">
                  <wp:simplePos x="0" y="0"/>
                  <wp:positionH relativeFrom="column">
                    <wp:posOffset>92075</wp:posOffset>
                  </wp:positionH>
                  <wp:positionV relativeFrom="paragraph">
                    <wp:posOffset>21590</wp:posOffset>
                  </wp:positionV>
                  <wp:extent cx="215900" cy="2222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hideMark/>
          </w:tcPr>
          <w:p w14:paraId="024F9888"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042" w:type="dxa"/>
            <w:noWrap/>
            <w:hideMark/>
          </w:tcPr>
          <w:p w14:paraId="429B502E"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1113" w:type="dxa"/>
            <w:noWrap/>
            <w:hideMark/>
          </w:tcPr>
          <w:p w14:paraId="5B5FC616"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color w:val="000000"/>
                <w:sz w:val="20"/>
                <w:szCs w:val="20"/>
                <w:lang w:val="en-GB" w:eastAsia="et-EE"/>
              </w:rPr>
              <w:t> </w:t>
            </w:r>
          </w:p>
        </w:tc>
        <w:tc>
          <w:tcPr>
            <w:tcW w:w="937" w:type="dxa"/>
          </w:tcPr>
          <w:p w14:paraId="3A9A5D4D"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r>
      <w:tr w:rsidR="00840787" w:rsidRPr="0043682C" w14:paraId="7099D26F" w14:textId="77777777" w:rsidTr="00304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tcPr>
          <w:p w14:paraId="398F5328" w14:textId="359CFA8E" w:rsidR="00840787"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SIA </w:t>
            </w:r>
            <w:r w:rsidR="00840787" w:rsidRPr="0030486A">
              <w:rPr>
                <w:rFonts w:eastAsia="Times New Roman"/>
                <w:color w:val="000000"/>
                <w:sz w:val="22"/>
                <w:lang w:eastAsia="et-EE"/>
              </w:rPr>
              <w:t xml:space="preserve">Meža </w:t>
            </w:r>
            <w:r w:rsidRPr="0030486A">
              <w:rPr>
                <w:rFonts w:eastAsia="Times New Roman"/>
                <w:color w:val="000000"/>
                <w:sz w:val="22"/>
                <w:lang w:eastAsia="et-EE"/>
              </w:rPr>
              <w:t>īpašnieku</w:t>
            </w:r>
            <w:r w:rsidR="00840787" w:rsidRPr="0030486A">
              <w:rPr>
                <w:rFonts w:eastAsia="Times New Roman"/>
                <w:color w:val="000000"/>
                <w:sz w:val="22"/>
                <w:lang w:eastAsia="et-EE"/>
              </w:rPr>
              <w:t xml:space="preserve"> </w:t>
            </w:r>
            <w:r w:rsidRPr="0030486A">
              <w:rPr>
                <w:rFonts w:eastAsia="Times New Roman"/>
                <w:color w:val="000000"/>
                <w:sz w:val="22"/>
                <w:lang w:eastAsia="et-EE"/>
              </w:rPr>
              <w:t>konsultatīvais</w:t>
            </w:r>
            <w:r w:rsidR="00840787" w:rsidRPr="0030486A">
              <w:rPr>
                <w:rFonts w:eastAsia="Times New Roman"/>
                <w:color w:val="000000"/>
                <w:sz w:val="22"/>
                <w:lang w:eastAsia="et-EE"/>
              </w:rPr>
              <w:t xml:space="preserve"> centrs</w:t>
            </w:r>
          </w:p>
        </w:tc>
        <w:tc>
          <w:tcPr>
            <w:tcW w:w="931" w:type="dxa"/>
            <w:noWrap/>
          </w:tcPr>
          <w:p w14:paraId="4A75F4A8"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53" w:type="dxa"/>
            <w:noWrap/>
          </w:tcPr>
          <w:p w14:paraId="2A37A3AE" w14:textId="0A0DE841" w:rsidR="00840787" w:rsidRPr="0043682C" w:rsidRDefault="002E75B2"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color w:val="000000"/>
                <w:sz w:val="20"/>
                <w:szCs w:val="20"/>
                <w:lang w:val="en-US"/>
              </w:rPr>
            </w:pPr>
            <w:r w:rsidRPr="0043682C">
              <w:rPr>
                <w:rFonts w:ascii="Cambria" w:eastAsia="Times New Roman" w:hAnsi="Cambria" w:cs="Calibri"/>
                <w:noProof/>
                <w:color w:val="000000"/>
                <w:sz w:val="20"/>
                <w:szCs w:val="20"/>
                <w:lang w:eastAsia="lv-LV"/>
              </w:rPr>
              <w:drawing>
                <wp:anchor distT="0" distB="0" distL="114300" distR="114300" simplePos="0" relativeHeight="251681792" behindDoc="0" locked="0" layoutInCell="1" allowOverlap="1" wp14:anchorId="09153DC9" wp14:editId="31A1C004">
                  <wp:simplePos x="0" y="0"/>
                  <wp:positionH relativeFrom="column">
                    <wp:posOffset>92075</wp:posOffset>
                  </wp:positionH>
                  <wp:positionV relativeFrom="paragraph">
                    <wp:posOffset>36195</wp:posOffset>
                  </wp:positionV>
                  <wp:extent cx="215900" cy="2222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tcPr>
          <w:p w14:paraId="338F0B1A"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42" w:type="dxa"/>
            <w:noWrap/>
          </w:tcPr>
          <w:p w14:paraId="11A9A377"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113" w:type="dxa"/>
            <w:noWrap/>
          </w:tcPr>
          <w:p w14:paraId="33F0B67E"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937" w:type="dxa"/>
          </w:tcPr>
          <w:p w14:paraId="3495C455" w14:textId="77777777" w:rsidR="00840787" w:rsidRPr="0043682C" w:rsidRDefault="00840787"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r>
      <w:tr w:rsidR="00840787" w:rsidRPr="0043682C" w14:paraId="3E83AD73" w14:textId="77777777" w:rsidTr="00BF5D9D">
        <w:trPr>
          <w:trHeight w:val="288"/>
        </w:trPr>
        <w:tc>
          <w:tcPr>
            <w:cnfStyle w:val="001000000000" w:firstRow="0" w:lastRow="0" w:firstColumn="1" w:lastColumn="0" w:oddVBand="0" w:evenVBand="0" w:oddHBand="0" w:evenHBand="0" w:firstRowFirstColumn="0" w:firstRowLastColumn="0" w:lastRowFirstColumn="0" w:lastRowLastColumn="0"/>
            <w:tcW w:w="3114" w:type="dxa"/>
          </w:tcPr>
          <w:p w14:paraId="5EC9800B" w14:textId="3FA41879" w:rsidR="00840787" w:rsidRPr="0030486A" w:rsidRDefault="00B43104" w:rsidP="00B43104">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SIA </w:t>
            </w:r>
            <w:proofErr w:type="spellStart"/>
            <w:r w:rsidR="00840787" w:rsidRPr="0030486A">
              <w:rPr>
                <w:rFonts w:eastAsia="Times New Roman"/>
                <w:color w:val="000000"/>
                <w:sz w:val="22"/>
                <w:lang w:eastAsia="et-EE"/>
              </w:rPr>
              <w:t>Baltic</w:t>
            </w:r>
            <w:proofErr w:type="spellEnd"/>
            <w:r w:rsidR="00840787" w:rsidRPr="0030486A">
              <w:rPr>
                <w:rFonts w:eastAsia="Times New Roman"/>
                <w:color w:val="000000"/>
                <w:sz w:val="22"/>
                <w:lang w:eastAsia="et-EE"/>
              </w:rPr>
              <w:t xml:space="preserve"> </w:t>
            </w:r>
            <w:proofErr w:type="spellStart"/>
            <w:r w:rsidR="00840787" w:rsidRPr="0030486A">
              <w:rPr>
                <w:rFonts w:eastAsia="Times New Roman"/>
                <w:color w:val="000000"/>
                <w:sz w:val="22"/>
                <w:lang w:eastAsia="et-EE"/>
              </w:rPr>
              <w:t>Satellite</w:t>
            </w:r>
            <w:proofErr w:type="spellEnd"/>
            <w:r w:rsidR="00840787" w:rsidRPr="0030486A">
              <w:rPr>
                <w:rFonts w:eastAsia="Times New Roman"/>
                <w:color w:val="000000"/>
                <w:sz w:val="22"/>
                <w:lang w:eastAsia="et-EE"/>
              </w:rPr>
              <w:t xml:space="preserve"> </w:t>
            </w:r>
            <w:proofErr w:type="spellStart"/>
            <w:r w:rsidR="00840787" w:rsidRPr="0030486A">
              <w:rPr>
                <w:rFonts w:eastAsia="Times New Roman"/>
                <w:color w:val="000000"/>
                <w:sz w:val="22"/>
                <w:lang w:eastAsia="et-EE"/>
              </w:rPr>
              <w:t>Service</w:t>
            </w:r>
            <w:proofErr w:type="spellEnd"/>
            <w:r w:rsidR="00840787" w:rsidRPr="0030486A">
              <w:rPr>
                <w:rFonts w:eastAsia="Times New Roman"/>
                <w:color w:val="000000"/>
                <w:sz w:val="22"/>
                <w:lang w:eastAsia="et-EE"/>
              </w:rPr>
              <w:t xml:space="preserve"> </w:t>
            </w:r>
          </w:p>
        </w:tc>
        <w:tc>
          <w:tcPr>
            <w:tcW w:w="931" w:type="dxa"/>
            <w:noWrap/>
          </w:tcPr>
          <w:p w14:paraId="73420CB8"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53" w:type="dxa"/>
            <w:noWrap/>
          </w:tcPr>
          <w:p w14:paraId="47EEF02B" w14:textId="17E5BFE5" w:rsidR="00840787" w:rsidRPr="0043682C" w:rsidRDefault="002E75B2"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color w:val="000000"/>
                <w:sz w:val="20"/>
                <w:szCs w:val="20"/>
                <w:lang w:val="en-US"/>
              </w:rPr>
            </w:pPr>
            <w:r w:rsidRPr="0043682C">
              <w:rPr>
                <w:rFonts w:ascii="Cambria" w:eastAsia="Times New Roman" w:hAnsi="Cambria" w:cs="Calibri"/>
                <w:noProof/>
                <w:color w:val="000000"/>
                <w:sz w:val="20"/>
                <w:szCs w:val="20"/>
                <w:lang w:eastAsia="lv-LV"/>
              </w:rPr>
              <w:drawing>
                <wp:anchor distT="0" distB="0" distL="114300" distR="114300" simplePos="0" relativeHeight="251698176" behindDoc="0" locked="0" layoutInCell="1" allowOverlap="1" wp14:anchorId="63FF6B30" wp14:editId="73D4860C">
                  <wp:simplePos x="0" y="0"/>
                  <wp:positionH relativeFrom="column">
                    <wp:posOffset>92075</wp:posOffset>
                  </wp:positionH>
                  <wp:positionV relativeFrom="paragraph">
                    <wp:posOffset>-3810</wp:posOffset>
                  </wp:positionV>
                  <wp:extent cx="215900" cy="22225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14:sizeRelH relativeFrom="page">
                    <wp14:pctWidth>0</wp14:pctWidth>
                  </wp14:sizeRelH>
                  <wp14:sizeRelV relativeFrom="page">
                    <wp14:pctHeight>0</wp14:pctHeight>
                  </wp14:sizeRelV>
                </wp:anchor>
              </w:drawing>
            </w:r>
          </w:p>
        </w:tc>
        <w:tc>
          <w:tcPr>
            <w:tcW w:w="851" w:type="dxa"/>
            <w:noWrap/>
          </w:tcPr>
          <w:p w14:paraId="34808F3E"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42" w:type="dxa"/>
            <w:noWrap/>
          </w:tcPr>
          <w:p w14:paraId="43040D66"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113" w:type="dxa"/>
            <w:noWrap/>
          </w:tcPr>
          <w:p w14:paraId="0D82CDA9"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937" w:type="dxa"/>
          </w:tcPr>
          <w:p w14:paraId="6E188A6F" w14:textId="77777777" w:rsidR="00840787" w:rsidRPr="0043682C" w:rsidRDefault="00840787"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r>
      <w:tr w:rsidR="00366E44" w:rsidRPr="0043682C" w14:paraId="75F339A6" w14:textId="77777777" w:rsidTr="0030486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14" w:type="dxa"/>
          </w:tcPr>
          <w:p w14:paraId="22B691C4" w14:textId="7B4F7601" w:rsidR="00366E44"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SIA Allatherm </w:t>
            </w:r>
          </w:p>
        </w:tc>
        <w:tc>
          <w:tcPr>
            <w:tcW w:w="931" w:type="dxa"/>
            <w:noWrap/>
          </w:tcPr>
          <w:p w14:paraId="5102E332" w14:textId="465298D1" w:rsidR="00366E44" w:rsidRPr="0043682C"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85888" behindDoc="0" locked="0" layoutInCell="1" allowOverlap="1" wp14:anchorId="69BD529B" wp14:editId="10ACEE8D">
                  <wp:simplePos x="0" y="0"/>
                  <wp:positionH relativeFrom="column">
                    <wp:posOffset>73025</wp:posOffset>
                  </wp:positionH>
                  <wp:positionV relativeFrom="paragraph">
                    <wp:posOffset>-17145</wp:posOffset>
                  </wp:positionV>
                  <wp:extent cx="222250" cy="222250"/>
                  <wp:effectExtent l="0" t="0" r="6350" b="6350"/>
                  <wp:wrapNone/>
                  <wp:docPr id="16" name="Picture 16"/>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tcPr>
          <w:p w14:paraId="76D2CA94" w14:textId="77777777" w:rsidR="00366E44" w:rsidRPr="0043682C"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noProof/>
                <w:color w:val="000000"/>
                <w:sz w:val="20"/>
                <w:szCs w:val="20"/>
                <w:lang w:val="en-US"/>
              </w:rPr>
            </w:pPr>
          </w:p>
        </w:tc>
        <w:tc>
          <w:tcPr>
            <w:tcW w:w="851" w:type="dxa"/>
            <w:noWrap/>
          </w:tcPr>
          <w:p w14:paraId="0FB292AB" w14:textId="77777777" w:rsidR="00366E44" w:rsidRPr="0043682C"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42" w:type="dxa"/>
            <w:noWrap/>
          </w:tcPr>
          <w:p w14:paraId="50B16A2F" w14:textId="77777777" w:rsidR="00366E44" w:rsidRPr="0043682C"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113" w:type="dxa"/>
            <w:noWrap/>
          </w:tcPr>
          <w:p w14:paraId="41437287" w14:textId="77777777" w:rsidR="00366E44" w:rsidRPr="0043682C"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p>
        </w:tc>
        <w:tc>
          <w:tcPr>
            <w:tcW w:w="937" w:type="dxa"/>
          </w:tcPr>
          <w:p w14:paraId="538D7CA2" w14:textId="56F9B70A" w:rsidR="00366E44" w:rsidRPr="0043682C" w:rsidRDefault="00366E44" w:rsidP="00796453">
            <w:pPr>
              <w:spacing w:line="247"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89984" behindDoc="0" locked="0" layoutInCell="1" allowOverlap="1" wp14:anchorId="44EFD48C" wp14:editId="19A3E686">
                  <wp:simplePos x="0" y="0"/>
                  <wp:positionH relativeFrom="column">
                    <wp:posOffset>139700</wp:posOffset>
                  </wp:positionH>
                  <wp:positionV relativeFrom="paragraph">
                    <wp:posOffset>-19685</wp:posOffset>
                  </wp:positionV>
                  <wp:extent cx="222250" cy="222250"/>
                  <wp:effectExtent l="0" t="0" r="6350" b="6350"/>
                  <wp:wrapNone/>
                  <wp:docPr id="18" name="Picture 1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r>
      <w:tr w:rsidR="00366E44" w:rsidRPr="0043682C" w14:paraId="7E006341" w14:textId="77777777" w:rsidTr="0030486A">
        <w:trPr>
          <w:trHeight w:val="359"/>
        </w:trPr>
        <w:tc>
          <w:tcPr>
            <w:cnfStyle w:val="001000000000" w:firstRow="0" w:lastRow="0" w:firstColumn="1" w:lastColumn="0" w:oddVBand="0" w:evenVBand="0" w:oddHBand="0" w:evenHBand="0" w:firstRowFirstColumn="0" w:firstRowLastColumn="0" w:lastRowFirstColumn="0" w:lastRowLastColumn="0"/>
            <w:tcW w:w="3114" w:type="dxa"/>
          </w:tcPr>
          <w:p w14:paraId="5EE41C73" w14:textId="1A105D43" w:rsidR="00366E44" w:rsidRPr="0030486A" w:rsidRDefault="00366E44" w:rsidP="00796453">
            <w:pPr>
              <w:spacing w:line="247" w:lineRule="auto"/>
              <w:rPr>
                <w:rFonts w:eastAsia="Times New Roman"/>
                <w:b w:val="0"/>
                <w:bCs w:val="0"/>
                <w:color w:val="000000"/>
                <w:sz w:val="22"/>
                <w:lang w:eastAsia="et-EE"/>
              </w:rPr>
            </w:pPr>
            <w:r w:rsidRPr="0030486A">
              <w:rPr>
                <w:rFonts w:eastAsia="Times New Roman"/>
                <w:color w:val="000000"/>
                <w:sz w:val="22"/>
                <w:lang w:eastAsia="et-EE"/>
              </w:rPr>
              <w:t xml:space="preserve">SIA </w:t>
            </w:r>
            <w:proofErr w:type="spellStart"/>
            <w:r w:rsidRPr="0030486A">
              <w:rPr>
                <w:rFonts w:eastAsia="Times New Roman"/>
                <w:color w:val="000000"/>
                <w:sz w:val="22"/>
                <w:lang w:eastAsia="et-EE"/>
              </w:rPr>
              <w:t>Fibre</w:t>
            </w:r>
            <w:proofErr w:type="spellEnd"/>
            <w:r w:rsidRPr="0030486A">
              <w:rPr>
                <w:rFonts w:eastAsia="Times New Roman"/>
                <w:color w:val="000000"/>
                <w:sz w:val="22"/>
                <w:lang w:eastAsia="et-EE"/>
              </w:rPr>
              <w:t xml:space="preserve"> </w:t>
            </w:r>
            <w:proofErr w:type="spellStart"/>
            <w:r w:rsidRPr="0030486A">
              <w:rPr>
                <w:rFonts w:eastAsia="Times New Roman"/>
                <w:color w:val="000000"/>
                <w:sz w:val="22"/>
                <w:lang w:eastAsia="et-EE"/>
              </w:rPr>
              <w:t>Optical</w:t>
            </w:r>
            <w:proofErr w:type="spellEnd"/>
            <w:r w:rsidRPr="0030486A">
              <w:rPr>
                <w:rFonts w:eastAsia="Times New Roman"/>
                <w:color w:val="000000"/>
                <w:sz w:val="22"/>
                <w:lang w:eastAsia="et-EE"/>
              </w:rPr>
              <w:t xml:space="preserve"> Solutions</w:t>
            </w:r>
          </w:p>
        </w:tc>
        <w:tc>
          <w:tcPr>
            <w:tcW w:w="931" w:type="dxa"/>
            <w:noWrap/>
          </w:tcPr>
          <w:p w14:paraId="70244968" w14:textId="55485C61"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r w:rsidRPr="0043682C">
              <w:rPr>
                <w:rFonts w:ascii="Cambria" w:eastAsia="Times New Roman" w:hAnsi="Cambria" w:cs="Calibri"/>
                <w:noProof/>
                <w:color w:val="000000"/>
                <w:sz w:val="20"/>
                <w:szCs w:val="20"/>
                <w:lang w:eastAsia="lv-LV"/>
              </w:rPr>
              <w:drawing>
                <wp:anchor distT="0" distB="0" distL="114300" distR="114300" simplePos="0" relativeHeight="251687936" behindDoc="0" locked="0" layoutInCell="1" allowOverlap="1" wp14:anchorId="540CE82D" wp14:editId="2EB2CD51">
                  <wp:simplePos x="0" y="0"/>
                  <wp:positionH relativeFrom="column">
                    <wp:posOffset>73660</wp:posOffset>
                  </wp:positionH>
                  <wp:positionV relativeFrom="paragraph">
                    <wp:posOffset>-6350</wp:posOffset>
                  </wp:positionV>
                  <wp:extent cx="222250" cy="222250"/>
                  <wp:effectExtent l="0" t="0" r="6350" b="6350"/>
                  <wp:wrapNone/>
                  <wp:docPr id="17" name="Picture 17"/>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p>
        </w:tc>
        <w:tc>
          <w:tcPr>
            <w:tcW w:w="1053" w:type="dxa"/>
            <w:noWrap/>
          </w:tcPr>
          <w:p w14:paraId="3B210E9F"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noProof/>
                <w:color w:val="000000"/>
                <w:sz w:val="20"/>
                <w:szCs w:val="20"/>
                <w:lang w:val="en-US"/>
              </w:rPr>
            </w:pPr>
          </w:p>
        </w:tc>
        <w:tc>
          <w:tcPr>
            <w:tcW w:w="851" w:type="dxa"/>
            <w:noWrap/>
          </w:tcPr>
          <w:p w14:paraId="7E3ABCB4"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042" w:type="dxa"/>
            <w:noWrap/>
          </w:tcPr>
          <w:p w14:paraId="2E664884"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1113" w:type="dxa"/>
            <w:noWrap/>
          </w:tcPr>
          <w:p w14:paraId="24F8C500"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c>
          <w:tcPr>
            <w:tcW w:w="937" w:type="dxa"/>
          </w:tcPr>
          <w:p w14:paraId="76AA4AB1" w14:textId="77777777" w:rsidR="00366E44" w:rsidRPr="0043682C" w:rsidRDefault="00366E44" w:rsidP="00796453">
            <w:pPr>
              <w:spacing w:line="247"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000000"/>
                <w:sz w:val="20"/>
                <w:szCs w:val="20"/>
                <w:lang w:val="en-GB" w:eastAsia="et-EE"/>
              </w:rPr>
            </w:pPr>
          </w:p>
        </w:tc>
      </w:tr>
    </w:tbl>
    <w:p w14:paraId="72600FC4" w14:textId="77777777" w:rsidR="00840787" w:rsidRPr="00840787" w:rsidRDefault="00840787" w:rsidP="00840787">
      <w:pPr>
        <w:rPr>
          <w:b/>
        </w:rPr>
      </w:pPr>
    </w:p>
    <w:p w14:paraId="6E87A060" w14:textId="51DD01A8" w:rsidR="00650D16" w:rsidRPr="005B6DA0" w:rsidRDefault="00F914CD" w:rsidP="007C5DD5">
      <w:pPr>
        <w:rPr>
          <w:sz w:val="26"/>
          <w:szCs w:val="26"/>
        </w:rPr>
      </w:pPr>
      <w:r>
        <w:tab/>
      </w:r>
      <w:r w:rsidRPr="005B6DA0">
        <w:rPr>
          <w:sz w:val="26"/>
          <w:szCs w:val="26"/>
        </w:rPr>
        <w:t xml:space="preserve">EKA tiek īstenota industriālā iepirkumu politika – </w:t>
      </w:r>
      <w:proofErr w:type="spellStart"/>
      <w:r w:rsidRPr="005B6DA0">
        <w:rPr>
          <w:i/>
          <w:sz w:val="26"/>
          <w:szCs w:val="26"/>
        </w:rPr>
        <w:t>geo-return</w:t>
      </w:r>
      <w:proofErr w:type="spellEnd"/>
      <w:r w:rsidRPr="005B6DA0">
        <w:rPr>
          <w:rStyle w:val="FootnoteReference"/>
          <w:i/>
          <w:sz w:val="26"/>
          <w:szCs w:val="26"/>
        </w:rPr>
        <w:footnoteReference w:id="15"/>
      </w:r>
      <w:r w:rsidRPr="005B6DA0">
        <w:rPr>
          <w:sz w:val="26"/>
          <w:szCs w:val="26"/>
        </w:rPr>
        <w:t xml:space="preserve"> (taisnīgas kompensācijas politik</w:t>
      </w:r>
      <w:r w:rsidR="00214BBF" w:rsidRPr="005B6DA0">
        <w:rPr>
          <w:sz w:val="26"/>
          <w:szCs w:val="26"/>
        </w:rPr>
        <w:t>a).</w:t>
      </w:r>
      <w:r w:rsidRPr="005B6DA0">
        <w:rPr>
          <w:sz w:val="26"/>
          <w:szCs w:val="26"/>
        </w:rPr>
        <w:t xml:space="preserve"> Praksē tas nozīmē, ka EKA garantē, ka</w:t>
      </w:r>
      <w:r w:rsidR="0053248A">
        <w:rPr>
          <w:sz w:val="26"/>
          <w:szCs w:val="26"/>
        </w:rPr>
        <w:t xml:space="preserve"> asociēto dalībvalstu vai</w:t>
      </w:r>
      <w:r w:rsidRPr="005B6DA0">
        <w:rPr>
          <w:sz w:val="26"/>
          <w:szCs w:val="26"/>
        </w:rPr>
        <w:t xml:space="preserve"> dalībvalstu iemaksas tiek at</w:t>
      </w:r>
      <w:r w:rsidR="00373A8E" w:rsidRPr="005B6DA0">
        <w:rPr>
          <w:sz w:val="26"/>
          <w:szCs w:val="26"/>
        </w:rPr>
        <w:t>grieztas kā finansējums līgumos</w:t>
      </w:r>
      <w:r w:rsidRPr="005B6DA0">
        <w:rPr>
          <w:sz w:val="26"/>
          <w:szCs w:val="26"/>
        </w:rPr>
        <w:t xml:space="preserve"> ar </w:t>
      </w:r>
      <w:r w:rsidR="0053248A">
        <w:rPr>
          <w:sz w:val="26"/>
          <w:szCs w:val="26"/>
        </w:rPr>
        <w:t>šo valstu</w:t>
      </w:r>
      <w:r w:rsidRPr="005B6DA0">
        <w:rPr>
          <w:sz w:val="26"/>
          <w:szCs w:val="26"/>
        </w:rPr>
        <w:t xml:space="preserve"> ražotājiem. Garantētais rūpniecības </w:t>
      </w:r>
      <w:proofErr w:type="spellStart"/>
      <w:r w:rsidRPr="005B6DA0">
        <w:rPr>
          <w:sz w:val="26"/>
          <w:szCs w:val="26"/>
        </w:rPr>
        <w:t>atdeves</w:t>
      </w:r>
      <w:proofErr w:type="spellEnd"/>
      <w:r w:rsidRPr="005B6DA0">
        <w:rPr>
          <w:sz w:val="26"/>
          <w:szCs w:val="26"/>
        </w:rPr>
        <w:t xml:space="preserve"> procents (pēc EKA iekšējo izmaksu segšanas) ir </w:t>
      </w:r>
      <w:r w:rsidRPr="005B6DA0">
        <w:rPr>
          <w:sz w:val="26"/>
          <w:szCs w:val="26"/>
        </w:rPr>
        <w:lastRenderedPageBreak/>
        <w:t xml:space="preserve">aptuveni 85% no katras atsevišķas programmas izmaksām un 95% no kopējā rūpniecības apgrozījuma pēc visu noslēgto līgumu izpildes. Tas nodrošina, ka lielākā daļa finansējuma ir pieejama dalībvalsts attīstībai. Tādos ES finanšu instrumentos kā, piemēram, </w:t>
      </w:r>
      <w:r w:rsidR="0060318D" w:rsidRPr="005B6DA0">
        <w:rPr>
          <w:sz w:val="26"/>
          <w:szCs w:val="26"/>
        </w:rPr>
        <w:t>pētniecības un inovāciju atbalsta programma “</w:t>
      </w:r>
      <w:r w:rsidRPr="005B6DA0">
        <w:rPr>
          <w:sz w:val="26"/>
          <w:szCs w:val="26"/>
        </w:rPr>
        <w:t>Apvārsnis 2020</w:t>
      </w:r>
      <w:r w:rsidR="0060318D" w:rsidRPr="005B6DA0">
        <w:rPr>
          <w:sz w:val="26"/>
          <w:szCs w:val="26"/>
        </w:rPr>
        <w:t>”</w:t>
      </w:r>
      <w:r w:rsidRPr="005B6DA0">
        <w:rPr>
          <w:sz w:val="26"/>
          <w:szCs w:val="26"/>
        </w:rPr>
        <w:t>, tiek īstenota princip</w:t>
      </w:r>
      <w:r w:rsidR="005C63E9">
        <w:rPr>
          <w:sz w:val="26"/>
          <w:szCs w:val="26"/>
        </w:rPr>
        <w:t>iāli citāda iepirkumu politika,</w:t>
      </w:r>
      <w:r w:rsidRPr="005B6DA0">
        <w:rPr>
          <w:sz w:val="26"/>
          <w:szCs w:val="26"/>
        </w:rPr>
        <w:t xml:space="preserve"> piemēram, netiek garantēta noteikta finansējuma apjoma pieejamība katrai ES dalībvalst</w:t>
      </w:r>
      <w:r w:rsidR="000C4A32" w:rsidRPr="005B6DA0">
        <w:rPr>
          <w:sz w:val="26"/>
          <w:szCs w:val="26"/>
        </w:rPr>
        <w:t xml:space="preserve">ij. </w:t>
      </w:r>
      <w:r w:rsidR="00611299" w:rsidRPr="005B6DA0">
        <w:rPr>
          <w:sz w:val="26"/>
          <w:szCs w:val="26"/>
        </w:rPr>
        <w:t>Būtiski ir uzsvērt, ka EKA projekta ietvaros</w:t>
      </w:r>
      <w:r w:rsidR="00FD3091" w:rsidRPr="005B6DA0">
        <w:rPr>
          <w:sz w:val="26"/>
          <w:szCs w:val="26"/>
        </w:rPr>
        <w:t xml:space="preserve"> radītā intelektuālā īpa</w:t>
      </w:r>
      <w:r w:rsidR="00611299" w:rsidRPr="005B6DA0">
        <w:rPr>
          <w:sz w:val="26"/>
          <w:szCs w:val="26"/>
        </w:rPr>
        <w:t>šuma</w:t>
      </w:r>
      <w:r w:rsidR="00FD3091" w:rsidRPr="005B6DA0">
        <w:rPr>
          <w:sz w:val="26"/>
          <w:szCs w:val="26"/>
        </w:rPr>
        <w:t xml:space="preserve"> īpašnieks ir projekta </w:t>
      </w:r>
      <w:r w:rsidR="00611299" w:rsidRPr="005B6DA0">
        <w:rPr>
          <w:sz w:val="26"/>
          <w:szCs w:val="26"/>
        </w:rPr>
        <w:t>īstenotājs</w:t>
      </w:r>
      <w:r w:rsidR="00FD3091" w:rsidRPr="005B6DA0">
        <w:rPr>
          <w:sz w:val="26"/>
          <w:szCs w:val="26"/>
        </w:rPr>
        <w:t xml:space="preserve">, </w:t>
      </w:r>
      <w:r w:rsidR="00611299" w:rsidRPr="005B6DA0">
        <w:rPr>
          <w:sz w:val="26"/>
          <w:szCs w:val="26"/>
        </w:rPr>
        <w:t xml:space="preserve">savukārt </w:t>
      </w:r>
      <w:r w:rsidR="00FD3091" w:rsidRPr="005B6DA0">
        <w:rPr>
          <w:sz w:val="26"/>
          <w:szCs w:val="26"/>
        </w:rPr>
        <w:t>EKA patur iespējas piekļūt</w:t>
      </w:r>
      <w:r w:rsidR="000C4A32" w:rsidRPr="005B6DA0">
        <w:rPr>
          <w:sz w:val="26"/>
          <w:szCs w:val="26"/>
        </w:rPr>
        <w:t xml:space="preserve"> to finansēto projektu ietvaros radītajam intelektuālajam īpašumam.</w:t>
      </w:r>
      <w:r w:rsidR="00EC2C56" w:rsidRPr="005B6DA0">
        <w:rPr>
          <w:rStyle w:val="FootnoteReference"/>
          <w:sz w:val="26"/>
          <w:szCs w:val="26"/>
        </w:rPr>
        <w:footnoteReference w:id="16"/>
      </w:r>
      <w:r w:rsidR="000C4A32" w:rsidRPr="005B6DA0">
        <w:rPr>
          <w:sz w:val="26"/>
          <w:szCs w:val="26"/>
        </w:rPr>
        <w:t xml:space="preserve"> </w:t>
      </w:r>
    </w:p>
    <w:p w14:paraId="17D75298" w14:textId="60355201" w:rsidR="007C5DD5" w:rsidRPr="005B6DA0" w:rsidRDefault="00EC2C56" w:rsidP="007C5DD5">
      <w:pPr>
        <w:rPr>
          <w:sz w:val="26"/>
          <w:szCs w:val="26"/>
        </w:rPr>
      </w:pPr>
      <w:r w:rsidRPr="005B6DA0">
        <w:rPr>
          <w:sz w:val="26"/>
          <w:szCs w:val="26"/>
        </w:rPr>
        <w:tab/>
      </w:r>
      <w:r w:rsidR="00373A8E" w:rsidRPr="005B6DA0">
        <w:rPr>
          <w:sz w:val="26"/>
          <w:szCs w:val="26"/>
        </w:rPr>
        <w:t xml:space="preserve">Savukārt </w:t>
      </w:r>
      <w:r w:rsidR="005219E2" w:rsidRPr="005B6DA0">
        <w:rPr>
          <w:sz w:val="26"/>
          <w:szCs w:val="26"/>
        </w:rPr>
        <w:t>ESV</w:t>
      </w:r>
      <w:r w:rsidRPr="005B6DA0">
        <w:rPr>
          <w:sz w:val="26"/>
          <w:szCs w:val="26"/>
        </w:rPr>
        <w:t xml:space="preserve"> statusa</w:t>
      </w:r>
      <w:r w:rsidR="00373A8E" w:rsidRPr="005B6DA0">
        <w:rPr>
          <w:sz w:val="26"/>
          <w:szCs w:val="26"/>
        </w:rPr>
        <w:t xml:space="preserve"> pamatā ir tikai T</w:t>
      </w:r>
      <w:r w:rsidR="005219E2" w:rsidRPr="005B6DA0">
        <w:rPr>
          <w:sz w:val="26"/>
          <w:szCs w:val="26"/>
        </w:rPr>
        <w:t xml:space="preserve">rešās puses programma, kuras mērķis stiprināt valsts kosmosa nozari, tās industriālo kapacitāti, kompetences un prasmes, lai nākotnē dibinātu ciešāku sadarbību ar EKA </w:t>
      </w:r>
      <w:r w:rsidR="00361DA0" w:rsidRPr="005B6DA0">
        <w:rPr>
          <w:sz w:val="26"/>
          <w:szCs w:val="26"/>
        </w:rPr>
        <w:t>a</w:t>
      </w:r>
      <w:r w:rsidR="005219E2" w:rsidRPr="005B6DA0">
        <w:rPr>
          <w:sz w:val="26"/>
          <w:szCs w:val="26"/>
        </w:rPr>
        <w:t xml:space="preserve">sociētās vai dalībvalsts statusā. Latvija šobrīd īsteno ESV statusu, kas noslēgsies 2020.gada janvārī. </w:t>
      </w:r>
      <w:r w:rsidR="00BB6A88" w:rsidRPr="005B6DA0">
        <w:rPr>
          <w:sz w:val="26"/>
          <w:szCs w:val="26"/>
        </w:rPr>
        <w:t xml:space="preserve">ESV statuss nav EKA dalībnieka statuss un </w:t>
      </w:r>
      <w:r w:rsidR="00C80669" w:rsidRPr="005B6DA0">
        <w:rPr>
          <w:sz w:val="26"/>
          <w:szCs w:val="26"/>
        </w:rPr>
        <w:t>ESV valstis neiesaistās EKA pārvaldībā.</w:t>
      </w:r>
    </w:p>
    <w:p w14:paraId="2C693667" w14:textId="77777777" w:rsidR="00361DA0" w:rsidRPr="005B6DA0" w:rsidRDefault="00361DA0" w:rsidP="007C5DD5">
      <w:pPr>
        <w:rPr>
          <w:sz w:val="26"/>
          <w:szCs w:val="26"/>
        </w:rPr>
      </w:pPr>
    </w:p>
    <w:p w14:paraId="5B58E469" w14:textId="63789851" w:rsidR="00361DA0" w:rsidRPr="005B6DA0" w:rsidRDefault="00361DA0" w:rsidP="00361DA0">
      <w:pPr>
        <w:jc w:val="center"/>
        <w:rPr>
          <w:b/>
          <w:sz w:val="26"/>
          <w:szCs w:val="26"/>
        </w:rPr>
      </w:pPr>
      <w:r w:rsidRPr="005B6DA0">
        <w:rPr>
          <w:b/>
          <w:sz w:val="26"/>
          <w:szCs w:val="26"/>
        </w:rPr>
        <w:t>Sekas</w:t>
      </w:r>
      <w:r w:rsidR="00532227" w:rsidRPr="005B6DA0">
        <w:rPr>
          <w:b/>
          <w:sz w:val="26"/>
          <w:szCs w:val="26"/>
        </w:rPr>
        <w:t>,</w:t>
      </w:r>
      <w:r w:rsidRPr="005B6DA0">
        <w:rPr>
          <w:b/>
          <w:sz w:val="26"/>
          <w:szCs w:val="26"/>
        </w:rPr>
        <w:t xml:space="preserve"> ja sadarbība ar EKA netiek turpināta vai aizkavēta</w:t>
      </w:r>
    </w:p>
    <w:p w14:paraId="4FCEB73A" w14:textId="77777777" w:rsidR="00B36902" w:rsidRPr="005B6DA0" w:rsidRDefault="00B36902" w:rsidP="007C5DD5">
      <w:pPr>
        <w:rPr>
          <w:sz w:val="26"/>
          <w:szCs w:val="26"/>
        </w:rPr>
      </w:pPr>
    </w:p>
    <w:p w14:paraId="67222AA7" w14:textId="5EC5D68B" w:rsidR="00957022" w:rsidRPr="005B6DA0" w:rsidRDefault="00532227" w:rsidP="007C5DD5">
      <w:pPr>
        <w:rPr>
          <w:sz w:val="26"/>
          <w:szCs w:val="26"/>
        </w:rPr>
      </w:pPr>
      <w:r w:rsidRPr="005B6DA0">
        <w:rPr>
          <w:sz w:val="26"/>
          <w:szCs w:val="26"/>
        </w:rPr>
        <w:tab/>
      </w:r>
      <w:r w:rsidR="00EC2C56" w:rsidRPr="005B6DA0">
        <w:rPr>
          <w:sz w:val="26"/>
          <w:szCs w:val="26"/>
        </w:rPr>
        <w:t>J</w:t>
      </w:r>
      <w:r w:rsidRPr="005B6DA0">
        <w:rPr>
          <w:sz w:val="26"/>
          <w:szCs w:val="26"/>
        </w:rPr>
        <w:t xml:space="preserve">a sadarbība ar EKA netiek turpināta vai </w:t>
      </w:r>
      <w:r w:rsidR="00D12EEA" w:rsidRPr="005B6DA0">
        <w:rPr>
          <w:sz w:val="26"/>
          <w:szCs w:val="26"/>
        </w:rPr>
        <w:t xml:space="preserve">būtiski </w:t>
      </w:r>
      <w:r w:rsidRPr="005B6DA0">
        <w:rPr>
          <w:sz w:val="26"/>
          <w:szCs w:val="26"/>
        </w:rPr>
        <w:t>aizkavēta</w:t>
      </w:r>
      <w:r w:rsidR="008747C2" w:rsidRPr="005B6DA0">
        <w:rPr>
          <w:sz w:val="26"/>
          <w:szCs w:val="26"/>
        </w:rPr>
        <w:t>,</w:t>
      </w:r>
      <w:r w:rsidRPr="005B6DA0">
        <w:rPr>
          <w:sz w:val="26"/>
          <w:szCs w:val="26"/>
        </w:rPr>
        <w:t xml:space="preserve"> </w:t>
      </w:r>
      <w:r w:rsidR="00EC2C56" w:rsidRPr="005B6DA0">
        <w:rPr>
          <w:sz w:val="26"/>
          <w:szCs w:val="26"/>
        </w:rPr>
        <w:t xml:space="preserve">tas </w:t>
      </w:r>
      <w:r w:rsidRPr="005B6DA0">
        <w:rPr>
          <w:sz w:val="26"/>
          <w:szCs w:val="26"/>
        </w:rPr>
        <w:t>var nelabvēlīgi un graujoši ietekmēt Latvijas kosmosa nozares uzticamību par valsts ilgtermiņa mērķiem attīstīt kosmosa nozari Latvijā un esošo tehnoloģiju turpmāko attīstību, kas izstrādātas ESV l</w:t>
      </w:r>
      <w:r w:rsidR="00D12EEA" w:rsidRPr="005B6DA0">
        <w:rPr>
          <w:sz w:val="26"/>
          <w:szCs w:val="26"/>
        </w:rPr>
        <w:t>īguma ietvaros.</w:t>
      </w:r>
    </w:p>
    <w:p w14:paraId="11D8107F" w14:textId="30D528B7" w:rsidR="00B458BA" w:rsidRPr="005B6DA0" w:rsidRDefault="00781C35" w:rsidP="007A055A">
      <w:pPr>
        <w:ind w:firstLine="720"/>
        <w:rPr>
          <w:sz w:val="26"/>
          <w:szCs w:val="26"/>
        </w:rPr>
      </w:pPr>
      <w:r w:rsidRPr="005B6DA0">
        <w:rPr>
          <w:sz w:val="26"/>
          <w:szCs w:val="26"/>
        </w:rPr>
        <w:t>Latvijas</w:t>
      </w:r>
      <w:r w:rsidR="00D12EEA" w:rsidRPr="005B6DA0">
        <w:rPr>
          <w:sz w:val="26"/>
          <w:szCs w:val="26"/>
        </w:rPr>
        <w:t xml:space="preserve"> </w:t>
      </w:r>
      <w:r w:rsidRPr="005B6DA0">
        <w:rPr>
          <w:sz w:val="26"/>
          <w:szCs w:val="26"/>
        </w:rPr>
        <w:t>organizāciju</w:t>
      </w:r>
      <w:r w:rsidR="00D12EEA" w:rsidRPr="005B6DA0">
        <w:rPr>
          <w:sz w:val="26"/>
          <w:szCs w:val="26"/>
        </w:rPr>
        <w:t xml:space="preserve"> reģistrēšanās </w:t>
      </w:r>
      <w:r w:rsidR="00EC2C56" w:rsidRPr="005B6DA0">
        <w:rPr>
          <w:sz w:val="26"/>
          <w:szCs w:val="26"/>
        </w:rPr>
        <w:t>EKA tiešsaistes konkursu un reģistrācijas sistēmā</w:t>
      </w:r>
      <w:r w:rsidR="00D12EEA" w:rsidRPr="005B6DA0">
        <w:rPr>
          <w:sz w:val="26"/>
          <w:szCs w:val="26"/>
        </w:rPr>
        <w:t xml:space="preserve"> </w:t>
      </w:r>
      <w:r w:rsidRPr="005B6DA0">
        <w:rPr>
          <w:sz w:val="26"/>
          <w:szCs w:val="26"/>
        </w:rPr>
        <w:t>EK</w:t>
      </w:r>
      <w:r w:rsidR="00D12EEA" w:rsidRPr="005B6DA0">
        <w:rPr>
          <w:sz w:val="26"/>
          <w:szCs w:val="26"/>
        </w:rPr>
        <w:t>A-STAR</w:t>
      </w:r>
      <w:r w:rsidR="00EC2C56" w:rsidRPr="005B6DA0">
        <w:rPr>
          <w:sz w:val="26"/>
          <w:szCs w:val="26"/>
        </w:rPr>
        <w:t xml:space="preserve"> </w:t>
      </w:r>
      <w:r w:rsidRPr="005B6DA0">
        <w:rPr>
          <w:sz w:val="26"/>
          <w:szCs w:val="26"/>
        </w:rPr>
        <w:t xml:space="preserve">ir pakāpeniski augusi no </w:t>
      </w:r>
      <w:r w:rsidR="00817C89" w:rsidRPr="005B6DA0">
        <w:rPr>
          <w:sz w:val="26"/>
          <w:szCs w:val="26"/>
        </w:rPr>
        <w:t>30 (</w:t>
      </w:r>
      <w:r w:rsidR="008747C2" w:rsidRPr="005B6DA0">
        <w:rPr>
          <w:sz w:val="26"/>
          <w:szCs w:val="26"/>
        </w:rPr>
        <w:t>trīsdesmit</w:t>
      </w:r>
      <w:r w:rsidR="00817C89" w:rsidRPr="005B6DA0">
        <w:rPr>
          <w:sz w:val="26"/>
          <w:szCs w:val="26"/>
        </w:rPr>
        <w:t>)</w:t>
      </w:r>
      <w:r w:rsidR="008747C2" w:rsidRPr="005B6DA0">
        <w:rPr>
          <w:sz w:val="26"/>
          <w:szCs w:val="26"/>
        </w:rPr>
        <w:t xml:space="preserve"> </w:t>
      </w:r>
      <w:r w:rsidRPr="005B6DA0">
        <w:rPr>
          <w:sz w:val="26"/>
          <w:szCs w:val="26"/>
        </w:rPr>
        <w:t xml:space="preserve">organizācijām 2013.gadā līdz </w:t>
      </w:r>
      <w:r w:rsidR="00817C89" w:rsidRPr="005B6DA0">
        <w:rPr>
          <w:sz w:val="26"/>
          <w:szCs w:val="26"/>
        </w:rPr>
        <w:t>54 (</w:t>
      </w:r>
      <w:r w:rsidR="007A055A" w:rsidRPr="005B6DA0">
        <w:rPr>
          <w:sz w:val="26"/>
          <w:szCs w:val="26"/>
        </w:rPr>
        <w:t>piecdesmit četrām</w:t>
      </w:r>
      <w:r w:rsidR="00817C89" w:rsidRPr="005B6DA0">
        <w:rPr>
          <w:sz w:val="26"/>
          <w:szCs w:val="26"/>
        </w:rPr>
        <w:t>)</w:t>
      </w:r>
      <w:r w:rsidR="007A055A" w:rsidRPr="005B6DA0">
        <w:rPr>
          <w:sz w:val="26"/>
          <w:szCs w:val="26"/>
        </w:rPr>
        <w:t xml:space="preserve"> </w:t>
      </w:r>
      <w:r w:rsidRPr="005B6DA0">
        <w:rPr>
          <w:sz w:val="26"/>
          <w:szCs w:val="26"/>
        </w:rPr>
        <w:t>organizācijām 2019.gadā, kas nozīmē, ka arvien vairāk organizāciju izrāda interesi par iesaistīšanos EKA aktivitātēs.</w:t>
      </w:r>
      <w:r w:rsidR="00957022" w:rsidRPr="005B6DA0">
        <w:rPr>
          <w:sz w:val="26"/>
          <w:szCs w:val="26"/>
        </w:rPr>
        <w:t xml:space="preserve"> IZM sadarbībā ar partneriem</w:t>
      </w:r>
      <w:r w:rsidR="004C4E90">
        <w:rPr>
          <w:rStyle w:val="FootnoteReference"/>
          <w:sz w:val="26"/>
          <w:szCs w:val="26"/>
        </w:rPr>
        <w:footnoteReference w:id="17"/>
      </w:r>
      <w:r w:rsidR="00957022" w:rsidRPr="005B6DA0">
        <w:rPr>
          <w:sz w:val="26"/>
          <w:szCs w:val="26"/>
        </w:rPr>
        <w:t xml:space="preserve"> ir ieguldījusi </w:t>
      </w:r>
      <w:r w:rsidR="007A055A" w:rsidRPr="005B6DA0">
        <w:rPr>
          <w:sz w:val="26"/>
          <w:szCs w:val="26"/>
        </w:rPr>
        <w:t>lielas pūles</w:t>
      </w:r>
      <w:r w:rsidR="00957022" w:rsidRPr="005B6DA0">
        <w:rPr>
          <w:sz w:val="26"/>
          <w:szCs w:val="26"/>
        </w:rPr>
        <w:t xml:space="preserve">, lai </w:t>
      </w:r>
      <w:r w:rsidR="002B4A49" w:rsidRPr="005B6DA0">
        <w:rPr>
          <w:sz w:val="26"/>
          <w:szCs w:val="26"/>
        </w:rPr>
        <w:t xml:space="preserve">veicinātu </w:t>
      </w:r>
      <w:r w:rsidR="00957022" w:rsidRPr="005B6DA0">
        <w:rPr>
          <w:sz w:val="26"/>
          <w:szCs w:val="26"/>
        </w:rPr>
        <w:t>Latvijas industrij</w:t>
      </w:r>
      <w:r w:rsidR="002B4A49" w:rsidRPr="005B6DA0">
        <w:rPr>
          <w:sz w:val="26"/>
          <w:szCs w:val="26"/>
        </w:rPr>
        <w:t>as</w:t>
      </w:r>
      <w:r w:rsidR="00957022" w:rsidRPr="005B6DA0">
        <w:rPr>
          <w:sz w:val="26"/>
          <w:szCs w:val="26"/>
        </w:rPr>
        <w:t xml:space="preserve"> </w:t>
      </w:r>
      <w:r w:rsidR="002B4A49" w:rsidRPr="005B6DA0">
        <w:rPr>
          <w:sz w:val="26"/>
          <w:szCs w:val="26"/>
        </w:rPr>
        <w:t xml:space="preserve">iesaisti </w:t>
      </w:r>
      <w:r w:rsidR="00957022" w:rsidRPr="005B6DA0">
        <w:rPr>
          <w:sz w:val="26"/>
          <w:szCs w:val="26"/>
        </w:rPr>
        <w:t xml:space="preserve">EKA aktivitātēs. Sadarbības pārtraukšana vai aizkavēšana ar EKA radītu </w:t>
      </w:r>
      <w:r w:rsidR="004C4E90">
        <w:rPr>
          <w:sz w:val="26"/>
          <w:szCs w:val="26"/>
        </w:rPr>
        <w:t xml:space="preserve">negatīvu </w:t>
      </w:r>
      <w:r w:rsidR="0005610E" w:rsidRPr="005B6DA0">
        <w:rPr>
          <w:sz w:val="26"/>
          <w:szCs w:val="26"/>
        </w:rPr>
        <w:t>iespaidu</w:t>
      </w:r>
      <w:r w:rsidR="00957022" w:rsidRPr="005B6DA0">
        <w:rPr>
          <w:sz w:val="26"/>
          <w:szCs w:val="26"/>
        </w:rPr>
        <w:t xml:space="preserve">, ka kosmosa nozare Latvijā tiek uztverta kā neperspektīva un līdz ar to grautu nozares uzticamību valsts iespējām un </w:t>
      </w:r>
      <w:r w:rsidR="0005610E" w:rsidRPr="005B6DA0">
        <w:rPr>
          <w:sz w:val="26"/>
          <w:szCs w:val="26"/>
        </w:rPr>
        <w:t>vēlmei to atbalstīt ilgtermiņā.</w:t>
      </w:r>
      <w:r w:rsidR="002B4A49" w:rsidRPr="005B6DA0">
        <w:rPr>
          <w:sz w:val="26"/>
          <w:szCs w:val="26"/>
        </w:rPr>
        <w:t xml:space="preserve"> </w:t>
      </w:r>
      <w:r w:rsidR="00B458BA" w:rsidRPr="005B6DA0">
        <w:rPr>
          <w:sz w:val="26"/>
          <w:szCs w:val="26"/>
        </w:rPr>
        <w:t xml:space="preserve">ESV līguma ietvaros izstrādāto tehnoloģiju, to iestrādņu un pielietojumu attīstība apstātos. Saskaņā ar Tabulā </w:t>
      </w:r>
      <w:r w:rsidR="00C80669" w:rsidRPr="005B6DA0">
        <w:rPr>
          <w:sz w:val="26"/>
          <w:szCs w:val="26"/>
        </w:rPr>
        <w:t>Nr.</w:t>
      </w:r>
      <w:r w:rsidR="007A055A" w:rsidRPr="005B6DA0">
        <w:rPr>
          <w:sz w:val="26"/>
          <w:szCs w:val="26"/>
        </w:rPr>
        <w:t xml:space="preserve"> </w:t>
      </w:r>
      <w:r w:rsidR="00B458BA" w:rsidRPr="005B6DA0">
        <w:rPr>
          <w:sz w:val="26"/>
          <w:szCs w:val="26"/>
        </w:rPr>
        <w:t>4 apkopoto informāciju visas esošās tehnoloģiju un pielietojumu iestrādnes ir ar zemu vai vidēju TRL, kas liecina, ka to attīstība un virzība uz augstāku TRL ir jāturpina.</w:t>
      </w:r>
      <w:r w:rsidR="00CB2F5A" w:rsidRPr="005B6DA0">
        <w:rPr>
          <w:sz w:val="26"/>
          <w:szCs w:val="26"/>
        </w:rPr>
        <w:t xml:space="preserve"> Neviena no ESV līguma ietvaros īstenotajām aktivitātēm nav sasniegusi TRL</w:t>
      </w:r>
      <w:r w:rsidR="00F23938" w:rsidRPr="005B6DA0">
        <w:rPr>
          <w:sz w:val="26"/>
          <w:szCs w:val="26"/>
        </w:rPr>
        <w:t xml:space="preserve"> 8 </w:t>
      </w:r>
      <w:r w:rsidR="002B4A49" w:rsidRPr="005B6DA0">
        <w:rPr>
          <w:sz w:val="26"/>
          <w:szCs w:val="26"/>
        </w:rPr>
        <w:t>–</w:t>
      </w:r>
      <w:r w:rsidR="00F23938" w:rsidRPr="005B6DA0">
        <w:rPr>
          <w:sz w:val="26"/>
          <w:szCs w:val="26"/>
        </w:rPr>
        <w:t xml:space="preserve"> </w:t>
      </w:r>
      <w:r w:rsidR="00CB2F5A" w:rsidRPr="005B6DA0">
        <w:rPr>
          <w:sz w:val="26"/>
          <w:szCs w:val="26"/>
        </w:rPr>
        <w:t>9, kas nozīmētu, ka tehnoloģija ir komercializējama globālā tirgū.</w:t>
      </w:r>
      <w:r w:rsidR="00B458BA" w:rsidRPr="005B6DA0">
        <w:rPr>
          <w:sz w:val="26"/>
          <w:szCs w:val="26"/>
        </w:rPr>
        <w:t xml:space="preserve"> Esošo aktivitāšu neturpināšana nozīmētu to ietvaros izstrādāto tehnoloģiju un pielietojumu</w:t>
      </w:r>
      <w:r w:rsidR="00BD5EAD" w:rsidRPr="005B6DA0">
        <w:rPr>
          <w:sz w:val="26"/>
          <w:szCs w:val="26"/>
        </w:rPr>
        <w:t xml:space="preserve"> attīstības neturpināšanu</w:t>
      </w:r>
      <w:r w:rsidR="00CB2F5A" w:rsidRPr="005B6DA0">
        <w:rPr>
          <w:sz w:val="26"/>
          <w:szCs w:val="26"/>
        </w:rPr>
        <w:t xml:space="preserve">, </w:t>
      </w:r>
      <w:r w:rsidR="00B458BA" w:rsidRPr="005B6DA0">
        <w:rPr>
          <w:sz w:val="26"/>
          <w:szCs w:val="26"/>
        </w:rPr>
        <w:t>tos pārņemtu citu valstu uzņēmumi</w:t>
      </w:r>
      <w:r w:rsidR="00CB2F5A" w:rsidRPr="005B6DA0">
        <w:rPr>
          <w:sz w:val="26"/>
          <w:szCs w:val="26"/>
        </w:rPr>
        <w:t xml:space="preserve"> (</w:t>
      </w:r>
      <w:r w:rsidR="00BD5EAD" w:rsidRPr="005B6DA0">
        <w:rPr>
          <w:sz w:val="26"/>
          <w:szCs w:val="26"/>
        </w:rPr>
        <w:t>apsteigtu citu valstu analogas tehnoloģijas</w:t>
      </w:r>
      <w:r w:rsidR="00B458BA" w:rsidRPr="005B6DA0">
        <w:rPr>
          <w:sz w:val="26"/>
          <w:szCs w:val="26"/>
        </w:rPr>
        <w:t xml:space="preserve"> </w:t>
      </w:r>
      <w:r w:rsidR="00CB2F5A" w:rsidRPr="005B6DA0">
        <w:rPr>
          <w:sz w:val="26"/>
          <w:szCs w:val="26"/>
        </w:rPr>
        <w:t>vai Latvijas uzņēmumi tās turpinātu citās valstīs, kur šāds atbalsts ir pieejams.</w:t>
      </w:r>
      <w:r w:rsidR="00BD5EAD" w:rsidRPr="005B6DA0">
        <w:rPr>
          <w:sz w:val="26"/>
          <w:szCs w:val="26"/>
        </w:rPr>
        <w:t>)</w:t>
      </w:r>
      <w:r w:rsidR="00CB2F5A" w:rsidRPr="005B6DA0">
        <w:rPr>
          <w:sz w:val="26"/>
          <w:szCs w:val="26"/>
        </w:rPr>
        <w:t xml:space="preserve"> </w:t>
      </w:r>
    </w:p>
    <w:p w14:paraId="082A6AD8" w14:textId="6823EFE1" w:rsidR="005A235B" w:rsidRPr="005B6DA0" w:rsidRDefault="00CB2F5A" w:rsidP="005A235B">
      <w:pPr>
        <w:ind w:firstLine="720"/>
        <w:rPr>
          <w:b/>
          <w:sz w:val="26"/>
          <w:szCs w:val="26"/>
        </w:rPr>
      </w:pPr>
      <w:r w:rsidRPr="005B6DA0">
        <w:rPr>
          <w:sz w:val="26"/>
          <w:szCs w:val="26"/>
        </w:rPr>
        <w:t>Visas šīs sekas</w:t>
      </w:r>
      <w:r w:rsidR="00BD5EAD" w:rsidRPr="005B6DA0">
        <w:rPr>
          <w:sz w:val="26"/>
          <w:szCs w:val="26"/>
        </w:rPr>
        <w:t xml:space="preserve"> būtiski</w:t>
      </w:r>
      <w:r w:rsidRPr="005B6DA0">
        <w:rPr>
          <w:sz w:val="26"/>
          <w:szCs w:val="26"/>
        </w:rPr>
        <w:t xml:space="preserve"> apgrūtinātu atsākt sadarbību ar EKA nākotnē un attīstīt kosmosa nozari valstī</w:t>
      </w:r>
      <w:r w:rsidR="003C4510" w:rsidRPr="005B6DA0">
        <w:rPr>
          <w:sz w:val="26"/>
          <w:szCs w:val="26"/>
        </w:rPr>
        <w:t xml:space="preserve">. </w:t>
      </w:r>
    </w:p>
    <w:p w14:paraId="58717104" w14:textId="77777777" w:rsidR="00817C89" w:rsidRPr="005B6DA0" w:rsidRDefault="00817C89" w:rsidP="005B6DA0">
      <w:pPr>
        <w:rPr>
          <w:b/>
          <w:sz w:val="26"/>
          <w:szCs w:val="26"/>
        </w:rPr>
      </w:pPr>
    </w:p>
    <w:p w14:paraId="2788C9A4" w14:textId="16516041" w:rsidR="001D4872" w:rsidRPr="005B6DA0" w:rsidRDefault="00EA63A5" w:rsidP="00EA63A5">
      <w:pPr>
        <w:jc w:val="center"/>
        <w:rPr>
          <w:b/>
          <w:sz w:val="26"/>
          <w:szCs w:val="26"/>
        </w:rPr>
      </w:pPr>
      <w:r w:rsidRPr="005B6DA0">
        <w:rPr>
          <w:b/>
          <w:sz w:val="26"/>
          <w:szCs w:val="26"/>
        </w:rPr>
        <w:t>Turpmākā rīcība</w:t>
      </w:r>
    </w:p>
    <w:p w14:paraId="4AE657E8" w14:textId="77777777" w:rsidR="00EA63A5" w:rsidRPr="005B6DA0" w:rsidRDefault="00EA63A5" w:rsidP="00EA63A5">
      <w:pPr>
        <w:jc w:val="center"/>
        <w:rPr>
          <w:b/>
          <w:sz w:val="26"/>
          <w:szCs w:val="26"/>
        </w:rPr>
      </w:pPr>
    </w:p>
    <w:p w14:paraId="01C74543" w14:textId="7938B492" w:rsidR="00EA63A5" w:rsidRPr="005B6DA0" w:rsidRDefault="00EA63A5" w:rsidP="00EA63A5">
      <w:pPr>
        <w:rPr>
          <w:sz w:val="26"/>
          <w:szCs w:val="26"/>
        </w:rPr>
      </w:pPr>
      <w:r w:rsidRPr="005B6DA0">
        <w:rPr>
          <w:b/>
          <w:sz w:val="26"/>
          <w:szCs w:val="26"/>
        </w:rPr>
        <w:tab/>
      </w:r>
      <w:r w:rsidRPr="005B6DA0">
        <w:rPr>
          <w:sz w:val="26"/>
          <w:szCs w:val="26"/>
        </w:rPr>
        <w:t>Izvērtējot iespējamos sadarbības modeļus ar EKA no 2020.gada</w:t>
      </w:r>
      <w:r w:rsidR="007A055A" w:rsidRPr="005B6DA0">
        <w:rPr>
          <w:sz w:val="26"/>
          <w:szCs w:val="26"/>
        </w:rPr>
        <w:t>,</w:t>
      </w:r>
      <w:r w:rsidRPr="005B6DA0">
        <w:rPr>
          <w:sz w:val="26"/>
          <w:szCs w:val="26"/>
        </w:rPr>
        <w:t xml:space="preserve"> IZM un EKA ieskat</w:t>
      </w:r>
      <w:r w:rsidR="002813F3" w:rsidRPr="005B6DA0">
        <w:rPr>
          <w:sz w:val="26"/>
          <w:szCs w:val="26"/>
        </w:rPr>
        <w:t>ā</w:t>
      </w:r>
      <w:r w:rsidRPr="005B6DA0">
        <w:rPr>
          <w:sz w:val="26"/>
          <w:szCs w:val="26"/>
        </w:rPr>
        <w:t xml:space="preserve"> labākais risinājums Latvijai ir pievienošanās EKA asociētās </w:t>
      </w:r>
      <w:r w:rsidR="0053248A">
        <w:rPr>
          <w:sz w:val="26"/>
          <w:szCs w:val="26"/>
        </w:rPr>
        <w:t>dalīb</w:t>
      </w:r>
      <w:r w:rsidRPr="005B6DA0">
        <w:rPr>
          <w:sz w:val="26"/>
          <w:szCs w:val="26"/>
        </w:rPr>
        <w:t xml:space="preserve">valsts statusā. Asociētās </w:t>
      </w:r>
      <w:r w:rsidR="0053248A">
        <w:rPr>
          <w:sz w:val="26"/>
          <w:szCs w:val="26"/>
        </w:rPr>
        <w:t>dalīb</w:t>
      </w:r>
      <w:r w:rsidRPr="005B6DA0">
        <w:rPr>
          <w:sz w:val="26"/>
          <w:szCs w:val="26"/>
        </w:rPr>
        <w:t>valsts statuss nodrošinātu Latvijas industrijas dziļāku</w:t>
      </w:r>
      <w:r w:rsidR="002813F3" w:rsidRPr="005B6DA0">
        <w:rPr>
          <w:sz w:val="26"/>
          <w:szCs w:val="26"/>
        </w:rPr>
        <w:t xml:space="preserve"> </w:t>
      </w:r>
      <w:r w:rsidRPr="005B6DA0">
        <w:rPr>
          <w:sz w:val="26"/>
          <w:szCs w:val="26"/>
        </w:rPr>
        <w:t xml:space="preserve">integrāciju </w:t>
      </w:r>
      <w:r w:rsidR="002813F3" w:rsidRPr="005B6DA0">
        <w:rPr>
          <w:sz w:val="26"/>
          <w:szCs w:val="26"/>
        </w:rPr>
        <w:t xml:space="preserve">un </w:t>
      </w:r>
      <w:r w:rsidR="002813F3" w:rsidRPr="005B6DA0">
        <w:rPr>
          <w:sz w:val="26"/>
          <w:szCs w:val="26"/>
        </w:rPr>
        <w:lastRenderedPageBreak/>
        <w:t>iesaisti Eiropas kosmosa vērtību ķēdēs</w:t>
      </w:r>
      <w:r w:rsidR="00547358" w:rsidRPr="005B6DA0">
        <w:rPr>
          <w:rStyle w:val="FootnoteReference"/>
          <w:sz w:val="26"/>
          <w:szCs w:val="26"/>
        </w:rPr>
        <w:footnoteReference w:id="18"/>
      </w:r>
      <w:r w:rsidR="002813F3" w:rsidRPr="005B6DA0">
        <w:rPr>
          <w:sz w:val="26"/>
          <w:szCs w:val="26"/>
        </w:rPr>
        <w:t xml:space="preserve"> gan sadarbībā ar Eiropas kosmosa industriju, gan attīstot nišu inovācijas EKA programmu iet</w:t>
      </w:r>
      <w:r w:rsidR="009E08BA" w:rsidRPr="005B6DA0">
        <w:rPr>
          <w:sz w:val="26"/>
          <w:szCs w:val="26"/>
        </w:rPr>
        <w:t xml:space="preserve">varos, kurās tiek īstenotas </w:t>
      </w:r>
      <w:r w:rsidR="00BB6A88" w:rsidRPr="005B6DA0">
        <w:rPr>
          <w:sz w:val="26"/>
          <w:szCs w:val="26"/>
        </w:rPr>
        <w:t>visas</w:t>
      </w:r>
      <w:r w:rsidR="009E08BA" w:rsidRPr="005B6DA0">
        <w:rPr>
          <w:sz w:val="26"/>
          <w:szCs w:val="26"/>
        </w:rPr>
        <w:t xml:space="preserve"> EKA tehnoloģiju misijas.</w:t>
      </w:r>
      <w:r w:rsidR="002813F3" w:rsidRPr="005B6DA0">
        <w:rPr>
          <w:sz w:val="26"/>
          <w:szCs w:val="26"/>
        </w:rPr>
        <w:t xml:space="preserve"> Vienlaikus EKA atjaunotais </w:t>
      </w:r>
      <w:r w:rsidR="009E08BA" w:rsidRPr="005B6DA0">
        <w:rPr>
          <w:sz w:val="26"/>
          <w:szCs w:val="26"/>
        </w:rPr>
        <w:t xml:space="preserve">asociētās </w:t>
      </w:r>
      <w:r w:rsidR="0053248A">
        <w:rPr>
          <w:sz w:val="26"/>
          <w:szCs w:val="26"/>
        </w:rPr>
        <w:t>dalīb</w:t>
      </w:r>
      <w:r w:rsidR="009E08BA" w:rsidRPr="005B6DA0">
        <w:rPr>
          <w:sz w:val="26"/>
          <w:szCs w:val="26"/>
        </w:rPr>
        <w:t>valsts</w:t>
      </w:r>
      <w:r w:rsidR="00BB6A88" w:rsidRPr="005B6DA0">
        <w:rPr>
          <w:sz w:val="26"/>
          <w:szCs w:val="26"/>
        </w:rPr>
        <w:t xml:space="preserve"> statuss</w:t>
      </w:r>
      <w:r w:rsidR="00947C6C" w:rsidRPr="005B6DA0">
        <w:rPr>
          <w:sz w:val="26"/>
          <w:szCs w:val="26"/>
        </w:rPr>
        <w:t xml:space="preserve"> piedāvā īstenot T</w:t>
      </w:r>
      <w:r w:rsidR="009E08BA" w:rsidRPr="005B6DA0">
        <w:rPr>
          <w:sz w:val="26"/>
          <w:szCs w:val="26"/>
        </w:rPr>
        <w:t xml:space="preserve">rešās puses programmu, kas paredz turpināt </w:t>
      </w:r>
      <w:r w:rsidR="00BB6A88" w:rsidRPr="005B6DA0">
        <w:rPr>
          <w:sz w:val="26"/>
          <w:szCs w:val="26"/>
        </w:rPr>
        <w:t xml:space="preserve">industriālās </w:t>
      </w:r>
      <w:r w:rsidR="009E08BA" w:rsidRPr="005B6DA0">
        <w:rPr>
          <w:sz w:val="26"/>
          <w:szCs w:val="26"/>
        </w:rPr>
        <w:t xml:space="preserve">kapacitātes </w:t>
      </w:r>
      <w:r w:rsidR="00BB6A88" w:rsidRPr="005B6DA0">
        <w:rPr>
          <w:sz w:val="26"/>
          <w:szCs w:val="26"/>
        </w:rPr>
        <w:t xml:space="preserve">stiprināšanas pasākumus, lai nodrošinātu Latvijas industrijas panākumus EKA izvēles programmās. </w:t>
      </w:r>
    </w:p>
    <w:p w14:paraId="07584981" w14:textId="6C2298D5" w:rsidR="00BD560B" w:rsidRPr="005B6DA0" w:rsidRDefault="00BB6A88" w:rsidP="00BB6A88">
      <w:pPr>
        <w:rPr>
          <w:sz w:val="26"/>
          <w:szCs w:val="26"/>
        </w:rPr>
      </w:pPr>
      <w:r w:rsidRPr="005B6DA0">
        <w:rPr>
          <w:sz w:val="26"/>
          <w:szCs w:val="26"/>
        </w:rPr>
        <w:tab/>
      </w:r>
      <w:r w:rsidR="00BD560B" w:rsidRPr="005B6DA0">
        <w:rPr>
          <w:sz w:val="26"/>
          <w:szCs w:val="26"/>
        </w:rPr>
        <w:t>Lai Latvija pievienotos EKA asociētās dalībvalsts statusā, IZM līdz 2019.gada 30.decembrim jāizstrādā un</w:t>
      </w:r>
      <w:r w:rsidRPr="005B6DA0">
        <w:rPr>
          <w:sz w:val="26"/>
          <w:szCs w:val="26"/>
        </w:rPr>
        <w:t xml:space="preserve"> izglītības un zinātnes ministram noteiktā kārtībā </w:t>
      </w:r>
      <w:r w:rsidR="00BD560B" w:rsidRPr="005B6DA0">
        <w:rPr>
          <w:sz w:val="26"/>
          <w:szCs w:val="26"/>
        </w:rPr>
        <w:t xml:space="preserve">jāiesniedz </w:t>
      </w:r>
      <w:r w:rsidRPr="005B6DA0">
        <w:rPr>
          <w:sz w:val="26"/>
          <w:szCs w:val="26"/>
        </w:rPr>
        <w:t xml:space="preserve">izskatīšanai Ministru kabinetā Latvijas Republikas valdības un EKA līguma par pievienošanos EKA asociētās </w:t>
      </w:r>
      <w:r w:rsidR="0053248A">
        <w:rPr>
          <w:sz w:val="26"/>
          <w:szCs w:val="26"/>
        </w:rPr>
        <w:t>dalīb</w:t>
      </w:r>
      <w:r w:rsidRPr="005B6DA0">
        <w:rPr>
          <w:sz w:val="26"/>
          <w:szCs w:val="26"/>
        </w:rPr>
        <w:t>valsts statusā projektu, pie nosacījuma, ja šim mērķim tiek piešķirts nepieciešamais finansējums.</w:t>
      </w:r>
      <w:r w:rsidR="00BD560B" w:rsidRPr="005B6DA0">
        <w:rPr>
          <w:sz w:val="26"/>
          <w:szCs w:val="26"/>
        </w:rPr>
        <w:t xml:space="preserve"> Vienlaikus IZM līdz 2019.gada 30.decembrim jāizstrādā</w:t>
      </w:r>
      <w:r w:rsidR="0053248A">
        <w:rPr>
          <w:sz w:val="26"/>
          <w:szCs w:val="26"/>
        </w:rPr>
        <w:t xml:space="preserve"> un</w:t>
      </w:r>
      <w:r w:rsidRPr="005B6DA0">
        <w:rPr>
          <w:sz w:val="26"/>
          <w:szCs w:val="26"/>
        </w:rPr>
        <w:t xml:space="preserve"> </w:t>
      </w:r>
      <w:r w:rsidR="00BD560B" w:rsidRPr="005B6DA0">
        <w:rPr>
          <w:sz w:val="26"/>
          <w:szCs w:val="26"/>
        </w:rPr>
        <w:t>jāiesniedz</w:t>
      </w:r>
      <w:r w:rsidRPr="005B6DA0">
        <w:rPr>
          <w:sz w:val="26"/>
          <w:szCs w:val="26"/>
        </w:rPr>
        <w:t xml:space="preserve"> izskatīšanai Ministru kabinetā</w:t>
      </w:r>
      <w:r w:rsidR="00BD560B" w:rsidRPr="005B6DA0">
        <w:rPr>
          <w:sz w:val="26"/>
          <w:szCs w:val="26"/>
        </w:rPr>
        <w:t xml:space="preserve"> rīkojums</w:t>
      </w:r>
      <w:r w:rsidRPr="005B6DA0">
        <w:rPr>
          <w:sz w:val="26"/>
          <w:szCs w:val="26"/>
        </w:rPr>
        <w:t xml:space="preserve"> </w:t>
      </w:r>
      <w:r w:rsidR="00817C89" w:rsidRPr="005B6DA0">
        <w:rPr>
          <w:sz w:val="26"/>
          <w:szCs w:val="26"/>
        </w:rPr>
        <w:t>“</w:t>
      </w:r>
      <w:r w:rsidRPr="005B6DA0">
        <w:rPr>
          <w:sz w:val="26"/>
          <w:szCs w:val="26"/>
        </w:rPr>
        <w:t>Par atļauju Izglītības un zinātnes ministrijai uzņemties ilgtermiņa saistības, lai nodrošinātu Lat</w:t>
      </w:r>
      <w:r w:rsidR="00BD560B" w:rsidRPr="005B6DA0">
        <w:rPr>
          <w:sz w:val="26"/>
          <w:szCs w:val="26"/>
        </w:rPr>
        <w:t xml:space="preserve">vijas dalību EKA asociētās </w:t>
      </w:r>
      <w:r w:rsidR="00C80669" w:rsidRPr="005B6DA0">
        <w:rPr>
          <w:sz w:val="26"/>
          <w:szCs w:val="26"/>
        </w:rPr>
        <w:t>dalīb</w:t>
      </w:r>
      <w:r w:rsidRPr="005B6DA0">
        <w:rPr>
          <w:sz w:val="26"/>
          <w:szCs w:val="26"/>
        </w:rPr>
        <w:t>valsts</w:t>
      </w:r>
      <w:r w:rsidR="00BD560B" w:rsidRPr="005B6DA0">
        <w:rPr>
          <w:sz w:val="26"/>
          <w:szCs w:val="26"/>
        </w:rPr>
        <w:t xml:space="preserve"> statusā</w:t>
      </w:r>
      <w:r w:rsidR="00817C89" w:rsidRPr="005B6DA0">
        <w:rPr>
          <w:sz w:val="26"/>
          <w:szCs w:val="26"/>
        </w:rPr>
        <w:t>”</w:t>
      </w:r>
      <w:r w:rsidR="00BD560B" w:rsidRPr="005B6DA0">
        <w:rPr>
          <w:sz w:val="26"/>
          <w:szCs w:val="26"/>
        </w:rPr>
        <w:t>.</w:t>
      </w:r>
    </w:p>
    <w:p w14:paraId="541AE7D6" w14:textId="7CC9731E" w:rsidR="00BB6A88" w:rsidRPr="005B6DA0" w:rsidRDefault="0053248A" w:rsidP="00BD560B">
      <w:pPr>
        <w:ind w:firstLine="720"/>
        <w:rPr>
          <w:sz w:val="26"/>
          <w:szCs w:val="26"/>
        </w:rPr>
      </w:pPr>
      <w:r>
        <w:rPr>
          <w:sz w:val="26"/>
          <w:szCs w:val="26"/>
        </w:rPr>
        <w:t>N</w:t>
      </w:r>
      <w:r w:rsidR="005E485C" w:rsidRPr="005B6DA0">
        <w:rPr>
          <w:sz w:val="26"/>
          <w:szCs w:val="26"/>
        </w:rPr>
        <w:t xml:space="preserve">epieciešamais finansējums </w:t>
      </w:r>
      <w:r w:rsidR="00BD560B" w:rsidRPr="005B6DA0">
        <w:rPr>
          <w:sz w:val="26"/>
          <w:szCs w:val="26"/>
        </w:rPr>
        <w:t>Latvijas</w:t>
      </w:r>
      <w:r w:rsidR="005E485C" w:rsidRPr="005B6DA0">
        <w:rPr>
          <w:sz w:val="26"/>
          <w:szCs w:val="26"/>
        </w:rPr>
        <w:t xml:space="preserve"> dalībai EKA asociētās </w:t>
      </w:r>
      <w:r w:rsidR="00C80669" w:rsidRPr="005B6DA0">
        <w:rPr>
          <w:sz w:val="26"/>
          <w:szCs w:val="26"/>
        </w:rPr>
        <w:t>dalīb</w:t>
      </w:r>
      <w:r w:rsidR="005E485C" w:rsidRPr="005B6DA0">
        <w:rPr>
          <w:sz w:val="26"/>
          <w:szCs w:val="26"/>
        </w:rPr>
        <w:t xml:space="preserve">valsts statusā ik gadu </w:t>
      </w:r>
      <w:r w:rsidR="009D4A31" w:rsidRPr="005B6DA0">
        <w:rPr>
          <w:sz w:val="26"/>
          <w:szCs w:val="26"/>
        </w:rPr>
        <w:t>ir</w:t>
      </w:r>
      <w:r w:rsidR="00BD560B" w:rsidRPr="005B6DA0">
        <w:rPr>
          <w:sz w:val="26"/>
          <w:szCs w:val="26"/>
        </w:rPr>
        <w:t xml:space="preserve"> </w:t>
      </w:r>
      <w:r w:rsidR="007A055A" w:rsidRPr="005B6DA0">
        <w:rPr>
          <w:sz w:val="26"/>
          <w:szCs w:val="26"/>
        </w:rPr>
        <w:t>3 milj.</w:t>
      </w:r>
      <w:r w:rsidR="005E485C" w:rsidRPr="005B6DA0">
        <w:rPr>
          <w:sz w:val="26"/>
          <w:szCs w:val="26"/>
        </w:rPr>
        <w:t xml:space="preserve"> </w:t>
      </w:r>
      <w:proofErr w:type="spellStart"/>
      <w:r w:rsidR="005E485C" w:rsidRPr="005B6DA0">
        <w:rPr>
          <w:i/>
          <w:sz w:val="26"/>
          <w:szCs w:val="26"/>
        </w:rPr>
        <w:t>euro</w:t>
      </w:r>
      <w:proofErr w:type="spellEnd"/>
      <w:r>
        <w:rPr>
          <w:sz w:val="26"/>
          <w:szCs w:val="26"/>
        </w:rPr>
        <w:t xml:space="preserve">, ka </w:t>
      </w:r>
      <w:r w:rsidR="009D4A31" w:rsidRPr="005B6DA0">
        <w:rPr>
          <w:sz w:val="26"/>
          <w:szCs w:val="26"/>
        </w:rPr>
        <w:t>nodrošina</w:t>
      </w:r>
      <w:r w:rsidR="005E485C" w:rsidRPr="005B6DA0">
        <w:rPr>
          <w:sz w:val="26"/>
          <w:szCs w:val="26"/>
        </w:rPr>
        <w:t xml:space="preserve"> ieguldījumu EKA obligātajā programmā,</w:t>
      </w:r>
      <w:r w:rsidR="00947C6C" w:rsidRPr="005B6DA0">
        <w:rPr>
          <w:sz w:val="26"/>
          <w:szCs w:val="26"/>
        </w:rPr>
        <w:t xml:space="preserve"> EKA izvēles programmās un EKA T</w:t>
      </w:r>
      <w:r w:rsidR="005E485C" w:rsidRPr="005B6DA0">
        <w:rPr>
          <w:sz w:val="26"/>
          <w:szCs w:val="26"/>
        </w:rPr>
        <w:t>rešās puses programmā, paredzot finansējuma sadalījum</w:t>
      </w:r>
      <w:r w:rsidR="007A055A" w:rsidRPr="005B6DA0">
        <w:rPr>
          <w:sz w:val="26"/>
          <w:szCs w:val="26"/>
        </w:rPr>
        <w:t>a</w:t>
      </w:r>
      <w:r w:rsidR="005E485C" w:rsidRPr="005B6DA0">
        <w:rPr>
          <w:sz w:val="26"/>
          <w:szCs w:val="26"/>
        </w:rPr>
        <w:t xml:space="preserve"> elastību starp ieguldījuma apmēru</w:t>
      </w:r>
      <w:r w:rsidR="00947C6C" w:rsidRPr="005B6DA0">
        <w:rPr>
          <w:sz w:val="26"/>
          <w:szCs w:val="26"/>
        </w:rPr>
        <w:t xml:space="preserve"> EKA izvēles programmās un EKA T</w:t>
      </w:r>
      <w:r w:rsidR="00C930C4" w:rsidRPr="005B6DA0">
        <w:rPr>
          <w:sz w:val="26"/>
          <w:szCs w:val="26"/>
        </w:rPr>
        <w:t>rešās puses programmā atbilstoši Latvijas industrijas vajadzīb</w:t>
      </w:r>
      <w:r w:rsidR="00C80669" w:rsidRPr="005B6DA0">
        <w:rPr>
          <w:sz w:val="26"/>
          <w:szCs w:val="26"/>
        </w:rPr>
        <w:t>ām.</w:t>
      </w:r>
    </w:p>
    <w:p w14:paraId="45AC6C20" w14:textId="77777777" w:rsidR="001D4872" w:rsidRPr="005B6DA0" w:rsidRDefault="001D4872" w:rsidP="001302DC">
      <w:pPr>
        <w:rPr>
          <w:sz w:val="26"/>
          <w:szCs w:val="26"/>
        </w:rPr>
      </w:pPr>
    </w:p>
    <w:p w14:paraId="033182C9" w14:textId="77777777" w:rsidR="001302DC" w:rsidRPr="005B6DA0" w:rsidRDefault="001302DC" w:rsidP="001302DC">
      <w:pPr>
        <w:rPr>
          <w:sz w:val="26"/>
          <w:szCs w:val="26"/>
        </w:rPr>
      </w:pPr>
      <w:r w:rsidRPr="005B6DA0">
        <w:rPr>
          <w:sz w:val="26"/>
          <w:szCs w:val="26"/>
        </w:rPr>
        <w:t>Iesniedzējs:</w:t>
      </w:r>
    </w:p>
    <w:p w14:paraId="033182CA" w14:textId="35C0A5C4" w:rsidR="001302DC" w:rsidRPr="005B6DA0" w:rsidRDefault="001302DC" w:rsidP="00DB1C37">
      <w:pPr>
        <w:ind w:right="1133"/>
        <w:rPr>
          <w:sz w:val="26"/>
          <w:szCs w:val="26"/>
        </w:rPr>
      </w:pPr>
      <w:r w:rsidRPr="005B6DA0">
        <w:rPr>
          <w:sz w:val="26"/>
          <w:szCs w:val="26"/>
        </w:rPr>
        <w:t>Izglītības un zinātnes ministre</w:t>
      </w:r>
      <w:r w:rsidRPr="005B6DA0">
        <w:rPr>
          <w:sz w:val="26"/>
          <w:szCs w:val="26"/>
        </w:rPr>
        <w:tab/>
      </w:r>
      <w:r w:rsidRPr="005B6DA0">
        <w:rPr>
          <w:sz w:val="26"/>
          <w:szCs w:val="26"/>
        </w:rPr>
        <w:tab/>
      </w:r>
      <w:r w:rsidRPr="005B6DA0">
        <w:rPr>
          <w:sz w:val="26"/>
          <w:szCs w:val="26"/>
        </w:rPr>
        <w:tab/>
      </w:r>
      <w:r w:rsidRPr="005B6DA0">
        <w:rPr>
          <w:sz w:val="26"/>
          <w:szCs w:val="26"/>
        </w:rPr>
        <w:tab/>
      </w:r>
      <w:r w:rsidRPr="005B6DA0">
        <w:rPr>
          <w:sz w:val="26"/>
          <w:szCs w:val="26"/>
        </w:rPr>
        <w:tab/>
        <w:t>I</w:t>
      </w:r>
      <w:r w:rsidR="00D65389" w:rsidRPr="005B6DA0">
        <w:rPr>
          <w:sz w:val="26"/>
          <w:szCs w:val="26"/>
        </w:rPr>
        <w:t xml:space="preserve">. </w:t>
      </w:r>
      <w:r w:rsidRPr="005B6DA0">
        <w:rPr>
          <w:sz w:val="26"/>
          <w:szCs w:val="26"/>
        </w:rPr>
        <w:t>Šuplinska</w:t>
      </w:r>
    </w:p>
    <w:p w14:paraId="033182CB" w14:textId="77777777" w:rsidR="001302DC" w:rsidRPr="005B6DA0" w:rsidRDefault="001302DC" w:rsidP="00DB1C37">
      <w:pPr>
        <w:ind w:right="1133"/>
        <w:rPr>
          <w:sz w:val="26"/>
          <w:szCs w:val="26"/>
        </w:rPr>
      </w:pPr>
    </w:p>
    <w:p w14:paraId="033182CC" w14:textId="77777777" w:rsidR="001302DC" w:rsidRPr="005B6DA0" w:rsidRDefault="001302DC" w:rsidP="00DB1C37">
      <w:pPr>
        <w:ind w:right="1133"/>
        <w:rPr>
          <w:sz w:val="26"/>
          <w:szCs w:val="26"/>
        </w:rPr>
      </w:pPr>
    </w:p>
    <w:p w14:paraId="033182CD" w14:textId="77777777" w:rsidR="001302DC" w:rsidRPr="005B6DA0" w:rsidRDefault="001302DC" w:rsidP="00DB1C37">
      <w:pPr>
        <w:ind w:right="1133"/>
        <w:rPr>
          <w:sz w:val="26"/>
          <w:szCs w:val="26"/>
        </w:rPr>
      </w:pPr>
      <w:r w:rsidRPr="005B6DA0">
        <w:rPr>
          <w:sz w:val="26"/>
          <w:szCs w:val="26"/>
        </w:rPr>
        <w:t>Vizē:</w:t>
      </w:r>
    </w:p>
    <w:p w14:paraId="033182CE" w14:textId="687FB1C2" w:rsidR="001302DC" w:rsidRPr="005B6DA0" w:rsidRDefault="001302DC" w:rsidP="00DB1C37">
      <w:pPr>
        <w:ind w:right="1416"/>
        <w:rPr>
          <w:sz w:val="26"/>
          <w:szCs w:val="26"/>
        </w:rPr>
      </w:pPr>
      <w:r w:rsidRPr="005B6DA0">
        <w:rPr>
          <w:sz w:val="26"/>
          <w:szCs w:val="26"/>
        </w:rPr>
        <w:t xml:space="preserve">Valsts sekretāre </w:t>
      </w:r>
      <w:r w:rsidRPr="005B6DA0">
        <w:rPr>
          <w:sz w:val="26"/>
          <w:szCs w:val="26"/>
        </w:rPr>
        <w:tab/>
      </w:r>
      <w:r w:rsidRPr="005B6DA0">
        <w:rPr>
          <w:sz w:val="26"/>
          <w:szCs w:val="26"/>
        </w:rPr>
        <w:tab/>
      </w:r>
      <w:r w:rsidRPr="005B6DA0">
        <w:rPr>
          <w:sz w:val="26"/>
          <w:szCs w:val="26"/>
        </w:rPr>
        <w:tab/>
      </w:r>
      <w:r w:rsidRPr="005B6DA0">
        <w:rPr>
          <w:sz w:val="26"/>
          <w:szCs w:val="26"/>
        </w:rPr>
        <w:tab/>
      </w:r>
      <w:r w:rsidRPr="005B6DA0">
        <w:rPr>
          <w:sz w:val="26"/>
          <w:szCs w:val="26"/>
        </w:rPr>
        <w:tab/>
      </w:r>
      <w:r w:rsidRPr="005B6DA0">
        <w:rPr>
          <w:sz w:val="26"/>
          <w:szCs w:val="26"/>
        </w:rPr>
        <w:tab/>
      </w:r>
      <w:r w:rsidRPr="005B6DA0">
        <w:rPr>
          <w:sz w:val="26"/>
          <w:szCs w:val="26"/>
        </w:rPr>
        <w:tab/>
      </w:r>
      <w:r w:rsidR="00DB1C37" w:rsidRPr="005B6DA0">
        <w:rPr>
          <w:sz w:val="26"/>
          <w:szCs w:val="26"/>
        </w:rPr>
        <w:t xml:space="preserve">    </w:t>
      </w:r>
      <w:proofErr w:type="spellStart"/>
      <w:r w:rsidRPr="005B6DA0">
        <w:rPr>
          <w:sz w:val="26"/>
          <w:szCs w:val="26"/>
        </w:rPr>
        <w:t>L</w:t>
      </w:r>
      <w:r w:rsidR="005B6DA0">
        <w:rPr>
          <w:sz w:val="26"/>
          <w:szCs w:val="26"/>
        </w:rPr>
        <w:t>.</w:t>
      </w:r>
      <w:r w:rsidRPr="005B6DA0">
        <w:rPr>
          <w:sz w:val="26"/>
          <w:szCs w:val="26"/>
        </w:rPr>
        <w:t>Lejiņa</w:t>
      </w:r>
      <w:proofErr w:type="spellEnd"/>
    </w:p>
    <w:p w14:paraId="033182CF" w14:textId="77777777" w:rsidR="001302DC" w:rsidRPr="001302DC" w:rsidRDefault="001302DC" w:rsidP="001302DC">
      <w:pPr>
        <w:tabs>
          <w:tab w:val="left" w:pos="3360"/>
        </w:tabs>
        <w:rPr>
          <w:color w:val="000000" w:themeColor="text1"/>
        </w:rPr>
      </w:pPr>
    </w:p>
    <w:p w14:paraId="6473BED3" w14:textId="77777777" w:rsidR="00267909" w:rsidRDefault="00267909"/>
    <w:p w14:paraId="033182D2" w14:textId="086106B1" w:rsidR="00FE2F03" w:rsidRPr="00267909" w:rsidRDefault="00FE2F03">
      <w:pPr>
        <w:rPr>
          <w:smallCaps/>
          <w:sz w:val="20"/>
          <w:szCs w:val="20"/>
        </w:rPr>
      </w:pPr>
      <w:r w:rsidRPr="00267909">
        <w:rPr>
          <w:sz w:val="20"/>
          <w:szCs w:val="20"/>
        </w:rPr>
        <w:t>Karolis</w:t>
      </w:r>
      <w:r w:rsidR="00267909">
        <w:rPr>
          <w:sz w:val="20"/>
          <w:szCs w:val="20"/>
        </w:rPr>
        <w:t xml:space="preserve"> </w:t>
      </w:r>
      <w:r w:rsidR="00267909" w:rsidRPr="00267909">
        <w:rPr>
          <w:sz w:val="20"/>
          <w:szCs w:val="20"/>
        </w:rPr>
        <w:t>67047966</w:t>
      </w:r>
    </w:p>
    <w:p w14:paraId="476C9126" w14:textId="039FF7BE" w:rsidR="00267909" w:rsidRPr="003274D0" w:rsidRDefault="00F9079C">
      <w:pPr>
        <w:rPr>
          <w:sz w:val="20"/>
          <w:szCs w:val="20"/>
        </w:rPr>
      </w:pPr>
      <w:hyperlink r:id="rId12" w:history="1">
        <w:r w:rsidR="00FE2F03" w:rsidRPr="00267909">
          <w:rPr>
            <w:rStyle w:val="Hyperlink"/>
            <w:sz w:val="20"/>
            <w:szCs w:val="20"/>
          </w:rPr>
          <w:t>Kaspars.karolis@izm.gov.lv</w:t>
        </w:r>
      </w:hyperlink>
    </w:p>
    <w:sectPr w:rsidR="00267909" w:rsidRPr="003274D0" w:rsidSect="00C7473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3F88F" w16cid:durableId="210D94D0"/>
  <w16cid:commentId w16cid:paraId="1442E29D" w16cid:durableId="210D961E"/>
  <w16cid:commentId w16cid:paraId="56844452" w16cid:durableId="210D9878"/>
  <w16cid:commentId w16cid:paraId="37706C43" w16cid:durableId="210D999D"/>
  <w16cid:commentId w16cid:paraId="45683094" w16cid:durableId="210D9C00"/>
  <w16cid:commentId w16cid:paraId="11C8D74B" w16cid:durableId="210D9D35"/>
  <w16cid:commentId w16cid:paraId="38F8555A" w16cid:durableId="210D9CFB"/>
  <w16cid:commentId w16cid:paraId="5A0B12EE" w16cid:durableId="210D9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EAC54" w14:textId="77777777" w:rsidR="00F9079C" w:rsidRDefault="00F9079C" w:rsidP="001302DC">
      <w:r>
        <w:separator/>
      </w:r>
    </w:p>
  </w:endnote>
  <w:endnote w:type="continuationSeparator" w:id="0">
    <w:p w14:paraId="7E4E426E" w14:textId="77777777" w:rsidR="00F9079C" w:rsidRDefault="00F9079C" w:rsidP="001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3802"/>
      <w:docPartObj>
        <w:docPartGallery w:val="Page Numbers (Bottom of Page)"/>
        <w:docPartUnique/>
      </w:docPartObj>
    </w:sdtPr>
    <w:sdtEndPr>
      <w:rPr>
        <w:noProof/>
        <w:sz w:val="22"/>
      </w:rPr>
    </w:sdtEndPr>
    <w:sdtContent>
      <w:p w14:paraId="033182DB" w14:textId="77777777" w:rsidR="003274D0" w:rsidRDefault="003274D0" w:rsidP="00C74738">
        <w:pPr>
          <w:pStyle w:val="Header"/>
        </w:pPr>
      </w:p>
      <w:p w14:paraId="033182DC" w14:textId="2BAF6D4B" w:rsidR="003274D0" w:rsidRPr="00D709B6" w:rsidRDefault="008F44BD" w:rsidP="00C74738">
        <w:pPr>
          <w:pStyle w:val="Footer"/>
          <w:jc w:val="left"/>
          <w:rPr>
            <w:sz w:val="22"/>
          </w:rPr>
        </w:pPr>
        <w:r>
          <w:rPr>
            <w:noProof/>
            <w:sz w:val="22"/>
          </w:rPr>
          <w:t>IZMZino_28</w:t>
        </w:r>
        <w:r w:rsidR="003274D0">
          <w:rPr>
            <w:noProof/>
            <w:sz w:val="22"/>
          </w:rPr>
          <w:t>0819_EKA2020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82DD" w14:textId="26ACED7B" w:rsidR="003274D0" w:rsidRPr="00D709B6" w:rsidRDefault="008F44BD" w:rsidP="00824A1C">
    <w:pPr>
      <w:pStyle w:val="Footer"/>
      <w:jc w:val="left"/>
      <w:rPr>
        <w:sz w:val="22"/>
      </w:rPr>
    </w:pPr>
    <w:r>
      <w:rPr>
        <w:noProof/>
        <w:sz w:val="22"/>
      </w:rPr>
      <w:t>IZMZino_280</w:t>
    </w:r>
    <w:r w:rsidR="003274D0">
      <w:rPr>
        <w:noProof/>
        <w:sz w:val="22"/>
      </w:rPr>
      <w:t>819_EKA2020</w:t>
    </w:r>
  </w:p>
  <w:p w14:paraId="033182DE" w14:textId="77777777" w:rsidR="003274D0" w:rsidRDefault="00327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AC680" w14:textId="77777777" w:rsidR="00F9079C" w:rsidRDefault="00F9079C" w:rsidP="001302DC">
      <w:r>
        <w:separator/>
      </w:r>
    </w:p>
  </w:footnote>
  <w:footnote w:type="continuationSeparator" w:id="0">
    <w:p w14:paraId="5A8E47C3" w14:textId="77777777" w:rsidR="00F9079C" w:rsidRDefault="00F9079C" w:rsidP="001302DC">
      <w:r>
        <w:continuationSeparator/>
      </w:r>
    </w:p>
  </w:footnote>
  <w:footnote w:id="1">
    <w:p w14:paraId="732E7D02" w14:textId="77777777" w:rsidR="00097393" w:rsidRPr="006B6C5B" w:rsidRDefault="00097393" w:rsidP="00097393">
      <w:pPr>
        <w:pStyle w:val="FootnoteText"/>
        <w:jc w:val="both"/>
        <w:rPr>
          <w:rFonts w:ascii="Times New Roman" w:hAnsi="Times New Roman" w:cs="Times New Roman"/>
          <w:lang w:val="en-US"/>
        </w:rPr>
      </w:pPr>
      <w:r>
        <w:rPr>
          <w:rStyle w:val="FootnoteReference"/>
        </w:rPr>
        <w:footnoteRef/>
      </w:r>
      <w:hyperlink r:id="rId1" w:history="1">
        <w:r w:rsidRPr="006B6C5B">
          <w:rPr>
            <w:rStyle w:val="Hyperlink"/>
          </w:rPr>
          <w:t>https://likumi.lv/ta/id/306691-par-valdibas-ricibas-planu-deklaracijas-par-artura-krisjana-karina-vadita-ministru-kabineta-iecereto-darbibu-istenosanai</w:t>
        </w:r>
      </w:hyperlink>
      <w:r w:rsidRPr="006B6C5B">
        <w:rPr>
          <w:rFonts w:ascii="Times New Roman" w:hAnsi="Times New Roman" w:cs="Times New Roman"/>
        </w:rPr>
        <w:t xml:space="preserve"> </w:t>
      </w:r>
    </w:p>
  </w:footnote>
  <w:footnote w:id="2">
    <w:p w14:paraId="597EBB9F" w14:textId="77777777" w:rsidR="00097393" w:rsidRPr="006B6C5B" w:rsidRDefault="00097393" w:rsidP="00097393">
      <w:pPr>
        <w:pStyle w:val="FootnoteText"/>
        <w:jc w:val="both"/>
        <w:rPr>
          <w:rFonts w:ascii="Times New Roman" w:hAnsi="Times New Roman" w:cs="Times New Roman"/>
          <w:lang w:val="en-US"/>
        </w:rPr>
      </w:pPr>
      <w:r w:rsidRPr="006B6C5B">
        <w:rPr>
          <w:rStyle w:val="FootnoteReference"/>
          <w:rFonts w:ascii="Times New Roman" w:hAnsi="Times New Roman" w:cs="Times New Roman"/>
        </w:rPr>
        <w:footnoteRef/>
      </w:r>
      <w:r w:rsidRPr="006B6C5B">
        <w:rPr>
          <w:rFonts w:ascii="Times New Roman" w:hAnsi="Times New Roman" w:cs="Times New Roman"/>
        </w:rPr>
        <w:t xml:space="preserve"> </w:t>
      </w:r>
      <w:hyperlink r:id="rId2" w:history="1">
        <w:r w:rsidRPr="006B6C5B">
          <w:rPr>
            <w:rStyle w:val="Hyperlink"/>
          </w:rPr>
          <w:t>https://likumi.lv/ta/lv/starptautiskie-ligumi/id/586</w:t>
        </w:r>
      </w:hyperlink>
      <w:r w:rsidRPr="006B6C5B">
        <w:rPr>
          <w:rFonts w:ascii="Times New Roman" w:hAnsi="Times New Roman" w:cs="Times New Roman"/>
        </w:rPr>
        <w:t xml:space="preserve"> </w:t>
      </w:r>
    </w:p>
  </w:footnote>
  <w:footnote w:id="3">
    <w:p w14:paraId="6DF0B360" w14:textId="77777777" w:rsidR="00097393" w:rsidRPr="006B6C5B" w:rsidRDefault="00097393" w:rsidP="00097393">
      <w:pPr>
        <w:pStyle w:val="FootnoteText"/>
        <w:jc w:val="both"/>
        <w:rPr>
          <w:rFonts w:ascii="Times New Roman" w:hAnsi="Times New Roman" w:cs="Times New Roman"/>
          <w:lang w:val="en-US"/>
        </w:rPr>
      </w:pPr>
      <w:r w:rsidRPr="006B6C5B">
        <w:rPr>
          <w:rStyle w:val="FootnoteReference"/>
          <w:rFonts w:ascii="Times New Roman" w:hAnsi="Times New Roman" w:cs="Times New Roman"/>
        </w:rPr>
        <w:footnoteRef/>
      </w:r>
      <w:hyperlink r:id="rId3" w:history="1">
        <w:r w:rsidRPr="006B6C5B">
          <w:rPr>
            <w:rStyle w:val="Hyperlink"/>
          </w:rPr>
          <w:t>https://izm.gov.lv/images/aktualitates/2019/Latvia-PECS-Country-Report.pdf</w:t>
        </w:r>
      </w:hyperlink>
      <w:r w:rsidRPr="006B6C5B">
        <w:rPr>
          <w:rFonts w:ascii="Times New Roman" w:hAnsi="Times New Roman" w:cs="Times New Roman"/>
        </w:rPr>
        <w:t xml:space="preserve">; </w:t>
      </w:r>
      <w:hyperlink r:id="rId4" w:history="1">
        <w:r w:rsidRPr="006B6C5B">
          <w:rPr>
            <w:rStyle w:val="Hyperlink"/>
          </w:rPr>
          <w:t>https://izm.gov.lv/images/starptautiska_sad/IZM_2019-13_Interim-Report_August2019.pdf</w:t>
        </w:r>
      </w:hyperlink>
      <w:r w:rsidRPr="006B6C5B">
        <w:rPr>
          <w:rFonts w:ascii="Times New Roman" w:hAnsi="Times New Roman" w:cs="Times New Roman"/>
        </w:rPr>
        <w:t xml:space="preserve"> </w:t>
      </w:r>
    </w:p>
  </w:footnote>
  <w:footnote w:id="4">
    <w:p w14:paraId="4A9EC89F" w14:textId="77777777" w:rsidR="00097393" w:rsidRPr="00000657" w:rsidRDefault="00097393" w:rsidP="00097393">
      <w:pPr>
        <w:pStyle w:val="FootnoteText"/>
        <w:jc w:val="both"/>
        <w:rPr>
          <w:lang w:val="en-US"/>
        </w:rPr>
      </w:pPr>
      <w:r w:rsidRPr="006B6C5B">
        <w:rPr>
          <w:rStyle w:val="FootnoteReference"/>
          <w:rFonts w:ascii="Times New Roman" w:hAnsi="Times New Roman" w:cs="Times New Roman"/>
        </w:rPr>
        <w:footnoteRef/>
      </w:r>
      <w:hyperlink r:id="rId5" w:history="1">
        <w:r w:rsidRPr="006B6C5B">
          <w:rPr>
            <w:rStyle w:val="Hyperlink"/>
          </w:rPr>
          <w:t>https://likumi.lv/ta/id/272398-par-atlauju-izglitibas-un-zinatnes-ministrijai-uznemties-ilgtermina-saistibas-lai-nodrosinatu-latvijas-dalibu-eiropas-kosmosa</w:t>
        </w:r>
      </w:hyperlink>
      <w:r>
        <w:rPr>
          <w:rFonts w:ascii="Times New Roman" w:hAnsi="Times New Roman" w:cs="Times New Roman"/>
        </w:rPr>
        <w:t xml:space="preserve"> </w:t>
      </w:r>
    </w:p>
  </w:footnote>
  <w:footnote w:id="5">
    <w:p w14:paraId="5AB390C5" w14:textId="2B0503D0" w:rsidR="00663EFB" w:rsidRPr="00663EFB" w:rsidRDefault="003274D0" w:rsidP="00C82E12">
      <w:pPr>
        <w:pStyle w:val="FootnoteText"/>
        <w:jc w:val="both"/>
        <w:rPr>
          <w:rFonts w:ascii="Times New Roman" w:hAnsi="Times New Roman" w:cs="Times New Roman"/>
        </w:rPr>
      </w:pPr>
      <w:r>
        <w:rPr>
          <w:rStyle w:val="FootnoteReference"/>
        </w:rPr>
        <w:footnoteRef/>
      </w:r>
      <w:r>
        <w:t xml:space="preserve"> </w:t>
      </w:r>
      <w:r w:rsidRPr="00663EFB">
        <w:rPr>
          <w:rFonts w:ascii="Times New Roman" w:hAnsi="Times New Roman" w:cs="Times New Roman"/>
          <w:color w:val="0070C0"/>
          <w:u w:val="single"/>
        </w:rPr>
        <w:t>http://sci.esa.int/sci-ft/50124-technology-readiness-level/</w:t>
      </w:r>
    </w:p>
  </w:footnote>
  <w:footnote w:id="6">
    <w:p w14:paraId="4DAFCDFA" w14:textId="26156529" w:rsidR="003274D0" w:rsidRPr="00C82E12" w:rsidRDefault="003274D0" w:rsidP="00C82E12">
      <w:pPr>
        <w:pStyle w:val="FootnoteText"/>
        <w:jc w:val="both"/>
        <w:rPr>
          <w:rFonts w:ascii="Times New Roman" w:hAnsi="Times New Roman" w:cs="Times New Roman"/>
          <w:lang w:val="en-US"/>
        </w:rPr>
      </w:pPr>
      <w:r w:rsidRPr="00C82E12">
        <w:rPr>
          <w:rStyle w:val="FootnoteReference"/>
          <w:rFonts w:ascii="Times New Roman" w:hAnsi="Times New Roman" w:cs="Times New Roman"/>
        </w:rPr>
        <w:footnoteRef/>
      </w:r>
      <w:r w:rsidRPr="00C82E12">
        <w:rPr>
          <w:rFonts w:ascii="Times New Roman" w:hAnsi="Times New Roman" w:cs="Times New Roman"/>
        </w:rPr>
        <w:t xml:space="preserve"> </w:t>
      </w:r>
      <w:proofErr w:type="spellStart"/>
      <w:r w:rsidRPr="003274D0">
        <w:rPr>
          <w:rFonts w:ascii="Times New Roman" w:hAnsi="Times New Roman" w:cs="Times New Roman"/>
          <w:i/>
          <w:iCs/>
        </w:rPr>
        <w:t>Upstream</w:t>
      </w:r>
      <w:proofErr w:type="spellEnd"/>
      <w:r w:rsidRPr="003274D0">
        <w:rPr>
          <w:rFonts w:ascii="Times New Roman" w:hAnsi="Times New Roman" w:cs="Times New Roman"/>
          <w:i/>
          <w:iCs/>
        </w:rPr>
        <w:t xml:space="preserve"> </w:t>
      </w:r>
      <w:proofErr w:type="spellStart"/>
      <w:r w:rsidRPr="003274D0">
        <w:rPr>
          <w:rFonts w:ascii="Times New Roman" w:hAnsi="Times New Roman" w:cs="Times New Roman"/>
          <w:i/>
          <w:iCs/>
        </w:rPr>
        <w:t>market</w:t>
      </w:r>
      <w:proofErr w:type="spellEnd"/>
      <w:r w:rsidRPr="00C82E12">
        <w:rPr>
          <w:rFonts w:ascii="Times New Roman" w:hAnsi="Times New Roman" w:cs="Times New Roman"/>
        </w:rPr>
        <w:t xml:space="preserve"> jeb augšupējais tirgus iekļauj tehnoloģijas, kas pašas izmantojamas kosmosā vai iekārtu nogādei kosmosā, tai skaitā datu iegūšana un primārā apstrāde</w:t>
      </w:r>
      <w:r>
        <w:rPr>
          <w:rFonts w:ascii="Times New Roman" w:hAnsi="Times New Roman" w:cs="Times New Roman"/>
        </w:rPr>
        <w:t>,</w:t>
      </w:r>
      <w:r w:rsidRPr="00C82E12">
        <w:rPr>
          <w:rFonts w:ascii="Times New Roman" w:hAnsi="Times New Roman" w:cs="Times New Roman"/>
        </w:rPr>
        <w:t xml:space="preserve"> izmantojot šīs iekārtas.</w:t>
      </w:r>
    </w:p>
  </w:footnote>
  <w:footnote w:id="7">
    <w:p w14:paraId="6C7DDD4A" w14:textId="52622D65" w:rsidR="003274D0" w:rsidRPr="006569AD" w:rsidRDefault="003274D0" w:rsidP="00C82E12">
      <w:pPr>
        <w:pStyle w:val="FootnoteText"/>
        <w:jc w:val="both"/>
        <w:rPr>
          <w:lang w:val="en-US"/>
        </w:rPr>
      </w:pPr>
      <w:r w:rsidRPr="00C82E12">
        <w:rPr>
          <w:rStyle w:val="FootnoteReference"/>
          <w:rFonts w:ascii="Times New Roman" w:hAnsi="Times New Roman" w:cs="Times New Roman"/>
        </w:rPr>
        <w:footnoteRef/>
      </w:r>
      <w:r w:rsidRPr="00C82E12">
        <w:rPr>
          <w:rFonts w:ascii="Times New Roman" w:hAnsi="Times New Roman" w:cs="Times New Roman"/>
        </w:rPr>
        <w:t xml:space="preserve"> </w:t>
      </w:r>
      <w:proofErr w:type="spellStart"/>
      <w:r w:rsidRPr="003274D0">
        <w:rPr>
          <w:rFonts w:ascii="Times New Roman" w:hAnsi="Times New Roman" w:cs="Times New Roman"/>
          <w:i/>
          <w:iCs/>
        </w:rPr>
        <w:t>Downstream</w:t>
      </w:r>
      <w:proofErr w:type="spellEnd"/>
      <w:r w:rsidRPr="003274D0">
        <w:rPr>
          <w:rFonts w:ascii="Times New Roman" w:hAnsi="Times New Roman" w:cs="Times New Roman"/>
          <w:i/>
          <w:iCs/>
        </w:rPr>
        <w:t xml:space="preserve"> </w:t>
      </w:r>
      <w:proofErr w:type="spellStart"/>
      <w:r w:rsidRPr="003274D0">
        <w:rPr>
          <w:rFonts w:ascii="Times New Roman" w:hAnsi="Times New Roman" w:cs="Times New Roman"/>
          <w:i/>
          <w:iCs/>
        </w:rPr>
        <w:t>market</w:t>
      </w:r>
      <w:proofErr w:type="spellEnd"/>
      <w:r>
        <w:rPr>
          <w:rFonts w:ascii="Times New Roman" w:hAnsi="Times New Roman" w:cs="Times New Roman"/>
        </w:rPr>
        <w:t xml:space="preserve"> jeb lejupējais tirgus </w:t>
      </w:r>
      <w:r w:rsidRPr="00C82E12">
        <w:rPr>
          <w:rFonts w:ascii="Times New Roman" w:hAnsi="Times New Roman" w:cs="Times New Roman"/>
        </w:rPr>
        <w:t>iekļauj tehnoloģijas, pielietojumus un pakalpojumus, kas saistīt</w:t>
      </w:r>
      <w:r>
        <w:rPr>
          <w:rFonts w:ascii="Times New Roman" w:hAnsi="Times New Roman" w:cs="Times New Roman"/>
        </w:rPr>
        <w:t>i</w:t>
      </w:r>
      <w:r w:rsidRPr="00C82E12">
        <w:rPr>
          <w:rFonts w:ascii="Times New Roman" w:hAnsi="Times New Roman" w:cs="Times New Roman"/>
        </w:rPr>
        <w:t xml:space="preserve"> ar kosmosā iegūto datu, signālu un attēlu tālāku apstrādi un izmantošanu.</w:t>
      </w:r>
    </w:p>
  </w:footnote>
  <w:footnote w:id="8">
    <w:p w14:paraId="7CFD4697" w14:textId="77777777" w:rsidR="00097393" w:rsidRPr="008F5506" w:rsidRDefault="00097393" w:rsidP="00097393">
      <w:pPr>
        <w:pStyle w:val="FootnoteText"/>
      </w:pPr>
      <w:r>
        <w:rPr>
          <w:rStyle w:val="FootnoteReference"/>
        </w:rPr>
        <w:footnoteRef/>
      </w:r>
      <w:hyperlink r:id="rId6" w:history="1">
        <w:r w:rsidRPr="003274D0">
          <w:rPr>
            <w:rStyle w:val="Hyperlink"/>
          </w:rPr>
          <w:t>https://cordis.europa.eu/project/rcn/210389/factsheet/en</w:t>
        </w:r>
      </w:hyperlink>
      <w:r w:rsidRPr="003274D0">
        <w:rPr>
          <w:rFonts w:ascii="Times New Roman" w:hAnsi="Times New Roman" w:cs="Times New Roman"/>
        </w:rPr>
        <w:t>;</w:t>
      </w:r>
      <w:hyperlink r:id="rId7" w:history="1">
        <w:r w:rsidRPr="003274D0">
          <w:rPr>
            <w:rStyle w:val="Hyperlink"/>
          </w:rPr>
          <w:t>https://cordis.europa.eu/project/rcn/198927/factsheet/en</w:t>
        </w:r>
      </w:hyperlink>
    </w:p>
  </w:footnote>
  <w:footnote w:id="9">
    <w:p w14:paraId="094CEA5F" w14:textId="0069C3D2" w:rsidR="0030486A" w:rsidRPr="0030486A" w:rsidRDefault="0030486A" w:rsidP="0030486A">
      <w:pPr>
        <w:pStyle w:val="FootnoteText"/>
        <w:jc w:val="both"/>
        <w:rPr>
          <w:lang w:val="en-US"/>
        </w:rPr>
      </w:pPr>
      <w:r>
        <w:rPr>
          <w:rStyle w:val="FootnoteReference"/>
        </w:rPr>
        <w:footnoteRef/>
      </w:r>
      <w:r>
        <w:t xml:space="preserve"> </w:t>
      </w:r>
      <w:r w:rsidRPr="0030486A">
        <w:rPr>
          <w:rFonts w:ascii="Times New Roman" w:hAnsi="Times New Roman" w:cs="Times New Roman"/>
        </w:rPr>
        <w:t>Globālās navigācijas satelītu sistēmas</w:t>
      </w:r>
    </w:p>
  </w:footnote>
  <w:footnote w:id="10">
    <w:p w14:paraId="1E4C224B" w14:textId="6C1FB212" w:rsidR="003274D0" w:rsidRPr="003274D0" w:rsidRDefault="003274D0" w:rsidP="00FD0F18">
      <w:pPr>
        <w:pStyle w:val="FootnoteText"/>
        <w:rPr>
          <w:rFonts w:ascii="Times New Roman" w:hAnsi="Times New Roman" w:cs="Times New Roman"/>
        </w:rPr>
      </w:pPr>
      <w:r>
        <w:rPr>
          <w:rStyle w:val="FootnoteReference"/>
        </w:rPr>
        <w:footnoteRef/>
      </w:r>
      <w:r>
        <w:t xml:space="preserve"> </w:t>
      </w:r>
      <w:hyperlink r:id="rId8" w:history="1">
        <w:r w:rsidRPr="0049544A">
          <w:rPr>
            <w:rStyle w:val="Hyperlink"/>
          </w:rPr>
          <w:t>http://www.oecd.org/science/inno/1907989.pdf</w:t>
        </w:r>
      </w:hyperlink>
    </w:p>
  </w:footnote>
  <w:footnote w:id="11">
    <w:p w14:paraId="43D02B9A" w14:textId="1E6F6F10" w:rsidR="003274D0" w:rsidRPr="00781943" w:rsidRDefault="003274D0" w:rsidP="006532F0">
      <w:pPr>
        <w:pStyle w:val="FootnoteText"/>
        <w:jc w:val="both"/>
        <w:rPr>
          <w:lang w:val="en-US"/>
        </w:rPr>
      </w:pPr>
      <w:r w:rsidRPr="00DC6116">
        <w:rPr>
          <w:rStyle w:val="FootnoteReference"/>
          <w:rFonts w:ascii="Times New Roman" w:hAnsi="Times New Roman" w:cs="Times New Roman"/>
        </w:rPr>
        <w:footnoteRef/>
      </w:r>
      <w:r w:rsidRPr="00DC6116">
        <w:rPr>
          <w:rFonts w:ascii="Times New Roman" w:hAnsi="Times New Roman" w:cs="Times New Roman"/>
        </w:rPr>
        <w:t xml:space="preserve"> Eiropas lielākās kosmosa nozares kompānijas, kuru apgrozījums pārsniedz 200 milj. </w:t>
      </w:r>
      <w:proofErr w:type="spellStart"/>
      <w:r w:rsidRPr="003274D0">
        <w:rPr>
          <w:rFonts w:ascii="Times New Roman" w:hAnsi="Times New Roman" w:cs="Times New Roman"/>
          <w:i/>
          <w:iCs/>
        </w:rPr>
        <w:t>euro</w:t>
      </w:r>
      <w:proofErr w:type="spellEnd"/>
      <w:r w:rsidRPr="00DC6116">
        <w:rPr>
          <w:rFonts w:ascii="Times New Roman" w:hAnsi="Times New Roman" w:cs="Times New Roman"/>
        </w:rPr>
        <w:t xml:space="preserve"> gadā un kuri ir spējīgi īstenot apjomīgas kosmosa sistēmas. Pie tādām pieskaita – </w:t>
      </w:r>
      <w:proofErr w:type="spellStart"/>
      <w:r w:rsidRPr="00DC6116">
        <w:rPr>
          <w:rFonts w:ascii="Times New Roman" w:hAnsi="Times New Roman" w:cs="Times New Roman"/>
        </w:rPr>
        <w:t>Airbus</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Defence</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and</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Space</w:t>
      </w:r>
      <w:proofErr w:type="spellEnd"/>
      <w:r w:rsidRPr="00DC6116">
        <w:rPr>
          <w:rFonts w:ascii="Times New Roman" w:hAnsi="Times New Roman" w:cs="Times New Roman"/>
        </w:rPr>
        <w:t xml:space="preserve">, OHB </w:t>
      </w:r>
      <w:proofErr w:type="spellStart"/>
      <w:r w:rsidRPr="00DC6116">
        <w:rPr>
          <w:rFonts w:ascii="Times New Roman" w:hAnsi="Times New Roman" w:cs="Times New Roman"/>
        </w:rPr>
        <w:t>System</w:t>
      </w:r>
      <w:proofErr w:type="spellEnd"/>
      <w:r w:rsidRPr="00DC6116">
        <w:rPr>
          <w:rFonts w:ascii="Times New Roman" w:hAnsi="Times New Roman" w:cs="Times New Roman"/>
        </w:rPr>
        <w:t xml:space="preserve">, Thales </w:t>
      </w:r>
      <w:proofErr w:type="spellStart"/>
      <w:r w:rsidRPr="00DC6116">
        <w:rPr>
          <w:rFonts w:ascii="Times New Roman" w:hAnsi="Times New Roman" w:cs="Times New Roman"/>
        </w:rPr>
        <w:t>Alenia</w:t>
      </w:r>
      <w:proofErr w:type="spellEnd"/>
      <w:r w:rsidRPr="00DC6116">
        <w:rPr>
          <w:rFonts w:ascii="Times New Roman" w:hAnsi="Times New Roman" w:cs="Times New Roman"/>
        </w:rPr>
        <w:t xml:space="preserve"> </w:t>
      </w:r>
      <w:proofErr w:type="spellStart"/>
      <w:r w:rsidRPr="00DC6116">
        <w:rPr>
          <w:rFonts w:ascii="Times New Roman" w:hAnsi="Times New Roman" w:cs="Times New Roman"/>
        </w:rPr>
        <w:t>Space</w:t>
      </w:r>
      <w:proofErr w:type="spellEnd"/>
      <w:r w:rsidRPr="00DC6116">
        <w:rPr>
          <w:rFonts w:ascii="Times New Roman" w:hAnsi="Times New Roman" w:cs="Times New Roman"/>
        </w:rPr>
        <w:t xml:space="preserve"> un </w:t>
      </w:r>
      <w:proofErr w:type="spellStart"/>
      <w:r w:rsidRPr="00DC6116">
        <w:rPr>
          <w:rFonts w:ascii="Times New Roman" w:hAnsi="Times New Roman" w:cs="Times New Roman"/>
        </w:rPr>
        <w:t>Arienegroup</w:t>
      </w:r>
      <w:proofErr w:type="spellEnd"/>
    </w:p>
  </w:footnote>
  <w:footnote w:id="12">
    <w:p w14:paraId="41458FA0" w14:textId="0D7AE4A2" w:rsidR="003274D0" w:rsidRPr="007204D6" w:rsidRDefault="003274D0" w:rsidP="007204D6">
      <w:pPr>
        <w:pStyle w:val="FootnoteText"/>
        <w:jc w:val="both"/>
        <w:rPr>
          <w:lang w:val="en-US"/>
        </w:rPr>
      </w:pPr>
      <w:r>
        <w:rPr>
          <w:rStyle w:val="FootnoteReference"/>
        </w:rPr>
        <w:footnoteRef/>
      </w:r>
      <w:r>
        <w:t xml:space="preserve"> </w:t>
      </w:r>
      <w:r w:rsidRPr="007204D6">
        <w:rPr>
          <w:rFonts w:ascii="Times New Roman" w:hAnsi="Times New Roman" w:cs="Times New Roman"/>
        </w:rPr>
        <w:t>Tiek aprēķināta katru gadu no jauna balstoties uz EKA nepieciešamajiem resursiem, dalībvalstu skaitu un valstu IKP</w:t>
      </w:r>
      <w:r>
        <w:rPr>
          <w:lang w:val="en-US"/>
        </w:rPr>
        <w:t xml:space="preserve">  </w:t>
      </w:r>
    </w:p>
  </w:footnote>
  <w:footnote w:id="13">
    <w:p w14:paraId="758F993B" w14:textId="088064CE" w:rsidR="003274D0" w:rsidRPr="00373A8E" w:rsidRDefault="003274D0">
      <w:pPr>
        <w:pStyle w:val="FootnoteText"/>
        <w:rPr>
          <w:rFonts w:ascii="Times New Roman" w:hAnsi="Times New Roman" w:cs="Times New Roman"/>
          <w:lang w:val="en-US"/>
        </w:rPr>
      </w:pPr>
      <w:r w:rsidRPr="00373A8E">
        <w:rPr>
          <w:rStyle w:val="FootnoteReference"/>
          <w:rFonts w:ascii="Times New Roman" w:hAnsi="Times New Roman" w:cs="Times New Roman"/>
        </w:rPr>
        <w:footnoteRef/>
      </w:r>
      <w:r w:rsidRPr="00373A8E">
        <w:rPr>
          <w:rFonts w:ascii="Times New Roman" w:hAnsi="Times New Roman" w:cs="Times New Roman"/>
        </w:rPr>
        <w:t xml:space="preserve"> Programmas mērķis ir attīstīt </w:t>
      </w:r>
      <w:proofErr w:type="spellStart"/>
      <w:r w:rsidRPr="00373A8E">
        <w:rPr>
          <w:rFonts w:ascii="Times New Roman" w:hAnsi="Times New Roman" w:cs="Times New Roman"/>
        </w:rPr>
        <w:t>daudzsološus</w:t>
      </w:r>
      <w:proofErr w:type="spellEnd"/>
      <w:r w:rsidRPr="00373A8E">
        <w:rPr>
          <w:rFonts w:ascii="Times New Roman" w:hAnsi="Times New Roman" w:cs="Times New Roman"/>
        </w:rPr>
        <w:t xml:space="preserve"> inženiertehniskus konceptus plaša spektra nobriedušās kosmosa tehnoloģijās</w:t>
      </w:r>
    </w:p>
  </w:footnote>
  <w:footnote w:id="14">
    <w:p w14:paraId="7754343E" w14:textId="50CC610E" w:rsidR="003274D0" w:rsidRPr="00373A8E" w:rsidRDefault="003274D0">
      <w:pPr>
        <w:pStyle w:val="FootnoteText"/>
        <w:rPr>
          <w:rFonts w:ascii="Times New Roman" w:hAnsi="Times New Roman" w:cs="Times New Roman"/>
          <w:lang w:val="en-US"/>
        </w:rPr>
      </w:pPr>
      <w:r w:rsidRPr="00373A8E">
        <w:rPr>
          <w:rStyle w:val="FootnoteReference"/>
          <w:rFonts w:ascii="Times New Roman" w:hAnsi="Times New Roman" w:cs="Times New Roman"/>
        </w:rPr>
        <w:footnoteRef/>
      </w:r>
      <w:r w:rsidRPr="00373A8E">
        <w:rPr>
          <w:rFonts w:ascii="Times New Roman" w:hAnsi="Times New Roman" w:cs="Times New Roman"/>
        </w:rPr>
        <w:t xml:space="preserve"> Nākotnes nesējraķešu sagatavošanās programma (</w:t>
      </w:r>
      <w:proofErr w:type="spellStart"/>
      <w:r w:rsidRPr="00373A8E">
        <w:rPr>
          <w:rFonts w:ascii="Times New Roman" w:hAnsi="Times New Roman" w:cs="Times New Roman"/>
          <w:i/>
        </w:rPr>
        <w:t>the</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Future</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Launchers</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Preparatory</w:t>
      </w:r>
      <w:proofErr w:type="spellEnd"/>
      <w:r w:rsidRPr="00373A8E">
        <w:rPr>
          <w:rFonts w:ascii="Times New Roman" w:hAnsi="Times New Roman" w:cs="Times New Roman"/>
          <w:i/>
        </w:rPr>
        <w:t xml:space="preserve"> </w:t>
      </w:r>
      <w:proofErr w:type="spellStart"/>
      <w:r w:rsidRPr="00373A8E">
        <w:rPr>
          <w:rFonts w:ascii="Times New Roman" w:hAnsi="Times New Roman" w:cs="Times New Roman"/>
          <w:i/>
        </w:rPr>
        <w:t>Programme</w:t>
      </w:r>
      <w:proofErr w:type="spellEnd"/>
      <w:r w:rsidRPr="00373A8E">
        <w:rPr>
          <w:rFonts w:ascii="Times New Roman" w:hAnsi="Times New Roman" w:cs="Times New Roman"/>
          <w:i/>
        </w:rPr>
        <w:t xml:space="preserve"> – FLPP)</w:t>
      </w:r>
    </w:p>
  </w:footnote>
  <w:footnote w:id="15">
    <w:p w14:paraId="7CC6D2B2" w14:textId="77777777" w:rsidR="003274D0" w:rsidRPr="003274D0" w:rsidRDefault="003274D0" w:rsidP="00F914CD">
      <w:pPr>
        <w:pStyle w:val="FootnoteText"/>
        <w:rPr>
          <w:rFonts w:ascii="Times New Roman" w:hAnsi="Times New Roman" w:cs="Times New Roman"/>
          <w:lang w:val="en-US"/>
        </w:rPr>
      </w:pPr>
      <w:r w:rsidRPr="002B4A49">
        <w:rPr>
          <w:rStyle w:val="FootnoteReference"/>
          <w:rFonts w:ascii="Times New Roman" w:hAnsi="Times New Roman" w:cs="Times New Roman"/>
        </w:rPr>
        <w:footnoteRef/>
      </w:r>
      <w:r w:rsidRPr="002B4A49">
        <w:rPr>
          <w:rFonts w:ascii="Times New Roman" w:hAnsi="Times New Roman" w:cs="Times New Roman"/>
        </w:rPr>
        <w:t xml:space="preserve"> </w:t>
      </w:r>
      <w:hyperlink r:id="rId9" w:history="1">
        <w:r w:rsidRPr="002B4A49">
          <w:rPr>
            <w:rStyle w:val="Hyperlink"/>
          </w:rPr>
          <w:t>https://www.izm.gov.lv/images/zinatne/EKA/The_European_Space_Agency.pdf</w:t>
        </w:r>
      </w:hyperlink>
      <w:r w:rsidRPr="002B4A49">
        <w:rPr>
          <w:rFonts w:ascii="Times New Roman" w:hAnsi="Times New Roman" w:cs="Times New Roman"/>
        </w:rPr>
        <w:t xml:space="preserve"> - 9.slaids</w:t>
      </w:r>
      <w:r w:rsidRPr="003274D0">
        <w:rPr>
          <w:rFonts w:ascii="Times New Roman" w:hAnsi="Times New Roman" w:cs="Times New Roman"/>
        </w:rPr>
        <w:t xml:space="preserve"> </w:t>
      </w:r>
    </w:p>
  </w:footnote>
  <w:footnote w:id="16">
    <w:p w14:paraId="685D7BB8" w14:textId="76333021" w:rsidR="003274D0" w:rsidRPr="00EC2C56" w:rsidRDefault="003274D0">
      <w:pPr>
        <w:pStyle w:val="FootnoteText"/>
        <w:rPr>
          <w:lang w:val="en-US"/>
        </w:rPr>
      </w:pPr>
      <w:r w:rsidRPr="003274D0">
        <w:rPr>
          <w:rStyle w:val="FootnoteReference"/>
          <w:rFonts w:ascii="Times New Roman" w:hAnsi="Times New Roman" w:cs="Times New Roman"/>
        </w:rPr>
        <w:footnoteRef/>
      </w:r>
      <w:r w:rsidRPr="003274D0">
        <w:rPr>
          <w:rFonts w:ascii="Times New Roman" w:hAnsi="Times New Roman" w:cs="Times New Roman"/>
        </w:rPr>
        <w:t xml:space="preserve"> </w:t>
      </w:r>
      <w:hyperlink r:id="rId10" w:history="1">
        <w:r w:rsidRPr="003274D0">
          <w:rPr>
            <w:rStyle w:val="Hyperlink"/>
          </w:rPr>
          <w:t>https://www.esa.int/About_Us/Business_with_ESA/How_to_do/Fully_Funded_Contracts_Part_II_A</w:t>
        </w:r>
      </w:hyperlink>
      <w:r>
        <w:t xml:space="preserve"> </w:t>
      </w:r>
    </w:p>
  </w:footnote>
  <w:footnote w:id="17">
    <w:p w14:paraId="77565C96" w14:textId="50490648" w:rsidR="004C4E90" w:rsidRPr="004C4E90" w:rsidRDefault="004C4E90">
      <w:pPr>
        <w:pStyle w:val="FootnoteText"/>
        <w:rPr>
          <w:lang w:val="en-US"/>
        </w:rPr>
      </w:pPr>
      <w:r>
        <w:rPr>
          <w:rStyle w:val="FootnoteReference"/>
        </w:rPr>
        <w:footnoteRef/>
      </w:r>
      <w:r>
        <w:t xml:space="preserve"> </w:t>
      </w:r>
      <w:r w:rsidRPr="004C4E90">
        <w:rPr>
          <w:rFonts w:ascii="Times New Roman" w:hAnsi="Times New Roman" w:cs="Times New Roman"/>
        </w:rPr>
        <w:t>Ekonomikas ministriju, Latvijas investīciju un attīstības aģentūru u.c.</w:t>
      </w:r>
    </w:p>
  </w:footnote>
  <w:footnote w:id="18">
    <w:p w14:paraId="731D19AD" w14:textId="17EC84AC" w:rsidR="003274D0" w:rsidRPr="00547358" w:rsidRDefault="003274D0" w:rsidP="00547358">
      <w:pPr>
        <w:pStyle w:val="FootnoteText"/>
        <w:jc w:val="both"/>
        <w:rPr>
          <w:rFonts w:ascii="Times New Roman" w:hAnsi="Times New Roman" w:cs="Times New Roman"/>
          <w:lang w:val="en-US"/>
        </w:rPr>
      </w:pPr>
      <w:r w:rsidRPr="00547358">
        <w:rPr>
          <w:rStyle w:val="FootnoteReference"/>
          <w:rFonts w:ascii="Times New Roman" w:hAnsi="Times New Roman" w:cs="Times New Roman"/>
        </w:rPr>
        <w:footnoteRef/>
      </w:r>
      <w:r w:rsidRPr="00547358">
        <w:rPr>
          <w:rFonts w:ascii="Times New Roman" w:hAnsi="Times New Roman" w:cs="Times New Roman"/>
        </w:rPr>
        <w:t xml:space="preserve"> </w:t>
      </w:r>
      <w:r>
        <w:rPr>
          <w:rFonts w:ascii="Times New Roman" w:hAnsi="Times New Roman" w:cs="Times New Roman"/>
        </w:rPr>
        <w:t>V</w:t>
      </w:r>
      <w:r w:rsidRPr="00547358">
        <w:rPr>
          <w:rFonts w:ascii="Times New Roman" w:hAnsi="Times New Roman" w:cs="Times New Roman"/>
        </w:rPr>
        <w:t xml:space="preserve">ērtību ķēdi var raksturot kā pilna spektra aktivitātes, </w:t>
      </w:r>
      <w:r>
        <w:rPr>
          <w:rFonts w:ascii="Times New Roman" w:hAnsi="Times New Roman" w:cs="Times New Roman"/>
        </w:rPr>
        <w:t xml:space="preserve">ko veic specifiskā industrijā iesaistītās organizācijas, </w:t>
      </w:r>
      <w:r w:rsidRPr="00547358">
        <w:rPr>
          <w:rFonts w:ascii="Times New Roman" w:hAnsi="Times New Roman" w:cs="Times New Roman"/>
        </w:rPr>
        <w:t xml:space="preserve">kas ietver </w:t>
      </w:r>
      <w:r>
        <w:rPr>
          <w:rFonts w:ascii="Times New Roman" w:hAnsi="Times New Roman" w:cs="Times New Roman"/>
        </w:rPr>
        <w:t xml:space="preserve">izpēti, </w:t>
      </w:r>
      <w:r w:rsidRPr="00547358">
        <w:rPr>
          <w:rFonts w:ascii="Times New Roman" w:hAnsi="Times New Roman" w:cs="Times New Roman"/>
        </w:rPr>
        <w:t xml:space="preserve">projektēšanu, ražošanu, tirdzniecību, loģistiku un izplatīšanu tirgū, </w:t>
      </w:r>
      <w:r>
        <w:rPr>
          <w:rFonts w:ascii="Times New Roman" w:hAnsi="Times New Roman" w:cs="Times New Roman"/>
        </w:rPr>
        <w:t>lai ražotu produktu un radītu pakalpojumus</w:t>
      </w:r>
      <w:r w:rsidRPr="00547358">
        <w:rPr>
          <w:rFonts w:ascii="Times New Roman" w:hAnsi="Times New Roman" w:cs="Times New Roman"/>
        </w:rPr>
        <w:t xml:space="preserve"> no koncepcijas līdz galīgai izmantošanai. Katrs s</w:t>
      </w:r>
      <w:r w:rsidR="00DB1C37">
        <w:rPr>
          <w:rFonts w:ascii="Times New Roman" w:hAnsi="Times New Roman" w:cs="Times New Roman"/>
        </w:rPr>
        <w:t>olis pievieno kaut kādu vērtību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52749"/>
      <w:docPartObj>
        <w:docPartGallery w:val="Page Numbers (Top of Page)"/>
        <w:docPartUnique/>
      </w:docPartObj>
    </w:sdtPr>
    <w:sdtEndPr>
      <w:rPr>
        <w:noProof/>
      </w:rPr>
    </w:sdtEndPr>
    <w:sdtContent>
      <w:p w14:paraId="033182D9" w14:textId="77777777" w:rsidR="003274D0" w:rsidRDefault="003274D0">
        <w:pPr>
          <w:pStyle w:val="Header"/>
          <w:jc w:val="center"/>
        </w:pPr>
        <w:r>
          <w:fldChar w:fldCharType="begin"/>
        </w:r>
        <w:r>
          <w:instrText xml:space="preserve"> PAGE   \* MERGEFORMAT </w:instrText>
        </w:r>
        <w:r>
          <w:fldChar w:fldCharType="separate"/>
        </w:r>
        <w:r w:rsidR="00CE5091">
          <w:rPr>
            <w:noProof/>
          </w:rPr>
          <w:t>10</w:t>
        </w:r>
        <w:r>
          <w:rPr>
            <w:noProof/>
          </w:rPr>
          <w:fldChar w:fldCharType="end"/>
        </w:r>
      </w:p>
    </w:sdtContent>
  </w:sdt>
  <w:p w14:paraId="033182DA" w14:textId="77777777" w:rsidR="003274D0" w:rsidRDefault="00327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442"/>
    <w:multiLevelType w:val="hybridMultilevel"/>
    <w:tmpl w:val="12C8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944"/>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5821E5"/>
    <w:multiLevelType w:val="hybridMultilevel"/>
    <w:tmpl w:val="1E0AEAA8"/>
    <w:lvl w:ilvl="0" w:tplc="DD6E60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CF94390"/>
    <w:multiLevelType w:val="hybridMultilevel"/>
    <w:tmpl w:val="3C424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A42DEA"/>
    <w:multiLevelType w:val="hybridMultilevel"/>
    <w:tmpl w:val="54B62996"/>
    <w:lvl w:ilvl="0" w:tplc="C71E7B0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BA0462"/>
    <w:multiLevelType w:val="hybridMultilevel"/>
    <w:tmpl w:val="ACC6982C"/>
    <w:lvl w:ilvl="0" w:tplc="DD6E60D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530B95"/>
    <w:multiLevelType w:val="hybridMultilevel"/>
    <w:tmpl w:val="6F440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F6597B"/>
    <w:multiLevelType w:val="hybridMultilevel"/>
    <w:tmpl w:val="D7985AC4"/>
    <w:lvl w:ilvl="0" w:tplc="48BA89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AC12DF0"/>
    <w:multiLevelType w:val="hybridMultilevel"/>
    <w:tmpl w:val="03F2D3E6"/>
    <w:lvl w:ilvl="0" w:tplc="675E0E2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9" w15:restartNumberingAfterBreak="0">
    <w:nsid w:val="3F487860"/>
    <w:multiLevelType w:val="hybridMultilevel"/>
    <w:tmpl w:val="7FD46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F35A9B"/>
    <w:multiLevelType w:val="hybridMultilevel"/>
    <w:tmpl w:val="4A1A2486"/>
    <w:lvl w:ilvl="0" w:tplc="88662E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3165CA5"/>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F82F06"/>
    <w:multiLevelType w:val="hybridMultilevel"/>
    <w:tmpl w:val="8580F804"/>
    <w:lvl w:ilvl="0" w:tplc="BD56FEF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7F6278"/>
    <w:multiLevelType w:val="hybridMultilevel"/>
    <w:tmpl w:val="2A44E4A8"/>
    <w:lvl w:ilvl="0" w:tplc="7DC21E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C1639F3"/>
    <w:multiLevelType w:val="hybridMultilevel"/>
    <w:tmpl w:val="652CC754"/>
    <w:lvl w:ilvl="0" w:tplc="B554D734">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D2148"/>
    <w:multiLevelType w:val="hybridMultilevel"/>
    <w:tmpl w:val="9A7275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E000C9D"/>
    <w:multiLevelType w:val="hybridMultilevel"/>
    <w:tmpl w:val="9A72758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E7347FD"/>
    <w:multiLevelType w:val="hybridMultilevel"/>
    <w:tmpl w:val="C79C5594"/>
    <w:lvl w:ilvl="0" w:tplc="AA562A1A">
      <w:start w:val="1"/>
      <w:numFmt w:val="decimal"/>
      <w:lvlText w:val="%1."/>
      <w:lvlJc w:val="left"/>
      <w:pPr>
        <w:ind w:left="927" w:hanging="360"/>
      </w:pPr>
      <w:rPr>
        <w:rFonts w:ascii="Times New Roman" w:eastAsiaTheme="minorHAnsi" w:hAnsi="Times New Roman" w:cs="Times New Roman"/>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5555755"/>
    <w:multiLevelType w:val="hybridMultilevel"/>
    <w:tmpl w:val="A22E3A08"/>
    <w:lvl w:ilvl="0" w:tplc="0D84BCE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7829"/>
    <w:multiLevelType w:val="hybridMultilevel"/>
    <w:tmpl w:val="1F7AE95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1" w15:restartNumberingAfterBreak="0">
    <w:nsid w:val="5A22123B"/>
    <w:multiLevelType w:val="multilevel"/>
    <w:tmpl w:val="1FB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775B41"/>
    <w:multiLevelType w:val="hybridMultilevel"/>
    <w:tmpl w:val="230E3EA0"/>
    <w:lvl w:ilvl="0" w:tplc="0426000F">
      <w:start w:val="1"/>
      <w:numFmt w:val="decimal"/>
      <w:lvlText w:val="%1."/>
      <w:lvlJc w:val="left"/>
      <w:pPr>
        <w:ind w:left="360" w:hanging="360"/>
      </w:pPr>
      <w:rPr>
        <w:rFonts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BD77573"/>
    <w:multiLevelType w:val="hybridMultilevel"/>
    <w:tmpl w:val="B05E7A86"/>
    <w:lvl w:ilvl="0" w:tplc="F1D88E2A">
      <w:start w:val="1"/>
      <w:numFmt w:val="decimal"/>
      <w:lvlText w:val="%1."/>
      <w:lvlJc w:val="left"/>
      <w:pPr>
        <w:ind w:left="1069" w:hanging="360"/>
      </w:pPr>
      <w:rPr>
        <w:rFonts w:ascii="Times New Roman" w:hAnsi="Times New Roman" w:cs="Times New Roman"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22B34AA"/>
    <w:multiLevelType w:val="hybridMultilevel"/>
    <w:tmpl w:val="530E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9762E"/>
    <w:multiLevelType w:val="hybridMultilevel"/>
    <w:tmpl w:val="334C60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9DF34B7"/>
    <w:multiLevelType w:val="hybridMultilevel"/>
    <w:tmpl w:val="2B388EB6"/>
    <w:lvl w:ilvl="0" w:tplc="7BC4B580">
      <w:start w:val="1"/>
      <w:numFmt w:val="decimal"/>
      <w:lvlText w:val="%1."/>
      <w:lvlJc w:val="left"/>
      <w:pPr>
        <w:ind w:left="360" w:hanging="360"/>
      </w:pPr>
      <w:rPr>
        <w:rFonts w:ascii="Times New Roman" w:eastAsiaTheme="minorHAnsi" w:hAnsi="Times New Roman" w:cs="Times New Roman"/>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A1A0414"/>
    <w:multiLevelType w:val="hybridMultilevel"/>
    <w:tmpl w:val="D654FB7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8" w15:restartNumberingAfterBreak="0">
    <w:nsid w:val="7E1F3F2D"/>
    <w:multiLevelType w:val="hybridMultilevel"/>
    <w:tmpl w:val="84D69EC6"/>
    <w:lvl w:ilvl="0" w:tplc="20885E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2"/>
  </w:num>
  <w:num w:numId="7">
    <w:abstractNumId w:val="10"/>
  </w:num>
  <w:num w:numId="8">
    <w:abstractNumId w:val="5"/>
  </w:num>
  <w:num w:numId="9">
    <w:abstractNumId w:val="12"/>
  </w:num>
  <w:num w:numId="10">
    <w:abstractNumId w:val="20"/>
  </w:num>
  <w:num w:numId="11">
    <w:abstractNumId w:val="8"/>
  </w:num>
  <w:num w:numId="12">
    <w:abstractNumId w:val="18"/>
  </w:num>
  <w:num w:numId="13">
    <w:abstractNumId w:val="11"/>
  </w:num>
  <w:num w:numId="14">
    <w:abstractNumId w:val="28"/>
  </w:num>
  <w:num w:numId="15">
    <w:abstractNumId w:val="16"/>
  </w:num>
  <w:num w:numId="16">
    <w:abstractNumId w:val="7"/>
  </w:num>
  <w:num w:numId="17">
    <w:abstractNumId w:val="3"/>
  </w:num>
  <w:num w:numId="18">
    <w:abstractNumId w:val="9"/>
  </w:num>
  <w:num w:numId="19">
    <w:abstractNumId w:val="21"/>
  </w:num>
  <w:num w:numId="20">
    <w:abstractNumId w:val="6"/>
  </w:num>
  <w:num w:numId="21">
    <w:abstractNumId w:val="13"/>
  </w:num>
  <w:num w:numId="22">
    <w:abstractNumId w:val="22"/>
  </w:num>
  <w:num w:numId="23">
    <w:abstractNumId w:val="4"/>
  </w:num>
  <w:num w:numId="24">
    <w:abstractNumId w:val="25"/>
  </w:num>
  <w:num w:numId="25">
    <w:abstractNumId w:val="26"/>
  </w:num>
  <w:num w:numId="26">
    <w:abstractNumId w:val="17"/>
  </w:num>
  <w:num w:numId="27">
    <w:abstractNumId w:val="15"/>
  </w:num>
  <w:num w:numId="28">
    <w:abstractNumId w:val="19"/>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C"/>
    <w:rsid w:val="00000657"/>
    <w:rsid w:val="000019CC"/>
    <w:rsid w:val="00030AC0"/>
    <w:rsid w:val="000312EC"/>
    <w:rsid w:val="00031B3A"/>
    <w:rsid w:val="00043B13"/>
    <w:rsid w:val="0005610E"/>
    <w:rsid w:val="00097393"/>
    <w:rsid w:val="000B1D33"/>
    <w:rsid w:val="000C3814"/>
    <w:rsid w:val="000C4A32"/>
    <w:rsid w:val="000C7E5A"/>
    <w:rsid w:val="000D66CC"/>
    <w:rsid w:val="000E69C9"/>
    <w:rsid w:val="0010395A"/>
    <w:rsid w:val="0010640B"/>
    <w:rsid w:val="00110D56"/>
    <w:rsid w:val="00111A5F"/>
    <w:rsid w:val="001178A3"/>
    <w:rsid w:val="001302DC"/>
    <w:rsid w:val="00143F01"/>
    <w:rsid w:val="00144506"/>
    <w:rsid w:val="00147490"/>
    <w:rsid w:val="001522FA"/>
    <w:rsid w:val="00156859"/>
    <w:rsid w:val="00176428"/>
    <w:rsid w:val="00193004"/>
    <w:rsid w:val="001957E7"/>
    <w:rsid w:val="001C71DE"/>
    <w:rsid w:val="001D4872"/>
    <w:rsid w:val="00214BBF"/>
    <w:rsid w:val="00235A65"/>
    <w:rsid w:val="00242686"/>
    <w:rsid w:val="00252AF4"/>
    <w:rsid w:val="00265F69"/>
    <w:rsid w:val="00267909"/>
    <w:rsid w:val="00275A47"/>
    <w:rsid w:val="002760D9"/>
    <w:rsid w:val="002813F3"/>
    <w:rsid w:val="002835D2"/>
    <w:rsid w:val="002A7D92"/>
    <w:rsid w:val="002B0DA2"/>
    <w:rsid w:val="002B4A49"/>
    <w:rsid w:val="002C418A"/>
    <w:rsid w:val="002D2240"/>
    <w:rsid w:val="002E06AA"/>
    <w:rsid w:val="002E75B2"/>
    <w:rsid w:val="002F2574"/>
    <w:rsid w:val="00302937"/>
    <w:rsid w:val="0030486A"/>
    <w:rsid w:val="003274D0"/>
    <w:rsid w:val="0035010A"/>
    <w:rsid w:val="00361DA0"/>
    <w:rsid w:val="00363CA8"/>
    <w:rsid w:val="00365259"/>
    <w:rsid w:val="00366E44"/>
    <w:rsid w:val="003670DE"/>
    <w:rsid w:val="00373A8E"/>
    <w:rsid w:val="003753B4"/>
    <w:rsid w:val="00387ED9"/>
    <w:rsid w:val="003A2541"/>
    <w:rsid w:val="003B5821"/>
    <w:rsid w:val="003C4308"/>
    <w:rsid w:val="003C4510"/>
    <w:rsid w:val="003E0D70"/>
    <w:rsid w:val="003E58A1"/>
    <w:rsid w:val="004224A5"/>
    <w:rsid w:val="00426E74"/>
    <w:rsid w:val="004315FA"/>
    <w:rsid w:val="004418EF"/>
    <w:rsid w:val="00451B4C"/>
    <w:rsid w:val="00452737"/>
    <w:rsid w:val="0045537D"/>
    <w:rsid w:val="0046393E"/>
    <w:rsid w:val="004651C8"/>
    <w:rsid w:val="00485489"/>
    <w:rsid w:val="004A5A0B"/>
    <w:rsid w:val="004B5AAE"/>
    <w:rsid w:val="004B5C65"/>
    <w:rsid w:val="004C4E90"/>
    <w:rsid w:val="004C5920"/>
    <w:rsid w:val="004D4F1F"/>
    <w:rsid w:val="005219E2"/>
    <w:rsid w:val="00532227"/>
    <w:rsid w:val="0053248A"/>
    <w:rsid w:val="00540320"/>
    <w:rsid w:val="00547358"/>
    <w:rsid w:val="00554BF8"/>
    <w:rsid w:val="00581FA6"/>
    <w:rsid w:val="005A235B"/>
    <w:rsid w:val="005A3CF5"/>
    <w:rsid w:val="005B4516"/>
    <w:rsid w:val="005B6DA0"/>
    <w:rsid w:val="005C63E9"/>
    <w:rsid w:val="005E485C"/>
    <w:rsid w:val="005E4A70"/>
    <w:rsid w:val="005F12CC"/>
    <w:rsid w:val="0060318D"/>
    <w:rsid w:val="00611299"/>
    <w:rsid w:val="00614D88"/>
    <w:rsid w:val="00624CA8"/>
    <w:rsid w:val="006256F8"/>
    <w:rsid w:val="00650D16"/>
    <w:rsid w:val="006532F0"/>
    <w:rsid w:val="00663EFB"/>
    <w:rsid w:val="006A651D"/>
    <w:rsid w:val="006B6C5B"/>
    <w:rsid w:val="006C4C3E"/>
    <w:rsid w:val="006C691F"/>
    <w:rsid w:val="006D2B2E"/>
    <w:rsid w:val="006F3A15"/>
    <w:rsid w:val="006F797B"/>
    <w:rsid w:val="0070301A"/>
    <w:rsid w:val="007204D6"/>
    <w:rsid w:val="00720B00"/>
    <w:rsid w:val="007264E8"/>
    <w:rsid w:val="007270F2"/>
    <w:rsid w:val="0074711C"/>
    <w:rsid w:val="00750C3F"/>
    <w:rsid w:val="0075302A"/>
    <w:rsid w:val="0075419F"/>
    <w:rsid w:val="00774BBE"/>
    <w:rsid w:val="00781943"/>
    <w:rsid w:val="00781C35"/>
    <w:rsid w:val="007847CF"/>
    <w:rsid w:val="00796453"/>
    <w:rsid w:val="007A055A"/>
    <w:rsid w:val="007B19F8"/>
    <w:rsid w:val="007C5DD5"/>
    <w:rsid w:val="007D5E88"/>
    <w:rsid w:val="007F2EFD"/>
    <w:rsid w:val="00812293"/>
    <w:rsid w:val="008148E5"/>
    <w:rsid w:val="00817C89"/>
    <w:rsid w:val="00822E10"/>
    <w:rsid w:val="00824A1C"/>
    <w:rsid w:val="0083586E"/>
    <w:rsid w:val="00840787"/>
    <w:rsid w:val="008747C2"/>
    <w:rsid w:val="00875A5F"/>
    <w:rsid w:val="00883DA6"/>
    <w:rsid w:val="00895F93"/>
    <w:rsid w:val="008A162D"/>
    <w:rsid w:val="008A3538"/>
    <w:rsid w:val="008A56D2"/>
    <w:rsid w:val="008C05A3"/>
    <w:rsid w:val="008E2F56"/>
    <w:rsid w:val="008F44BD"/>
    <w:rsid w:val="008F5506"/>
    <w:rsid w:val="008F63A4"/>
    <w:rsid w:val="009042ED"/>
    <w:rsid w:val="00907F12"/>
    <w:rsid w:val="00915013"/>
    <w:rsid w:val="009376BB"/>
    <w:rsid w:val="00947C6C"/>
    <w:rsid w:val="00957022"/>
    <w:rsid w:val="00985253"/>
    <w:rsid w:val="009A74BB"/>
    <w:rsid w:val="009C2D5E"/>
    <w:rsid w:val="009D4A31"/>
    <w:rsid w:val="009E08BA"/>
    <w:rsid w:val="009F0FD7"/>
    <w:rsid w:val="00A06DF9"/>
    <w:rsid w:val="00A11073"/>
    <w:rsid w:val="00A25BE9"/>
    <w:rsid w:val="00A42456"/>
    <w:rsid w:val="00A543D0"/>
    <w:rsid w:val="00A57E27"/>
    <w:rsid w:val="00A70355"/>
    <w:rsid w:val="00A957FA"/>
    <w:rsid w:val="00AB58C5"/>
    <w:rsid w:val="00AC03CC"/>
    <w:rsid w:val="00AF351D"/>
    <w:rsid w:val="00B0047E"/>
    <w:rsid w:val="00B2312A"/>
    <w:rsid w:val="00B36902"/>
    <w:rsid w:val="00B43104"/>
    <w:rsid w:val="00B458BA"/>
    <w:rsid w:val="00B55C29"/>
    <w:rsid w:val="00B607AA"/>
    <w:rsid w:val="00B6543A"/>
    <w:rsid w:val="00B7653A"/>
    <w:rsid w:val="00B941E7"/>
    <w:rsid w:val="00BA46D2"/>
    <w:rsid w:val="00BA5B6F"/>
    <w:rsid w:val="00BB6A88"/>
    <w:rsid w:val="00BC783A"/>
    <w:rsid w:val="00BD284D"/>
    <w:rsid w:val="00BD560B"/>
    <w:rsid w:val="00BD5EAD"/>
    <w:rsid w:val="00BE60CA"/>
    <w:rsid w:val="00BF5CD0"/>
    <w:rsid w:val="00BF5D9D"/>
    <w:rsid w:val="00BF7CEB"/>
    <w:rsid w:val="00C02CE9"/>
    <w:rsid w:val="00C077CA"/>
    <w:rsid w:val="00C64762"/>
    <w:rsid w:val="00C73225"/>
    <w:rsid w:val="00C74738"/>
    <w:rsid w:val="00C77EE4"/>
    <w:rsid w:val="00C80669"/>
    <w:rsid w:val="00C82BC2"/>
    <w:rsid w:val="00C82E12"/>
    <w:rsid w:val="00C82F71"/>
    <w:rsid w:val="00C930C4"/>
    <w:rsid w:val="00CB2ED6"/>
    <w:rsid w:val="00CB2F5A"/>
    <w:rsid w:val="00CB7DEA"/>
    <w:rsid w:val="00CD4932"/>
    <w:rsid w:val="00CD66F8"/>
    <w:rsid w:val="00CE5091"/>
    <w:rsid w:val="00CE5BF3"/>
    <w:rsid w:val="00D036E4"/>
    <w:rsid w:val="00D0489C"/>
    <w:rsid w:val="00D12EEA"/>
    <w:rsid w:val="00D26C13"/>
    <w:rsid w:val="00D65389"/>
    <w:rsid w:val="00D934D1"/>
    <w:rsid w:val="00D94534"/>
    <w:rsid w:val="00DB1C37"/>
    <w:rsid w:val="00DC4555"/>
    <w:rsid w:val="00DC4811"/>
    <w:rsid w:val="00DC6116"/>
    <w:rsid w:val="00DC6F08"/>
    <w:rsid w:val="00DE0088"/>
    <w:rsid w:val="00DF198A"/>
    <w:rsid w:val="00DF37C2"/>
    <w:rsid w:val="00E1537F"/>
    <w:rsid w:val="00E86FC2"/>
    <w:rsid w:val="00E90C46"/>
    <w:rsid w:val="00E95960"/>
    <w:rsid w:val="00EA5284"/>
    <w:rsid w:val="00EA63A5"/>
    <w:rsid w:val="00EB3769"/>
    <w:rsid w:val="00EC2C56"/>
    <w:rsid w:val="00ED3DF7"/>
    <w:rsid w:val="00EE215A"/>
    <w:rsid w:val="00EF5157"/>
    <w:rsid w:val="00F07262"/>
    <w:rsid w:val="00F11160"/>
    <w:rsid w:val="00F15CD5"/>
    <w:rsid w:val="00F23938"/>
    <w:rsid w:val="00F432E9"/>
    <w:rsid w:val="00F52326"/>
    <w:rsid w:val="00F608EE"/>
    <w:rsid w:val="00F71053"/>
    <w:rsid w:val="00F80200"/>
    <w:rsid w:val="00F80737"/>
    <w:rsid w:val="00F85736"/>
    <w:rsid w:val="00F9079C"/>
    <w:rsid w:val="00F914CD"/>
    <w:rsid w:val="00F92775"/>
    <w:rsid w:val="00F9455D"/>
    <w:rsid w:val="00FC1431"/>
    <w:rsid w:val="00FD0F18"/>
    <w:rsid w:val="00FD3091"/>
    <w:rsid w:val="00FD5356"/>
    <w:rsid w:val="00FE05E7"/>
    <w:rsid w:val="00FE2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81F4"/>
  <w15:docId w15:val="{FD0BF2D3-4676-47B8-9B24-A97FD523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C8"/>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2DC"/>
    <w:rPr>
      <w:rFonts w:ascii="Times New Roman" w:hAnsi="Times New Roman" w:cs="Times New Roman" w:hint="default"/>
      <w:color w:val="0563C1"/>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302DC"/>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1302DC"/>
    <w:pPr>
      <w:ind w:left="720"/>
      <w:jc w:val="left"/>
    </w:pPr>
    <w:rPr>
      <w:rFonts w:asciiTheme="minorHAnsi" w:hAnsiTheme="minorHAnsi" w:cstheme="minorBidi"/>
      <w:sz w:val="22"/>
      <w:szCs w:val="22"/>
    </w:rPr>
  </w:style>
  <w:style w:type="table" w:styleId="TableGrid">
    <w:name w:val="Table Grid"/>
    <w:basedOn w:val="TableNormal"/>
    <w:uiPriority w:val="39"/>
    <w:rsid w:val="0013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2DC"/>
    <w:pPr>
      <w:tabs>
        <w:tab w:val="center" w:pos="4153"/>
        <w:tab w:val="right" w:pos="8306"/>
      </w:tabs>
    </w:pPr>
  </w:style>
  <w:style w:type="character" w:customStyle="1" w:styleId="HeaderChar">
    <w:name w:val="Header Char"/>
    <w:basedOn w:val="DefaultParagraphFont"/>
    <w:link w:val="Header"/>
    <w:uiPriority w:val="99"/>
    <w:rsid w:val="001302DC"/>
    <w:rPr>
      <w:rFonts w:ascii="Times New Roman" w:hAnsi="Times New Roman" w:cs="Times New Roman"/>
      <w:sz w:val="24"/>
      <w:szCs w:val="24"/>
    </w:rPr>
  </w:style>
  <w:style w:type="paragraph" w:styleId="Footer">
    <w:name w:val="footer"/>
    <w:basedOn w:val="Normal"/>
    <w:link w:val="FooterChar"/>
    <w:uiPriority w:val="99"/>
    <w:unhideWhenUsed/>
    <w:rsid w:val="001302DC"/>
    <w:pPr>
      <w:tabs>
        <w:tab w:val="center" w:pos="4153"/>
        <w:tab w:val="right" w:pos="8306"/>
      </w:tabs>
    </w:pPr>
  </w:style>
  <w:style w:type="character" w:customStyle="1" w:styleId="FooterChar">
    <w:name w:val="Footer Char"/>
    <w:basedOn w:val="DefaultParagraphFont"/>
    <w:link w:val="Footer"/>
    <w:uiPriority w:val="99"/>
    <w:rsid w:val="001302DC"/>
    <w:rPr>
      <w:rFonts w:ascii="Times New Roman" w:hAnsi="Times New Roman" w:cs="Times New Roman"/>
      <w:sz w:val="24"/>
      <w:szCs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1302DC"/>
    <w:pPr>
      <w:jc w:val="left"/>
    </w:pPr>
    <w:rPr>
      <w:rFonts w:asciiTheme="minorHAnsi" w:eastAsiaTheme="minorEastAsia" w:hAnsiTheme="minorHAnsi" w:cstheme="minorBidi"/>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1302DC"/>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1302DC"/>
    <w:rPr>
      <w:vertAlign w:val="superscript"/>
    </w:rPr>
  </w:style>
  <w:style w:type="character" w:styleId="CommentReference">
    <w:name w:val="annotation reference"/>
    <w:basedOn w:val="DefaultParagraphFont"/>
    <w:uiPriority w:val="99"/>
    <w:semiHidden/>
    <w:unhideWhenUsed/>
    <w:rsid w:val="001302DC"/>
    <w:rPr>
      <w:sz w:val="16"/>
      <w:szCs w:val="16"/>
    </w:rPr>
  </w:style>
  <w:style w:type="paragraph" w:styleId="CommentText">
    <w:name w:val="annotation text"/>
    <w:basedOn w:val="Normal"/>
    <w:link w:val="CommentTextChar"/>
    <w:uiPriority w:val="99"/>
    <w:unhideWhenUsed/>
    <w:rsid w:val="001302DC"/>
    <w:rPr>
      <w:sz w:val="20"/>
      <w:szCs w:val="20"/>
    </w:rPr>
  </w:style>
  <w:style w:type="character" w:customStyle="1" w:styleId="CommentTextChar">
    <w:name w:val="Comment Text Char"/>
    <w:basedOn w:val="DefaultParagraphFont"/>
    <w:link w:val="CommentText"/>
    <w:uiPriority w:val="99"/>
    <w:rsid w:val="001302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02DC"/>
    <w:rPr>
      <w:b/>
      <w:bCs/>
    </w:rPr>
  </w:style>
  <w:style w:type="character" w:customStyle="1" w:styleId="CommentSubjectChar">
    <w:name w:val="Comment Subject Char"/>
    <w:basedOn w:val="CommentTextChar"/>
    <w:link w:val="CommentSubject"/>
    <w:uiPriority w:val="99"/>
    <w:semiHidden/>
    <w:rsid w:val="001302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0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DC"/>
    <w:rPr>
      <w:rFonts w:ascii="Segoe UI" w:hAnsi="Segoe UI" w:cs="Segoe UI"/>
      <w:sz w:val="18"/>
      <w:szCs w:val="18"/>
    </w:rPr>
  </w:style>
  <w:style w:type="paragraph" w:customStyle="1" w:styleId="xmsonormal">
    <w:name w:val="x_msonormal"/>
    <w:basedOn w:val="Normal"/>
    <w:rsid w:val="001302DC"/>
    <w:pPr>
      <w:spacing w:before="100" w:beforeAutospacing="1" w:after="100" w:afterAutospacing="1"/>
      <w:jc w:val="left"/>
    </w:pPr>
    <w:rPr>
      <w:rFonts w:eastAsia="Times New Roman"/>
      <w:lang w:eastAsia="lv-LV"/>
    </w:rPr>
  </w:style>
  <w:style w:type="paragraph" w:styleId="NormalWeb">
    <w:name w:val="Normal (Web)"/>
    <w:basedOn w:val="Normal"/>
    <w:uiPriority w:val="99"/>
    <w:semiHidden/>
    <w:unhideWhenUsed/>
    <w:rsid w:val="001302DC"/>
    <w:pPr>
      <w:spacing w:before="100" w:beforeAutospacing="1" w:after="100" w:afterAutospacing="1"/>
      <w:jc w:val="left"/>
    </w:pPr>
    <w:rPr>
      <w:rFonts w:eastAsia="Times New Roman"/>
      <w:lang w:eastAsia="lv-LV"/>
    </w:rPr>
  </w:style>
  <w:style w:type="paragraph" w:customStyle="1" w:styleId="Default">
    <w:name w:val="Default"/>
    <w:rsid w:val="001302DC"/>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1302DC"/>
    <w:rPr>
      <w:b/>
      <w:bCs/>
    </w:rPr>
  </w:style>
  <w:style w:type="table" w:styleId="GridTable4-Accent4">
    <w:name w:val="Grid Table 4 Accent 4"/>
    <w:basedOn w:val="TableNormal"/>
    <w:uiPriority w:val="49"/>
    <w:rsid w:val="0081229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6256F8"/>
    <w:rPr>
      <w:color w:val="800080" w:themeColor="followedHyperlink"/>
      <w:u w:val="single"/>
    </w:rPr>
  </w:style>
  <w:style w:type="table" w:styleId="GridTable5Dark-Accent4">
    <w:name w:val="Grid Table 5 Dark Accent 4"/>
    <w:basedOn w:val="TableNormal"/>
    <w:uiPriority w:val="50"/>
    <w:rsid w:val="003048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6Colorful-Accent4">
    <w:name w:val="Grid Table 6 Colorful Accent 4"/>
    <w:basedOn w:val="TableNormal"/>
    <w:uiPriority w:val="51"/>
    <w:rsid w:val="0030486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4">
    <w:name w:val="List Table 4 Accent 4"/>
    <w:basedOn w:val="TableNormal"/>
    <w:uiPriority w:val="49"/>
    <w:rsid w:val="0030486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30486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pars.karolis@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science/inno/1907989.pdf" TargetMode="External"/><Relationship Id="rId3" Type="http://schemas.openxmlformats.org/officeDocument/2006/relationships/hyperlink" Target="https://izm.gov.lv/images/aktualitates/2019/Latvia-PECS-Country-Report.pdf" TargetMode="External"/><Relationship Id="rId7" Type="http://schemas.openxmlformats.org/officeDocument/2006/relationships/hyperlink" Target="https://cordis.europa.eu/project/rcn/198927/factsheet/en" TargetMode="External"/><Relationship Id="rId2" Type="http://schemas.openxmlformats.org/officeDocument/2006/relationships/hyperlink" Target="https://likumi.lv/ta/lv/starptautiskie-ligumi/id/586"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6" Type="http://schemas.openxmlformats.org/officeDocument/2006/relationships/hyperlink" Target="https://cordis.europa.eu/project/rcn/210389/factsheet/en" TargetMode="External"/><Relationship Id="rId5" Type="http://schemas.openxmlformats.org/officeDocument/2006/relationships/hyperlink" Target="https://likumi.lv/ta/id/272398-par-atlauju-izglitibas-un-zinatnes-ministrijai-uznemties-ilgtermina-saistibas-lai-nodrosinatu-latvijas-dalibu-eiropas-kosmosa" TargetMode="External"/><Relationship Id="rId10" Type="http://schemas.openxmlformats.org/officeDocument/2006/relationships/hyperlink" Target="https://www.esa.int/About_Us/Business_with_ESA/How_to_do/Fully_Funded_Contracts_Part_II_A" TargetMode="External"/><Relationship Id="rId4" Type="http://schemas.openxmlformats.org/officeDocument/2006/relationships/hyperlink" Target="https://izm.gov.lv/images/starptautiska_sad/IZM_2019-13_Interim-Report_August2019.pdf" TargetMode="External"/><Relationship Id="rId9" Type="http://schemas.openxmlformats.org/officeDocument/2006/relationships/hyperlink" Target="https://www.izm.gov.lv/images/zinatne/EKA/The_European_Space_Agency.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462214802448525"/>
          <c:y val="6.0803474484256242E-2"/>
          <c:w val="0.62421814134668896"/>
          <c:h val="0.75212427436798412"/>
        </c:manualLayout>
      </c:layout>
      <c:barChart>
        <c:barDir val="bar"/>
        <c:grouping val="clustered"/>
        <c:varyColors val="0"/>
        <c:ser>
          <c:idx val="0"/>
          <c:order val="0"/>
          <c:tx>
            <c:strRef>
              <c:f>Sheet1!$B$1</c:f>
              <c:strCache>
                <c:ptCount val="1"/>
                <c:pt idx="0">
                  <c:v>Apstiprināto projektu skaits</c:v>
                </c:pt>
              </c:strCache>
            </c:strRef>
          </c:tx>
          <c:spPr>
            <a:solidFill>
              <a:schemeClr val="accent4">
                <a:shade val="65000"/>
              </a:schemeClr>
            </a:solidFill>
            <a:ln>
              <a:noFill/>
            </a:ln>
            <a:effectLst/>
          </c:spPr>
          <c:invertIfNegative val="0"/>
          <c:cat>
            <c:strRef>
              <c:f>Sheet1!$A$2:$A$16</c:f>
              <c:strCache>
                <c:ptCount val="15"/>
                <c:pt idx="0">
                  <c:v>LU Fizikas institūts</c:v>
                </c:pt>
                <c:pt idx="1">
                  <c:v>Ventspils Augsto tehnoloģiju parks</c:v>
                </c:pt>
                <c:pt idx="2">
                  <c:v>SIA Allatherm </c:v>
                </c:pt>
                <c:pt idx="3">
                  <c:v>SIA Aspired</c:v>
                </c:pt>
                <c:pt idx="4">
                  <c:v>SIA Baltic Scientific Instruments</c:v>
                </c:pt>
                <c:pt idx="5">
                  <c:v>Elektronikas un datorzinātņu institūts</c:v>
                </c:pt>
                <c:pt idx="6">
                  <c:v>Ventspils augstskola </c:v>
                </c:pt>
                <c:pt idx="7">
                  <c:v>SIA Eventech</c:v>
                </c:pt>
                <c:pt idx="8">
                  <c:v>SIA Baltic Satellite Service</c:v>
                </c:pt>
                <c:pt idx="9">
                  <c:v>Rīgas Tehniskā universitāte</c:v>
                </c:pt>
                <c:pt idx="10">
                  <c:v>Latvijas Universitāte</c:v>
                </c:pt>
                <c:pt idx="11">
                  <c:v>Latvijas valsts Koksnes ķīmijas institūts</c:v>
                </c:pt>
                <c:pt idx="12">
                  <c:v>Mežu Īpašnieku konsultatīvais centrs</c:v>
                </c:pt>
                <c:pt idx="13">
                  <c:v>RD ALFA Microelectronics</c:v>
                </c:pt>
                <c:pt idx="14">
                  <c:v>Vides Risinājumu institūts</c:v>
                </c:pt>
              </c:strCache>
            </c:strRef>
          </c:cat>
          <c:val>
            <c:numRef>
              <c:f>Sheet1!$B$2:$B$16</c:f>
              <c:numCache>
                <c:formatCode>General</c:formatCode>
                <c:ptCount val="15"/>
                <c:pt idx="0">
                  <c:v>1</c:v>
                </c:pt>
                <c:pt idx="1">
                  <c:v>1</c:v>
                </c:pt>
                <c:pt idx="2">
                  <c:v>1</c:v>
                </c:pt>
                <c:pt idx="3">
                  <c:v>1</c:v>
                </c:pt>
                <c:pt idx="4">
                  <c:v>2</c:v>
                </c:pt>
                <c:pt idx="5">
                  <c:v>2</c:v>
                </c:pt>
                <c:pt idx="6">
                  <c:v>2</c:v>
                </c:pt>
                <c:pt idx="7">
                  <c:v>3</c:v>
                </c:pt>
                <c:pt idx="8">
                  <c:v>3</c:v>
                </c:pt>
                <c:pt idx="9">
                  <c:v>3</c:v>
                </c:pt>
                <c:pt idx="10">
                  <c:v>3</c:v>
                </c:pt>
                <c:pt idx="11">
                  <c:v>3</c:v>
                </c:pt>
                <c:pt idx="12">
                  <c:v>4</c:v>
                </c:pt>
                <c:pt idx="13">
                  <c:v>5</c:v>
                </c:pt>
                <c:pt idx="14">
                  <c:v>5</c:v>
                </c:pt>
              </c:numCache>
            </c:numRef>
          </c:val>
          <c:extLst xmlns:c16r2="http://schemas.microsoft.com/office/drawing/2015/06/chart">
            <c:ext xmlns:c16="http://schemas.microsoft.com/office/drawing/2014/chart" uri="{C3380CC4-5D6E-409C-BE32-E72D297353CC}">
              <c16:uniqueId val="{00000000-4AAE-5E4F-94AD-05809BF47B47}"/>
            </c:ext>
          </c:extLst>
        </c:ser>
        <c:ser>
          <c:idx val="1"/>
          <c:order val="1"/>
          <c:tx>
            <c:strRef>
              <c:f>Sheet1!$C$1</c:f>
              <c:strCache>
                <c:ptCount val="1"/>
                <c:pt idx="0">
                  <c:v>piesaistītais finansējums (tūkst. euro) </c:v>
                </c:pt>
              </c:strCache>
            </c:strRef>
          </c:tx>
          <c:spPr>
            <a:solidFill>
              <a:schemeClr val="accent4"/>
            </a:solidFill>
            <a:ln>
              <a:noFill/>
            </a:ln>
            <a:effectLst/>
          </c:spPr>
          <c:invertIfNegative val="0"/>
          <c:cat>
            <c:strRef>
              <c:f>Sheet1!$A$2:$A$16</c:f>
              <c:strCache>
                <c:ptCount val="15"/>
                <c:pt idx="0">
                  <c:v>LU Fizikas institūts</c:v>
                </c:pt>
                <c:pt idx="1">
                  <c:v>Ventspils Augsto tehnoloģiju parks</c:v>
                </c:pt>
                <c:pt idx="2">
                  <c:v>SIA Allatherm </c:v>
                </c:pt>
                <c:pt idx="3">
                  <c:v>SIA Aspired</c:v>
                </c:pt>
                <c:pt idx="4">
                  <c:v>SIA Baltic Scientific Instruments</c:v>
                </c:pt>
                <c:pt idx="5">
                  <c:v>Elektronikas un datorzinātņu institūts</c:v>
                </c:pt>
                <c:pt idx="6">
                  <c:v>Ventspils augstskola </c:v>
                </c:pt>
                <c:pt idx="7">
                  <c:v>SIA Eventech</c:v>
                </c:pt>
                <c:pt idx="8">
                  <c:v>SIA Baltic Satellite Service</c:v>
                </c:pt>
                <c:pt idx="9">
                  <c:v>Rīgas Tehniskā universitāte</c:v>
                </c:pt>
                <c:pt idx="10">
                  <c:v>Latvijas Universitāte</c:v>
                </c:pt>
                <c:pt idx="11">
                  <c:v>Latvijas valsts Koksnes ķīmijas institūts</c:v>
                </c:pt>
                <c:pt idx="12">
                  <c:v>Mežu Īpašnieku konsultatīvais centrs</c:v>
                </c:pt>
                <c:pt idx="13">
                  <c:v>RD ALFA Microelectronics</c:v>
                </c:pt>
                <c:pt idx="14">
                  <c:v>Vides Risinājumu institūts</c:v>
                </c:pt>
              </c:strCache>
            </c:strRef>
          </c:cat>
          <c:val>
            <c:numRef>
              <c:f>Sheet1!$C$2:$C$16</c:f>
            </c:numRef>
          </c:val>
          <c:extLst xmlns:c16r2="http://schemas.microsoft.com/office/drawing/2015/06/chart">
            <c:ext xmlns:c16="http://schemas.microsoft.com/office/drawing/2014/chart" uri="{C3380CC4-5D6E-409C-BE32-E72D297353CC}">
              <c16:uniqueId val="{00000001-4AAE-5E4F-94AD-05809BF47B47}"/>
            </c:ext>
          </c:extLst>
        </c:ser>
        <c:ser>
          <c:idx val="2"/>
          <c:order val="2"/>
          <c:tx>
            <c:strRef>
              <c:f>Sheet1!$D$1</c:f>
              <c:strCache>
                <c:ptCount val="1"/>
                <c:pt idx="0">
                  <c:v>Series 3</c:v>
                </c:pt>
              </c:strCache>
            </c:strRef>
          </c:tx>
          <c:spPr>
            <a:solidFill>
              <a:schemeClr val="accent4">
                <a:tint val="65000"/>
              </a:schemeClr>
            </a:solidFill>
            <a:ln>
              <a:noFill/>
            </a:ln>
            <a:effectLst/>
          </c:spPr>
          <c:invertIfNegative val="0"/>
          <c:cat>
            <c:strRef>
              <c:f>Sheet1!$A$2:$A$16</c:f>
              <c:strCache>
                <c:ptCount val="15"/>
                <c:pt idx="0">
                  <c:v>LU Fizikas institūts</c:v>
                </c:pt>
                <c:pt idx="1">
                  <c:v>Ventspils Augsto tehnoloģiju parks</c:v>
                </c:pt>
                <c:pt idx="2">
                  <c:v>SIA Allatherm </c:v>
                </c:pt>
                <c:pt idx="3">
                  <c:v>SIA Aspired</c:v>
                </c:pt>
                <c:pt idx="4">
                  <c:v>SIA Baltic Scientific Instruments</c:v>
                </c:pt>
                <c:pt idx="5">
                  <c:v>Elektronikas un datorzinātņu institūts</c:v>
                </c:pt>
                <c:pt idx="6">
                  <c:v>Ventspils augstskola </c:v>
                </c:pt>
                <c:pt idx="7">
                  <c:v>SIA Eventech</c:v>
                </c:pt>
                <c:pt idx="8">
                  <c:v>SIA Baltic Satellite Service</c:v>
                </c:pt>
                <c:pt idx="9">
                  <c:v>Rīgas Tehniskā universitāte</c:v>
                </c:pt>
                <c:pt idx="10">
                  <c:v>Latvijas Universitāte</c:v>
                </c:pt>
                <c:pt idx="11">
                  <c:v>Latvijas valsts Koksnes ķīmijas institūts</c:v>
                </c:pt>
                <c:pt idx="12">
                  <c:v>Mežu Īpašnieku konsultatīvais centrs</c:v>
                </c:pt>
                <c:pt idx="13">
                  <c:v>RD ALFA Microelectronics</c:v>
                </c:pt>
                <c:pt idx="14">
                  <c:v>Vides Risinājumu institūts</c:v>
                </c:pt>
              </c:strCache>
            </c:strRef>
          </c:cat>
          <c:val>
            <c:numRef>
              <c:f>Sheet1!$D$2:$D$16</c:f>
            </c:numRef>
          </c:val>
          <c:extLst xmlns:c16r2="http://schemas.microsoft.com/office/drawing/2015/06/chart">
            <c:ext xmlns:c16="http://schemas.microsoft.com/office/drawing/2014/chart" uri="{C3380CC4-5D6E-409C-BE32-E72D297353CC}">
              <c16:uniqueId val="{00000002-4AAE-5E4F-94AD-05809BF47B47}"/>
            </c:ext>
          </c:extLst>
        </c:ser>
        <c:dLbls>
          <c:showLegendKey val="0"/>
          <c:showVal val="0"/>
          <c:showCatName val="0"/>
          <c:showSerName val="0"/>
          <c:showPercent val="0"/>
          <c:showBubbleSize val="0"/>
        </c:dLbls>
        <c:gapWidth val="182"/>
        <c:axId val="319210576"/>
        <c:axId val="227406216"/>
      </c:barChart>
      <c:catAx>
        <c:axId val="31921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27406216"/>
        <c:crosses val="autoZero"/>
        <c:auto val="1"/>
        <c:lblAlgn val="ctr"/>
        <c:lblOffset val="100"/>
        <c:noMultiLvlLbl val="0"/>
      </c:catAx>
      <c:valAx>
        <c:axId val="227406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19210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Sheet1!$B$1</c:f>
              <c:strCache>
                <c:ptCount val="1"/>
                <c:pt idx="0">
                  <c:v>Piesaistītais finansējums (tukst. euro)</c:v>
                </c:pt>
              </c:strCache>
            </c:strRef>
          </c:tx>
          <c:spPr>
            <a:solidFill>
              <a:schemeClr val="accent4">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LU Fizikas institūts</c:v>
                </c:pt>
                <c:pt idx="1">
                  <c:v>Ventspils Augsto tehnoloģiju parks</c:v>
                </c:pt>
                <c:pt idx="2">
                  <c:v>SIA Aspired</c:v>
                </c:pt>
                <c:pt idx="3">
                  <c:v>Ventspils augstskola </c:v>
                </c:pt>
                <c:pt idx="4">
                  <c:v>Latvijas Universitāte</c:v>
                </c:pt>
                <c:pt idx="5">
                  <c:v>SIA Baltic Scientific Instruments</c:v>
                </c:pt>
                <c:pt idx="6">
                  <c:v>Rīgas Tehniskā universitāte</c:v>
                </c:pt>
                <c:pt idx="7">
                  <c:v>SIA Baltic Satellite Service</c:v>
                </c:pt>
                <c:pt idx="8">
                  <c:v>Elektronikas un datorzinātņu institūts</c:v>
                </c:pt>
                <c:pt idx="9">
                  <c:v>SIA Allatherm </c:v>
                </c:pt>
                <c:pt idx="10">
                  <c:v>Latvijas valsts Koksnes ķīmijas institūts</c:v>
                </c:pt>
                <c:pt idx="11">
                  <c:v>Mežu Īpašnieku konsultatīvais centrs</c:v>
                </c:pt>
                <c:pt idx="12">
                  <c:v>Vides Risinājumu institūts</c:v>
                </c:pt>
                <c:pt idx="13">
                  <c:v>SIA Eventech</c:v>
                </c:pt>
                <c:pt idx="14">
                  <c:v>RD ALFA Microelectronics</c:v>
                </c:pt>
              </c:strCache>
            </c:strRef>
          </c:cat>
          <c:val>
            <c:numRef>
              <c:f>Sheet1!$B$2:$B$16</c:f>
              <c:numCache>
                <c:formatCode>General</c:formatCode>
                <c:ptCount val="15"/>
                <c:pt idx="0">
                  <c:v>30</c:v>
                </c:pt>
                <c:pt idx="1">
                  <c:v>50</c:v>
                </c:pt>
                <c:pt idx="2">
                  <c:v>50</c:v>
                </c:pt>
                <c:pt idx="3" formatCode="#,##0">
                  <c:v>98.974000000000004</c:v>
                </c:pt>
                <c:pt idx="4" formatCode="#,##0">
                  <c:v>241.21600000000001</c:v>
                </c:pt>
                <c:pt idx="5" formatCode="#,##0">
                  <c:v>249.99700000000001</c:v>
                </c:pt>
                <c:pt idx="6" formatCode="#,##0">
                  <c:v>279.10399999999998</c:v>
                </c:pt>
                <c:pt idx="7" formatCode="#,##0">
                  <c:v>299.99700000000001</c:v>
                </c:pt>
                <c:pt idx="8" formatCode="#,##0">
                  <c:v>346.78100000000001</c:v>
                </c:pt>
                <c:pt idx="9">
                  <c:v>386</c:v>
                </c:pt>
                <c:pt idx="10" formatCode="#,##0">
                  <c:v>446.072</c:v>
                </c:pt>
                <c:pt idx="11" formatCode="#,##0">
                  <c:v>498.68400000000003</c:v>
                </c:pt>
                <c:pt idx="12" formatCode="#,##0">
                  <c:v>678.93299999999999</c:v>
                </c:pt>
                <c:pt idx="13" formatCode="#,##0">
                  <c:v>695.23199999999997</c:v>
                </c:pt>
                <c:pt idx="14" formatCode="#,##0">
                  <c:v>806.69500000000005</c:v>
                </c:pt>
              </c:numCache>
            </c:numRef>
          </c:val>
          <c:extLst xmlns:c16r2="http://schemas.microsoft.com/office/drawing/2015/06/chart">
            <c:ext xmlns:c16="http://schemas.microsoft.com/office/drawing/2014/chart" uri="{C3380CC4-5D6E-409C-BE32-E72D297353CC}">
              <c16:uniqueId val="{00000000-B978-794F-9687-27A4B7472A83}"/>
            </c:ext>
          </c:extLst>
        </c:ser>
        <c:ser>
          <c:idx val="1"/>
          <c:order val="1"/>
          <c:tx>
            <c:strRef>
              <c:f>Sheet1!$C$1</c:f>
              <c:strCache>
                <c:ptCount val="1"/>
                <c:pt idx="0">
                  <c:v>Series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LU Fizikas institūts</c:v>
                </c:pt>
                <c:pt idx="1">
                  <c:v>Ventspils Augsto tehnoloģiju parks</c:v>
                </c:pt>
                <c:pt idx="2">
                  <c:v>SIA Aspired</c:v>
                </c:pt>
                <c:pt idx="3">
                  <c:v>Ventspils augstskola </c:v>
                </c:pt>
                <c:pt idx="4">
                  <c:v>Latvijas Universitāte</c:v>
                </c:pt>
                <c:pt idx="5">
                  <c:v>SIA Baltic Scientific Instruments</c:v>
                </c:pt>
                <c:pt idx="6">
                  <c:v>Rīgas Tehniskā universitāte</c:v>
                </c:pt>
                <c:pt idx="7">
                  <c:v>SIA Baltic Satellite Service</c:v>
                </c:pt>
                <c:pt idx="8">
                  <c:v>Elektronikas un datorzinātņu institūts</c:v>
                </c:pt>
                <c:pt idx="9">
                  <c:v>SIA Allatherm </c:v>
                </c:pt>
                <c:pt idx="10">
                  <c:v>Latvijas valsts Koksnes ķīmijas institūts</c:v>
                </c:pt>
                <c:pt idx="11">
                  <c:v>Mežu Īpašnieku konsultatīvais centrs</c:v>
                </c:pt>
                <c:pt idx="12">
                  <c:v>Vides Risinājumu institūts</c:v>
                </c:pt>
                <c:pt idx="13">
                  <c:v>SIA Eventech</c:v>
                </c:pt>
                <c:pt idx="14">
                  <c:v>RD ALFA Microelectronics</c:v>
                </c:pt>
              </c:strCache>
            </c:strRef>
          </c:cat>
          <c:val>
            <c:numRef>
              <c:f>Sheet1!$C$2:$C$16</c:f>
            </c:numRef>
          </c:val>
          <c:extLst xmlns:c16r2="http://schemas.microsoft.com/office/drawing/2015/06/chart">
            <c:ext xmlns:c16="http://schemas.microsoft.com/office/drawing/2014/chart" uri="{C3380CC4-5D6E-409C-BE32-E72D297353CC}">
              <c16:uniqueId val="{00000001-B978-794F-9687-27A4B7472A83}"/>
            </c:ext>
          </c:extLst>
        </c:ser>
        <c:ser>
          <c:idx val="2"/>
          <c:order val="2"/>
          <c:tx>
            <c:strRef>
              <c:f>Sheet1!$D$1</c:f>
              <c:strCache>
                <c:ptCount val="1"/>
                <c:pt idx="0">
                  <c:v>Series 3</c:v>
                </c:pt>
              </c:strCache>
            </c:strRef>
          </c:tx>
          <c:spPr>
            <a:solidFill>
              <a:schemeClr val="accent4">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LU Fizikas institūts</c:v>
                </c:pt>
                <c:pt idx="1">
                  <c:v>Ventspils Augsto tehnoloģiju parks</c:v>
                </c:pt>
                <c:pt idx="2">
                  <c:v>SIA Aspired</c:v>
                </c:pt>
                <c:pt idx="3">
                  <c:v>Ventspils augstskola </c:v>
                </c:pt>
                <c:pt idx="4">
                  <c:v>Latvijas Universitāte</c:v>
                </c:pt>
                <c:pt idx="5">
                  <c:v>SIA Baltic Scientific Instruments</c:v>
                </c:pt>
                <c:pt idx="6">
                  <c:v>Rīgas Tehniskā universitāte</c:v>
                </c:pt>
                <c:pt idx="7">
                  <c:v>SIA Baltic Satellite Service</c:v>
                </c:pt>
                <c:pt idx="8">
                  <c:v>Elektronikas un datorzinātņu institūts</c:v>
                </c:pt>
                <c:pt idx="9">
                  <c:v>SIA Allatherm </c:v>
                </c:pt>
                <c:pt idx="10">
                  <c:v>Latvijas valsts Koksnes ķīmijas institūts</c:v>
                </c:pt>
                <c:pt idx="11">
                  <c:v>Mežu Īpašnieku konsultatīvais centrs</c:v>
                </c:pt>
                <c:pt idx="12">
                  <c:v>Vides Risinājumu institūts</c:v>
                </c:pt>
                <c:pt idx="13">
                  <c:v>SIA Eventech</c:v>
                </c:pt>
                <c:pt idx="14">
                  <c:v>RD ALFA Microelectronics</c:v>
                </c:pt>
              </c:strCache>
            </c:strRef>
          </c:cat>
          <c:val>
            <c:numRef>
              <c:f>Sheet1!$D$2:$D$16</c:f>
            </c:numRef>
          </c:val>
          <c:extLst xmlns:c16r2="http://schemas.microsoft.com/office/drawing/2015/06/chart">
            <c:ext xmlns:c16="http://schemas.microsoft.com/office/drawing/2014/chart" uri="{C3380CC4-5D6E-409C-BE32-E72D297353CC}">
              <c16:uniqueId val="{00000002-B978-794F-9687-27A4B7472A83}"/>
            </c:ext>
          </c:extLst>
        </c:ser>
        <c:dLbls>
          <c:dLblPos val="outEnd"/>
          <c:showLegendKey val="0"/>
          <c:showVal val="1"/>
          <c:showCatName val="0"/>
          <c:showSerName val="0"/>
          <c:showPercent val="0"/>
          <c:showBubbleSize val="0"/>
        </c:dLbls>
        <c:gapWidth val="182"/>
        <c:axId val="115768232"/>
        <c:axId val="115767840"/>
      </c:barChart>
      <c:catAx>
        <c:axId val="115768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5767840"/>
        <c:crosses val="autoZero"/>
        <c:auto val="1"/>
        <c:lblAlgn val="ctr"/>
        <c:lblOffset val="100"/>
        <c:noMultiLvlLbl val="0"/>
      </c:catAx>
      <c:valAx>
        <c:axId val="11576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5768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Projektu skaits</c:v>
                </c:pt>
              </c:strCache>
            </c:strRef>
          </c:tx>
          <c:spPr>
            <a:solidFill>
              <a:schemeClr val="accent4"/>
            </a:solidFill>
            <a:ln w="25400" cap="flat" cmpd="sng" algn="ctr">
              <a:solidFill>
                <a:schemeClr val="accent4">
                  <a:shade val="50000"/>
                </a:schemeClr>
              </a:solidFill>
              <a:prstDash val="solid"/>
            </a:ln>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0</c:v>
                </c:pt>
                <c:pt idx="1">
                  <c:v>5</c:v>
                </c:pt>
                <c:pt idx="2">
                  <c:v>12</c:v>
                </c:pt>
                <c:pt idx="3">
                  <c:v>5</c:v>
                </c:pt>
                <c:pt idx="4">
                  <c:v>4</c:v>
                </c:pt>
                <c:pt idx="5">
                  <c:v>5</c:v>
                </c:pt>
                <c:pt idx="6">
                  <c:v>4</c:v>
                </c:pt>
                <c:pt idx="7">
                  <c:v>0</c:v>
                </c:pt>
                <c:pt idx="8">
                  <c:v>0</c:v>
                </c:pt>
              </c:numCache>
            </c:numRef>
          </c:val>
        </c:ser>
        <c:ser>
          <c:idx val="1"/>
          <c:order val="1"/>
          <c:tx>
            <c:strRef>
              <c:f>Sheet1!$C$1</c:f>
              <c:strCache>
                <c:ptCount val="1"/>
                <c:pt idx="0">
                  <c:v>Series 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Ref>
          </c:val>
        </c:ser>
        <c:ser>
          <c:idx val="2"/>
          <c:order val="2"/>
          <c:tx>
            <c:strRef>
              <c:f>Sheet1!$D$1</c:f>
              <c:strCache>
                <c:ptCount val="1"/>
                <c:pt idx="0">
                  <c:v>Series 3</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Ref>
          </c:val>
        </c:ser>
        <c:dLbls>
          <c:dLblPos val="outEnd"/>
          <c:showLegendKey val="0"/>
          <c:showVal val="1"/>
          <c:showCatName val="0"/>
          <c:showSerName val="0"/>
          <c:showPercent val="0"/>
          <c:showBubbleSize val="0"/>
        </c:dLbls>
        <c:gapWidth val="115"/>
        <c:overlap val="-20"/>
        <c:axId val="115769800"/>
        <c:axId val="115770192"/>
      </c:barChart>
      <c:catAx>
        <c:axId val="1157698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5770192"/>
        <c:crosses val="autoZero"/>
        <c:auto val="1"/>
        <c:lblAlgn val="ctr"/>
        <c:lblOffset val="100"/>
        <c:noMultiLvlLbl val="0"/>
      </c:catAx>
      <c:valAx>
        <c:axId val="11577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576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FBC4-2A19-465C-A6DB-7ABB1136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15093</Words>
  <Characters>8604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Sandra Obodova</cp:lastModifiedBy>
  <cp:revision>2</cp:revision>
  <cp:lastPrinted>2019-05-17T12:19:00Z</cp:lastPrinted>
  <dcterms:created xsi:type="dcterms:W3CDTF">2019-09-02T13:39:00Z</dcterms:created>
  <dcterms:modified xsi:type="dcterms:W3CDTF">2019-09-02T13:39:00Z</dcterms:modified>
</cp:coreProperties>
</file>