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10188"/>
      </w:tblGrid>
      <w:tr w:rsidR="00167719" w:rsidRPr="009D01A5" w:rsidTr="008C78FE">
        <w:trPr>
          <w:jc w:val="center"/>
        </w:trPr>
        <w:tc>
          <w:tcPr>
            <w:tcW w:w="10188" w:type="dxa"/>
            <w:tcBorders>
              <w:bottom w:val="single" w:sz="6" w:space="0" w:color="000000"/>
            </w:tcBorders>
          </w:tcPr>
          <w:p w:rsidR="00167719" w:rsidRPr="009D01A5" w:rsidRDefault="00167719" w:rsidP="008C78FE">
            <w:pPr>
              <w:pStyle w:val="naisnod"/>
              <w:spacing w:before="0" w:after="0"/>
              <w:ind w:firstLine="720"/>
              <w:rPr>
                <w:sz w:val="28"/>
                <w:szCs w:val="28"/>
              </w:rPr>
            </w:pPr>
            <w:r w:rsidRPr="009D01A5">
              <w:rPr>
                <w:sz w:val="28"/>
                <w:szCs w:val="28"/>
              </w:rPr>
              <w:t>Izziņa par atzinumos sniegtajiem iebildumiem</w:t>
            </w:r>
          </w:p>
          <w:p w:rsidR="00167719" w:rsidRPr="009D01A5" w:rsidRDefault="00167719" w:rsidP="000E06B2">
            <w:pPr>
              <w:jc w:val="center"/>
            </w:pPr>
            <w:r w:rsidRPr="009D01A5">
              <w:rPr>
                <w:b/>
                <w:sz w:val="28"/>
                <w:szCs w:val="28"/>
              </w:rPr>
              <w:t>par noteikumu projektu „</w:t>
            </w:r>
            <w:r w:rsidR="00BD4BEE" w:rsidRPr="00BD4BEE">
              <w:rPr>
                <w:b/>
                <w:sz w:val="28"/>
                <w:szCs w:val="28"/>
              </w:rPr>
              <w:t>Kārtība, kādā tiek izvērtēta personas atbilstība pedagoga amatam</w:t>
            </w:r>
            <w:r w:rsidRPr="009D01A5">
              <w:rPr>
                <w:b/>
                <w:sz w:val="28"/>
                <w:szCs w:val="28"/>
              </w:rPr>
              <w:t>”</w:t>
            </w:r>
          </w:p>
        </w:tc>
      </w:tr>
    </w:tbl>
    <w:p w:rsidR="00167719" w:rsidRPr="009D01A5" w:rsidRDefault="00167719" w:rsidP="00167719">
      <w:pPr>
        <w:pStyle w:val="naisf"/>
        <w:spacing w:before="0" w:after="0"/>
        <w:ind w:firstLine="720"/>
        <w:jc w:val="center"/>
      </w:pPr>
    </w:p>
    <w:p w:rsidR="00553D85" w:rsidRPr="009D01A5" w:rsidRDefault="00553D85" w:rsidP="00167719">
      <w:pPr>
        <w:pStyle w:val="naisf"/>
        <w:spacing w:before="0" w:after="0"/>
        <w:ind w:firstLine="720"/>
        <w:jc w:val="center"/>
      </w:pPr>
    </w:p>
    <w:p w:rsidR="00167719" w:rsidRPr="009D01A5" w:rsidRDefault="00167719" w:rsidP="00167719">
      <w:pPr>
        <w:pStyle w:val="naisf"/>
        <w:spacing w:before="0" w:after="0"/>
        <w:ind w:firstLine="0"/>
        <w:jc w:val="center"/>
        <w:rPr>
          <w:sz w:val="16"/>
          <w:szCs w:val="16"/>
        </w:rPr>
      </w:pPr>
      <w:r w:rsidRPr="009D01A5">
        <w:rPr>
          <w:b/>
        </w:rPr>
        <w:t>II. Jautājumi, par kuriem saskaņošanā vienošanās ir panākta</w:t>
      </w:r>
    </w:p>
    <w:p w:rsidR="00167719" w:rsidRPr="009D01A5" w:rsidRDefault="00167719" w:rsidP="00167719">
      <w:pPr>
        <w:pStyle w:val="naisf"/>
        <w:spacing w:before="0" w:after="0"/>
        <w:ind w:firstLine="0"/>
        <w:rPr>
          <w:sz w:val="16"/>
          <w:szCs w:val="16"/>
        </w:rPr>
      </w:pPr>
    </w:p>
    <w:tbl>
      <w:tblPr>
        <w:tblW w:w="15735" w:type="dxa"/>
        <w:tblInd w:w="-1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61"/>
        <w:gridCol w:w="4253"/>
        <w:gridCol w:w="1843"/>
        <w:gridCol w:w="5670"/>
      </w:tblGrid>
      <w:tr w:rsidR="00167719" w:rsidRPr="009D01A5" w:rsidTr="008C78FE">
        <w:tc>
          <w:tcPr>
            <w:tcW w:w="708"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Nr. p.k.</w:t>
            </w:r>
          </w:p>
        </w:tc>
        <w:tc>
          <w:tcPr>
            <w:tcW w:w="3261"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Atzinumā norādītais ministrijas (citas institūcijas) iebildums, kā arī saskaņošanā papildus izteiktais iebildums par projekta konkrēto punktu (pantu)</w:t>
            </w:r>
          </w:p>
        </w:tc>
        <w:tc>
          <w:tcPr>
            <w:tcW w:w="1843" w:type="dxa"/>
            <w:tcBorders>
              <w:top w:val="single" w:sz="6" w:space="0" w:color="000000"/>
              <w:left w:val="single" w:sz="6" w:space="0" w:color="000000"/>
              <w:bottom w:val="single" w:sz="6" w:space="0" w:color="000000"/>
              <w:right w:val="single" w:sz="6" w:space="0" w:color="000000"/>
            </w:tcBorders>
            <w:vAlign w:val="center"/>
          </w:tcPr>
          <w:p w:rsidR="00167719" w:rsidRPr="009D01A5" w:rsidRDefault="00167719" w:rsidP="008C78FE">
            <w:pPr>
              <w:pStyle w:val="naisc"/>
              <w:spacing w:before="0" w:after="0"/>
              <w:rPr>
                <w:sz w:val="20"/>
                <w:szCs w:val="20"/>
              </w:rPr>
            </w:pPr>
            <w:r w:rsidRPr="009D01A5">
              <w:rPr>
                <w:sz w:val="20"/>
                <w:szCs w:val="20"/>
              </w:rPr>
              <w:t>Atbildīgās ministrijas norāde par to, ka iebildums ir ņemts vērā, vai informācija par saskaņošanā panākto alternatīvo risinājumu</w:t>
            </w:r>
          </w:p>
        </w:tc>
        <w:tc>
          <w:tcPr>
            <w:tcW w:w="5670" w:type="dxa"/>
            <w:tcBorders>
              <w:top w:val="single" w:sz="4" w:space="0" w:color="auto"/>
              <w:left w:val="single" w:sz="4" w:space="0" w:color="auto"/>
              <w:bottom w:val="single" w:sz="4" w:space="0" w:color="auto"/>
            </w:tcBorders>
            <w:vAlign w:val="center"/>
          </w:tcPr>
          <w:p w:rsidR="00167719" w:rsidRPr="009D01A5" w:rsidRDefault="00167719" w:rsidP="008C78FE">
            <w:pPr>
              <w:jc w:val="center"/>
              <w:rPr>
                <w:sz w:val="20"/>
                <w:szCs w:val="20"/>
              </w:rPr>
            </w:pPr>
            <w:r w:rsidRPr="009D01A5">
              <w:rPr>
                <w:sz w:val="20"/>
                <w:szCs w:val="20"/>
              </w:rPr>
              <w:t>Projekta attiecīgā punkta (panta) galīgā redakcija</w:t>
            </w:r>
          </w:p>
        </w:tc>
      </w:tr>
      <w:tr w:rsidR="00167719" w:rsidRPr="009D01A5" w:rsidTr="008C78FE">
        <w:tc>
          <w:tcPr>
            <w:tcW w:w="708"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1</w:t>
            </w:r>
          </w:p>
        </w:tc>
        <w:tc>
          <w:tcPr>
            <w:tcW w:w="3261"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2</w:t>
            </w:r>
          </w:p>
        </w:tc>
        <w:tc>
          <w:tcPr>
            <w:tcW w:w="4253"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3</w:t>
            </w:r>
          </w:p>
        </w:tc>
        <w:tc>
          <w:tcPr>
            <w:tcW w:w="1843" w:type="dxa"/>
            <w:tcBorders>
              <w:top w:val="single" w:sz="6" w:space="0" w:color="000000"/>
              <w:left w:val="single" w:sz="6" w:space="0" w:color="000000"/>
              <w:bottom w:val="single" w:sz="6" w:space="0" w:color="000000"/>
              <w:right w:val="single" w:sz="6" w:space="0" w:color="000000"/>
            </w:tcBorders>
          </w:tcPr>
          <w:p w:rsidR="00167719" w:rsidRPr="009D01A5" w:rsidRDefault="00167719" w:rsidP="008C78FE">
            <w:pPr>
              <w:pStyle w:val="naisc"/>
              <w:spacing w:before="0" w:after="0"/>
            </w:pPr>
            <w:r w:rsidRPr="009D01A5">
              <w:t>4</w:t>
            </w:r>
          </w:p>
        </w:tc>
        <w:tc>
          <w:tcPr>
            <w:tcW w:w="5670" w:type="dxa"/>
            <w:tcBorders>
              <w:top w:val="single" w:sz="4" w:space="0" w:color="auto"/>
              <w:left w:val="single" w:sz="4" w:space="0" w:color="auto"/>
              <w:bottom w:val="single" w:sz="4" w:space="0" w:color="auto"/>
            </w:tcBorders>
          </w:tcPr>
          <w:p w:rsidR="00167719" w:rsidRPr="009D01A5" w:rsidRDefault="00167719" w:rsidP="008C78FE">
            <w:pPr>
              <w:jc w:val="center"/>
            </w:pPr>
            <w:r w:rsidRPr="009D01A5">
              <w:t>5</w:t>
            </w:r>
          </w:p>
        </w:tc>
      </w:tr>
      <w:tr w:rsidR="00720079" w:rsidRPr="009D01A5" w:rsidTr="008C78FE">
        <w:tc>
          <w:tcPr>
            <w:tcW w:w="708" w:type="dxa"/>
            <w:tcBorders>
              <w:top w:val="single" w:sz="6" w:space="0" w:color="000000"/>
              <w:left w:val="single" w:sz="6" w:space="0" w:color="000000"/>
              <w:bottom w:val="single" w:sz="6" w:space="0" w:color="000000"/>
              <w:right w:val="single" w:sz="6" w:space="0" w:color="000000"/>
            </w:tcBorders>
          </w:tcPr>
          <w:p w:rsidR="00720079" w:rsidRDefault="00720079" w:rsidP="00CC6544">
            <w:pPr>
              <w:pStyle w:val="naisc"/>
              <w:spacing w:before="0" w:after="0"/>
            </w:pPr>
            <w:r>
              <w:t>1</w:t>
            </w:r>
          </w:p>
        </w:tc>
        <w:tc>
          <w:tcPr>
            <w:tcW w:w="3261"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720079" w:rsidRDefault="00720079" w:rsidP="008C78FE">
            <w:pPr>
              <w:pStyle w:val="naisc"/>
              <w:jc w:val="both"/>
              <w:rPr>
                <w:b/>
              </w:rPr>
            </w:pPr>
            <w:r>
              <w:rPr>
                <w:b/>
              </w:rPr>
              <w:t>Tieslietu ministrija:</w:t>
            </w:r>
          </w:p>
          <w:p w:rsidR="00035F1A" w:rsidRPr="00035F1A" w:rsidRDefault="00035F1A" w:rsidP="00035F1A">
            <w:pPr>
              <w:pStyle w:val="naisc"/>
              <w:jc w:val="both"/>
              <w:rPr>
                <w:i/>
              </w:rPr>
            </w:pPr>
            <w:r w:rsidRPr="00035F1A">
              <w:rPr>
                <w:i/>
              </w:rPr>
              <w:t xml:space="preserve">Atbilstoši Eiropas parlamenta un padomes regulas (ES) 2016/679 (2016. gada 27. aprīlis) par fizisku personu aizsardzību attiecībā uz personas datu apstrādi un šādu datu brīvu apriti un ar ko atceļ Direktīvu 95/46/EK (Vispārīgā datu aizsardzības regula) (turpmāk - Regula) 10.pantam personas datu apstrādi par sodāmību un pārkāpumiem vai ar tiem saistītiem drošības pasākumiem, pamatojoties uz 6. panta 1. punktu, veic tikai oficiālas iestādes kontrolē vai tad, ja apstrādi atļauj Savienības vai dalībvalsts tiesību akti, paredzot atbilstošas garantijas datu subjektu tiesībām un brīvībām. Jebkādu visaptverošu sodāmības reģistru uzglabā tikai oficiālas iestādes kontrolē. No minētā izriet, ka datu par sodāmību </w:t>
            </w:r>
            <w:r w:rsidRPr="00035F1A">
              <w:rPr>
                <w:i/>
              </w:rPr>
              <w:lastRenderedPageBreak/>
              <w:t xml:space="preserve">nodošanai nepieciešamas atbilstošas garantijas datu subjektu tiesībām un brīvībām. </w:t>
            </w:r>
          </w:p>
          <w:p w:rsidR="00035F1A" w:rsidRPr="00035F1A" w:rsidRDefault="00035F1A" w:rsidP="00035F1A">
            <w:pPr>
              <w:pStyle w:val="naisc"/>
              <w:jc w:val="both"/>
              <w:rPr>
                <w:i/>
              </w:rPr>
            </w:pPr>
            <w:r w:rsidRPr="00035F1A">
              <w:rPr>
                <w:i/>
              </w:rPr>
              <w:t xml:space="preserve">Fizisko personu datu apstrādes likuma pārejas noteikumu 2.punkts nosaka - līdz brīdim, kad stājas spēkā likums, ar kuru Latvijā tiek ieviestas Eiropas Parlamenta un Padomes 2016. gada 27. aprīļa direktīvas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prasības, bet ne vēlāk kā līdz 2019. gada 1. jūlijam attiecībā uz fizisko personu datu apstrādi, ko veic kompetentās iestādes, lai novērstu, izmeklētu, atklātu noziedzīgus nodarījumus vai sauktu pie atbildības par tiem vai izpildītu kriminālsodus, ir piemērojams cita starpā Fizisko personu datu aizsardzības likuma 12. pants. </w:t>
            </w:r>
          </w:p>
          <w:p w:rsidR="00035F1A" w:rsidRPr="00035F1A" w:rsidRDefault="00035F1A" w:rsidP="00035F1A">
            <w:pPr>
              <w:pStyle w:val="naisc"/>
              <w:jc w:val="both"/>
              <w:rPr>
                <w:i/>
              </w:rPr>
            </w:pPr>
            <w:r w:rsidRPr="00035F1A">
              <w:rPr>
                <w:i/>
              </w:rPr>
              <w:t xml:space="preserve">Ar Fizisko personu datu aizsardzības likuma 12. pantu likumdevējs imperatīvi noteicis, ka personas datus, kuri attiecas uz noziedzīgiem nodarījumiem, sodāmību krimināllietās un administratīvo pārkāpumu lietās, kā arī uz tiesas nolēmumu vai tiesas lietas materiāliem, drīkst apstrādāt tikai likumā noteiktās personas un likumā noteiktajos gadījumos. </w:t>
            </w:r>
          </w:p>
          <w:p w:rsidR="00DF470E" w:rsidRPr="00DF470E" w:rsidRDefault="00035F1A" w:rsidP="00035F1A">
            <w:pPr>
              <w:pStyle w:val="naisc"/>
              <w:jc w:val="both"/>
              <w:rPr>
                <w:i/>
              </w:rPr>
            </w:pPr>
            <w:r w:rsidRPr="00035F1A">
              <w:rPr>
                <w:i/>
              </w:rPr>
              <w:t xml:space="preserve">No minētā izriet, ka pieprasīt informāciju par personas sodāmību, kā arī datus, kas skar probāciju, var tikai tādā gadījumā, kad tas ir noteikts </w:t>
            </w:r>
            <w:proofErr w:type="spellStart"/>
            <w:r w:rsidRPr="00035F1A">
              <w:rPr>
                <w:i/>
              </w:rPr>
              <w:t>expressis</w:t>
            </w:r>
            <w:proofErr w:type="spellEnd"/>
            <w:r w:rsidRPr="00035F1A">
              <w:rPr>
                <w:i/>
              </w:rPr>
              <w:t xml:space="preserve"> </w:t>
            </w:r>
            <w:proofErr w:type="spellStart"/>
            <w:r w:rsidRPr="00035F1A">
              <w:rPr>
                <w:i/>
              </w:rPr>
              <w:t>verbis</w:t>
            </w:r>
            <w:proofErr w:type="spellEnd"/>
            <w:r w:rsidRPr="00035F1A">
              <w:rPr>
                <w:i/>
              </w:rPr>
              <w:t xml:space="preserve"> likumā, nevis Ministru kabineta noteikumos, turklāt ņemot vērā Regulas 10. pantā atrunāto par atbilstošām garantijām datu subjekta tiesībām un brīvībām.</w:t>
            </w:r>
          </w:p>
        </w:tc>
        <w:tc>
          <w:tcPr>
            <w:tcW w:w="1843" w:type="dxa"/>
            <w:tcBorders>
              <w:top w:val="single" w:sz="6" w:space="0" w:color="000000"/>
              <w:left w:val="single" w:sz="6" w:space="0" w:color="000000"/>
              <w:bottom w:val="single" w:sz="6" w:space="0" w:color="000000"/>
              <w:right w:val="single" w:sz="6" w:space="0" w:color="000000"/>
            </w:tcBorders>
          </w:tcPr>
          <w:p w:rsidR="00720079" w:rsidRDefault="00713370" w:rsidP="008C78FE">
            <w:pPr>
              <w:pStyle w:val="naisc"/>
              <w:spacing w:before="0" w:after="0"/>
            </w:pPr>
            <w:r>
              <w:lastRenderedPageBreak/>
              <w:t>Ņemts vērā.</w:t>
            </w:r>
          </w:p>
          <w:p w:rsidR="00713370" w:rsidRDefault="00713370" w:rsidP="008C78FE">
            <w:pPr>
              <w:pStyle w:val="naisc"/>
              <w:spacing w:before="0" w:after="0"/>
            </w:pPr>
            <w:r>
              <w:t xml:space="preserve">Precizēts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720079" w:rsidRDefault="00713370" w:rsidP="008C78FE">
            <w:pPr>
              <w:jc w:val="both"/>
            </w:pPr>
            <w:r>
              <w:t xml:space="preserve">Sk. anotācijas </w:t>
            </w:r>
            <w:proofErr w:type="spellStart"/>
            <w:r>
              <w:t>I.sada</w:t>
            </w:r>
            <w:r w:rsidR="009E7246">
              <w:t>ļas</w:t>
            </w:r>
            <w:proofErr w:type="spellEnd"/>
            <w:r w:rsidR="009E7246">
              <w:t xml:space="preserve"> 2.punktu</w:t>
            </w:r>
            <w:r>
              <w:t>.</w:t>
            </w:r>
          </w:p>
          <w:p w:rsidR="00713370" w:rsidRDefault="00713370" w:rsidP="008C78FE">
            <w:pPr>
              <w:jc w:val="both"/>
            </w:pPr>
          </w:p>
        </w:tc>
      </w:tr>
      <w:tr w:rsidR="00581898" w:rsidRPr="009D01A5" w:rsidTr="008C78FE">
        <w:tc>
          <w:tcPr>
            <w:tcW w:w="708" w:type="dxa"/>
            <w:tcBorders>
              <w:top w:val="single" w:sz="6" w:space="0" w:color="000000"/>
              <w:left w:val="single" w:sz="6" w:space="0" w:color="000000"/>
              <w:bottom w:val="single" w:sz="6" w:space="0" w:color="000000"/>
              <w:right w:val="single" w:sz="6" w:space="0" w:color="000000"/>
            </w:tcBorders>
          </w:tcPr>
          <w:p w:rsidR="00581898" w:rsidRDefault="00581898" w:rsidP="00CC6544">
            <w:pPr>
              <w:pStyle w:val="naisc"/>
              <w:spacing w:before="0" w:after="0"/>
            </w:pPr>
            <w:r>
              <w:lastRenderedPageBreak/>
              <w:t>2</w:t>
            </w:r>
          </w:p>
        </w:tc>
        <w:tc>
          <w:tcPr>
            <w:tcW w:w="3261" w:type="dxa"/>
            <w:tcBorders>
              <w:top w:val="single" w:sz="6" w:space="0" w:color="000000"/>
              <w:left w:val="single" w:sz="6" w:space="0" w:color="000000"/>
              <w:bottom w:val="single" w:sz="6" w:space="0" w:color="000000"/>
              <w:right w:val="single" w:sz="6" w:space="0" w:color="000000"/>
            </w:tcBorders>
          </w:tcPr>
          <w:p w:rsidR="00581898" w:rsidRDefault="00E42CA1" w:rsidP="008C78FE">
            <w:pPr>
              <w:pStyle w:val="naisc"/>
              <w:spacing w:before="0" w:after="0"/>
              <w:jc w:val="both"/>
            </w:pPr>
            <w:r>
              <w:t>Noteikumu projekta 9.punkts:</w:t>
            </w:r>
          </w:p>
          <w:p w:rsidR="00E42CA1" w:rsidRDefault="00E42CA1" w:rsidP="00E42CA1">
            <w:pPr>
              <w:pStyle w:val="naisc"/>
              <w:jc w:val="both"/>
            </w:pPr>
            <w:r>
              <w:t>9. Komisija var pieprasīt izvērtēšanai nepieciešamo informāciju no:</w:t>
            </w:r>
          </w:p>
          <w:p w:rsidR="00E42CA1" w:rsidRDefault="00E42CA1" w:rsidP="00E42CA1">
            <w:pPr>
              <w:pStyle w:val="naisc"/>
              <w:jc w:val="both"/>
            </w:pPr>
            <w:r>
              <w:t>9.1. Iekšlietu ministrijas Informācijas centra;</w:t>
            </w:r>
          </w:p>
          <w:p w:rsidR="00E42CA1" w:rsidRDefault="00E42CA1" w:rsidP="00E42CA1">
            <w:pPr>
              <w:pStyle w:val="naisc"/>
              <w:jc w:val="both"/>
            </w:pPr>
            <w:r>
              <w:t>9.2. Ieslodzījuma vietu pārvaldes;</w:t>
            </w:r>
          </w:p>
          <w:p w:rsidR="00E42CA1" w:rsidRDefault="00E42CA1" w:rsidP="00E42CA1">
            <w:pPr>
              <w:pStyle w:val="naisc"/>
              <w:jc w:val="both"/>
            </w:pPr>
            <w:r>
              <w:t>9.3. Valsts probācijas dienesta;</w:t>
            </w:r>
          </w:p>
          <w:p w:rsidR="00E42CA1" w:rsidRDefault="00E42CA1" w:rsidP="00E42CA1">
            <w:pPr>
              <w:pStyle w:val="naisc"/>
              <w:jc w:val="both"/>
            </w:pPr>
            <w:r>
              <w:t>9.4. Valsts bērnu tiesību aizsardzības inspekcijas;</w:t>
            </w:r>
          </w:p>
          <w:p w:rsidR="00E42CA1" w:rsidRDefault="00E42CA1" w:rsidP="00E42CA1">
            <w:pPr>
              <w:pStyle w:val="naisc"/>
              <w:jc w:val="both"/>
            </w:pPr>
            <w:r>
              <w:t>9.5. izglītības iestādes;</w:t>
            </w:r>
          </w:p>
          <w:p w:rsidR="00E42CA1" w:rsidRDefault="00E42CA1" w:rsidP="00E42CA1">
            <w:pPr>
              <w:pStyle w:val="naisc"/>
              <w:jc w:val="both"/>
            </w:pPr>
            <w:r>
              <w:t>9.6. izglītības iestādes dibinātāja;</w:t>
            </w:r>
          </w:p>
          <w:p w:rsidR="00E42CA1" w:rsidRDefault="00E42CA1" w:rsidP="00E42CA1">
            <w:pPr>
              <w:pStyle w:val="naisc"/>
              <w:jc w:val="both"/>
            </w:pPr>
            <w:r>
              <w:t>9.7. Latvijas Nacionālā arhīva vai tā struktūrvienības;</w:t>
            </w:r>
          </w:p>
          <w:p w:rsidR="00E42CA1" w:rsidRDefault="00E42CA1" w:rsidP="00E42CA1">
            <w:pPr>
              <w:pStyle w:val="naisc"/>
              <w:spacing w:before="0" w:after="0"/>
              <w:jc w:val="both"/>
            </w:pPr>
            <w:r>
              <w:t>9.8. citas institūcijas vai organizācijas.</w:t>
            </w:r>
          </w:p>
        </w:tc>
        <w:tc>
          <w:tcPr>
            <w:tcW w:w="4253" w:type="dxa"/>
            <w:tcBorders>
              <w:top w:val="single" w:sz="6" w:space="0" w:color="000000"/>
              <w:left w:val="single" w:sz="6" w:space="0" w:color="000000"/>
              <w:bottom w:val="single" w:sz="6" w:space="0" w:color="000000"/>
              <w:right w:val="single" w:sz="6" w:space="0" w:color="000000"/>
            </w:tcBorders>
          </w:tcPr>
          <w:p w:rsidR="00581898" w:rsidRDefault="00581898" w:rsidP="008C78FE">
            <w:pPr>
              <w:pStyle w:val="naisc"/>
              <w:jc w:val="both"/>
              <w:rPr>
                <w:b/>
              </w:rPr>
            </w:pPr>
            <w:r>
              <w:rPr>
                <w:b/>
              </w:rPr>
              <w:t>Tieslietu ministrija:</w:t>
            </w:r>
          </w:p>
          <w:p w:rsidR="00581898" w:rsidRPr="00581898" w:rsidRDefault="004C59E2" w:rsidP="00581898">
            <w:pPr>
              <w:pStyle w:val="naisc"/>
              <w:jc w:val="both"/>
              <w:rPr>
                <w:i/>
              </w:rPr>
            </w:pPr>
            <w:r>
              <w:rPr>
                <w:i/>
              </w:rPr>
              <w:t xml:space="preserve">1. (..) </w:t>
            </w:r>
            <w:r w:rsidR="00581898" w:rsidRPr="00581898">
              <w:rPr>
                <w:i/>
              </w:rPr>
              <w:t xml:space="preserve">No projekta, kā arī tā anotācijas nav saprotams, kādus personas datus komisija var pieprasīt no institūcijām, jo projektā izmantotais apzīmējums "izvērtēšanai nepieciešamā informācija" ir pārāk plašs un nesniedz skaidru informāciju par personas datu kategorijām, kuras tiek plānots apstrādāt projekta ietvaros. Tāpat norādām, ka šī brīža projekta redakcija neietver datu minimizēšanas principu atbilstoši Datu regulas 5.panta 1.punkta c) apakšpunktam, no kā secināms, ka katru reizi pārzinim apstrādājot datus būtu jāvērtē, vai netiek apstrādāts pārmērīgs datu daudzums, jāpamato, vai pastāv tiesisks mērķis plānotajai personas datu apstrādei </w:t>
            </w:r>
            <w:proofErr w:type="spellStart"/>
            <w:r w:rsidR="00581898" w:rsidRPr="00581898">
              <w:rPr>
                <w:i/>
              </w:rPr>
              <w:t>u.tt</w:t>
            </w:r>
            <w:proofErr w:type="spellEnd"/>
            <w:r w:rsidR="00581898" w:rsidRPr="00581898">
              <w:rPr>
                <w:i/>
              </w:rPr>
              <w:t>.</w:t>
            </w:r>
          </w:p>
          <w:p w:rsidR="00581898" w:rsidRDefault="00581898" w:rsidP="00581898">
            <w:pPr>
              <w:pStyle w:val="naisc"/>
              <w:jc w:val="both"/>
              <w:rPr>
                <w:i/>
              </w:rPr>
            </w:pPr>
            <w:r w:rsidRPr="00581898">
              <w:rPr>
                <w:i/>
              </w:rPr>
              <w:t>Ņemot vērā minēto, lūdzam precizēt projektu vai tā anotāciju, norādot, kādu personas datu kategoriju apstrādi paredz projekts, detalizēti aprakstot to projekta anotācijā, izvērtējot, vai tiek apstrādāts samērīgs datu daudzums.</w:t>
            </w:r>
          </w:p>
          <w:p w:rsidR="004C59E2" w:rsidRDefault="004C59E2" w:rsidP="004C59E2">
            <w:pPr>
              <w:pStyle w:val="naisc"/>
              <w:jc w:val="both"/>
              <w:rPr>
                <w:b/>
              </w:rPr>
            </w:pPr>
            <w:r>
              <w:rPr>
                <w:i/>
              </w:rPr>
              <w:t>2.</w:t>
            </w:r>
            <w:r w:rsidRPr="004C59E2">
              <w:rPr>
                <w:i/>
              </w:rPr>
              <w:t xml:space="preserve"> Noteikumu projektā ir jāiestrādā regulējums, kas satur precīzu datu un informācijas apjomu, kuru Izglītības kvalitātes valsts dienesta izveidotā komisija pieprasīs no noteikumu projekta 9. punktā minētajām institūcijām, piemēram, Valsts probācijas dienesta, par iepriekš sodītajām personām.</w:t>
            </w:r>
            <w:r>
              <w:rPr>
                <w:i/>
              </w:rPr>
              <w:t xml:space="preserve"> (..)</w:t>
            </w:r>
            <w:r w:rsidRPr="004C59E2">
              <w:rPr>
                <w:i/>
              </w:rPr>
              <w:t>Vienlaicīgi noteikumu projekta anotācijā ir jāpamato katras pieprasītās informācijas par sodīto personu nepieciešamība, lai Izglītības kvalitātes valsts dienesta izveidotā komisija varētu pieņemt pamatotu lēmumu par aizliegumu vai atļauju iepriekš sodītai personai strādāt par pedagogu.</w:t>
            </w:r>
          </w:p>
        </w:tc>
        <w:tc>
          <w:tcPr>
            <w:tcW w:w="1843" w:type="dxa"/>
            <w:tcBorders>
              <w:top w:val="single" w:sz="6" w:space="0" w:color="000000"/>
              <w:left w:val="single" w:sz="6" w:space="0" w:color="000000"/>
              <w:bottom w:val="single" w:sz="6" w:space="0" w:color="000000"/>
              <w:right w:val="single" w:sz="6" w:space="0" w:color="000000"/>
            </w:tcBorders>
          </w:tcPr>
          <w:p w:rsidR="00581898" w:rsidRDefault="00581898" w:rsidP="00581898">
            <w:pPr>
              <w:pStyle w:val="naisc"/>
              <w:spacing w:before="0" w:after="0"/>
            </w:pPr>
            <w:r>
              <w:t>Ņemts vērā.</w:t>
            </w:r>
          </w:p>
          <w:p w:rsidR="00581898" w:rsidRDefault="00581898" w:rsidP="00581898">
            <w:pPr>
              <w:pStyle w:val="naisc"/>
              <w:spacing w:before="0" w:after="0"/>
            </w:pPr>
            <w:r>
              <w:t xml:space="preserve">Precizēts </w:t>
            </w:r>
            <w:r w:rsidR="00E42CA1">
              <w:t xml:space="preserve">noteikumu projekta 9.punkts un </w:t>
            </w:r>
            <w:r>
              <w:t xml:space="preserve">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E42CA1" w:rsidRDefault="00E42CA1" w:rsidP="008C78FE">
            <w:pPr>
              <w:jc w:val="both"/>
            </w:pPr>
            <w:r>
              <w:t>Noteikumu projekta 9.punkts:</w:t>
            </w:r>
          </w:p>
          <w:p w:rsidR="00E42CA1" w:rsidRDefault="00E42CA1" w:rsidP="00E42CA1">
            <w:pPr>
              <w:jc w:val="both"/>
            </w:pPr>
            <w:r>
              <w:t>9. Komisija var pieprasīt izvērtēšanai nepieciešamo informāciju no:</w:t>
            </w:r>
          </w:p>
          <w:p w:rsidR="00E42CA1" w:rsidRDefault="00E42CA1" w:rsidP="00E42CA1">
            <w:pPr>
              <w:jc w:val="both"/>
            </w:pPr>
            <w:r>
              <w:t xml:space="preserve">9.1. Iekšlietu ministrijas Informācijas centra – ziņas no Sodu reģistra par personas sodāmību, tiesas nolēmumi vai prokurora priekšraksti par sodu; </w:t>
            </w:r>
          </w:p>
          <w:p w:rsidR="00E42CA1" w:rsidRDefault="00E42CA1" w:rsidP="00E42CA1">
            <w:pPr>
              <w:jc w:val="both"/>
            </w:pPr>
            <w:r>
              <w:t>9.2. Ieslodzījuma vietu pārvaldes –  informāciju par personas attieksmi pret izdarīto noziedzīgo nodarījumu, personas raksturojumu soda izpildes laikā un soda izpildes gaitu;</w:t>
            </w:r>
          </w:p>
          <w:p w:rsidR="00E42CA1" w:rsidRDefault="00E42CA1" w:rsidP="00E42CA1">
            <w:pPr>
              <w:jc w:val="both"/>
            </w:pPr>
            <w:r>
              <w:t xml:space="preserve">9.3. Valsts probācijas dienesta – informāciju par personas attieksmi pret </w:t>
            </w:r>
            <w:r w:rsidR="000D7031">
              <w:t xml:space="preserve">izdarīto noziedzīgo nodarījumu, </w:t>
            </w:r>
            <w:r>
              <w:t>personas darbību laikposmā, kad tā bija probācijas klients, personas raksturojumu un soda izpildes gaitu;</w:t>
            </w:r>
          </w:p>
          <w:p w:rsidR="00E42CA1" w:rsidRDefault="00E42CA1" w:rsidP="00E42CA1">
            <w:pPr>
              <w:jc w:val="both"/>
            </w:pPr>
            <w:r>
              <w:t>9.4. Valsts bērnu tiesību aizsardzības inspekcijas – informāciju par pārbaudēm, administratīvo pārkāpumu lietvedību saistībā ar konkrētās personas darbību (piemēram, pārbaudes akti par pārbaudē konstatētajiem faktiem, administratīvo pārkāpumu protokoli);</w:t>
            </w:r>
          </w:p>
          <w:p w:rsidR="00E42CA1" w:rsidRDefault="00E42CA1" w:rsidP="00E42CA1">
            <w:pPr>
              <w:jc w:val="both"/>
            </w:pPr>
            <w:r>
              <w:t>9.5. izglītības iestādes – informāciju par personas darbību izglītības iestādē, personas raksturojumu;</w:t>
            </w:r>
          </w:p>
          <w:p w:rsidR="00E42CA1" w:rsidRDefault="00E42CA1" w:rsidP="00E42CA1">
            <w:pPr>
              <w:jc w:val="both"/>
            </w:pPr>
            <w:r>
              <w:t>9.6. izglītības iestādes dibinātāja –  informāciju par personas darbību, personas raksturojumu;</w:t>
            </w:r>
          </w:p>
          <w:p w:rsidR="00E42CA1" w:rsidRDefault="00E42CA1" w:rsidP="00E42CA1">
            <w:pPr>
              <w:jc w:val="both"/>
            </w:pPr>
            <w:r>
              <w:t xml:space="preserve">9.7. Latvijas Nacionālā arhīva vai tā struktūrvienības –   tiesas nolēmumu vai prokurora priekšrakstu kopijas,  citas Latvijas Nacionālā arhīva vai tā struktūrvienības rīcībā esošās ziņas par personas darbību kopš noziedzīgā nodarījuma izdarīšanas,  kas ļauj izvērtēt personas attieksmi pret izdarīto noziedzīgo nodarījumu, personas raksturojumu (ja nav saņemts no personas vai citas iestādes); </w:t>
            </w:r>
          </w:p>
          <w:p w:rsidR="00E42CA1" w:rsidRDefault="00E42CA1" w:rsidP="00E42CA1">
            <w:pPr>
              <w:jc w:val="both"/>
            </w:pPr>
            <w:r>
              <w:t>9.8. citas institūcijas vai organizācijas – informāciju, kas ļauj izvērtēt personas attieksmi pret izdarīto noziedzīgo nodarījumu, personas raksturojumu, piemēram, psihologa atzinums.</w:t>
            </w:r>
          </w:p>
          <w:p w:rsidR="00E42CA1" w:rsidRDefault="00E42CA1" w:rsidP="008C78FE">
            <w:pPr>
              <w:jc w:val="both"/>
            </w:pPr>
          </w:p>
          <w:p w:rsidR="00581898" w:rsidRDefault="00581898" w:rsidP="008C78FE">
            <w:pPr>
              <w:jc w:val="both"/>
            </w:pPr>
            <w:r>
              <w:t xml:space="preserve">Sk. anotācijas </w:t>
            </w:r>
            <w:proofErr w:type="spellStart"/>
            <w:r>
              <w:t>I.sadaļas</w:t>
            </w:r>
            <w:proofErr w:type="spellEnd"/>
            <w:r>
              <w:t xml:space="preserve"> 2.punktu.</w:t>
            </w:r>
          </w:p>
        </w:tc>
      </w:tr>
      <w:tr w:rsidR="00C61174" w:rsidRPr="009D01A5" w:rsidTr="008C78FE">
        <w:tc>
          <w:tcPr>
            <w:tcW w:w="708" w:type="dxa"/>
            <w:tcBorders>
              <w:top w:val="single" w:sz="6" w:space="0" w:color="000000"/>
              <w:left w:val="single" w:sz="6" w:space="0" w:color="000000"/>
              <w:bottom w:val="single" w:sz="6" w:space="0" w:color="000000"/>
              <w:right w:val="single" w:sz="6" w:space="0" w:color="000000"/>
            </w:tcBorders>
          </w:tcPr>
          <w:p w:rsidR="00C61174" w:rsidRDefault="00C61174" w:rsidP="00CC6544">
            <w:pPr>
              <w:pStyle w:val="naisc"/>
              <w:spacing w:before="0" w:after="0"/>
            </w:pPr>
            <w:r>
              <w:t>3</w:t>
            </w:r>
          </w:p>
        </w:tc>
        <w:tc>
          <w:tcPr>
            <w:tcW w:w="3261" w:type="dxa"/>
            <w:tcBorders>
              <w:top w:val="single" w:sz="6" w:space="0" w:color="000000"/>
              <w:left w:val="single" w:sz="6" w:space="0" w:color="000000"/>
              <w:bottom w:val="single" w:sz="6" w:space="0" w:color="000000"/>
              <w:right w:val="single" w:sz="6" w:space="0" w:color="000000"/>
            </w:tcBorders>
          </w:tcPr>
          <w:p w:rsidR="00C61174" w:rsidRDefault="00C61174"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E562E6" w:rsidRDefault="00E562E6" w:rsidP="00E562E6">
            <w:pPr>
              <w:pStyle w:val="naisc"/>
              <w:jc w:val="both"/>
              <w:rPr>
                <w:b/>
              </w:rPr>
            </w:pPr>
            <w:r>
              <w:rPr>
                <w:b/>
              </w:rPr>
              <w:t>Tieslietu ministrija:</w:t>
            </w:r>
          </w:p>
          <w:p w:rsidR="00C61174" w:rsidRPr="00E562E6" w:rsidRDefault="00E562E6" w:rsidP="008C78FE">
            <w:pPr>
              <w:pStyle w:val="naisc"/>
              <w:jc w:val="both"/>
              <w:rPr>
                <w:i/>
              </w:rPr>
            </w:pPr>
            <w:r>
              <w:rPr>
                <w:i/>
              </w:rPr>
              <w:t xml:space="preserve">1. (..) </w:t>
            </w:r>
            <w:r w:rsidRPr="00E562E6">
              <w:rPr>
                <w:i/>
              </w:rPr>
              <w:t>Lai izvērtētu personas pamattiesību ierobežojuma samērīgumu, jānoskaidro: 1) vai izraudzītie līdzekļi ir piemēroti leģitīmā mērķa sasniegšanai; 2) vai nepastāv personu pamattiesības mazāk ierobežojoši (saudzējošāki) līdzekļi; 3) vai labums, ko iegūs sabiedrība, ir lielāks par indivīda tiesībām un likumiskajām interesēm nodarīto zaudējumu (skatīt, piemēram, Satversmes tiesas 2011.gada 30.marta sprieduma lietā Nr.2010-60-01 23. punktu). Ņemot vērā, ka likumprojekta "Grozījumi Izglītības likumā" (Nr.121/Lp13) izstrādē nav veikts samērīguma izvērtējums, lūdzam to veikt šī Ministru kabineta noteikumu projekta ietvaros, izvērtējot, vai tiek apstrādāts samērīgs datu daudzums.</w:t>
            </w:r>
          </w:p>
        </w:tc>
        <w:tc>
          <w:tcPr>
            <w:tcW w:w="1843" w:type="dxa"/>
            <w:tcBorders>
              <w:top w:val="single" w:sz="6" w:space="0" w:color="000000"/>
              <w:left w:val="single" w:sz="6" w:space="0" w:color="000000"/>
              <w:bottom w:val="single" w:sz="6" w:space="0" w:color="000000"/>
              <w:right w:val="single" w:sz="6" w:space="0" w:color="000000"/>
            </w:tcBorders>
          </w:tcPr>
          <w:p w:rsidR="00C61174" w:rsidRDefault="00E562E6" w:rsidP="00581898">
            <w:pPr>
              <w:pStyle w:val="naisc"/>
              <w:spacing w:before="0" w:after="0"/>
            </w:pPr>
            <w:r>
              <w:t>Ņemts vērā.</w:t>
            </w:r>
          </w:p>
          <w:p w:rsidR="00E562E6" w:rsidRDefault="00E562E6" w:rsidP="00581898">
            <w:pPr>
              <w:pStyle w:val="naisc"/>
              <w:spacing w:before="0" w:after="0"/>
            </w:pPr>
            <w:r>
              <w:t xml:space="preserve">Precizēts noteikumu projekta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C61174" w:rsidRDefault="00E562E6" w:rsidP="008C78FE">
            <w:pPr>
              <w:jc w:val="both"/>
            </w:pPr>
            <w:r>
              <w:t xml:space="preserve">Sk. anotācijas </w:t>
            </w:r>
            <w:proofErr w:type="spellStart"/>
            <w:r>
              <w:t>I.sadaļas</w:t>
            </w:r>
            <w:proofErr w:type="spellEnd"/>
            <w:r>
              <w:t xml:space="preserve"> 2.punktu.</w:t>
            </w:r>
          </w:p>
        </w:tc>
      </w:tr>
      <w:tr w:rsidR="00C61174" w:rsidRPr="009D01A5" w:rsidTr="008C78FE">
        <w:tc>
          <w:tcPr>
            <w:tcW w:w="708" w:type="dxa"/>
            <w:tcBorders>
              <w:top w:val="single" w:sz="6" w:space="0" w:color="000000"/>
              <w:left w:val="single" w:sz="6" w:space="0" w:color="000000"/>
              <w:bottom w:val="single" w:sz="6" w:space="0" w:color="000000"/>
              <w:right w:val="single" w:sz="6" w:space="0" w:color="000000"/>
            </w:tcBorders>
          </w:tcPr>
          <w:p w:rsidR="00C61174" w:rsidRDefault="00C61174" w:rsidP="00CC6544">
            <w:pPr>
              <w:pStyle w:val="naisc"/>
              <w:spacing w:before="0" w:after="0"/>
            </w:pPr>
            <w:r>
              <w:t>4</w:t>
            </w:r>
          </w:p>
        </w:tc>
        <w:tc>
          <w:tcPr>
            <w:tcW w:w="3261" w:type="dxa"/>
            <w:tcBorders>
              <w:top w:val="single" w:sz="6" w:space="0" w:color="000000"/>
              <w:left w:val="single" w:sz="6" w:space="0" w:color="000000"/>
              <w:bottom w:val="single" w:sz="6" w:space="0" w:color="000000"/>
              <w:right w:val="single" w:sz="6" w:space="0" w:color="000000"/>
            </w:tcBorders>
          </w:tcPr>
          <w:p w:rsidR="00BB40B8" w:rsidRDefault="00BB40B8" w:rsidP="00BB40B8">
            <w:pPr>
              <w:pStyle w:val="naisc"/>
              <w:spacing w:before="0" w:after="0"/>
              <w:jc w:val="both"/>
            </w:pPr>
            <w:r>
              <w:t>Noteikumu projekta 9.2.apakšpunkts:</w:t>
            </w:r>
          </w:p>
          <w:p w:rsidR="00BB40B8" w:rsidRDefault="00BB40B8" w:rsidP="00BB40B8">
            <w:pPr>
              <w:pStyle w:val="naisc"/>
              <w:spacing w:before="0" w:after="0"/>
              <w:jc w:val="both"/>
            </w:pPr>
            <w:r>
              <w:t xml:space="preserve">9.2. </w:t>
            </w:r>
            <w:r w:rsidRPr="00BB40B8">
              <w:t>Ieslodzījuma vietu pārvaldes – informāciju par personas attieksmi pret izdarīto noziedzīgo nodarījumu, personas raksturojumu soda izpildes laikā un soda izpildes gaitu;</w:t>
            </w:r>
          </w:p>
        </w:tc>
        <w:tc>
          <w:tcPr>
            <w:tcW w:w="4253" w:type="dxa"/>
            <w:tcBorders>
              <w:top w:val="single" w:sz="6" w:space="0" w:color="000000"/>
              <w:left w:val="single" w:sz="6" w:space="0" w:color="000000"/>
              <w:bottom w:val="single" w:sz="6" w:space="0" w:color="000000"/>
              <w:right w:val="single" w:sz="6" w:space="0" w:color="000000"/>
            </w:tcBorders>
          </w:tcPr>
          <w:p w:rsidR="00BB40B8" w:rsidRDefault="00BB40B8" w:rsidP="00BB40B8">
            <w:pPr>
              <w:pStyle w:val="naisc"/>
              <w:jc w:val="both"/>
              <w:rPr>
                <w:b/>
              </w:rPr>
            </w:pPr>
            <w:r>
              <w:rPr>
                <w:b/>
              </w:rPr>
              <w:t>Tieslietu ministrija:</w:t>
            </w:r>
          </w:p>
          <w:p w:rsidR="00C61174" w:rsidRPr="00BB40B8" w:rsidRDefault="00BB40B8" w:rsidP="008C78FE">
            <w:pPr>
              <w:pStyle w:val="naisc"/>
              <w:jc w:val="both"/>
              <w:rPr>
                <w:i/>
              </w:rPr>
            </w:pPr>
            <w:r w:rsidRPr="00BB40B8">
              <w:rPr>
                <w:i/>
              </w:rPr>
              <w:t>2. Lūdzam papildināt projekta 9.2. apakšpunktu aiz vārda "gaitu" ar komatu un vārdiem "ja no personas atbrīvošanas no brīvības atņemšanas iestādes nav pagājuši pieci gadi". Minētais nosacījums ir nepieciešams, jo notiesātā personas lieta pēc notiesātā atbrīvošanas no brīvības atņemšanas iestādes tiek glabāta piecus gadus.</w:t>
            </w:r>
          </w:p>
        </w:tc>
        <w:tc>
          <w:tcPr>
            <w:tcW w:w="1843" w:type="dxa"/>
            <w:tcBorders>
              <w:top w:val="single" w:sz="6" w:space="0" w:color="000000"/>
              <w:left w:val="single" w:sz="6" w:space="0" w:color="000000"/>
              <w:bottom w:val="single" w:sz="6" w:space="0" w:color="000000"/>
              <w:right w:val="single" w:sz="6" w:space="0" w:color="000000"/>
            </w:tcBorders>
          </w:tcPr>
          <w:p w:rsidR="00C61174" w:rsidRPr="00BD4BEE" w:rsidRDefault="00BB40B8" w:rsidP="00581898">
            <w:pPr>
              <w:pStyle w:val="naisc"/>
              <w:spacing w:before="0" w:after="0"/>
            </w:pPr>
            <w:r w:rsidRPr="00BD4BEE">
              <w:t>Ņemts vērā.</w:t>
            </w:r>
          </w:p>
          <w:p w:rsidR="00BB40B8" w:rsidRPr="00BD4BEE" w:rsidRDefault="00BB40B8" w:rsidP="00581898">
            <w:pPr>
              <w:pStyle w:val="naisc"/>
              <w:spacing w:before="0" w:after="0"/>
            </w:pPr>
            <w:r w:rsidRPr="00BD4BEE">
              <w:t xml:space="preserve">Precizēts noteikumu projekts (sk. noteikumu projekta </w:t>
            </w:r>
            <w:r w:rsidR="00BD4BEE" w:rsidRPr="00BD4BEE">
              <w:t>13.2.</w:t>
            </w:r>
            <w:r w:rsidRPr="00BD4BEE">
              <w:t>apakšpunktu)</w:t>
            </w:r>
          </w:p>
        </w:tc>
        <w:tc>
          <w:tcPr>
            <w:tcW w:w="5670" w:type="dxa"/>
            <w:tcBorders>
              <w:top w:val="single" w:sz="4" w:space="0" w:color="auto"/>
              <w:left w:val="single" w:sz="4" w:space="0" w:color="auto"/>
              <w:bottom w:val="single" w:sz="4" w:space="0" w:color="auto"/>
            </w:tcBorders>
          </w:tcPr>
          <w:p w:rsidR="007D5752" w:rsidRPr="00BD4BEE" w:rsidRDefault="007D5752" w:rsidP="007D5752">
            <w:pPr>
              <w:pStyle w:val="naisc"/>
              <w:spacing w:before="0" w:after="0"/>
              <w:jc w:val="both"/>
            </w:pPr>
            <w:r w:rsidRPr="00BD4BEE">
              <w:t xml:space="preserve">Noteikumu projekta </w:t>
            </w:r>
            <w:r w:rsidR="00BD4BEE" w:rsidRPr="00BD4BEE">
              <w:t>13</w:t>
            </w:r>
            <w:r w:rsidRPr="00BD4BEE">
              <w:t>.2.apakšpunkts:</w:t>
            </w:r>
          </w:p>
          <w:p w:rsidR="00C61174" w:rsidRPr="00BD4BEE" w:rsidRDefault="00BD4BEE" w:rsidP="007D5752">
            <w:pPr>
              <w:jc w:val="both"/>
            </w:pPr>
            <w:r w:rsidRPr="00BD4BEE">
              <w:t>13</w:t>
            </w:r>
            <w:r w:rsidR="007D5752" w:rsidRPr="00BD4BEE">
              <w:t>.2. Ieslodzījuma vietu pārvaldes – informāciju par personas attieksmi pret izdarīto noziedzīgo nodarījumu, personas raksturojumu soda izpildes laikā un soda izpildes gaitu, ja no personas atbrīvošanas no brīvības atņemšanas iestādes nav pagājuši pieci gadi;</w:t>
            </w:r>
          </w:p>
        </w:tc>
      </w:tr>
      <w:tr w:rsidR="00C61174" w:rsidRPr="009D01A5" w:rsidTr="008C78FE">
        <w:tc>
          <w:tcPr>
            <w:tcW w:w="708" w:type="dxa"/>
            <w:tcBorders>
              <w:top w:val="single" w:sz="6" w:space="0" w:color="000000"/>
              <w:left w:val="single" w:sz="6" w:space="0" w:color="000000"/>
              <w:bottom w:val="single" w:sz="6" w:space="0" w:color="000000"/>
              <w:right w:val="single" w:sz="6" w:space="0" w:color="000000"/>
            </w:tcBorders>
          </w:tcPr>
          <w:p w:rsidR="00C61174" w:rsidRDefault="00C61174" w:rsidP="00CC6544">
            <w:pPr>
              <w:pStyle w:val="naisc"/>
              <w:spacing w:before="0" w:after="0"/>
            </w:pPr>
            <w:r>
              <w:t>5</w:t>
            </w:r>
          </w:p>
        </w:tc>
        <w:tc>
          <w:tcPr>
            <w:tcW w:w="3261" w:type="dxa"/>
            <w:tcBorders>
              <w:top w:val="single" w:sz="6" w:space="0" w:color="000000"/>
              <w:left w:val="single" w:sz="6" w:space="0" w:color="000000"/>
              <w:bottom w:val="single" w:sz="6" w:space="0" w:color="000000"/>
              <w:right w:val="single" w:sz="6" w:space="0" w:color="000000"/>
            </w:tcBorders>
          </w:tcPr>
          <w:p w:rsidR="00C61174" w:rsidRDefault="00C61174" w:rsidP="008C78FE">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rsidR="00C61174" w:rsidRDefault="00C61174" w:rsidP="008C78FE">
            <w:pPr>
              <w:pStyle w:val="naisc"/>
              <w:jc w:val="both"/>
              <w:rPr>
                <w:b/>
              </w:rPr>
            </w:pPr>
            <w:r>
              <w:rPr>
                <w:b/>
              </w:rPr>
              <w:t>Tieslietu ministrija</w:t>
            </w:r>
            <w:r w:rsidR="00FB7F99">
              <w:rPr>
                <w:b/>
              </w:rPr>
              <w:t>:</w:t>
            </w:r>
          </w:p>
          <w:p w:rsidR="00C61174" w:rsidRPr="00C61174" w:rsidRDefault="00C61174" w:rsidP="008C78FE">
            <w:pPr>
              <w:pStyle w:val="naisc"/>
              <w:jc w:val="both"/>
              <w:rPr>
                <w:b/>
                <w:i/>
              </w:rPr>
            </w:pPr>
            <w:r w:rsidRPr="00C61174">
              <w:rPr>
                <w:i/>
              </w:rPr>
              <w:t xml:space="preserve">3. 2019. gada 30. maijā pieņemts likumprojekts “Grozījumi Izglītības likumā” (Nr. 121/Lp13;  </w:t>
            </w:r>
            <w:hyperlink r:id="rId8" w:history="1">
              <w:r w:rsidRPr="00C61174">
                <w:rPr>
                  <w:rStyle w:val="Hyperlink"/>
                  <w:i/>
                </w:rPr>
                <w:t>http://titania.saeima.lv/LIVS13/saeimalivs13.nsf/webSasaiste?OpenView&amp;restricttocategory=121/Lp13</w:t>
              </w:r>
            </w:hyperlink>
            <w:r w:rsidRPr="00C61174">
              <w:rPr>
                <w:i/>
              </w:rPr>
              <w:t xml:space="preserve">), kas papildina deleģējumu, proti, </w:t>
            </w:r>
            <w:r w:rsidRPr="00C61174">
              <w:rPr>
                <w:i/>
                <w:color w:val="000000"/>
              </w:rPr>
              <w:t>“Ministru kabinets nosaka kārtību, kādā izglītības iestādes vadītājs pārliecinās, vai pastāv ierobežojumi personai strādāt par pedagogu”. Ievērojot minēto, lūdzam papildināt projektu ar šāda satura regulējumu vai anotācijā atspoguļot, kurā normatīvajā aktā tiks papildus ietverta jaunā deleģējuma izpilde.</w:t>
            </w:r>
          </w:p>
        </w:tc>
        <w:tc>
          <w:tcPr>
            <w:tcW w:w="1843" w:type="dxa"/>
            <w:tcBorders>
              <w:top w:val="single" w:sz="6" w:space="0" w:color="000000"/>
              <w:left w:val="single" w:sz="6" w:space="0" w:color="000000"/>
              <w:bottom w:val="single" w:sz="6" w:space="0" w:color="000000"/>
              <w:right w:val="single" w:sz="6" w:space="0" w:color="000000"/>
            </w:tcBorders>
          </w:tcPr>
          <w:p w:rsidR="00C61174" w:rsidRDefault="00C61174" w:rsidP="00581898">
            <w:pPr>
              <w:pStyle w:val="naisc"/>
              <w:spacing w:before="0" w:after="0"/>
            </w:pPr>
            <w:r>
              <w:t>Ņemts vērā.</w:t>
            </w:r>
          </w:p>
          <w:p w:rsidR="00C61174" w:rsidRDefault="00C61174" w:rsidP="00581898">
            <w:pPr>
              <w:pStyle w:val="naisc"/>
              <w:spacing w:before="0" w:after="0"/>
            </w:pPr>
            <w:r>
              <w:t>Precizēts noteikumu projekts</w:t>
            </w:r>
            <w:r w:rsidR="00BB40B8">
              <w:t xml:space="preserve"> un tā numerācija</w:t>
            </w:r>
            <w:r>
              <w:t xml:space="preserve"> (sk. noteikumu projekta 1.-5.punktu) un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533BA1" w:rsidRDefault="00533BA1" w:rsidP="00533BA1">
            <w:pPr>
              <w:jc w:val="both"/>
            </w:pPr>
            <w:r>
              <w:t>Noteikumu projekta 1. – 5.punkts:</w:t>
            </w:r>
          </w:p>
          <w:p w:rsidR="00533BA1" w:rsidRDefault="00533BA1" w:rsidP="00533BA1">
            <w:pPr>
              <w:jc w:val="both"/>
            </w:pPr>
            <w:r>
              <w:t>1. Noteikumi nosaka:</w:t>
            </w:r>
          </w:p>
          <w:p w:rsidR="00533BA1" w:rsidRDefault="00533BA1" w:rsidP="00533BA1">
            <w:pPr>
              <w:jc w:val="both"/>
            </w:pPr>
            <w:r>
              <w:t>1.1. kārtību, kādā izglītības iestādes vadītājs pārliecinās, vai pastāv ierobežojumi personai strādāt par pedagogu;</w:t>
            </w:r>
          </w:p>
          <w:p w:rsidR="00533BA1" w:rsidRDefault="00533BA1" w:rsidP="00533BA1">
            <w:pPr>
              <w:jc w:val="both"/>
            </w:pPr>
            <w:r>
              <w:t>1.2. kārtību, kādā tiek izvērtēts, vai atļauja personai, kas bijusi sodīta par tīšu noziedzīgu nodarījumu, ja sodāmība ir dzēsta vai noņemta, strādāt par pedagogu (turpmāk – atļauja), nekaitēs izglītojamo interesēm.</w:t>
            </w:r>
          </w:p>
          <w:p w:rsidR="00533BA1" w:rsidRDefault="00533BA1" w:rsidP="00533BA1">
            <w:pPr>
              <w:jc w:val="both"/>
            </w:pPr>
          </w:p>
          <w:p w:rsidR="00533BA1" w:rsidRDefault="00533BA1" w:rsidP="00533BA1">
            <w:pPr>
              <w:jc w:val="both"/>
            </w:pPr>
            <w:r>
              <w:t>2. Izglītības iestādes vadītājs pārliecinās, vai uz personu nav attiecināmi Izglītības likuma 50. panta pirmajā daļā noteiktie ierobežojumi strādāt par pedagogu:</w:t>
            </w:r>
          </w:p>
          <w:p w:rsidR="00533BA1" w:rsidRDefault="00533BA1" w:rsidP="00533BA1">
            <w:pPr>
              <w:jc w:val="both"/>
            </w:pPr>
            <w:r>
              <w:t>2.1. pirms darba tiesisko attiecību nodibināšanas, pieprasot izziņu no Iekšlietu ministrijas Informācijas centra (turpmāk – Sodu reģistrs) par personu, kurai Valsts izglītības informācijas sistēmā (turpmāk – VIIS) ir norāde, ka informācija par personu pieejama Sodu reģistrā (turpmāk – Sodu reģistra norāde);</w:t>
            </w:r>
          </w:p>
          <w:p w:rsidR="00533BA1" w:rsidRDefault="00533BA1" w:rsidP="00533BA1">
            <w:pPr>
              <w:jc w:val="both"/>
            </w:pPr>
            <w:r>
              <w:t>2.2. ne retāk kā reizi gadā, aktualizējot informāciju par izglītības iestādē nodarbināto pedagogu sodāmību VIIS un pieprasot izziņu no Sodu reģistra par personu, kurai VIIS ir Sodu reģistra norāde.</w:t>
            </w:r>
          </w:p>
          <w:p w:rsidR="00533BA1" w:rsidRDefault="00533BA1" w:rsidP="00533BA1">
            <w:pPr>
              <w:jc w:val="both"/>
            </w:pPr>
            <w:r>
              <w:t>3. Izglītības iestādes vadītājs tūlīt pēc Sodu reģistra izziņas saņemšanas, izdara par to ierakstu VIIS.</w:t>
            </w:r>
          </w:p>
          <w:p w:rsidR="00533BA1" w:rsidRDefault="00533BA1" w:rsidP="00533BA1">
            <w:pPr>
              <w:jc w:val="both"/>
            </w:pPr>
          </w:p>
          <w:p w:rsidR="00533BA1" w:rsidRDefault="00533BA1" w:rsidP="00533BA1">
            <w:pPr>
              <w:jc w:val="both"/>
            </w:pPr>
            <w:r>
              <w:t>4. Izglītības iestādes vadītājs nekavējoties atstādina pedagogu no pienākumu pildīšanas līdz atļaujas saņemšanai gadījumā, ja no Sodu reģistra saņemta informācija, ka uz pedagogu attiecas Izglītības likuma 50. panta pirmajā daļā noteiktie ierobežojumi.</w:t>
            </w:r>
          </w:p>
          <w:p w:rsidR="00C61174" w:rsidRDefault="00533BA1" w:rsidP="00533BA1">
            <w:pPr>
              <w:jc w:val="both"/>
            </w:pPr>
            <w:r>
              <w:t>5. Lai nodrošinātu, ka par pedagogu strādā personas ar atļauju un personas, uz kurām neattiecas Izglītības likuma 50. panta pirmajā daļā noteiktie ierobežojumi, Izglītības kvalitātes valsts dienestam (turpmāk – dienests) ir tiesības veikt pedagogu sodāmības pārbaudi Sodu reģistrā, izdarot ierakstu VIIS par saņemto Sodu reģistra izziņu.</w:t>
            </w:r>
          </w:p>
        </w:tc>
      </w:tr>
      <w:tr w:rsidR="00806BB4" w:rsidRPr="009D01A5" w:rsidTr="008C78FE">
        <w:tc>
          <w:tcPr>
            <w:tcW w:w="708" w:type="dxa"/>
            <w:tcBorders>
              <w:top w:val="single" w:sz="6" w:space="0" w:color="000000"/>
              <w:left w:val="single" w:sz="6" w:space="0" w:color="000000"/>
              <w:bottom w:val="single" w:sz="6" w:space="0" w:color="000000"/>
              <w:right w:val="single" w:sz="6" w:space="0" w:color="000000"/>
            </w:tcBorders>
          </w:tcPr>
          <w:p w:rsidR="00806BB4" w:rsidRDefault="00806BB4" w:rsidP="00CC6544">
            <w:pPr>
              <w:pStyle w:val="naisc"/>
              <w:spacing w:before="0" w:after="0"/>
            </w:pPr>
            <w:r>
              <w:t>6</w:t>
            </w:r>
          </w:p>
        </w:tc>
        <w:tc>
          <w:tcPr>
            <w:tcW w:w="3261" w:type="dxa"/>
            <w:tcBorders>
              <w:top w:val="single" w:sz="6" w:space="0" w:color="000000"/>
              <w:left w:val="single" w:sz="6" w:space="0" w:color="000000"/>
              <w:bottom w:val="single" w:sz="6" w:space="0" w:color="000000"/>
              <w:right w:val="single" w:sz="6" w:space="0" w:color="000000"/>
            </w:tcBorders>
          </w:tcPr>
          <w:p w:rsidR="00806BB4" w:rsidRDefault="00806BB4" w:rsidP="00806BB4">
            <w:pPr>
              <w:pStyle w:val="naisc"/>
              <w:jc w:val="both"/>
            </w:pPr>
            <w:r>
              <w:t>Noteikumu projekta 9.1.apakšpunkts:</w:t>
            </w:r>
          </w:p>
          <w:p w:rsidR="00806BB4" w:rsidRDefault="00806BB4" w:rsidP="00806BB4">
            <w:pPr>
              <w:pStyle w:val="naisc"/>
              <w:jc w:val="both"/>
            </w:pPr>
            <w:r>
              <w:t>9. Komisija var pieprasīt izvērtēšanai nepieciešamo informāciju no:</w:t>
            </w:r>
          </w:p>
          <w:p w:rsidR="00806BB4" w:rsidRDefault="00806BB4" w:rsidP="00806BB4">
            <w:pPr>
              <w:pStyle w:val="naisc"/>
              <w:spacing w:before="0" w:after="0"/>
              <w:jc w:val="both"/>
            </w:pPr>
            <w:r>
              <w:t>9.1. Iekšlietu ministrijas Informācijas centra – ziņas no Sodu reģistra par personas sodāmību, tiesas nolēmumus vai prokurora priekšrakstus par sodu;</w:t>
            </w:r>
          </w:p>
        </w:tc>
        <w:tc>
          <w:tcPr>
            <w:tcW w:w="4253" w:type="dxa"/>
            <w:tcBorders>
              <w:top w:val="single" w:sz="6" w:space="0" w:color="000000"/>
              <w:left w:val="single" w:sz="6" w:space="0" w:color="000000"/>
              <w:bottom w:val="single" w:sz="6" w:space="0" w:color="000000"/>
              <w:right w:val="single" w:sz="6" w:space="0" w:color="000000"/>
            </w:tcBorders>
          </w:tcPr>
          <w:p w:rsidR="00806BB4" w:rsidRDefault="00806BB4" w:rsidP="00806BB4">
            <w:pPr>
              <w:pStyle w:val="naisc"/>
              <w:jc w:val="both"/>
              <w:rPr>
                <w:b/>
              </w:rPr>
            </w:pPr>
            <w:r>
              <w:rPr>
                <w:b/>
              </w:rPr>
              <w:t>Iekšlietu ministrija:</w:t>
            </w:r>
          </w:p>
          <w:p w:rsidR="00806BB4" w:rsidRPr="00806BB4" w:rsidRDefault="00806BB4" w:rsidP="00806BB4">
            <w:pPr>
              <w:pStyle w:val="naisc"/>
              <w:jc w:val="both"/>
              <w:rPr>
                <w:i/>
              </w:rPr>
            </w:pPr>
            <w:r w:rsidRPr="00806BB4">
              <w:rPr>
                <w:i/>
              </w:rPr>
              <w:t>1.</w:t>
            </w:r>
            <w:r w:rsidRPr="00806BB4">
              <w:rPr>
                <w:i/>
              </w:rPr>
              <w:tab/>
              <w:t>Svītrot projekta 9.1. apakšpunktā vārdus “tiesas nolēmumi vai prokurora priekšraksti par sodu”, ņemot vērā to, ka saskaņā ar Sodu reģistra likumu šādi lēmumi Sodu reģistrā netiek uzkrāti. Atbilstoši precizēt arī projekta sākotnējās ietekmes novērtējuma ziņojuma (anotācijas) I sadaļas 2. punktu.</w:t>
            </w:r>
          </w:p>
          <w:p w:rsidR="00806BB4" w:rsidRDefault="00806BB4" w:rsidP="00806BB4">
            <w:pPr>
              <w:pStyle w:val="naisc"/>
              <w:jc w:val="both"/>
              <w:rPr>
                <w:b/>
              </w:rPr>
            </w:pPr>
            <w:r w:rsidRPr="00806BB4">
              <w:rPr>
                <w:i/>
              </w:rPr>
              <w:t>2.</w:t>
            </w:r>
            <w:r w:rsidRPr="00806BB4">
              <w:rPr>
                <w:i/>
              </w:rPr>
              <w:tab/>
              <w:t>Papildināt projekta sākotnējās ietekmes novērtējuma ziņojuma (anotācijas) I sadaļas 2. punktu ar informāciju, ka ziņas no Iekšlietu ministrijas Informācijas centra tiks saņemtas tikai tādā apjomā, kādā tas tiks noteikts Izglītības likuma 50. panta 1. punktā un Bērnu tiesību aizsardzības likuma 72. panta piektajā daļā.</w:t>
            </w:r>
          </w:p>
        </w:tc>
        <w:tc>
          <w:tcPr>
            <w:tcW w:w="1843" w:type="dxa"/>
            <w:tcBorders>
              <w:top w:val="single" w:sz="6" w:space="0" w:color="000000"/>
              <w:left w:val="single" w:sz="6" w:space="0" w:color="000000"/>
              <w:bottom w:val="single" w:sz="6" w:space="0" w:color="000000"/>
              <w:right w:val="single" w:sz="6" w:space="0" w:color="000000"/>
            </w:tcBorders>
          </w:tcPr>
          <w:p w:rsidR="00806BB4" w:rsidRDefault="00806BB4" w:rsidP="00581898">
            <w:pPr>
              <w:pStyle w:val="naisc"/>
              <w:spacing w:before="0" w:after="0"/>
            </w:pPr>
            <w:r>
              <w:t>Ņemts vērā.</w:t>
            </w:r>
          </w:p>
          <w:p w:rsidR="00806BB4" w:rsidRDefault="00806BB4" w:rsidP="00581898">
            <w:pPr>
              <w:pStyle w:val="naisc"/>
              <w:spacing w:before="0" w:after="0"/>
            </w:pPr>
            <w:r>
              <w:t xml:space="preserve">Precizēts noteikumu projekts (sk. noteikumu projekta 13.1.apakšpunktu) un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806BB4" w:rsidRDefault="00806BB4" w:rsidP="00533BA1">
            <w:pPr>
              <w:jc w:val="both"/>
            </w:pPr>
            <w:r>
              <w:t>Noteikumu projekta 13.1.apakšpunkts:</w:t>
            </w:r>
          </w:p>
          <w:p w:rsidR="00806BB4" w:rsidRDefault="00806BB4" w:rsidP="00806BB4">
            <w:pPr>
              <w:jc w:val="both"/>
            </w:pPr>
            <w:r>
              <w:t>13. Komisija var pieprasīt izvērtēšanai nepieciešamo informāciju no:</w:t>
            </w:r>
          </w:p>
          <w:p w:rsidR="00806BB4" w:rsidRDefault="00806BB4" w:rsidP="00806BB4">
            <w:pPr>
              <w:jc w:val="both"/>
            </w:pPr>
            <w:r>
              <w:t>13.1. Iekšlietu ministrijas Informācijas centra – ziņas no Sodu reģistra par personas sodāmību;</w:t>
            </w:r>
          </w:p>
          <w:p w:rsidR="00806BB4" w:rsidRDefault="00806BB4" w:rsidP="00806BB4">
            <w:pPr>
              <w:jc w:val="both"/>
            </w:pPr>
          </w:p>
          <w:p w:rsidR="00806BB4" w:rsidRDefault="00806BB4" w:rsidP="00806BB4">
            <w:pPr>
              <w:jc w:val="both"/>
            </w:pPr>
            <w:r>
              <w:t xml:space="preserve">Sk. anotācijas </w:t>
            </w:r>
            <w:proofErr w:type="spellStart"/>
            <w:r>
              <w:t>I.sadaļas</w:t>
            </w:r>
            <w:proofErr w:type="spellEnd"/>
            <w:r>
              <w:t xml:space="preserve"> 2.punktu.</w:t>
            </w:r>
          </w:p>
        </w:tc>
      </w:tr>
      <w:tr w:rsidR="00234F88" w:rsidRPr="009D01A5" w:rsidTr="008C78FE">
        <w:tc>
          <w:tcPr>
            <w:tcW w:w="708" w:type="dxa"/>
            <w:tcBorders>
              <w:top w:val="single" w:sz="6" w:space="0" w:color="000000"/>
              <w:left w:val="single" w:sz="6" w:space="0" w:color="000000"/>
              <w:bottom w:val="single" w:sz="6" w:space="0" w:color="000000"/>
              <w:right w:val="single" w:sz="6" w:space="0" w:color="000000"/>
            </w:tcBorders>
          </w:tcPr>
          <w:p w:rsidR="00234F88" w:rsidRDefault="00234F88" w:rsidP="00CC6544">
            <w:pPr>
              <w:pStyle w:val="naisc"/>
              <w:spacing w:before="0" w:after="0"/>
            </w:pPr>
            <w:r>
              <w:t>7</w:t>
            </w:r>
          </w:p>
        </w:tc>
        <w:tc>
          <w:tcPr>
            <w:tcW w:w="3261" w:type="dxa"/>
            <w:tcBorders>
              <w:top w:val="single" w:sz="6" w:space="0" w:color="000000"/>
              <w:left w:val="single" w:sz="6" w:space="0" w:color="000000"/>
              <w:bottom w:val="single" w:sz="6" w:space="0" w:color="000000"/>
              <w:right w:val="single" w:sz="6" w:space="0" w:color="000000"/>
            </w:tcBorders>
          </w:tcPr>
          <w:p w:rsidR="00234F88" w:rsidRDefault="00234F88" w:rsidP="000A6B67">
            <w:pPr>
              <w:pStyle w:val="naisc"/>
              <w:jc w:val="both"/>
            </w:pPr>
          </w:p>
        </w:tc>
        <w:tc>
          <w:tcPr>
            <w:tcW w:w="4253" w:type="dxa"/>
            <w:tcBorders>
              <w:top w:val="single" w:sz="6" w:space="0" w:color="000000"/>
              <w:left w:val="single" w:sz="6" w:space="0" w:color="000000"/>
              <w:bottom w:val="single" w:sz="6" w:space="0" w:color="000000"/>
              <w:right w:val="single" w:sz="6" w:space="0" w:color="000000"/>
            </w:tcBorders>
          </w:tcPr>
          <w:p w:rsidR="00234F88" w:rsidRDefault="00234F88" w:rsidP="00806BB4">
            <w:pPr>
              <w:pStyle w:val="naisc"/>
              <w:jc w:val="both"/>
              <w:rPr>
                <w:b/>
              </w:rPr>
            </w:pPr>
            <w:r>
              <w:rPr>
                <w:b/>
              </w:rPr>
              <w:t>Tieslietu ministrija:</w:t>
            </w:r>
          </w:p>
          <w:p w:rsidR="00354E0B" w:rsidRDefault="00354E0B" w:rsidP="00354E0B">
            <w:pPr>
              <w:pStyle w:val="naisc"/>
              <w:jc w:val="both"/>
            </w:pPr>
            <w:r>
              <w:t>Noteikumu projekta 2.punktā norādīts, ka izglītības iestādes vadītājs pieprasa izziņu no Iekšlietu ministrijas Informācijas centra (turpmāk – Sodu reģistrs). Pārvalde norāda, ka Pārvaldē darba tiesiskās attiecības dibina Pārvaldes priekšnieks, arī izziņu no Sodu reģistra pieprasa Pārvalde. Līdz ar to noteikumu projekta 2.punktu ir nepieciešams attiecīgi precizēt.</w:t>
            </w:r>
          </w:p>
          <w:p w:rsidR="00354E0B" w:rsidRDefault="00354E0B" w:rsidP="00354E0B">
            <w:pPr>
              <w:pStyle w:val="naisc"/>
              <w:jc w:val="both"/>
            </w:pPr>
            <w:r>
              <w:t>Ņemot vērā iepriekš minēto, jāprecizē arī noteikumu projekta 3.punkts, jo izglītības iestādes vadītājs varēs izdarīt attiecīgo ierakstu Valsts izglītības informācijas sistēmā (turpmāk – sistēma) pēc informācijas saņemšanas no Pārvaldes par Sodu reģistra izziņā norādīto (ja sistēmā tiks izveidots lauks attiecīgo datu ievadīšanai un attiecīgo informāciju šajā laukā varēs ievadīt izglītības iestādes vadītājs).</w:t>
            </w:r>
          </w:p>
          <w:p w:rsidR="00354E0B" w:rsidRDefault="00354E0B" w:rsidP="00354E0B">
            <w:pPr>
              <w:pStyle w:val="naisc"/>
              <w:jc w:val="both"/>
            </w:pPr>
            <w:r>
              <w:t>Noteikumu projekta 4.punktu nepieciešams precizēt, jo Pārvaldē darba tiesiskās attiecības dibina Pārvaldes priekšnieks, līdz ar to atstādināt pedagogu no pienākumu pildināšanas nav izglītības iestādes vadītāja kompetencē, to var izdarīt tikai Pārvaldes priekšnieks.</w:t>
            </w:r>
          </w:p>
          <w:p w:rsidR="00354E0B" w:rsidRDefault="00354E0B" w:rsidP="00354E0B">
            <w:pPr>
              <w:pStyle w:val="naisc"/>
              <w:jc w:val="both"/>
            </w:pPr>
            <w:r>
              <w:t>Tāpat noteikumu projekta 4.punktu nepieciešams papildināt, norādot, ka izglītības iestādes vadītājs, saņemot informāciju, ka uz pedagogu attiecas Izglītības likuma 50.panta pirmajā daļā noteiktie ierobežojumi, informē par to komisiju, kas rīkojas atbilstoši 20.–23.punktam.</w:t>
            </w:r>
          </w:p>
          <w:p w:rsidR="00234F88" w:rsidRDefault="00354E0B" w:rsidP="00354E0B">
            <w:pPr>
              <w:pStyle w:val="naisc"/>
              <w:jc w:val="both"/>
            </w:pPr>
            <w:r>
              <w:t>Noteikumu projekta 5.punktu nepieciešams papildināt, norādot, kādos gadījumos Izglītības kvalitātes valsts dienestam ir tiesības veikt pedagogu sodāmības pārbaudi Soda reģistrā un cik bieži.</w:t>
            </w:r>
          </w:p>
          <w:p w:rsidR="00234F88" w:rsidRPr="00234F88" w:rsidRDefault="00234F88" w:rsidP="00806BB4">
            <w:pPr>
              <w:pStyle w:val="naisc"/>
              <w:jc w:val="both"/>
            </w:pPr>
          </w:p>
        </w:tc>
        <w:tc>
          <w:tcPr>
            <w:tcW w:w="1843" w:type="dxa"/>
            <w:tcBorders>
              <w:top w:val="single" w:sz="6" w:space="0" w:color="000000"/>
              <w:left w:val="single" w:sz="6" w:space="0" w:color="000000"/>
              <w:bottom w:val="single" w:sz="6" w:space="0" w:color="000000"/>
              <w:right w:val="single" w:sz="6" w:space="0" w:color="000000"/>
            </w:tcBorders>
          </w:tcPr>
          <w:p w:rsidR="00234F88" w:rsidRDefault="00354E0B" w:rsidP="00581898">
            <w:pPr>
              <w:pStyle w:val="naisc"/>
              <w:spacing w:before="0" w:after="0"/>
            </w:pPr>
            <w:r>
              <w:t>Ņemts vērā.</w:t>
            </w:r>
          </w:p>
          <w:p w:rsidR="00354E0B" w:rsidRDefault="00354E0B" w:rsidP="00581898">
            <w:pPr>
              <w:pStyle w:val="naisc"/>
              <w:spacing w:before="0" w:after="0"/>
            </w:pPr>
            <w:r>
              <w:t xml:space="preserve">Precizēts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234F88" w:rsidRDefault="000A6B67" w:rsidP="00234F88">
            <w:pPr>
              <w:jc w:val="both"/>
            </w:pPr>
            <w:proofErr w:type="spellStart"/>
            <w:r>
              <w:t>Sk.anotācijas</w:t>
            </w:r>
            <w:proofErr w:type="spellEnd"/>
            <w:r>
              <w:t xml:space="preserve"> </w:t>
            </w:r>
            <w:proofErr w:type="spellStart"/>
            <w:r>
              <w:t>I.sadaļas</w:t>
            </w:r>
            <w:proofErr w:type="spellEnd"/>
            <w:r>
              <w:t xml:space="preserve"> 2.punktu.</w:t>
            </w:r>
          </w:p>
        </w:tc>
      </w:tr>
      <w:tr w:rsidR="000A6B67" w:rsidRPr="009D01A5" w:rsidTr="008C78FE">
        <w:tc>
          <w:tcPr>
            <w:tcW w:w="708" w:type="dxa"/>
            <w:tcBorders>
              <w:top w:val="single" w:sz="6" w:space="0" w:color="000000"/>
              <w:left w:val="single" w:sz="6" w:space="0" w:color="000000"/>
              <w:bottom w:val="single" w:sz="6" w:space="0" w:color="000000"/>
              <w:right w:val="single" w:sz="6" w:space="0" w:color="000000"/>
            </w:tcBorders>
          </w:tcPr>
          <w:p w:rsidR="000A6B67" w:rsidRDefault="000A6B67" w:rsidP="00CC6544">
            <w:pPr>
              <w:pStyle w:val="naisc"/>
              <w:spacing w:before="0" w:after="0"/>
            </w:pPr>
            <w:r>
              <w:t>8</w:t>
            </w:r>
          </w:p>
        </w:tc>
        <w:tc>
          <w:tcPr>
            <w:tcW w:w="3261" w:type="dxa"/>
            <w:tcBorders>
              <w:top w:val="single" w:sz="6" w:space="0" w:color="000000"/>
              <w:left w:val="single" w:sz="6" w:space="0" w:color="000000"/>
              <w:bottom w:val="single" w:sz="6" w:space="0" w:color="000000"/>
              <w:right w:val="single" w:sz="6" w:space="0" w:color="000000"/>
            </w:tcBorders>
          </w:tcPr>
          <w:p w:rsidR="000A6B67" w:rsidRDefault="000A6B67" w:rsidP="000A6B67">
            <w:pPr>
              <w:pStyle w:val="naisc"/>
              <w:jc w:val="both"/>
            </w:pPr>
            <w:r>
              <w:t xml:space="preserve">Noteikumu projekta </w:t>
            </w:r>
          </w:p>
          <w:p w:rsidR="000A6B67" w:rsidRDefault="000A6B67" w:rsidP="000A6B67">
            <w:pPr>
              <w:pStyle w:val="naisc"/>
              <w:jc w:val="both"/>
            </w:pPr>
            <w:r>
              <w:t>13.8.apakšpunkts:</w:t>
            </w:r>
          </w:p>
          <w:p w:rsidR="000A6B67" w:rsidRDefault="000A6B67" w:rsidP="000A6B67">
            <w:pPr>
              <w:pStyle w:val="naisc"/>
              <w:jc w:val="both"/>
            </w:pPr>
            <w:r w:rsidRPr="00234F88">
              <w:t>13.8. tiesām un prokuratūras – informāciju par personas sodāmību, tiesas nolēmumu vai prokurora priekšrakstu kopijas;</w:t>
            </w:r>
          </w:p>
        </w:tc>
        <w:tc>
          <w:tcPr>
            <w:tcW w:w="4253" w:type="dxa"/>
            <w:tcBorders>
              <w:top w:val="single" w:sz="6" w:space="0" w:color="000000"/>
              <w:left w:val="single" w:sz="6" w:space="0" w:color="000000"/>
              <w:bottom w:val="single" w:sz="6" w:space="0" w:color="000000"/>
              <w:right w:val="single" w:sz="6" w:space="0" w:color="000000"/>
            </w:tcBorders>
          </w:tcPr>
          <w:p w:rsidR="000A6B67" w:rsidRDefault="000A6B67" w:rsidP="00806BB4">
            <w:pPr>
              <w:pStyle w:val="naisc"/>
              <w:jc w:val="both"/>
              <w:rPr>
                <w:b/>
              </w:rPr>
            </w:pPr>
            <w:r>
              <w:rPr>
                <w:b/>
              </w:rPr>
              <w:t>Tieslietu ministrija:</w:t>
            </w:r>
          </w:p>
          <w:p w:rsidR="000A6B67" w:rsidRPr="000A6B67" w:rsidRDefault="000A6B67" w:rsidP="000A6B67">
            <w:pPr>
              <w:pStyle w:val="naisc"/>
              <w:jc w:val="both"/>
            </w:pPr>
            <w:r w:rsidRPr="000A6B67">
              <w:t>Tiesu sistēmas politikas departaments nepiekrīt normai, kas noteic komisijas tiesības pieprasīt izvērtēšanai nepieciešamo informāciju no tiesas un prokuratūras. Vēršam uzmanību, ka Sodu reģistra likuma mērķis ir izveidot vienotu uzskaiti par noziedzīgus nodarījumus un administratīvos pārkāpumus izdarījušām personām, lai veicinātu šo nodarījumu un pārkāpumu novēršanu un atklāšanu, kā arī par tiem personai noteiktā soda izpildes un tiesību ierobežojumu kontroli. Turklāt likums skaidri noteic to ziņu apjomu, kas tiek uzkrāts par personu. Saskaņā ar minētā likuma 14.panta pirmās daļas 2. un 3.punktu, ziņas Iekšlietu ministrijas Informācijas centram sniedz prokuratūras struktūrvienība un tiesa. Turklāt, minētā likuma panta otrā daļa noteic, ka minētās iestādes ir atbildīgas par ziņu savlaicīgu sniegšanu reģistram un šo ziņu atbilstību apliecinošiem dokumentiem, ja tādi ir.</w:t>
            </w:r>
          </w:p>
          <w:p w:rsidR="000A6B67" w:rsidRDefault="000A6B67" w:rsidP="000A6B67">
            <w:pPr>
              <w:pStyle w:val="naisc"/>
              <w:jc w:val="both"/>
              <w:rPr>
                <w:b/>
              </w:rPr>
            </w:pPr>
            <w:r w:rsidRPr="000A6B67">
              <w:t>Beidzoties lietas glabāšanas termiņam tiesā, lieta ar gala nolēmumu tiek nosūtīta Latvijas Nacionālā arhīva struktūrvienībai.  Tomēr minētajam nav nozīmes attiecībā uz informācijas par sodāmību iegūšanu, jo tā jebkurā gadījumā centralizēti tiek uzkrāta Sodu reģistrā.</w:t>
            </w:r>
          </w:p>
        </w:tc>
        <w:tc>
          <w:tcPr>
            <w:tcW w:w="1843" w:type="dxa"/>
            <w:tcBorders>
              <w:top w:val="single" w:sz="6" w:space="0" w:color="000000"/>
              <w:left w:val="single" w:sz="6" w:space="0" w:color="000000"/>
              <w:bottom w:val="single" w:sz="6" w:space="0" w:color="000000"/>
              <w:right w:val="single" w:sz="6" w:space="0" w:color="000000"/>
            </w:tcBorders>
          </w:tcPr>
          <w:p w:rsidR="000A6B67" w:rsidRDefault="000A6B67" w:rsidP="00581898">
            <w:pPr>
              <w:pStyle w:val="naisc"/>
              <w:spacing w:before="0" w:after="0"/>
            </w:pPr>
            <w:r>
              <w:t>Ņemts vērā.</w:t>
            </w:r>
          </w:p>
          <w:p w:rsidR="000A6B67" w:rsidRDefault="000A6B67" w:rsidP="000A6B67">
            <w:pPr>
              <w:pStyle w:val="naisc"/>
              <w:spacing w:before="0" w:after="0"/>
            </w:pPr>
            <w:r>
              <w:t xml:space="preserve">Precizēts noteikumu projekta 13.8.apakšpunkts un anotācijas </w:t>
            </w:r>
            <w:proofErr w:type="spellStart"/>
            <w:r>
              <w:t>I.sadaļas</w:t>
            </w:r>
            <w:proofErr w:type="spellEnd"/>
            <w:r>
              <w:t xml:space="preserve"> 2.punkts</w:t>
            </w:r>
          </w:p>
        </w:tc>
        <w:tc>
          <w:tcPr>
            <w:tcW w:w="5670" w:type="dxa"/>
            <w:tcBorders>
              <w:top w:val="single" w:sz="4" w:space="0" w:color="auto"/>
              <w:left w:val="single" w:sz="4" w:space="0" w:color="auto"/>
              <w:bottom w:val="single" w:sz="4" w:space="0" w:color="auto"/>
            </w:tcBorders>
          </w:tcPr>
          <w:p w:rsidR="000A6B67" w:rsidRDefault="000A6B67" w:rsidP="000A6B67">
            <w:pPr>
              <w:pStyle w:val="naisc"/>
              <w:jc w:val="both"/>
            </w:pPr>
            <w:r>
              <w:t>Noteikumu projekta 13.8.apakšpunkts:</w:t>
            </w:r>
          </w:p>
          <w:p w:rsidR="000A6B67" w:rsidRDefault="000A6B67" w:rsidP="000A6B67">
            <w:pPr>
              <w:pStyle w:val="naisc"/>
              <w:jc w:val="both"/>
            </w:pPr>
            <w:r w:rsidRPr="00234F88">
              <w:t>13.8. tiesas nolēmumu vai prokurora priekšrakstu kopijas (ja nepieciešams) un lieta nav nodota Latvijas Nacionālajā arhīvā vai tā struktūrvienībā;</w:t>
            </w:r>
          </w:p>
          <w:p w:rsidR="000A6B67" w:rsidRDefault="000A6B67" w:rsidP="000A6B67">
            <w:pPr>
              <w:pStyle w:val="naisc"/>
              <w:jc w:val="both"/>
            </w:pPr>
          </w:p>
          <w:p w:rsidR="000A6B67" w:rsidRDefault="000A6B67" w:rsidP="000A6B67">
            <w:pPr>
              <w:pStyle w:val="naisc"/>
              <w:jc w:val="both"/>
            </w:pPr>
            <w:proofErr w:type="spellStart"/>
            <w:r>
              <w:t>Sk.anotācijas</w:t>
            </w:r>
            <w:proofErr w:type="spellEnd"/>
            <w:r>
              <w:t xml:space="preserve"> </w:t>
            </w:r>
            <w:proofErr w:type="spellStart"/>
            <w:r>
              <w:t>I.sadaļas</w:t>
            </w:r>
            <w:proofErr w:type="spellEnd"/>
            <w:r>
              <w:t xml:space="preserve"> 2.punktu.</w:t>
            </w:r>
          </w:p>
        </w:tc>
      </w:tr>
    </w:tbl>
    <w:p w:rsidR="00B65423" w:rsidRDefault="00B65423" w:rsidP="00167719">
      <w:pPr>
        <w:rPr>
          <w:sz w:val="22"/>
          <w:szCs w:val="22"/>
        </w:rPr>
      </w:pPr>
    </w:p>
    <w:p w:rsidR="00F07261" w:rsidRDefault="00F07261" w:rsidP="00167719">
      <w:pPr>
        <w:rPr>
          <w:sz w:val="22"/>
          <w:szCs w:val="22"/>
        </w:rPr>
      </w:pPr>
      <w:bookmarkStart w:id="0" w:name="_GoBack"/>
      <w:bookmarkEnd w:id="0"/>
    </w:p>
    <w:p w:rsidR="00E562E6" w:rsidRDefault="00E562E6" w:rsidP="00167719">
      <w:pPr>
        <w:rPr>
          <w:sz w:val="22"/>
          <w:szCs w:val="22"/>
        </w:rPr>
      </w:pPr>
    </w:p>
    <w:p w:rsidR="00167719" w:rsidRPr="009D01A5" w:rsidRDefault="00167719" w:rsidP="00167719">
      <w:pPr>
        <w:rPr>
          <w:sz w:val="22"/>
          <w:szCs w:val="22"/>
        </w:rPr>
      </w:pPr>
      <w:r w:rsidRPr="009D01A5">
        <w:rPr>
          <w:sz w:val="22"/>
          <w:szCs w:val="22"/>
        </w:rPr>
        <w:t>Atbildīgā amatpersona       _______________________________________</w:t>
      </w:r>
    </w:p>
    <w:p w:rsidR="00167719" w:rsidRPr="009D01A5" w:rsidRDefault="00167719" w:rsidP="00167719">
      <w:pPr>
        <w:ind w:left="3600" w:firstLine="720"/>
        <w:rPr>
          <w:sz w:val="22"/>
          <w:szCs w:val="22"/>
        </w:rPr>
      </w:pPr>
      <w:r w:rsidRPr="009D01A5">
        <w:rPr>
          <w:sz w:val="22"/>
          <w:szCs w:val="22"/>
        </w:rPr>
        <w:t>(paraksts)</w:t>
      </w:r>
    </w:p>
    <w:p w:rsidR="00167719" w:rsidRPr="009D01A5" w:rsidRDefault="00167719" w:rsidP="00167719">
      <w:pPr>
        <w:rPr>
          <w:sz w:val="22"/>
          <w:szCs w:val="22"/>
        </w:rPr>
      </w:pPr>
    </w:p>
    <w:p w:rsidR="00167719" w:rsidRPr="009D01A5" w:rsidRDefault="00167719" w:rsidP="00167719">
      <w:pPr>
        <w:pStyle w:val="naisf"/>
        <w:spacing w:before="0" w:after="0"/>
        <w:ind w:firstLine="0"/>
        <w:rPr>
          <w:sz w:val="22"/>
          <w:szCs w:val="22"/>
        </w:rPr>
      </w:pPr>
      <w:r w:rsidRPr="009D01A5">
        <w:rPr>
          <w:sz w:val="22"/>
          <w:szCs w:val="22"/>
        </w:rPr>
        <w:tab/>
      </w:r>
      <w:r w:rsidRPr="009D01A5">
        <w:rPr>
          <w:sz w:val="22"/>
          <w:szCs w:val="22"/>
        </w:rPr>
        <w:tab/>
      </w:r>
      <w:r w:rsidRPr="009D01A5">
        <w:rPr>
          <w:sz w:val="22"/>
          <w:szCs w:val="22"/>
        </w:rPr>
        <w:tab/>
      </w:r>
      <w:r w:rsidRPr="009D01A5">
        <w:rPr>
          <w:sz w:val="22"/>
          <w:szCs w:val="22"/>
        </w:rPr>
        <w:tab/>
      </w:r>
      <w:r w:rsidRPr="009D01A5">
        <w:rPr>
          <w:sz w:val="22"/>
          <w:szCs w:val="22"/>
        </w:rPr>
        <w:tab/>
        <w:t>Inita Juhņēviča</w:t>
      </w:r>
    </w:p>
    <w:tbl>
      <w:tblPr>
        <w:tblW w:w="0" w:type="auto"/>
        <w:tblLook w:val="00A0" w:firstRow="1" w:lastRow="0" w:firstColumn="1" w:lastColumn="0" w:noHBand="0" w:noVBand="0"/>
      </w:tblPr>
      <w:tblGrid>
        <w:gridCol w:w="8268"/>
      </w:tblGrid>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(par projektu atbildīgās amatpersonas vārds un uzvārds)</w:t>
            </w:r>
          </w:p>
        </w:tc>
      </w:tr>
      <w:tr w:rsidR="00167719" w:rsidRPr="009D01A5" w:rsidTr="008C78FE">
        <w:tc>
          <w:tcPr>
            <w:tcW w:w="8268" w:type="dxa"/>
            <w:tcBorders>
              <w:bottom w:val="single" w:sz="4" w:space="0" w:color="000000"/>
            </w:tcBorders>
          </w:tcPr>
          <w:p w:rsidR="00167719" w:rsidRPr="009D01A5" w:rsidRDefault="00167719" w:rsidP="008C78FE">
            <w:pPr>
              <w:jc w:val="center"/>
              <w:rPr>
                <w:sz w:val="22"/>
                <w:szCs w:val="22"/>
              </w:rPr>
            </w:pPr>
            <w:r w:rsidRPr="009D01A5">
              <w:rPr>
                <w:sz w:val="22"/>
                <w:szCs w:val="22"/>
              </w:rPr>
              <w:t>Izglītības kvalitātes valsts dienesta vadītāja</w:t>
            </w:r>
          </w:p>
        </w:tc>
      </w:tr>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(amats)</w:t>
            </w:r>
          </w:p>
          <w:p w:rsidR="00167719" w:rsidRPr="009D01A5" w:rsidRDefault="00167719" w:rsidP="008C78FE">
            <w:pPr>
              <w:jc w:val="center"/>
              <w:rPr>
                <w:sz w:val="22"/>
                <w:szCs w:val="22"/>
              </w:rPr>
            </w:pPr>
          </w:p>
        </w:tc>
      </w:tr>
      <w:tr w:rsidR="00167719" w:rsidRPr="009D01A5" w:rsidTr="008C78FE">
        <w:tc>
          <w:tcPr>
            <w:tcW w:w="8268" w:type="dxa"/>
            <w:tcBorders>
              <w:bottom w:val="single" w:sz="4" w:space="0" w:color="000000"/>
            </w:tcBorders>
          </w:tcPr>
          <w:p w:rsidR="00167719" w:rsidRPr="009D01A5" w:rsidRDefault="00167719" w:rsidP="008C78FE">
            <w:pPr>
              <w:jc w:val="center"/>
              <w:rPr>
                <w:sz w:val="22"/>
                <w:szCs w:val="22"/>
              </w:rPr>
            </w:pPr>
            <w:r w:rsidRPr="009D01A5">
              <w:rPr>
                <w:sz w:val="22"/>
                <w:szCs w:val="22"/>
              </w:rPr>
              <w:t>Tālr.67358078, Fakss 67228573</w:t>
            </w:r>
          </w:p>
        </w:tc>
      </w:tr>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(tālruņa un faksa numurs)</w:t>
            </w:r>
          </w:p>
          <w:p w:rsidR="00167719" w:rsidRPr="009D01A5" w:rsidRDefault="00167719" w:rsidP="008C78FE">
            <w:pPr>
              <w:jc w:val="center"/>
              <w:rPr>
                <w:sz w:val="22"/>
                <w:szCs w:val="22"/>
              </w:rPr>
            </w:pPr>
          </w:p>
        </w:tc>
      </w:tr>
      <w:tr w:rsidR="00167719" w:rsidRPr="009D01A5" w:rsidTr="008C78FE">
        <w:tc>
          <w:tcPr>
            <w:tcW w:w="8268" w:type="dxa"/>
            <w:tcBorders>
              <w:bottom w:val="single" w:sz="4" w:space="0" w:color="000000"/>
            </w:tcBorders>
          </w:tcPr>
          <w:p w:rsidR="00167719" w:rsidRPr="009D01A5" w:rsidRDefault="00BD1B22" w:rsidP="008C78FE">
            <w:pPr>
              <w:jc w:val="center"/>
              <w:rPr>
                <w:sz w:val="22"/>
                <w:szCs w:val="22"/>
              </w:rPr>
            </w:pPr>
            <w:hyperlink r:id="rId9" w:history="1">
              <w:r w:rsidR="00167719" w:rsidRPr="009D01A5">
                <w:rPr>
                  <w:rStyle w:val="Hyperlink"/>
                  <w:color w:val="auto"/>
                  <w:sz w:val="22"/>
                  <w:szCs w:val="22"/>
                </w:rPr>
                <w:t>Inita.Juhnevica@ikvd.gov.lv</w:t>
              </w:r>
            </w:hyperlink>
          </w:p>
        </w:tc>
      </w:tr>
      <w:tr w:rsidR="00167719" w:rsidRPr="009D01A5" w:rsidTr="008C78FE">
        <w:tc>
          <w:tcPr>
            <w:tcW w:w="8268" w:type="dxa"/>
            <w:tcBorders>
              <w:top w:val="single" w:sz="4" w:space="0" w:color="000000"/>
            </w:tcBorders>
          </w:tcPr>
          <w:p w:rsidR="00167719" w:rsidRPr="009D01A5" w:rsidRDefault="00167719" w:rsidP="008C78FE">
            <w:pPr>
              <w:jc w:val="center"/>
              <w:rPr>
                <w:sz w:val="22"/>
                <w:szCs w:val="22"/>
              </w:rPr>
            </w:pPr>
            <w:r w:rsidRPr="009D01A5">
              <w:rPr>
                <w:sz w:val="22"/>
                <w:szCs w:val="22"/>
              </w:rPr>
              <w:t>(e-pasta adrese)</w:t>
            </w:r>
          </w:p>
        </w:tc>
      </w:tr>
    </w:tbl>
    <w:p w:rsidR="00F24077" w:rsidRDefault="00F24077" w:rsidP="00167719">
      <w:pPr>
        <w:jc w:val="both"/>
        <w:rPr>
          <w:sz w:val="28"/>
          <w:szCs w:val="28"/>
        </w:rPr>
      </w:pPr>
    </w:p>
    <w:p w:rsidR="00806BB4" w:rsidRDefault="00806BB4" w:rsidP="00167719">
      <w:pPr>
        <w:jc w:val="both"/>
        <w:rPr>
          <w:sz w:val="28"/>
          <w:szCs w:val="28"/>
        </w:rPr>
      </w:pPr>
    </w:p>
    <w:p w:rsidR="00067D82" w:rsidRDefault="00BD422D" w:rsidP="00167719">
      <w:pPr>
        <w:jc w:val="both"/>
        <w:rPr>
          <w:sz w:val="20"/>
          <w:szCs w:val="20"/>
        </w:rPr>
      </w:pPr>
      <w:r>
        <w:rPr>
          <w:sz w:val="20"/>
          <w:szCs w:val="20"/>
        </w:rPr>
        <w:t>09</w:t>
      </w:r>
      <w:r w:rsidR="0059447F">
        <w:rPr>
          <w:sz w:val="20"/>
          <w:szCs w:val="20"/>
        </w:rPr>
        <w:t>.0</w:t>
      </w:r>
      <w:r>
        <w:rPr>
          <w:sz w:val="20"/>
          <w:szCs w:val="20"/>
        </w:rPr>
        <w:t>7</w:t>
      </w:r>
      <w:r w:rsidR="00067D82">
        <w:rPr>
          <w:sz w:val="20"/>
          <w:szCs w:val="20"/>
        </w:rPr>
        <w:t xml:space="preserve">.2019 </w:t>
      </w:r>
      <w:r>
        <w:rPr>
          <w:sz w:val="20"/>
          <w:szCs w:val="20"/>
        </w:rPr>
        <w:t>09</w:t>
      </w:r>
      <w:r w:rsidR="00067D82">
        <w:rPr>
          <w:sz w:val="20"/>
          <w:szCs w:val="20"/>
        </w:rPr>
        <w:t>:</w:t>
      </w:r>
      <w:r>
        <w:rPr>
          <w:sz w:val="20"/>
          <w:szCs w:val="20"/>
        </w:rPr>
        <w:t>00</w:t>
      </w:r>
    </w:p>
    <w:p w:rsidR="00533BA1" w:rsidRPr="00207902" w:rsidRDefault="00533BA1" w:rsidP="00167719">
      <w:pPr>
        <w:jc w:val="both"/>
        <w:rPr>
          <w:sz w:val="20"/>
          <w:szCs w:val="20"/>
        </w:rPr>
      </w:pPr>
      <w:r>
        <w:rPr>
          <w:sz w:val="20"/>
          <w:szCs w:val="20"/>
        </w:rPr>
        <w:t>1</w:t>
      </w:r>
      <w:r w:rsidR="00BD422D">
        <w:rPr>
          <w:sz w:val="20"/>
          <w:szCs w:val="20"/>
        </w:rPr>
        <w:t>964</w:t>
      </w:r>
    </w:p>
    <w:p w:rsidR="00167719" w:rsidRPr="00207902" w:rsidRDefault="00167719" w:rsidP="00167719">
      <w:pPr>
        <w:jc w:val="both"/>
        <w:rPr>
          <w:sz w:val="20"/>
          <w:szCs w:val="20"/>
        </w:rPr>
      </w:pPr>
      <w:r w:rsidRPr="00207902">
        <w:rPr>
          <w:sz w:val="20"/>
          <w:szCs w:val="20"/>
        </w:rPr>
        <w:t>A.Lasmane</w:t>
      </w:r>
    </w:p>
    <w:p w:rsidR="00ED182B" w:rsidRPr="00207902" w:rsidRDefault="001A1A35" w:rsidP="00266079">
      <w:pPr>
        <w:jc w:val="both"/>
        <w:rPr>
          <w:sz w:val="20"/>
          <w:szCs w:val="20"/>
        </w:rPr>
      </w:pPr>
      <w:r>
        <w:rPr>
          <w:sz w:val="20"/>
          <w:szCs w:val="20"/>
        </w:rPr>
        <w:t>26130806</w:t>
      </w:r>
      <w:r w:rsidR="00167719" w:rsidRPr="00207902">
        <w:rPr>
          <w:sz w:val="20"/>
          <w:szCs w:val="20"/>
        </w:rPr>
        <w:t>, agnese.lasmane@ikvd.gov.lv</w:t>
      </w:r>
    </w:p>
    <w:sectPr w:rsidR="00ED182B" w:rsidRPr="00207902" w:rsidSect="004B4ED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134" w:bottom="851" w:left="1701" w:header="709" w:footer="5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22" w:rsidRDefault="00BD1B22" w:rsidP="00ED182B">
      <w:r>
        <w:separator/>
      </w:r>
    </w:p>
  </w:endnote>
  <w:endnote w:type="continuationSeparator" w:id="0">
    <w:p w:rsidR="00BD1B22" w:rsidRDefault="00BD1B22" w:rsidP="00ED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F2" w:rsidRDefault="00787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Pr="00A13693" w:rsidRDefault="00440E0A" w:rsidP="00AC2606">
    <w:pPr>
      <w:pStyle w:val="Footer"/>
      <w:jc w:val="both"/>
      <w:rPr>
        <w:sz w:val="20"/>
        <w:szCs w:val="20"/>
      </w:rPr>
    </w:pPr>
    <w:r w:rsidRPr="00BD738F">
      <w:rPr>
        <w:sz w:val="20"/>
        <w:szCs w:val="20"/>
      </w:rPr>
      <w:t>IZM</w:t>
    </w:r>
    <w:r>
      <w:rPr>
        <w:sz w:val="20"/>
        <w:szCs w:val="20"/>
      </w:rPr>
      <w:t>izz</w:t>
    </w:r>
    <w:r w:rsidRPr="00BD738F">
      <w:rPr>
        <w:sz w:val="20"/>
        <w:szCs w:val="20"/>
      </w:rPr>
      <w:t>_</w:t>
    </w:r>
    <w:r w:rsidR="00892D83">
      <w:rPr>
        <w:sz w:val="20"/>
        <w:szCs w:val="20"/>
      </w:rPr>
      <w:t>09071</w:t>
    </w:r>
    <w:r>
      <w:rPr>
        <w:sz w:val="20"/>
        <w:szCs w:val="20"/>
      </w:rPr>
      <w:t>9</w:t>
    </w:r>
    <w:r w:rsidRPr="00BD738F">
      <w:rPr>
        <w:sz w:val="20"/>
        <w:szCs w:val="20"/>
      </w:rPr>
      <w:t>_</w:t>
    </w:r>
    <w:r w:rsidR="00A13693">
      <w:rPr>
        <w:sz w:val="20"/>
        <w:szCs w:val="20"/>
      </w:rPr>
      <w:t>sodam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Default="0006090C" w:rsidP="000B26EF">
    <w:pPr>
      <w:pStyle w:val="Footer"/>
      <w:jc w:val="both"/>
      <w:rPr>
        <w:bCs/>
        <w:sz w:val="20"/>
        <w:szCs w:val="20"/>
      </w:rPr>
    </w:pPr>
    <w:r w:rsidRPr="00BD738F">
      <w:rPr>
        <w:sz w:val="20"/>
        <w:szCs w:val="20"/>
      </w:rPr>
      <w:t>IZM</w:t>
    </w:r>
    <w:r>
      <w:rPr>
        <w:sz w:val="20"/>
        <w:szCs w:val="20"/>
      </w:rPr>
      <w:t>izz</w:t>
    </w:r>
    <w:r w:rsidRPr="00BD738F">
      <w:rPr>
        <w:sz w:val="20"/>
        <w:szCs w:val="20"/>
      </w:rPr>
      <w:t>_</w:t>
    </w:r>
    <w:r w:rsidR="00892D83">
      <w:rPr>
        <w:sz w:val="20"/>
        <w:szCs w:val="20"/>
      </w:rPr>
      <w:t>0907</w:t>
    </w:r>
    <w:r>
      <w:rPr>
        <w:sz w:val="20"/>
        <w:szCs w:val="20"/>
      </w:rPr>
      <w:t>1</w:t>
    </w:r>
    <w:r w:rsidR="00440E0A">
      <w:rPr>
        <w:sz w:val="20"/>
        <w:szCs w:val="20"/>
      </w:rPr>
      <w:t>9</w:t>
    </w:r>
    <w:r w:rsidRPr="00BD738F">
      <w:rPr>
        <w:sz w:val="20"/>
        <w:szCs w:val="20"/>
      </w:rPr>
      <w:t>_</w:t>
    </w:r>
    <w:r w:rsidR="00A13693">
      <w:rPr>
        <w:sz w:val="20"/>
        <w:szCs w:val="20"/>
      </w:rPr>
      <w:t>sodam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22" w:rsidRDefault="00BD1B22" w:rsidP="00ED182B">
      <w:r>
        <w:separator/>
      </w:r>
    </w:p>
  </w:footnote>
  <w:footnote w:type="continuationSeparator" w:id="0">
    <w:p w:rsidR="00BD1B22" w:rsidRDefault="00BD1B22" w:rsidP="00ED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Default="0006090C" w:rsidP="004B4E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B95" w:rsidRDefault="00BD1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95" w:rsidRDefault="0006090C" w:rsidP="004B4E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261">
      <w:rPr>
        <w:rStyle w:val="PageNumber"/>
        <w:noProof/>
      </w:rPr>
      <w:t>2</w:t>
    </w:r>
    <w:r>
      <w:rPr>
        <w:rStyle w:val="PageNumber"/>
      </w:rPr>
      <w:fldChar w:fldCharType="end"/>
    </w:r>
  </w:p>
  <w:p w:rsidR="00764B95" w:rsidRDefault="00BD1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F2" w:rsidRDefault="00787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614"/>
    <w:multiLevelType w:val="hybridMultilevel"/>
    <w:tmpl w:val="13425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19"/>
    <w:rsid w:val="00014533"/>
    <w:rsid w:val="00017ABD"/>
    <w:rsid w:val="00032E06"/>
    <w:rsid w:val="0003335C"/>
    <w:rsid w:val="00035F1A"/>
    <w:rsid w:val="0006090C"/>
    <w:rsid w:val="00067D82"/>
    <w:rsid w:val="00093EE7"/>
    <w:rsid w:val="000A27EC"/>
    <w:rsid w:val="000A5DF1"/>
    <w:rsid w:val="000A6B67"/>
    <w:rsid w:val="000B57F3"/>
    <w:rsid w:val="000B6F10"/>
    <w:rsid w:val="000D4270"/>
    <w:rsid w:val="000D7031"/>
    <w:rsid w:val="000D7313"/>
    <w:rsid w:val="000E0405"/>
    <w:rsid w:val="000E06B2"/>
    <w:rsid w:val="000F16B8"/>
    <w:rsid w:val="001149C1"/>
    <w:rsid w:val="00116A73"/>
    <w:rsid w:val="00124749"/>
    <w:rsid w:val="001406F7"/>
    <w:rsid w:val="00143BA2"/>
    <w:rsid w:val="00167719"/>
    <w:rsid w:val="00184DA6"/>
    <w:rsid w:val="001A1A35"/>
    <w:rsid w:val="001C70C2"/>
    <w:rsid w:val="001D27D2"/>
    <w:rsid w:val="001E2F59"/>
    <w:rsid w:val="00207902"/>
    <w:rsid w:val="00234F88"/>
    <w:rsid w:val="00266079"/>
    <w:rsid w:val="002A6EA5"/>
    <w:rsid w:val="002B3D9B"/>
    <w:rsid w:val="002C57EF"/>
    <w:rsid w:val="002D3F09"/>
    <w:rsid w:val="002E0390"/>
    <w:rsid w:val="002F1DEF"/>
    <w:rsid w:val="003126F7"/>
    <w:rsid w:val="00321F5F"/>
    <w:rsid w:val="00323295"/>
    <w:rsid w:val="0033762D"/>
    <w:rsid w:val="00352E30"/>
    <w:rsid w:val="00354E0B"/>
    <w:rsid w:val="003631A6"/>
    <w:rsid w:val="0036602B"/>
    <w:rsid w:val="003938B1"/>
    <w:rsid w:val="003A6291"/>
    <w:rsid w:val="003C47AF"/>
    <w:rsid w:val="003C6E93"/>
    <w:rsid w:val="003D77C7"/>
    <w:rsid w:val="003E31EC"/>
    <w:rsid w:val="003F3DFE"/>
    <w:rsid w:val="00406142"/>
    <w:rsid w:val="00440E0A"/>
    <w:rsid w:val="0046711E"/>
    <w:rsid w:val="0049096C"/>
    <w:rsid w:val="00490E47"/>
    <w:rsid w:val="004A3DF1"/>
    <w:rsid w:val="004B6710"/>
    <w:rsid w:val="004C38F1"/>
    <w:rsid w:val="004C59E2"/>
    <w:rsid w:val="004D1032"/>
    <w:rsid w:val="00503546"/>
    <w:rsid w:val="00507768"/>
    <w:rsid w:val="00517425"/>
    <w:rsid w:val="00522610"/>
    <w:rsid w:val="00533BA1"/>
    <w:rsid w:val="0055384F"/>
    <w:rsid w:val="00553D85"/>
    <w:rsid w:val="00556318"/>
    <w:rsid w:val="0057706B"/>
    <w:rsid w:val="00581898"/>
    <w:rsid w:val="0059447F"/>
    <w:rsid w:val="005A670E"/>
    <w:rsid w:val="005B6C0C"/>
    <w:rsid w:val="005D0908"/>
    <w:rsid w:val="005D5ED4"/>
    <w:rsid w:val="005E51CE"/>
    <w:rsid w:val="005E6DC1"/>
    <w:rsid w:val="00623FA4"/>
    <w:rsid w:val="00653783"/>
    <w:rsid w:val="00664628"/>
    <w:rsid w:val="00667A89"/>
    <w:rsid w:val="00694176"/>
    <w:rsid w:val="006B0A3E"/>
    <w:rsid w:val="006B69F5"/>
    <w:rsid w:val="006E13E0"/>
    <w:rsid w:val="006E4B15"/>
    <w:rsid w:val="00710971"/>
    <w:rsid w:val="00710FA9"/>
    <w:rsid w:val="00713370"/>
    <w:rsid w:val="00720079"/>
    <w:rsid w:val="007203E9"/>
    <w:rsid w:val="00733E2C"/>
    <w:rsid w:val="0073410D"/>
    <w:rsid w:val="00741513"/>
    <w:rsid w:val="00782D5F"/>
    <w:rsid w:val="007873F2"/>
    <w:rsid w:val="007B110D"/>
    <w:rsid w:val="007B5514"/>
    <w:rsid w:val="007D5752"/>
    <w:rsid w:val="007E3E9C"/>
    <w:rsid w:val="007E4E52"/>
    <w:rsid w:val="007E7572"/>
    <w:rsid w:val="00806BB4"/>
    <w:rsid w:val="008156ED"/>
    <w:rsid w:val="008261F8"/>
    <w:rsid w:val="0083620C"/>
    <w:rsid w:val="00844A6D"/>
    <w:rsid w:val="0084600E"/>
    <w:rsid w:val="00862C6F"/>
    <w:rsid w:val="00876073"/>
    <w:rsid w:val="00880BB7"/>
    <w:rsid w:val="00892D83"/>
    <w:rsid w:val="008A208F"/>
    <w:rsid w:val="008B0654"/>
    <w:rsid w:val="008C7191"/>
    <w:rsid w:val="008D3202"/>
    <w:rsid w:val="008E2AB6"/>
    <w:rsid w:val="008E64EA"/>
    <w:rsid w:val="00920EEB"/>
    <w:rsid w:val="0094318E"/>
    <w:rsid w:val="009578D2"/>
    <w:rsid w:val="00966205"/>
    <w:rsid w:val="00977F27"/>
    <w:rsid w:val="009C0D6A"/>
    <w:rsid w:val="009D01A5"/>
    <w:rsid w:val="009E4ABE"/>
    <w:rsid w:val="009E7246"/>
    <w:rsid w:val="00A0065A"/>
    <w:rsid w:val="00A13693"/>
    <w:rsid w:val="00A31DAF"/>
    <w:rsid w:val="00A31EEC"/>
    <w:rsid w:val="00A327BC"/>
    <w:rsid w:val="00A32AA4"/>
    <w:rsid w:val="00A336AC"/>
    <w:rsid w:val="00A3436D"/>
    <w:rsid w:val="00A34B7B"/>
    <w:rsid w:val="00A60959"/>
    <w:rsid w:val="00A62FC1"/>
    <w:rsid w:val="00A63038"/>
    <w:rsid w:val="00A72875"/>
    <w:rsid w:val="00A9062E"/>
    <w:rsid w:val="00AA3C0A"/>
    <w:rsid w:val="00AB0FC5"/>
    <w:rsid w:val="00AE110E"/>
    <w:rsid w:val="00AF0F13"/>
    <w:rsid w:val="00B0021E"/>
    <w:rsid w:val="00B22944"/>
    <w:rsid w:val="00B41FE9"/>
    <w:rsid w:val="00B4682C"/>
    <w:rsid w:val="00B62BD4"/>
    <w:rsid w:val="00B65423"/>
    <w:rsid w:val="00B721F0"/>
    <w:rsid w:val="00B76855"/>
    <w:rsid w:val="00B80754"/>
    <w:rsid w:val="00B80C6E"/>
    <w:rsid w:val="00B96209"/>
    <w:rsid w:val="00BB40B8"/>
    <w:rsid w:val="00BD0FAF"/>
    <w:rsid w:val="00BD1B22"/>
    <w:rsid w:val="00BD422D"/>
    <w:rsid w:val="00BD4BEE"/>
    <w:rsid w:val="00BF5166"/>
    <w:rsid w:val="00C06EA5"/>
    <w:rsid w:val="00C22765"/>
    <w:rsid w:val="00C34571"/>
    <w:rsid w:val="00C37080"/>
    <w:rsid w:val="00C37C3D"/>
    <w:rsid w:val="00C61174"/>
    <w:rsid w:val="00C71068"/>
    <w:rsid w:val="00C71AA4"/>
    <w:rsid w:val="00C93177"/>
    <w:rsid w:val="00CA6D3E"/>
    <w:rsid w:val="00CB2408"/>
    <w:rsid w:val="00CC1530"/>
    <w:rsid w:val="00CC6544"/>
    <w:rsid w:val="00CD279C"/>
    <w:rsid w:val="00CF0B98"/>
    <w:rsid w:val="00D24739"/>
    <w:rsid w:val="00D4674E"/>
    <w:rsid w:val="00D5398D"/>
    <w:rsid w:val="00D649A8"/>
    <w:rsid w:val="00D9106D"/>
    <w:rsid w:val="00D9550B"/>
    <w:rsid w:val="00D95EBE"/>
    <w:rsid w:val="00DA1901"/>
    <w:rsid w:val="00DB491B"/>
    <w:rsid w:val="00DB77AA"/>
    <w:rsid w:val="00DC38B8"/>
    <w:rsid w:val="00DD34F4"/>
    <w:rsid w:val="00DF470E"/>
    <w:rsid w:val="00E04550"/>
    <w:rsid w:val="00E04A81"/>
    <w:rsid w:val="00E17E71"/>
    <w:rsid w:val="00E273BB"/>
    <w:rsid w:val="00E42CA1"/>
    <w:rsid w:val="00E45910"/>
    <w:rsid w:val="00E514E5"/>
    <w:rsid w:val="00E562E6"/>
    <w:rsid w:val="00E65A75"/>
    <w:rsid w:val="00E735C5"/>
    <w:rsid w:val="00E83A66"/>
    <w:rsid w:val="00EB7055"/>
    <w:rsid w:val="00EC4003"/>
    <w:rsid w:val="00ED182B"/>
    <w:rsid w:val="00EF3EFC"/>
    <w:rsid w:val="00F07261"/>
    <w:rsid w:val="00F20729"/>
    <w:rsid w:val="00F24077"/>
    <w:rsid w:val="00F55551"/>
    <w:rsid w:val="00F575B5"/>
    <w:rsid w:val="00F71C92"/>
    <w:rsid w:val="00F724FC"/>
    <w:rsid w:val="00F85D68"/>
    <w:rsid w:val="00F93DA6"/>
    <w:rsid w:val="00FB7F99"/>
    <w:rsid w:val="00FF1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719"/>
    <w:rPr>
      <w:rFonts w:cs="Times New Roman"/>
      <w:color w:val="0000FF"/>
      <w:u w:val="single"/>
    </w:rPr>
  </w:style>
  <w:style w:type="paragraph" w:customStyle="1" w:styleId="naisf">
    <w:name w:val="naisf"/>
    <w:basedOn w:val="Normal"/>
    <w:rsid w:val="00167719"/>
    <w:pPr>
      <w:spacing w:before="75" w:after="75"/>
      <w:ind w:firstLine="375"/>
      <w:jc w:val="both"/>
    </w:pPr>
  </w:style>
  <w:style w:type="paragraph" w:customStyle="1" w:styleId="naisnod">
    <w:name w:val="naisnod"/>
    <w:basedOn w:val="Normal"/>
    <w:uiPriority w:val="99"/>
    <w:rsid w:val="00167719"/>
    <w:pPr>
      <w:spacing w:before="150" w:after="150"/>
      <w:jc w:val="center"/>
    </w:pPr>
    <w:rPr>
      <w:b/>
      <w:bCs/>
    </w:rPr>
  </w:style>
  <w:style w:type="paragraph" w:customStyle="1" w:styleId="naisc">
    <w:name w:val="naisc"/>
    <w:basedOn w:val="Normal"/>
    <w:rsid w:val="00167719"/>
    <w:pPr>
      <w:spacing w:before="75" w:after="75"/>
      <w:jc w:val="center"/>
    </w:pPr>
  </w:style>
  <w:style w:type="paragraph" w:styleId="Header">
    <w:name w:val="header"/>
    <w:basedOn w:val="Normal"/>
    <w:link w:val="HeaderChar"/>
    <w:uiPriority w:val="99"/>
    <w:rsid w:val="00167719"/>
    <w:pPr>
      <w:tabs>
        <w:tab w:val="center" w:pos="4153"/>
        <w:tab w:val="right" w:pos="8306"/>
      </w:tabs>
    </w:pPr>
  </w:style>
  <w:style w:type="character" w:customStyle="1" w:styleId="HeaderChar">
    <w:name w:val="Header Char"/>
    <w:basedOn w:val="DefaultParagraphFont"/>
    <w:link w:val="Header"/>
    <w:uiPriority w:val="99"/>
    <w:rsid w:val="0016771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67719"/>
    <w:rPr>
      <w:rFonts w:cs="Times New Roman"/>
    </w:rPr>
  </w:style>
  <w:style w:type="paragraph" w:styleId="Footer">
    <w:name w:val="footer"/>
    <w:basedOn w:val="Normal"/>
    <w:link w:val="FooterChar"/>
    <w:unhideWhenUsed/>
    <w:rsid w:val="00167719"/>
    <w:pPr>
      <w:tabs>
        <w:tab w:val="center" w:pos="4153"/>
        <w:tab w:val="right" w:pos="8306"/>
      </w:tabs>
    </w:pPr>
  </w:style>
  <w:style w:type="character" w:customStyle="1" w:styleId="FooterChar">
    <w:name w:val="Footer Char"/>
    <w:basedOn w:val="DefaultParagraphFont"/>
    <w:link w:val="Footer"/>
    <w:rsid w:val="0016771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67719"/>
    <w:rPr>
      <w:rFonts w:ascii="Tahoma" w:hAnsi="Tahoma" w:cs="Tahoma"/>
      <w:sz w:val="16"/>
      <w:szCs w:val="16"/>
    </w:rPr>
  </w:style>
  <w:style w:type="character" w:customStyle="1" w:styleId="BalloonTextChar">
    <w:name w:val="Balloon Text Char"/>
    <w:basedOn w:val="DefaultParagraphFont"/>
    <w:link w:val="BalloonText"/>
    <w:uiPriority w:val="99"/>
    <w:semiHidden/>
    <w:rsid w:val="00167719"/>
    <w:rPr>
      <w:rFonts w:ascii="Tahoma" w:eastAsia="Times New Roman" w:hAnsi="Tahoma" w:cs="Tahoma"/>
      <w:sz w:val="16"/>
      <w:szCs w:val="16"/>
      <w:lang w:eastAsia="lv-LV"/>
    </w:rPr>
  </w:style>
  <w:style w:type="paragraph" w:styleId="ListParagraph">
    <w:name w:val="List Paragraph"/>
    <w:basedOn w:val="Normal"/>
    <w:uiPriority w:val="34"/>
    <w:qFormat/>
    <w:rsid w:val="009E4ABE"/>
    <w:pPr>
      <w:ind w:left="720"/>
      <w:contextualSpacing/>
    </w:pPr>
  </w:style>
  <w:style w:type="paragraph" w:customStyle="1" w:styleId="tvhtml">
    <w:name w:val="tv_html"/>
    <w:basedOn w:val="Normal"/>
    <w:rsid w:val="00553D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67719"/>
    <w:rPr>
      <w:rFonts w:cs="Times New Roman"/>
      <w:color w:val="0000FF"/>
      <w:u w:val="single"/>
    </w:rPr>
  </w:style>
  <w:style w:type="paragraph" w:customStyle="1" w:styleId="naisf">
    <w:name w:val="naisf"/>
    <w:basedOn w:val="Normal"/>
    <w:rsid w:val="00167719"/>
    <w:pPr>
      <w:spacing w:before="75" w:after="75"/>
      <w:ind w:firstLine="375"/>
      <w:jc w:val="both"/>
    </w:pPr>
  </w:style>
  <w:style w:type="paragraph" w:customStyle="1" w:styleId="naisnod">
    <w:name w:val="naisnod"/>
    <w:basedOn w:val="Normal"/>
    <w:uiPriority w:val="99"/>
    <w:rsid w:val="00167719"/>
    <w:pPr>
      <w:spacing w:before="150" w:after="150"/>
      <w:jc w:val="center"/>
    </w:pPr>
    <w:rPr>
      <w:b/>
      <w:bCs/>
    </w:rPr>
  </w:style>
  <w:style w:type="paragraph" w:customStyle="1" w:styleId="naisc">
    <w:name w:val="naisc"/>
    <w:basedOn w:val="Normal"/>
    <w:rsid w:val="00167719"/>
    <w:pPr>
      <w:spacing w:before="75" w:after="75"/>
      <w:jc w:val="center"/>
    </w:pPr>
  </w:style>
  <w:style w:type="paragraph" w:styleId="Header">
    <w:name w:val="header"/>
    <w:basedOn w:val="Normal"/>
    <w:link w:val="HeaderChar"/>
    <w:uiPriority w:val="99"/>
    <w:rsid w:val="00167719"/>
    <w:pPr>
      <w:tabs>
        <w:tab w:val="center" w:pos="4153"/>
        <w:tab w:val="right" w:pos="8306"/>
      </w:tabs>
    </w:pPr>
  </w:style>
  <w:style w:type="character" w:customStyle="1" w:styleId="HeaderChar">
    <w:name w:val="Header Char"/>
    <w:basedOn w:val="DefaultParagraphFont"/>
    <w:link w:val="Header"/>
    <w:uiPriority w:val="99"/>
    <w:rsid w:val="00167719"/>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67719"/>
    <w:rPr>
      <w:rFonts w:cs="Times New Roman"/>
    </w:rPr>
  </w:style>
  <w:style w:type="paragraph" w:styleId="Footer">
    <w:name w:val="footer"/>
    <w:basedOn w:val="Normal"/>
    <w:link w:val="FooterChar"/>
    <w:unhideWhenUsed/>
    <w:rsid w:val="00167719"/>
    <w:pPr>
      <w:tabs>
        <w:tab w:val="center" w:pos="4153"/>
        <w:tab w:val="right" w:pos="8306"/>
      </w:tabs>
    </w:pPr>
  </w:style>
  <w:style w:type="character" w:customStyle="1" w:styleId="FooterChar">
    <w:name w:val="Footer Char"/>
    <w:basedOn w:val="DefaultParagraphFont"/>
    <w:link w:val="Footer"/>
    <w:rsid w:val="0016771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67719"/>
    <w:rPr>
      <w:rFonts w:ascii="Tahoma" w:hAnsi="Tahoma" w:cs="Tahoma"/>
      <w:sz w:val="16"/>
      <w:szCs w:val="16"/>
    </w:rPr>
  </w:style>
  <w:style w:type="character" w:customStyle="1" w:styleId="BalloonTextChar">
    <w:name w:val="Balloon Text Char"/>
    <w:basedOn w:val="DefaultParagraphFont"/>
    <w:link w:val="BalloonText"/>
    <w:uiPriority w:val="99"/>
    <w:semiHidden/>
    <w:rsid w:val="00167719"/>
    <w:rPr>
      <w:rFonts w:ascii="Tahoma" w:eastAsia="Times New Roman" w:hAnsi="Tahoma" w:cs="Tahoma"/>
      <w:sz w:val="16"/>
      <w:szCs w:val="16"/>
      <w:lang w:eastAsia="lv-LV"/>
    </w:rPr>
  </w:style>
  <w:style w:type="paragraph" w:styleId="ListParagraph">
    <w:name w:val="List Paragraph"/>
    <w:basedOn w:val="Normal"/>
    <w:uiPriority w:val="34"/>
    <w:qFormat/>
    <w:rsid w:val="009E4ABE"/>
    <w:pPr>
      <w:ind w:left="720"/>
      <w:contextualSpacing/>
    </w:pPr>
  </w:style>
  <w:style w:type="paragraph" w:customStyle="1" w:styleId="tvhtml">
    <w:name w:val="tv_html"/>
    <w:basedOn w:val="Normal"/>
    <w:rsid w:val="00553D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6880">
      <w:bodyDiv w:val="1"/>
      <w:marLeft w:val="0"/>
      <w:marRight w:val="0"/>
      <w:marTop w:val="0"/>
      <w:marBottom w:val="0"/>
      <w:divBdr>
        <w:top w:val="none" w:sz="0" w:space="0" w:color="auto"/>
        <w:left w:val="none" w:sz="0" w:space="0" w:color="auto"/>
        <w:bottom w:val="none" w:sz="0" w:space="0" w:color="auto"/>
        <w:right w:val="none" w:sz="0" w:space="0" w:color="auto"/>
      </w:divBdr>
    </w:div>
    <w:div w:id="16105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121/Lp13"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ita.Juhnevica@ikv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10208</Words>
  <Characters>5820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36</cp:revision>
  <cp:lastPrinted>2019-04-12T10:55:00Z</cp:lastPrinted>
  <dcterms:created xsi:type="dcterms:W3CDTF">2019-04-25T14:50:00Z</dcterms:created>
  <dcterms:modified xsi:type="dcterms:W3CDTF">2019-07-09T06:01:00Z</dcterms:modified>
</cp:coreProperties>
</file>