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15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as pieminekļa – Turaidas muzejrezervāta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22EB5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>Vīza: Valsts sekretāre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D.Vilsone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13"/>
      <w:bookmarkStart w:id="4" w:name="OLE_LINK14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730B0D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730B0D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BF27DA">
          <w:rPr>
            <w:rFonts w:ascii="Times New Roman" w:hAnsi="Times New Roman"/>
            <w:noProof/>
          </w:rPr>
          <w:t>2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A5B13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30B0D"/>
    <w:rsid w:val="00743E3C"/>
    <w:rsid w:val="00755770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7"/>
    <w:rsid w:val="00BA20AA"/>
    <w:rsid w:val="00BA5716"/>
    <w:rsid w:val="00BA73A4"/>
    <w:rsid w:val="00BB322A"/>
    <w:rsid w:val="00BB442B"/>
    <w:rsid w:val="00BB5ECF"/>
    <w:rsid w:val="00BD4425"/>
    <w:rsid w:val="00BF27DA"/>
    <w:rsid w:val="00BF49CE"/>
    <w:rsid w:val="00C03FE9"/>
    <w:rsid w:val="00C10842"/>
    <w:rsid w:val="00C238D3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570FC"/>
    <w:rsid w:val="00C67874"/>
    <w:rsid w:val="00C73AA5"/>
    <w:rsid w:val="00C7514D"/>
    <w:rsid w:val="00C75972"/>
    <w:rsid w:val="00C81297"/>
    <w:rsid w:val="00C814C4"/>
    <w:rsid w:val="00C833EA"/>
    <w:rsid w:val="00C9410A"/>
    <w:rsid w:val="00C966C2"/>
    <w:rsid w:val="00CB0A3B"/>
    <w:rsid w:val="00CC2AC6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2EB5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04B5-5EA1-46CC-BBA9-E869FA04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Anotācija</dc:subject>
  <dc:creator>Daina Ratniece</dc:creator>
  <cp:keywords>KMAnot_190819_groz_cenrazi_internatskolas_nosaukuma_maina</cp:keywords>
  <dc:description>Ratniece 67330304
Daina.Ratniece@km.gov.lv </dc:description>
  <cp:lastModifiedBy>Dzintra Rozīte</cp:lastModifiedBy>
  <cp:revision>5</cp:revision>
  <cp:lastPrinted>2018-11-22T07:23:00Z</cp:lastPrinted>
  <dcterms:created xsi:type="dcterms:W3CDTF">2019-08-16T07:50:00Z</dcterms:created>
  <dcterms:modified xsi:type="dcterms:W3CDTF">2019-08-21T13:45:00Z</dcterms:modified>
</cp:coreProperties>
</file>