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33C45" w:rsidR="005F170B" w:rsidP="005F170B" w:rsidRDefault="002A418F" w14:paraId="73BBCB30" w14:textId="21212A72">
      <w:pPr>
        <w:jc w:val="center"/>
        <w:rPr>
          <w:b/>
          <w:szCs w:val="28"/>
        </w:rPr>
      </w:pPr>
      <w:bookmarkStart w:name="p-490585" w:id="0"/>
      <w:bookmarkStart w:name="p201.45" w:id="1"/>
      <w:bookmarkEnd w:id="0"/>
      <w:bookmarkEnd w:id="1"/>
      <w:r w:rsidRPr="00C33C45">
        <w:rPr>
          <w:b/>
          <w:szCs w:val="28"/>
        </w:rPr>
        <w:t>Likum</w:t>
      </w:r>
      <w:r w:rsidRPr="00C33C45" w:rsidR="0002029A">
        <w:rPr>
          <w:b/>
          <w:szCs w:val="28"/>
        </w:rPr>
        <w:t xml:space="preserve">projekta </w:t>
      </w:r>
      <w:r w:rsidRPr="00C33C45" w:rsidR="00DE2C42">
        <w:rPr>
          <w:b/>
          <w:szCs w:val="28"/>
        </w:rPr>
        <w:t>"</w:t>
      </w:r>
      <w:r w:rsidRPr="00C33C45" w:rsidR="00F71789">
        <w:rPr>
          <w:b/>
          <w:bCs/>
        </w:rPr>
        <w:t xml:space="preserve">Par </w:t>
      </w:r>
      <w:r w:rsidRPr="00C33C45" w:rsidR="00200FF1">
        <w:rPr>
          <w:b/>
        </w:rPr>
        <w:t xml:space="preserve">Grozījumu </w:t>
      </w:r>
      <w:r w:rsidR="00697ED0">
        <w:rPr>
          <w:b/>
        </w:rPr>
        <w:t xml:space="preserve">Nr. 1 </w:t>
      </w:r>
      <w:r w:rsidRPr="00C33C45" w:rsidR="00200FF1">
        <w:rPr>
          <w:b/>
        </w:rPr>
        <w:t xml:space="preserve">Latvijas Republikas valdības un Amerikas Savienoto Valstu valdības </w:t>
      </w:r>
      <w:r w:rsidRPr="00BD79BB" w:rsidR="00BD79BB">
        <w:rPr>
          <w:b/>
        </w:rPr>
        <w:t>2004. gada septembra</w:t>
      </w:r>
      <w:r w:rsidR="00BD79BB">
        <w:rPr>
          <w:b/>
          <w:sz w:val="28"/>
          <w:szCs w:val="28"/>
        </w:rPr>
        <w:t xml:space="preserve"> </w:t>
      </w:r>
      <w:r w:rsidRPr="00C33C45" w:rsidR="00200FF1">
        <w:rPr>
          <w:b/>
        </w:rPr>
        <w:t>līgumā par sadarbību tiesībaizsardzības jomā</w:t>
      </w:r>
      <w:r w:rsidRPr="00C33C45" w:rsidR="00DE2C42">
        <w:rPr>
          <w:b/>
          <w:szCs w:val="28"/>
        </w:rPr>
        <w:t>"</w:t>
      </w:r>
    </w:p>
    <w:p w:rsidRPr="00C33C45" w:rsidR="0002029A" w:rsidP="005F170B" w:rsidRDefault="0002029A" w14:paraId="066EDBBD" w14:textId="77777777">
      <w:pPr>
        <w:jc w:val="center"/>
        <w:rPr>
          <w:b/>
          <w:szCs w:val="28"/>
        </w:rPr>
      </w:pPr>
      <w:r w:rsidRPr="00C33C45">
        <w:rPr>
          <w:b/>
          <w:szCs w:val="28"/>
        </w:rPr>
        <w:t xml:space="preserve"> sākotnējās ietekmes novērtējuma ziņojums (anotācija)</w:t>
      </w:r>
    </w:p>
    <w:p w:rsidRPr="00C33C45" w:rsidR="00653E09" w:rsidP="005F170B" w:rsidRDefault="00653E09" w14:paraId="65F09954" w14:textId="77777777">
      <w:pPr>
        <w:jc w:val="center"/>
        <w:rPr>
          <w:b/>
          <w:bCs/>
          <w:color w:val="FF0000"/>
        </w:rPr>
      </w:pPr>
    </w:p>
    <w:tbl>
      <w:tblPr>
        <w:tblW w:w="4968" w:type="pct"/>
        <w:tblCellSpacing w:w="15" w:type="dxa"/>
        <w:tblBorders>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272"/>
        <w:gridCol w:w="6741"/>
      </w:tblGrid>
      <w:tr w:rsidRPr="00C33C45" w:rsidR="00653E09" w:rsidTr="008D6C9E" w14:paraId="1158A63C" w14:textId="77777777">
        <w:trPr>
          <w:tblCellSpacing w:w="15" w:type="dxa"/>
        </w:trPr>
        <w:tc>
          <w:tcPr>
            <w:tcW w:w="4967" w:type="pct"/>
            <w:gridSpan w:val="2"/>
            <w:vAlign w:val="center"/>
            <w:hideMark/>
          </w:tcPr>
          <w:p w:rsidRPr="00C33C45" w:rsidR="00653E09" w:rsidP="007C7EB9" w:rsidRDefault="00653E09" w14:paraId="5A372A25" w14:textId="77777777">
            <w:pPr>
              <w:spacing w:before="100" w:beforeAutospacing="1" w:after="100" w:afterAutospacing="1" w:line="360" w:lineRule="auto"/>
              <w:ind w:firstLine="300"/>
              <w:jc w:val="center"/>
              <w:rPr>
                <w:b/>
                <w:bCs/>
              </w:rPr>
            </w:pPr>
            <w:r w:rsidRPr="00C33C45">
              <w:rPr>
                <w:b/>
                <w:bCs/>
              </w:rPr>
              <w:t>Tiesību akta projekta anotācijas kopsavilkums</w:t>
            </w:r>
          </w:p>
        </w:tc>
      </w:tr>
      <w:tr w:rsidRPr="00C33C45" w:rsidR="00653E09" w:rsidTr="008D6C9E" w14:paraId="65371150" w14:textId="77777777">
        <w:trPr>
          <w:tblCellSpacing w:w="15" w:type="dxa"/>
        </w:trPr>
        <w:tc>
          <w:tcPr>
            <w:tcW w:w="1240" w:type="pct"/>
            <w:hideMark/>
          </w:tcPr>
          <w:p w:rsidRPr="00C33C45" w:rsidR="00653E09" w:rsidP="007C7EB9" w:rsidRDefault="00653E09" w14:paraId="10EE08A4" w14:textId="77777777">
            <w:r w:rsidRPr="00C33C45">
              <w:t>Mērķis, risinājums un projekta spēkā stāšanās laiks</w:t>
            </w:r>
          </w:p>
        </w:tc>
        <w:tc>
          <w:tcPr>
            <w:tcW w:w="3710" w:type="pct"/>
            <w:hideMark/>
          </w:tcPr>
          <w:p w:rsidRPr="00C33C45" w:rsidR="00440ECE" w:rsidP="00211C1A" w:rsidRDefault="009D70AB" w14:paraId="01C45D2C" w14:textId="336661BB">
            <w:pPr>
              <w:pStyle w:val="Sarakstarindkopa"/>
              <w:ind w:left="0"/>
              <w:jc w:val="both"/>
            </w:pPr>
            <w:r w:rsidRPr="00C33C45">
              <w:t xml:space="preserve">Likumprojekts </w:t>
            </w:r>
            <w:r w:rsidRPr="00C33C45" w:rsidR="00F71789">
              <w:rPr>
                <w:bCs/>
                <w:szCs w:val="28"/>
              </w:rPr>
              <w:t>"</w:t>
            </w:r>
            <w:bookmarkStart w:name="_Hlk15634065" w:id="2"/>
            <w:r w:rsidRPr="00C33C45" w:rsidR="00F71789">
              <w:rPr>
                <w:bCs/>
              </w:rPr>
              <w:t xml:space="preserve">Par </w:t>
            </w:r>
            <w:r w:rsidRPr="00C33C45" w:rsidR="00200FF1">
              <w:rPr>
                <w:bCs/>
                <w:sz w:val="22"/>
                <w:szCs w:val="22"/>
              </w:rPr>
              <w:t>Grozījum</w:t>
            </w:r>
            <w:r w:rsidR="00697ED0">
              <w:rPr>
                <w:bCs/>
                <w:sz w:val="22"/>
                <w:szCs w:val="22"/>
              </w:rPr>
              <w:t>u Nr.1</w:t>
            </w:r>
            <w:r w:rsidRPr="00C33C45" w:rsidR="00200FF1">
              <w:rPr>
                <w:bCs/>
                <w:sz w:val="22"/>
                <w:szCs w:val="22"/>
              </w:rPr>
              <w:t xml:space="preserve"> Latvijas Republikas valdības un Amerikas Savienoto Valstu valdības līgumā par sadarbību tiesībaizsardzības jomā</w:t>
            </w:r>
            <w:r w:rsidRPr="00C33C45" w:rsidDel="00200FF1" w:rsidR="00200FF1">
              <w:rPr>
                <w:bCs/>
                <w:sz w:val="18"/>
                <w:szCs w:val="18"/>
              </w:rPr>
              <w:t xml:space="preserve"> </w:t>
            </w:r>
            <w:bookmarkEnd w:id="2"/>
            <w:r w:rsidRPr="00C33C45" w:rsidR="00F71789">
              <w:rPr>
                <w:bCs/>
                <w:szCs w:val="28"/>
              </w:rPr>
              <w:t>"</w:t>
            </w:r>
            <w:r w:rsidRPr="00C33C45" w:rsidR="00F71789">
              <w:rPr>
                <w:b/>
                <w:szCs w:val="28"/>
              </w:rPr>
              <w:t xml:space="preserve"> </w:t>
            </w:r>
            <w:r w:rsidR="00366771">
              <w:rPr>
                <w:b/>
                <w:szCs w:val="28"/>
              </w:rPr>
              <w:t>(</w:t>
            </w:r>
            <w:r w:rsidRPr="00C33C45">
              <w:t>turpmāk – likumprojekts) paredz</w:t>
            </w:r>
            <w:r w:rsidRPr="00C33C45" w:rsidR="009010F0">
              <w:t xml:space="preserve"> apstiprināt </w:t>
            </w:r>
            <w:r w:rsidRPr="00C33C45" w:rsidR="00200FF1">
              <w:rPr>
                <w:bCs/>
                <w:sz w:val="22"/>
                <w:szCs w:val="22"/>
              </w:rPr>
              <w:t xml:space="preserve">Grozījumu </w:t>
            </w:r>
            <w:r w:rsidR="00697ED0">
              <w:rPr>
                <w:bCs/>
                <w:sz w:val="22"/>
                <w:szCs w:val="22"/>
              </w:rPr>
              <w:t xml:space="preserve">Nr.1 </w:t>
            </w:r>
            <w:r w:rsidRPr="00C33C45" w:rsidR="00200FF1">
              <w:rPr>
                <w:bCs/>
                <w:sz w:val="22"/>
                <w:szCs w:val="22"/>
              </w:rPr>
              <w:t xml:space="preserve">Latvijas Republikas valdības un Amerikas Savienoto Valstu </w:t>
            </w:r>
            <w:r w:rsidRPr="00BD79BB" w:rsidR="00BD79BB">
              <w:rPr>
                <w:bCs/>
              </w:rPr>
              <w:t>2004.</w:t>
            </w:r>
            <w:r w:rsidR="00BB7A28">
              <w:rPr>
                <w:bCs/>
              </w:rPr>
              <w:t> </w:t>
            </w:r>
            <w:r w:rsidRPr="00BD79BB" w:rsidR="00BD79BB">
              <w:rPr>
                <w:bCs/>
              </w:rPr>
              <w:t>gada septembra</w:t>
            </w:r>
            <w:r w:rsidR="00BD79BB">
              <w:rPr>
                <w:b/>
                <w:sz w:val="28"/>
                <w:szCs w:val="28"/>
              </w:rPr>
              <w:t xml:space="preserve"> </w:t>
            </w:r>
            <w:r w:rsidRPr="00C33C45" w:rsidR="00200FF1">
              <w:rPr>
                <w:bCs/>
                <w:sz w:val="22"/>
                <w:szCs w:val="22"/>
              </w:rPr>
              <w:t>valdības līgumā par sadarbību tiesībaizsardzības jomā</w:t>
            </w:r>
            <w:r w:rsidRPr="00C33C45" w:rsidR="009010F0">
              <w:rPr>
                <w:bCs/>
                <w:szCs w:val="28"/>
              </w:rPr>
              <w:t xml:space="preserve"> (turpmāk – Līguma </w:t>
            </w:r>
            <w:r w:rsidRPr="00C33C45" w:rsidR="00237AE7">
              <w:rPr>
                <w:bCs/>
                <w:szCs w:val="28"/>
              </w:rPr>
              <w:t>grozījum</w:t>
            </w:r>
            <w:r w:rsidR="00697ED0">
              <w:rPr>
                <w:bCs/>
                <w:szCs w:val="28"/>
              </w:rPr>
              <w:t>s</w:t>
            </w:r>
            <w:r w:rsidRPr="00C33C45" w:rsidR="009010F0">
              <w:rPr>
                <w:bCs/>
                <w:szCs w:val="28"/>
              </w:rPr>
              <w:t>), tādejādi turpinot</w:t>
            </w:r>
            <w:r w:rsidRPr="00C33C45" w:rsidR="00440ECE">
              <w:t xml:space="preserve"> Latvijas Republikas un Amerikas Savienoto Valstu (turpmāk – ASV) sadarbību tiesībsargājošo iestāžu </w:t>
            </w:r>
            <w:r w:rsidR="00697ED0">
              <w:t>ekspertu</w:t>
            </w:r>
            <w:r w:rsidRPr="00C33C45" w:rsidR="00440ECE">
              <w:t xml:space="preserve"> </w:t>
            </w:r>
            <w:r w:rsidRPr="00C33C45" w:rsidR="006325A4">
              <w:t>profesionālās kvalifikācijas celšanas</w:t>
            </w:r>
            <w:r w:rsidRPr="00C33C45" w:rsidR="00440ECE">
              <w:t xml:space="preserve"> jomā.</w:t>
            </w:r>
          </w:p>
        </w:tc>
      </w:tr>
    </w:tbl>
    <w:p w:rsidRPr="00C33C45" w:rsidR="00F37F7E" w:rsidP="00F37F7E" w:rsidRDefault="00F37F7E" w14:paraId="0CA009FA" w14:textId="77777777">
      <w:pPr>
        <w:pStyle w:val="naisc"/>
        <w:widowControl w:val="0"/>
        <w:spacing w:before="0" w:beforeAutospacing="0" w:after="0" w:afterAutospacing="0"/>
        <w:jc w:val="center"/>
      </w:pPr>
    </w:p>
    <w:tbl>
      <w:tblPr>
        <w:tblpPr w:leftFromText="180" w:rightFromText="180" w:vertAnchor="text" w:tblpX="-41" w:tblpY="1"/>
        <w:tblOverlap w:val="never"/>
        <w:tblW w:w="907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604"/>
        <w:gridCol w:w="1949"/>
        <w:gridCol w:w="6520"/>
      </w:tblGrid>
      <w:tr w:rsidRPr="00C33C45" w:rsidR="00C74D3A" w:rsidTr="008D6C9E" w14:paraId="366C21B0" w14:textId="77777777">
        <w:tc>
          <w:tcPr>
            <w:tcW w:w="9073" w:type="dxa"/>
            <w:gridSpan w:val="3"/>
          </w:tcPr>
          <w:p w:rsidRPr="00C33C45" w:rsidR="00AC145B" w:rsidP="00662DB5" w:rsidRDefault="00AC145B" w14:paraId="72AB731D" w14:textId="77777777">
            <w:pPr>
              <w:pStyle w:val="naislab"/>
              <w:spacing w:before="0" w:after="0"/>
              <w:jc w:val="center"/>
              <w:outlineLvl w:val="0"/>
              <w:rPr>
                <w:b/>
                <w:sz w:val="28"/>
                <w:szCs w:val="28"/>
              </w:rPr>
            </w:pPr>
            <w:r w:rsidRPr="00C33C45">
              <w:rPr>
                <w:b/>
              </w:rPr>
              <w:t>I. Tiesību akta projekta izstrādes nepieciešamība</w:t>
            </w:r>
          </w:p>
        </w:tc>
      </w:tr>
      <w:tr w:rsidRPr="00C33C45" w:rsidR="00C74D3A" w:rsidTr="008D6C9E" w14:paraId="4D2172DF" w14:textId="77777777">
        <w:tc>
          <w:tcPr>
            <w:tcW w:w="606" w:type="dxa"/>
          </w:tcPr>
          <w:p w:rsidRPr="00C33C45" w:rsidR="00AC145B" w:rsidP="00662DB5" w:rsidRDefault="00AC145B" w14:paraId="6D55240B" w14:textId="77777777">
            <w:pPr>
              <w:pStyle w:val="naislab"/>
              <w:spacing w:before="0" w:after="0"/>
              <w:jc w:val="center"/>
              <w:outlineLvl w:val="0"/>
            </w:pPr>
            <w:r w:rsidRPr="00C33C45">
              <w:t>1.</w:t>
            </w:r>
          </w:p>
        </w:tc>
        <w:tc>
          <w:tcPr>
            <w:tcW w:w="1917" w:type="dxa"/>
          </w:tcPr>
          <w:p w:rsidRPr="00C33C45" w:rsidR="00AC145B" w:rsidP="00662DB5" w:rsidRDefault="00AC145B" w14:paraId="7654A24B" w14:textId="77777777">
            <w:pPr>
              <w:pStyle w:val="naislab"/>
              <w:spacing w:before="0" w:after="0"/>
              <w:jc w:val="both"/>
              <w:outlineLvl w:val="0"/>
            </w:pPr>
            <w:r w:rsidRPr="00C33C45">
              <w:t>Pamatojums</w:t>
            </w:r>
          </w:p>
        </w:tc>
        <w:tc>
          <w:tcPr>
            <w:tcW w:w="6550" w:type="dxa"/>
          </w:tcPr>
          <w:p w:rsidRPr="00C33C45" w:rsidR="00E13069" w:rsidP="00662DB5" w:rsidRDefault="001649D6" w14:paraId="0681C59C" w14:textId="097B85C0">
            <w:pPr>
              <w:pStyle w:val="naislab"/>
              <w:spacing w:before="0" w:after="0"/>
              <w:jc w:val="both"/>
              <w:outlineLvl w:val="0"/>
            </w:pPr>
            <w:bookmarkStart w:name="_Hlk17133499" w:id="3"/>
            <w:r w:rsidRPr="00C33C45">
              <w:t xml:space="preserve">Likumprojekts izstrādāts, </w:t>
            </w:r>
            <w:r w:rsidRPr="00C33C45" w:rsidR="002636F9">
              <w:t>atsaucoties uz ASV iniciatīvu turpināt sadarbību, kas uzsākta jau 2001. un 20</w:t>
            </w:r>
            <w:r w:rsidRPr="00C33C45" w:rsidR="000D3553">
              <w:t>0</w:t>
            </w:r>
            <w:r w:rsidRPr="00C33C45" w:rsidR="002636F9">
              <w:t>4.</w:t>
            </w:r>
            <w:r w:rsidRPr="00C33C45" w:rsidR="00B7101B">
              <w:t> </w:t>
            </w:r>
            <w:r w:rsidRPr="00C33C45" w:rsidR="002636F9">
              <w:t>gadā, noslēdzot starpvaldību līgumus ar mērķi sadarboties tiesīb</w:t>
            </w:r>
            <w:r w:rsidR="00366771">
              <w:t>sargājošo</w:t>
            </w:r>
            <w:r w:rsidRPr="00C33C45" w:rsidR="009010F0">
              <w:t xml:space="preserve"> iestāžu darbinieku kapacitātes stiprināšanas un profesionālās pilnveidošanas</w:t>
            </w:r>
            <w:r w:rsidRPr="00C33C45" w:rsidR="002636F9">
              <w:t xml:space="preserve"> jomā</w:t>
            </w:r>
            <w:r w:rsidRPr="00C33C45" w:rsidR="00D10A75">
              <w:t>, proti</w:t>
            </w:r>
            <w:r w:rsidR="00697ED0">
              <w:t>,</w:t>
            </w:r>
            <w:r w:rsidRPr="00C33C45" w:rsidR="00D10A75">
              <w:t xml:space="preserve"> 2001. gada 20. septembrī parakstītais Latvijas Republikas valdības un Amerikas Savienoto Valstu valdības vienošanās protokols par likuma izpildi ("Latvijas Vēstnes</w:t>
            </w:r>
            <w:r w:rsidRPr="00C33C45" w:rsidR="00F35655">
              <w:t>is</w:t>
            </w:r>
            <w:r w:rsidRPr="00C33C45" w:rsidR="00D10A75">
              <w:t>" Nr.33, 28.02.2003)</w:t>
            </w:r>
            <w:r w:rsidRPr="00C33C45" w:rsidR="00F35655">
              <w:t xml:space="preserve"> </w:t>
            </w:r>
            <w:r w:rsidRPr="00C33C45" w:rsidR="00D10A75">
              <w:t>un 2004.gada 27.septembrī parakstīt</w:t>
            </w:r>
            <w:r w:rsidR="00697ED0">
              <w:t>ais</w:t>
            </w:r>
            <w:r w:rsidRPr="00C33C45" w:rsidR="00D10A75">
              <w:t xml:space="preserve"> Latvijas Republikas valdības un Amerikas Savienoto Valstu valdības līgums par sadarbību tiesībaizsardzības jomā</w:t>
            </w:r>
            <w:r w:rsidRPr="00C33C45" w:rsidR="00F35655">
              <w:t xml:space="preserve"> ("Latvijas Vēstnesis" Nr.203(3151), 21.12.2004), turpmāk </w:t>
            </w:r>
            <w:r w:rsidRPr="00C33C45" w:rsidR="004F3715">
              <w:t>–</w:t>
            </w:r>
            <w:r w:rsidRPr="00C33C45" w:rsidR="00F35655">
              <w:t xml:space="preserve"> </w:t>
            </w:r>
            <w:r w:rsidRPr="00C33C45" w:rsidR="004F3715">
              <w:t>2004.gada Līgums</w:t>
            </w:r>
            <w:r w:rsidR="00697ED0">
              <w:t>.</w:t>
            </w:r>
          </w:p>
          <w:p w:rsidRPr="00C33C45" w:rsidR="009010F0" w:rsidP="009010F0" w:rsidRDefault="009010F0" w14:paraId="36554850" w14:textId="77777777">
            <w:pPr>
              <w:pStyle w:val="naislab"/>
              <w:spacing w:before="0" w:after="0"/>
              <w:jc w:val="both"/>
              <w:outlineLvl w:val="0"/>
            </w:pPr>
          </w:p>
          <w:p w:rsidRPr="00C33C45" w:rsidR="009010F0" w:rsidP="009010F0" w:rsidRDefault="009010F0" w14:paraId="0175A218" w14:textId="62C6D5D6">
            <w:pPr>
              <w:pStyle w:val="naislab"/>
              <w:spacing w:before="0" w:after="0"/>
              <w:jc w:val="both"/>
              <w:outlineLvl w:val="0"/>
              <w:rPr>
                <w:bCs/>
                <w:szCs w:val="28"/>
              </w:rPr>
            </w:pPr>
            <w:r w:rsidRPr="00C33C45">
              <w:rPr>
                <w:bCs/>
                <w:szCs w:val="28"/>
              </w:rPr>
              <w:t>Ciešāka divpusējā sadarbība ar ASV, lai veicinātu starptautisko cīņu ar noziedzīgi iegūtu līdzekļu legalizāciju</w:t>
            </w:r>
            <w:r w:rsidRPr="00C33C45">
              <w:rPr>
                <w:rFonts w:ascii="Open Sans" w:hAnsi="Open Sans" w:cs="Arial"/>
                <w:color w:val="2B292A"/>
              </w:rPr>
              <w:t xml:space="preserve"> </w:t>
            </w:r>
            <w:r w:rsidRPr="00C33C45">
              <w:rPr>
                <w:bCs/>
                <w:szCs w:val="28"/>
              </w:rPr>
              <w:t>un terorisma finansēšanu, pārrunāta arī Latvijas Ministru prezidenta K.Kariņa vizītes laikā ASV 2019.</w:t>
            </w:r>
            <w:r w:rsidR="00366771">
              <w:rPr>
                <w:bCs/>
                <w:szCs w:val="28"/>
              </w:rPr>
              <w:t> </w:t>
            </w:r>
            <w:r w:rsidRPr="00C33C45">
              <w:rPr>
                <w:bCs/>
                <w:szCs w:val="28"/>
              </w:rPr>
              <w:t>gada jūlijā.</w:t>
            </w:r>
          </w:p>
          <w:p w:rsidRPr="00C33C45" w:rsidR="009010F0" w:rsidP="00662DB5" w:rsidRDefault="009010F0" w14:paraId="6D0A99D5" w14:textId="77777777">
            <w:pPr>
              <w:pStyle w:val="naislab"/>
              <w:spacing w:before="0" w:after="0"/>
              <w:jc w:val="both"/>
              <w:outlineLvl w:val="0"/>
              <w:rPr>
                <w:bCs/>
                <w:szCs w:val="28"/>
              </w:rPr>
            </w:pPr>
          </w:p>
          <w:p w:rsidRPr="00C33C45" w:rsidR="006F1E32" w:rsidP="00C51A25" w:rsidRDefault="006F1E32" w14:paraId="27E31175" w14:textId="4557CD6F">
            <w:pPr>
              <w:pStyle w:val="naislab"/>
              <w:spacing w:before="0" w:after="0"/>
              <w:jc w:val="both"/>
              <w:outlineLvl w:val="0"/>
              <w:rPr>
                <w:bCs/>
                <w:szCs w:val="28"/>
              </w:rPr>
            </w:pPr>
            <w:r w:rsidRPr="00C33C45">
              <w:rPr>
                <w:bCs/>
                <w:szCs w:val="28"/>
              </w:rPr>
              <w:t>Līgum</w:t>
            </w:r>
            <w:r w:rsidRPr="00C33C45" w:rsidR="002636F9">
              <w:rPr>
                <w:bCs/>
                <w:szCs w:val="28"/>
              </w:rPr>
              <w:t xml:space="preserve">a </w:t>
            </w:r>
            <w:r w:rsidRPr="00C33C45" w:rsidR="00237AE7">
              <w:rPr>
                <w:bCs/>
                <w:szCs w:val="28"/>
              </w:rPr>
              <w:t>grozījum</w:t>
            </w:r>
            <w:r w:rsidR="00697ED0">
              <w:rPr>
                <w:bCs/>
                <w:szCs w:val="28"/>
              </w:rPr>
              <w:t>s</w:t>
            </w:r>
            <w:r w:rsidRPr="00C33C45" w:rsidR="00237AE7">
              <w:rPr>
                <w:bCs/>
                <w:szCs w:val="28"/>
              </w:rPr>
              <w:t xml:space="preserve"> </w:t>
            </w:r>
            <w:r w:rsidRPr="00C33C45" w:rsidR="009010F0">
              <w:rPr>
                <w:bCs/>
                <w:szCs w:val="28"/>
              </w:rPr>
              <w:t>veicinās</w:t>
            </w:r>
            <w:r w:rsidRPr="00C33C45">
              <w:rPr>
                <w:bCs/>
                <w:szCs w:val="28"/>
              </w:rPr>
              <w:t xml:space="preserve"> </w:t>
            </w:r>
            <w:r w:rsidRPr="00C33C45" w:rsidR="009010F0">
              <w:rPr>
                <w:bCs/>
                <w:szCs w:val="28"/>
              </w:rPr>
              <w:t>arī Eiropas Padomes noziedzīgi iegūtu līdzekļu legalizācijas un terorisma finansēšanas novēršanas ekspertu komitejas (Moneyval)</w:t>
            </w:r>
            <w:r w:rsidRPr="00C33C45" w:rsidR="00C51A25">
              <w:rPr>
                <w:bCs/>
                <w:szCs w:val="28"/>
              </w:rPr>
              <w:t xml:space="preserve"> 5. kārtas novērtēšanas 2018. gada 23. augusta ziņojumā</w:t>
            </w:r>
            <w:r w:rsidRPr="00C33C45" w:rsidR="00C51A25">
              <w:rPr>
                <w:rFonts w:ascii="Georgia" w:hAnsi="Georgia"/>
                <w:color w:val="26303B"/>
                <w:spacing w:val="11"/>
                <w:sz w:val="30"/>
                <w:szCs w:val="30"/>
              </w:rPr>
              <w:t xml:space="preserve"> </w:t>
            </w:r>
            <w:r w:rsidRPr="00C33C45" w:rsidR="00C51A25">
              <w:rPr>
                <w:bCs/>
                <w:szCs w:val="28"/>
              </w:rPr>
              <w:t>(skatīt</w:t>
            </w:r>
            <w:r w:rsidRPr="00C33C45" w:rsidR="00C51A25">
              <w:rPr>
                <w:rFonts w:ascii="Georgia" w:hAnsi="Georgia"/>
                <w:color w:val="26303B"/>
                <w:spacing w:val="11"/>
                <w:sz w:val="30"/>
                <w:szCs w:val="30"/>
              </w:rPr>
              <w:t xml:space="preserve"> </w:t>
            </w:r>
            <w:r w:rsidRPr="00C33C45" w:rsidR="00C51A25">
              <w:t xml:space="preserve"> </w:t>
            </w:r>
            <w:hyperlink w:history="1" r:id="rId8">
              <w:r w:rsidRPr="00C33C45" w:rsidR="00C51A25">
                <w:rPr>
                  <w:rStyle w:val="Hipersaite"/>
                  <w:bCs/>
                  <w:szCs w:val="28"/>
                </w:rPr>
                <w:t>https://rm.coe.int/moneyval-2018-8-5th-round-mer-latvia/16808ce61b</w:t>
              </w:r>
            </w:hyperlink>
            <w:r w:rsidRPr="00C33C45" w:rsidR="00C51A25">
              <w:rPr>
                <w:bCs/>
                <w:szCs w:val="28"/>
              </w:rPr>
              <w:t xml:space="preserve">) Latvijai sniegto </w:t>
            </w:r>
            <w:r w:rsidRPr="00C33C45">
              <w:rPr>
                <w:bCs/>
                <w:szCs w:val="28"/>
              </w:rPr>
              <w:t>rekomendāciju</w:t>
            </w:r>
            <w:r w:rsidRPr="00C33C45" w:rsidR="00C51A25">
              <w:rPr>
                <w:bCs/>
                <w:szCs w:val="28"/>
              </w:rPr>
              <w:t xml:space="preserve"> </w:t>
            </w:r>
            <w:r w:rsidRPr="00C33C45">
              <w:rPr>
                <w:bCs/>
                <w:szCs w:val="28"/>
              </w:rPr>
              <w:t xml:space="preserve">ieviešanu attiecībā uz kapacitātes celšanu cīņā ar noziedzīgi iegūtu līdzekļu </w:t>
            </w:r>
            <w:r w:rsidRPr="00C33C45" w:rsidR="009010F0">
              <w:rPr>
                <w:bCs/>
                <w:szCs w:val="28"/>
              </w:rPr>
              <w:t>legalizāciju</w:t>
            </w:r>
            <w:r w:rsidRPr="00C33C45">
              <w:rPr>
                <w:bCs/>
                <w:szCs w:val="28"/>
              </w:rPr>
              <w:t>, korupciju un pārnacionālo noziedzību.</w:t>
            </w:r>
            <w:bookmarkEnd w:id="3"/>
          </w:p>
        </w:tc>
      </w:tr>
      <w:tr w:rsidRPr="00C33C45" w:rsidR="00C74D3A" w:rsidTr="008D6C9E" w14:paraId="54BD505F" w14:textId="77777777">
        <w:tc>
          <w:tcPr>
            <w:tcW w:w="606" w:type="dxa"/>
          </w:tcPr>
          <w:p w:rsidRPr="00C33C45" w:rsidR="00AC145B" w:rsidP="00662DB5" w:rsidRDefault="00AC145B" w14:paraId="1740A5CA" w14:textId="77777777">
            <w:pPr>
              <w:pStyle w:val="naislab"/>
              <w:spacing w:before="0" w:after="0"/>
              <w:jc w:val="center"/>
              <w:outlineLvl w:val="0"/>
              <w:rPr>
                <w:color w:val="000000" w:themeColor="text1"/>
              </w:rPr>
            </w:pPr>
            <w:bookmarkStart w:name="_Hlk17133523" w:id="4"/>
            <w:r w:rsidRPr="00C33C45">
              <w:rPr>
                <w:color w:val="000000" w:themeColor="text1"/>
              </w:rPr>
              <w:t>2.</w:t>
            </w:r>
          </w:p>
        </w:tc>
        <w:tc>
          <w:tcPr>
            <w:tcW w:w="1917" w:type="dxa"/>
          </w:tcPr>
          <w:p w:rsidRPr="00C33C45" w:rsidR="00AC145B" w:rsidP="00662DB5" w:rsidRDefault="00AC145B" w14:paraId="2624E284" w14:textId="77777777">
            <w:pPr>
              <w:pStyle w:val="naislab"/>
              <w:spacing w:before="0" w:after="0"/>
              <w:jc w:val="both"/>
              <w:outlineLvl w:val="0"/>
              <w:rPr>
                <w:color w:val="000000" w:themeColor="text1"/>
              </w:rPr>
            </w:pPr>
            <w:r w:rsidRPr="00C33C45">
              <w:rPr>
                <w:color w:val="000000" w:themeColor="text1"/>
              </w:rPr>
              <w:t>Pašreizējā situācija un problēmas, kuru risināšanai tiesību akta projekts izstrādāts, tiesiskā regulējuma mērķis un būtība</w:t>
            </w:r>
          </w:p>
        </w:tc>
        <w:tc>
          <w:tcPr>
            <w:tcW w:w="6550" w:type="dxa"/>
          </w:tcPr>
          <w:p w:rsidR="00697ED0" w:rsidP="00662DB5" w:rsidRDefault="005844D7" w14:paraId="0BC7FCF4" w14:textId="77777777">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 xml:space="preserve">Likumprojekts un ar to apstiprināmais 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s</w:t>
            </w:r>
            <w:r w:rsidRPr="00C33C45" w:rsidR="00237AE7">
              <w:rPr>
                <w:bCs/>
                <w:color w:val="000000" w:themeColor="text1"/>
                <w:sz w:val="24"/>
                <w:szCs w:val="28"/>
                <w:lang w:val="lv-LV" w:eastAsia="lv-LV"/>
              </w:rPr>
              <w:t xml:space="preserve"> </w:t>
            </w:r>
            <w:r w:rsidRPr="00C33C45">
              <w:rPr>
                <w:bCs/>
                <w:color w:val="000000" w:themeColor="text1"/>
                <w:sz w:val="24"/>
                <w:szCs w:val="28"/>
                <w:lang w:val="lv-LV" w:eastAsia="lv-LV"/>
              </w:rPr>
              <w:t>paredz turpināt sadarbību, kas uzsākta ar 2004.gada Līgum</w:t>
            </w:r>
            <w:r w:rsidRPr="00C33C45" w:rsidR="004F3715">
              <w:rPr>
                <w:bCs/>
                <w:color w:val="000000" w:themeColor="text1"/>
                <w:sz w:val="24"/>
                <w:szCs w:val="28"/>
                <w:lang w:val="lv-LV" w:eastAsia="lv-LV"/>
              </w:rPr>
              <w:t>u</w:t>
            </w:r>
            <w:r w:rsidRPr="00C33C45">
              <w:rPr>
                <w:bCs/>
                <w:color w:val="000000" w:themeColor="text1"/>
                <w:sz w:val="24"/>
                <w:szCs w:val="28"/>
                <w:lang w:val="lv-LV" w:eastAsia="lv-LV"/>
              </w:rPr>
              <w:t xml:space="preserve">. </w:t>
            </w:r>
          </w:p>
          <w:p w:rsidR="00697ED0" w:rsidP="00662DB5" w:rsidRDefault="00697ED0" w14:paraId="377E6549" w14:textId="77777777">
            <w:pPr>
              <w:pStyle w:val="tv2132"/>
              <w:spacing w:line="240" w:lineRule="auto"/>
              <w:ind w:firstLine="0"/>
              <w:jc w:val="both"/>
              <w:rPr>
                <w:bCs/>
                <w:color w:val="000000" w:themeColor="text1"/>
                <w:sz w:val="24"/>
                <w:szCs w:val="28"/>
                <w:lang w:val="lv-LV" w:eastAsia="lv-LV"/>
              </w:rPr>
            </w:pPr>
          </w:p>
          <w:p w:rsidRPr="00C33C45" w:rsidR="005844D7" w:rsidP="00662DB5" w:rsidRDefault="005844D7" w14:paraId="50F7895D" w14:textId="123FDFEE">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2004.gada Līgums apstiprināts Saeimā ar 2004.gada 2.decembra likumu “Par Latvijas Republikas valdības un Amerikas Savienoto Valstu valdības līgumu par sadarbību tiesībaizsardzības jomā”.</w:t>
            </w:r>
          </w:p>
          <w:p w:rsidRPr="00C33C45" w:rsidR="005844D7" w:rsidP="00662DB5" w:rsidRDefault="005844D7" w14:paraId="21FDA1AA" w14:textId="11A2C28F">
            <w:pPr>
              <w:pStyle w:val="tv2132"/>
              <w:spacing w:line="240" w:lineRule="auto"/>
              <w:ind w:firstLine="0"/>
              <w:jc w:val="both"/>
              <w:rPr>
                <w:bCs/>
                <w:color w:val="000000" w:themeColor="text1"/>
                <w:sz w:val="24"/>
                <w:szCs w:val="28"/>
                <w:lang w:val="lv-LV" w:eastAsia="lv-LV"/>
              </w:rPr>
            </w:pPr>
            <w:bookmarkStart w:name="_Hlk17133558" w:id="5"/>
            <w:r w:rsidRPr="00C33C45">
              <w:rPr>
                <w:bCs/>
                <w:color w:val="000000" w:themeColor="text1"/>
                <w:sz w:val="24"/>
                <w:szCs w:val="28"/>
                <w:lang w:val="lv-LV" w:eastAsia="lv-LV"/>
              </w:rPr>
              <w:lastRenderedPageBreak/>
              <w:t xml:space="preserve">Ņemot vērā, ka 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s</w:t>
            </w:r>
            <w:r w:rsidR="00ED06A6">
              <w:rPr>
                <w:bCs/>
                <w:color w:val="000000" w:themeColor="text1"/>
                <w:sz w:val="24"/>
                <w:szCs w:val="28"/>
                <w:lang w:val="lv-LV" w:eastAsia="lv-LV"/>
              </w:rPr>
              <w:t xml:space="preserve"> </w:t>
            </w:r>
            <w:r w:rsidRPr="00C33C45">
              <w:rPr>
                <w:bCs/>
                <w:color w:val="000000" w:themeColor="text1"/>
                <w:sz w:val="24"/>
                <w:szCs w:val="28"/>
                <w:lang w:val="lv-LV" w:eastAsia="lv-LV"/>
              </w:rPr>
              <w:t>papildina ar likumu apstiprin</w:t>
            </w:r>
            <w:r w:rsidRPr="00C33C45" w:rsidR="009010F0">
              <w:rPr>
                <w:bCs/>
                <w:color w:val="000000" w:themeColor="text1"/>
                <w:sz w:val="24"/>
                <w:szCs w:val="28"/>
                <w:lang w:val="lv-LV" w:eastAsia="lv-LV"/>
              </w:rPr>
              <w:t>āto</w:t>
            </w:r>
            <w:r w:rsidRPr="00C33C45">
              <w:rPr>
                <w:bCs/>
                <w:color w:val="000000" w:themeColor="text1"/>
                <w:sz w:val="24"/>
                <w:szCs w:val="28"/>
                <w:lang w:val="lv-LV" w:eastAsia="lv-LV"/>
              </w:rPr>
              <w:t xml:space="preserve"> 2004.gada Līgumu, Līguma </w:t>
            </w:r>
            <w:r w:rsidR="00697ED0">
              <w:rPr>
                <w:bCs/>
                <w:color w:val="000000" w:themeColor="text1"/>
                <w:sz w:val="24"/>
                <w:szCs w:val="28"/>
                <w:lang w:val="lv-LV" w:eastAsia="lv-LV"/>
              </w:rPr>
              <w:t>grozījumu</w:t>
            </w:r>
            <w:r w:rsidRPr="00C33C45">
              <w:rPr>
                <w:bCs/>
                <w:color w:val="000000" w:themeColor="text1"/>
                <w:sz w:val="24"/>
                <w:szCs w:val="28"/>
                <w:lang w:val="lv-LV" w:eastAsia="lv-LV"/>
              </w:rPr>
              <w:t xml:space="preserve"> tāpat nepieciešams apstiprināt ar likumu.</w:t>
            </w:r>
            <w:bookmarkEnd w:id="5"/>
          </w:p>
          <w:p w:rsidRPr="00C33C45" w:rsidR="005844D7" w:rsidP="00662DB5" w:rsidRDefault="005844D7" w14:paraId="78747370" w14:textId="61E9598D">
            <w:pPr>
              <w:pStyle w:val="tv2132"/>
              <w:spacing w:line="240" w:lineRule="auto"/>
              <w:ind w:firstLine="0"/>
              <w:jc w:val="both"/>
              <w:rPr>
                <w:bCs/>
                <w:color w:val="000000" w:themeColor="text1"/>
                <w:sz w:val="24"/>
                <w:szCs w:val="28"/>
                <w:lang w:val="lv-LV" w:eastAsia="lv-LV"/>
              </w:rPr>
            </w:pPr>
          </w:p>
          <w:p w:rsidRPr="00C33C45" w:rsidR="009010F0" w:rsidP="009010F0" w:rsidRDefault="009010F0" w14:paraId="7EDAFD98" w14:textId="20B86536">
            <w:pPr>
              <w:pStyle w:val="Sarakstarindkopa"/>
              <w:widowControl w:val="0"/>
              <w:ind w:left="0"/>
              <w:jc w:val="both"/>
              <w:rPr>
                <w:bCs/>
                <w:color w:val="000000" w:themeColor="text1"/>
                <w:szCs w:val="28"/>
              </w:rPr>
            </w:pPr>
            <w:r w:rsidRPr="00C33C45">
              <w:rPr>
                <w:bCs/>
                <w:color w:val="000000" w:themeColor="text1"/>
                <w:szCs w:val="28"/>
              </w:rPr>
              <w:t xml:space="preserve">Līguma </w:t>
            </w:r>
            <w:r w:rsidRPr="00C33C45" w:rsidR="00237AE7">
              <w:rPr>
                <w:bCs/>
                <w:color w:val="000000" w:themeColor="text1"/>
                <w:szCs w:val="28"/>
              </w:rPr>
              <w:t>grozījum</w:t>
            </w:r>
            <w:r w:rsidR="00697ED0">
              <w:rPr>
                <w:bCs/>
                <w:color w:val="000000" w:themeColor="text1"/>
                <w:szCs w:val="28"/>
              </w:rPr>
              <w:t>a</w:t>
            </w:r>
            <w:r w:rsidRPr="00C33C45" w:rsidR="00237AE7">
              <w:rPr>
                <w:bCs/>
                <w:color w:val="000000" w:themeColor="text1"/>
                <w:szCs w:val="28"/>
              </w:rPr>
              <w:t xml:space="preserve"> </w:t>
            </w:r>
            <w:r w:rsidRPr="00C33C45">
              <w:rPr>
                <w:bCs/>
                <w:color w:val="000000" w:themeColor="text1"/>
                <w:szCs w:val="28"/>
              </w:rPr>
              <w:t xml:space="preserve">pamatmērķis saskaņā ar </w:t>
            </w:r>
            <w:r w:rsidR="00697ED0">
              <w:rPr>
                <w:bCs/>
                <w:color w:val="000000" w:themeColor="text1"/>
                <w:szCs w:val="28"/>
              </w:rPr>
              <w:t xml:space="preserve">tā </w:t>
            </w:r>
            <w:r w:rsidRPr="00C33C45">
              <w:rPr>
                <w:bCs/>
                <w:color w:val="000000" w:themeColor="text1"/>
                <w:szCs w:val="28"/>
              </w:rPr>
              <w:t>II</w:t>
            </w:r>
            <w:r w:rsidR="00697ED0">
              <w:rPr>
                <w:bCs/>
                <w:color w:val="000000" w:themeColor="text1"/>
                <w:szCs w:val="28"/>
              </w:rPr>
              <w:t> </w:t>
            </w:r>
            <w:r w:rsidRPr="00C33C45">
              <w:rPr>
                <w:bCs/>
                <w:color w:val="000000" w:themeColor="text1"/>
                <w:szCs w:val="28"/>
              </w:rPr>
              <w:t>pantu ir veicināt kriminālās justīcijas sektora spēju apkarot korupciju un nelikumīgi iegūtu līdzekļu legalizēšanu, uzlabot robežu drošību, izmeklēt un iztiesātu finanšu noziegumus, kibernoziegumus un organizēto noziedzību, kā arī lai iesaistītu pilsonisko sabiedrību saistītu reformu īstenošanā, uzlabojot izmeklētāju, prokuroru un tiesnešu tehnisko spēju izskatīt sarežģītas finanšu lietas un palīdzēt valdībām izstrādāt stratēģijas kriminālvajāšanas pilnveidošanai un tiesiskuma stiprināšanai.</w:t>
            </w:r>
          </w:p>
          <w:p w:rsidRPr="00C33C45" w:rsidR="009010F0" w:rsidP="009010F0" w:rsidRDefault="009010F0" w14:paraId="501D5B73" w14:textId="363DE084">
            <w:pPr>
              <w:pStyle w:val="tv2132"/>
              <w:spacing w:line="240" w:lineRule="auto"/>
              <w:ind w:firstLine="0"/>
              <w:jc w:val="both"/>
              <w:rPr>
                <w:bCs/>
                <w:color w:val="000000" w:themeColor="text1"/>
                <w:sz w:val="24"/>
                <w:szCs w:val="28"/>
                <w:lang w:val="lv-LV" w:eastAsia="lv-LV"/>
              </w:rPr>
            </w:pPr>
          </w:p>
          <w:p w:rsidRPr="00C33C45" w:rsidR="005844D7" w:rsidP="00662DB5" w:rsidRDefault="005844D7" w14:paraId="06445D75" w14:textId="351F5807">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Sadarbība</w:t>
            </w:r>
            <w:r w:rsidR="00697ED0">
              <w:rPr>
                <w:bCs/>
                <w:color w:val="000000" w:themeColor="text1"/>
                <w:sz w:val="24"/>
                <w:szCs w:val="28"/>
                <w:lang w:val="lv-LV" w:eastAsia="lv-LV"/>
              </w:rPr>
              <w:t>, ko paredz Līguma grozījums,</w:t>
            </w:r>
            <w:r w:rsidRPr="00C33C45">
              <w:rPr>
                <w:bCs/>
                <w:color w:val="000000" w:themeColor="text1"/>
                <w:sz w:val="24"/>
                <w:szCs w:val="28"/>
                <w:lang w:val="lv-LV" w:eastAsia="lv-LV"/>
              </w:rPr>
              <w:t xml:space="preserve"> plānota uz laika posmu no diviem līdz četriem gadiem.</w:t>
            </w:r>
          </w:p>
          <w:p w:rsidRPr="00C33C45" w:rsidR="009010F0" w:rsidP="00662DB5" w:rsidRDefault="009010F0" w14:paraId="7FCBEABB" w14:textId="77777777">
            <w:pPr>
              <w:pStyle w:val="tv2132"/>
              <w:spacing w:line="240" w:lineRule="auto"/>
              <w:ind w:firstLine="0"/>
              <w:jc w:val="both"/>
              <w:rPr>
                <w:bCs/>
                <w:color w:val="000000" w:themeColor="text1"/>
                <w:sz w:val="24"/>
                <w:szCs w:val="28"/>
                <w:lang w:val="lv-LV" w:eastAsia="lv-LV"/>
              </w:rPr>
            </w:pPr>
          </w:p>
          <w:p w:rsidRPr="00C33C45" w:rsidR="009010F0" w:rsidP="00662DB5" w:rsidRDefault="005844D7" w14:paraId="06E28DAD" w14:textId="010670B3">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 xml:space="preserve">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w:t>
            </w:r>
            <w:r w:rsidRPr="00C33C45">
              <w:rPr>
                <w:bCs/>
                <w:color w:val="000000" w:themeColor="text1"/>
                <w:sz w:val="24"/>
                <w:szCs w:val="28"/>
                <w:lang w:val="lv-LV" w:eastAsia="lv-LV"/>
              </w:rPr>
              <w:t xml:space="preserve">ietvaros ASV valdība plāno atvēlēt </w:t>
            </w:r>
            <w:r w:rsidRPr="00C33C45" w:rsidR="009010F0">
              <w:rPr>
                <w:bCs/>
                <w:color w:val="000000" w:themeColor="text1"/>
                <w:sz w:val="24"/>
                <w:szCs w:val="28"/>
                <w:lang w:val="lv-LV" w:eastAsia="lv-LV"/>
              </w:rPr>
              <w:t>finanšu</w:t>
            </w:r>
            <w:r w:rsidRPr="00C33C45">
              <w:rPr>
                <w:bCs/>
                <w:color w:val="000000" w:themeColor="text1"/>
                <w:sz w:val="24"/>
                <w:szCs w:val="28"/>
                <w:lang w:val="lv-LV" w:eastAsia="lv-LV"/>
              </w:rPr>
              <w:t xml:space="preserve"> līdzekļus </w:t>
            </w:r>
            <w:r w:rsidRPr="00C33C45" w:rsidR="004F3715">
              <w:rPr>
                <w:bCs/>
                <w:color w:val="000000" w:themeColor="text1"/>
                <w:sz w:val="24"/>
                <w:szCs w:val="28"/>
                <w:lang w:val="lv-LV" w:eastAsia="lv-LV"/>
              </w:rPr>
              <w:t xml:space="preserve">aptuveni 2 </w:t>
            </w:r>
            <w:r w:rsidR="00697ED0">
              <w:rPr>
                <w:bCs/>
                <w:color w:val="000000" w:themeColor="text1"/>
                <w:sz w:val="24"/>
                <w:szCs w:val="28"/>
                <w:lang w:val="lv-LV" w:eastAsia="lv-LV"/>
              </w:rPr>
              <w:t xml:space="preserve">līdz 2,5 </w:t>
            </w:r>
            <w:r w:rsidRPr="00C33C45" w:rsidR="004F3715">
              <w:rPr>
                <w:bCs/>
                <w:color w:val="000000" w:themeColor="text1"/>
                <w:sz w:val="24"/>
                <w:szCs w:val="28"/>
                <w:lang w:val="lv-LV" w:eastAsia="lv-LV"/>
              </w:rPr>
              <w:t xml:space="preserve">miljonu dolāru </w:t>
            </w:r>
            <w:r w:rsidRPr="00C33C45">
              <w:rPr>
                <w:bCs/>
                <w:color w:val="000000" w:themeColor="text1"/>
                <w:sz w:val="24"/>
                <w:szCs w:val="28"/>
                <w:lang w:val="lv-LV" w:eastAsia="lv-LV"/>
              </w:rPr>
              <w:t xml:space="preserve">apmērā Līguma </w:t>
            </w:r>
            <w:r w:rsidRPr="00C33C45" w:rsidR="00237AE7">
              <w:rPr>
                <w:bCs/>
                <w:color w:val="000000" w:themeColor="text1"/>
                <w:sz w:val="24"/>
                <w:szCs w:val="28"/>
                <w:lang w:val="lv-LV" w:eastAsia="lv-LV"/>
              </w:rPr>
              <w:t xml:space="preserve">grozījumu </w:t>
            </w:r>
            <w:r w:rsidRPr="00C33C45">
              <w:rPr>
                <w:bCs/>
                <w:color w:val="000000" w:themeColor="text1"/>
                <w:sz w:val="24"/>
                <w:szCs w:val="28"/>
                <w:lang w:val="lv-LV" w:eastAsia="lv-LV"/>
              </w:rPr>
              <w:t>II</w:t>
            </w:r>
            <w:r w:rsidRPr="00C33C45" w:rsidR="00B7101B">
              <w:rPr>
                <w:bCs/>
                <w:color w:val="000000" w:themeColor="text1"/>
                <w:sz w:val="24"/>
                <w:szCs w:val="28"/>
                <w:lang w:val="lv-LV" w:eastAsia="lv-LV"/>
              </w:rPr>
              <w:t> </w:t>
            </w:r>
            <w:r w:rsidRPr="00C33C45">
              <w:rPr>
                <w:bCs/>
                <w:color w:val="000000" w:themeColor="text1"/>
                <w:sz w:val="24"/>
                <w:szCs w:val="28"/>
                <w:lang w:val="lv-LV" w:eastAsia="lv-LV"/>
              </w:rPr>
              <w:t xml:space="preserve">pantā minēto mērķu sasniegšanai </w:t>
            </w:r>
            <w:r w:rsidRPr="00C33C45" w:rsidR="004F3715">
              <w:rPr>
                <w:bCs/>
                <w:color w:val="000000" w:themeColor="text1"/>
                <w:sz w:val="24"/>
                <w:szCs w:val="28"/>
                <w:lang w:val="lv-LV" w:eastAsia="lv-LV"/>
              </w:rPr>
              <w:t>(finanšu līdzekļu galīgais apmēr</w:t>
            </w:r>
            <w:r w:rsidRPr="00C33C45" w:rsidR="006349B2">
              <w:rPr>
                <w:bCs/>
                <w:color w:val="000000" w:themeColor="text1"/>
                <w:sz w:val="24"/>
                <w:szCs w:val="28"/>
                <w:lang w:val="lv-LV" w:eastAsia="lv-LV"/>
              </w:rPr>
              <w:t>s</w:t>
            </w:r>
            <w:r w:rsidRPr="00C33C45" w:rsidR="004F3715">
              <w:rPr>
                <w:bCs/>
                <w:color w:val="000000" w:themeColor="text1"/>
                <w:sz w:val="24"/>
                <w:szCs w:val="28"/>
                <w:lang w:val="lv-LV" w:eastAsia="lv-LV"/>
              </w:rPr>
              <w:t xml:space="preserve"> </w:t>
            </w:r>
            <w:r w:rsidR="00697ED0">
              <w:rPr>
                <w:bCs/>
                <w:color w:val="000000" w:themeColor="text1"/>
                <w:sz w:val="24"/>
                <w:szCs w:val="28"/>
                <w:lang w:val="lv-LV" w:eastAsia="lv-LV"/>
              </w:rPr>
              <w:t xml:space="preserve">šobrīd nav precīzi nosakāms, ja iespējams tas tiks precizēts līdz Līguma grozījuma </w:t>
            </w:r>
            <w:r w:rsidRPr="00C33C45" w:rsidR="006349B2">
              <w:rPr>
                <w:bCs/>
                <w:color w:val="000000" w:themeColor="text1"/>
                <w:sz w:val="24"/>
                <w:szCs w:val="28"/>
                <w:lang w:val="lv-LV" w:eastAsia="lv-LV"/>
              </w:rPr>
              <w:t>parakstīšanai).</w:t>
            </w:r>
            <w:r w:rsidRPr="00C33C45" w:rsidR="004F3715">
              <w:rPr>
                <w:bCs/>
                <w:color w:val="000000" w:themeColor="text1"/>
                <w:sz w:val="24"/>
                <w:szCs w:val="28"/>
                <w:lang w:val="lv-LV" w:eastAsia="lv-LV"/>
              </w:rPr>
              <w:t xml:space="preserve"> </w:t>
            </w:r>
            <w:r w:rsidRPr="00C33C45" w:rsidR="009010F0">
              <w:rPr>
                <w:bCs/>
                <w:color w:val="000000" w:themeColor="text1"/>
                <w:sz w:val="24"/>
                <w:szCs w:val="28"/>
                <w:lang w:val="lv-LV" w:eastAsia="lv-LV"/>
              </w:rPr>
              <w:t xml:space="preserve">Saskaņā ar 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w:t>
            </w:r>
            <w:r w:rsidRPr="00C33C45" w:rsidR="009010F0">
              <w:rPr>
                <w:bCs/>
                <w:color w:val="000000" w:themeColor="text1"/>
                <w:sz w:val="24"/>
                <w:szCs w:val="28"/>
                <w:lang w:val="lv-LV" w:eastAsia="lv-LV"/>
              </w:rPr>
              <w:t>I</w:t>
            </w:r>
            <w:r w:rsidRPr="00C33C45" w:rsidR="00B7101B">
              <w:rPr>
                <w:bCs/>
                <w:color w:val="000000" w:themeColor="text1"/>
                <w:sz w:val="24"/>
                <w:szCs w:val="28"/>
                <w:lang w:val="lv-LV" w:eastAsia="lv-LV"/>
              </w:rPr>
              <w:t> </w:t>
            </w:r>
            <w:r w:rsidRPr="00C33C45" w:rsidR="009010F0">
              <w:rPr>
                <w:bCs/>
                <w:color w:val="000000" w:themeColor="text1"/>
                <w:sz w:val="24"/>
                <w:szCs w:val="28"/>
                <w:lang w:val="lv-LV" w:eastAsia="lv-LV"/>
              </w:rPr>
              <w:t>pantu</w:t>
            </w:r>
            <w:r w:rsidRPr="00C33C45" w:rsidR="006325A4">
              <w:rPr>
                <w:bCs/>
                <w:color w:val="000000" w:themeColor="text1"/>
                <w:sz w:val="24"/>
                <w:szCs w:val="28"/>
                <w:lang w:val="lv-LV" w:eastAsia="lv-LV"/>
              </w:rPr>
              <w:t>, sadarbību iespējams turpināt un dotācijas apmēru</w:t>
            </w:r>
            <w:r w:rsidRPr="00C33C45" w:rsidR="009010F0">
              <w:rPr>
                <w:bCs/>
                <w:color w:val="000000" w:themeColor="text1"/>
                <w:sz w:val="24"/>
                <w:szCs w:val="28"/>
                <w:lang w:val="lv-LV" w:eastAsia="lv-LV"/>
              </w:rPr>
              <w:t xml:space="preserve"> iespējams palielināt</w:t>
            </w:r>
            <w:r w:rsidRPr="00C33C45" w:rsidR="006325A4">
              <w:rPr>
                <w:bCs/>
                <w:color w:val="000000" w:themeColor="text1"/>
                <w:sz w:val="24"/>
                <w:szCs w:val="28"/>
                <w:lang w:val="lv-LV" w:eastAsia="lv-LV"/>
              </w:rPr>
              <w:t>, ja sadarbībai ir labi rezultāti</w:t>
            </w:r>
            <w:r w:rsidR="00366771">
              <w:rPr>
                <w:bCs/>
                <w:color w:val="000000" w:themeColor="text1"/>
                <w:sz w:val="24"/>
                <w:szCs w:val="28"/>
                <w:lang w:val="lv-LV" w:eastAsia="lv-LV"/>
              </w:rPr>
              <w:t>.</w:t>
            </w:r>
          </w:p>
          <w:p w:rsidRPr="00C33C45" w:rsidR="009010F0" w:rsidP="00662DB5" w:rsidRDefault="009010F0" w14:paraId="251FA965" w14:textId="77777777">
            <w:pPr>
              <w:pStyle w:val="tv2132"/>
              <w:spacing w:line="240" w:lineRule="auto"/>
              <w:ind w:firstLine="0"/>
              <w:jc w:val="both"/>
              <w:rPr>
                <w:bCs/>
                <w:color w:val="000000" w:themeColor="text1"/>
                <w:sz w:val="24"/>
                <w:szCs w:val="28"/>
                <w:lang w:val="lv-LV" w:eastAsia="lv-LV"/>
              </w:rPr>
            </w:pPr>
          </w:p>
          <w:p w:rsidRPr="00C33C45" w:rsidR="005844D7" w:rsidP="00662DB5" w:rsidRDefault="005844D7" w14:paraId="2477E75C" w14:textId="2C3D337F">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 xml:space="preserve">Sadarbība pamatā plānota </w:t>
            </w:r>
            <w:r w:rsidRPr="00C33C45" w:rsidR="009010F0">
              <w:rPr>
                <w:bCs/>
                <w:color w:val="000000" w:themeColor="text1"/>
                <w:sz w:val="24"/>
                <w:szCs w:val="28"/>
                <w:lang w:val="lv-LV" w:eastAsia="lv-LV"/>
              </w:rPr>
              <w:t>tiesnešu</w:t>
            </w:r>
            <w:r w:rsidRPr="00C33C45" w:rsidR="004F3715">
              <w:rPr>
                <w:bCs/>
                <w:color w:val="000000" w:themeColor="text1"/>
                <w:sz w:val="24"/>
                <w:szCs w:val="28"/>
                <w:lang w:val="lv-LV" w:eastAsia="lv-LV"/>
              </w:rPr>
              <w:t>, izme</w:t>
            </w:r>
            <w:r w:rsidR="00697ED0">
              <w:rPr>
                <w:bCs/>
                <w:color w:val="000000" w:themeColor="text1"/>
                <w:sz w:val="24"/>
                <w:szCs w:val="28"/>
                <w:lang w:val="lv-LV" w:eastAsia="lv-LV"/>
              </w:rPr>
              <w:t>kl</w:t>
            </w:r>
            <w:r w:rsidRPr="00C33C45" w:rsidR="004F3715">
              <w:rPr>
                <w:bCs/>
                <w:color w:val="000000" w:themeColor="text1"/>
                <w:sz w:val="24"/>
                <w:szCs w:val="28"/>
                <w:lang w:val="lv-LV" w:eastAsia="lv-LV"/>
              </w:rPr>
              <w:t>ēšanas iestāžu, prokuratūras un citu iestāžu, kuru darbība saistīta ar korupcijas novēršanu nelegāli iegūtu līdzekļu legalizācijas novēršanu, kā arī starptautisko finanšu un ekonomisko noziegumu novēršanu, ekspertu</w:t>
            </w:r>
            <w:r w:rsidRPr="00C33C45" w:rsidR="009010F0">
              <w:rPr>
                <w:bCs/>
                <w:color w:val="000000" w:themeColor="text1"/>
                <w:sz w:val="24"/>
                <w:szCs w:val="28"/>
                <w:lang w:val="lv-LV" w:eastAsia="lv-LV"/>
              </w:rPr>
              <w:t xml:space="preserve"> apmācību veidā, piesaistot ASV puses ekspertus.  Saskaņā ar 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w:t>
            </w:r>
            <w:r w:rsidRPr="00C33C45" w:rsidR="009010F0">
              <w:rPr>
                <w:bCs/>
                <w:color w:val="000000" w:themeColor="text1"/>
                <w:sz w:val="24"/>
                <w:szCs w:val="28"/>
                <w:lang w:val="lv-LV" w:eastAsia="lv-LV"/>
              </w:rPr>
              <w:t>III</w:t>
            </w:r>
            <w:r w:rsidRPr="00C33C45" w:rsidR="00B7101B">
              <w:rPr>
                <w:bCs/>
                <w:color w:val="000000" w:themeColor="text1"/>
                <w:sz w:val="24"/>
                <w:szCs w:val="28"/>
                <w:lang w:val="lv-LV" w:eastAsia="lv-LV"/>
              </w:rPr>
              <w:t> </w:t>
            </w:r>
            <w:r w:rsidRPr="00C33C45" w:rsidR="009010F0">
              <w:rPr>
                <w:bCs/>
                <w:color w:val="000000" w:themeColor="text1"/>
                <w:sz w:val="24"/>
                <w:szCs w:val="28"/>
                <w:lang w:val="lv-LV" w:eastAsia="lv-LV"/>
              </w:rPr>
              <w:t>panta pirmajā daļā paredzēto, tiks īstenota apmācība, semināri, savstarpēja</w:t>
            </w:r>
            <w:r w:rsidRPr="00C33C45" w:rsidR="006325A4">
              <w:rPr>
                <w:bCs/>
                <w:color w:val="000000" w:themeColor="text1"/>
                <w:sz w:val="24"/>
                <w:szCs w:val="28"/>
                <w:lang w:val="lv-LV" w:eastAsia="lv-LV"/>
              </w:rPr>
              <w:t>s</w:t>
            </w:r>
            <w:r w:rsidRPr="00C33C45" w:rsidR="009010F0">
              <w:rPr>
                <w:bCs/>
                <w:color w:val="000000" w:themeColor="text1"/>
                <w:sz w:val="24"/>
                <w:szCs w:val="28"/>
                <w:lang w:val="lv-LV" w:eastAsia="lv-LV"/>
              </w:rPr>
              <w:t xml:space="preserve"> </w:t>
            </w:r>
            <w:r w:rsidRPr="00C33C45" w:rsidR="006325A4">
              <w:rPr>
                <w:bCs/>
                <w:color w:val="000000" w:themeColor="text1"/>
                <w:sz w:val="24"/>
                <w:szCs w:val="28"/>
                <w:lang w:val="lv-LV" w:eastAsia="lv-LV"/>
              </w:rPr>
              <w:t>konsultācijas</w:t>
            </w:r>
            <w:r w:rsidRPr="00C33C45" w:rsidR="009010F0">
              <w:rPr>
                <w:bCs/>
                <w:color w:val="000000" w:themeColor="text1"/>
                <w:sz w:val="24"/>
                <w:szCs w:val="28"/>
                <w:lang w:val="lv-LV" w:eastAsia="lv-LV"/>
              </w:rPr>
              <w:t xml:space="preserve"> profesionālajā darbā un juridiskā analīze, lai noskaidrotu kriminālvajāšanas pilnveidošanas un tiesiskuma stiprināšanas iespējas.</w:t>
            </w:r>
          </w:p>
          <w:p w:rsidRPr="00C33C45" w:rsidR="00237AE7" w:rsidP="00662DB5" w:rsidRDefault="00237AE7" w14:paraId="2385306F" w14:textId="0D38F8B4">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Uz Līguma grozījuma ietvaros īstenoto projekt</w:t>
            </w:r>
            <w:r w:rsidR="00366771">
              <w:rPr>
                <w:bCs/>
                <w:color w:val="000000" w:themeColor="text1"/>
                <w:sz w:val="24"/>
                <w:szCs w:val="28"/>
                <w:lang w:val="lv-LV" w:eastAsia="lv-LV"/>
              </w:rPr>
              <w:t>u (projektiem)</w:t>
            </w:r>
            <w:r w:rsidRPr="00C33C45">
              <w:rPr>
                <w:bCs/>
                <w:color w:val="000000" w:themeColor="text1"/>
                <w:sz w:val="24"/>
                <w:szCs w:val="28"/>
                <w:lang w:val="lv-LV" w:eastAsia="lv-LV"/>
              </w:rPr>
              <w:t xml:space="preserve"> tiks attiecināti 2004.gada Līguma noteikumi, tai skaitā 2004.gada Līguma 6.pantā minētais.</w:t>
            </w:r>
          </w:p>
          <w:p w:rsidRPr="00C33C45" w:rsidR="009010F0" w:rsidP="00662DB5" w:rsidRDefault="009010F0" w14:paraId="7C828192" w14:textId="77777777">
            <w:pPr>
              <w:pStyle w:val="tv2132"/>
              <w:spacing w:line="240" w:lineRule="auto"/>
              <w:ind w:firstLine="0"/>
              <w:jc w:val="both"/>
              <w:rPr>
                <w:bCs/>
                <w:color w:val="000000" w:themeColor="text1"/>
                <w:sz w:val="24"/>
                <w:szCs w:val="28"/>
                <w:lang w:val="lv-LV" w:eastAsia="lv-LV"/>
              </w:rPr>
            </w:pPr>
          </w:p>
          <w:p w:rsidRPr="00C33C45" w:rsidR="009010F0" w:rsidP="005844D7" w:rsidRDefault="009010F0" w14:paraId="56F69434" w14:textId="1A18DBE8">
            <w:pPr>
              <w:pStyle w:val="Sarakstarindkopa"/>
              <w:widowControl w:val="0"/>
              <w:ind w:left="0"/>
              <w:jc w:val="both"/>
              <w:rPr>
                <w:bCs/>
                <w:color w:val="000000" w:themeColor="text1"/>
                <w:szCs w:val="28"/>
              </w:rPr>
            </w:pPr>
            <w:r w:rsidRPr="00C33C45">
              <w:rPr>
                <w:bCs/>
                <w:color w:val="000000" w:themeColor="text1"/>
                <w:szCs w:val="28"/>
              </w:rPr>
              <w:t xml:space="preserve">Līguma </w:t>
            </w:r>
            <w:r w:rsidRPr="00C33C45" w:rsidR="00237AE7">
              <w:rPr>
                <w:bCs/>
                <w:color w:val="000000" w:themeColor="text1"/>
                <w:szCs w:val="28"/>
              </w:rPr>
              <w:t xml:space="preserve">grozījumu </w:t>
            </w:r>
            <w:r w:rsidRPr="00C33C45" w:rsidR="005844D7">
              <w:rPr>
                <w:bCs/>
                <w:color w:val="000000" w:themeColor="text1"/>
                <w:szCs w:val="28"/>
              </w:rPr>
              <w:t>ilgtermiņa mērķi</w:t>
            </w:r>
            <w:r w:rsidRPr="00C33C45">
              <w:rPr>
                <w:bCs/>
                <w:color w:val="000000" w:themeColor="text1"/>
                <w:szCs w:val="28"/>
              </w:rPr>
              <w:t xml:space="preserve"> saskaņā ar tā III</w:t>
            </w:r>
            <w:r w:rsidRPr="00C33C45" w:rsidR="00B7101B">
              <w:rPr>
                <w:bCs/>
                <w:color w:val="000000" w:themeColor="text1"/>
                <w:szCs w:val="28"/>
              </w:rPr>
              <w:t> </w:t>
            </w:r>
            <w:r w:rsidRPr="00C33C45">
              <w:rPr>
                <w:bCs/>
                <w:color w:val="000000" w:themeColor="text1"/>
                <w:szCs w:val="28"/>
              </w:rPr>
              <w:t>panta pirmo daļu ir:</w:t>
            </w:r>
          </w:p>
          <w:p w:rsidRPr="00C33C45" w:rsidR="009010F0" w:rsidP="005844D7" w:rsidRDefault="005844D7" w14:paraId="07C945D0" w14:textId="77777777">
            <w:pPr>
              <w:pStyle w:val="Sarakstarindkopa"/>
              <w:widowControl w:val="0"/>
              <w:ind w:left="0"/>
              <w:jc w:val="both"/>
              <w:rPr>
                <w:bCs/>
                <w:color w:val="000000" w:themeColor="text1"/>
                <w:szCs w:val="28"/>
              </w:rPr>
            </w:pPr>
            <w:r w:rsidRPr="00C33C45">
              <w:rPr>
                <w:bCs/>
                <w:color w:val="000000" w:themeColor="text1"/>
                <w:szCs w:val="28"/>
              </w:rPr>
              <w:t>1) palielināt Latvijas un citu Eiropas partnervalstu spēju apkarot korupciju, noziedzīgi iegūtu līdzekļu legalizāciju un citus starptautiskus finanšu noziegumus</w:t>
            </w:r>
            <w:r w:rsidRPr="00C33C45" w:rsidR="009010F0">
              <w:rPr>
                <w:bCs/>
                <w:color w:val="000000" w:themeColor="text1"/>
                <w:szCs w:val="28"/>
              </w:rPr>
              <w:t>;</w:t>
            </w:r>
          </w:p>
          <w:p w:rsidRPr="00C33C45" w:rsidR="009010F0" w:rsidP="005844D7" w:rsidRDefault="005844D7" w14:paraId="2ED98CBE" w14:textId="77777777">
            <w:pPr>
              <w:pStyle w:val="Sarakstarindkopa"/>
              <w:widowControl w:val="0"/>
              <w:ind w:left="0"/>
              <w:jc w:val="both"/>
              <w:rPr>
                <w:bCs/>
                <w:color w:val="000000" w:themeColor="text1"/>
                <w:szCs w:val="28"/>
              </w:rPr>
            </w:pPr>
            <w:r w:rsidRPr="00C33C45">
              <w:rPr>
                <w:bCs/>
                <w:color w:val="000000" w:themeColor="text1"/>
                <w:szCs w:val="28"/>
              </w:rPr>
              <w:t xml:space="preserve">2) ievērojami samazināt laiku, kas nepieciešams finanšu noziegumu un citu krimināllietu iztiesāšanai. </w:t>
            </w:r>
          </w:p>
          <w:p w:rsidRPr="00C33C45" w:rsidR="002636F9" w:rsidP="00662DB5" w:rsidRDefault="002636F9" w14:paraId="6D9247FE" w14:textId="77777777">
            <w:pPr>
              <w:pStyle w:val="tv2132"/>
              <w:spacing w:line="240" w:lineRule="auto"/>
              <w:ind w:firstLine="0"/>
              <w:jc w:val="both"/>
              <w:rPr>
                <w:bCs/>
                <w:color w:val="000000" w:themeColor="text1"/>
                <w:sz w:val="24"/>
                <w:szCs w:val="28"/>
                <w:lang w:val="lv-LV" w:eastAsia="lv-LV"/>
              </w:rPr>
            </w:pPr>
          </w:p>
          <w:p w:rsidRPr="00C33C45" w:rsidR="002636F9" w:rsidP="00662DB5" w:rsidRDefault="002636F9" w14:paraId="64D900C9" w14:textId="24C281A6">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 xml:space="preserve">Lai īstenotu sadarbību 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w:t>
            </w:r>
            <w:r w:rsidRPr="00C33C45">
              <w:rPr>
                <w:bCs/>
                <w:color w:val="000000" w:themeColor="text1"/>
                <w:sz w:val="24"/>
                <w:szCs w:val="28"/>
                <w:lang w:val="lv-LV" w:eastAsia="lv-LV"/>
              </w:rPr>
              <w:t xml:space="preserve">ietvaros, nepieciešamības gadījumā saskaņā ar 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w:t>
            </w:r>
            <w:r w:rsidRPr="00C33C45">
              <w:rPr>
                <w:bCs/>
                <w:color w:val="000000" w:themeColor="text1"/>
                <w:sz w:val="24"/>
                <w:szCs w:val="28"/>
                <w:lang w:val="lv-LV" w:eastAsia="lv-LV"/>
              </w:rPr>
              <w:t>II</w:t>
            </w:r>
            <w:r w:rsidRPr="00C33C45" w:rsidR="00B7101B">
              <w:rPr>
                <w:bCs/>
                <w:color w:val="000000" w:themeColor="text1"/>
                <w:sz w:val="24"/>
                <w:szCs w:val="28"/>
                <w:lang w:val="lv-LV" w:eastAsia="lv-LV"/>
              </w:rPr>
              <w:t> </w:t>
            </w:r>
            <w:r w:rsidRPr="00C33C45">
              <w:rPr>
                <w:bCs/>
                <w:color w:val="000000" w:themeColor="text1"/>
                <w:sz w:val="24"/>
                <w:szCs w:val="28"/>
                <w:lang w:val="lv-LV" w:eastAsia="lv-LV"/>
              </w:rPr>
              <w:t xml:space="preserve">pantu tiks slēgtas starpresoru vienošanās (saimnieciska rakstura līgumi) </w:t>
            </w:r>
            <w:r w:rsidRPr="00C33C45">
              <w:rPr>
                <w:bCs/>
                <w:color w:val="000000" w:themeColor="text1"/>
                <w:sz w:val="24"/>
                <w:szCs w:val="28"/>
                <w:lang w:val="lv-LV" w:eastAsia="lv-LV"/>
              </w:rPr>
              <w:lastRenderedPageBreak/>
              <w:t xml:space="preserve">starp Latvijas </w:t>
            </w:r>
            <w:r w:rsidRPr="00C33C45" w:rsidR="00D10A75">
              <w:rPr>
                <w:bCs/>
                <w:color w:val="000000" w:themeColor="text1"/>
                <w:sz w:val="24"/>
                <w:szCs w:val="28"/>
                <w:lang w:val="lv-LV" w:eastAsia="lv-LV"/>
              </w:rPr>
              <w:t>valst</w:t>
            </w:r>
            <w:r w:rsidRPr="00C33C45" w:rsidR="004F3715">
              <w:rPr>
                <w:bCs/>
                <w:color w:val="000000" w:themeColor="text1"/>
                <w:sz w:val="24"/>
                <w:szCs w:val="28"/>
                <w:lang w:val="lv-LV" w:eastAsia="lv-LV"/>
              </w:rPr>
              <w:t>s</w:t>
            </w:r>
            <w:r w:rsidRPr="00C33C45" w:rsidR="00D10A75">
              <w:rPr>
                <w:bCs/>
                <w:color w:val="000000" w:themeColor="text1"/>
                <w:sz w:val="24"/>
                <w:szCs w:val="28"/>
                <w:lang w:val="lv-LV" w:eastAsia="lv-LV"/>
              </w:rPr>
              <w:t xml:space="preserve"> </w:t>
            </w:r>
            <w:r w:rsidRPr="00C33C45">
              <w:rPr>
                <w:bCs/>
                <w:color w:val="000000" w:themeColor="text1"/>
                <w:sz w:val="24"/>
                <w:szCs w:val="28"/>
                <w:lang w:val="lv-LV" w:eastAsia="lv-LV"/>
              </w:rPr>
              <w:t>pārvaldes iestādēm un ASV vēstniecību</w:t>
            </w:r>
            <w:r w:rsidRPr="00C33C45" w:rsidR="00D10A75">
              <w:rPr>
                <w:bCs/>
                <w:color w:val="000000" w:themeColor="text1"/>
                <w:sz w:val="24"/>
                <w:szCs w:val="28"/>
                <w:lang w:val="lv-LV" w:eastAsia="lv-LV"/>
              </w:rPr>
              <w:t xml:space="preserve"> Latvijā</w:t>
            </w:r>
            <w:r w:rsidRPr="00C33C45">
              <w:rPr>
                <w:bCs/>
                <w:color w:val="000000" w:themeColor="text1"/>
                <w:sz w:val="24"/>
                <w:szCs w:val="28"/>
                <w:lang w:val="lv-LV" w:eastAsia="lv-LV"/>
              </w:rPr>
              <w:t xml:space="preserve">. </w:t>
            </w:r>
            <w:r w:rsidRPr="00C33C45" w:rsidR="00237AE7">
              <w:rPr>
                <w:bCs/>
                <w:color w:val="000000" w:themeColor="text1"/>
                <w:sz w:val="24"/>
                <w:szCs w:val="28"/>
                <w:lang w:val="lv-LV" w:eastAsia="lv-LV"/>
              </w:rPr>
              <w:t xml:space="preserve"> Saskaņā ar ASV puses sniegto informāciju, projekt</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w:t>
            </w:r>
            <w:r w:rsidR="00697ED0">
              <w:rPr>
                <w:bCs/>
                <w:color w:val="000000" w:themeColor="text1"/>
                <w:sz w:val="24"/>
                <w:szCs w:val="28"/>
                <w:lang w:val="lv-LV" w:eastAsia="lv-LV"/>
              </w:rPr>
              <w:t>īstenošanu</w:t>
            </w:r>
            <w:r w:rsidRPr="00C33C45" w:rsidR="00237AE7">
              <w:rPr>
                <w:bCs/>
                <w:color w:val="000000" w:themeColor="text1"/>
                <w:sz w:val="24"/>
                <w:szCs w:val="28"/>
                <w:lang w:val="lv-LV" w:eastAsia="lv-LV"/>
              </w:rPr>
              <w:t xml:space="preserve">, tai skaitā ASV ekspertu vizīšu (komandējumu) nodrošināšanu un nepieciešamo preču iegādi un pakalpojumu saņemšanu veiks ASV vēstniecība Latvijā. Līdz ar to </w:t>
            </w:r>
            <w:r w:rsidR="00697ED0">
              <w:rPr>
                <w:bCs/>
                <w:color w:val="000000" w:themeColor="text1"/>
                <w:sz w:val="24"/>
                <w:szCs w:val="28"/>
                <w:lang w:val="lv-LV" w:eastAsia="lv-LV"/>
              </w:rPr>
              <w:t>L</w:t>
            </w:r>
            <w:r w:rsidRPr="00C33C45">
              <w:rPr>
                <w:bCs/>
                <w:color w:val="000000" w:themeColor="text1"/>
                <w:sz w:val="24"/>
                <w:szCs w:val="28"/>
                <w:lang w:val="lv-LV" w:eastAsia="lv-LV"/>
              </w:rPr>
              <w:t xml:space="preserve">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īstenošanas </w:t>
            </w:r>
            <w:r w:rsidRPr="00C33C45">
              <w:rPr>
                <w:bCs/>
                <w:color w:val="000000" w:themeColor="text1"/>
                <w:sz w:val="24"/>
                <w:szCs w:val="28"/>
                <w:lang w:val="lv-LV" w:eastAsia="lv-LV"/>
              </w:rPr>
              <w:t xml:space="preserve">ietvaros nav </w:t>
            </w:r>
            <w:r w:rsidRPr="00C33C45" w:rsidR="00237AE7">
              <w:rPr>
                <w:bCs/>
                <w:color w:val="000000" w:themeColor="text1"/>
                <w:sz w:val="24"/>
                <w:szCs w:val="28"/>
                <w:lang w:val="lv-LV" w:eastAsia="lv-LV"/>
              </w:rPr>
              <w:t xml:space="preserve">nepieciešams </w:t>
            </w:r>
            <w:r w:rsidRPr="00C33C45">
              <w:rPr>
                <w:bCs/>
                <w:color w:val="000000" w:themeColor="text1"/>
                <w:sz w:val="24"/>
                <w:szCs w:val="28"/>
                <w:lang w:val="lv-LV" w:eastAsia="lv-LV"/>
              </w:rPr>
              <w:t>slēgt līgumus ar Latvijas saimnieciskās darbības veicējiem</w:t>
            </w:r>
            <w:r w:rsidRPr="00C33C45" w:rsidR="005844D7">
              <w:rPr>
                <w:bCs/>
                <w:color w:val="000000" w:themeColor="text1"/>
                <w:sz w:val="24"/>
                <w:szCs w:val="28"/>
                <w:lang w:val="lv-LV" w:eastAsia="lv-LV"/>
              </w:rPr>
              <w:t xml:space="preserve"> (pakalpojumu sniedzējiem)</w:t>
            </w:r>
            <w:r w:rsidRPr="00C33C45">
              <w:rPr>
                <w:bCs/>
                <w:color w:val="000000" w:themeColor="text1"/>
                <w:sz w:val="24"/>
                <w:szCs w:val="28"/>
                <w:lang w:val="lv-LV" w:eastAsia="lv-LV"/>
              </w:rPr>
              <w:t>.</w:t>
            </w:r>
          </w:p>
          <w:p w:rsidRPr="00C33C45" w:rsidR="00C51A25" w:rsidP="00662DB5" w:rsidRDefault="00C51A25" w14:paraId="22FD31D4" w14:textId="666D54C6">
            <w:pPr>
              <w:pStyle w:val="tv2132"/>
              <w:spacing w:line="240" w:lineRule="auto"/>
              <w:ind w:firstLine="0"/>
              <w:jc w:val="both"/>
              <w:rPr>
                <w:bCs/>
                <w:color w:val="000000" w:themeColor="text1"/>
                <w:sz w:val="24"/>
                <w:szCs w:val="28"/>
                <w:lang w:val="lv-LV" w:eastAsia="lv-LV"/>
              </w:rPr>
            </w:pPr>
          </w:p>
          <w:p w:rsidRPr="00C33C45" w:rsidR="00C51A25" w:rsidP="00662DB5" w:rsidRDefault="00C51A25" w14:paraId="0B5A2A11" w14:textId="6C00998B">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 xml:space="preserve">Līguma </w:t>
            </w:r>
            <w:r w:rsidRPr="00C33C45" w:rsidR="00237AE7">
              <w:rPr>
                <w:bCs/>
                <w:color w:val="000000" w:themeColor="text1"/>
                <w:sz w:val="24"/>
                <w:szCs w:val="28"/>
                <w:lang w:val="lv-LV" w:eastAsia="lv-LV"/>
              </w:rPr>
              <w:t>grozījum</w:t>
            </w:r>
            <w:r w:rsidR="00697ED0">
              <w:rPr>
                <w:bCs/>
                <w:color w:val="000000" w:themeColor="text1"/>
                <w:sz w:val="24"/>
                <w:szCs w:val="28"/>
                <w:lang w:val="lv-LV" w:eastAsia="lv-LV"/>
              </w:rPr>
              <w:t>a</w:t>
            </w:r>
            <w:r w:rsidRPr="00C33C45" w:rsidR="00237AE7">
              <w:rPr>
                <w:bCs/>
                <w:color w:val="000000" w:themeColor="text1"/>
                <w:sz w:val="24"/>
                <w:szCs w:val="28"/>
                <w:lang w:val="lv-LV" w:eastAsia="lv-LV"/>
              </w:rPr>
              <w:t xml:space="preserve"> </w:t>
            </w:r>
            <w:r w:rsidRPr="00C33C45">
              <w:rPr>
                <w:bCs/>
                <w:color w:val="000000" w:themeColor="text1"/>
                <w:sz w:val="24"/>
                <w:szCs w:val="28"/>
                <w:lang w:val="lv-LV" w:eastAsia="lv-LV"/>
              </w:rPr>
              <w:t xml:space="preserve">ietvaros projektu izpilde tiks nodrošināta kā ASV ekspertu vizītes (komandējumi), kuru </w:t>
            </w:r>
            <w:r w:rsidR="00697ED0">
              <w:rPr>
                <w:bCs/>
                <w:color w:val="000000" w:themeColor="text1"/>
                <w:sz w:val="24"/>
                <w:szCs w:val="28"/>
                <w:lang w:val="lv-LV" w:eastAsia="lv-LV"/>
              </w:rPr>
              <w:t>apmaksu</w:t>
            </w:r>
            <w:r w:rsidRPr="00C33C45">
              <w:rPr>
                <w:bCs/>
                <w:color w:val="000000" w:themeColor="text1"/>
                <w:sz w:val="24"/>
                <w:szCs w:val="28"/>
                <w:lang w:val="lv-LV" w:eastAsia="lv-LV"/>
              </w:rPr>
              <w:t xml:space="preserve"> nodrošinās ASV vēstniecība. Līguma projekta ietvaros nav paredzētas ilgtermiņa misijas, darbinieku izvietošana vai tamlīdzīgi pasākumi.</w:t>
            </w:r>
          </w:p>
          <w:p w:rsidRPr="00C33C45" w:rsidR="00C51A25" w:rsidP="00662DB5" w:rsidRDefault="00C51A25" w14:paraId="69E8814D" w14:textId="17B54AB4">
            <w:pPr>
              <w:pStyle w:val="tv2132"/>
              <w:spacing w:line="240" w:lineRule="auto"/>
              <w:ind w:firstLine="0"/>
              <w:jc w:val="both"/>
              <w:rPr>
                <w:bCs/>
                <w:color w:val="000000" w:themeColor="text1"/>
                <w:sz w:val="24"/>
                <w:szCs w:val="28"/>
                <w:lang w:val="lv-LV" w:eastAsia="lv-LV"/>
              </w:rPr>
            </w:pPr>
          </w:p>
          <w:p w:rsidRPr="00C33C45" w:rsidR="00C51A25" w:rsidP="00662DB5" w:rsidRDefault="00C51A25" w14:paraId="20FFAC2A" w14:textId="3D66EBCC">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 xml:space="preserve">No Latvijas puses tiek sagaidīta organizatoriska rakstura palīdzība </w:t>
            </w:r>
            <w:r w:rsidRPr="00C33C45" w:rsidR="00A43C5C">
              <w:rPr>
                <w:bCs/>
                <w:color w:val="000000" w:themeColor="text1"/>
                <w:sz w:val="24"/>
                <w:szCs w:val="28"/>
                <w:lang w:val="lv-LV" w:eastAsia="lv-LV"/>
              </w:rPr>
              <w:t>apmācību, semināru u.tml. organizēšanā un mērķauditorijas</w:t>
            </w:r>
            <w:r w:rsidRPr="00C33C45">
              <w:rPr>
                <w:bCs/>
                <w:color w:val="000000" w:themeColor="text1"/>
                <w:sz w:val="24"/>
                <w:szCs w:val="28"/>
                <w:lang w:val="lv-LV" w:eastAsia="lv-LV"/>
              </w:rPr>
              <w:t>, apzināšanā</w:t>
            </w:r>
            <w:r w:rsidR="00BB7A28">
              <w:rPr>
                <w:bCs/>
                <w:color w:val="000000" w:themeColor="text1"/>
                <w:sz w:val="24"/>
                <w:szCs w:val="28"/>
                <w:lang w:val="lv-LV" w:eastAsia="lv-LV"/>
              </w:rPr>
              <w:t xml:space="preserve"> (saskaņā ar Līguma grozījuma II panta pirmo daļu</w:t>
            </w:r>
            <w:r w:rsidRPr="00C33C45" w:rsidR="00A43C5C">
              <w:rPr>
                <w:bCs/>
                <w:color w:val="000000" w:themeColor="text1"/>
                <w:sz w:val="24"/>
                <w:szCs w:val="28"/>
                <w:lang w:val="lv-LV" w:eastAsia="lv-LV"/>
              </w:rPr>
              <w:t>.</w:t>
            </w:r>
          </w:p>
          <w:p w:rsidRPr="00C33C45" w:rsidR="00A43C5C" w:rsidP="00662DB5" w:rsidRDefault="00237AE7" w14:paraId="4B4C40BA" w14:textId="72D62964">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Šo n</w:t>
            </w:r>
            <w:r w:rsidRPr="00C33C45" w:rsidR="00A43C5C">
              <w:rPr>
                <w:bCs/>
                <w:color w:val="000000" w:themeColor="text1"/>
                <w:sz w:val="24"/>
                <w:szCs w:val="28"/>
                <w:lang w:val="lv-LV" w:eastAsia="lv-LV"/>
              </w:rPr>
              <w:t>o Līguma projekta izrietoš</w:t>
            </w:r>
            <w:r w:rsidRPr="00C33C45">
              <w:rPr>
                <w:bCs/>
                <w:color w:val="000000" w:themeColor="text1"/>
                <w:sz w:val="24"/>
                <w:szCs w:val="28"/>
                <w:lang w:val="lv-LV" w:eastAsia="lv-LV"/>
              </w:rPr>
              <w:t>o</w:t>
            </w:r>
            <w:r w:rsidRPr="00C33C45" w:rsidR="00A43C5C">
              <w:rPr>
                <w:bCs/>
                <w:color w:val="000000" w:themeColor="text1"/>
                <w:sz w:val="24"/>
                <w:szCs w:val="28"/>
                <w:lang w:val="lv-LV" w:eastAsia="lv-LV"/>
              </w:rPr>
              <w:t xml:space="preserve"> </w:t>
            </w:r>
            <w:r w:rsidRPr="00C33C45">
              <w:rPr>
                <w:bCs/>
                <w:color w:val="000000" w:themeColor="text1"/>
                <w:sz w:val="24"/>
                <w:szCs w:val="28"/>
                <w:lang w:val="lv-LV" w:eastAsia="lv-LV"/>
              </w:rPr>
              <w:t xml:space="preserve">saistību </w:t>
            </w:r>
            <w:r w:rsidRPr="00C33C45" w:rsidR="00A43C5C">
              <w:rPr>
                <w:bCs/>
                <w:color w:val="000000" w:themeColor="text1"/>
                <w:sz w:val="24"/>
                <w:szCs w:val="28"/>
                <w:lang w:val="lv-LV" w:eastAsia="lv-LV"/>
              </w:rPr>
              <w:t>koordinē</w:t>
            </w:r>
            <w:r w:rsidRPr="00C33C45">
              <w:rPr>
                <w:bCs/>
                <w:color w:val="000000" w:themeColor="text1"/>
                <w:sz w:val="24"/>
                <w:szCs w:val="28"/>
                <w:lang w:val="lv-LV" w:eastAsia="lv-LV"/>
              </w:rPr>
              <w:t>šanu nodrošinās</w:t>
            </w:r>
            <w:r w:rsidRPr="00C33C45" w:rsidR="00A43C5C">
              <w:rPr>
                <w:bCs/>
                <w:color w:val="000000" w:themeColor="text1"/>
                <w:sz w:val="24"/>
                <w:szCs w:val="28"/>
                <w:lang w:val="lv-LV" w:eastAsia="lv-LV"/>
              </w:rPr>
              <w:t xml:space="preserve"> Tieslietu ministrija.</w:t>
            </w:r>
          </w:p>
          <w:p w:rsidRPr="00C33C45" w:rsidR="002636F9" w:rsidP="00662DB5" w:rsidRDefault="002636F9" w14:paraId="34B864A8" w14:textId="59CBDF27">
            <w:pPr>
              <w:pStyle w:val="tv2132"/>
              <w:spacing w:line="240" w:lineRule="auto"/>
              <w:ind w:firstLine="0"/>
              <w:jc w:val="both"/>
              <w:rPr>
                <w:bCs/>
                <w:color w:val="000000" w:themeColor="text1"/>
                <w:sz w:val="24"/>
                <w:szCs w:val="28"/>
                <w:lang w:val="lv-LV" w:eastAsia="lv-LV"/>
              </w:rPr>
            </w:pPr>
          </w:p>
          <w:p w:rsidRPr="00017DE3" w:rsidR="00C51A25" w:rsidP="00662DB5" w:rsidRDefault="00C51A25" w14:paraId="1DCA439E" w14:textId="15359747">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 xml:space="preserve">Līguma </w:t>
            </w:r>
            <w:r w:rsidRPr="00C33C45" w:rsidR="00237AE7">
              <w:rPr>
                <w:bCs/>
                <w:color w:val="000000" w:themeColor="text1"/>
                <w:sz w:val="24"/>
                <w:szCs w:val="28"/>
                <w:lang w:val="lv-LV" w:eastAsia="lv-LV"/>
              </w:rPr>
              <w:t xml:space="preserve">grozījumu </w:t>
            </w:r>
            <w:r w:rsidRPr="00C33C45">
              <w:rPr>
                <w:bCs/>
                <w:color w:val="000000" w:themeColor="text1"/>
                <w:sz w:val="24"/>
                <w:szCs w:val="28"/>
                <w:lang w:val="lv-LV" w:eastAsia="lv-LV"/>
              </w:rPr>
              <w:t xml:space="preserve">ietvaros īstenotie projekti noslēdzas līdz ar Līguma </w:t>
            </w:r>
            <w:r w:rsidR="00BB7A28">
              <w:rPr>
                <w:bCs/>
                <w:color w:val="000000" w:themeColor="text1"/>
                <w:sz w:val="24"/>
                <w:szCs w:val="28"/>
                <w:lang w:val="lv-LV" w:eastAsia="lv-LV"/>
              </w:rPr>
              <w:t>grozījuma</w:t>
            </w:r>
            <w:r w:rsidRPr="00C33C45">
              <w:rPr>
                <w:bCs/>
                <w:color w:val="000000" w:themeColor="text1"/>
                <w:sz w:val="24"/>
                <w:szCs w:val="28"/>
                <w:lang w:val="lv-LV" w:eastAsia="lv-LV"/>
              </w:rPr>
              <w:t xml:space="preserve"> IV</w:t>
            </w:r>
            <w:r w:rsidR="00697ED0">
              <w:rPr>
                <w:bCs/>
                <w:color w:val="000000" w:themeColor="text1"/>
                <w:sz w:val="24"/>
                <w:szCs w:val="28"/>
                <w:lang w:val="lv-LV" w:eastAsia="lv-LV"/>
              </w:rPr>
              <w:t> </w:t>
            </w:r>
            <w:r w:rsidRPr="00C33C45">
              <w:rPr>
                <w:bCs/>
                <w:color w:val="000000" w:themeColor="text1"/>
                <w:sz w:val="24"/>
                <w:szCs w:val="28"/>
                <w:lang w:val="lv-LV" w:eastAsia="lv-LV"/>
              </w:rPr>
              <w:t>pantā paredzēto projektu noslēguma izvērtējumu</w:t>
            </w:r>
            <w:r w:rsidR="00017DE3">
              <w:rPr>
                <w:bCs/>
                <w:color w:val="000000" w:themeColor="text1"/>
                <w:sz w:val="24"/>
                <w:szCs w:val="28"/>
                <w:lang w:val="lv-LV" w:eastAsia="lv-LV"/>
              </w:rPr>
              <w:t xml:space="preserve"> – it īpaši progresu un tendences </w:t>
            </w:r>
            <w:r w:rsidRPr="00017DE3" w:rsidR="00017DE3">
              <w:rPr>
                <w:bCs/>
                <w:color w:val="000000" w:themeColor="text1"/>
                <w:sz w:val="24"/>
                <w:szCs w:val="28"/>
                <w:lang w:val="lv-LV" w:eastAsia="lv-LV"/>
              </w:rPr>
              <w:t>starptautiskās organizētās noziedzības krimināllietu skait</w:t>
            </w:r>
            <w:r w:rsidR="00017DE3">
              <w:rPr>
                <w:bCs/>
                <w:color w:val="000000" w:themeColor="text1"/>
                <w:sz w:val="24"/>
                <w:szCs w:val="28"/>
                <w:lang w:val="lv-LV" w:eastAsia="lv-LV"/>
              </w:rPr>
              <w:t>ā</w:t>
            </w:r>
            <w:r w:rsidRPr="00017DE3" w:rsidR="00017DE3">
              <w:rPr>
                <w:bCs/>
                <w:color w:val="000000" w:themeColor="text1"/>
                <w:sz w:val="24"/>
                <w:szCs w:val="28"/>
                <w:lang w:val="lv-LV" w:eastAsia="lv-LV"/>
              </w:rPr>
              <w:t>, kas ierosinātas projekta aktivitāšu rezultātā, un uz sekmīgi iztiesāt</w:t>
            </w:r>
            <w:r w:rsidR="00017DE3">
              <w:rPr>
                <w:bCs/>
                <w:color w:val="000000" w:themeColor="text1"/>
                <w:sz w:val="24"/>
                <w:szCs w:val="28"/>
                <w:lang w:val="lv-LV" w:eastAsia="lv-LV"/>
              </w:rPr>
              <w:t>a</w:t>
            </w:r>
            <w:r w:rsidRPr="00017DE3" w:rsidR="00017DE3">
              <w:rPr>
                <w:bCs/>
                <w:color w:val="000000" w:themeColor="text1"/>
                <w:sz w:val="24"/>
                <w:szCs w:val="28"/>
                <w:lang w:val="lv-LV" w:eastAsia="lv-LV"/>
              </w:rPr>
              <w:t xml:space="preserve"> lietu skait</w:t>
            </w:r>
            <w:r w:rsidR="00017DE3">
              <w:rPr>
                <w:bCs/>
                <w:color w:val="000000" w:themeColor="text1"/>
                <w:sz w:val="24"/>
                <w:szCs w:val="28"/>
                <w:lang w:val="lv-LV" w:eastAsia="lv-LV"/>
              </w:rPr>
              <w:t>ā.</w:t>
            </w:r>
          </w:p>
          <w:p w:rsidRPr="00C33C45" w:rsidR="00697ED0" w:rsidP="00662DB5" w:rsidRDefault="00697ED0" w14:paraId="5DA924E6" w14:textId="77777777">
            <w:pPr>
              <w:pStyle w:val="tv2132"/>
              <w:spacing w:line="240" w:lineRule="auto"/>
              <w:ind w:firstLine="0"/>
              <w:jc w:val="both"/>
              <w:rPr>
                <w:bCs/>
                <w:color w:val="000000" w:themeColor="text1"/>
                <w:sz w:val="24"/>
                <w:szCs w:val="28"/>
                <w:lang w:val="lv-LV" w:eastAsia="lv-LV"/>
              </w:rPr>
            </w:pPr>
          </w:p>
          <w:p w:rsidRPr="00C33C45" w:rsidR="002636F9" w:rsidP="00662DB5" w:rsidRDefault="002636F9" w14:paraId="762A6DA5" w14:textId="69D6206E">
            <w:pPr>
              <w:pStyle w:val="tv2132"/>
              <w:spacing w:line="240" w:lineRule="auto"/>
              <w:ind w:firstLine="0"/>
              <w:jc w:val="both"/>
              <w:rPr>
                <w:bCs/>
                <w:color w:val="000000" w:themeColor="text1"/>
                <w:sz w:val="24"/>
                <w:szCs w:val="28"/>
                <w:lang w:val="lv-LV" w:eastAsia="lv-LV"/>
              </w:rPr>
            </w:pPr>
            <w:r w:rsidRPr="00C33C45">
              <w:rPr>
                <w:bCs/>
                <w:color w:val="000000" w:themeColor="text1"/>
                <w:sz w:val="24"/>
                <w:szCs w:val="28"/>
                <w:lang w:val="lv-LV" w:eastAsia="lv-LV"/>
              </w:rPr>
              <w:t>Plānots, ka Līguma projektu no Latvijas Republikas puses, pamatojoties uz Ministru kabineta pilnvarojumu, parakstīs tieslietu ministrs Jānis Bordāns.</w:t>
            </w:r>
          </w:p>
        </w:tc>
      </w:tr>
      <w:bookmarkEnd w:id="4"/>
      <w:tr w:rsidRPr="00C33C45" w:rsidR="00C74D3A" w:rsidTr="008D6C9E" w14:paraId="7BD85278" w14:textId="77777777">
        <w:tc>
          <w:tcPr>
            <w:tcW w:w="606" w:type="dxa"/>
          </w:tcPr>
          <w:p w:rsidRPr="00C33C45" w:rsidR="00AC145B" w:rsidP="00662DB5" w:rsidRDefault="00243D1D" w14:paraId="7DC1290B" w14:textId="77777777">
            <w:pPr>
              <w:pStyle w:val="Galvene"/>
              <w:jc w:val="center"/>
              <w:outlineLvl w:val="0"/>
            </w:pPr>
            <w:r w:rsidRPr="00C33C45">
              <w:lastRenderedPageBreak/>
              <w:t>3</w:t>
            </w:r>
            <w:r w:rsidRPr="00C33C45" w:rsidR="00AC145B">
              <w:t>.</w:t>
            </w:r>
          </w:p>
        </w:tc>
        <w:tc>
          <w:tcPr>
            <w:tcW w:w="1917" w:type="dxa"/>
          </w:tcPr>
          <w:p w:rsidRPr="00C33C45" w:rsidR="00AC145B" w:rsidP="00662DB5" w:rsidRDefault="00662DB5" w14:paraId="765097B5" w14:textId="7EA6C729">
            <w:pPr>
              <w:pStyle w:val="Galvene"/>
              <w:jc w:val="both"/>
              <w:outlineLvl w:val="0"/>
            </w:pPr>
            <w:r w:rsidRPr="00C33C45">
              <w:t>Projekta izstrādē iesaistītās institūcijas un publiskas personas kapitālsabiedrības</w:t>
            </w:r>
          </w:p>
        </w:tc>
        <w:tc>
          <w:tcPr>
            <w:tcW w:w="6550" w:type="dxa"/>
          </w:tcPr>
          <w:p w:rsidR="006E324E" w:rsidP="00662DB5" w:rsidRDefault="009C2DFA" w14:paraId="404E8992" w14:textId="3CF96864">
            <w:pPr>
              <w:jc w:val="both"/>
            </w:pPr>
            <w:r w:rsidRPr="00C33C45">
              <w:t xml:space="preserve">Tieslietu </w:t>
            </w:r>
            <w:r w:rsidRPr="00C33C45" w:rsidR="00821E5D">
              <w:t>ministrija</w:t>
            </w:r>
          </w:p>
          <w:p w:rsidR="00697ED0" w:rsidP="00662DB5" w:rsidRDefault="00697ED0" w14:paraId="4726A031" w14:textId="2FDC45CD">
            <w:pPr>
              <w:jc w:val="both"/>
            </w:pPr>
          </w:p>
          <w:p w:rsidRPr="00C33C45" w:rsidR="00697ED0" w:rsidP="00662DB5" w:rsidRDefault="00697ED0" w14:paraId="306EA6AF" w14:textId="2F9E2F22">
            <w:pPr>
              <w:jc w:val="both"/>
            </w:pPr>
            <w:r>
              <w:t>Līguma grozījums sākotnēji apspriests sanāksmē ar ASV vēstniecības, Ārlietu ministrijas, Finanšu ministrijas, Iekšlietu ministrijas un Valsts kancelejas pārstāvjiem.</w:t>
            </w:r>
          </w:p>
          <w:p w:rsidRPr="00C33C45" w:rsidR="00237AE7" w:rsidP="00662DB5" w:rsidRDefault="00237AE7" w14:paraId="0CD8FFC1" w14:textId="303E7E5F">
            <w:pPr>
              <w:jc w:val="both"/>
            </w:pPr>
          </w:p>
        </w:tc>
      </w:tr>
      <w:tr w:rsidRPr="00C33C45" w:rsidR="00C74D3A" w:rsidTr="008D6C9E" w14:paraId="5ECC9AFB" w14:textId="77777777">
        <w:tc>
          <w:tcPr>
            <w:tcW w:w="606" w:type="dxa"/>
          </w:tcPr>
          <w:p w:rsidRPr="00C33C45" w:rsidR="00AC145B" w:rsidP="00662DB5" w:rsidRDefault="00243D1D" w14:paraId="34E0D11C" w14:textId="77777777">
            <w:pPr>
              <w:pStyle w:val="naislab"/>
              <w:spacing w:before="0" w:after="0"/>
              <w:jc w:val="center"/>
              <w:outlineLvl w:val="0"/>
            </w:pPr>
            <w:r w:rsidRPr="00C33C45">
              <w:t>4</w:t>
            </w:r>
            <w:r w:rsidRPr="00C33C45" w:rsidR="00AC145B">
              <w:t>.</w:t>
            </w:r>
          </w:p>
        </w:tc>
        <w:tc>
          <w:tcPr>
            <w:tcW w:w="1917" w:type="dxa"/>
          </w:tcPr>
          <w:p w:rsidRPr="00C33C45" w:rsidR="00AC145B" w:rsidP="00662DB5" w:rsidRDefault="00AC145B" w14:paraId="2FC30167" w14:textId="77777777">
            <w:pPr>
              <w:pStyle w:val="naislab"/>
              <w:spacing w:before="0" w:after="0"/>
              <w:jc w:val="both"/>
              <w:outlineLvl w:val="0"/>
            </w:pPr>
            <w:r w:rsidRPr="00C33C45">
              <w:t>Cita informācija</w:t>
            </w:r>
          </w:p>
        </w:tc>
        <w:tc>
          <w:tcPr>
            <w:tcW w:w="6550" w:type="dxa"/>
          </w:tcPr>
          <w:p w:rsidRPr="00C33C45" w:rsidR="00F57809" w:rsidP="00662DB5" w:rsidRDefault="00387C1E" w14:paraId="6719AB46" w14:textId="795FFBD1">
            <w:pPr>
              <w:jc w:val="both"/>
            </w:pPr>
            <w:r>
              <w:t>Nav.</w:t>
            </w:r>
          </w:p>
        </w:tc>
      </w:tr>
    </w:tbl>
    <w:p w:rsidRPr="00C33C45" w:rsidR="00AC145B" w:rsidP="00AC145B" w:rsidRDefault="00AC145B" w14:paraId="6A62875E" w14:textId="3E66805D"/>
    <w:p w:rsidRPr="00C33C45" w:rsidR="006A47C6" w:rsidP="00AC145B" w:rsidRDefault="006A47C6" w14:paraId="7D575469" w14:textId="77777777"/>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426"/>
        <w:gridCol w:w="2296"/>
        <w:gridCol w:w="6231"/>
      </w:tblGrid>
      <w:tr w:rsidRPr="00C33C45" w:rsidR="00C74D3A" w:rsidTr="000C7B43" w14:paraId="7381F64D" w14:textId="77777777">
        <w:tc>
          <w:tcPr>
            <w:tcW w:w="8953" w:type="dxa"/>
            <w:gridSpan w:val="3"/>
          </w:tcPr>
          <w:p w:rsidRPr="00C33C45" w:rsidR="00AC145B" w:rsidP="003037FE" w:rsidRDefault="00AC145B" w14:paraId="60F00879" w14:textId="77777777">
            <w:pPr>
              <w:jc w:val="center"/>
              <w:rPr>
                <w:b/>
              </w:rPr>
            </w:pPr>
            <w:r w:rsidRPr="00C33C45">
              <w:rPr>
                <w:b/>
              </w:rPr>
              <w:t>II. Tiesību akta projekta ietekme uz sabiedrību, tautsaimniecības attīstību un administratīvo slogu</w:t>
            </w:r>
          </w:p>
        </w:tc>
      </w:tr>
      <w:tr w:rsidRPr="00C33C45" w:rsidR="00C74D3A" w:rsidTr="008D6C9E" w14:paraId="2E8486F6" w14:textId="77777777">
        <w:tc>
          <w:tcPr>
            <w:tcW w:w="426" w:type="dxa"/>
          </w:tcPr>
          <w:p w:rsidRPr="00C33C45" w:rsidR="00AC145B" w:rsidP="003037FE" w:rsidRDefault="00AC145B" w14:paraId="5BD2DAD6" w14:textId="77777777">
            <w:pPr>
              <w:pStyle w:val="naislab"/>
              <w:spacing w:before="0" w:after="0"/>
              <w:jc w:val="center"/>
              <w:outlineLvl w:val="0"/>
            </w:pPr>
            <w:r w:rsidRPr="00C33C45">
              <w:t>1.</w:t>
            </w:r>
          </w:p>
        </w:tc>
        <w:tc>
          <w:tcPr>
            <w:tcW w:w="2296" w:type="dxa"/>
          </w:tcPr>
          <w:p w:rsidRPr="00C33C45" w:rsidR="00AC145B" w:rsidP="003037FE" w:rsidRDefault="00AC145B" w14:paraId="43222F1D" w14:textId="77777777">
            <w:pPr>
              <w:pStyle w:val="naislab"/>
              <w:spacing w:before="0" w:after="0"/>
              <w:jc w:val="both"/>
              <w:outlineLvl w:val="0"/>
            </w:pPr>
            <w:r w:rsidRPr="00C33C45">
              <w:t>Sabiedrības mērķgrupas, kuras tiesiskais regulējums ietekmē vai varētu ietekmēt</w:t>
            </w:r>
          </w:p>
        </w:tc>
        <w:tc>
          <w:tcPr>
            <w:tcW w:w="6231" w:type="dxa"/>
          </w:tcPr>
          <w:p w:rsidRPr="00C33C45" w:rsidR="00D10A75" w:rsidP="002B1539" w:rsidRDefault="00D10A75" w14:paraId="02FC9248" w14:textId="6374E0AB">
            <w:pPr>
              <w:jc w:val="both"/>
            </w:pPr>
            <w:r w:rsidRPr="00C33C45">
              <w:t xml:space="preserve">Izmeklēšanas iestādes, prokuratūra, tiesas, kā arī citas </w:t>
            </w:r>
            <w:r w:rsidR="00697ED0">
              <w:t>institūcijas</w:t>
            </w:r>
            <w:r w:rsidRPr="00C33C45">
              <w:t>, kuru kompetence saskaņā ar Latvijas normatīvajiem aktiem ietver korupcijas novēršanas un noziedzīgi iegūtu līdzekļu legalizācijas novēršanas jautājumi.</w:t>
            </w:r>
          </w:p>
        </w:tc>
      </w:tr>
      <w:tr w:rsidRPr="00C33C45" w:rsidR="00C74D3A" w:rsidTr="008D6C9E" w14:paraId="7CB05212" w14:textId="77777777">
        <w:tc>
          <w:tcPr>
            <w:tcW w:w="426" w:type="dxa"/>
          </w:tcPr>
          <w:p w:rsidRPr="00C33C45" w:rsidR="00AC145B" w:rsidP="003037FE" w:rsidRDefault="00AC145B" w14:paraId="2D3A44B1" w14:textId="77777777">
            <w:pPr>
              <w:pStyle w:val="naislab"/>
              <w:spacing w:before="0" w:after="0"/>
              <w:jc w:val="center"/>
              <w:outlineLvl w:val="0"/>
            </w:pPr>
            <w:r w:rsidRPr="00C33C45">
              <w:t>2.</w:t>
            </w:r>
          </w:p>
        </w:tc>
        <w:tc>
          <w:tcPr>
            <w:tcW w:w="2296" w:type="dxa"/>
          </w:tcPr>
          <w:p w:rsidRPr="00C33C45" w:rsidR="00AC145B" w:rsidP="003037FE" w:rsidRDefault="00AC145B" w14:paraId="2F6A030F" w14:textId="77777777">
            <w:pPr>
              <w:pStyle w:val="naislab"/>
              <w:spacing w:before="0" w:after="0"/>
              <w:jc w:val="both"/>
              <w:outlineLvl w:val="0"/>
            </w:pPr>
            <w:r w:rsidRPr="00C33C45">
              <w:t>Tiesiskā regulējuma ietekme uz tautsaimniecību un administratīvo slogu</w:t>
            </w:r>
          </w:p>
        </w:tc>
        <w:tc>
          <w:tcPr>
            <w:tcW w:w="6231" w:type="dxa"/>
          </w:tcPr>
          <w:p w:rsidRPr="00C33C45" w:rsidR="00412E7C" w:rsidP="00412E7C" w:rsidRDefault="00412E7C" w14:paraId="1104183D" w14:textId="5DA71C15">
            <w:pPr>
              <w:jc w:val="both"/>
            </w:pPr>
            <w:r w:rsidRPr="00C33C45">
              <w:t xml:space="preserve">Fiziskām un juridiskām personām administratīvais slogs </w:t>
            </w:r>
            <w:r w:rsidRPr="00C33C45" w:rsidR="00440ECE">
              <w:t>nemainīsies</w:t>
            </w:r>
            <w:r w:rsidRPr="00C33C45">
              <w:t>.</w:t>
            </w:r>
          </w:p>
          <w:p w:rsidRPr="00C33C45" w:rsidR="00113EFF" w:rsidP="00412E7C" w:rsidRDefault="00113EFF" w14:paraId="6522A211" w14:textId="77777777">
            <w:pPr>
              <w:jc w:val="both"/>
            </w:pPr>
            <w:r w:rsidRPr="00C33C45">
              <w:t>Publiskajām institūcijām administratīvais slogs nemainīsies.</w:t>
            </w:r>
          </w:p>
        </w:tc>
      </w:tr>
      <w:tr w:rsidRPr="00C33C45" w:rsidR="00C74D3A" w:rsidTr="008D6C9E" w14:paraId="642B57C8" w14:textId="77777777">
        <w:tc>
          <w:tcPr>
            <w:tcW w:w="426" w:type="dxa"/>
          </w:tcPr>
          <w:p w:rsidRPr="00C33C45" w:rsidR="00AC145B" w:rsidP="003037FE" w:rsidRDefault="00AC145B" w14:paraId="13496BF6" w14:textId="77777777">
            <w:pPr>
              <w:pStyle w:val="naislab"/>
              <w:spacing w:before="0" w:after="0"/>
              <w:jc w:val="center"/>
              <w:outlineLvl w:val="0"/>
            </w:pPr>
            <w:r w:rsidRPr="00C33C45">
              <w:lastRenderedPageBreak/>
              <w:t>3.</w:t>
            </w:r>
          </w:p>
        </w:tc>
        <w:tc>
          <w:tcPr>
            <w:tcW w:w="2296" w:type="dxa"/>
          </w:tcPr>
          <w:p w:rsidRPr="00C33C45" w:rsidR="00AC145B" w:rsidP="003037FE" w:rsidRDefault="00AC145B" w14:paraId="02BF73BE" w14:textId="77777777">
            <w:pPr>
              <w:pStyle w:val="naislab"/>
              <w:spacing w:before="0" w:after="0"/>
              <w:jc w:val="both"/>
              <w:outlineLvl w:val="0"/>
            </w:pPr>
            <w:r w:rsidRPr="00C33C45">
              <w:t>Administratīvo izmaksu monetārs novērtējums</w:t>
            </w:r>
          </w:p>
        </w:tc>
        <w:tc>
          <w:tcPr>
            <w:tcW w:w="6231" w:type="dxa"/>
          </w:tcPr>
          <w:p w:rsidRPr="00C33C45" w:rsidR="00AC145B" w:rsidP="008E0BA6" w:rsidRDefault="000E2965" w14:paraId="05C7FC6B" w14:textId="15DBF443">
            <w:pPr>
              <w:jc w:val="both"/>
            </w:pPr>
            <w:r w:rsidRPr="00C33C45">
              <w:t>Likumprojekts šo jomu neskar</w:t>
            </w:r>
            <w:r w:rsidR="00697ED0">
              <w:t>.</w:t>
            </w:r>
          </w:p>
        </w:tc>
      </w:tr>
      <w:tr w:rsidRPr="00C33C45" w:rsidR="00072C82" w:rsidTr="008D6C9E" w14:paraId="319978A1" w14:textId="77777777">
        <w:tc>
          <w:tcPr>
            <w:tcW w:w="426" w:type="dxa"/>
          </w:tcPr>
          <w:p w:rsidRPr="00C33C45" w:rsidR="00072C82" w:rsidP="003037FE" w:rsidRDefault="00072C82" w14:paraId="6DD38C5B" w14:textId="77777777">
            <w:pPr>
              <w:pStyle w:val="naislab"/>
              <w:spacing w:before="0" w:after="0"/>
              <w:jc w:val="center"/>
              <w:outlineLvl w:val="0"/>
            </w:pPr>
            <w:r w:rsidRPr="00C33C45">
              <w:t>4.</w:t>
            </w:r>
          </w:p>
        </w:tc>
        <w:tc>
          <w:tcPr>
            <w:tcW w:w="2296" w:type="dxa"/>
          </w:tcPr>
          <w:p w:rsidRPr="00C33C45" w:rsidR="00072C82" w:rsidP="003037FE" w:rsidRDefault="00072C82" w14:paraId="67BC6183" w14:textId="77777777">
            <w:pPr>
              <w:pStyle w:val="naislab"/>
              <w:spacing w:before="0" w:after="0"/>
              <w:jc w:val="both"/>
              <w:outlineLvl w:val="0"/>
            </w:pPr>
            <w:r w:rsidRPr="00C33C45">
              <w:t>Atbilstības izmaksu monetārs novērtējums</w:t>
            </w:r>
          </w:p>
        </w:tc>
        <w:tc>
          <w:tcPr>
            <w:tcW w:w="6231" w:type="dxa"/>
          </w:tcPr>
          <w:p w:rsidRPr="00C33C45" w:rsidR="00072C82" w:rsidP="008E0BA6" w:rsidRDefault="00072C82" w14:paraId="40F5D281" w14:textId="323676A6">
            <w:pPr>
              <w:jc w:val="both"/>
            </w:pPr>
            <w:r w:rsidRPr="00C33C45">
              <w:t>Likumprojekts šo jomu neskar</w:t>
            </w:r>
            <w:r w:rsidR="00697ED0">
              <w:t>.</w:t>
            </w:r>
          </w:p>
        </w:tc>
      </w:tr>
      <w:tr w:rsidRPr="00C33C45" w:rsidR="00C74D3A" w:rsidTr="008D6C9E" w14:paraId="280F6E49" w14:textId="77777777">
        <w:tc>
          <w:tcPr>
            <w:tcW w:w="426" w:type="dxa"/>
          </w:tcPr>
          <w:p w:rsidRPr="00C33C45" w:rsidR="00AC145B" w:rsidP="003037FE" w:rsidRDefault="00072C82" w14:paraId="67B58331" w14:textId="77777777">
            <w:pPr>
              <w:pStyle w:val="naislab"/>
              <w:spacing w:before="0" w:after="0"/>
              <w:jc w:val="center"/>
              <w:outlineLvl w:val="0"/>
            </w:pPr>
            <w:r w:rsidRPr="00C33C45">
              <w:t>5</w:t>
            </w:r>
            <w:r w:rsidRPr="00C33C45" w:rsidR="00AC145B">
              <w:t>.</w:t>
            </w:r>
          </w:p>
        </w:tc>
        <w:tc>
          <w:tcPr>
            <w:tcW w:w="2296" w:type="dxa"/>
          </w:tcPr>
          <w:p w:rsidRPr="00C33C45" w:rsidR="00AC145B" w:rsidP="003037FE" w:rsidRDefault="00AC145B" w14:paraId="3976CC50" w14:textId="77777777">
            <w:pPr>
              <w:pStyle w:val="naislab"/>
              <w:spacing w:before="0" w:after="0"/>
              <w:jc w:val="both"/>
              <w:outlineLvl w:val="0"/>
            </w:pPr>
            <w:r w:rsidRPr="00C33C45">
              <w:t>Cita informācija</w:t>
            </w:r>
          </w:p>
        </w:tc>
        <w:tc>
          <w:tcPr>
            <w:tcW w:w="6231" w:type="dxa"/>
          </w:tcPr>
          <w:p w:rsidRPr="00C33C45" w:rsidR="00AC145B" w:rsidP="003037FE" w:rsidRDefault="00AC145B" w14:paraId="1D88E6EA" w14:textId="77777777">
            <w:pPr>
              <w:jc w:val="both"/>
            </w:pPr>
            <w:r w:rsidRPr="00C33C45">
              <w:t>Nav.</w:t>
            </w:r>
          </w:p>
        </w:tc>
      </w:tr>
    </w:tbl>
    <w:p w:rsidRPr="00C33C45" w:rsidR="0060636F" w:rsidP="00656C9A" w:rsidRDefault="0060636F" w14:paraId="7306A0BC" w14:textId="77777777"/>
    <w:p w:rsidRPr="00C33C45" w:rsidR="00A10B71" w:rsidP="00A10B71" w:rsidRDefault="00A10B71" w14:paraId="293BCABF" w14:textId="77777777">
      <w:pPr>
        <w:rPr>
          <w:rFonts w:ascii="Arial" w:hAnsi="Arial" w:cs="Arial"/>
          <w:color w:val="414142"/>
        </w:rPr>
      </w:pPr>
      <w:r w:rsidRPr="00C33C45">
        <w:rPr>
          <w:rFonts w:ascii="Arial" w:hAnsi="Arial" w:cs="Arial"/>
          <w:color w:val="414142"/>
        </w:rPr>
        <w:t xml:space="preserve">  </w:t>
      </w: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512"/>
        <w:gridCol w:w="1154"/>
        <w:gridCol w:w="602"/>
        <w:gridCol w:w="1164"/>
        <w:gridCol w:w="1156"/>
        <w:gridCol w:w="1164"/>
        <w:gridCol w:w="1156"/>
        <w:gridCol w:w="1109"/>
        <w:gridCol w:w="45"/>
      </w:tblGrid>
      <w:tr w:rsidRPr="00C33C45" w:rsidR="00A10B71" w:rsidTr="004918B0" w14:paraId="5C660FAF" w14:textId="77777777">
        <w:trPr>
          <w:gridAfter w:val="1"/>
          <w:wAfter w:w="25" w:type="pct"/>
          <w:trHeight w:val="450"/>
        </w:trPr>
        <w:tc>
          <w:tcPr>
            <w:tcW w:w="4975" w:type="pct"/>
            <w:gridSpan w:val="8"/>
            <w:tcBorders>
              <w:top w:val="outset" w:color="414142" w:sz="6" w:space="0"/>
              <w:left w:val="outset" w:color="414142" w:sz="6" w:space="0"/>
              <w:bottom w:val="outset" w:color="414142" w:sz="6" w:space="0"/>
              <w:right w:val="outset" w:color="414142" w:sz="6" w:space="0"/>
            </w:tcBorders>
            <w:vAlign w:val="center"/>
            <w:hideMark/>
          </w:tcPr>
          <w:p w:rsidRPr="00C33C45" w:rsidR="00A10B71" w:rsidP="00A10B71" w:rsidRDefault="00A10B71" w14:paraId="535E1C07" w14:textId="77777777">
            <w:pPr>
              <w:ind w:firstLine="300"/>
              <w:jc w:val="center"/>
              <w:rPr>
                <w:b/>
                <w:bCs/>
              </w:rPr>
            </w:pPr>
            <w:r w:rsidRPr="00C33C45">
              <w:rPr>
                <w:b/>
                <w:bCs/>
              </w:rPr>
              <w:t>III. Tiesību akta projekta ietekme uz valsts budžetu un pašvaldību budžetiem</w:t>
            </w:r>
          </w:p>
        </w:tc>
      </w:tr>
      <w:tr w:rsidRPr="00C33C45" w:rsidR="00A10B71" w:rsidTr="004918B0" w14:paraId="5FB0756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vMerge w:val="restart"/>
            <w:shd w:val="clear" w:color="auto" w:fill="FFFFFF"/>
            <w:vAlign w:val="center"/>
          </w:tcPr>
          <w:p w:rsidRPr="00C33C45" w:rsidR="00A10B71" w:rsidP="00A10B71" w:rsidRDefault="00A10B71" w14:paraId="52748FEE" w14:textId="77777777">
            <w:pPr>
              <w:jc w:val="center"/>
            </w:pPr>
            <w:r w:rsidRPr="00C33C45">
              <w:t>Rādītāji</w:t>
            </w:r>
          </w:p>
        </w:tc>
        <w:tc>
          <w:tcPr>
            <w:tcW w:w="969" w:type="pct"/>
            <w:gridSpan w:val="2"/>
            <w:vMerge w:val="restart"/>
            <w:shd w:val="clear" w:color="auto" w:fill="FFFFFF"/>
            <w:vAlign w:val="center"/>
            <w:hideMark/>
          </w:tcPr>
          <w:p w:rsidRPr="00C33C45" w:rsidR="00A10B71" w:rsidP="00A10B71" w:rsidRDefault="00A10B71" w14:paraId="5CC271C1" w14:textId="77777777">
            <w:pPr>
              <w:jc w:val="center"/>
            </w:pPr>
            <w:r w:rsidRPr="00C33C45">
              <w:t>2019. gads</w:t>
            </w:r>
          </w:p>
        </w:tc>
        <w:tc>
          <w:tcPr>
            <w:tcW w:w="3197" w:type="pct"/>
            <w:gridSpan w:val="6"/>
            <w:shd w:val="clear" w:color="auto" w:fill="FFFFFF"/>
            <w:vAlign w:val="center"/>
            <w:hideMark/>
          </w:tcPr>
          <w:p w:rsidRPr="00C33C45" w:rsidR="00A10B71" w:rsidP="00A10B71" w:rsidRDefault="00A10B71" w14:paraId="2A92E037" w14:textId="77777777">
            <w:pPr>
              <w:jc w:val="center"/>
            </w:pPr>
            <w:r w:rsidRPr="00C33C45">
              <w:t>Turpmākie trīs gadi (</w:t>
            </w:r>
            <w:r w:rsidRPr="00C33C45">
              <w:rPr>
                <w:i/>
              </w:rPr>
              <w:t>euro</w:t>
            </w:r>
            <w:r w:rsidRPr="00C33C45">
              <w:t>)</w:t>
            </w:r>
          </w:p>
        </w:tc>
      </w:tr>
      <w:tr w:rsidRPr="00C33C45" w:rsidR="004918B0" w:rsidTr="004918B0" w14:paraId="1AEB56F7"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vMerge/>
            <w:shd w:val="clear" w:color="auto" w:fill="auto"/>
            <w:vAlign w:val="center"/>
            <w:hideMark/>
          </w:tcPr>
          <w:p w:rsidRPr="00C33C45" w:rsidR="00A10B71" w:rsidP="00A10B71" w:rsidRDefault="00A10B71" w14:paraId="0F95891A" w14:textId="77777777">
            <w:pPr>
              <w:jc w:val="both"/>
            </w:pPr>
          </w:p>
        </w:tc>
        <w:tc>
          <w:tcPr>
            <w:tcW w:w="969" w:type="pct"/>
            <w:gridSpan w:val="2"/>
            <w:vMerge/>
            <w:shd w:val="clear" w:color="auto" w:fill="auto"/>
            <w:vAlign w:val="center"/>
            <w:hideMark/>
          </w:tcPr>
          <w:p w:rsidRPr="00C33C45" w:rsidR="00A10B71" w:rsidP="00A10B71" w:rsidRDefault="00A10B71" w14:paraId="76B96E41" w14:textId="77777777">
            <w:pPr>
              <w:jc w:val="both"/>
            </w:pPr>
          </w:p>
        </w:tc>
        <w:tc>
          <w:tcPr>
            <w:tcW w:w="1280" w:type="pct"/>
            <w:gridSpan w:val="2"/>
            <w:shd w:val="clear" w:color="auto" w:fill="FFFFFF"/>
            <w:vAlign w:val="center"/>
            <w:hideMark/>
          </w:tcPr>
          <w:p w:rsidRPr="00C33C45" w:rsidR="00A10B71" w:rsidP="00A10B71" w:rsidRDefault="00A10B71" w14:paraId="42C79C37" w14:textId="77777777">
            <w:pPr>
              <w:jc w:val="center"/>
            </w:pPr>
            <w:r w:rsidRPr="00C33C45">
              <w:t>2020.</w:t>
            </w:r>
          </w:p>
        </w:tc>
        <w:tc>
          <w:tcPr>
            <w:tcW w:w="1280" w:type="pct"/>
            <w:gridSpan w:val="2"/>
            <w:shd w:val="clear" w:color="auto" w:fill="FFFFFF"/>
            <w:vAlign w:val="center"/>
            <w:hideMark/>
          </w:tcPr>
          <w:p w:rsidRPr="00C33C45" w:rsidR="00A10B71" w:rsidP="00A10B71" w:rsidRDefault="00A10B71" w14:paraId="7EC0B355" w14:textId="77777777">
            <w:pPr>
              <w:jc w:val="center"/>
            </w:pPr>
            <w:r w:rsidRPr="00C33C45">
              <w:t>2021.</w:t>
            </w:r>
          </w:p>
        </w:tc>
        <w:tc>
          <w:tcPr>
            <w:tcW w:w="637" w:type="pct"/>
            <w:gridSpan w:val="2"/>
            <w:shd w:val="clear" w:color="auto" w:fill="FFFFFF"/>
            <w:vAlign w:val="center"/>
            <w:hideMark/>
          </w:tcPr>
          <w:p w:rsidRPr="00C33C45" w:rsidR="00A10B71" w:rsidP="00A10B71" w:rsidRDefault="00A10B71" w14:paraId="41ACBD6A" w14:textId="77777777">
            <w:pPr>
              <w:jc w:val="center"/>
            </w:pPr>
            <w:r w:rsidRPr="00C33C45">
              <w:t>2022.</w:t>
            </w:r>
          </w:p>
        </w:tc>
      </w:tr>
      <w:tr w:rsidRPr="00C33C45" w:rsidR="004918B0" w:rsidTr="004918B0" w14:paraId="6796253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vMerge/>
            <w:shd w:val="clear" w:color="auto" w:fill="auto"/>
            <w:vAlign w:val="center"/>
            <w:hideMark/>
          </w:tcPr>
          <w:p w:rsidRPr="00C33C45" w:rsidR="00A10B71" w:rsidP="00A10B71" w:rsidRDefault="00A10B71" w14:paraId="5173F1D5" w14:textId="77777777">
            <w:pPr>
              <w:jc w:val="both"/>
            </w:pPr>
          </w:p>
        </w:tc>
        <w:tc>
          <w:tcPr>
            <w:tcW w:w="637" w:type="pct"/>
            <w:shd w:val="clear" w:color="auto" w:fill="FFFFFF"/>
            <w:vAlign w:val="center"/>
            <w:hideMark/>
          </w:tcPr>
          <w:p w:rsidRPr="00C33C45" w:rsidR="00A10B71" w:rsidP="00A10B71" w:rsidRDefault="00A10B71" w14:paraId="681169BE" w14:textId="77777777">
            <w:pPr>
              <w:jc w:val="center"/>
              <w:rPr>
                <w:sz w:val="14"/>
                <w:szCs w:val="14"/>
              </w:rPr>
            </w:pPr>
            <w:r w:rsidRPr="00C33C45">
              <w:rPr>
                <w:sz w:val="14"/>
                <w:szCs w:val="14"/>
              </w:rPr>
              <w:t>saskaņā ar valsts budžetu kārtējam gadam</w:t>
            </w:r>
          </w:p>
        </w:tc>
        <w:tc>
          <w:tcPr>
            <w:tcW w:w="332" w:type="pct"/>
            <w:shd w:val="clear" w:color="auto" w:fill="FFFFFF"/>
            <w:vAlign w:val="center"/>
            <w:hideMark/>
          </w:tcPr>
          <w:p w:rsidRPr="00C33C45" w:rsidR="00A10B71" w:rsidP="00A10B71" w:rsidRDefault="00A10B71" w14:paraId="7F129767" w14:textId="77777777">
            <w:pPr>
              <w:jc w:val="center"/>
              <w:rPr>
                <w:sz w:val="14"/>
                <w:szCs w:val="14"/>
              </w:rPr>
            </w:pPr>
            <w:r w:rsidRPr="00C33C45">
              <w:rPr>
                <w:sz w:val="14"/>
                <w:szCs w:val="14"/>
              </w:rPr>
              <w:t>izmaiņas kārtējā gadā, salīdzinot ar valsts budžetu kārtējam gadam</w:t>
            </w:r>
          </w:p>
        </w:tc>
        <w:tc>
          <w:tcPr>
            <w:tcW w:w="642" w:type="pct"/>
            <w:shd w:val="clear" w:color="auto" w:fill="FFFFFF"/>
            <w:vAlign w:val="center"/>
            <w:hideMark/>
          </w:tcPr>
          <w:p w:rsidRPr="00C33C45" w:rsidR="00A10B71" w:rsidP="00A10B71" w:rsidRDefault="00A10B71" w14:paraId="07475484" w14:textId="77777777">
            <w:pPr>
              <w:jc w:val="center"/>
              <w:rPr>
                <w:sz w:val="14"/>
                <w:szCs w:val="14"/>
              </w:rPr>
            </w:pPr>
            <w:r w:rsidRPr="00C33C45">
              <w:rPr>
                <w:sz w:val="14"/>
                <w:szCs w:val="14"/>
              </w:rPr>
              <w:t>saskaņā ar vidēja termiņa budžeta ietvaru</w:t>
            </w:r>
          </w:p>
        </w:tc>
        <w:tc>
          <w:tcPr>
            <w:tcW w:w="638" w:type="pct"/>
            <w:shd w:val="clear" w:color="auto" w:fill="FFFFFF"/>
            <w:vAlign w:val="center"/>
            <w:hideMark/>
          </w:tcPr>
          <w:p w:rsidRPr="00C33C45" w:rsidR="00A10B71" w:rsidP="00A10B71" w:rsidRDefault="00A10B71" w14:paraId="5681F670" w14:textId="77777777">
            <w:pPr>
              <w:jc w:val="center"/>
              <w:rPr>
                <w:sz w:val="14"/>
                <w:szCs w:val="14"/>
              </w:rPr>
            </w:pPr>
            <w:r w:rsidRPr="00C33C45">
              <w:rPr>
                <w:sz w:val="14"/>
                <w:szCs w:val="14"/>
              </w:rPr>
              <w:t>izmaiņas, salīdzinot ar vidēja termiņa budžeta ietvaru n+1 gadam</w:t>
            </w:r>
          </w:p>
        </w:tc>
        <w:tc>
          <w:tcPr>
            <w:tcW w:w="642" w:type="pct"/>
            <w:shd w:val="clear" w:color="auto" w:fill="FFFFFF"/>
            <w:vAlign w:val="center"/>
            <w:hideMark/>
          </w:tcPr>
          <w:p w:rsidRPr="00C33C45" w:rsidR="00A10B71" w:rsidP="00A10B71" w:rsidRDefault="00A10B71" w14:paraId="52D80027" w14:textId="77777777">
            <w:pPr>
              <w:jc w:val="center"/>
              <w:rPr>
                <w:sz w:val="14"/>
                <w:szCs w:val="14"/>
              </w:rPr>
            </w:pPr>
            <w:r w:rsidRPr="00C33C45">
              <w:rPr>
                <w:sz w:val="14"/>
                <w:szCs w:val="14"/>
              </w:rPr>
              <w:t>saskaņā ar vidēja termiņa budžeta ietvaru</w:t>
            </w:r>
          </w:p>
        </w:tc>
        <w:tc>
          <w:tcPr>
            <w:tcW w:w="638" w:type="pct"/>
            <w:shd w:val="clear" w:color="auto" w:fill="FFFFFF"/>
            <w:vAlign w:val="center"/>
            <w:hideMark/>
          </w:tcPr>
          <w:p w:rsidRPr="00C33C45" w:rsidR="00A10B71" w:rsidP="00A10B71" w:rsidRDefault="00A10B71" w14:paraId="438AAD5D" w14:textId="77777777">
            <w:pPr>
              <w:jc w:val="center"/>
              <w:rPr>
                <w:sz w:val="14"/>
                <w:szCs w:val="14"/>
              </w:rPr>
            </w:pPr>
            <w:r w:rsidRPr="00C33C45">
              <w:rPr>
                <w:sz w:val="14"/>
                <w:szCs w:val="14"/>
              </w:rPr>
              <w:t>izmaiņas, salīdzinot ar vidēja termiņa budžeta ietvaru n+2 gadam</w:t>
            </w:r>
          </w:p>
        </w:tc>
        <w:tc>
          <w:tcPr>
            <w:tcW w:w="637" w:type="pct"/>
            <w:gridSpan w:val="2"/>
            <w:shd w:val="clear" w:color="auto" w:fill="FFFFFF"/>
            <w:vAlign w:val="center"/>
            <w:hideMark/>
          </w:tcPr>
          <w:p w:rsidRPr="00C33C45" w:rsidR="00A10B71" w:rsidP="00A10B71" w:rsidRDefault="00A10B71" w14:paraId="3A29906B" w14:textId="77777777">
            <w:pPr>
              <w:jc w:val="center"/>
              <w:rPr>
                <w:sz w:val="14"/>
                <w:szCs w:val="14"/>
              </w:rPr>
            </w:pPr>
            <w:r w:rsidRPr="00C33C45">
              <w:rPr>
                <w:sz w:val="14"/>
                <w:szCs w:val="14"/>
              </w:rPr>
              <w:t xml:space="preserve">izmaiņas, salīdzinot ar vidēja termiņa budžeta ietvaru </w:t>
            </w:r>
            <w:r w:rsidRPr="00C33C45">
              <w:rPr>
                <w:sz w:val="14"/>
                <w:szCs w:val="14"/>
              </w:rPr>
              <w:br/>
              <w:t>n+2 gadam</w:t>
            </w:r>
          </w:p>
        </w:tc>
      </w:tr>
      <w:tr w:rsidRPr="00C33C45" w:rsidR="004918B0" w:rsidTr="004918B0" w14:paraId="7657620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FFFFFF"/>
            <w:vAlign w:val="center"/>
            <w:hideMark/>
          </w:tcPr>
          <w:p w:rsidRPr="00C33C45" w:rsidR="00A10B71" w:rsidP="00A10B71" w:rsidRDefault="00A10B71" w14:paraId="061ED912" w14:textId="77777777">
            <w:pPr>
              <w:jc w:val="center"/>
            </w:pPr>
            <w:r w:rsidRPr="00C33C45">
              <w:t>1</w:t>
            </w:r>
          </w:p>
        </w:tc>
        <w:tc>
          <w:tcPr>
            <w:tcW w:w="637" w:type="pct"/>
            <w:shd w:val="clear" w:color="auto" w:fill="FFFFFF"/>
            <w:vAlign w:val="center"/>
            <w:hideMark/>
          </w:tcPr>
          <w:p w:rsidRPr="00C33C45" w:rsidR="00A10B71" w:rsidP="00A10B71" w:rsidRDefault="00A10B71" w14:paraId="687A4773" w14:textId="77777777">
            <w:pPr>
              <w:jc w:val="center"/>
            </w:pPr>
            <w:r w:rsidRPr="00C33C45">
              <w:t>2</w:t>
            </w:r>
          </w:p>
        </w:tc>
        <w:tc>
          <w:tcPr>
            <w:tcW w:w="332" w:type="pct"/>
            <w:shd w:val="clear" w:color="auto" w:fill="FFFFFF"/>
            <w:vAlign w:val="center"/>
            <w:hideMark/>
          </w:tcPr>
          <w:p w:rsidRPr="00C33C45" w:rsidR="00A10B71" w:rsidP="00A10B71" w:rsidRDefault="00A10B71" w14:paraId="361404A8" w14:textId="77777777">
            <w:pPr>
              <w:jc w:val="center"/>
            </w:pPr>
            <w:r w:rsidRPr="00C33C45">
              <w:t>3</w:t>
            </w:r>
          </w:p>
        </w:tc>
        <w:tc>
          <w:tcPr>
            <w:tcW w:w="642" w:type="pct"/>
            <w:shd w:val="clear" w:color="auto" w:fill="FFFFFF"/>
            <w:vAlign w:val="center"/>
            <w:hideMark/>
          </w:tcPr>
          <w:p w:rsidRPr="00C33C45" w:rsidR="00A10B71" w:rsidP="00A10B71" w:rsidRDefault="00A10B71" w14:paraId="390380DE" w14:textId="77777777">
            <w:pPr>
              <w:jc w:val="center"/>
            </w:pPr>
            <w:r w:rsidRPr="00C33C45">
              <w:t>4</w:t>
            </w:r>
          </w:p>
        </w:tc>
        <w:tc>
          <w:tcPr>
            <w:tcW w:w="638" w:type="pct"/>
            <w:shd w:val="clear" w:color="auto" w:fill="FFFFFF"/>
            <w:vAlign w:val="center"/>
            <w:hideMark/>
          </w:tcPr>
          <w:p w:rsidRPr="00C33C45" w:rsidR="00A10B71" w:rsidP="00A10B71" w:rsidRDefault="00A10B71" w14:paraId="56738456" w14:textId="77777777">
            <w:pPr>
              <w:jc w:val="center"/>
            </w:pPr>
            <w:r w:rsidRPr="00C33C45">
              <w:t>5</w:t>
            </w:r>
          </w:p>
        </w:tc>
        <w:tc>
          <w:tcPr>
            <w:tcW w:w="642" w:type="pct"/>
            <w:shd w:val="clear" w:color="auto" w:fill="FFFFFF"/>
            <w:vAlign w:val="center"/>
            <w:hideMark/>
          </w:tcPr>
          <w:p w:rsidRPr="00C33C45" w:rsidR="00A10B71" w:rsidP="00A10B71" w:rsidRDefault="00A10B71" w14:paraId="28A8C038" w14:textId="77777777">
            <w:pPr>
              <w:jc w:val="center"/>
            </w:pPr>
            <w:r w:rsidRPr="00C33C45">
              <w:t>6</w:t>
            </w:r>
          </w:p>
        </w:tc>
        <w:tc>
          <w:tcPr>
            <w:tcW w:w="638" w:type="pct"/>
            <w:shd w:val="clear" w:color="auto" w:fill="FFFFFF"/>
            <w:vAlign w:val="center"/>
            <w:hideMark/>
          </w:tcPr>
          <w:p w:rsidRPr="00C33C45" w:rsidR="00A10B71" w:rsidP="00A10B71" w:rsidRDefault="00A10B71" w14:paraId="6CE2EA2D" w14:textId="77777777">
            <w:pPr>
              <w:jc w:val="center"/>
            </w:pPr>
            <w:r w:rsidRPr="00C33C45">
              <w:t>7</w:t>
            </w:r>
          </w:p>
        </w:tc>
        <w:tc>
          <w:tcPr>
            <w:tcW w:w="637" w:type="pct"/>
            <w:gridSpan w:val="2"/>
            <w:shd w:val="clear" w:color="auto" w:fill="FFFFFF"/>
            <w:vAlign w:val="center"/>
            <w:hideMark/>
          </w:tcPr>
          <w:p w:rsidRPr="00C33C45" w:rsidR="00A10B71" w:rsidP="00A10B71" w:rsidRDefault="00A10B71" w14:paraId="583EA546" w14:textId="77777777">
            <w:pPr>
              <w:jc w:val="center"/>
            </w:pPr>
            <w:r w:rsidRPr="00C33C45">
              <w:t>8</w:t>
            </w:r>
          </w:p>
        </w:tc>
      </w:tr>
      <w:tr w:rsidRPr="00C33C45" w:rsidR="004918B0" w:rsidTr="004918B0" w14:paraId="291D1DA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FFFFFF"/>
            <w:hideMark/>
          </w:tcPr>
          <w:p w:rsidRPr="00C33C45" w:rsidR="004918B0" w:rsidP="00A10B71" w:rsidRDefault="004918B0" w14:paraId="11592441" w14:textId="77777777">
            <w:r w:rsidRPr="00C33C45">
              <w:t>1. Budžeta ieņēmumi</w:t>
            </w:r>
          </w:p>
        </w:tc>
        <w:tc>
          <w:tcPr>
            <w:tcW w:w="4166" w:type="pct"/>
            <w:gridSpan w:val="8"/>
            <w:shd w:val="clear" w:color="auto" w:fill="FFFFFF"/>
            <w:vAlign w:val="center"/>
            <w:hideMark/>
          </w:tcPr>
          <w:p w:rsidRPr="00C33C45" w:rsidR="004918B0" w:rsidP="00A10B71" w:rsidRDefault="00697ED0" w14:paraId="2DE79A74" w14:textId="4DCA8520">
            <w:pPr>
              <w:jc w:val="both"/>
            </w:pPr>
            <w:r w:rsidRPr="00C33C45">
              <w:t xml:space="preserve">Likumprojekts šo jomu neskar. </w:t>
            </w:r>
          </w:p>
        </w:tc>
      </w:tr>
      <w:tr w:rsidRPr="00C33C45" w:rsidR="004918B0" w:rsidTr="004918B0" w14:paraId="2AEA17EE"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auto"/>
            <w:hideMark/>
          </w:tcPr>
          <w:p w:rsidRPr="00C33C45" w:rsidR="004918B0" w:rsidP="00A10B71" w:rsidRDefault="004918B0" w14:paraId="4109F9EB" w14:textId="77777777">
            <w:r w:rsidRPr="00C33C45">
              <w:t>2. Budžeta izdevumi</w:t>
            </w:r>
          </w:p>
        </w:tc>
        <w:tc>
          <w:tcPr>
            <w:tcW w:w="4166" w:type="pct"/>
            <w:gridSpan w:val="8"/>
            <w:shd w:val="clear" w:color="auto" w:fill="auto"/>
            <w:vAlign w:val="center"/>
            <w:hideMark/>
          </w:tcPr>
          <w:p w:rsidRPr="00C33C45" w:rsidR="004918B0" w:rsidP="00A10B71" w:rsidRDefault="00697ED0" w14:paraId="0D23A127" w14:textId="6D6201C7">
            <w:pPr>
              <w:jc w:val="both"/>
            </w:pPr>
            <w:r w:rsidRPr="00C33C45">
              <w:t xml:space="preserve">Likumprojekts šo jomu neskar. </w:t>
            </w:r>
          </w:p>
        </w:tc>
      </w:tr>
      <w:tr w:rsidRPr="00C33C45" w:rsidR="004918B0" w:rsidTr="004918B0" w14:paraId="7C37020A"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auto"/>
            <w:hideMark/>
          </w:tcPr>
          <w:p w:rsidRPr="00C33C45" w:rsidR="004918B0" w:rsidP="00A10B71" w:rsidRDefault="004918B0" w14:paraId="0D145636" w14:textId="77777777">
            <w:r w:rsidRPr="00C33C45">
              <w:t>3. Finansiālā ietekme</w:t>
            </w:r>
          </w:p>
        </w:tc>
        <w:tc>
          <w:tcPr>
            <w:tcW w:w="4166" w:type="pct"/>
            <w:gridSpan w:val="8"/>
            <w:shd w:val="clear" w:color="auto" w:fill="auto"/>
            <w:vAlign w:val="center"/>
            <w:hideMark/>
          </w:tcPr>
          <w:p w:rsidRPr="00C33C45" w:rsidR="004918B0" w:rsidP="00A10B71" w:rsidRDefault="00697ED0" w14:paraId="3F24A767" w14:textId="63EB115F">
            <w:pPr>
              <w:jc w:val="both"/>
            </w:pPr>
            <w:r w:rsidRPr="00C33C45">
              <w:t xml:space="preserve">Likumprojekts šo jomu neskar. </w:t>
            </w:r>
          </w:p>
        </w:tc>
      </w:tr>
      <w:tr w:rsidRPr="00C33C45" w:rsidR="004918B0" w:rsidTr="004918B0" w14:paraId="42ADCDAB"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auto"/>
            <w:hideMark/>
          </w:tcPr>
          <w:p w:rsidRPr="00C33C45" w:rsidR="004918B0" w:rsidP="00A10B71" w:rsidRDefault="004918B0" w14:paraId="6DCCD089" w14:textId="0595FFD3">
            <w:r w:rsidRPr="00C33C45">
              <w:t xml:space="preserve">4. Finanšu līdzekļi papildu izdevumu finansēšanai </w:t>
            </w:r>
          </w:p>
        </w:tc>
        <w:tc>
          <w:tcPr>
            <w:tcW w:w="4166" w:type="pct"/>
            <w:gridSpan w:val="8"/>
            <w:shd w:val="clear" w:color="auto" w:fill="auto"/>
            <w:vAlign w:val="center"/>
            <w:hideMark/>
          </w:tcPr>
          <w:p w:rsidRPr="00C33C45" w:rsidR="004918B0" w:rsidP="00A10B71" w:rsidRDefault="004918B0" w14:paraId="0BBF3DAD" w14:textId="736F0815">
            <w:pPr>
              <w:jc w:val="both"/>
            </w:pPr>
            <w:r w:rsidRPr="00C33C45">
              <w:t>Likumprojekts šo jomu neskar</w:t>
            </w:r>
          </w:p>
        </w:tc>
      </w:tr>
      <w:tr w:rsidRPr="00C33C45" w:rsidR="004918B0" w:rsidTr="004918B0" w14:paraId="32C1209C"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auto"/>
            <w:hideMark/>
          </w:tcPr>
          <w:p w:rsidRPr="00C33C45" w:rsidR="004918B0" w:rsidP="00A10B71" w:rsidRDefault="004918B0" w14:paraId="20B7FF53" w14:textId="77777777">
            <w:r w:rsidRPr="00C33C45">
              <w:t>5. Precizēta finansiālā ietekme</w:t>
            </w:r>
          </w:p>
        </w:tc>
        <w:tc>
          <w:tcPr>
            <w:tcW w:w="4166" w:type="pct"/>
            <w:gridSpan w:val="8"/>
            <w:shd w:val="clear" w:color="auto" w:fill="auto"/>
            <w:vAlign w:val="center"/>
            <w:hideMark/>
          </w:tcPr>
          <w:p w:rsidRPr="00C33C45" w:rsidR="004918B0" w:rsidP="004918B0" w:rsidRDefault="004918B0" w14:paraId="400F97B5" w14:textId="7E44DCDA">
            <w:pPr>
              <w:jc w:val="both"/>
            </w:pPr>
          </w:p>
          <w:p w:rsidRPr="00C33C45" w:rsidR="004918B0" w:rsidP="00A10B71" w:rsidRDefault="00697ED0" w14:paraId="1267CA1B" w14:textId="4C0660DF">
            <w:pPr>
              <w:jc w:val="both"/>
            </w:pPr>
            <w:r w:rsidRPr="00C33C45">
              <w:t xml:space="preserve">Likumprojekts šo jomu neskar. </w:t>
            </w:r>
          </w:p>
        </w:tc>
      </w:tr>
      <w:tr w:rsidRPr="00C33C45" w:rsidR="00A10B71" w:rsidTr="004918B0" w14:paraId="5A2A2568"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auto"/>
            <w:hideMark/>
          </w:tcPr>
          <w:p w:rsidRPr="00C33C45" w:rsidR="00A10B71" w:rsidP="00A10B71" w:rsidRDefault="00A10B71" w14:paraId="3928CCC0" w14:textId="03714EF9">
            <w:r w:rsidRPr="00C33C45">
              <w:t xml:space="preserve">6. Detalizēts ieņēmumu un izdevumu aprēķins </w:t>
            </w:r>
          </w:p>
        </w:tc>
        <w:tc>
          <w:tcPr>
            <w:tcW w:w="4166" w:type="pct"/>
            <w:gridSpan w:val="8"/>
            <w:shd w:val="clear" w:color="auto" w:fill="auto"/>
            <w:vAlign w:val="center"/>
            <w:hideMark/>
          </w:tcPr>
          <w:p w:rsidRPr="00C33C45" w:rsidR="00A10B71" w:rsidP="00A10B71" w:rsidRDefault="00A10B71" w14:paraId="6D43B957" w14:textId="77777777">
            <w:pPr>
              <w:jc w:val="both"/>
            </w:pPr>
            <w:r w:rsidRPr="00C33C45">
              <w:t xml:space="preserve">Nav. </w:t>
            </w:r>
          </w:p>
        </w:tc>
      </w:tr>
      <w:tr w:rsidRPr="00C33C45" w:rsidR="00A10B71" w:rsidTr="004918B0" w14:paraId="331F2296"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cantSplit/>
        </w:trPr>
        <w:tc>
          <w:tcPr>
            <w:tcW w:w="834" w:type="pct"/>
            <w:shd w:val="clear" w:color="auto" w:fill="auto"/>
            <w:hideMark/>
          </w:tcPr>
          <w:p w:rsidRPr="00C33C45" w:rsidR="00A10B71" w:rsidP="00A10B71" w:rsidRDefault="00A10B71" w14:paraId="71873874" w14:textId="77777777">
            <w:r w:rsidRPr="00C33C45">
              <w:t>7. Amata vietu skaita izmaiņas</w:t>
            </w:r>
          </w:p>
        </w:tc>
        <w:tc>
          <w:tcPr>
            <w:tcW w:w="4166" w:type="pct"/>
            <w:gridSpan w:val="8"/>
            <w:shd w:val="clear" w:color="auto" w:fill="auto"/>
            <w:hideMark/>
          </w:tcPr>
          <w:p w:rsidRPr="00C33C45" w:rsidR="00A10B71" w:rsidP="00A10B71" w:rsidRDefault="00A10B71" w14:paraId="6B8D9F24" w14:textId="77777777">
            <w:pPr>
              <w:jc w:val="both"/>
            </w:pPr>
            <w:r w:rsidRPr="00C33C45">
              <w:t xml:space="preserve">Likumprojekts šo jomu neskar. </w:t>
            </w:r>
          </w:p>
        </w:tc>
      </w:tr>
      <w:tr w:rsidRPr="00C33C45" w:rsidR="00A10B71" w:rsidTr="004918B0" w14:paraId="174FF0F9" w14:textId="77777777">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c>
          <w:tcPr>
            <w:tcW w:w="834" w:type="pct"/>
            <w:shd w:val="clear" w:color="auto" w:fill="auto"/>
            <w:hideMark/>
          </w:tcPr>
          <w:p w:rsidRPr="00C33C45" w:rsidR="00A10B71" w:rsidP="00A10B71" w:rsidRDefault="00A10B71" w14:paraId="4C7EADBB" w14:textId="77777777">
            <w:r w:rsidRPr="00C33C45">
              <w:t>8. Cita informācija</w:t>
            </w:r>
          </w:p>
        </w:tc>
        <w:tc>
          <w:tcPr>
            <w:tcW w:w="4166" w:type="pct"/>
            <w:gridSpan w:val="8"/>
            <w:shd w:val="clear" w:color="auto" w:fill="auto"/>
            <w:hideMark/>
          </w:tcPr>
          <w:p w:rsidRPr="00C33C45" w:rsidR="0080465B" w:rsidP="0080465B" w:rsidRDefault="0080465B" w14:paraId="74CD4216" w14:textId="2D945477">
            <w:pPr>
              <w:jc w:val="both"/>
            </w:pPr>
            <w:r w:rsidRPr="00C33C45">
              <w:t xml:space="preserve">Līguma </w:t>
            </w:r>
            <w:r w:rsidR="00697ED0">
              <w:t>grozījums</w:t>
            </w:r>
            <w:r w:rsidRPr="00C33C45">
              <w:t xml:space="preserve"> neparedz Latvijas Republikas līdzmaksājumus vai citus tiešus finansiālus ieguldījumus.</w:t>
            </w:r>
          </w:p>
          <w:p w:rsidRPr="00C33C45" w:rsidR="0080465B" w:rsidP="0080465B" w:rsidRDefault="0080465B" w14:paraId="016D3FE8" w14:textId="1107AED3">
            <w:pPr>
              <w:jc w:val="both"/>
            </w:pPr>
            <w:r w:rsidRPr="00C33C45">
              <w:t xml:space="preserve">No Līguma </w:t>
            </w:r>
            <w:r w:rsidR="00697ED0">
              <w:t>grozījums</w:t>
            </w:r>
            <w:r w:rsidRPr="00C33C45">
              <w:t xml:space="preserve"> izrietošās saistības (ar Līguma projekta izpildi saistītās </w:t>
            </w:r>
            <w:r w:rsidRPr="00C33C45" w:rsidR="007E27AE">
              <w:t xml:space="preserve">organizatoriskās un </w:t>
            </w:r>
            <w:r w:rsidRPr="00C33C45">
              <w:t>administratīvās izmaksas) nodrošinās Tieslietu ministrija esošo budžeta līdzekļu ietvaros.</w:t>
            </w:r>
          </w:p>
          <w:p w:rsidRPr="00C33C45" w:rsidR="0080465B" w:rsidP="00954E8B" w:rsidRDefault="00954E8B" w14:paraId="573948C6" w14:textId="1AE72472">
            <w:pPr>
              <w:pStyle w:val="Parastais"/>
              <w:jc w:val="both"/>
            </w:pPr>
            <w:r>
              <w:t xml:space="preserve">Ja </w:t>
            </w:r>
            <w:r w:rsidRPr="00C33C45" w:rsidR="0080465B">
              <w:t>saistī</w:t>
            </w:r>
            <w:r>
              <w:t xml:space="preserve">bā </w:t>
            </w:r>
            <w:r w:rsidRPr="00C33C45" w:rsidR="0080465B">
              <w:t>ar 2004.gada Līguma nosacījumu, tai skaitā, tā 6.panta izpildi</w:t>
            </w:r>
            <w:r w:rsidR="007272B8">
              <w:t xml:space="preserve">, </w:t>
            </w:r>
            <w:r w:rsidR="00DB43AA">
              <w:t>r</w:t>
            </w:r>
            <w:r>
              <w:t>adīsies citi izdevumi, tie</w:t>
            </w:r>
            <w:r w:rsidRPr="00C33C45" w:rsidR="007272B8">
              <w:t xml:space="preserve"> </w:t>
            </w:r>
            <w:r w:rsidRPr="00C33C45" w:rsidR="0080465B">
              <w:t xml:space="preserve">sedzami Latvijas normatīvajos aktos noteiktajā kārtībā. </w:t>
            </w:r>
            <w:bookmarkStart w:name="_GoBack" w:id="6"/>
            <w:bookmarkEnd w:id="6"/>
            <w:r>
              <w:t xml:space="preserve">Šādi izdevumi ir, </w:t>
            </w:r>
            <w:r>
              <w:t xml:space="preserve">galvenokārt, </w:t>
            </w:r>
            <w:r w:rsidRPr="00954E8B">
              <w:t>netiešo nodokļu (pievienotās vērtības nodoklis, kā arī akcīzes nodoklis) atbrīvojumi vai atvieglojumi, kas saskaņā ar Latvijas normatīvajiem aktiem tiek piemēroti vēstniecībām un diplomātiskajam personālam</w:t>
            </w:r>
            <w:r>
              <w:t>.</w:t>
            </w:r>
          </w:p>
          <w:p w:rsidR="0080465B" w:rsidP="0080465B" w:rsidRDefault="0080465B" w14:paraId="4BA9B530" w14:textId="7255F88E">
            <w:pPr>
              <w:jc w:val="both"/>
            </w:pPr>
            <w:r w:rsidRPr="00C33C45">
              <w:t xml:space="preserve">Precīzu </w:t>
            </w:r>
            <w:r w:rsidR="00697ED0">
              <w:t>šo</w:t>
            </w:r>
            <w:r w:rsidRPr="00C33C45">
              <w:t xml:space="preserve"> izmaksu summu šobrīd nav iespējams aprēķināt.</w:t>
            </w:r>
          </w:p>
          <w:p w:rsidRPr="00C33C45" w:rsidR="00A10B71" w:rsidP="00A10B71" w:rsidRDefault="00697ED0" w14:paraId="26F949FC" w14:textId="01CEED27">
            <w:pPr>
              <w:jc w:val="both"/>
            </w:pPr>
            <w:r>
              <w:lastRenderedPageBreak/>
              <w:t>Paredzams, ka ilgtermiņā Līguma grozījumam būs netieša pozitīva finansiālā ietekme, ņemot vērā, ka Līguma grozījumu ietvaros veiktās aktivitātes uzlabos Latvijas institūciju spēju apkarot</w:t>
            </w:r>
            <w:r w:rsidR="00651AEC">
              <w:t xml:space="preserve"> </w:t>
            </w:r>
            <w:r>
              <w:t>ekonomiskos noziegumus (t.sk. aizturēt noziedzīgi iegūtus līdzekļus).</w:t>
            </w:r>
          </w:p>
          <w:p w:rsidRPr="00C33C45" w:rsidR="00A10B71" w:rsidP="00A10B71" w:rsidRDefault="00A10B71" w14:paraId="449806F6" w14:textId="77777777">
            <w:pPr>
              <w:jc w:val="both"/>
            </w:pPr>
          </w:p>
        </w:tc>
      </w:tr>
    </w:tbl>
    <w:p w:rsidRPr="00C33C45" w:rsidR="004215DD" w:rsidP="004215DD" w:rsidRDefault="004215DD" w14:paraId="47009B36" w14:textId="4518900A">
      <w:pPr>
        <w:ind w:left="142" w:firstLine="158"/>
        <w:jc w:val="both"/>
        <w:rPr>
          <w:b/>
          <w:iCs/>
        </w:rPr>
      </w:pPr>
    </w:p>
    <w:tbl>
      <w:tblPr>
        <w:tblW w:w="5004" w:type="pct"/>
        <w:tblInd w:w="-8" w:type="dxa"/>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46"/>
        <w:gridCol w:w="1713"/>
        <w:gridCol w:w="7003"/>
      </w:tblGrid>
      <w:tr w:rsidRPr="00C33C45" w:rsidR="00C33C45" w:rsidTr="00157E4B" w14:paraId="3CC87EEF" w14:textId="77777777">
        <w:trPr>
          <w:trHeight w:val="450"/>
        </w:trPr>
        <w:tc>
          <w:tcPr>
            <w:tcW w:w="4975" w:type="pct"/>
            <w:gridSpan w:val="3"/>
            <w:tcBorders>
              <w:top w:val="outset" w:color="414142" w:sz="6" w:space="0"/>
              <w:left w:val="outset" w:color="414142" w:sz="6" w:space="0"/>
              <w:bottom w:val="outset" w:color="414142" w:sz="6" w:space="0"/>
              <w:right w:val="outset" w:color="414142" w:sz="6" w:space="0"/>
            </w:tcBorders>
            <w:vAlign w:val="center"/>
            <w:hideMark/>
          </w:tcPr>
          <w:p w:rsidRPr="00C33C45" w:rsidR="00C33C45" w:rsidP="00157E4B" w:rsidRDefault="00C33C45" w14:paraId="2DE4C78F" w14:textId="77777777">
            <w:pPr>
              <w:ind w:firstLine="300"/>
              <w:jc w:val="center"/>
              <w:rPr>
                <w:b/>
                <w:bCs/>
              </w:rPr>
            </w:pPr>
            <w:r w:rsidRPr="00C33C45">
              <w:rPr>
                <w:b/>
                <w:bCs/>
              </w:rPr>
              <w:t>IV. Tiesību akta projekta ietekme uz spēkā esošo tiesību normu sistēmu</w:t>
            </w:r>
          </w:p>
        </w:tc>
      </w:tr>
      <w:tr w:rsidRPr="00C33C45" w:rsidR="00C33C45" w:rsidTr="00157E4B" w14:paraId="44E47AE7" w14:textId="77777777">
        <w:tc>
          <w:tcPr>
            <w:tcW w:w="190"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72BA6353" w14:textId="77777777">
            <w:r w:rsidRPr="00C33C45">
              <w:t>1.</w:t>
            </w:r>
          </w:p>
        </w:tc>
        <w:tc>
          <w:tcPr>
            <w:tcW w:w="940"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73815272" w14:textId="77777777">
            <w:r w:rsidRPr="00C33C45">
              <w:t>Saistītie tiesību aktu projekti</w:t>
            </w:r>
          </w:p>
        </w:tc>
        <w:tc>
          <w:tcPr>
            <w:tcW w:w="3845"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4344E3D0" w14:textId="77777777">
            <w:pPr>
              <w:ind w:firstLine="14"/>
              <w:jc w:val="both"/>
            </w:pPr>
            <w:r w:rsidRPr="00C33C45">
              <w:t>Likumprojekts šo jomu neskar.</w:t>
            </w:r>
          </w:p>
        </w:tc>
      </w:tr>
      <w:tr w:rsidRPr="00C33C45" w:rsidR="00C33C45" w:rsidTr="00157E4B" w14:paraId="30BA7C69" w14:textId="77777777">
        <w:tc>
          <w:tcPr>
            <w:tcW w:w="190"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0C4BCFAE" w14:textId="77777777">
            <w:r w:rsidRPr="00C33C45">
              <w:t>2.</w:t>
            </w:r>
          </w:p>
        </w:tc>
        <w:tc>
          <w:tcPr>
            <w:tcW w:w="940"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536AFEEE" w14:textId="77777777">
            <w:r w:rsidRPr="00C33C45">
              <w:t>Atbildīgā institūcija</w:t>
            </w:r>
          </w:p>
        </w:tc>
        <w:tc>
          <w:tcPr>
            <w:tcW w:w="3845"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4AC2DD8E" w14:textId="77777777">
            <w:pPr>
              <w:pStyle w:val="Komentrateksts"/>
              <w:jc w:val="both"/>
              <w:rPr>
                <w:sz w:val="24"/>
                <w:szCs w:val="24"/>
              </w:rPr>
            </w:pPr>
            <w:r w:rsidRPr="00C33C45">
              <w:rPr>
                <w:sz w:val="24"/>
                <w:szCs w:val="24"/>
              </w:rPr>
              <w:t>Likumprojekts šo jomu neskar.</w:t>
            </w:r>
          </w:p>
        </w:tc>
      </w:tr>
      <w:tr w:rsidRPr="00C33C45" w:rsidR="00C33C45" w:rsidTr="00157E4B" w14:paraId="5C43D51D" w14:textId="77777777">
        <w:tc>
          <w:tcPr>
            <w:tcW w:w="190"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7D438A3A" w14:textId="77777777">
            <w:r w:rsidRPr="00C33C45">
              <w:t>3.</w:t>
            </w:r>
          </w:p>
        </w:tc>
        <w:tc>
          <w:tcPr>
            <w:tcW w:w="940"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231ADB38" w14:textId="77777777">
            <w:r w:rsidRPr="00C33C45">
              <w:t>Cita informācija</w:t>
            </w:r>
          </w:p>
        </w:tc>
        <w:tc>
          <w:tcPr>
            <w:tcW w:w="3845" w:type="pct"/>
            <w:tcBorders>
              <w:top w:val="outset" w:color="414142" w:sz="6" w:space="0"/>
              <w:left w:val="outset" w:color="414142" w:sz="6" w:space="0"/>
              <w:bottom w:val="outset" w:color="414142" w:sz="6" w:space="0"/>
              <w:right w:val="outset" w:color="414142" w:sz="6" w:space="0"/>
            </w:tcBorders>
            <w:hideMark/>
          </w:tcPr>
          <w:p w:rsidRPr="00C33C45" w:rsidR="00C33C45" w:rsidP="00157E4B" w:rsidRDefault="00C33C45" w14:paraId="5858A877" w14:textId="77777777">
            <w:pPr>
              <w:jc w:val="both"/>
            </w:pPr>
            <w:r w:rsidRPr="00C33C45">
              <w:t>Līguma projekta praktiskā īstenošana veicama spēkā esošo Latvijas normatīvo aktu ietvaros. Līguma projekts neprasa nacionālo normatīvo aktu pielāgošanu no Līguma projekta izrietošo saistību izpildei.</w:t>
            </w:r>
          </w:p>
        </w:tc>
      </w:tr>
    </w:tbl>
    <w:p w:rsidR="00C33C45" w:rsidP="004215DD" w:rsidRDefault="00C33C45" w14:paraId="5A5AA354" w14:textId="096FAFA5">
      <w:pPr>
        <w:ind w:left="142" w:firstLine="158"/>
        <w:jc w:val="both"/>
        <w:rPr>
          <w:b/>
          <w:iCs/>
        </w:rPr>
      </w:pPr>
    </w:p>
    <w:p w:rsidRPr="00C33C45" w:rsidR="00685F09" w:rsidP="004215DD" w:rsidRDefault="00685F09" w14:paraId="1CB21254" w14:textId="77777777">
      <w:pPr>
        <w:ind w:left="142" w:firstLine="158"/>
        <w:jc w:val="both"/>
        <w:rPr>
          <w:b/>
          <w:iCs/>
        </w:rPr>
      </w:pPr>
    </w:p>
    <w:p w:rsidRPr="00C33C45" w:rsidR="00C33C45" w:rsidP="004215DD" w:rsidRDefault="00C33C45" w14:paraId="1A078778" w14:textId="77777777">
      <w:pPr>
        <w:ind w:left="142" w:firstLine="158"/>
        <w:jc w:val="both"/>
        <w:rPr>
          <w:b/>
          <w:iCs/>
        </w:rPr>
      </w:pPr>
    </w:p>
    <w:tbl>
      <w:tblPr>
        <w:tblW w:w="5000"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061"/>
      </w:tblGrid>
      <w:tr w:rsidRPr="00C33C45" w:rsidR="00C74D3A" w:rsidTr="006F1E32" w14:paraId="6399A37C" w14:textId="77777777">
        <w:trPr>
          <w:trHeight w:val="279"/>
        </w:trPr>
        <w:tc>
          <w:tcPr>
            <w:tcW w:w="5000" w:type="pct"/>
          </w:tcPr>
          <w:p w:rsidRPr="00C33C45" w:rsidR="00616D99" w:rsidP="007E08A8" w:rsidRDefault="00616D99" w14:paraId="7D4F3B0F" w14:textId="77777777">
            <w:pPr>
              <w:jc w:val="center"/>
              <w:rPr>
                <w:b/>
              </w:rPr>
            </w:pPr>
            <w:r w:rsidRPr="00C33C45">
              <w:rPr>
                <w:b/>
              </w:rPr>
              <w:t>V. Tiesību akta projekta atbilstība Latvijas Republikas starptautiskajām saistībām</w:t>
            </w:r>
          </w:p>
        </w:tc>
      </w:tr>
    </w:tbl>
    <w:tbl>
      <w:tblPr>
        <w:tblStyle w:val="Reatabula"/>
        <w:tblpPr w:leftFromText="180" w:rightFromText="180" w:vertAnchor="text" w:horzAnchor="margin" w:tblpY="35"/>
        <w:tblW w:w="9066" w:type="dxa"/>
        <w:tblLook w:val="04A0" w:firstRow="1" w:lastRow="0" w:firstColumn="1" w:lastColumn="0" w:noHBand="0" w:noVBand="1"/>
      </w:tblPr>
      <w:tblGrid>
        <w:gridCol w:w="426"/>
        <w:gridCol w:w="3118"/>
        <w:gridCol w:w="5522"/>
      </w:tblGrid>
      <w:tr w:rsidRPr="00685F09" w:rsidR="00685F09" w:rsidTr="00685F09" w14:paraId="3841544A" w14:textId="77777777">
        <w:tc>
          <w:tcPr>
            <w:tcW w:w="426" w:type="dxa"/>
          </w:tcPr>
          <w:p w:rsidRPr="00685F09" w:rsidR="00685F09" w:rsidP="00685F09" w:rsidRDefault="00685F09" w14:paraId="57E12AB2"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1.</w:t>
            </w:r>
          </w:p>
        </w:tc>
        <w:tc>
          <w:tcPr>
            <w:tcW w:w="3118" w:type="dxa"/>
          </w:tcPr>
          <w:p w:rsidRPr="00685F09" w:rsidR="00685F09" w:rsidP="00685F09" w:rsidRDefault="00685F09" w14:paraId="742FD41D"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Saistības pret Eiropas Savienību</w:t>
            </w:r>
          </w:p>
        </w:tc>
        <w:tc>
          <w:tcPr>
            <w:tcW w:w="5522" w:type="dxa"/>
          </w:tcPr>
          <w:p w:rsidRPr="00685F09" w:rsidR="00685F09" w:rsidP="00685F09" w:rsidRDefault="00685F09" w14:paraId="69E95A7D"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Likumprojekts šo jomu neskar.</w:t>
            </w:r>
          </w:p>
        </w:tc>
      </w:tr>
      <w:tr w:rsidRPr="00685F09" w:rsidR="00685F09" w:rsidTr="00685F09" w14:paraId="5A9C9C27" w14:textId="77777777">
        <w:tc>
          <w:tcPr>
            <w:tcW w:w="426" w:type="dxa"/>
          </w:tcPr>
          <w:p w:rsidRPr="00685F09" w:rsidR="00685F09" w:rsidP="00685F09" w:rsidRDefault="00685F09" w14:paraId="3D4B5D6B"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2.</w:t>
            </w:r>
          </w:p>
        </w:tc>
        <w:tc>
          <w:tcPr>
            <w:tcW w:w="3118" w:type="dxa"/>
          </w:tcPr>
          <w:p w:rsidRPr="00685F09" w:rsidR="00685F09" w:rsidP="00685F09" w:rsidRDefault="00685F09" w14:paraId="0F4BB71A"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Citas starptautiskās saistības</w:t>
            </w:r>
          </w:p>
        </w:tc>
        <w:tc>
          <w:tcPr>
            <w:tcW w:w="5522" w:type="dxa"/>
          </w:tcPr>
          <w:p w:rsidRPr="00685F09" w:rsidR="00685F09" w:rsidP="00685F09" w:rsidRDefault="00685F09" w14:paraId="66BC2321"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Likumprojekts paredz grozīt 2004.gada 27.septembrī Rīgā parakstīto Latvijas Republikas valdības un Amerikas Savienoto Valstu valdības līgums par sadarbību tiesībaizsardzības jomā.</w:t>
            </w:r>
          </w:p>
        </w:tc>
      </w:tr>
      <w:tr w:rsidRPr="00685F09" w:rsidR="00685F09" w:rsidTr="00685F09" w14:paraId="779AC47E" w14:textId="77777777">
        <w:tc>
          <w:tcPr>
            <w:tcW w:w="426" w:type="dxa"/>
          </w:tcPr>
          <w:p w:rsidRPr="00685F09" w:rsidR="00685F09" w:rsidP="00685F09" w:rsidRDefault="00685F09" w14:paraId="451F64FA"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3.</w:t>
            </w:r>
          </w:p>
        </w:tc>
        <w:tc>
          <w:tcPr>
            <w:tcW w:w="3118" w:type="dxa"/>
          </w:tcPr>
          <w:p w:rsidRPr="00685F09" w:rsidR="00685F09" w:rsidP="00685F09" w:rsidRDefault="00685F09" w14:paraId="6071985F"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Cita informācija</w:t>
            </w:r>
          </w:p>
        </w:tc>
        <w:tc>
          <w:tcPr>
            <w:tcW w:w="5522" w:type="dxa"/>
          </w:tcPr>
          <w:p w:rsidRPr="00685F09" w:rsidR="00685F09" w:rsidP="00685F09" w:rsidRDefault="00685F09" w14:paraId="00EF4E48" w14:textId="77777777">
            <w:pPr>
              <w:jc w:val="both"/>
              <w:rPr>
                <w:rFonts w:ascii="Times New Roman" w:hAnsi="Times New Roman" w:eastAsia="Times New Roman" w:cs="Times New Roman"/>
                <w:lang w:eastAsia="lv-LV"/>
              </w:rPr>
            </w:pPr>
            <w:r w:rsidRPr="00685F09">
              <w:rPr>
                <w:rFonts w:ascii="Times New Roman" w:hAnsi="Times New Roman" w:eastAsia="Times New Roman" w:cs="Times New Roman"/>
                <w:lang w:eastAsia="lv-LV"/>
              </w:rPr>
              <w:t>Nav.</w:t>
            </w:r>
          </w:p>
        </w:tc>
      </w:tr>
    </w:tbl>
    <w:p w:rsidRPr="00C33C45" w:rsidR="006F1E32" w:rsidP="006F1E32" w:rsidRDefault="006F1E32" w14:paraId="151C51C5" w14:textId="3EB181CC">
      <w:r w:rsidRPr="00C33C45">
        <w:t xml:space="preserve">  </w:t>
      </w: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2247"/>
        <w:gridCol w:w="6808"/>
      </w:tblGrid>
      <w:tr w:rsidRPr="00C33C45" w:rsidR="006F1E32" w:rsidTr="006F1E32" w14:paraId="2936F669"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33C45" w:rsidR="006F1E32" w:rsidP="006F1E32" w:rsidRDefault="006F1E32" w14:paraId="7A79AEE1" w14:textId="77777777">
            <w:pPr>
              <w:ind w:firstLine="301"/>
              <w:jc w:val="center"/>
              <w:rPr>
                <w:b/>
                <w:bCs/>
              </w:rPr>
            </w:pPr>
            <w:r w:rsidRPr="00C33C45">
              <w:rPr>
                <w:b/>
                <w:bCs/>
              </w:rPr>
              <w:t>1. tabula</w:t>
            </w:r>
            <w:r w:rsidRPr="00C33C45">
              <w:rPr>
                <w:b/>
                <w:bCs/>
              </w:rPr>
              <w:br/>
              <w:t>Tiesību akta projekta atbilstība ES tiesību aktiem</w:t>
            </w:r>
          </w:p>
        </w:tc>
      </w:tr>
      <w:tr w:rsidRPr="00C33C45" w:rsidR="006F1E32" w:rsidTr="006F1E32" w14:paraId="0ADEA6A6"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p w:rsidRPr="00C33C45" w:rsidR="006F1E32" w:rsidRDefault="006F1E32" w14:paraId="01B4A9B1" w14:textId="49E00205">
            <w:pPr>
              <w:spacing w:before="100" w:beforeAutospacing="1" w:after="100" w:afterAutospacing="1" w:line="360" w:lineRule="auto"/>
              <w:ind w:firstLine="300"/>
              <w:jc w:val="center"/>
            </w:pPr>
            <w:r w:rsidRPr="00C33C45">
              <w:t>Likumprojekts šo jomu neskar</w:t>
            </w:r>
          </w:p>
        </w:tc>
      </w:tr>
      <w:tr w:rsidRPr="00C33C45" w:rsidR="006F1E32" w:rsidTr="006F1E32" w14:paraId="39798A12"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hideMark/>
          </w:tcPr>
          <w:p w:rsidRPr="00C33C45" w:rsidR="006F1E32" w:rsidP="006F1E32" w:rsidRDefault="006F1E32" w14:paraId="38FF695B" w14:textId="77777777">
            <w:pPr>
              <w:ind w:firstLine="301"/>
              <w:jc w:val="center"/>
            </w:pPr>
            <w:r w:rsidRPr="00C33C45">
              <w:t>2</w:t>
            </w:r>
            <w:r w:rsidRPr="00C33C45">
              <w:rPr>
                <w:b/>
                <w:bCs/>
              </w:rPr>
              <w:t>. tabula</w:t>
            </w:r>
            <w:r w:rsidRPr="00C33C45">
              <w:rPr>
                <w:b/>
                <w:bCs/>
              </w:rPr>
              <w:br/>
              <w:t>Ar tiesību akta projektu izpildītās vai uzņemtās saistības, kas izriet no starptautiskajiem tiesību aktiem vai starptautiskas institūcijas vai organizācijas dokumentiem.</w:t>
            </w:r>
            <w:r w:rsidRPr="00C33C45">
              <w:rPr>
                <w:b/>
                <w:bCs/>
              </w:rPr>
              <w:br/>
              <w:t>Pasākumi šo saistību izpildei</w:t>
            </w:r>
          </w:p>
        </w:tc>
      </w:tr>
      <w:tr w:rsidRPr="00C33C45" w:rsidR="001B05EA" w:rsidTr="006F1E32" w14:paraId="787AFFE4" w14:textId="77777777">
        <w:trPr>
          <w:tblCellSpacing w:w="15" w:type="dxa"/>
        </w:trPr>
        <w:tc>
          <w:tcPr>
            <w:tcW w:w="0" w:type="auto"/>
            <w:gridSpan w:val="2"/>
            <w:tcBorders>
              <w:top w:val="outset" w:color="auto" w:sz="6" w:space="0"/>
              <w:left w:val="outset" w:color="auto" w:sz="6" w:space="0"/>
              <w:bottom w:val="outset" w:color="auto" w:sz="6" w:space="0"/>
              <w:right w:val="outset" w:color="auto" w:sz="6" w:space="0"/>
            </w:tcBorders>
            <w:vAlign w:val="center"/>
          </w:tcPr>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954"/>
              <w:gridCol w:w="4935"/>
            </w:tblGrid>
            <w:tr w:rsidRPr="00C33C45" w:rsidR="001B05EA" w:rsidTr="001B05EA" w14:paraId="5354EC3B" w14:textId="77777777">
              <w:trPr>
                <w:tblCellSpacing w:w="15" w:type="dxa"/>
              </w:trPr>
              <w:tc>
                <w:tcPr>
                  <w:tcW w:w="2198" w:type="pct"/>
                  <w:tcBorders>
                    <w:top w:val="outset" w:color="auto" w:sz="6" w:space="0"/>
                    <w:left w:val="outset" w:color="auto" w:sz="6" w:space="0"/>
                    <w:bottom w:val="outset" w:color="auto" w:sz="6" w:space="0"/>
                    <w:right w:val="outset" w:color="auto" w:sz="6" w:space="0"/>
                  </w:tcBorders>
                  <w:hideMark/>
                </w:tcPr>
                <w:p w:rsidRPr="00C33C45" w:rsidR="001B05EA" w:rsidP="001B05EA" w:rsidRDefault="001B05EA" w14:paraId="4F275E1C" w14:textId="77777777">
                  <w:r w:rsidRPr="00C33C45">
                    <w:t>Attiecīgā starptautiskā tiesību akta vai starptautiskas institūcijas vai organizācijas dokumenta (turpmāk – starptautiskais dokuments) datums, numurs un nosaukums</w:t>
                  </w:r>
                </w:p>
              </w:tc>
              <w:tc>
                <w:tcPr>
                  <w:tcW w:w="2751" w:type="pct"/>
                  <w:tcBorders>
                    <w:top w:val="outset" w:color="auto" w:sz="6" w:space="0"/>
                    <w:left w:val="outset" w:color="auto" w:sz="6" w:space="0"/>
                    <w:bottom w:val="outset" w:color="auto" w:sz="6" w:space="0"/>
                    <w:right w:val="outset" w:color="auto" w:sz="6" w:space="0"/>
                  </w:tcBorders>
                  <w:hideMark/>
                </w:tcPr>
                <w:p w:rsidRPr="00C33C45" w:rsidR="001B05EA" w:rsidP="001B05EA" w:rsidRDefault="001B05EA" w14:paraId="34524605" w14:textId="1640EB77">
                  <w:r w:rsidRPr="00C33C45">
                    <w:t>Likumprojekts šo jomu neskar</w:t>
                  </w:r>
                </w:p>
              </w:tc>
            </w:tr>
          </w:tbl>
          <w:p w:rsidRPr="00C33C45" w:rsidR="001B05EA" w:rsidP="006F1E32" w:rsidRDefault="001B05EA" w14:paraId="5FD48EE6" w14:textId="77777777">
            <w:pPr>
              <w:ind w:firstLine="301"/>
              <w:jc w:val="center"/>
            </w:pPr>
          </w:p>
        </w:tc>
      </w:tr>
      <w:tr w:rsidRPr="00C33C45" w:rsidR="006F1E32" w:rsidTr="00A43C5C" w14:paraId="20C3317C"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hideMark/>
          </w:tcPr>
          <w:p w:rsidRPr="00C33C45" w:rsidR="006F1E32" w:rsidRDefault="006F1E32" w14:paraId="3AD5BA01" w14:textId="77777777">
            <w:r w:rsidRPr="00C33C45">
              <w:t xml:space="preserve">Vai starptautiskajā dokumentā paredzētās saistības nav pretrunā ar jau esošajām Latvijas Republikas </w:t>
            </w:r>
            <w:r w:rsidRPr="00C33C45">
              <w:lastRenderedPageBreak/>
              <w:t>starptautiskajām saistībām</w:t>
            </w:r>
          </w:p>
        </w:tc>
        <w:tc>
          <w:tcPr>
            <w:tcW w:w="3734" w:type="pct"/>
            <w:tcBorders>
              <w:top w:val="outset" w:color="auto" w:sz="6" w:space="0"/>
              <w:left w:val="outset" w:color="auto" w:sz="6" w:space="0"/>
              <w:bottom w:val="outset" w:color="auto" w:sz="6" w:space="0"/>
              <w:right w:val="outset" w:color="auto" w:sz="6" w:space="0"/>
            </w:tcBorders>
            <w:hideMark/>
          </w:tcPr>
          <w:p w:rsidRPr="00C33C45" w:rsidR="006F1E32" w:rsidP="00A43C5C" w:rsidRDefault="007807AB" w14:paraId="344D9E6B" w14:textId="7767B8D1">
            <w:pPr>
              <w:jc w:val="both"/>
            </w:pPr>
            <w:r w:rsidRPr="00C33C45">
              <w:lastRenderedPageBreak/>
              <w:t xml:space="preserve">Līguma </w:t>
            </w:r>
            <w:r w:rsidR="00716631">
              <w:t>grozījums</w:t>
            </w:r>
            <w:r w:rsidRPr="00C33C45" w:rsidR="006325A4">
              <w:t xml:space="preserve"> aktualizē 2004.gadā noslēgtā sadarbības līguma īstenošanu. Līguma </w:t>
            </w:r>
            <w:r w:rsidR="00685F09">
              <w:t>grozījumā</w:t>
            </w:r>
            <w:r w:rsidRPr="00C33C45" w:rsidR="006325A4">
              <w:t xml:space="preserve"> </w:t>
            </w:r>
            <w:r w:rsidRPr="00C33C45">
              <w:t>paredzētās saistības nenonāk pretrunā ar citiem Latvijas Republikai saistošiem starptautiskajiem līgumiem</w:t>
            </w:r>
            <w:r w:rsidRPr="00C33C45" w:rsidR="006325A4">
              <w:t>.</w:t>
            </w:r>
          </w:p>
        </w:tc>
      </w:tr>
      <w:tr w:rsidRPr="00C33C45" w:rsidR="006F1E32" w:rsidTr="00A43C5C" w14:paraId="0264B860" w14:textId="77777777">
        <w:trPr>
          <w:tblCellSpacing w:w="15" w:type="dxa"/>
        </w:trPr>
        <w:tc>
          <w:tcPr>
            <w:tcW w:w="1216" w:type="pct"/>
            <w:tcBorders>
              <w:top w:val="outset" w:color="auto" w:sz="6" w:space="0"/>
              <w:left w:val="outset" w:color="auto" w:sz="6" w:space="0"/>
              <w:bottom w:val="outset" w:color="auto" w:sz="6" w:space="0"/>
              <w:right w:val="outset" w:color="auto" w:sz="6" w:space="0"/>
            </w:tcBorders>
            <w:hideMark/>
          </w:tcPr>
          <w:p w:rsidRPr="00C33C45" w:rsidR="006F1E32" w:rsidRDefault="006F1E32" w14:paraId="7B4E27E0" w14:textId="77777777">
            <w:r w:rsidRPr="00C33C45">
              <w:t>Cita informācija</w:t>
            </w:r>
          </w:p>
        </w:tc>
        <w:tc>
          <w:tcPr>
            <w:tcW w:w="3734" w:type="pct"/>
            <w:tcBorders>
              <w:top w:val="outset" w:color="auto" w:sz="6" w:space="0"/>
              <w:left w:val="outset" w:color="auto" w:sz="6" w:space="0"/>
              <w:bottom w:val="outset" w:color="auto" w:sz="6" w:space="0"/>
              <w:right w:val="outset" w:color="auto" w:sz="6" w:space="0"/>
            </w:tcBorders>
            <w:hideMark/>
          </w:tcPr>
          <w:p w:rsidRPr="00C33C45" w:rsidR="007807AB" w:rsidP="00A43C5C" w:rsidRDefault="007807AB" w14:paraId="005CC7AC" w14:textId="3CEFD8C8">
            <w:pPr>
              <w:jc w:val="both"/>
            </w:pPr>
            <w:r w:rsidRPr="00C33C45">
              <w:t>Likumprojekts (Līguma projekts) veicina to saistību izpildi, ko Latvijas Republika uzņēmusies ar starptautisk</w:t>
            </w:r>
            <w:r w:rsidRPr="00C33C45" w:rsidR="00A43C5C">
              <w:t>ajiem</w:t>
            </w:r>
            <w:r w:rsidRPr="00C33C45">
              <w:t xml:space="preserve"> līgumi</w:t>
            </w:r>
            <w:r w:rsidRPr="00C33C45" w:rsidR="00A43C5C">
              <w:t>em</w:t>
            </w:r>
            <w:r w:rsidRPr="00C33C45">
              <w:t xml:space="preserve"> </w:t>
            </w:r>
            <w:r w:rsidRPr="00C33C45" w:rsidR="00A43C5C">
              <w:t xml:space="preserve">nelegāli iegūtu līdzekļu legalizācijas, </w:t>
            </w:r>
            <w:r w:rsidRPr="00C33C45">
              <w:t xml:space="preserve">korupcijas novēršanas </w:t>
            </w:r>
            <w:r w:rsidRPr="00C33C45" w:rsidR="00A43C5C">
              <w:t>un terorisma finansēšanas novēršanas</w:t>
            </w:r>
            <w:r w:rsidRPr="00C33C45">
              <w:t xml:space="preserve"> jomās</w:t>
            </w:r>
            <w:r w:rsidR="00651AEC">
              <w:t>.</w:t>
            </w:r>
          </w:p>
        </w:tc>
      </w:tr>
    </w:tbl>
    <w:p w:rsidRPr="00C33C45" w:rsidR="00656C9A" w:rsidP="00656C9A" w:rsidRDefault="00656C9A" w14:paraId="1167426F" w14:textId="77777777">
      <w:pPr>
        <w:rPr>
          <w:i/>
        </w:rPr>
      </w:pPr>
    </w:p>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67"/>
        <w:gridCol w:w="2340"/>
        <w:gridCol w:w="6194"/>
      </w:tblGrid>
      <w:tr w:rsidRPr="00C33C45" w:rsidR="00C74D3A" w:rsidTr="009E3488" w14:paraId="75240749" w14:textId="77777777">
        <w:trPr>
          <w:trHeight w:val="279"/>
        </w:trPr>
        <w:tc>
          <w:tcPr>
            <w:tcW w:w="9101" w:type="dxa"/>
            <w:gridSpan w:val="3"/>
          </w:tcPr>
          <w:p w:rsidRPr="00C33C45" w:rsidR="00AC145B" w:rsidP="003037FE" w:rsidRDefault="00AC145B" w14:paraId="416C5C77" w14:textId="77777777">
            <w:pPr>
              <w:jc w:val="center"/>
              <w:rPr>
                <w:b/>
              </w:rPr>
            </w:pPr>
            <w:r w:rsidRPr="00C33C45">
              <w:rPr>
                <w:b/>
              </w:rPr>
              <w:t>VI. Sabiedrības līdzdalība un komunikācijas aktivitātes</w:t>
            </w:r>
          </w:p>
        </w:tc>
      </w:tr>
      <w:tr w:rsidRPr="00C33C45" w:rsidR="00C74D3A" w:rsidTr="009E3488" w14:paraId="6BA177C3" w14:textId="77777777">
        <w:trPr>
          <w:trHeight w:val="279"/>
        </w:trPr>
        <w:tc>
          <w:tcPr>
            <w:tcW w:w="567" w:type="dxa"/>
          </w:tcPr>
          <w:p w:rsidRPr="00C33C45" w:rsidR="00AC145B" w:rsidP="003037FE" w:rsidRDefault="00AC145B" w14:paraId="0238755B" w14:textId="77777777">
            <w:pPr>
              <w:jc w:val="both"/>
            </w:pPr>
            <w:r w:rsidRPr="00C33C45">
              <w:t>1.</w:t>
            </w:r>
          </w:p>
        </w:tc>
        <w:tc>
          <w:tcPr>
            <w:tcW w:w="2340" w:type="dxa"/>
          </w:tcPr>
          <w:p w:rsidRPr="00C33C45" w:rsidR="00AC145B" w:rsidP="00FC11EF" w:rsidRDefault="00AC145B" w14:paraId="4AFAE505" w14:textId="77777777">
            <w:r w:rsidRPr="00C33C45">
              <w:t>Plānotās sabiedrības līdzdalības un komunikācijas aktivitātes saistībā ar projektu</w:t>
            </w:r>
          </w:p>
        </w:tc>
        <w:tc>
          <w:tcPr>
            <w:tcW w:w="6194" w:type="dxa"/>
          </w:tcPr>
          <w:p w:rsidRPr="00C33C45" w:rsidR="00AC145B" w:rsidP="00130C77" w:rsidRDefault="00440ECE" w14:paraId="1630DD2B" w14:textId="1DB1F4F2">
            <w:pPr>
              <w:jc w:val="both"/>
            </w:pPr>
            <w:r w:rsidRPr="00C33C45">
              <w:t xml:space="preserve">Ņemot vērā, ka Līgums attiecas uz Latvijas un ASV valsts pārvaldes iestāžu sadarbību, kā arī tā mērķgrupa ir tiesībsargājošo iestāžu darbinieki, likumprojekta sabiedriskā apspriešana </w:t>
            </w:r>
            <w:r w:rsidRPr="00C33C45" w:rsidR="006F1E32">
              <w:t>netiek</w:t>
            </w:r>
            <w:r w:rsidRPr="00C33C45">
              <w:t xml:space="preserve"> veikta</w:t>
            </w:r>
            <w:r w:rsidRPr="00C33C45" w:rsidR="00483C1A">
              <w:t>.</w:t>
            </w:r>
          </w:p>
        </w:tc>
      </w:tr>
      <w:tr w:rsidRPr="00C33C45" w:rsidR="00C74D3A" w:rsidTr="009E3488" w14:paraId="5F5E3099" w14:textId="77777777">
        <w:trPr>
          <w:trHeight w:val="279"/>
        </w:trPr>
        <w:tc>
          <w:tcPr>
            <w:tcW w:w="567" w:type="dxa"/>
          </w:tcPr>
          <w:p w:rsidRPr="00C33C45" w:rsidR="00AC145B" w:rsidP="003037FE" w:rsidRDefault="00AC145B" w14:paraId="2C7C5613" w14:textId="77777777">
            <w:pPr>
              <w:jc w:val="both"/>
            </w:pPr>
            <w:r w:rsidRPr="00C33C45">
              <w:t>2.</w:t>
            </w:r>
          </w:p>
        </w:tc>
        <w:tc>
          <w:tcPr>
            <w:tcW w:w="2340" w:type="dxa"/>
          </w:tcPr>
          <w:p w:rsidRPr="00C33C45" w:rsidR="00AC145B" w:rsidP="003037FE" w:rsidRDefault="00AC145B" w14:paraId="38FECF79" w14:textId="77777777">
            <w:pPr>
              <w:jc w:val="both"/>
            </w:pPr>
            <w:r w:rsidRPr="00C33C45">
              <w:t>Sabiedrības līdzdalība projekta izstrādē</w:t>
            </w:r>
          </w:p>
        </w:tc>
        <w:tc>
          <w:tcPr>
            <w:tcW w:w="6194" w:type="dxa"/>
          </w:tcPr>
          <w:p w:rsidRPr="00C33C45" w:rsidR="0091351B" w:rsidP="006B1471" w:rsidRDefault="00483C1A" w14:paraId="226A341E" w14:textId="0E346B90">
            <w:pPr>
              <w:pStyle w:val="naiskr"/>
              <w:spacing w:before="0" w:beforeAutospacing="0" w:after="0" w:afterAutospacing="0"/>
              <w:jc w:val="both"/>
            </w:pPr>
            <w:r w:rsidRPr="00C33C45">
              <w:t xml:space="preserve">Likumprojekts </w:t>
            </w:r>
            <w:r w:rsidRPr="00C33C45" w:rsidR="006F1E32">
              <w:t xml:space="preserve">un Līgums sabiedrībai būs pieejams vispārīgā kārtībā Ministru kabineta tiesību aktu projektu datu bāzē, kā arī pēc apstiprināšanas Ministru kabinetā – Saeimas likumprojektu datu bāzē. </w:t>
            </w:r>
          </w:p>
        </w:tc>
      </w:tr>
      <w:tr w:rsidRPr="00C33C45" w:rsidR="00C74D3A" w:rsidTr="009E3488" w14:paraId="630BA639" w14:textId="77777777">
        <w:trPr>
          <w:trHeight w:val="279"/>
        </w:trPr>
        <w:tc>
          <w:tcPr>
            <w:tcW w:w="567" w:type="dxa"/>
          </w:tcPr>
          <w:p w:rsidRPr="00C33C45" w:rsidR="00AC145B" w:rsidP="003037FE" w:rsidRDefault="00AC145B" w14:paraId="3B7B4549" w14:textId="77777777">
            <w:pPr>
              <w:jc w:val="both"/>
            </w:pPr>
            <w:r w:rsidRPr="00C33C45">
              <w:t>3.</w:t>
            </w:r>
          </w:p>
        </w:tc>
        <w:tc>
          <w:tcPr>
            <w:tcW w:w="2340" w:type="dxa"/>
          </w:tcPr>
          <w:p w:rsidRPr="00C33C45" w:rsidR="00AC145B" w:rsidP="003037FE" w:rsidRDefault="00AC145B" w14:paraId="031DC3FC" w14:textId="77777777">
            <w:pPr>
              <w:jc w:val="both"/>
            </w:pPr>
            <w:r w:rsidRPr="00C33C45">
              <w:t>Sabiedrības līdzdalības rezultāti</w:t>
            </w:r>
          </w:p>
        </w:tc>
        <w:tc>
          <w:tcPr>
            <w:tcW w:w="6194" w:type="dxa"/>
          </w:tcPr>
          <w:p w:rsidRPr="00C33C45" w:rsidR="00FC11EF" w:rsidP="0050786E" w:rsidRDefault="006F1E32" w14:paraId="27F45272" w14:textId="7E16B84D">
            <w:pPr>
              <w:pStyle w:val="naiskr"/>
              <w:spacing w:before="0" w:beforeAutospacing="0" w:after="0" w:afterAutospacing="0"/>
              <w:jc w:val="both"/>
            </w:pPr>
            <w:r w:rsidRPr="00C33C45">
              <w:t>Nav.</w:t>
            </w:r>
          </w:p>
        </w:tc>
      </w:tr>
      <w:tr w:rsidRPr="00C33C45" w:rsidR="00C74D3A" w:rsidTr="009E3488" w14:paraId="75FE3249" w14:textId="77777777">
        <w:trPr>
          <w:trHeight w:val="279"/>
        </w:trPr>
        <w:tc>
          <w:tcPr>
            <w:tcW w:w="567" w:type="dxa"/>
          </w:tcPr>
          <w:p w:rsidRPr="00C33C45" w:rsidR="00AC145B" w:rsidP="003037FE" w:rsidRDefault="00AC145B" w14:paraId="50F4BC23" w14:textId="77777777">
            <w:pPr>
              <w:jc w:val="both"/>
            </w:pPr>
            <w:r w:rsidRPr="00C33C45">
              <w:t>4.</w:t>
            </w:r>
          </w:p>
        </w:tc>
        <w:tc>
          <w:tcPr>
            <w:tcW w:w="2340" w:type="dxa"/>
          </w:tcPr>
          <w:p w:rsidRPr="00C33C45" w:rsidR="00AC145B" w:rsidP="003037FE" w:rsidRDefault="00AC145B" w14:paraId="57E265FA" w14:textId="77777777">
            <w:pPr>
              <w:jc w:val="both"/>
            </w:pPr>
            <w:r w:rsidRPr="00C33C45">
              <w:t>Cita informācija</w:t>
            </w:r>
          </w:p>
        </w:tc>
        <w:tc>
          <w:tcPr>
            <w:tcW w:w="6194" w:type="dxa"/>
          </w:tcPr>
          <w:p w:rsidRPr="00C33C45" w:rsidR="00AC145B" w:rsidP="003037FE" w:rsidRDefault="00AC145B" w14:paraId="236F0ACD" w14:textId="77777777">
            <w:pPr>
              <w:jc w:val="both"/>
            </w:pPr>
            <w:r w:rsidRPr="00C33C45">
              <w:rPr>
                <w:sz w:val="22"/>
                <w:szCs w:val="22"/>
              </w:rPr>
              <w:t>Nav.</w:t>
            </w:r>
          </w:p>
        </w:tc>
      </w:tr>
    </w:tbl>
    <w:p w:rsidRPr="00C33C45" w:rsidR="00AC145B" w:rsidP="00AC145B" w:rsidRDefault="00AC145B" w14:paraId="33DC163A" w14:textId="77777777"/>
    <w:tbl>
      <w:tblPr>
        <w:tblW w:w="91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67"/>
        <w:gridCol w:w="3289"/>
        <w:gridCol w:w="5245"/>
      </w:tblGrid>
      <w:tr w:rsidRPr="00C33C45" w:rsidR="00C74D3A" w:rsidTr="009E3488" w14:paraId="41E92B8F" w14:textId="77777777">
        <w:trPr>
          <w:trHeight w:val="279"/>
        </w:trPr>
        <w:tc>
          <w:tcPr>
            <w:tcW w:w="9101" w:type="dxa"/>
            <w:gridSpan w:val="3"/>
          </w:tcPr>
          <w:p w:rsidRPr="00C33C45" w:rsidR="00AC145B" w:rsidP="003037FE" w:rsidRDefault="00AC145B" w14:paraId="1D4D84B7" w14:textId="77777777">
            <w:pPr>
              <w:jc w:val="center"/>
              <w:rPr>
                <w:b/>
              </w:rPr>
            </w:pPr>
            <w:r w:rsidRPr="00C33C45">
              <w:rPr>
                <w:b/>
              </w:rPr>
              <w:t>VII. Tiesību akta projekta izpildes nodrošināšana un tās ietekme uz institūcijām</w:t>
            </w:r>
          </w:p>
        </w:tc>
      </w:tr>
      <w:tr w:rsidRPr="00C33C45" w:rsidR="00C74D3A" w:rsidTr="009E3488" w14:paraId="4FAE2DF3" w14:textId="77777777">
        <w:trPr>
          <w:trHeight w:val="279"/>
        </w:trPr>
        <w:tc>
          <w:tcPr>
            <w:tcW w:w="567" w:type="dxa"/>
          </w:tcPr>
          <w:p w:rsidRPr="00C33C45" w:rsidR="00AC145B" w:rsidP="003037FE" w:rsidRDefault="00AC145B" w14:paraId="2938E6F1" w14:textId="77777777">
            <w:pPr>
              <w:jc w:val="both"/>
            </w:pPr>
            <w:r w:rsidRPr="00C33C45">
              <w:t>1.</w:t>
            </w:r>
          </w:p>
        </w:tc>
        <w:tc>
          <w:tcPr>
            <w:tcW w:w="3289" w:type="dxa"/>
          </w:tcPr>
          <w:p w:rsidRPr="00C33C45" w:rsidR="00AC145B" w:rsidP="003037FE" w:rsidRDefault="00AC145B" w14:paraId="070064CD" w14:textId="77777777">
            <w:pPr>
              <w:jc w:val="both"/>
            </w:pPr>
            <w:r w:rsidRPr="00C33C45">
              <w:t>Projekta izpildē iesaistītās institūcijas</w:t>
            </w:r>
          </w:p>
        </w:tc>
        <w:tc>
          <w:tcPr>
            <w:tcW w:w="5245" w:type="dxa"/>
          </w:tcPr>
          <w:p w:rsidRPr="00C33C45" w:rsidR="00AC145B" w:rsidP="007D6B98" w:rsidRDefault="006F1E32" w14:paraId="3527B742" w14:textId="11385F5B">
            <w:pPr>
              <w:pStyle w:val="naisnod"/>
              <w:spacing w:before="0" w:after="0"/>
              <w:ind w:right="57"/>
              <w:jc w:val="both"/>
            </w:pPr>
            <w:r w:rsidRPr="00C33C45">
              <w:t>Tieslietu ministrija, Ārlietu ministrija, Iekšlietu ministrij</w:t>
            </w:r>
            <w:r w:rsidRPr="00C33C45" w:rsidR="00A43C5C">
              <w:t xml:space="preserve">a, Finanšu ministrija (Valsts ieņēmumu dienests), </w:t>
            </w:r>
            <w:hyperlink w:tgtFrame="_blank" w:history="1" r:id="rId9">
              <w:r w:rsidRPr="00C33C45" w:rsidR="00D10A75">
                <w:t>Finanšu izlūkošanas dienests</w:t>
              </w:r>
            </w:hyperlink>
          </w:p>
        </w:tc>
      </w:tr>
      <w:tr w:rsidRPr="00C33C45" w:rsidR="00C74D3A" w:rsidTr="009E3488" w14:paraId="4082250F" w14:textId="77777777">
        <w:trPr>
          <w:trHeight w:val="279"/>
        </w:trPr>
        <w:tc>
          <w:tcPr>
            <w:tcW w:w="567" w:type="dxa"/>
          </w:tcPr>
          <w:p w:rsidRPr="00C33C45" w:rsidR="00AC145B" w:rsidP="003037FE" w:rsidRDefault="00AC145B" w14:paraId="6825AE59" w14:textId="77777777">
            <w:pPr>
              <w:jc w:val="both"/>
            </w:pPr>
            <w:r w:rsidRPr="00C33C45">
              <w:t>2.</w:t>
            </w:r>
          </w:p>
        </w:tc>
        <w:tc>
          <w:tcPr>
            <w:tcW w:w="3289" w:type="dxa"/>
          </w:tcPr>
          <w:p w:rsidRPr="00C33C45" w:rsidR="00AC145B" w:rsidP="00C35112" w:rsidRDefault="00AC145B" w14:paraId="089E7BD4" w14:textId="77777777">
            <w:r w:rsidRPr="00C33C45">
              <w:t>Projekta izpildes ietekme uz pārvaldes funkcijām un institucionālo struktūru.</w:t>
            </w:r>
          </w:p>
          <w:p w:rsidRPr="00C33C45" w:rsidR="00AC145B" w:rsidP="00C35112" w:rsidRDefault="00AC145B" w14:paraId="43013248" w14:textId="77777777">
            <w:r w:rsidRPr="00C33C45">
              <w:t>Jaunu institūciju izveide, esošu institūciju likvidācija vai reorganizācija, to ietekme uz institūcijas cilvēkresursiem</w:t>
            </w:r>
          </w:p>
        </w:tc>
        <w:tc>
          <w:tcPr>
            <w:tcW w:w="5245" w:type="dxa"/>
          </w:tcPr>
          <w:p w:rsidRPr="00C33C45" w:rsidR="006F1E32" w:rsidP="006F1E32" w:rsidRDefault="006F1E32" w14:paraId="06FAC543" w14:textId="1B83B753">
            <w:r w:rsidRPr="00C33C45">
              <w:t>Likumprojekts nerada jaunas pārvaldes funkcijas un nemaina to institucionālo struktūru.</w:t>
            </w:r>
          </w:p>
          <w:p w:rsidRPr="00C33C45" w:rsidR="00AC145B" w:rsidP="006F1E32" w:rsidRDefault="007B57C2" w14:paraId="1FF2CBD3" w14:textId="2FEF4148">
            <w:pPr>
              <w:jc w:val="both"/>
            </w:pPr>
            <w:r w:rsidRPr="00C33C45">
              <w:t xml:space="preserve">Ar Likumprojektu </w:t>
            </w:r>
            <w:r w:rsidRPr="00C33C45" w:rsidR="006F1E32">
              <w:t>apstiprinātais Līgums tiks īstenots</w:t>
            </w:r>
            <w:r w:rsidRPr="00C33C45">
              <w:t xml:space="preserve"> esošo </w:t>
            </w:r>
            <w:r w:rsidRPr="00C33C45" w:rsidR="006F1E32">
              <w:t xml:space="preserve">budžeta līdzekļu un </w:t>
            </w:r>
            <w:r w:rsidRPr="00C33C45">
              <w:t>cilvēkresursu ietvaros.</w:t>
            </w:r>
          </w:p>
        </w:tc>
      </w:tr>
      <w:tr w:rsidRPr="00C33C45" w:rsidR="00C74D3A" w:rsidTr="009E3488" w14:paraId="4F2859CB" w14:textId="77777777">
        <w:trPr>
          <w:trHeight w:val="279"/>
        </w:trPr>
        <w:tc>
          <w:tcPr>
            <w:tcW w:w="567" w:type="dxa"/>
          </w:tcPr>
          <w:p w:rsidRPr="00C33C45" w:rsidR="00AC145B" w:rsidP="003037FE" w:rsidRDefault="00AC145B" w14:paraId="5BD48E42" w14:textId="77777777">
            <w:pPr>
              <w:jc w:val="both"/>
            </w:pPr>
            <w:r w:rsidRPr="00C33C45">
              <w:t>3.</w:t>
            </w:r>
          </w:p>
        </w:tc>
        <w:tc>
          <w:tcPr>
            <w:tcW w:w="3289" w:type="dxa"/>
          </w:tcPr>
          <w:p w:rsidRPr="00C33C45" w:rsidR="00AC145B" w:rsidP="003037FE" w:rsidRDefault="00AC145B" w14:paraId="046263B4" w14:textId="77777777">
            <w:pPr>
              <w:jc w:val="both"/>
            </w:pPr>
            <w:r w:rsidRPr="00C33C45">
              <w:t>Cita informācija</w:t>
            </w:r>
          </w:p>
        </w:tc>
        <w:tc>
          <w:tcPr>
            <w:tcW w:w="5245" w:type="dxa"/>
          </w:tcPr>
          <w:p w:rsidRPr="00C33C45" w:rsidR="00AC145B" w:rsidP="003037FE" w:rsidRDefault="00AC145B" w14:paraId="4D97AF2E" w14:textId="77777777">
            <w:pPr>
              <w:pStyle w:val="naiskr"/>
              <w:spacing w:before="0" w:after="0"/>
              <w:ind w:left="57" w:right="57"/>
            </w:pPr>
            <w:r w:rsidRPr="00C33C45">
              <w:t>Nav.</w:t>
            </w:r>
          </w:p>
        </w:tc>
      </w:tr>
    </w:tbl>
    <w:p w:rsidRPr="00C33C45" w:rsidR="00353D69" w:rsidP="00065444" w:rsidRDefault="00353D69" w14:paraId="5A0991AB" w14:textId="77777777">
      <w:pPr>
        <w:pStyle w:val="naisf"/>
        <w:spacing w:before="0" w:beforeAutospacing="0" w:after="0" w:afterAutospacing="0"/>
        <w:rPr>
          <w:sz w:val="28"/>
          <w:szCs w:val="28"/>
        </w:rPr>
      </w:pPr>
    </w:p>
    <w:p w:rsidRPr="00C33C45" w:rsidR="00F36C05" w:rsidP="0059298A" w:rsidRDefault="00F36C05" w14:paraId="32C5840D" w14:textId="77777777">
      <w:pPr>
        <w:jc w:val="both"/>
        <w:rPr>
          <w:bCs/>
        </w:rPr>
      </w:pPr>
    </w:p>
    <w:p w:rsidRPr="00C33C45" w:rsidR="0059298A" w:rsidP="0059298A" w:rsidRDefault="0059298A" w14:paraId="3C262D8E" w14:textId="5970CD04">
      <w:pPr>
        <w:jc w:val="both"/>
        <w:rPr>
          <w:bCs/>
        </w:rPr>
      </w:pPr>
      <w:r w:rsidRPr="00C33C45">
        <w:rPr>
          <w:bCs/>
        </w:rPr>
        <w:t>Iesniedzējs:</w:t>
      </w:r>
    </w:p>
    <w:p w:rsidRPr="00C33C45" w:rsidR="00A43C5C" w:rsidP="0059298A" w:rsidRDefault="00A43C5C" w14:paraId="5775F2E2" w14:textId="77777777">
      <w:pPr>
        <w:jc w:val="both"/>
        <w:rPr>
          <w:bCs/>
        </w:rPr>
      </w:pPr>
    </w:p>
    <w:p w:rsidRPr="00C33C45" w:rsidR="0059298A" w:rsidP="00A43C5C" w:rsidRDefault="0059298A" w14:paraId="1FAE71A9" w14:textId="37082C4B">
      <w:pPr>
        <w:tabs>
          <w:tab w:val="right" w:pos="9071"/>
        </w:tabs>
        <w:jc w:val="both"/>
        <w:rPr>
          <w:bCs/>
        </w:rPr>
      </w:pPr>
      <w:r w:rsidRPr="00C33C45">
        <w:rPr>
          <w:bCs/>
        </w:rPr>
        <w:t>Tieslietu ministr</w:t>
      </w:r>
      <w:r w:rsidRPr="00C33C45" w:rsidR="006F1E32">
        <w:rPr>
          <w:bCs/>
        </w:rPr>
        <w:t>s</w:t>
      </w:r>
      <w:r w:rsidRPr="00C33C45">
        <w:rPr>
          <w:bCs/>
        </w:rPr>
        <w:tab/>
      </w:r>
      <w:r w:rsidRPr="00C33C45" w:rsidR="006F1E32">
        <w:rPr>
          <w:bCs/>
        </w:rPr>
        <w:t>Jānis Bordāns</w:t>
      </w:r>
    </w:p>
    <w:p w:rsidRPr="00C33C45" w:rsidR="0059298A" w:rsidP="0059298A" w:rsidRDefault="0059298A" w14:paraId="024B2868" w14:textId="3EA4DC52">
      <w:pPr>
        <w:jc w:val="both"/>
      </w:pPr>
    </w:p>
    <w:p w:rsidRPr="00C33C45" w:rsidR="00BE7B68" w:rsidP="0059298A" w:rsidRDefault="00BE7B68" w14:paraId="55A4FB9F" w14:textId="4F9809B8">
      <w:pPr>
        <w:jc w:val="both"/>
      </w:pPr>
    </w:p>
    <w:p w:rsidRPr="00C33C45" w:rsidR="00A43C5C" w:rsidP="0059298A" w:rsidRDefault="00A43C5C" w14:paraId="16B9B4D5" w14:textId="6D5B12D0">
      <w:pPr>
        <w:jc w:val="both"/>
      </w:pPr>
    </w:p>
    <w:p w:rsidRPr="00C33C45" w:rsidR="00A43C5C" w:rsidP="0059298A" w:rsidRDefault="00A43C5C" w14:paraId="59EDA1AF" w14:textId="48C15BFA">
      <w:pPr>
        <w:jc w:val="both"/>
      </w:pPr>
    </w:p>
    <w:p w:rsidRPr="00C33C45" w:rsidR="00A43C5C" w:rsidP="0059298A" w:rsidRDefault="00A43C5C" w14:paraId="3CF2691A" w14:textId="457F9B73">
      <w:pPr>
        <w:jc w:val="both"/>
      </w:pPr>
    </w:p>
    <w:p w:rsidRPr="00C33C45" w:rsidR="00A43C5C" w:rsidP="0059298A" w:rsidRDefault="00A43C5C" w14:paraId="4B7B672A" w14:textId="7C8E4994">
      <w:pPr>
        <w:jc w:val="both"/>
      </w:pPr>
    </w:p>
    <w:p w:rsidRPr="00C33C45" w:rsidR="00A43C5C" w:rsidP="0059298A" w:rsidRDefault="00A43C5C" w14:paraId="79A9A03C" w14:textId="77777777">
      <w:pPr>
        <w:jc w:val="both"/>
      </w:pPr>
    </w:p>
    <w:p w:rsidRPr="00C33C45" w:rsidR="00BE7B68" w:rsidP="009E3488" w:rsidRDefault="007C7EB9" w14:paraId="0DD533B0" w14:textId="752A845F">
      <w:pPr>
        <w:rPr>
          <w:sz w:val="18"/>
          <w:szCs w:val="18"/>
        </w:rPr>
      </w:pPr>
      <w:bookmarkStart w:name="OLE_LINK4" w:id="7"/>
      <w:bookmarkStart w:name="OLE_LINK17" w:id="8"/>
      <w:bookmarkStart w:name="OLE_LINK14" w:id="9"/>
      <w:bookmarkStart w:name="OLE_LINK3" w:id="10"/>
      <w:bookmarkStart w:name="OLE_LINK8" w:id="11"/>
      <w:bookmarkStart w:name="OLE_LINK9" w:id="12"/>
      <w:bookmarkStart w:name="OLE_LINK21" w:id="13"/>
      <w:bookmarkStart w:name="OLE_LINK22" w:id="14"/>
      <w:bookmarkStart w:name="OLE_LINK24" w:id="15"/>
      <w:bookmarkStart w:name="OLE_LINK27" w:id="16"/>
      <w:bookmarkStart w:name="OLE_LINK29" w:id="17"/>
      <w:bookmarkStart w:name="OLE_LINK34" w:id="18"/>
      <w:bookmarkStart w:name="OLE_LINK35" w:id="19"/>
      <w:r w:rsidRPr="00C33C45">
        <w:rPr>
          <w:sz w:val="18"/>
          <w:szCs w:val="18"/>
        </w:rPr>
        <w:t>Reinfelde</w:t>
      </w:r>
      <w:r w:rsidRPr="00C33C45" w:rsidR="00065444">
        <w:rPr>
          <w:sz w:val="18"/>
          <w:szCs w:val="18"/>
        </w:rPr>
        <w:t xml:space="preserve"> </w:t>
      </w:r>
      <w:r w:rsidRPr="00C33C45" w:rsidR="0059298A">
        <w:rPr>
          <w:sz w:val="18"/>
          <w:szCs w:val="18"/>
        </w:rPr>
        <w:t>670</w:t>
      </w:r>
      <w:r w:rsidRPr="00C33C45">
        <w:rPr>
          <w:sz w:val="18"/>
          <w:szCs w:val="18"/>
        </w:rPr>
        <w:t>46108</w:t>
      </w:r>
    </w:p>
    <w:p w:rsidRPr="004A1DF6" w:rsidR="00D01927" w:rsidP="009E3488" w:rsidRDefault="007C7EB9" w14:paraId="46312002" w14:textId="78C13AFD">
      <w:r w:rsidRPr="00C33C45">
        <w:rPr>
          <w:sz w:val="20"/>
          <w:szCs w:val="20"/>
        </w:rPr>
        <w:t>Andra.reinfelde@tm.gov.lv</w:t>
      </w:r>
      <w:hyperlink w:history="1" r:id="rId10"/>
      <w:bookmarkEnd w:id="7"/>
      <w:bookmarkEnd w:id="8"/>
      <w:bookmarkEnd w:id="9"/>
      <w:bookmarkEnd w:id="10"/>
      <w:bookmarkEnd w:id="11"/>
      <w:bookmarkEnd w:id="12"/>
      <w:bookmarkEnd w:id="13"/>
      <w:bookmarkEnd w:id="14"/>
      <w:bookmarkEnd w:id="15"/>
      <w:bookmarkEnd w:id="16"/>
      <w:bookmarkEnd w:id="17"/>
      <w:bookmarkEnd w:id="18"/>
      <w:bookmarkEnd w:id="19"/>
    </w:p>
    <w:sectPr w:rsidRPr="004A1DF6" w:rsidR="00D01927" w:rsidSect="00DD5BD2">
      <w:headerReference w:type="even" r:id="rId11"/>
      <w:headerReference w:type="default" r:id="rId12"/>
      <w:footerReference w:type="default" r:id="rId13"/>
      <w:footerReference w:type="first" r:id="rId14"/>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5F284" w14:textId="77777777" w:rsidR="00A10B71" w:rsidRDefault="00A10B71" w:rsidP="00F37F7E">
      <w:pPr>
        <w:pStyle w:val="naiskr"/>
      </w:pPr>
      <w:r>
        <w:separator/>
      </w:r>
    </w:p>
  </w:endnote>
  <w:endnote w:type="continuationSeparator" w:id="0">
    <w:p w14:paraId="7F3AEC32" w14:textId="77777777" w:rsidR="00A10B71" w:rsidRDefault="00A10B71" w:rsidP="00F37F7E">
      <w:pPr>
        <w:pStyle w:val="naisk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2AFF" w:usb1="4000ACFF" w:usb2="00000009" w:usb3="00000000" w:csb0="000001FF" w:csb1="00000000"/>
  </w:font>
  <w:font w:name="Open Sans">
    <w:altName w:val="Segoe UI"/>
    <w:charset w:val="00"/>
    <w:family w:val="auto"/>
    <w:pitch w:val="default"/>
  </w:font>
  <w:font w:name="Arial">
    <w:panose1 w:val="020B0604020202020204"/>
    <w:charset w:val="BA"/>
    <w:family w:val="swiss"/>
    <w:pitch w:val="variable"/>
    <w:sig w:usb0="E0002AFF" w:usb1="C0007843"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BC7FB" w14:textId="416210EC" w:rsidR="00A10B71" w:rsidRPr="00DA74BD" w:rsidRDefault="00A10B71" w:rsidP="00DA74BD">
    <w:pPr>
      <w:jc w:val="both"/>
      <w:rPr>
        <w:bCs/>
        <w:sz w:val="20"/>
        <w:szCs w:val="20"/>
      </w:rPr>
    </w:pPr>
    <w:r w:rsidRPr="00DA74BD">
      <w:rPr>
        <w:sz w:val="20"/>
        <w:szCs w:val="20"/>
      </w:rPr>
      <w:t>TMAnot_</w:t>
    </w:r>
    <w:r w:rsidR="00C33C45">
      <w:rPr>
        <w:sz w:val="20"/>
        <w:szCs w:val="20"/>
      </w:rPr>
      <w:t>20</w:t>
    </w:r>
    <w:r>
      <w:rPr>
        <w:sz w:val="20"/>
        <w:szCs w:val="20"/>
      </w:rPr>
      <w:t>0819_ligASV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9E40" w14:textId="38B31A30" w:rsidR="00A10B71" w:rsidRPr="00DA74BD" w:rsidRDefault="00A10B71" w:rsidP="00DA74BD">
    <w:pPr>
      <w:jc w:val="both"/>
      <w:rPr>
        <w:bCs/>
        <w:sz w:val="20"/>
        <w:szCs w:val="20"/>
      </w:rPr>
    </w:pPr>
    <w:r w:rsidRPr="00DA74BD">
      <w:rPr>
        <w:sz w:val="20"/>
        <w:szCs w:val="20"/>
      </w:rPr>
      <w:t>TMAnot_</w:t>
    </w:r>
    <w:r w:rsidR="00C33C45">
      <w:rPr>
        <w:sz w:val="20"/>
        <w:szCs w:val="20"/>
      </w:rPr>
      <w:t>200819</w:t>
    </w:r>
    <w:r>
      <w:rPr>
        <w:sz w:val="20"/>
        <w:szCs w:val="20"/>
      </w:rPr>
      <w:t>_ligASV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6DB9" w14:textId="77777777" w:rsidR="00A10B71" w:rsidRDefault="00A10B71" w:rsidP="00F37F7E">
      <w:pPr>
        <w:pStyle w:val="naiskr"/>
      </w:pPr>
      <w:r>
        <w:separator/>
      </w:r>
    </w:p>
  </w:footnote>
  <w:footnote w:type="continuationSeparator" w:id="0">
    <w:p w14:paraId="7991FB5E" w14:textId="77777777" w:rsidR="00A10B71" w:rsidRDefault="00A10B71" w:rsidP="00F37F7E">
      <w:pPr>
        <w:pStyle w:val="naisk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71" w:rsidRDefault="00A10B71" w14:paraId="73A67200"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rsidR="00A10B71" w:rsidRDefault="00A10B71" w14:paraId="53706D20"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0B71" w:rsidRDefault="00A10B71" w14:paraId="650C352D"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rsidR="00A10B71" w:rsidRDefault="00A10B71" w14:paraId="2060FA4F"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40211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18E515A"/>
    <w:multiLevelType w:val="hybridMultilevel"/>
    <w:tmpl w:val="EEAA7D40"/>
    <w:lvl w:ilvl="0" w:tplc="5BCE5E3E">
      <w:start w:val="1"/>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0193091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4601477"/>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4" w15:restartNumberingAfterBreak="0">
    <w:nsid w:val="04B53538"/>
    <w:multiLevelType w:val="hybridMultilevel"/>
    <w:tmpl w:val="E676D668"/>
    <w:lvl w:ilvl="0" w:tplc="94C6E294">
      <w:start w:val="1"/>
      <w:numFmt w:val="decimal"/>
      <w:lvlText w:val="%1)"/>
      <w:lvlJc w:val="left"/>
      <w:pPr>
        <w:ind w:left="1069" w:hanging="360"/>
      </w:pPr>
      <w:rPr>
        <w:rFonts w:hint="default"/>
        <w:color w:val="00000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BA02B26"/>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6" w15:restartNumberingAfterBreak="0">
    <w:nsid w:val="106C2E46"/>
    <w:multiLevelType w:val="hybridMultilevel"/>
    <w:tmpl w:val="E668A674"/>
    <w:lvl w:ilvl="0" w:tplc="1AFED5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C4E9B"/>
    <w:multiLevelType w:val="hybridMultilevel"/>
    <w:tmpl w:val="C2EEAB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265679"/>
    <w:multiLevelType w:val="hybridMultilevel"/>
    <w:tmpl w:val="192ACC36"/>
    <w:lvl w:ilvl="0" w:tplc="7C10CEC6">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B635AF7"/>
    <w:multiLevelType w:val="hybridMultilevel"/>
    <w:tmpl w:val="B52CD224"/>
    <w:lvl w:ilvl="0" w:tplc="3DB4796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6E2E81"/>
    <w:multiLevelType w:val="hybridMultilevel"/>
    <w:tmpl w:val="1DD62590"/>
    <w:lvl w:ilvl="0" w:tplc="D714A270">
      <w:start w:val="3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FB4EFA"/>
    <w:multiLevelType w:val="hybridMultilevel"/>
    <w:tmpl w:val="1318F368"/>
    <w:lvl w:ilvl="0" w:tplc="A0822A1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2" w15:restartNumberingAfterBreak="0">
    <w:nsid w:val="59794217"/>
    <w:multiLevelType w:val="hybridMultilevel"/>
    <w:tmpl w:val="4238B896"/>
    <w:lvl w:ilvl="0" w:tplc="F514B2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758377FD"/>
    <w:multiLevelType w:val="hybridMultilevel"/>
    <w:tmpl w:val="5FBC2522"/>
    <w:lvl w:ilvl="0" w:tplc="17522E80">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9C08E5"/>
    <w:multiLevelType w:val="multilevel"/>
    <w:tmpl w:val="F196BD84"/>
    <w:lvl w:ilvl="0">
      <w:start w:val="1"/>
      <w:numFmt w:val="decimal"/>
      <w:lvlText w:val="%1."/>
      <w:lvlJc w:val="left"/>
      <w:pPr>
        <w:ind w:left="720" w:hanging="360"/>
      </w:pPr>
      <w:rPr>
        <w:rFonts w:ascii="Times New Roman" w:hAnsi="Times New Roman" w:cs="Times New Roman" w:hint="default"/>
        <w:i/>
        <w:color w:val="414142"/>
        <w:sz w:val="24"/>
      </w:rPr>
    </w:lvl>
    <w:lvl w:ilvl="1">
      <w:start w:val="1"/>
      <w:numFmt w:val="decimal"/>
      <w:isLgl/>
      <w:lvlText w:val="%1.%2."/>
      <w:lvlJc w:val="left"/>
      <w:pPr>
        <w:ind w:left="1080" w:hanging="360"/>
      </w:pPr>
      <w:rPr>
        <w:rFonts w:hint="default"/>
        <w:color w:val="414142"/>
        <w:sz w:val="24"/>
      </w:rPr>
    </w:lvl>
    <w:lvl w:ilvl="2">
      <w:start w:val="1"/>
      <w:numFmt w:val="decimal"/>
      <w:isLgl/>
      <w:lvlText w:val="%1.%2.%3."/>
      <w:lvlJc w:val="left"/>
      <w:pPr>
        <w:ind w:left="1800" w:hanging="720"/>
      </w:pPr>
      <w:rPr>
        <w:rFonts w:hint="default"/>
        <w:color w:val="414142"/>
        <w:sz w:val="24"/>
      </w:rPr>
    </w:lvl>
    <w:lvl w:ilvl="3">
      <w:start w:val="1"/>
      <w:numFmt w:val="decimal"/>
      <w:isLgl/>
      <w:lvlText w:val="%1.%2.%3.%4."/>
      <w:lvlJc w:val="left"/>
      <w:pPr>
        <w:ind w:left="2160" w:hanging="720"/>
      </w:pPr>
      <w:rPr>
        <w:rFonts w:hint="default"/>
        <w:color w:val="414142"/>
        <w:sz w:val="24"/>
      </w:rPr>
    </w:lvl>
    <w:lvl w:ilvl="4">
      <w:start w:val="1"/>
      <w:numFmt w:val="decimal"/>
      <w:isLgl/>
      <w:lvlText w:val="%1.%2.%3.%4.%5."/>
      <w:lvlJc w:val="left"/>
      <w:pPr>
        <w:ind w:left="2880" w:hanging="1080"/>
      </w:pPr>
      <w:rPr>
        <w:rFonts w:hint="default"/>
        <w:color w:val="414142"/>
        <w:sz w:val="24"/>
      </w:rPr>
    </w:lvl>
    <w:lvl w:ilvl="5">
      <w:start w:val="1"/>
      <w:numFmt w:val="decimal"/>
      <w:isLgl/>
      <w:lvlText w:val="%1.%2.%3.%4.%5.%6."/>
      <w:lvlJc w:val="left"/>
      <w:pPr>
        <w:ind w:left="3240" w:hanging="1080"/>
      </w:pPr>
      <w:rPr>
        <w:rFonts w:hint="default"/>
        <w:color w:val="414142"/>
        <w:sz w:val="24"/>
      </w:rPr>
    </w:lvl>
    <w:lvl w:ilvl="6">
      <w:start w:val="1"/>
      <w:numFmt w:val="decimal"/>
      <w:isLgl/>
      <w:lvlText w:val="%1.%2.%3.%4.%5.%6.%7."/>
      <w:lvlJc w:val="left"/>
      <w:pPr>
        <w:ind w:left="3960" w:hanging="1440"/>
      </w:pPr>
      <w:rPr>
        <w:rFonts w:hint="default"/>
        <w:color w:val="414142"/>
        <w:sz w:val="24"/>
      </w:rPr>
    </w:lvl>
    <w:lvl w:ilvl="7">
      <w:start w:val="1"/>
      <w:numFmt w:val="decimal"/>
      <w:isLgl/>
      <w:lvlText w:val="%1.%2.%3.%4.%5.%6.%7.%8."/>
      <w:lvlJc w:val="left"/>
      <w:pPr>
        <w:ind w:left="4320" w:hanging="1440"/>
      </w:pPr>
      <w:rPr>
        <w:rFonts w:hint="default"/>
        <w:color w:val="414142"/>
        <w:sz w:val="24"/>
      </w:rPr>
    </w:lvl>
    <w:lvl w:ilvl="8">
      <w:start w:val="1"/>
      <w:numFmt w:val="decimal"/>
      <w:isLgl/>
      <w:lvlText w:val="%1.%2.%3.%4.%5.%6.%7.%8.%9."/>
      <w:lvlJc w:val="left"/>
      <w:pPr>
        <w:ind w:left="5040" w:hanging="1800"/>
      </w:pPr>
      <w:rPr>
        <w:rFonts w:hint="default"/>
        <w:color w:val="414142"/>
        <w:sz w:val="24"/>
      </w:rPr>
    </w:lvl>
  </w:abstractNum>
  <w:abstractNum w:abstractNumId="15" w15:restartNumberingAfterBreak="0">
    <w:nsid w:val="7799780C"/>
    <w:multiLevelType w:val="hybridMultilevel"/>
    <w:tmpl w:val="A6F47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F37164"/>
    <w:multiLevelType w:val="hybridMultilevel"/>
    <w:tmpl w:val="8D78BBE8"/>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5"/>
  </w:num>
  <w:num w:numId="4">
    <w:abstractNumId w:val="11"/>
  </w:num>
  <w:num w:numId="5">
    <w:abstractNumId w:val="4"/>
  </w:num>
  <w:num w:numId="6">
    <w:abstractNumId w:val="10"/>
  </w:num>
  <w:num w:numId="7">
    <w:abstractNumId w:val="16"/>
  </w:num>
  <w:num w:numId="8">
    <w:abstractNumId w:val="2"/>
  </w:num>
  <w:num w:numId="9">
    <w:abstractNumId w:val="6"/>
  </w:num>
  <w:num w:numId="10">
    <w:abstractNumId w:val="5"/>
  </w:num>
  <w:num w:numId="11">
    <w:abstractNumId w:val="1"/>
  </w:num>
  <w:num w:numId="12">
    <w:abstractNumId w:val="9"/>
  </w:num>
  <w:num w:numId="13">
    <w:abstractNumId w:val="3"/>
  </w:num>
  <w:num w:numId="14">
    <w:abstractNumId w:val="7"/>
  </w:num>
  <w:num w:numId="15">
    <w:abstractNumId w:val="14"/>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F7E"/>
    <w:rsid w:val="000004CF"/>
    <w:rsid w:val="00002015"/>
    <w:rsid w:val="0000264E"/>
    <w:rsid w:val="00002D8A"/>
    <w:rsid w:val="00010A5B"/>
    <w:rsid w:val="00011266"/>
    <w:rsid w:val="00015974"/>
    <w:rsid w:val="000160EE"/>
    <w:rsid w:val="0001683F"/>
    <w:rsid w:val="00017851"/>
    <w:rsid w:val="00017DE3"/>
    <w:rsid w:val="0002029A"/>
    <w:rsid w:val="000242CD"/>
    <w:rsid w:val="00024B0B"/>
    <w:rsid w:val="0002620D"/>
    <w:rsid w:val="000273EA"/>
    <w:rsid w:val="00030708"/>
    <w:rsid w:val="000319E9"/>
    <w:rsid w:val="00032F4F"/>
    <w:rsid w:val="000378F3"/>
    <w:rsid w:val="00037F77"/>
    <w:rsid w:val="00041376"/>
    <w:rsid w:val="00043064"/>
    <w:rsid w:val="000445E1"/>
    <w:rsid w:val="0004480E"/>
    <w:rsid w:val="000500AE"/>
    <w:rsid w:val="00051187"/>
    <w:rsid w:val="00051363"/>
    <w:rsid w:val="00053EEF"/>
    <w:rsid w:val="00055CF3"/>
    <w:rsid w:val="00056F5F"/>
    <w:rsid w:val="00063B70"/>
    <w:rsid w:val="00065444"/>
    <w:rsid w:val="00065E62"/>
    <w:rsid w:val="00066DA2"/>
    <w:rsid w:val="00067A11"/>
    <w:rsid w:val="00070FEB"/>
    <w:rsid w:val="000713AA"/>
    <w:rsid w:val="00072C82"/>
    <w:rsid w:val="00074178"/>
    <w:rsid w:val="00077FF9"/>
    <w:rsid w:val="000813CF"/>
    <w:rsid w:val="000847A7"/>
    <w:rsid w:val="00085EF4"/>
    <w:rsid w:val="00086294"/>
    <w:rsid w:val="0008641C"/>
    <w:rsid w:val="000871E4"/>
    <w:rsid w:val="000924C8"/>
    <w:rsid w:val="00093DC3"/>
    <w:rsid w:val="00094946"/>
    <w:rsid w:val="000957DB"/>
    <w:rsid w:val="00095908"/>
    <w:rsid w:val="00096308"/>
    <w:rsid w:val="000A0CA8"/>
    <w:rsid w:val="000A0FDE"/>
    <w:rsid w:val="000A230B"/>
    <w:rsid w:val="000A5238"/>
    <w:rsid w:val="000B2338"/>
    <w:rsid w:val="000B23A9"/>
    <w:rsid w:val="000B2DE7"/>
    <w:rsid w:val="000B7FE8"/>
    <w:rsid w:val="000C1F1C"/>
    <w:rsid w:val="000C4826"/>
    <w:rsid w:val="000C5E19"/>
    <w:rsid w:val="000C6049"/>
    <w:rsid w:val="000C69B2"/>
    <w:rsid w:val="000C711D"/>
    <w:rsid w:val="000C7B43"/>
    <w:rsid w:val="000D3553"/>
    <w:rsid w:val="000D4C90"/>
    <w:rsid w:val="000D5249"/>
    <w:rsid w:val="000D6E5E"/>
    <w:rsid w:val="000D7729"/>
    <w:rsid w:val="000D7FA2"/>
    <w:rsid w:val="000E10EC"/>
    <w:rsid w:val="000E2965"/>
    <w:rsid w:val="000E34C9"/>
    <w:rsid w:val="000E4D9E"/>
    <w:rsid w:val="000F400A"/>
    <w:rsid w:val="000F4B00"/>
    <w:rsid w:val="000F4ED4"/>
    <w:rsid w:val="000F66A5"/>
    <w:rsid w:val="00100684"/>
    <w:rsid w:val="001008E0"/>
    <w:rsid w:val="00101611"/>
    <w:rsid w:val="00103436"/>
    <w:rsid w:val="0010345D"/>
    <w:rsid w:val="001039CA"/>
    <w:rsid w:val="00104159"/>
    <w:rsid w:val="00105080"/>
    <w:rsid w:val="00106C18"/>
    <w:rsid w:val="00106D4E"/>
    <w:rsid w:val="00111DC0"/>
    <w:rsid w:val="00112881"/>
    <w:rsid w:val="00112DF5"/>
    <w:rsid w:val="00113EFF"/>
    <w:rsid w:val="0011697F"/>
    <w:rsid w:val="00120666"/>
    <w:rsid w:val="0012150C"/>
    <w:rsid w:val="00124ACB"/>
    <w:rsid w:val="001256DD"/>
    <w:rsid w:val="0012642D"/>
    <w:rsid w:val="00126A8D"/>
    <w:rsid w:val="00127E82"/>
    <w:rsid w:val="0013037C"/>
    <w:rsid w:val="00130C77"/>
    <w:rsid w:val="001321D5"/>
    <w:rsid w:val="00133D10"/>
    <w:rsid w:val="00135309"/>
    <w:rsid w:val="00135F2B"/>
    <w:rsid w:val="00143CB1"/>
    <w:rsid w:val="00145E1F"/>
    <w:rsid w:val="00147420"/>
    <w:rsid w:val="00152B50"/>
    <w:rsid w:val="00153834"/>
    <w:rsid w:val="00154FA1"/>
    <w:rsid w:val="00155BAC"/>
    <w:rsid w:val="00155DDA"/>
    <w:rsid w:val="00156BFB"/>
    <w:rsid w:val="00157530"/>
    <w:rsid w:val="001611DB"/>
    <w:rsid w:val="001649D6"/>
    <w:rsid w:val="00166EE1"/>
    <w:rsid w:val="0017024E"/>
    <w:rsid w:val="0017056F"/>
    <w:rsid w:val="001707AF"/>
    <w:rsid w:val="0017141B"/>
    <w:rsid w:val="00172BC0"/>
    <w:rsid w:val="00174BD8"/>
    <w:rsid w:val="0017631F"/>
    <w:rsid w:val="001814E3"/>
    <w:rsid w:val="00181867"/>
    <w:rsid w:val="001852A3"/>
    <w:rsid w:val="00185A1F"/>
    <w:rsid w:val="00186CB1"/>
    <w:rsid w:val="00187944"/>
    <w:rsid w:val="00191B4A"/>
    <w:rsid w:val="00191CC1"/>
    <w:rsid w:val="001928BE"/>
    <w:rsid w:val="001931D7"/>
    <w:rsid w:val="00193A34"/>
    <w:rsid w:val="00193C93"/>
    <w:rsid w:val="00193E2C"/>
    <w:rsid w:val="0019501E"/>
    <w:rsid w:val="001A01A4"/>
    <w:rsid w:val="001A1C90"/>
    <w:rsid w:val="001A284C"/>
    <w:rsid w:val="001A7D16"/>
    <w:rsid w:val="001B05EA"/>
    <w:rsid w:val="001B6231"/>
    <w:rsid w:val="001B6383"/>
    <w:rsid w:val="001B644E"/>
    <w:rsid w:val="001B7120"/>
    <w:rsid w:val="001C0BDB"/>
    <w:rsid w:val="001C158C"/>
    <w:rsid w:val="001C3321"/>
    <w:rsid w:val="001C48EB"/>
    <w:rsid w:val="001C547B"/>
    <w:rsid w:val="001C600D"/>
    <w:rsid w:val="001D3AC6"/>
    <w:rsid w:val="001E0876"/>
    <w:rsid w:val="001E1059"/>
    <w:rsid w:val="001E133E"/>
    <w:rsid w:val="001E4094"/>
    <w:rsid w:val="001E4DEC"/>
    <w:rsid w:val="001E5485"/>
    <w:rsid w:val="001E5A70"/>
    <w:rsid w:val="001E6300"/>
    <w:rsid w:val="001E68D0"/>
    <w:rsid w:val="001E6C66"/>
    <w:rsid w:val="001E71C9"/>
    <w:rsid w:val="001F23A0"/>
    <w:rsid w:val="001F6EB8"/>
    <w:rsid w:val="00200FF1"/>
    <w:rsid w:val="002014F7"/>
    <w:rsid w:val="00202F64"/>
    <w:rsid w:val="00206616"/>
    <w:rsid w:val="002079D4"/>
    <w:rsid w:val="002100B3"/>
    <w:rsid w:val="00211C1A"/>
    <w:rsid w:val="002124B5"/>
    <w:rsid w:val="00214D08"/>
    <w:rsid w:val="002176A0"/>
    <w:rsid w:val="00220483"/>
    <w:rsid w:val="0022456A"/>
    <w:rsid w:val="002265BE"/>
    <w:rsid w:val="00227F59"/>
    <w:rsid w:val="002305A0"/>
    <w:rsid w:val="002320DC"/>
    <w:rsid w:val="00235D2A"/>
    <w:rsid w:val="00237909"/>
    <w:rsid w:val="00237AE7"/>
    <w:rsid w:val="00241537"/>
    <w:rsid w:val="002423D7"/>
    <w:rsid w:val="00243320"/>
    <w:rsid w:val="00243D1D"/>
    <w:rsid w:val="002513DF"/>
    <w:rsid w:val="00252057"/>
    <w:rsid w:val="002531AB"/>
    <w:rsid w:val="00253DCA"/>
    <w:rsid w:val="0025442B"/>
    <w:rsid w:val="00256BB6"/>
    <w:rsid w:val="00257B87"/>
    <w:rsid w:val="00260221"/>
    <w:rsid w:val="002606DD"/>
    <w:rsid w:val="002620EF"/>
    <w:rsid w:val="00262C0F"/>
    <w:rsid w:val="002634BC"/>
    <w:rsid w:val="002636F9"/>
    <w:rsid w:val="00264CFE"/>
    <w:rsid w:val="00266247"/>
    <w:rsid w:val="00266734"/>
    <w:rsid w:val="00266C5B"/>
    <w:rsid w:val="002672DA"/>
    <w:rsid w:val="00267707"/>
    <w:rsid w:val="002679BD"/>
    <w:rsid w:val="00267E9B"/>
    <w:rsid w:val="00273355"/>
    <w:rsid w:val="00273F67"/>
    <w:rsid w:val="0027604D"/>
    <w:rsid w:val="00277C39"/>
    <w:rsid w:val="00284B81"/>
    <w:rsid w:val="00284E0B"/>
    <w:rsid w:val="00285E79"/>
    <w:rsid w:val="00286B98"/>
    <w:rsid w:val="00286BE2"/>
    <w:rsid w:val="0028776A"/>
    <w:rsid w:val="00290F14"/>
    <w:rsid w:val="002912C2"/>
    <w:rsid w:val="00292113"/>
    <w:rsid w:val="00295B8A"/>
    <w:rsid w:val="002A14EC"/>
    <w:rsid w:val="002A418F"/>
    <w:rsid w:val="002A5ACF"/>
    <w:rsid w:val="002A69AC"/>
    <w:rsid w:val="002B092E"/>
    <w:rsid w:val="002B13BA"/>
    <w:rsid w:val="002B1522"/>
    <w:rsid w:val="002B1539"/>
    <w:rsid w:val="002B18C1"/>
    <w:rsid w:val="002B2478"/>
    <w:rsid w:val="002B436C"/>
    <w:rsid w:val="002B4887"/>
    <w:rsid w:val="002B7729"/>
    <w:rsid w:val="002C204D"/>
    <w:rsid w:val="002C2186"/>
    <w:rsid w:val="002C5027"/>
    <w:rsid w:val="002C58D0"/>
    <w:rsid w:val="002C5FF8"/>
    <w:rsid w:val="002C60C7"/>
    <w:rsid w:val="002D0EFF"/>
    <w:rsid w:val="002D1015"/>
    <w:rsid w:val="002D3117"/>
    <w:rsid w:val="002D429F"/>
    <w:rsid w:val="002D50B7"/>
    <w:rsid w:val="002D6E85"/>
    <w:rsid w:val="002D72BF"/>
    <w:rsid w:val="002E0F01"/>
    <w:rsid w:val="002E15E4"/>
    <w:rsid w:val="002E21FD"/>
    <w:rsid w:val="002E3503"/>
    <w:rsid w:val="002E6668"/>
    <w:rsid w:val="002E6873"/>
    <w:rsid w:val="002E69C0"/>
    <w:rsid w:val="002F0679"/>
    <w:rsid w:val="002F2B16"/>
    <w:rsid w:val="002F2D08"/>
    <w:rsid w:val="002F38DB"/>
    <w:rsid w:val="002F6A27"/>
    <w:rsid w:val="002F739C"/>
    <w:rsid w:val="00301471"/>
    <w:rsid w:val="0030353C"/>
    <w:rsid w:val="003037FE"/>
    <w:rsid w:val="00311877"/>
    <w:rsid w:val="00313B3C"/>
    <w:rsid w:val="003157FC"/>
    <w:rsid w:val="0032112A"/>
    <w:rsid w:val="003257A4"/>
    <w:rsid w:val="00325A33"/>
    <w:rsid w:val="003274E7"/>
    <w:rsid w:val="0033095C"/>
    <w:rsid w:val="00331279"/>
    <w:rsid w:val="00336322"/>
    <w:rsid w:val="00342823"/>
    <w:rsid w:val="0034524A"/>
    <w:rsid w:val="003468AA"/>
    <w:rsid w:val="00347B64"/>
    <w:rsid w:val="00350004"/>
    <w:rsid w:val="00351414"/>
    <w:rsid w:val="00351991"/>
    <w:rsid w:val="00351DF6"/>
    <w:rsid w:val="00352946"/>
    <w:rsid w:val="00353D69"/>
    <w:rsid w:val="00354D7D"/>
    <w:rsid w:val="00355D4F"/>
    <w:rsid w:val="00360B91"/>
    <w:rsid w:val="003610A7"/>
    <w:rsid w:val="00362A82"/>
    <w:rsid w:val="00363092"/>
    <w:rsid w:val="003637A9"/>
    <w:rsid w:val="00363DF8"/>
    <w:rsid w:val="00366771"/>
    <w:rsid w:val="00370A38"/>
    <w:rsid w:val="00371A65"/>
    <w:rsid w:val="00371AC6"/>
    <w:rsid w:val="003737E7"/>
    <w:rsid w:val="00373EDD"/>
    <w:rsid w:val="00374754"/>
    <w:rsid w:val="003752C7"/>
    <w:rsid w:val="00380832"/>
    <w:rsid w:val="00381DD8"/>
    <w:rsid w:val="003831C3"/>
    <w:rsid w:val="00387416"/>
    <w:rsid w:val="00387C1E"/>
    <w:rsid w:val="00387EC2"/>
    <w:rsid w:val="00391F7B"/>
    <w:rsid w:val="00392E3C"/>
    <w:rsid w:val="00392FA4"/>
    <w:rsid w:val="00393207"/>
    <w:rsid w:val="00393F06"/>
    <w:rsid w:val="0039523C"/>
    <w:rsid w:val="003A4096"/>
    <w:rsid w:val="003A7D5C"/>
    <w:rsid w:val="003B2B59"/>
    <w:rsid w:val="003B7A18"/>
    <w:rsid w:val="003C1680"/>
    <w:rsid w:val="003C257A"/>
    <w:rsid w:val="003C2A47"/>
    <w:rsid w:val="003C3622"/>
    <w:rsid w:val="003C6AD2"/>
    <w:rsid w:val="003C7411"/>
    <w:rsid w:val="003D08A7"/>
    <w:rsid w:val="003D279C"/>
    <w:rsid w:val="003D3A27"/>
    <w:rsid w:val="003D4E3F"/>
    <w:rsid w:val="003E0DD8"/>
    <w:rsid w:val="003E3C2A"/>
    <w:rsid w:val="003E413C"/>
    <w:rsid w:val="003E54E0"/>
    <w:rsid w:val="003E71E7"/>
    <w:rsid w:val="003F001C"/>
    <w:rsid w:val="003F2110"/>
    <w:rsid w:val="003F4081"/>
    <w:rsid w:val="003F5257"/>
    <w:rsid w:val="003F62AA"/>
    <w:rsid w:val="003F753E"/>
    <w:rsid w:val="00400503"/>
    <w:rsid w:val="0040202F"/>
    <w:rsid w:val="00403858"/>
    <w:rsid w:val="00404367"/>
    <w:rsid w:val="00405D73"/>
    <w:rsid w:val="00406B8C"/>
    <w:rsid w:val="0041038E"/>
    <w:rsid w:val="004121C8"/>
    <w:rsid w:val="00412283"/>
    <w:rsid w:val="00412470"/>
    <w:rsid w:val="00412E7C"/>
    <w:rsid w:val="00412F9C"/>
    <w:rsid w:val="00414B20"/>
    <w:rsid w:val="00415B80"/>
    <w:rsid w:val="0041619B"/>
    <w:rsid w:val="004176CC"/>
    <w:rsid w:val="00417A1B"/>
    <w:rsid w:val="00421391"/>
    <w:rsid w:val="004215DD"/>
    <w:rsid w:val="00422AF6"/>
    <w:rsid w:val="00422D15"/>
    <w:rsid w:val="00425E4D"/>
    <w:rsid w:val="004260BE"/>
    <w:rsid w:val="0043003D"/>
    <w:rsid w:val="0043048B"/>
    <w:rsid w:val="0043328A"/>
    <w:rsid w:val="00433918"/>
    <w:rsid w:val="00433AC7"/>
    <w:rsid w:val="00433DA8"/>
    <w:rsid w:val="004357CE"/>
    <w:rsid w:val="00436A72"/>
    <w:rsid w:val="00440035"/>
    <w:rsid w:val="00440ECE"/>
    <w:rsid w:val="00441E23"/>
    <w:rsid w:val="00442270"/>
    <w:rsid w:val="00444A7D"/>
    <w:rsid w:val="004464F7"/>
    <w:rsid w:val="0044738A"/>
    <w:rsid w:val="004511D3"/>
    <w:rsid w:val="00451746"/>
    <w:rsid w:val="00453B86"/>
    <w:rsid w:val="004547A9"/>
    <w:rsid w:val="0045481D"/>
    <w:rsid w:val="0045719F"/>
    <w:rsid w:val="004606B3"/>
    <w:rsid w:val="00462078"/>
    <w:rsid w:val="004632CD"/>
    <w:rsid w:val="004639C0"/>
    <w:rsid w:val="004642B5"/>
    <w:rsid w:val="00465A58"/>
    <w:rsid w:val="004662B4"/>
    <w:rsid w:val="00466CF9"/>
    <w:rsid w:val="004679FF"/>
    <w:rsid w:val="00467C61"/>
    <w:rsid w:val="004708A3"/>
    <w:rsid w:val="00470ED8"/>
    <w:rsid w:val="0047491E"/>
    <w:rsid w:val="00482319"/>
    <w:rsid w:val="00482A25"/>
    <w:rsid w:val="00483C1A"/>
    <w:rsid w:val="00483DBB"/>
    <w:rsid w:val="004918B0"/>
    <w:rsid w:val="00491FB7"/>
    <w:rsid w:val="004924ED"/>
    <w:rsid w:val="004947DF"/>
    <w:rsid w:val="00494E46"/>
    <w:rsid w:val="00495A25"/>
    <w:rsid w:val="004966B8"/>
    <w:rsid w:val="004A0032"/>
    <w:rsid w:val="004A0EAB"/>
    <w:rsid w:val="004A1DF6"/>
    <w:rsid w:val="004A6C18"/>
    <w:rsid w:val="004A708B"/>
    <w:rsid w:val="004B0271"/>
    <w:rsid w:val="004B28A8"/>
    <w:rsid w:val="004B2FFA"/>
    <w:rsid w:val="004B5C4E"/>
    <w:rsid w:val="004C0ED0"/>
    <w:rsid w:val="004C1845"/>
    <w:rsid w:val="004C396F"/>
    <w:rsid w:val="004C4115"/>
    <w:rsid w:val="004C4BC8"/>
    <w:rsid w:val="004C5500"/>
    <w:rsid w:val="004C5F1F"/>
    <w:rsid w:val="004C6A48"/>
    <w:rsid w:val="004C7C32"/>
    <w:rsid w:val="004D3A66"/>
    <w:rsid w:val="004D4F42"/>
    <w:rsid w:val="004D579E"/>
    <w:rsid w:val="004D64BE"/>
    <w:rsid w:val="004E1569"/>
    <w:rsid w:val="004E15D1"/>
    <w:rsid w:val="004E2756"/>
    <w:rsid w:val="004E3F6C"/>
    <w:rsid w:val="004E41BC"/>
    <w:rsid w:val="004E4A14"/>
    <w:rsid w:val="004E6E7C"/>
    <w:rsid w:val="004F0267"/>
    <w:rsid w:val="004F0E91"/>
    <w:rsid w:val="004F0F2B"/>
    <w:rsid w:val="004F2E8D"/>
    <w:rsid w:val="004F3715"/>
    <w:rsid w:val="004F4BDE"/>
    <w:rsid w:val="004F598D"/>
    <w:rsid w:val="004F63D1"/>
    <w:rsid w:val="004F7B57"/>
    <w:rsid w:val="00502748"/>
    <w:rsid w:val="005038EF"/>
    <w:rsid w:val="0050786E"/>
    <w:rsid w:val="00511840"/>
    <w:rsid w:val="00511D6D"/>
    <w:rsid w:val="0051277F"/>
    <w:rsid w:val="00513790"/>
    <w:rsid w:val="00513F46"/>
    <w:rsid w:val="00514AED"/>
    <w:rsid w:val="005167D1"/>
    <w:rsid w:val="00516897"/>
    <w:rsid w:val="005212A2"/>
    <w:rsid w:val="005214EA"/>
    <w:rsid w:val="00521C34"/>
    <w:rsid w:val="00522DBC"/>
    <w:rsid w:val="005251F3"/>
    <w:rsid w:val="00536003"/>
    <w:rsid w:val="00537386"/>
    <w:rsid w:val="005376CA"/>
    <w:rsid w:val="0054083D"/>
    <w:rsid w:val="00543B8F"/>
    <w:rsid w:val="0054677F"/>
    <w:rsid w:val="00550851"/>
    <w:rsid w:val="00552D6E"/>
    <w:rsid w:val="005545C2"/>
    <w:rsid w:val="00556D60"/>
    <w:rsid w:val="0056210B"/>
    <w:rsid w:val="00563A77"/>
    <w:rsid w:val="00564A3C"/>
    <w:rsid w:val="005660EB"/>
    <w:rsid w:val="00567C5E"/>
    <w:rsid w:val="00570682"/>
    <w:rsid w:val="0057117B"/>
    <w:rsid w:val="005712D9"/>
    <w:rsid w:val="00572009"/>
    <w:rsid w:val="0057499C"/>
    <w:rsid w:val="005827E6"/>
    <w:rsid w:val="00583239"/>
    <w:rsid w:val="00583F2D"/>
    <w:rsid w:val="005844D7"/>
    <w:rsid w:val="00584D39"/>
    <w:rsid w:val="00590F7E"/>
    <w:rsid w:val="0059251E"/>
    <w:rsid w:val="0059298A"/>
    <w:rsid w:val="005935DA"/>
    <w:rsid w:val="00593EB8"/>
    <w:rsid w:val="0059419D"/>
    <w:rsid w:val="00595851"/>
    <w:rsid w:val="00596043"/>
    <w:rsid w:val="005A5CF6"/>
    <w:rsid w:val="005A76A3"/>
    <w:rsid w:val="005A771C"/>
    <w:rsid w:val="005A7B0F"/>
    <w:rsid w:val="005B21D1"/>
    <w:rsid w:val="005B6016"/>
    <w:rsid w:val="005C045F"/>
    <w:rsid w:val="005C1EBC"/>
    <w:rsid w:val="005C1EE4"/>
    <w:rsid w:val="005C2316"/>
    <w:rsid w:val="005C3223"/>
    <w:rsid w:val="005C37B4"/>
    <w:rsid w:val="005C3A4F"/>
    <w:rsid w:val="005C4F31"/>
    <w:rsid w:val="005D0F57"/>
    <w:rsid w:val="005D16B1"/>
    <w:rsid w:val="005D3D68"/>
    <w:rsid w:val="005D42FC"/>
    <w:rsid w:val="005D782F"/>
    <w:rsid w:val="005E0923"/>
    <w:rsid w:val="005E2146"/>
    <w:rsid w:val="005E4945"/>
    <w:rsid w:val="005E70BA"/>
    <w:rsid w:val="005F08C5"/>
    <w:rsid w:val="005F170B"/>
    <w:rsid w:val="005F28C6"/>
    <w:rsid w:val="005F49F6"/>
    <w:rsid w:val="005F4F74"/>
    <w:rsid w:val="005F50B0"/>
    <w:rsid w:val="005F6ED1"/>
    <w:rsid w:val="00600876"/>
    <w:rsid w:val="00601219"/>
    <w:rsid w:val="00603413"/>
    <w:rsid w:val="00603B3F"/>
    <w:rsid w:val="006056ED"/>
    <w:rsid w:val="0060636F"/>
    <w:rsid w:val="0060673F"/>
    <w:rsid w:val="0060708E"/>
    <w:rsid w:val="0060719D"/>
    <w:rsid w:val="0061217E"/>
    <w:rsid w:val="00612ED0"/>
    <w:rsid w:val="00613528"/>
    <w:rsid w:val="00616D99"/>
    <w:rsid w:val="0062062D"/>
    <w:rsid w:val="00620D0D"/>
    <w:rsid w:val="00620DC4"/>
    <w:rsid w:val="006257A6"/>
    <w:rsid w:val="006266E3"/>
    <w:rsid w:val="00630551"/>
    <w:rsid w:val="006313A4"/>
    <w:rsid w:val="006323D6"/>
    <w:rsid w:val="006325A4"/>
    <w:rsid w:val="006349B2"/>
    <w:rsid w:val="006368D6"/>
    <w:rsid w:val="00640AA9"/>
    <w:rsid w:val="00641F30"/>
    <w:rsid w:val="00643797"/>
    <w:rsid w:val="006438C5"/>
    <w:rsid w:val="00651214"/>
    <w:rsid w:val="0065138F"/>
    <w:rsid w:val="00651AEC"/>
    <w:rsid w:val="00652105"/>
    <w:rsid w:val="00652543"/>
    <w:rsid w:val="00653E09"/>
    <w:rsid w:val="00654CED"/>
    <w:rsid w:val="00656C9A"/>
    <w:rsid w:val="00657E18"/>
    <w:rsid w:val="006602BB"/>
    <w:rsid w:val="006606B7"/>
    <w:rsid w:val="00661216"/>
    <w:rsid w:val="00662DB5"/>
    <w:rsid w:val="00665362"/>
    <w:rsid w:val="006663BB"/>
    <w:rsid w:val="0066773A"/>
    <w:rsid w:val="00667A13"/>
    <w:rsid w:val="006714C5"/>
    <w:rsid w:val="0067366E"/>
    <w:rsid w:val="006756E3"/>
    <w:rsid w:val="00675CCE"/>
    <w:rsid w:val="006760F2"/>
    <w:rsid w:val="006820E7"/>
    <w:rsid w:val="00683C19"/>
    <w:rsid w:val="0068499C"/>
    <w:rsid w:val="00685243"/>
    <w:rsid w:val="00685F09"/>
    <w:rsid w:val="006867F0"/>
    <w:rsid w:val="00686AD0"/>
    <w:rsid w:val="006923EE"/>
    <w:rsid w:val="0069338A"/>
    <w:rsid w:val="00697AF8"/>
    <w:rsid w:val="00697ED0"/>
    <w:rsid w:val="006A03BA"/>
    <w:rsid w:val="006A1B98"/>
    <w:rsid w:val="006A344D"/>
    <w:rsid w:val="006A47C6"/>
    <w:rsid w:val="006A4C8F"/>
    <w:rsid w:val="006A7A36"/>
    <w:rsid w:val="006B07C9"/>
    <w:rsid w:val="006B1471"/>
    <w:rsid w:val="006B33B5"/>
    <w:rsid w:val="006B4D96"/>
    <w:rsid w:val="006B5DD1"/>
    <w:rsid w:val="006C17D2"/>
    <w:rsid w:val="006C5FF7"/>
    <w:rsid w:val="006D01F6"/>
    <w:rsid w:val="006D078C"/>
    <w:rsid w:val="006D1601"/>
    <w:rsid w:val="006D34F6"/>
    <w:rsid w:val="006D54B3"/>
    <w:rsid w:val="006E0C24"/>
    <w:rsid w:val="006E10F0"/>
    <w:rsid w:val="006E324E"/>
    <w:rsid w:val="006E3413"/>
    <w:rsid w:val="006E5531"/>
    <w:rsid w:val="006F122E"/>
    <w:rsid w:val="006F1E32"/>
    <w:rsid w:val="006F2E6E"/>
    <w:rsid w:val="006F39AB"/>
    <w:rsid w:val="006F44FB"/>
    <w:rsid w:val="006F570C"/>
    <w:rsid w:val="006F69AA"/>
    <w:rsid w:val="007018E2"/>
    <w:rsid w:val="00701E6B"/>
    <w:rsid w:val="00702355"/>
    <w:rsid w:val="007028B5"/>
    <w:rsid w:val="00702C65"/>
    <w:rsid w:val="00705B6F"/>
    <w:rsid w:val="00706C17"/>
    <w:rsid w:val="00707AB8"/>
    <w:rsid w:val="00707DB3"/>
    <w:rsid w:val="007107C2"/>
    <w:rsid w:val="0071167F"/>
    <w:rsid w:val="0071337A"/>
    <w:rsid w:val="00713450"/>
    <w:rsid w:val="00713A7C"/>
    <w:rsid w:val="007145A4"/>
    <w:rsid w:val="00716631"/>
    <w:rsid w:val="0071757F"/>
    <w:rsid w:val="00717734"/>
    <w:rsid w:val="00717F6E"/>
    <w:rsid w:val="00720F8D"/>
    <w:rsid w:val="0072128D"/>
    <w:rsid w:val="00721B97"/>
    <w:rsid w:val="00721E49"/>
    <w:rsid w:val="00723B8A"/>
    <w:rsid w:val="00725FCD"/>
    <w:rsid w:val="007272B8"/>
    <w:rsid w:val="00727844"/>
    <w:rsid w:val="007300EF"/>
    <w:rsid w:val="00732780"/>
    <w:rsid w:val="00733095"/>
    <w:rsid w:val="00733FEE"/>
    <w:rsid w:val="00734B59"/>
    <w:rsid w:val="00736CD7"/>
    <w:rsid w:val="007415AC"/>
    <w:rsid w:val="00741E9F"/>
    <w:rsid w:val="00742D1E"/>
    <w:rsid w:val="00743D38"/>
    <w:rsid w:val="0074447B"/>
    <w:rsid w:val="00745821"/>
    <w:rsid w:val="00746954"/>
    <w:rsid w:val="0074755A"/>
    <w:rsid w:val="007523AC"/>
    <w:rsid w:val="00753382"/>
    <w:rsid w:val="00753942"/>
    <w:rsid w:val="00753DED"/>
    <w:rsid w:val="007546F1"/>
    <w:rsid w:val="00756BC2"/>
    <w:rsid w:val="00757876"/>
    <w:rsid w:val="00760085"/>
    <w:rsid w:val="00760943"/>
    <w:rsid w:val="0076216D"/>
    <w:rsid w:val="007629F6"/>
    <w:rsid w:val="00762AD3"/>
    <w:rsid w:val="00762EFD"/>
    <w:rsid w:val="00765966"/>
    <w:rsid w:val="00767D15"/>
    <w:rsid w:val="00771F27"/>
    <w:rsid w:val="00771FAC"/>
    <w:rsid w:val="0077256F"/>
    <w:rsid w:val="00773DA1"/>
    <w:rsid w:val="007746A4"/>
    <w:rsid w:val="007757B9"/>
    <w:rsid w:val="00776413"/>
    <w:rsid w:val="00776B2C"/>
    <w:rsid w:val="007807AB"/>
    <w:rsid w:val="007817A4"/>
    <w:rsid w:val="00781A15"/>
    <w:rsid w:val="00786F82"/>
    <w:rsid w:val="00791D65"/>
    <w:rsid w:val="00791E9E"/>
    <w:rsid w:val="0079264F"/>
    <w:rsid w:val="007926A0"/>
    <w:rsid w:val="00793143"/>
    <w:rsid w:val="00794BF1"/>
    <w:rsid w:val="007951D5"/>
    <w:rsid w:val="007A180B"/>
    <w:rsid w:val="007A674E"/>
    <w:rsid w:val="007A690A"/>
    <w:rsid w:val="007A71A2"/>
    <w:rsid w:val="007B0330"/>
    <w:rsid w:val="007B2E09"/>
    <w:rsid w:val="007B3774"/>
    <w:rsid w:val="007B45D1"/>
    <w:rsid w:val="007B47BF"/>
    <w:rsid w:val="007B579E"/>
    <w:rsid w:val="007B57C2"/>
    <w:rsid w:val="007B5EE0"/>
    <w:rsid w:val="007B603D"/>
    <w:rsid w:val="007B6C6B"/>
    <w:rsid w:val="007B6E0D"/>
    <w:rsid w:val="007B7B96"/>
    <w:rsid w:val="007B7D15"/>
    <w:rsid w:val="007C0194"/>
    <w:rsid w:val="007C1074"/>
    <w:rsid w:val="007C3EDD"/>
    <w:rsid w:val="007C3FA9"/>
    <w:rsid w:val="007C4473"/>
    <w:rsid w:val="007C68DE"/>
    <w:rsid w:val="007C72EA"/>
    <w:rsid w:val="007C7EB9"/>
    <w:rsid w:val="007D44A6"/>
    <w:rsid w:val="007D4B81"/>
    <w:rsid w:val="007D6B98"/>
    <w:rsid w:val="007E08A8"/>
    <w:rsid w:val="007E2460"/>
    <w:rsid w:val="007E27AE"/>
    <w:rsid w:val="007E6EBC"/>
    <w:rsid w:val="007E7FB5"/>
    <w:rsid w:val="007F184B"/>
    <w:rsid w:val="007F1BBB"/>
    <w:rsid w:val="007F228B"/>
    <w:rsid w:val="007F3B99"/>
    <w:rsid w:val="007F4ED1"/>
    <w:rsid w:val="00800779"/>
    <w:rsid w:val="0080142D"/>
    <w:rsid w:val="00801A85"/>
    <w:rsid w:val="0080465B"/>
    <w:rsid w:val="00804DB4"/>
    <w:rsid w:val="00805705"/>
    <w:rsid w:val="00806EBD"/>
    <w:rsid w:val="00811225"/>
    <w:rsid w:val="008145F9"/>
    <w:rsid w:val="00817A87"/>
    <w:rsid w:val="00820FE9"/>
    <w:rsid w:val="00821E5D"/>
    <w:rsid w:val="00824538"/>
    <w:rsid w:val="00825827"/>
    <w:rsid w:val="00826E4D"/>
    <w:rsid w:val="0083086E"/>
    <w:rsid w:val="00834142"/>
    <w:rsid w:val="0083569B"/>
    <w:rsid w:val="00836316"/>
    <w:rsid w:val="008364B2"/>
    <w:rsid w:val="008370B1"/>
    <w:rsid w:val="0083772A"/>
    <w:rsid w:val="00841F46"/>
    <w:rsid w:val="00843508"/>
    <w:rsid w:val="00843F82"/>
    <w:rsid w:val="00844649"/>
    <w:rsid w:val="00845907"/>
    <w:rsid w:val="00845A9C"/>
    <w:rsid w:val="00845BDC"/>
    <w:rsid w:val="0084701F"/>
    <w:rsid w:val="008471F4"/>
    <w:rsid w:val="00852C45"/>
    <w:rsid w:val="00853192"/>
    <w:rsid w:val="008561EF"/>
    <w:rsid w:val="00861D12"/>
    <w:rsid w:val="00863976"/>
    <w:rsid w:val="0086408E"/>
    <w:rsid w:val="00865B57"/>
    <w:rsid w:val="00866CC7"/>
    <w:rsid w:val="00870567"/>
    <w:rsid w:val="00872C23"/>
    <w:rsid w:val="008740F9"/>
    <w:rsid w:val="008767C8"/>
    <w:rsid w:val="00880EF6"/>
    <w:rsid w:val="0088329E"/>
    <w:rsid w:val="00884A8B"/>
    <w:rsid w:val="00885641"/>
    <w:rsid w:val="00886367"/>
    <w:rsid w:val="0088675F"/>
    <w:rsid w:val="00887A90"/>
    <w:rsid w:val="00887B5B"/>
    <w:rsid w:val="00887D2F"/>
    <w:rsid w:val="008907B2"/>
    <w:rsid w:val="00891CE4"/>
    <w:rsid w:val="00893305"/>
    <w:rsid w:val="008935DC"/>
    <w:rsid w:val="00894BA2"/>
    <w:rsid w:val="00895763"/>
    <w:rsid w:val="008965DF"/>
    <w:rsid w:val="008A5E04"/>
    <w:rsid w:val="008A7D5D"/>
    <w:rsid w:val="008B00E7"/>
    <w:rsid w:val="008B094F"/>
    <w:rsid w:val="008B1914"/>
    <w:rsid w:val="008B3A2B"/>
    <w:rsid w:val="008B3C47"/>
    <w:rsid w:val="008B43A5"/>
    <w:rsid w:val="008B5F12"/>
    <w:rsid w:val="008B63FA"/>
    <w:rsid w:val="008B7F27"/>
    <w:rsid w:val="008C3213"/>
    <w:rsid w:val="008C64AB"/>
    <w:rsid w:val="008C65C8"/>
    <w:rsid w:val="008C742E"/>
    <w:rsid w:val="008D0074"/>
    <w:rsid w:val="008D23D3"/>
    <w:rsid w:val="008D2811"/>
    <w:rsid w:val="008D3BCB"/>
    <w:rsid w:val="008D4085"/>
    <w:rsid w:val="008D6C9E"/>
    <w:rsid w:val="008E0BA6"/>
    <w:rsid w:val="008E16AA"/>
    <w:rsid w:val="008E3095"/>
    <w:rsid w:val="008E33DE"/>
    <w:rsid w:val="008E49BE"/>
    <w:rsid w:val="008E4D95"/>
    <w:rsid w:val="008F0449"/>
    <w:rsid w:val="008F08D4"/>
    <w:rsid w:val="008F16BA"/>
    <w:rsid w:val="008F2325"/>
    <w:rsid w:val="008F28C0"/>
    <w:rsid w:val="008F657C"/>
    <w:rsid w:val="008F7874"/>
    <w:rsid w:val="00900BC9"/>
    <w:rsid w:val="009010F0"/>
    <w:rsid w:val="0091351B"/>
    <w:rsid w:val="00913B38"/>
    <w:rsid w:val="00915FF3"/>
    <w:rsid w:val="00916CBE"/>
    <w:rsid w:val="00923C24"/>
    <w:rsid w:val="00930EA9"/>
    <w:rsid w:val="00931607"/>
    <w:rsid w:val="00936E96"/>
    <w:rsid w:val="00940F5D"/>
    <w:rsid w:val="009417DF"/>
    <w:rsid w:val="009434A2"/>
    <w:rsid w:val="00944175"/>
    <w:rsid w:val="00944ED3"/>
    <w:rsid w:val="00945674"/>
    <w:rsid w:val="0094606B"/>
    <w:rsid w:val="009468C1"/>
    <w:rsid w:val="009507A3"/>
    <w:rsid w:val="00951C35"/>
    <w:rsid w:val="009527B3"/>
    <w:rsid w:val="00952A4D"/>
    <w:rsid w:val="009536AE"/>
    <w:rsid w:val="0095373F"/>
    <w:rsid w:val="00954537"/>
    <w:rsid w:val="00954E8B"/>
    <w:rsid w:val="00956C17"/>
    <w:rsid w:val="009628DA"/>
    <w:rsid w:val="00964DAF"/>
    <w:rsid w:val="009665A9"/>
    <w:rsid w:val="00966CB8"/>
    <w:rsid w:val="00970CBF"/>
    <w:rsid w:val="00972058"/>
    <w:rsid w:val="00973CED"/>
    <w:rsid w:val="00981E64"/>
    <w:rsid w:val="00984A7D"/>
    <w:rsid w:val="00984CB2"/>
    <w:rsid w:val="0098559E"/>
    <w:rsid w:val="00986C73"/>
    <w:rsid w:val="00987B01"/>
    <w:rsid w:val="00990421"/>
    <w:rsid w:val="00996F5A"/>
    <w:rsid w:val="00997B35"/>
    <w:rsid w:val="00997DF0"/>
    <w:rsid w:val="009A177C"/>
    <w:rsid w:val="009A2110"/>
    <w:rsid w:val="009B1042"/>
    <w:rsid w:val="009B26A9"/>
    <w:rsid w:val="009B2D95"/>
    <w:rsid w:val="009B6EDE"/>
    <w:rsid w:val="009C001B"/>
    <w:rsid w:val="009C046C"/>
    <w:rsid w:val="009C13CC"/>
    <w:rsid w:val="009C1BFC"/>
    <w:rsid w:val="009C2867"/>
    <w:rsid w:val="009C2DFA"/>
    <w:rsid w:val="009C3B3D"/>
    <w:rsid w:val="009C403F"/>
    <w:rsid w:val="009C58CE"/>
    <w:rsid w:val="009D3F46"/>
    <w:rsid w:val="009D4048"/>
    <w:rsid w:val="009D40D0"/>
    <w:rsid w:val="009D5905"/>
    <w:rsid w:val="009D65C6"/>
    <w:rsid w:val="009D70AB"/>
    <w:rsid w:val="009D70DE"/>
    <w:rsid w:val="009E05E4"/>
    <w:rsid w:val="009E0B2A"/>
    <w:rsid w:val="009E112D"/>
    <w:rsid w:val="009E3488"/>
    <w:rsid w:val="009E392F"/>
    <w:rsid w:val="009E4086"/>
    <w:rsid w:val="009E41F0"/>
    <w:rsid w:val="009E76BD"/>
    <w:rsid w:val="009F2252"/>
    <w:rsid w:val="009F22E2"/>
    <w:rsid w:val="009F2EA3"/>
    <w:rsid w:val="009F3E52"/>
    <w:rsid w:val="009F3E9C"/>
    <w:rsid w:val="009F72AE"/>
    <w:rsid w:val="009F7DE0"/>
    <w:rsid w:val="00A00570"/>
    <w:rsid w:val="00A00E1F"/>
    <w:rsid w:val="00A01644"/>
    <w:rsid w:val="00A01F77"/>
    <w:rsid w:val="00A03910"/>
    <w:rsid w:val="00A10067"/>
    <w:rsid w:val="00A10B71"/>
    <w:rsid w:val="00A164A1"/>
    <w:rsid w:val="00A16E36"/>
    <w:rsid w:val="00A179F9"/>
    <w:rsid w:val="00A21A99"/>
    <w:rsid w:val="00A21F1F"/>
    <w:rsid w:val="00A22EE3"/>
    <w:rsid w:val="00A239E6"/>
    <w:rsid w:val="00A23E0B"/>
    <w:rsid w:val="00A25F9B"/>
    <w:rsid w:val="00A3002E"/>
    <w:rsid w:val="00A30F4A"/>
    <w:rsid w:val="00A324A7"/>
    <w:rsid w:val="00A36C8C"/>
    <w:rsid w:val="00A40267"/>
    <w:rsid w:val="00A415BE"/>
    <w:rsid w:val="00A42620"/>
    <w:rsid w:val="00A42FA4"/>
    <w:rsid w:val="00A43C5C"/>
    <w:rsid w:val="00A47219"/>
    <w:rsid w:val="00A50377"/>
    <w:rsid w:val="00A51C96"/>
    <w:rsid w:val="00A52300"/>
    <w:rsid w:val="00A529C5"/>
    <w:rsid w:val="00A53820"/>
    <w:rsid w:val="00A53A25"/>
    <w:rsid w:val="00A53D2D"/>
    <w:rsid w:val="00A53E68"/>
    <w:rsid w:val="00A54E08"/>
    <w:rsid w:val="00A5586B"/>
    <w:rsid w:val="00A559EF"/>
    <w:rsid w:val="00A572FF"/>
    <w:rsid w:val="00A6000F"/>
    <w:rsid w:val="00A60C07"/>
    <w:rsid w:val="00A61D9B"/>
    <w:rsid w:val="00A63CDB"/>
    <w:rsid w:val="00A65C5A"/>
    <w:rsid w:val="00A65CD1"/>
    <w:rsid w:val="00A66374"/>
    <w:rsid w:val="00A66590"/>
    <w:rsid w:val="00A708ED"/>
    <w:rsid w:val="00A7248A"/>
    <w:rsid w:val="00A730EF"/>
    <w:rsid w:val="00A75AFD"/>
    <w:rsid w:val="00A75DEB"/>
    <w:rsid w:val="00A765C4"/>
    <w:rsid w:val="00A8230E"/>
    <w:rsid w:val="00A82E8C"/>
    <w:rsid w:val="00A84A58"/>
    <w:rsid w:val="00A84B9A"/>
    <w:rsid w:val="00A8542D"/>
    <w:rsid w:val="00A8754B"/>
    <w:rsid w:val="00A87ABC"/>
    <w:rsid w:val="00A92F3C"/>
    <w:rsid w:val="00AA205A"/>
    <w:rsid w:val="00AA2FAD"/>
    <w:rsid w:val="00AA3732"/>
    <w:rsid w:val="00AA61DA"/>
    <w:rsid w:val="00AA6478"/>
    <w:rsid w:val="00AB0041"/>
    <w:rsid w:val="00AB034E"/>
    <w:rsid w:val="00AB04E5"/>
    <w:rsid w:val="00AB170E"/>
    <w:rsid w:val="00AB32AB"/>
    <w:rsid w:val="00AB350B"/>
    <w:rsid w:val="00AB416C"/>
    <w:rsid w:val="00AB42BF"/>
    <w:rsid w:val="00AB596F"/>
    <w:rsid w:val="00AB7754"/>
    <w:rsid w:val="00AB7A1E"/>
    <w:rsid w:val="00AC0613"/>
    <w:rsid w:val="00AC145B"/>
    <w:rsid w:val="00AD22C0"/>
    <w:rsid w:val="00AD4B66"/>
    <w:rsid w:val="00AD4D7E"/>
    <w:rsid w:val="00AD645F"/>
    <w:rsid w:val="00AD6C7B"/>
    <w:rsid w:val="00AE5565"/>
    <w:rsid w:val="00AE7059"/>
    <w:rsid w:val="00AE7FD4"/>
    <w:rsid w:val="00AF0810"/>
    <w:rsid w:val="00AF7945"/>
    <w:rsid w:val="00B019A9"/>
    <w:rsid w:val="00B01A2B"/>
    <w:rsid w:val="00B02CCF"/>
    <w:rsid w:val="00B045C2"/>
    <w:rsid w:val="00B056C5"/>
    <w:rsid w:val="00B05C53"/>
    <w:rsid w:val="00B06E14"/>
    <w:rsid w:val="00B10685"/>
    <w:rsid w:val="00B11677"/>
    <w:rsid w:val="00B1481C"/>
    <w:rsid w:val="00B25420"/>
    <w:rsid w:val="00B2596F"/>
    <w:rsid w:val="00B27F81"/>
    <w:rsid w:val="00B31985"/>
    <w:rsid w:val="00B32B11"/>
    <w:rsid w:val="00B3458F"/>
    <w:rsid w:val="00B35402"/>
    <w:rsid w:val="00B35865"/>
    <w:rsid w:val="00B41463"/>
    <w:rsid w:val="00B42584"/>
    <w:rsid w:val="00B42A2A"/>
    <w:rsid w:val="00B42FE7"/>
    <w:rsid w:val="00B430FD"/>
    <w:rsid w:val="00B440BB"/>
    <w:rsid w:val="00B46B32"/>
    <w:rsid w:val="00B47A4D"/>
    <w:rsid w:val="00B50DF2"/>
    <w:rsid w:val="00B52182"/>
    <w:rsid w:val="00B53809"/>
    <w:rsid w:val="00B56189"/>
    <w:rsid w:val="00B60F97"/>
    <w:rsid w:val="00B64D11"/>
    <w:rsid w:val="00B67AC5"/>
    <w:rsid w:val="00B7046A"/>
    <w:rsid w:val="00B7101B"/>
    <w:rsid w:val="00B74565"/>
    <w:rsid w:val="00B7692E"/>
    <w:rsid w:val="00B76D1A"/>
    <w:rsid w:val="00B8150F"/>
    <w:rsid w:val="00B81F83"/>
    <w:rsid w:val="00B82024"/>
    <w:rsid w:val="00B83CF8"/>
    <w:rsid w:val="00B84A56"/>
    <w:rsid w:val="00B84F1C"/>
    <w:rsid w:val="00B8540F"/>
    <w:rsid w:val="00B87CD9"/>
    <w:rsid w:val="00B93336"/>
    <w:rsid w:val="00B93C4A"/>
    <w:rsid w:val="00B94960"/>
    <w:rsid w:val="00B949E8"/>
    <w:rsid w:val="00B94A6C"/>
    <w:rsid w:val="00B95D4D"/>
    <w:rsid w:val="00B97126"/>
    <w:rsid w:val="00B97475"/>
    <w:rsid w:val="00B97760"/>
    <w:rsid w:val="00BA043A"/>
    <w:rsid w:val="00BA0943"/>
    <w:rsid w:val="00BA1F7D"/>
    <w:rsid w:val="00BA5AB0"/>
    <w:rsid w:val="00BA7BBE"/>
    <w:rsid w:val="00BB0BC4"/>
    <w:rsid w:val="00BB7716"/>
    <w:rsid w:val="00BB7A28"/>
    <w:rsid w:val="00BC40C8"/>
    <w:rsid w:val="00BC56DD"/>
    <w:rsid w:val="00BC5C5B"/>
    <w:rsid w:val="00BD1025"/>
    <w:rsid w:val="00BD47E0"/>
    <w:rsid w:val="00BD5673"/>
    <w:rsid w:val="00BD56D6"/>
    <w:rsid w:val="00BD74DA"/>
    <w:rsid w:val="00BD79BB"/>
    <w:rsid w:val="00BE1394"/>
    <w:rsid w:val="00BE2AA0"/>
    <w:rsid w:val="00BE3935"/>
    <w:rsid w:val="00BE4880"/>
    <w:rsid w:val="00BE6367"/>
    <w:rsid w:val="00BE63D3"/>
    <w:rsid w:val="00BE7B68"/>
    <w:rsid w:val="00BF09B1"/>
    <w:rsid w:val="00BF1E02"/>
    <w:rsid w:val="00BF2133"/>
    <w:rsid w:val="00BF3762"/>
    <w:rsid w:val="00BF5E25"/>
    <w:rsid w:val="00BF650E"/>
    <w:rsid w:val="00BF7B52"/>
    <w:rsid w:val="00C038B5"/>
    <w:rsid w:val="00C05A06"/>
    <w:rsid w:val="00C10018"/>
    <w:rsid w:val="00C10577"/>
    <w:rsid w:val="00C11675"/>
    <w:rsid w:val="00C11ED9"/>
    <w:rsid w:val="00C12743"/>
    <w:rsid w:val="00C12FF9"/>
    <w:rsid w:val="00C1300A"/>
    <w:rsid w:val="00C13C4A"/>
    <w:rsid w:val="00C1471C"/>
    <w:rsid w:val="00C15BBA"/>
    <w:rsid w:val="00C16247"/>
    <w:rsid w:val="00C22C64"/>
    <w:rsid w:val="00C235B9"/>
    <w:rsid w:val="00C245C2"/>
    <w:rsid w:val="00C24F56"/>
    <w:rsid w:val="00C26A14"/>
    <w:rsid w:val="00C31017"/>
    <w:rsid w:val="00C33C45"/>
    <w:rsid w:val="00C348D1"/>
    <w:rsid w:val="00C35112"/>
    <w:rsid w:val="00C36B8C"/>
    <w:rsid w:val="00C37E28"/>
    <w:rsid w:val="00C44519"/>
    <w:rsid w:val="00C44FE4"/>
    <w:rsid w:val="00C45219"/>
    <w:rsid w:val="00C51A25"/>
    <w:rsid w:val="00C51D58"/>
    <w:rsid w:val="00C526B4"/>
    <w:rsid w:val="00C52F25"/>
    <w:rsid w:val="00C573AC"/>
    <w:rsid w:val="00C57478"/>
    <w:rsid w:val="00C57FA1"/>
    <w:rsid w:val="00C609A3"/>
    <w:rsid w:val="00C6178F"/>
    <w:rsid w:val="00C61BE0"/>
    <w:rsid w:val="00C622B1"/>
    <w:rsid w:val="00C64B59"/>
    <w:rsid w:val="00C668E2"/>
    <w:rsid w:val="00C71503"/>
    <w:rsid w:val="00C71EFB"/>
    <w:rsid w:val="00C727A5"/>
    <w:rsid w:val="00C74D3A"/>
    <w:rsid w:val="00C74EA5"/>
    <w:rsid w:val="00C7549F"/>
    <w:rsid w:val="00C762F7"/>
    <w:rsid w:val="00C76377"/>
    <w:rsid w:val="00C77121"/>
    <w:rsid w:val="00C82175"/>
    <w:rsid w:val="00C846EC"/>
    <w:rsid w:val="00C8499C"/>
    <w:rsid w:val="00C84FE9"/>
    <w:rsid w:val="00C87573"/>
    <w:rsid w:val="00C912EB"/>
    <w:rsid w:val="00C93883"/>
    <w:rsid w:val="00C96B07"/>
    <w:rsid w:val="00CA2D36"/>
    <w:rsid w:val="00CA60C9"/>
    <w:rsid w:val="00CB21E2"/>
    <w:rsid w:val="00CB6498"/>
    <w:rsid w:val="00CC3C39"/>
    <w:rsid w:val="00CC54B7"/>
    <w:rsid w:val="00CC7440"/>
    <w:rsid w:val="00CD278A"/>
    <w:rsid w:val="00CD2CF8"/>
    <w:rsid w:val="00CD40FD"/>
    <w:rsid w:val="00CD47C9"/>
    <w:rsid w:val="00CD5941"/>
    <w:rsid w:val="00CE1732"/>
    <w:rsid w:val="00CE1B07"/>
    <w:rsid w:val="00CE220C"/>
    <w:rsid w:val="00CE2C5E"/>
    <w:rsid w:val="00CE3E6C"/>
    <w:rsid w:val="00CE5309"/>
    <w:rsid w:val="00CE654B"/>
    <w:rsid w:val="00CE701B"/>
    <w:rsid w:val="00CE72CC"/>
    <w:rsid w:val="00CE76F1"/>
    <w:rsid w:val="00CF229C"/>
    <w:rsid w:val="00CF2B44"/>
    <w:rsid w:val="00CF326A"/>
    <w:rsid w:val="00CF5FA3"/>
    <w:rsid w:val="00CF7A2C"/>
    <w:rsid w:val="00D00B0A"/>
    <w:rsid w:val="00D01927"/>
    <w:rsid w:val="00D040F7"/>
    <w:rsid w:val="00D04D9A"/>
    <w:rsid w:val="00D051D7"/>
    <w:rsid w:val="00D10A75"/>
    <w:rsid w:val="00D112F5"/>
    <w:rsid w:val="00D11778"/>
    <w:rsid w:val="00D117FD"/>
    <w:rsid w:val="00D130EF"/>
    <w:rsid w:val="00D16DBA"/>
    <w:rsid w:val="00D17C53"/>
    <w:rsid w:val="00D20B27"/>
    <w:rsid w:val="00D23D5E"/>
    <w:rsid w:val="00D24021"/>
    <w:rsid w:val="00D245C7"/>
    <w:rsid w:val="00D25A18"/>
    <w:rsid w:val="00D26560"/>
    <w:rsid w:val="00D27C66"/>
    <w:rsid w:val="00D322ED"/>
    <w:rsid w:val="00D33117"/>
    <w:rsid w:val="00D33502"/>
    <w:rsid w:val="00D34549"/>
    <w:rsid w:val="00D36A7D"/>
    <w:rsid w:val="00D36AD7"/>
    <w:rsid w:val="00D36CAE"/>
    <w:rsid w:val="00D37A74"/>
    <w:rsid w:val="00D37FC0"/>
    <w:rsid w:val="00D42AD9"/>
    <w:rsid w:val="00D4422B"/>
    <w:rsid w:val="00D4583F"/>
    <w:rsid w:val="00D467E4"/>
    <w:rsid w:val="00D51516"/>
    <w:rsid w:val="00D52881"/>
    <w:rsid w:val="00D531CA"/>
    <w:rsid w:val="00D533B4"/>
    <w:rsid w:val="00D5433F"/>
    <w:rsid w:val="00D5564A"/>
    <w:rsid w:val="00D55996"/>
    <w:rsid w:val="00D61F1E"/>
    <w:rsid w:val="00D63687"/>
    <w:rsid w:val="00D63AF8"/>
    <w:rsid w:val="00D64191"/>
    <w:rsid w:val="00D64F63"/>
    <w:rsid w:val="00D662A6"/>
    <w:rsid w:val="00D66DA8"/>
    <w:rsid w:val="00D67E0F"/>
    <w:rsid w:val="00D740D1"/>
    <w:rsid w:val="00D7609E"/>
    <w:rsid w:val="00D77B91"/>
    <w:rsid w:val="00D8077A"/>
    <w:rsid w:val="00D80A54"/>
    <w:rsid w:val="00D80CFE"/>
    <w:rsid w:val="00D81591"/>
    <w:rsid w:val="00D832BB"/>
    <w:rsid w:val="00D8347C"/>
    <w:rsid w:val="00D8349C"/>
    <w:rsid w:val="00D90759"/>
    <w:rsid w:val="00D927BB"/>
    <w:rsid w:val="00D9756C"/>
    <w:rsid w:val="00DA00B0"/>
    <w:rsid w:val="00DA06A2"/>
    <w:rsid w:val="00DA0E46"/>
    <w:rsid w:val="00DA181E"/>
    <w:rsid w:val="00DA211D"/>
    <w:rsid w:val="00DA304A"/>
    <w:rsid w:val="00DA3462"/>
    <w:rsid w:val="00DA4F64"/>
    <w:rsid w:val="00DA5A85"/>
    <w:rsid w:val="00DA74BD"/>
    <w:rsid w:val="00DA77B6"/>
    <w:rsid w:val="00DA7E9A"/>
    <w:rsid w:val="00DB1D10"/>
    <w:rsid w:val="00DB1F8B"/>
    <w:rsid w:val="00DB43AA"/>
    <w:rsid w:val="00DB5165"/>
    <w:rsid w:val="00DB6D19"/>
    <w:rsid w:val="00DB748F"/>
    <w:rsid w:val="00DC2FED"/>
    <w:rsid w:val="00DC31BF"/>
    <w:rsid w:val="00DC37C9"/>
    <w:rsid w:val="00DC3A48"/>
    <w:rsid w:val="00DC665C"/>
    <w:rsid w:val="00DC71DB"/>
    <w:rsid w:val="00DD0F47"/>
    <w:rsid w:val="00DD3324"/>
    <w:rsid w:val="00DD5BD2"/>
    <w:rsid w:val="00DE0D11"/>
    <w:rsid w:val="00DE1A75"/>
    <w:rsid w:val="00DE2C42"/>
    <w:rsid w:val="00DE30F6"/>
    <w:rsid w:val="00DE46F6"/>
    <w:rsid w:val="00DE4BBB"/>
    <w:rsid w:val="00DE4CFF"/>
    <w:rsid w:val="00DE622C"/>
    <w:rsid w:val="00DF1527"/>
    <w:rsid w:val="00DF2343"/>
    <w:rsid w:val="00DF5C34"/>
    <w:rsid w:val="00DF5EE4"/>
    <w:rsid w:val="00E00D40"/>
    <w:rsid w:val="00E00D6E"/>
    <w:rsid w:val="00E01809"/>
    <w:rsid w:val="00E043BC"/>
    <w:rsid w:val="00E060F1"/>
    <w:rsid w:val="00E0680A"/>
    <w:rsid w:val="00E07A06"/>
    <w:rsid w:val="00E10A4B"/>
    <w:rsid w:val="00E13069"/>
    <w:rsid w:val="00E13393"/>
    <w:rsid w:val="00E13F51"/>
    <w:rsid w:val="00E14D03"/>
    <w:rsid w:val="00E1791D"/>
    <w:rsid w:val="00E2396A"/>
    <w:rsid w:val="00E23E06"/>
    <w:rsid w:val="00E27425"/>
    <w:rsid w:val="00E30B5D"/>
    <w:rsid w:val="00E32ACE"/>
    <w:rsid w:val="00E35E52"/>
    <w:rsid w:val="00E368CE"/>
    <w:rsid w:val="00E36DE9"/>
    <w:rsid w:val="00E407B4"/>
    <w:rsid w:val="00E4287A"/>
    <w:rsid w:val="00E46D4E"/>
    <w:rsid w:val="00E47C31"/>
    <w:rsid w:val="00E47C65"/>
    <w:rsid w:val="00E47D67"/>
    <w:rsid w:val="00E5217C"/>
    <w:rsid w:val="00E5290D"/>
    <w:rsid w:val="00E5394B"/>
    <w:rsid w:val="00E5642E"/>
    <w:rsid w:val="00E63306"/>
    <w:rsid w:val="00E6331D"/>
    <w:rsid w:val="00E650C9"/>
    <w:rsid w:val="00E65AFA"/>
    <w:rsid w:val="00E71320"/>
    <w:rsid w:val="00E720E4"/>
    <w:rsid w:val="00E746F0"/>
    <w:rsid w:val="00E77889"/>
    <w:rsid w:val="00E80068"/>
    <w:rsid w:val="00E8097E"/>
    <w:rsid w:val="00E85FEE"/>
    <w:rsid w:val="00E87EE8"/>
    <w:rsid w:val="00E9412E"/>
    <w:rsid w:val="00EA544E"/>
    <w:rsid w:val="00EB4045"/>
    <w:rsid w:val="00EB5337"/>
    <w:rsid w:val="00EB64FF"/>
    <w:rsid w:val="00EB6DA0"/>
    <w:rsid w:val="00EB72D5"/>
    <w:rsid w:val="00EC08CC"/>
    <w:rsid w:val="00EC6EF2"/>
    <w:rsid w:val="00ED06A6"/>
    <w:rsid w:val="00ED0C27"/>
    <w:rsid w:val="00ED103A"/>
    <w:rsid w:val="00ED20D4"/>
    <w:rsid w:val="00ED2F03"/>
    <w:rsid w:val="00ED3F12"/>
    <w:rsid w:val="00ED6FF1"/>
    <w:rsid w:val="00EE04DF"/>
    <w:rsid w:val="00EE051B"/>
    <w:rsid w:val="00EE097D"/>
    <w:rsid w:val="00EE2793"/>
    <w:rsid w:val="00EE2F67"/>
    <w:rsid w:val="00EE2F77"/>
    <w:rsid w:val="00EE3DC6"/>
    <w:rsid w:val="00EE4375"/>
    <w:rsid w:val="00EE46BE"/>
    <w:rsid w:val="00EF0066"/>
    <w:rsid w:val="00EF095D"/>
    <w:rsid w:val="00EF2B01"/>
    <w:rsid w:val="00EF479E"/>
    <w:rsid w:val="00EF678F"/>
    <w:rsid w:val="00EF6AA2"/>
    <w:rsid w:val="00F0030B"/>
    <w:rsid w:val="00F02737"/>
    <w:rsid w:val="00F039F3"/>
    <w:rsid w:val="00F04121"/>
    <w:rsid w:val="00F0538B"/>
    <w:rsid w:val="00F1003D"/>
    <w:rsid w:val="00F14E69"/>
    <w:rsid w:val="00F17648"/>
    <w:rsid w:val="00F22562"/>
    <w:rsid w:val="00F22EE5"/>
    <w:rsid w:val="00F25BA2"/>
    <w:rsid w:val="00F30416"/>
    <w:rsid w:val="00F3056C"/>
    <w:rsid w:val="00F324CE"/>
    <w:rsid w:val="00F327DB"/>
    <w:rsid w:val="00F35655"/>
    <w:rsid w:val="00F36697"/>
    <w:rsid w:val="00F36C05"/>
    <w:rsid w:val="00F370A8"/>
    <w:rsid w:val="00F37F7E"/>
    <w:rsid w:val="00F42110"/>
    <w:rsid w:val="00F42C6F"/>
    <w:rsid w:val="00F42DB9"/>
    <w:rsid w:val="00F47EA2"/>
    <w:rsid w:val="00F56A3F"/>
    <w:rsid w:val="00F573BB"/>
    <w:rsid w:val="00F57809"/>
    <w:rsid w:val="00F57847"/>
    <w:rsid w:val="00F60A2C"/>
    <w:rsid w:val="00F615DC"/>
    <w:rsid w:val="00F626BB"/>
    <w:rsid w:val="00F62952"/>
    <w:rsid w:val="00F63103"/>
    <w:rsid w:val="00F64E9A"/>
    <w:rsid w:val="00F675B0"/>
    <w:rsid w:val="00F71789"/>
    <w:rsid w:val="00F75B4D"/>
    <w:rsid w:val="00F76D9D"/>
    <w:rsid w:val="00F76DCD"/>
    <w:rsid w:val="00F80460"/>
    <w:rsid w:val="00F8304B"/>
    <w:rsid w:val="00F83055"/>
    <w:rsid w:val="00F8405A"/>
    <w:rsid w:val="00F905BB"/>
    <w:rsid w:val="00F90B9F"/>
    <w:rsid w:val="00F91DBE"/>
    <w:rsid w:val="00F93E87"/>
    <w:rsid w:val="00FA180A"/>
    <w:rsid w:val="00FA18A5"/>
    <w:rsid w:val="00FA1C90"/>
    <w:rsid w:val="00FA2C54"/>
    <w:rsid w:val="00FA3118"/>
    <w:rsid w:val="00FA4D57"/>
    <w:rsid w:val="00FA5A46"/>
    <w:rsid w:val="00FB0955"/>
    <w:rsid w:val="00FB0E75"/>
    <w:rsid w:val="00FB273F"/>
    <w:rsid w:val="00FB5515"/>
    <w:rsid w:val="00FB5D10"/>
    <w:rsid w:val="00FC0212"/>
    <w:rsid w:val="00FC11EF"/>
    <w:rsid w:val="00FC31F0"/>
    <w:rsid w:val="00FC5B31"/>
    <w:rsid w:val="00FD17A0"/>
    <w:rsid w:val="00FD3450"/>
    <w:rsid w:val="00FD4A7A"/>
    <w:rsid w:val="00FE086E"/>
    <w:rsid w:val="00FE09A0"/>
    <w:rsid w:val="00FE0C4A"/>
    <w:rsid w:val="00FE1B60"/>
    <w:rsid w:val="00FE2A89"/>
    <w:rsid w:val="00FE2C4C"/>
    <w:rsid w:val="00FE2E62"/>
    <w:rsid w:val="00FE7CED"/>
    <w:rsid w:val="00FE7F3C"/>
    <w:rsid w:val="00FF09A6"/>
    <w:rsid w:val="00FF391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4:docId w14:val="193CC605"/>
  <w15:docId w15:val="{89A02123-7558-403E-8602-3870001E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F37F7E"/>
    <w:rPr>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c">
    <w:name w:val="naisc"/>
    <w:basedOn w:val="Parasts"/>
    <w:rsid w:val="00F37F7E"/>
    <w:pPr>
      <w:spacing w:before="100" w:beforeAutospacing="1" w:after="100" w:afterAutospacing="1"/>
    </w:pPr>
  </w:style>
  <w:style w:type="paragraph" w:customStyle="1" w:styleId="naisnod">
    <w:name w:val="naisnod"/>
    <w:basedOn w:val="Parasts"/>
    <w:rsid w:val="00F37F7E"/>
    <w:pPr>
      <w:spacing w:before="100" w:beforeAutospacing="1" w:after="100" w:afterAutospacing="1"/>
    </w:pPr>
  </w:style>
  <w:style w:type="paragraph" w:customStyle="1" w:styleId="naiskr">
    <w:name w:val="naiskr"/>
    <w:basedOn w:val="Parasts"/>
    <w:rsid w:val="00F37F7E"/>
    <w:pPr>
      <w:spacing w:before="100" w:beforeAutospacing="1" w:after="100" w:afterAutospacing="1"/>
    </w:pPr>
  </w:style>
  <w:style w:type="paragraph" w:customStyle="1" w:styleId="naisf">
    <w:name w:val="naisf"/>
    <w:basedOn w:val="Parasts"/>
    <w:rsid w:val="00F37F7E"/>
    <w:pPr>
      <w:spacing w:before="100" w:beforeAutospacing="1" w:after="100" w:afterAutospacing="1"/>
    </w:pPr>
  </w:style>
  <w:style w:type="paragraph" w:styleId="Pamatteksts">
    <w:name w:val="Body Text"/>
    <w:basedOn w:val="Parasts"/>
    <w:link w:val="PamattekstsRakstz"/>
    <w:rsid w:val="00F37F7E"/>
    <w:pPr>
      <w:jc w:val="right"/>
    </w:pPr>
    <w:rPr>
      <w:b/>
      <w:sz w:val="28"/>
      <w:szCs w:val="20"/>
      <w:lang w:eastAsia="en-US"/>
    </w:rPr>
  </w:style>
  <w:style w:type="character" w:customStyle="1" w:styleId="PamattekstsRakstz">
    <w:name w:val="Pamatteksts Rakstz."/>
    <w:basedOn w:val="Noklusjumarindkopasfonts"/>
    <w:link w:val="Pamatteksts"/>
    <w:semiHidden/>
    <w:locked/>
    <w:rsid w:val="00F37F7E"/>
    <w:rPr>
      <w:b/>
      <w:sz w:val="28"/>
      <w:lang w:val="lv-LV" w:eastAsia="en-US" w:bidi="ar-SA"/>
    </w:rPr>
  </w:style>
  <w:style w:type="paragraph" w:styleId="Galvene">
    <w:name w:val="header"/>
    <w:basedOn w:val="Parasts"/>
    <w:link w:val="GalveneRakstz"/>
    <w:uiPriority w:val="99"/>
    <w:rsid w:val="00F37F7E"/>
    <w:pPr>
      <w:tabs>
        <w:tab w:val="center" w:pos="4153"/>
        <w:tab w:val="right" w:pos="8306"/>
      </w:tabs>
    </w:pPr>
  </w:style>
  <w:style w:type="character" w:customStyle="1" w:styleId="GalveneRakstz">
    <w:name w:val="Galvene Rakstz."/>
    <w:basedOn w:val="Noklusjumarindkopasfonts"/>
    <w:link w:val="Galvene"/>
    <w:uiPriority w:val="99"/>
    <w:locked/>
    <w:rsid w:val="00F37F7E"/>
    <w:rPr>
      <w:sz w:val="24"/>
      <w:szCs w:val="24"/>
      <w:lang w:val="lv-LV" w:eastAsia="lv-LV" w:bidi="ar-SA"/>
    </w:rPr>
  </w:style>
  <w:style w:type="character" w:styleId="Lappusesnumurs">
    <w:name w:val="page number"/>
    <w:basedOn w:val="Noklusjumarindkopasfonts"/>
    <w:rsid w:val="00F37F7E"/>
    <w:rPr>
      <w:rFonts w:cs="Times New Roman"/>
    </w:rPr>
  </w:style>
  <w:style w:type="paragraph" w:styleId="Kjene">
    <w:name w:val="footer"/>
    <w:basedOn w:val="Parasts"/>
    <w:link w:val="KjeneRakstz"/>
    <w:rsid w:val="00F37F7E"/>
    <w:pPr>
      <w:tabs>
        <w:tab w:val="center" w:pos="4153"/>
        <w:tab w:val="right" w:pos="8306"/>
      </w:tabs>
    </w:pPr>
  </w:style>
  <w:style w:type="character" w:customStyle="1" w:styleId="KjeneRakstz">
    <w:name w:val="Kājene Rakstz."/>
    <w:basedOn w:val="Noklusjumarindkopasfonts"/>
    <w:link w:val="Kjene"/>
    <w:semiHidden/>
    <w:locked/>
    <w:rsid w:val="00F37F7E"/>
    <w:rPr>
      <w:sz w:val="24"/>
      <w:szCs w:val="24"/>
      <w:lang w:val="lv-LV" w:eastAsia="lv-LV" w:bidi="ar-SA"/>
    </w:rPr>
  </w:style>
  <w:style w:type="character" w:styleId="Hipersaite">
    <w:name w:val="Hyperlink"/>
    <w:basedOn w:val="Noklusjumarindkopasfonts"/>
    <w:uiPriority w:val="99"/>
    <w:rsid w:val="000D7729"/>
    <w:rPr>
      <w:color w:val="0000FF"/>
      <w:u w:val="single"/>
    </w:rPr>
  </w:style>
  <w:style w:type="paragraph" w:styleId="Balonteksts">
    <w:name w:val="Balloon Text"/>
    <w:basedOn w:val="Parasts"/>
    <w:link w:val="BalontekstsRakstz"/>
    <w:rsid w:val="00A52300"/>
    <w:rPr>
      <w:rFonts w:ascii="Tahoma" w:hAnsi="Tahoma" w:cs="Tahoma"/>
      <w:sz w:val="16"/>
      <w:szCs w:val="16"/>
    </w:rPr>
  </w:style>
  <w:style w:type="character" w:customStyle="1" w:styleId="BalontekstsRakstz">
    <w:name w:val="Balonteksts Rakstz."/>
    <w:basedOn w:val="Noklusjumarindkopasfonts"/>
    <w:link w:val="Balonteksts"/>
    <w:rsid w:val="00A52300"/>
    <w:rPr>
      <w:rFonts w:ascii="Tahoma" w:hAnsi="Tahoma" w:cs="Tahoma"/>
      <w:sz w:val="16"/>
      <w:szCs w:val="16"/>
    </w:rPr>
  </w:style>
  <w:style w:type="character" w:styleId="Komentraatsauce">
    <w:name w:val="annotation reference"/>
    <w:basedOn w:val="Noklusjumarindkopasfonts"/>
    <w:uiPriority w:val="99"/>
    <w:rsid w:val="005A771C"/>
    <w:rPr>
      <w:sz w:val="16"/>
      <w:szCs w:val="16"/>
    </w:rPr>
  </w:style>
  <w:style w:type="paragraph" w:styleId="Komentrateksts">
    <w:name w:val="annotation text"/>
    <w:basedOn w:val="Parasts"/>
    <w:link w:val="KomentratekstsRakstz"/>
    <w:uiPriority w:val="99"/>
    <w:rsid w:val="005A771C"/>
    <w:rPr>
      <w:sz w:val="20"/>
      <w:szCs w:val="20"/>
    </w:rPr>
  </w:style>
  <w:style w:type="character" w:customStyle="1" w:styleId="KomentratekstsRakstz">
    <w:name w:val="Komentāra teksts Rakstz."/>
    <w:basedOn w:val="Noklusjumarindkopasfonts"/>
    <w:link w:val="Komentrateksts"/>
    <w:uiPriority w:val="99"/>
    <w:rsid w:val="005A771C"/>
  </w:style>
  <w:style w:type="paragraph" w:styleId="Komentratma">
    <w:name w:val="annotation subject"/>
    <w:basedOn w:val="Komentrateksts"/>
    <w:next w:val="Komentrateksts"/>
    <w:link w:val="KomentratmaRakstz"/>
    <w:uiPriority w:val="99"/>
    <w:rsid w:val="005A771C"/>
    <w:rPr>
      <w:b/>
      <w:bCs/>
    </w:rPr>
  </w:style>
  <w:style w:type="character" w:customStyle="1" w:styleId="KomentratmaRakstz">
    <w:name w:val="Komentāra tēma Rakstz."/>
    <w:basedOn w:val="KomentratekstsRakstz"/>
    <w:link w:val="Komentratma"/>
    <w:uiPriority w:val="99"/>
    <w:rsid w:val="005A771C"/>
    <w:rPr>
      <w:b/>
      <w:bCs/>
    </w:rPr>
  </w:style>
  <w:style w:type="paragraph" w:customStyle="1" w:styleId="naislab">
    <w:name w:val="naislab"/>
    <w:basedOn w:val="Parasts"/>
    <w:uiPriority w:val="99"/>
    <w:rsid w:val="0002029A"/>
    <w:pPr>
      <w:spacing w:before="75" w:after="75"/>
      <w:jc w:val="right"/>
    </w:pPr>
  </w:style>
  <w:style w:type="paragraph" w:customStyle="1" w:styleId="naispie">
    <w:name w:val="naispie"/>
    <w:basedOn w:val="Parasts"/>
    <w:rsid w:val="002513DF"/>
    <w:pPr>
      <w:spacing w:before="100" w:beforeAutospacing="1" w:after="100" w:afterAutospacing="1"/>
    </w:pPr>
  </w:style>
  <w:style w:type="paragraph" w:customStyle="1" w:styleId="Rakstz">
    <w:name w:val="Rakstz."/>
    <w:basedOn w:val="Parasts"/>
    <w:rsid w:val="00F42C6F"/>
    <w:pPr>
      <w:spacing w:before="40"/>
    </w:pPr>
    <w:rPr>
      <w:lang w:val="pl-PL" w:eastAsia="pl-PL"/>
    </w:rPr>
  </w:style>
  <w:style w:type="paragraph" w:styleId="Paraststmeklis">
    <w:name w:val="Normal (Web)"/>
    <w:basedOn w:val="Parasts"/>
    <w:rsid w:val="00350004"/>
    <w:pPr>
      <w:spacing w:before="100" w:beforeAutospacing="1" w:after="100" w:afterAutospacing="1"/>
    </w:pPr>
  </w:style>
  <w:style w:type="paragraph" w:styleId="Vresteksts">
    <w:name w:val="footnote text"/>
    <w:basedOn w:val="Parasts"/>
    <w:link w:val="VrestekstsRakstz"/>
    <w:uiPriority w:val="99"/>
    <w:rsid w:val="00B60F97"/>
    <w:pPr>
      <w:jc w:val="both"/>
    </w:pPr>
    <w:rPr>
      <w:sz w:val="20"/>
      <w:szCs w:val="20"/>
      <w:lang w:eastAsia="en-US"/>
    </w:rPr>
  </w:style>
  <w:style w:type="character" w:styleId="Vresatsauce">
    <w:name w:val="footnote reference"/>
    <w:uiPriority w:val="99"/>
    <w:rsid w:val="00B60F97"/>
    <w:rPr>
      <w:vertAlign w:val="superscript"/>
    </w:rPr>
  </w:style>
  <w:style w:type="paragraph" w:styleId="Pamattekstaatkpe2">
    <w:name w:val="Body Text Indent 2"/>
    <w:basedOn w:val="Parasts"/>
    <w:link w:val="Pamattekstaatkpe2Rakstz"/>
    <w:semiHidden/>
    <w:unhideWhenUsed/>
    <w:rsid w:val="001611DB"/>
    <w:pPr>
      <w:spacing w:after="120" w:line="480" w:lineRule="auto"/>
      <w:ind w:left="283"/>
    </w:pPr>
  </w:style>
  <w:style w:type="character" w:customStyle="1" w:styleId="Pamattekstaatkpe2Rakstz">
    <w:name w:val="Pamatteksta atkāpe 2 Rakstz."/>
    <w:basedOn w:val="Noklusjumarindkopasfonts"/>
    <w:link w:val="Pamattekstaatkpe2"/>
    <w:semiHidden/>
    <w:rsid w:val="001611DB"/>
    <w:rPr>
      <w:sz w:val="24"/>
      <w:szCs w:val="24"/>
    </w:rPr>
  </w:style>
  <w:style w:type="paragraph" w:styleId="Sarakstaaizzme">
    <w:name w:val="List Bullet"/>
    <w:basedOn w:val="Parasts"/>
    <w:unhideWhenUsed/>
    <w:rsid w:val="00AC145B"/>
    <w:pPr>
      <w:numPr>
        <w:numId w:val="1"/>
      </w:numPr>
      <w:contextualSpacing/>
    </w:pPr>
  </w:style>
  <w:style w:type="paragraph" w:styleId="Sarakstarindkopa">
    <w:name w:val="List Paragraph"/>
    <w:basedOn w:val="Parasts"/>
    <w:uiPriority w:val="34"/>
    <w:qFormat/>
    <w:rsid w:val="000957DB"/>
    <w:pPr>
      <w:ind w:left="720"/>
      <w:contextualSpacing/>
    </w:pPr>
  </w:style>
  <w:style w:type="paragraph" w:customStyle="1" w:styleId="tv2132">
    <w:name w:val="tv2132"/>
    <w:basedOn w:val="Parasts"/>
    <w:rsid w:val="00CB21E2"/>
    <w:pPr>
      <w:spacing w:line="360" w:lineRule="auto"/>
      <w:ind w:firstLine="300"/>
    </w:pPr>
    <w:rPr>
      <w:color w:val="414142"/>
      <w:sz w:val="20"/>
      <w:szCs w:val="20"/>
      <w:lang w:val="en-US" w:eastAsia="en-US"/>
    </w:rPr>
  </w:style>
  <w:style w:type="character" w:styleId="Izteiksmgs">
    <w:name w:val="Strong"/>
    <w:basedOn w:val="Noklusjumarindkopasfonts"/>
    <w:uiPriority w:val="22"/>
    <w:qFormat/>
    <w:rsid w:val="00701E6B"/>
    <w:rPr>
      <w:b/>
      <w:bCs/>
    </w:rPr>
  </w:style>
  <w:style w:type="paragraph" w:customStyle="1" w:styleId="CM1">
    <w:name w:val="CM1"/>
    <w:basedOn w:val="Parasts"/>
    <w:next w:val="Parasts"/>
    <w:uiPriority w:val="99"/>
    <w:rsid w:val="00A66590"/>
    <w:pPr>
      <w:autoSpaceDE w:val="0"/>
      <w:autoSpaceDN w:val="0"/>
      <w:adjustRightInd w:val="0"/>
    </w:pPr>
    <w:rPr>
      <w:lang w:val="en-US"/>
    </w:rPr>
  </w:style>
  <w:style w:type="paragraph" w:customStyle="1" w:styleId="CM3">
    <w:name w:val="CM3"/>
    <w:basedOn w:val="Parasts"/>
    <w:next w:val="Parasts"/>
    <w:uiPriority w:val="99"/>
    <w:rsid w:val="00A66590"/>
    <w:pPr>
      <w:autoSpaceDE w:val="0"/>
      <w:autoSpaceDN w:val="0"/>
      <w:adjustRightInd w:val="0"/>
    </w:pPr>
    <w:rPr>
      <w:lang w:val="en-US"/>
    </w:rPr>
  </w:style>
  <w:style w:type="paragraph" w:customStyle="1" w:styleId="CM4">
    <w:name w:val="CM4"/>
    <w:basedOn w:val="Parasts"/>
    <w:next w:val="Parasts"/>
    <w:uiPriority w:val="99"/>
    <w:rsid w:val="00A66590"/>
    <w:pPr>
      <w:autoSpaceDE w:val="0"/>
      <w:autoSpaceDN w:val="0"/>
      <w:adjustRightInd w:val="0"/>
    </w:pPr>
    <w:rPr>
      <w:lang w:val="en-US"/>
    </w:rPr>
  </w:style>
  <w:style w:type="table" w:styleId="Reatabula">
    <w:name w:val="Table Grid"/>
    <w:basedOn w:val="Parastatabula"/>
    <w:uiPriority w:val="39"/>
    <w:rsid w:val="004C18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1256DD"/>
    <w:rPr>
      <w:sz w:val="24"/>
      <w:szCs w:val="24"/>
    </w:rPr>
  </w:style>
  <w:style w:type="paragraph" w:styleId="Bezatstarpm">
    <w:name w:val="No Spacing"/>
    <w:uiPriority w:val="1"/>
    <w:qFormat/>
    <w:rsid w:val="00D117FD"/>
    <w:rPr>
      <w:rFonts w:asciiTheme="minorHAnsi" w:eastAsiaTheme="minorHAnsi" w:hAnsiTheme="minorHAnsi" w:cstheme="minorBidi"/>
      <w:sz w:val="22"/>
      <w:szCs w:val="22"/>
      <w:lang w:eastAsia="en-US"/>
    </w:rPr>
  </w:style>
  <w:style w:type="character" w:styleId="Neatrisintapieminana">
    <w:name w:val="Unresolved Mention"/>
    <w:basedOn w:val="Noklusjumarindkopasfonts"/>
    <w:uiPriority w:val="99"/>
    <w:semiHidden/>
    <w:unhideWhenUsed/>
    <w:rsid w:val="00BE7B68"/>
    <w:rPr>
      <w:color w:val="605E5C"/>
      <w:shd w:val="clear" w:color="auto" w:fill="E1DFDD"/>
    </w:rPr>
  </w:style>
  <w:style w:type="character" w:customStyle="1" w:styleId="VrestekstsRakstz">
    <w:name w:val="Vēres teksts Rakstz."/>
    <w:basedOn w:val="Noklusjumarindkopasfonts"/>
    <w:link w:val="Vresteksts"/>
    <w:uiPriority w:val="99"/>
    <w:rsid w:val="00A10B71"/>
    <w:rPr>
      <w:lang w:eastAsia="en-US"/>
    </w:rPr>
  </w:style>
  <w:style w:type="paragraph" w:customStyle="1" w:styleId="Parastais">
    <w:name w:val="Parastais"/>
    <w:qFormat/>
    <w:rsid w:val="00954E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8594">
      <w:bodyDiv w:val="1"/>
      <w:marLeft w:val="0"/>
      <w:marRight w:val="0"/>
      <w:marTop w:val="0"/>
      <w:marBottom w:val="0"/>
      <w:divBdr>
        <w:top w:val="none" w:sz="0" w:space="0" w:color="auto"/>
        <w:left w:val="none" w:sz="0" w:space="0" w:color="auto"/>
        <w:bottom w:val="none" w:sz="0" w:space="0" w:color="auto"/>
        <w:right w:val="none" w:sz="0" w:space="0" w:color="auto"/>
      </w:divBdr>
      <w:divsChild>
        <w:div w:id="1816526865">
          <w:marLeft w:val="0"/>
          <w:marRight w:val="0"/>
          <w:marTop w:val="0"/>
          <w:marBottom w:val="0"/>
          <w:divBdr>
            <w:top w:val="none" w:sz="0" w:space="0" w:color="auto"/>
            <w:left w:val="none" w:sz="0" w:space="0" w:color="auto"/>
            <w:bottom w:val="none" w:sz="0" w:space="0" w:color="auto"/>
            <w:right w:val="none" w:sz="0" w:space="0" w:color="auto"/>
          </w:divBdr>
          <w:divsChild>
            <w:div w:id="1511869685">
              <w:marLeft w:val="0"/>
              <w:marRight w:val="0"/>
              <w:marTop w:val="0"/>
              <w:marBottom w:val="0"/>
              <w:divBdr>
                <w:top w:val="none" w:sz="0" w:space="0" w:color="auto"/>
                <w:left w:val="none" w:sz="0" w:space="0" w:color="auto"/>
                <w:bottom w:val="none" w:sz="0" w:space="0" w:color="auto"/>
                <w:right w:val="none" w:sz="0" w:space="0" w:color="auto"/>
              </w:divBdr>
              <w:divsChild>
                <w:div w:id="261492329">
                  <w:marLeft w:val="0"/>
                  <w:marRight w:val="0"/>
                  <w:marTop w:val="0"/>
                  <w:marBottom w:val="0"/>
                  <w:divBdr>
                    <w:top w:val="none" w:sz="0" w:space="0" w:color="auto"/>
                    <w:left w:val="none" w:sz="0" w:space="0" w:color="auto"/>
                    <w:bottom w:val="none" w:sz="0" w:space="0" w:color="auto"/>
                    <w:right w:val="none" w:sz="0" w:space="0" w:color="auto"/>
                  </w:divBdr>
                  <w:divsChild>
                    <w:div w:id="1465346853">
                      <w:marLeft w:val="0"/>
                      <w:marRight w:val="0"/>
                      <w:marTop w:val="0"/>
                      <w:marBottom w:val="0"/>
                      <w:divBdr>
                        <w:top w:val="none" w:sz="0" w:space="0" w:color="auto"/>
                        <w:left w:val="none" w:sz="0" w:space="0" w:color="auto"/>
                        <w:bottom w:val="none" w:sz="0" w:space="0" w:color="auto"/>
                        <w:right w:val="none" w:sz="0" w:space="0" w:color="auto"/>
                      </w:divBdr>
                      <w:divsChild>
                        <w:div w:id="2109690649">
                          <w:marLeft w:val="0"/>
                          <w:marRight w:val="0"/>
                          <w:marTop w:val="0"/>
                          <w:marBottom w:val="0"/>
                          <w:divBdr>
                            <w:top w:val="none" w:sz="0" w:space="0" w:color="auto"/>
                            <w:left w:val="none" w:sz="0" w:space="0" w:color="auto"/>
                            <w:bottom w:val="none" w:sz="0" w:space="0" w:color="auto"/>
                            <w:right w:val="none" w:sz="0" w:space="0" w:color="auto"/>
                          </w:divBdr>
                          <w:divsChild>
                            <w:div w:id="19609897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81136">
      <w:bodyDiv w:val="1"/>
      <w:marLeft w:val="0"/>
      <w:marRight w:val="0"/>
      <w:marTop w:val="0"/>
      <w:marBottom w:val="0"/>
      <w:divBdr>
        <w:top w:val="none" w:sz="0" w:space="0" w:color="auto"/>
        <w:left w:val="none" w:sz="0" w:space="0" w:color="auto"/>
        <w:bottom w:val="none" w:sz="0" w:space="0" w:color="auto"/>
        <w:right w:val="none" w:sz="0" w:space="0" w:color="auto"/>
      </w:divBdr>
    </w:div>
    <w:div w:id="273951411">
      <w:bodyDiv w:val="1"/>
      <w:marLeft w:val="0"/>
      <w:marRight w:val="0"/>
      <w:marTop w:val="0"/>
      <w:marBottom w:val="0"/>
      <w:divBdr>
        <w:top w:val="none" w:sz="0" w:space="0" w:color="auto"/>
        <w:left w:val="none" w:sz="0" w:space="0" w:color="auto"/>
        <w:bottom w:val="none" w:sz="0" w:space="0" w:color="auto"/>
        <w:right w:val="none" w:sz="0" w:space="0" w:color="auto"/>
      </w:divBdr>
    </w:div>
    <w:div w:id="314341435">
      <w:bodyDiv w:val="1"/>
      <w:marLeft w:val="0"/>
      <w:marRight w:val="0"/>
      <w:marTop w:val="0"/>
      <w:marBottom w:val="0"/>
      <w:divBdr>
        <w:top w:val="none" w:sz="0" w:space="0" w:color="auto"/>
        <w:left w:val="none" w:sz="0" w:space="0" w:color="auto"/>
        <w:bottom w:val="none" w:sz="0" w:space="0" w:color="auto"/>
        <w:right w:val="none" w:sz="0" w:space="0" w:color="auto"/>
      </w:divBdr>
      <w:divsChild>
        <w:div w:id="73472789">
          <w:marLeft w:val="0"/>
          <w:marRight w:val="0"/>
          <w:marTop w:val="0"/>
          <w:marBottom w:val="0"/>
          <w:divBdr>
            <w:top w:val="none" w:sz="0" w:space="0" w:color="auto"/>
            <w:left w:val="none" w:sz="0" w:space="0" w:color="auto"/>
            <w:bottom w:val="none" w:sz="0" w:space="0" w:color="auto"/>
            <w:right w:val="none" w:sz="0" w:space="0" w:color="auto"/>
          </w:divBdr>
          <w:divsChild>
            <w:div w:id="543754004">
              <w:marLeft w:val="0"/>
              <w:marRight w:val="0"/>
              <w:marTop w:val="0"/>
              <w:marBottom w:val="0"/>
              <w:divBdr>
                <w:top w:val="none" w:sz="0" w:space="0" w:color="auto"/>
                <w:left w:val="none" w:sz="0" w:space="0" w:color="auto"/>
                <w:bottom w:val="none" w:sz="0" w:space="0" w:color="auto"/>
                <w:right w:val="none" w:sz="0" w:space="0" w:color="auto"/>
              </w:divBdr>
              <w:divsChild>
                <w:div w:id="1550072717">
                  <w:marLeft w:val="0"/>
                  <w:marRight w:val="0"/>
                  <w:marTop w:val="0"/>
                  <w:marBottom w:val="0"/>
                  <w:divBdr>
                    <w:top w:val="none" w:sz="0" w:space="0" w:color="auto"/>
                    <w:left w:val="none" w:sz="0" w:space="0" w:color="auto"/>
                    <w:bottom w:val="none" w:sz="0" w:space="0" w:color="auto"/>
                    <w:right w:val="none" w:sz="0" w:space="0" w:color="auto"/>
                  </w:divBdr>
                  <w:divsChild>
                    <w:div w:id="2109083862">
                      <w:marLeft w:val="0"/>
                      <w:marRight w:val="0"/>
                      <w:marTop w:val="0"/>
                      <w:marBottom w:val="0"/>
                      <w:divBdr>
                        <w:top w:val="none" w:sz="0" w:space="0" w:color="auto"/>
                        <w:left w:val="none" w:sz="0" w:space="0" w:color="auto"/>
                        <w:bottom w:val="none" w:sz="0" w:space="0" w:color="auto"/>
                        <w:right w:val="none" w:sz="0" w:space="0" w:color="auto"/>
                      </w:divBdr>
                      <w:divsChild>
                        <w:div w:id="1181437000">
                          <w:marLeft w:val="0"/>
                          <w:marRight w:val="0"/>
                          <w:marTop w:val="0"/>
                          <w:marBottom w:val="0"/>
                          <w:divBdr>
                            <w:top w:val="none" w:sz="0" w:space="0" w:color="auto"/>
                            <w:left w:val="none" w:sz="0" w:space="0" w:color="auto"/>
                            <w:bottom w:val="none" w:sz="0" w:space="0" w:color="auto"/>
                            <w:right w:val="none" w:sz="0" w:space="0" w:color="auto"/>
                          </w:divBdr>
                          <w:divsChild>
                            <w:div w:id="13396988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189926">
      <w:bodyDiv w:val="1"/>
      <w:marLeft w:val="0"/>
      <w:marRight w:val="0"/>
      <w:marTop w:val="0"/>
      <w:marBottom w:val="0"/>
      <w:divBdr>
        <w:top w:val="none" w:sz="0" w:space="0" w:color="auto"/>
        <w:left w:val="none" w:sz="0" w:space="0" w:color="auto"/>
        <w:bottom w:val="none" w:sz="0" w:space="0" w:color="auto"/>
        <w:right w:val="none" w:sz="0" w:space="0" w:color="auto"/>
      </w:divBdr>
      <w:divsChild>
        <w:div w:id="634676482">
          <w:marLeft w:val="0"/>
          <w:marRight w:val="0"/>
          <w:marTop w:val="0"/>
          <w:marBottom w:val="0"/>
          <w:divBdr>
            <w:top w:val="none" w:sz="0" w:space="0" w:color="auto"/>
            <w:left w:val="none" w:sz="0" w:space="0" w:color="auto"/>
            <w:bottom w:val="none" w:sz="0" w:space="0" w:color="auto"/>
            <w:right w:val="none" w:sz="0" w:space="0" w:color="auto"/>
          </w:divBdr>
          <w:divsChild>
            <w:div w:id="28529991">
              <w:marLeft w:val="0"/>
              <w:marRight w:val="0"/>
              <w:marTop w:val="0"/>
              <w:marBottom w:val="0"/>
              <w:divBdr>
                <w:top w:val="none" w:sz="0" w:space="0" w:color="auto"/>
                <w:left w:val="none" w:sz="0" w:space="0" w:color="auto"/>
                <w:bottom w:val="none" w:sz="0" w:space="0" w:color="auto"/>
                <w:right w:val="none" w:sz="0" w:space="0" w:color="auto"/>
              </w:divBdr>
              <w:divsChild>
                <w:div w:id="1002051399">
                  <w:marLeft w:val="0"/>
                  <w:marRight w:val="0"/>
                  <w:marTop w:val="0"/>
                  <w:marBottom w:val="0"/>
                  <w:divBdr>
                    <w:top w:val="none" w:sz="0" w:space="0" w:color="auto"/>
                    <w:left w:val="none" w:sz="0" w:space="0" w:color="auto"/>
                    <w:bottom w:val="none" w:sz="0" w:space="0" w:color="auto"/>
                    <w:right w:val="none" w:sz="0" w:space="0" w:color="auto"/>
                  </w:divBdr>
                  <w:divsChild>
                    <w:div w:id="723868907">
                      <w:marLeft w:val="0"/>
                      <w:marRight w:val="0"/>
                      <w:marTop w:val="0"/>
                      <w:marBottom w:val="0"/>
                      <w:divBdr>
                        <w:top w:val="none" w:sz="0" w:space="0" w:color="auto"/>
                        <w:left w:val="none" w:sz="0" w:space="0" w:color="auto"/>
                        <w:bottom w:val="none" w:sz="0" w:space="0" w:color="auto"/>
                        <w:right w:val="none" w:sz="0" w:space="0" w:color="auto"/>
                      </w:divBdr>
                      <w:divsChild>
                        <w:div w:id="372387659">
                          <w:marLeft w:val="0"/>
                          <w:marRight w:val="0"/>
                          <w:marTop w:val="0"/>
                          <w:marBottom w:val="0"/>
                          <w:divBdr>
                            <w:top w:val="none" w:sz="0" w:space="0" w:color="auto"/>
                            <w:left w:val="none" w:sz="0" w:space="0" w:color="auto"/>
                            <w:bottom w:val="none" w:sz="0" w:space="0" w:color="auto"/>
                            <w:right w:val="none" w:sz="0" w:space="0" w:color="auto"/>
                          </w:divBdr>
                          <w:divsChild>
                            <w:div w:id="16049971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86537">
      <w:bodyDiv w:val="1"/>
      <w:marLeft w:val="0"/>
      <w:marRight w:val="0"/>
      <w:marTop w:val="0"/>
      <w:marBottom w:val="0"/>
      <w:divBdr>
        <w:top w:val="none" w:sz="0" w:space="0" w:color="auto"/>
        <w:left w:val="none" w:sz="0" w:space="0" w:color="auto"/>
        <w:bottom w:val="none" w:sz="0" w:space="0" w:color="auto"/>
        <w:right w:val="none" w:sz="0" w:space="0" w:color="auto"/>
      </w:divBdr>
      <w:divsChild>
        <w:div w:id="1971548312">
          <w:marLeft w:val="0"/>
          <w:marRight w:val="0"/>
          <w:marTop w:val="0"/>
          <w:marBottom w:val="0"/>
          <w:divBdr>
            <w:top w:val="none" w:sz="0" w:space="0" w:color="auto"/>
            <w:left w:val="none" w:sz="0" w:space="0" w:color="auto"/>
            <w:bottom w:val="none" w:sz="0" w:space="0" w:color="auto"/>
            <w:right w:val="none" w:sz="0" w:space="0" w:color="auto"/>
          </w:divBdr>
          <w:divsChild>
            <w:div w:id="1396657527">
              <w:marLeft w:val="0"/>
              <w:marRight w:val="0"/>
              <w:marTop w:val="0"/>
              <w:marBottom w:val="0"/>
              <w:divBdr>
                <w:top w:val="none" w:sz="0" w:space="0" w:color="auto"/>
                <w:left w:val="none" w:sz="0" w:space="0" w:color="auto"/>
                <w:bottom w:val="none" w:sz="0" w:space="0" w:color="auto"/>
                <w:right w:val="none" w:sz="0" w:space="0" w:color="auto"/>
              </w:divBdr>
              <w:divsChild>
                <w:div w:id="1263490216">
                  <w:marLeft w:val="0"/>
                  <w:marRight w:val="0"/>
                  <w:marTop w:val="0"/>
                  <w:marBottom w:val="0"/>
                  <w:divBdr>
                    <w:top w:val="none" w:sz="0" w:space="0" w:color="auto"/>
                    <w:left w:val="none" w:sz="0" w:space="0" w:color="auto"/>
                    <w:bottom w:val="none" w:sz="0" w:space="0" w:color="auto"/>
                    <w:right w:val="none" w:sz="0" w:space="0" w:color="auto"/>
                  </w:divBdr>
                  <w:divsChild>
                    <w:div w:id="1473281288">
                      <w:marLeft w:val="0"/>
                      <w:marRight w:val="0"/>
                      <w:marTop w:val="0"/>
                      <w:marBottom w:val="0"/>
                      <w:divBdr>
                        <w:top w:val="none" w:sz="0" w:space="0" w:color="auto"/>
                        <w:left w:val="none" w:sz="0" w:space="0" w:color="auto"/>
                        <w:bottom w:val="none" w:sz="0" w:space="0" w:color="auto"/>
                        <w:right w:val="none" w:sz="0" w:space="0" w:color="auto"/>
                      </w:divBdr>
                      <w:divsChild>
                        <w:div w:id="2060939014">
                          <w:marLeft w:val="0"/>
                          <w:marRight w:val="0"/>
                          <w:marTop w:val="0"/>
                          <w:marBottom w:val="0"/>
                          <w:divBdr>
                            <w:top w:val="none" w:sz="0" w:space="0" w:color="auto"/>
                            <w:left w:val="none" w:sz="0" w:space="0" w:color="auto"/>
                            <w:bottom w:val="none" w:sz="0" w:space="0" w:color="auto"/>
                            <w:right w:val="none" w:sz="0" w:space="0" w:color="auto"/>
                          </w:divBdr>
                          <w:divsChild>
                            <w:div w:id="3302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264295">
      <w:bodyDiv w:val="1"/>
      <w:marLeft w:val="0"/>
      <w:marRight w:val="0"/>
      <w:marTop w:val="0"/>
      <w:marBottom w:val="0"/>
      <w:divBdr>
        <w:top w:val="none" w:sz="0" w:space="0" w:color="auto"/>
        <w:left w:val="none" w:sz="0" w:space="0" w:color="auto"/>
        <w:bottom w:val="none" w:sz="0" w:space="0" w:color="auto"/>
        <w:right w:val="none" w:sz="0" w:space="0" w:color="auto"/>
      </w:divBdr>
      <w:divsChild>
        <w:div w:id="920605456">
          <w:marLeft w:val="0"/>
          <w:marRight w:val="0"/>
          <w:marTop w:val="0"/>
          <w:marBottom w:val="0"/>
          <w:divBdr>
            <w:top w:val="none" w:sz="0" w:space="0" w:color="auto"/>
            <w:left w:val="none" w:sz="0" w:space="0" w:color="auto"/>
            <w:bottom w:val="none" w:sz="0" w:space="0" w:color="auto"/>
            <w:right w:val="none" w:sz="0" w:space="0" w:color="auto"/>
          </w:divBdr>
          <w:divsChild>
            <w:div w:id="1825468051">
              <w:marLeft w:val="0"/>
              <w:marRight w:val="0"/>
              <w:marTop w:val="0"/>
              <w:marBottom w:val="0"/>
              <w:divBdr>
                <w:top w:val="none" w:sz="0" w:space="0" w:color="auto"/>
                <w:left w:val="none" w:sz="0" w:space="0" w:color="auto"/>
                <w:bottom w:val="none" w:sz="0" w:space="0" w:color="auto"/>
                <w:right w:val="none" w:sz="0" w:space="0" w:color="auto"/>
              </w:divBdr>
              <w:divsChild>
                <w:div w:id="1105225144">
                  <w:marLeft w:val="0"/>
                  <w:marRight w:val="0"/>
                  <w:marTop w:val="0"/>
                  <w:marBottom w:val="0"/>
                  <w:divBdr>
                    <w:top w:val="none" w:sz="0" w:space="0" w:color="auto"/>
                    <w:left w:val="none" w:sz="0" w:space="0" w:color="auto"/>
                    <w:bottom w:val="none" w:sz="0" w:space="0" w:color="auto"/>
                    <w:right w:val="none" w:sz="0" w:space="0" w:color="auto"/>
                  </w:divBdr>
                  <w:divsChild>
                    <w:div w:id="10110062">
                      <w:marLeft w:val="0"/>
                      <w:marRight w:val="0"/>
                      <w:marTop w:val="0"/>
                      <w:marBottom w:val="0"/>
                      <w:divBdr>
                        <w:top w:val="none" w:sz="0" w:space="0" w:color="auto"/>
                        <w:left w:val="none" w:sz="0" w:space="0" w:color="auto"/>
                        <w:bottom w:val="none" w:sz="0" w:space="0" w:color="auto"/>
                        <w:right w:val="none" w:sz="0" w:space="0" w:color="auto"/>
                      </w:divBdr>
                      <w:divsChild>
                        <w:div w:id="1808083693">
                          <w:marLeft w:val="0"/>
                          <w:marRight w:val="0"/>
                          <w:marTop w:val="0"/>
                          <w:marBottom w:val="0"/>
                          <w:divBdr>
                            <w:top w:val="none" w:sz="0" w:space="0" w:color="auto"/>
                            <w:left w:val="none" w:sz="0" w:space="0" w:color="auto"/>
                            <w:bottom w:val="none" w:sz="0" w:space="0" w:color="auto"/>
                            <w:right w:val="none" w:sz="0" w:space="0" w:color="auto"/>
                          </w:divBdr>
                          <w:divsChild>
                            <w:div w:id="25875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60728">
      <w:bodyDiv w:val="1"/>
      <w:marLeft w:val="0"/>
      <w:marRight w:val="0"/>
      <w:marTop w:val="0"/>
      <w:marBottom w:val="0"/>
      <w:divBdr>
        <w:top w:val="none" w:sz="0" w:space="0" w:color="auto"/>
        <w:left w:val="none" w:sz="0" w:space="0" w:color="auto"/>
        <w:bottom w:val="none" w:sz="0" w:space="0" w:color="auto"/>
        <w:right w:val="none" w:sz="0" w:space="0" w:color="auto"/>
      </w:divBdr>
      <w:divsChild>
        <w:div w:id="483622825">
          <w:marLeft w:val="0"/>
          <w:marRight w:val="0"/>
          <w:marTop w:val="0"/>
          <w:marBottom w:val="0"/>
          <w:divBdr>
            <w:top w:val="none" w:sz="0" w:space="0" w:color="auto"/>
            <w:left w:val="none" w:sz="0" w:space="0" w:color="auto"/>
            <w:bottom w:val="none" w:sz="0" w:space="0" w:color="auto"/>
            <w:right w:val="none" w:sz="0" w:space="0" w:color="auto"/>
          </w:divBdr>
          <w:divsChild>
            <w:div w:id="1558860379">
              <w:marLeft w:val="0"/>
              <w:marRight w:val="0"/>
              <w:marTop w:val="0"/>
              <w:marBottom w:val="0"/>
              <w:divBdr>
                <w:top w:val="none" w:sz="0" w:space="0" w:color="auto"/>
                <w:left w:val="none" w:sz="0" w:space="0" w:color="auto"/>
                <w:bottom w:val="none" w:sz="0" w:space="0" w:color="auto"/>
                <w:right w:val="none" w:sz="0" w:space="0" w:color="auto"/>
              </w:divBdr>
              <w:divsChild>
                <w:div w:id="770977057">
                  <w:marLeft w:val="0"/>
                  <w:marRight w:val="0"/>
                  <w:marTop w:val="0"/>
                  <w:marBottom w:val="0"/>
                  <w:divBdr>
                    <w:top w:val="none" w:sz="0" w:space="0" w:color="auto"/>
                    <w:left w:val="none" w:sz="0" w:space="0" w:color="auto"/>
                    <w:bottom w:val="none" w:sz="0" w:space="0" w:color="auto"/>
                    <w:right w:val="none" w:sz="0" w:space="0" w:color="auto"/>
                  </w:divBdr>
                  <w:divsChild>
                    <w:div w:id="338391279">
                      <w:marLeft w:val="0"/>
                      <w:marRight w:val="0"/>
                      <w:marTop w:val="0"/>
                      <w:marBottom w:val="0"/>
                      <w:divBdr>
                        <w:top w:val="none" w:sz="0" w:space="0" w:color="auto"/>
                        <w:left w:val="none" w:sz="0" w:space="0" w:color="auto"/>
                        <w:bottom w:val="none" w:sz="0" w:space="0" w:color="auto"/>
                        <w:right w:val="none" w:sz="0" w:space="0" w:color="auto"/>
                      </w:divBdr>
                      <w:divsChild>
                        <w:div w:id="1912155732">
                          <w:marLeft w:val="0"/>
                          <w:marRight w:val="0"/>
                          <w:marTop w:val="0"/>
                          <w:marBottom w:val="0"/>
                          <w:divBdr>
                            <w:top w:val="none" w:sz="0" w:space="0" w:color="auto"/>
                            <w:left w:val="none" w:sz="0" w:space="0" w:color="auto"/>
                            <w:bottom w:val="none" w:sz="0" w:space="0" w:color="auto"/>
                            <w:right w:val="none" w:sz="0" w:space="0" w:color="auto"/>
                          </w:divBdr>
                          <w:divsChild>
                            <w:div w:id="63560049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739995">
      <w:bodyDiv w:val="1"/>
      <w:marLeft w:val="0"/>
      <w:marRight w:val="0"/>
      <w:marTop w:val="0"/>
      <w:marBottom w:val="0"/>
      <w:divBdr>
        <w:top w:val="none" w:sz="0" w:space="0" w:color="auto"/>
        <w:left w:val="none" w:sz="0" w:space="0" w:color="auto"/>
        <w:bottom w:val="none" w:sz="0" w:space="0" w:color="auto"/>
        <w:right w:val="none" w:sz="0" w:space="0" w:color="auto"/>
      </w:divBdr>
      <w:divsChild>
        <w:div w:id="1192232048">
          <w:marLeft w:val="0"/>
          <w:marRight w:val="0"/>
          <w:marTop w:val="0"/>
          <w:marBottom w:val="0"/>
          <w:divBdr>
            <w:top w:val="none" w:sz="0" w:space="0" w:color="auto"/>
            <w:left w:val="none" w:sz="0" w:space="0" w:color="auto"/>
            <w:bottom w:val="none" w:sz="0" w:space="0" w:color="auto"/>
            <w:right w:val="none" w:sz="0" w:space="0" w:color="auto"/>
          </w:divBdr>
          <w:divsChild>
            <w:div w:id="554779885">
              <w:marLeft w:val="0"/>
              <w:marRight w:val="0"/>
              <w:marTop w:val="0"/>
              <w:marBottom w:val="0"/>
              <w:divBdr>
                <w:top w:val="none" w:sz="0" w:space="0" w:color="auto"/>
                <w:left w:val="none" w:sz="0" w:space="0" w:color="auto"/>
                <w:bottom w:val="none" w:sz="0" w:space="0" w:color="auto"/>
                <w:right w:val="none" w:sz="0" w:space="0" w:color="auto"/>
              </w:divBdr>
              <w:divsChild>
                <w:div w:id="2045208751">
                  <w:marLeft w:val="0"/>
                  <w:marRight w:val="0"/>
                  <w:marTop w:val="0"/>
                  <w:marBottom w:val="0"/>
                  <w:divBdr>
                    <w:top w:val="none" w:sz="0" w:space="0" w:color="auto"/>
                    <w:left w:val="none" w:sz="0" w:space="0" w:color="auto"/>
                    <w:bottom w:val="none" w:sz="0" w:space="0" w:color="auto"/>
                    <w:right w:val="none" w:sz="0" w:space="0" w:color="auto"/>
                  </w:divBdr>
                  <w:divsChild>
                    <w:div w:id="641882401">
                      <w:marLeft w:val="0"/>
                      <w:marRight w:val="0"/>
                      <w:marTop w:val="0"/>
                      <w:marBottom w:val="0"/>
                      <w:divBdr>
                        <w:top w:val="none" w:sz="0" w:space="0" w:color="auto"/>
                        <w:left w:val="none" w:sz="0" w:space="0" w:color="auto"/>
                        <w:bottom w:val="none" w:sz="0" w:space="0" w:color="auto"/>
                        <w:right w:val="none" w:sz="0" w:space="0" w:color="auto"/>
                      </w:divBdr>
                      <w:divsChild>
                        <w:div w:id="1689453085">
                          <w:marLeft w:val="0"/>
                          <w:marRight w:val="0"/>
                          <w:marTop w:val="0"/>
                          <w:marBottom w:val="0"/>
                          <w:divBdr>
                            <w:top w:val="none" w:sz="0" w:space="0" w:color="auto"/>
                            <w:left w:val="none" w:sz="0" w:space="0" w:color="auto"/>
                            <w:bottom w:val="none" w:sz="0" w:space="0" w:color="auto"/>
                            <w:right w:val="none" w:sz="0" w:space="0" w:color="auto"/>
                          </w:divBdr>
                          <w:divsChild>
                            <w:div w:id="5921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881394">
      <w:bodyDiv w:val="1"/>
      <w:marLeft w:val="0"/>
      <w:marRight w:val="0"/>
      <w:marTop w:val="0"/>
      <w:marBottom w:val="0"/>
      <w:divBdr>
        <w:top w:val="none" w:sz="0" w:space="0" w:color="auto"/>
        <w:left w:val="none" w:sz="0" w:space="0" w:color="auto"/>
        <w:bottom w:val="none" w:sz="0" w:space="0" w:color="auto"/>
        <w:right w:val="none" w:sz="0" w:space="0" w:color="auto"/>
      </w:divBdr>
    </w:div>
    <w:div w:id="1652516788">
      <w:bodyDiv w:val="1"/>
      <w:marLeft w:val="0"/>
      <w:marRight w:val="0"/>
      <w:marTop w:val="0"/>
      <w:marBottom w:val="0"/>
      <w:divBdr>
        <w:top w:val="none" w:sz="0" w:space="0" w:color="auto"/>
        <w:left w:val="none" w:sz="0" w:space="0" w:color="auto"/>
        <w:bottom w:val="none" w:sz="0" w:space="0" w:color="auto"/>
        <w:right w:val="none" w:sz="0" w:space="0" w:color="auto"/>
      </w:divBdr>
    </w:div>
    <w:div w:id="1961955292">
      <w:bodyDiv w:val="1"/>
      <w:marLeft w:val="0"/>
      <w:marRight w:val="0"/>
      <w:marTop w:val="0"/>
      <w:marBottom w:val="0"/>
      <w:divBdr>
        <w:top w:val="none" w:sz="0" w:space="0" w:color="auto"/>
        <w:left w:val="none" w:sz="0" w:space="0" w:color="auto"/>
        <w:bottom w:val="none" w:sz="0" w:space="0" w:color="auto"/>
        <w:right w:val="none" w:sz="0" w:space="0" w:color="auto"/>
      </w:divBdr>
    </w:div>
    <w:div w:id="2101950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m.coe.int/moneyval-2018-8-5th-round-mer-latvia/16808ce61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veta.brinuma@tm.gov.lv" TargetMode="External"/><Relationship Id="rId4" Type="http://schemas.openxmlformats.org/officeDocument/2006/relationships/settings" Target="settings.xml"/><Relationship Id="rId9" Type="http://schemas.openxmlformats.org/officeDocument/2006/relationships/hyperlink" Target="http://www.kd.gov.lv/index.php/par-mums/kontakti"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C70AA-D284-4558-B802-8FF7EB98C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6</Pages>
  <Words>1554</Words>
  <Characters>11675</Characters>
  <Application>Microsoft Office Word</Application>
  <DocSecurity>0</DocSecurity>
  <Lines>97</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Latvijas valsts karoga likumā" sākotnējās ietekmes novērtējuma ziņojums (anotācija)</vt:lpstr>
      <vt:lpstr>Grozījumi Ministru kabineta 2013.gada 17.septembra noteikumos Nr.880 „Lauksaimniecības datu centra publisko maksas pakalpojumu cenrādis”</vt:lpstr>
    </vt:vector>
  </TitlesOfParts>
  <Company>Tieslietu ministrija</Company>
  <LinksUpToDate>false</LinksUpToDate>
  <CharactersWithSpaces>13203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Latvijas valsts karoga likumā" sākotnējās ietekmes novērtējuma ziņojums (anotācija)</dc:title>
  <dc:subject>Anotācija</dc:subject>
  <dc:creator>Andra.Reinfelde@TM.GOV.LV</dc:creator>
  <dc:description>67046108; andra.reinfelde@tm.gov.lv</dc:description>
  <cp:lastModifiedBy>Andra Reinfelde</cp:lastModifiedBy>
  <cp:revision>13</cp:revision>
  <cp:lastPrinted>2019-08-22T08:15:00Z</cp:lastPrinted>
  <dcterms:created xsi:type="dcterms:W3CDTF">2019-08-21T12:44:00Z</dcterms:created>
  <dcterms:modified xsi:type="dcterms:W3CDTF">2019-08-22T12:03:00Z</dcterms:modified>
</cp:coreProperties>
</file>