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4EED0" w14:textId="75D7A146" w:rsidR="008F594E" w:rsidRPr="008F594E" w:rsidRDefault="008F594E" w:rsidP="0046315E">
      <w:pPr>
        <w:spacing w:after="0" w:line="240" w:lineRule="auto"/>
        <w:contextualSpacing/>
        <w:jc w:val="center"/>
        <w:rPr>
          <w:rFonts w:ascii="Times New Roman" w:eastAsia="Calibri" w:hAnsi="Times New Roman" w:cs="Times New Roman"/>
          <w:b/>
          <w:sz w:val="24"/>
          <w:szCs w:val="24"/>
        </w:rPr>
      </w:pPr>
      <w:r w:rsidRPr="008F594E">
        <w:rPr>
          <w:rFonts w:ascii="Times New Roman" w:hAnsi="Times New Roman" w:cs="Times New Roman"/>
          <w:b/>
          <w:bCs/>
          <w:sz w:val="24"/>
          <w:szCs w:val="24"/>
          <w:shd w:val="clear" w:color="auto" w:fill="FFFFFF"/>
        </w:rPr>
        <w:t xml:space="preserve">Likumprojekta </w:t>
      </w:r>
      <w:r w:rsidRPr="008F594E">
        <w:rPr>
          <w:rFonts w:ascii="Times New Roman" w:eastAsia="Calibri" w:hAnsi="Times New Roman" w:cs="Times New Roman"/>
          <w:b/>
          <w:sz w:val="24"/>
          <w:szCs w:val="24"/>
        </w:rPr>
        <w:t xml:space="preserve">"Grozījumi Valsts un pašvaldību institūciju amatpersonu un darbinieku atlīdzības likumā" </w:t>
      </w:r>
      <w:r w:rsidRPr="008F594E">
        <w:rPr>
          <w:rFonts w:ascii="Times New Roman" w:hAnsi="Times New Roman" w:cs="Times New Roman"/>
          <w:b/>
          <w:bCs/>
          <w:sz w:val="24"/>
          <w:szCs w:val="24"/>
          <w:shd w:val="clear" w:color="auto" w:fill="FFFFFF"/>
        </w:rPr>
        <w:t>sākotnējās</w:t>
      </w:r>
      <w:r w:rsidR="0046315E">
        <w:rPr>
          <w:rFonts w:ascii="Times New Roman" w:hAnsi="Times New Roman" w:cs="Times New Roman"/>
          <w:b/>
          <w:bCs/>
          <w:sz w:val="24"/>
          <w:szCs w:val="24"/>
          <w:shd w:val="clear" w:color="auto" w:fill="FFFFFF"/>
        </w:rPr>
        <w:t xml:space="preserve"> </w:t>
      </w:r>
      <w:r w:rsidRPr="008F594E">
        <w:rPr>
          <w:rFonts w:ascii="Times New Roman" w:hAnsi="Times New Roman" w:cs="Times New Roman"/>
          <w:b/>
          <w:bCs/>
          <w:sz w:val="24"/>
          <w:szCs w:val="24"/>
          <w:shd w:val="clear" w:color="auto" w:fill="FFFFFF"/>
        </w:rPr>
        <w:t>ietekmes novērtējuma ziņojums (anotācija)</w:t>
      </w:r>
    </w:p>
    <w:p w14:paraId="05BA6873" w14:textId="77777777" w:rsidR="008F594E" w:rsidRPr="00C208E2" w:rsidRDefault="008F594E" w:rsidP="008F594E">
      <w:pPr>
        <w:spacing w:after="0" w:line="240" w:lineRule="auto"/>
        <w:jc w:val="center"/>
        <w:rPr>
          <w:rFonts w:ascii="Times New Roman" w:eastAsia="Times New Roman" w:hAnsi="Times New Roman" w:cs="Times New Roman"/>
          <w:b/>
          <w:color w:val="000000"/>
          <w:sz w:val="24"/>
          <w:szCs w:val="24"/>
        </w:rPr>
      </w:pPr>
    </w:p>
    <w:tbl>
      <w:tblPr>
        <w:tblW w:w="9198" w:type="dxa"/>
        <w:tblInd w:w="8" w:type="dxa"/>
        <w:tblCellMar>
          <w:left w:w="10" w:type="dxa"/>
          <w:right w:w="10" w:type="dxa"/>
        </w:tblCellMar>
        <w:tblLook w:val="04A0" w:firstRow="1" w:lastRow="0" w:firstColumn="1" w:lastColumn="0" w:noHBand="0" w:noVBand="1"/>
      </w:tblPr>
      <w:tblGrid>
        <w:gridCol w:w="3250"/>
        <w:gridCol w:w="5948"/>
      </w:tblGrid>
      <w:tr w:rsidR="008F594E" w:rsidRPr="00C208E2" w14:paraId="1B9CD569" w14:textId="77777777" w:rsidTr="000658D1">
        <w:trPr>
          <w:trHeight w:val="1"/>
        </w:trPr>
        <w:tc>
          <w:tcPr>
            <w:tcW w:w="9198" w:type="dxa"/>
            <w:gridSpan w:val="2"/>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vAlign w:val="center"/>
          </w:tcPr>
          <w:p w14:paraId="5B45B0CF" w14:textId="77777777" w:rsidR="008F594E" w:rsidRPr="00C208E2" w:rsidRDefault="008F594E" w:rsidP="007B1A47">
            <w:pPr>
              <w:spacing w:after="0" w:line="240" w:lineRule="auto"/>
              <w:jc w:val="center"/>
              <w:rPr>
                <w:rFonts w:ascii="Times New Roman" w:hAnsi="Times New Roman" w:cs="Times New Roman"/>
                <w:sz w:val="24"/>
                <w:szCs w:val="24"/>
              </w:rPr>
            </w:pPr>
            <w:r w:rsidRPr="00C208E2">
              <w:rPr>
                <w:rFonts w:ascii="Times New Roman" w:eastAsia="Times New Roman" w:hAnsi="Times New Roman" w:cs="Times New Roman"/>
                <w:b/>
                <w:color w:val="000000"/>
                <w:sz w:val="24"/>
                <w:szCs w:val="24"/>
              </w:rPr>
              <w:t>Tiesību akta projekta anotācijas kopsavilkums</w:t>
            </w:r>
          </w:p>
        </w:tc>
      </w:tr>
      <w:tr w:rsidR="008F594E" w:rsidRPr="00C208E2" w14:paraId="1791B809" w14:textId="77777777" w:rsidTr="000658D1">
        <w:trPr>
          <w:trHeight w:val="1"/>
        </w:trPr>
        <w:tc>
          <w:tcPr>
            <w:tcW w:w="3250"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6AB3D94F"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color w:val="000000"/>
                <w:sz w:val="24"/>
                <w:szCs w:val="24"/>
              </w:rPr>
              <w:t>Mērķis, risinājums un projekta spēkā stāšanās laiks (500 zīmes bez atstarpēm)</w:t>
            </w:r>
          </w:p>
        </w:tc>
        <w:tc>
          <w:tcPr>
            <w:tcW w:w="5948" w:type="dxa"/>
            <w:tcBorders>
              <w:top w:val="single" w:sz="6" w:space="0" w:color="000000"/>
              <w:left w:val="single" w:sz="6" w:space="0" w:color="000000"/>
              <w:bottom w:val="single" w:sz="6" w:space="0" w:color="000000"/>
              <w:right w:val="single" w:sz="6" w:space="0" w:color="000000"/>
            </w:tcBorders>
            <w:shd w:val="clear" w:color="000000" w:fill="FFFFFF"/>
            <w:tcMar>
              <w:left w:w="6" w:type="dxa"/>
              <w:right w:w="6" w:type="dxa"/>
            </w:tcMar>
          </w:tcPr>
          <w:p w14:paraId="12D44F75" w14:textId="342C4529" w:rsidR="0074387F" w:rsidRDefault="0074387F" w:rsidP="0074387F">
            <w:pPr>
              <w:spacing w:after="0" w:line="240" w:lineRule="auto"/>
              <w:ind w:firstLine="284"/>
              <w:contextualSpacing/>
              <w:jc w:val="both"/>
              <w:rPr>
                <w:rFonts w:ascii="Times New Roman" w:eastAsia="Times New Roman" w:hAnsi="Times New Roman" w:cs="Times New Roman"/>
                <w:color w:val="000000"/>
                <w:sz w:val="24"/>
                <w:szCs w:val="24"/>
              </w:rPr>
            </w:pPr>
            <w:r w:rsidRPr="0074387F">
              <w:rPr>
                <w:rFonts w:ascii="Times New Roman" w:eastAsia="Times New Roman" w:hAnsi="Times New Roman" w:cs="Times New Roman"/>
                <w:color w:val="000000"/>
                <w:sz w:val="24"/>
                <w:szCs w:val="24"/>
              </w:rPr>
              <w:t>Likumprojekts "</w:t>
            </w:r>
            <w:r w:rsidRPr="0074387F">
              <w:rPr>
                <w:rFonts w:ascii="Times New Roman" w:eastAsia="Calibri" w:hAnsi="Times New Roman" w:cs="Times New Roman"/>
                <w:sz w:val="24"/>
                <w:szCs w:val="24"/>
              </w:rPr>
              <w:t>Grozījumi Valsts un pašvaldību institūciju amatpersonu un darbinieku atlīdzības likumā" (turpmāk – likumprojekts)</w:t>
            </w:r>
            <w:r>
              <w:rPr>
                <w:rFonts w:ascii="Times New Roman" w:eastAsia="Calibri" w:hAnsi="Times New Roman" w:cs="Times New Roman"/>
                <w:sz w:val="24"/>
                <w:szCs w:val="24"/>
              </w:rPr>
              <w:t xml:space="preserve"> </w:t>
            </w:r>
            <w:r>
              <w:rPr>
                <w:rFonts w:ascii="Times New Roman" w:eastAsia="Times New Roman" w:hAnsi="Times New Roman" w:cs="Times New Roman"/>
                <w:color w:val="000000"/>
                <w:sz w:val="24"/>
                <w:szCs w:val="24"/>
              </w:rPr>
              <w:t>izstrādāts Satversmes tiesas tiesneša statusa nostiprināšanai</w:t>
            </w:r>
            <w:r w:rsidR="006702BA">
              <w:rPr>
                <w:rFonts w:ascii="Times New Roman" w:eastAsia="Times New Roman" w:hAnsi="Times New Roman" w:cs="Times New Roman"/>
                <w:color w:val="000000"/>
                <w:sz w:val="24"/>
                <w:szCs w:val="24"/>
              </w:rPr>
              <w:t xml:space="preserve"> un Augstākās tiesas neatkarības nodrošināšanai.</w:t>
            </w:r>
          </w:p>
          <w:p w14:paraId="10A4A66F" w14:textId="0DE5B2DC" w:rsidR="00264C11" w:rsidRPr="00C208E2" w:rsidRDefault="008D1C26" w:rsidP="0039386B">
            <w:pPr>
              <w:spacing w:after="0" w:line="240" w:lineRule="auto"/>
              <w:ind w:firstLine="284"/>
              <w:contextualSpacing/>
              <w:jc w:val="both"/>
              <w:rPr>
                <w:rFonts w:ascii="Times New Roman" w:eastAsia="Times New Roman" w:hAnsi="Times New Roman" w:cs="Times New Roman"/>
                <w:color w:val="000000"/>
                <w:sz w:val="24"/>
                <w:szCs w:val="24"/>
              </w:rPr>
            </w:pPr>
            <w:r w:rsidRPr="002917DD">
              <w:rPr>
                <w:rFonts w:ascii="Times New Roman" w:eastAsia="Times New Roman" w:hAnsi="Times New Roman" w:cs="Times New Roman"/>
                <w:sz w:val="24"/>
                <w:szCs w:val="24"/>
              </w:rPr>
              <w:t xml:space="preserve">Izstrādātie grozījumi </w:t>
            </w:r>
            <w:r w:rsidR="006702BA">
              <w:rPr>
                <w:rFonts w:ascii="Times New Roman" w:eastAsia="Times New Roman" w:hAnsi="Times New Roman" w:cs="Times New Roman"/>
                <w:sz w:val="24"/>
                <w:szCs w:val="24"/>
              </w:rPr>
              <w:t xml:space="preserve">paredz </w:t>
            </w:r>
            <w:r w:rsidR="00805FB4" w:rsidRPr="002917DD">
              <w:rPr>
                <w:rFonts w:ascii="Times New Roman" w:eastAsia="Calibri" w:hAnsi="Times New Roman" w:cs="Times New Roman"/>
                <w:bCs/>
                <w:sz w:val="24"/>
                <w:szCs w:val="24"/>
              </w:rPr>
              <w:t>atlaišanas pabalsta</w:t>
            </w:r>
            <w:r w:rsidR="002917DD" w:rsidRPr="002917DD">
              <w:rPr>
                <w:rFonts w:ascii="Times New Roman" w:eastAsia="Calibri" w:hAnsi="Times New Roman" w:cs="Times New Roman"/>
                <w:bCs/>
                <w:sz w:val="24"/>
                <w:szCs w:val="24"/>
              </w:rPr>
              <w:t xml:space="preserve"> pēc Satversmes tiesas tiesneša pilnvaru termiņa beigām izmaks</w:t>
            </w:r>
            <w:r w:rsidR="0039386B">
              <w:rPr>
                <w:rFonts w:ascii="Times New Roman" w:eastAsia="Calibri" w:hAnsi="Times New Roman" w:cs="Times New Roman"/>
                <w:bCs/>
                <w:sz w:val="24"/>
                <w:szCs w:val="24"/>
              </w:rPr>
              <w:t>as</w:t>
            </w:r>
            <w:r w:rsidR="00805FB4" w:rsidRPr="002917DD">
              <w:rPr>
                <w:rFonts w:ascii="Times New Roman" w:eastAsia="Calibri" w:hAnsi="Times New Roman" w:cs="Times New Roman"/>
                <w:bCs/>
                <w:sz w:val="24"/>
                <w:szCs w:val="24"/>
              </w:rPr>
              <w:t xml:space="preserve"> </w:t>
            </w:r>
            <w:r w:rsidR="002917DD" w:rsidRPr="002917DD">
              <w:rPr>
                <w:rFonts w:ascii="Times New Roman" w:eastAsia="Calibri" w:hAnsi="Times New Roman" w:cs="Times New Roman"/>
                <w:bCs/>
                <w:sz w:val="24"/>
                <w:szCs w:val="24"/>
              </w:rPr>
              <w:t>palielināšanu no vienas mēnešalgas uz trim mēnešalgām</w:t>
            </w:r>
            <w:r w:rsidR="006702BA">
              <w:rPr>
                <w:rFonts w:ascii="Times New Roman" w:eastAsia="Calibri" w:hAnsi="Times New Roman" w:cs="Times New Roman"/>
                <w:bCs/>
                <w:sz w:val="24"/>
                <w:szCs w:val="24"/>
              </w:rPr>
              <w:t>, kā arī Augstākās</w:t>
            </w:r>
            <w:r w:rsidR="006702BA" w:rsidRPr="002917DD">
              <w:rPr>
                <w:rFonts w:ascii="Times New Roman" w:eastAsia="Calibri" w:hAnsi="Times New Roman" w:cs="Times New Roman"/>
                <w:bCs/>
                <w:sz w:val="24"/>
                <w:szCs w:val="24"/>
              </w:rPr>
              <w:t xml:space="preserve"> tiesas priekšsēdētāja tiesības noteikt </w:t>
            </w:r>
            <w:r w:rsidR="006702BA">
              <w:rPr>
                <w:rFonts w:ascii="Times New Roman" w:eastAsia="Calibri" w:hAnsi="Times New Roman" w:cs="Times New Roman"/>
                <w:bCs/>
                <w:sz w:val="24"/>
                <w:szCs w:val="24"/>
              </w:rPr>
              <w:t xml:space="preserve">Augstākās </w:t>
            </w:r>
            <w:r w:rsidR="006702BA" w:rsidRPr="002917DD">
              <w:rPr>
                <w:rFonts w:ascii="Times New Roman" w:eastAsia="Calibri" w:hAnsi="Times New Roman" w:cs="Times New Roman"/>
                <w:bCs/>
                <w:sz w:val="24"/>
                <w:szCs w:val="24"/>
              </w:rPr>
              <w:t>tiesas darbinieku un amatpersonu mēnešalg</w:t>
            </w:r>
            <w:r w:rsidR="006A39CB">
              <w:rPr>
                <w:rFonts w:ascii="Times New Roman" w:eastAsia="Calibri" w:hAnsi="Times New Roman" w:cs="Times New Roman"/>
                <w:bCs/>
                <w:sz w:val="24"/>
                <w:szCs w:val="24"/>
              </w:rPr>
              <w:t>u.</w:t>
            </w:r>
          </w:p>
        </w:tc>
      </w:tr>
    </w:tbl>
    <w:p w14:paraId="4C4DDE3A" w14:textId="77777777" w:rsidR="008F594E" w:rsidRPr="00C208E2" w:rsidRDefault="008F594E" w:rsidP="008F594E">
      <w:pPr>
        <w:spacing w:after="0" w:line="240" w:lineRule="auto"/>
        <w:rPr>
          <w:rFonts w:ascii="Times New Roman" w:eastAsia="Times New Roman" w:hAnsi="Times New Roman" w:cs="Times New Roman"/>
          <w:b/>
          <w:sz w:val="24"/>
          <w:szCs w:val="24"/>
        </w:rPr>
      </w:pPr>
    </w:p>
    <w:tbl>
      <w:tblPr>
        <w:tblW w:w="9219" w:type="dxa"/>
        <w:tblInd w:w="30" w:type="dxa"/>
        <w:tblCellMar>
          <w:left w:w="10" w:type="dxa"/>
          <w:right w:w="10" w:type="dxa"/>
        </w:tblCellMar>
        <w:tblLook w:val="04A0" w:firstRow="1" w:lastRow="0" w:firstColumn="1" w:lastColumn="0" w:noHBand="0" w:noVBand="1"/>
      </w:tblPr>
      <w:tblGrid>
        <w:gridCol w:w="586"/>
        <w:gridCol w:w="2356"/>
        <w:gridCol w:w="6277"/>
      </w:tblGrid>
      <w:tr w:rsidR="008F594E" w:rsidRPr="00C208E2" w14:paraId="2C712D5A" w14:textId="77777777" w:rsidTr="00FD3F43">
        <w:tc>
          <w:tcPr>
            <w:tcW w:w="9219"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6253304F" w14:textId="77777777" w:rsidR="008F594E" w:rsidRPr="006E393F" w:rsidRDefault="008F594E" w:rsidP="007B1A47">
            <w:pPr>
              <w:spacing w:after="0" w:line="240" w:lineRule="auto"/>
              <w:jc w:val="center"/>
              <w:rPr>
                <w:rFonts w:ascii="Times New Roman" w:hAnsi="Times New Roman" w:cs="Times New Roman"/>
                <w:sz w:val="24"/>
                <w:szCs w:val="24"/>
              </w:rPr>
            </w:pPr>
            <w:r w:rsidRPr="006E393F">
              <w:rPr>
                <w:rFonts w:ascii="Times New Roman" w:eastAsia="Times New Roman" w:hAnsi="Times New Roman" w:cs="Times New Roman"/>
                <w:b/>
                <w:sz w:val="24"/>
                <w:szCs w:val="24"/>
              </w:rPr>
              <w:t>I. Tiesību akta projekta izstrādes nepieciešamība</w:t>
            </w:r>
          </w:p>
        </w:tc>
      </w:tr>
      <w:tr w:rsidR="003064F5" w:rsidRPr="00C208E2" w14:paraId="20774176" w14:textId="77777777" w:rsidTr="006A39CB">
        <w:tc>
          <w:tcPr>
            <w:tcW w:w="586"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0CE5A9B2" w14:textId="77777777" w:rsidR="008F594E" w:rsidRPr="006E393F" w:rsidRDefault="008F594E" w:rsidP="007B1A47">
            <w:pPr>
              <w:spacing w:after="0" w:line="240" w:lineRule="auto"/>
              <w:rPr>
                <w:rFonts w:ascii="Times New Roman" w:hAnsi="Times New Roman" w:cs="Times New Roman"/>
                <w:sz w:val="24"/>
                <w:szCs w:val="24"/>
              </w:rPr>
            </w:pPr>
            <w:r w:rsidRPr="006E393F">
              <w:rPr>
                <w:rFonts w:ascii="Times New Roman" w:eastAsia="Times New Roman" w:hAnsi="Times New Roman" w:cs="Times New Roman"/>
                <w:sz w:val="24"/>
                <w:szCs w:val="24"/>
              </w:rPr>
              <w:t>1.</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1ABB687" w14:textId="77777777" w:rsidR="008F594E" w:rsidRPr="006E393F" w:rsidRDefault="008F594E" w:rsidP="007B1A47">
            <w:pPr>
              <w:spacing w:after="0" w:line="240" w:lineRule="auto"/>
              <w:rPr>
                <w:rFonts w:ascii="Times New Roman" w:hAnsi="Times New Roman" w:cs="Times New Roman"/>
                <w:sz w:val="24"/>
                <w:szCs w:val="24"/>
              </w:rPr>
            </w:pPr>
            <w:r w:rsidRPr="006E393F">
              <w:rPr>
                <w:rFonts w:ascii="Times New Roman" w:eastAsia="Times New Roman" w:hAnsi="Times New Roman" w:cs="Times New Roman"/>
                <w:sz w:val="24"/>
                <w:szCs w:val="24"/>
              </w:rPr>
              <w:t>Pamatojums</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38640F9" w14:textId="77777777" w:rsidR="008F594E" w:rsidRPr="00003633" w:rsidRDefault="008F594E" w:rsidP="007B1A47">
            <w:pPr>
              <w:spacing w:after="0" w:line="240" w:lineRule="auto"/>
              <w:ind w:firstLine="284"/>
              <w:jc w:val="both"/>
              <w:rPr>
                <w:rFonts w:ascii="Times New Roman" w:eastAsia="Times New Roman" w:hAnsi="Times New Roman" w:cs="Times New Roman"/>
                <w:sz w:val="24"/>
                <w:szCs w:val="24"/>
              </w:rPr>
            </w:pPr>
            <w:r w:rsidRPr="003C3009">
              <w:rPr>
                <w:rFonts w:ascii="Times New Roman" w:eastAsia="Times New Roman" w:hAnsi="Times New Roman" w:cs="Times New Roman"/>
                <w:sz w:val="24"/>
                <w:szCs w:val="24"/>
              </w:rPr>
              <w:t>Ministru kabineta 2019.</w:t>
            </w:r>
            <w:r>
              <w:rPr>
                <w:rFonts w:ascii="Times New Roman" w:eastAsia="Times New Roman" w:hAnsi="Times New Roman" w:cs="Times New Roman"/>
                <w:sz w:val="24"/>
                <w:szCs w:val="24"/>
              </w:rPr>
              <w:t> </w:t>
            </w:r>
            <w:r w:rsidRPr="003C3009">
              <w:rPr>
                <w:rFonts w:ascii="Times New Roman" w:eastAsia="Times New Roman" w:hAnsi="Times New Roman" w:cs="Times New Roman"/>
                <w:sz w:val="24"/>
                <w:szCs w:val="24"/>
              </w:rPr>
              <w:t>gada 7.</w:t>
            </w:r>
            <w:r>
              <w:rPr>
                <w:rFonts w:ascii="Times New Roman" w:eastAsia="Times New Roman" w:hAnsi="Times New Roman" w:cs="Times New Roman"/>
                <w:sz w:val="24"/>
                <w:szCs w:val="24"/>
              </w:rPr>
              <w:t> </w:t>
            </w:r>
            <w:r w:rsidRPr="003C3009">
              <w:rPr>
                <w:rFonts w:ascii="Times New Roman" w:eastAsia="Times New Roman" w:hAnsi="Times New Roman" w:cs="Times New Roman"/>
                <w:sz w:val="24"/>
                <w:szCs w:val="24"/>
              </w:rPr>
              <w:t>maija rīkojums Nr.</w:t>
            </w:r>
            <w:r>
              <w:rPr>
                <w:rFonts w:ascii="Times New Roman" w:eastAsia="Times New Roman" w:hAnsi="Times New Roman" w:cs="Times New Roman"/>
                <w:sz w:val="24"/>
                <w:szCs w:val="24"/>
              </w:rPr>
              <w:t> </w:t>
            </w:r>
            <w:r w:rsidRPr="003C3009">
              <w:rPr>
                <w:rFonts w:ascii="Times New Roman" w:eastAsia="Times New Roman" w:hAnsi="Times New Roman" w:cs="Times New Roman"/>
                <w:sz w:val="24"/>
                <w:szCs w:val="24"/>
              </w:rPr>
              <w:t xml:space="preserve">210 </w:t>
            </w:r>
            <w:r>
              <w:rPr>
                <w:rFonts w:ascii="Times New Roman" w:eastAsia="Times New Roman" w:hAnsi="Times New Roman" w:cs="Times New Roman"/>
                <w:sz w:val="24"/>
                <w:szCs w:val="24"/>
              </w:rPr>
              <w:t>"</w:t>
            </w:r>
            <w:r w:rsidRPr="003C3009">
              <w:rPr>
                <w:rFonts w:ascii="Times New Roman" w:eastAsia="Times New Roman" w:hAnsi="Times New Roman" w:cs="Times New Roman"/>
                <w:sz w:val="24"/>
                <w:szCs w:val="24"/>
              </w:rPr>
              <w:t>Par Valdības rīcības plānu Deklarācijas par Artura Krišjāņa Kariņa vadītā Ministru kabineta iecerēto darbību īstenošanai</w:t>
            </w:r>
            <w:r>
              <w:rPr>
                <w:rFonts w:ascii="Times New Roman" w:eastAsia="Times New Roman" w:hAnsi="Times New Roman" w:cs="Times New Roman"/>
                <w:sz w:val="24"/>
                <w:szCs w:val="24"/>
              </w:rPr>
              <w:t>"</w:t>
            </w:r>
            <w:r w:rsidRPr="003C30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174.2. pasākums.</w:t>
            </w:r>
          </w:p>
        </w:tc>
      </w:tr>
      <w:tr w:rsidR="003064F5" w:rsidRPr="00C208E2" w14:paraId="44D853D0" w14:textId="77777777" w:rsidTr="006A39CB">
        <w:tc>
          <w:tcPr>
            <w:tcW w:w="586"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1A171DC4"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2.</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7770806F" w14:textId="77777777" w:rsidR="008F594E" w:rsidRDefault="008F594E" w:rsidP="007B1A47">
            <w:pPr>
              <w:spacing w:after="0" w:line="240" w:lineRule="auto"/>
              <w:rPr>
                <w:rFonts w:ascii="Times New Roman" w:eastAsia="Times New Roman" w:hAnsi="Times New Roman" w:cs="Times New Roman"/>
                <w:sz w:val="24"/>
                <w:szCs w:val="24"/>
              </w:rPr>
            </w:pPr>
            <w:r w:rsidRPr="001D0F3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2FB45301" w14:textId="77777777" w:rsidR="006800D6" w:rsidRPr="006800D6" w:rsidRDefault="006800D6" w:rsidP="006800D6">
            <w:pPr>
              <w:rPr>
                <w:rFonts w:ascii="Times New Roman" w:hAnsi="Times New Roman" w:cs="Times New Roman"/>
                <w:sz w:val="24"/>
                <w:szCs w:val="24"/>
              </w:rPr>
            </w:pPr>
          </w:p>
          <w:p w14:paraId="5B069CF9" w14:textId="77777777" w:rsidR="006800D6" w:rsidRPr="006800D6" w:rsidRDefault="006800D6" w:rsidP="006800D6">
            <w:pPr>
              <w:rPr>
                <w:rFonts w:ascii="Times New Roman" w:hAnsi="Times New Roman" w:cs="Times New Roman"/>
                <w:sz w:val="24"/>
                <w:szCs w:val="24"/>
              </w:rPr>
            </w:pPr>
          </w:p>
          <w:p w14:paraId="2DF23BE0" w14:textId="77777777" w:rsidR="006800D6" w:rsidRPr="006800D6" w:rsidRDefault="006800D6" w:rsidP="006800D6">
            <w:pPr>
              <w:rPr>
                <w:rFonts w:ascii="Times New Roman" w:hAnsi="Times New Roman" w:cs="Times New Roman"/>
                <w:sz w:val="24"/>
                <w:szCs w:val="24"/>
              </w:rPr>
            </w:pPr>
          </w:p>
          <w:p w14:paraId="49F57FC9" w14:textId="77777777" w:rsidR="006800D6" w:rsidRPr="006800D6" w:rsidRDefault="006800D6" w:rsidP="006800D6">
            <w:pPr>
              <w:rPr>
                <w:rFonts w:ascii="Times New Roman" w:hAnsi="Times New Roman" w:cs="Times New Roman"/>
                <w:sz w:val="24"/>
                <w:szCs w:val="24"/>
              </w:rPr>
            </w:pPr>
          </w:p>
          <w:p w14:paraId="6C37776D" w14:textId="77777777" w:rsidR="006800D6" w:rsidRPr="006800D6" w:rsidRDefault="006800D6" w:rsidP="006800D6">
            <w:pPr>
              <w:rPr>
                <w:rFonts w:ascii="Times New Roman" w:hAnsi="Times New Roman" w:cs="Times New Roman"/>
                <w:sz w:val="24"/>
                <w:szCs w:val="24"/>
              </w:rPr>
            </w:pPr>
          </w:p>
          <w:p w14:paraId="02F878E0" w14:textId="77777777" w:rsidR="006800D6" w:rsidRPr="006800D6" w:rsidRDefault="006800D6" w:rsidP="006800D6">
            <w:pPr>
              <w:rPr>
                <w:rFonts w:ascii="Times New Roman" w:hAnsi="Times New Roman" w:cs="Times New Roman"/>
                <w:sz w:val="24"/>
                <w:szCs w:val="24"/>
              </w:rPr>
            </w:pPr>
          </w:p>
          <w:p w14:paraId="27BC7D9F" w14:textId="77777777" w:rsidR="006800D6" w:rsidRPr="006800D6" w:rsidRDefault="006800D6" w:rsidP="006800D6">
            <w:pPr>
              <w:rPr>
                <w:rFonts w:ascii="Times New Roman" w:hAnsi="Times New Roman" w:cs="Times New Roman"/>
                <w:sz w:val="24"/>
                <w:szCs w:val="24"/>
              </w:rPr>
            </w:pPr>
          </w:p>
          <w:p w14:paraId="031095CD" w14:textId="77777777" w:rsidR="006800D6" w:rsidRPr="006800D6" w:rsidRDefault="006800D6" w:rsidP="006800D6">
            <w:pPr>
              <w:rPr>
                <w:rFonts w:ascii="Times New Roman" w:hAnsi="Times New Roman" w:cs="Times New Roman"/>
                <w:sz w:val="24"/>
                <w:szCs w:val="24"/>
              </w:rPr>
            </w:pPr>
          </w:p>
          <w:p w14:paraId="3AF66DF0" w14:textId="77777777" w:rsidR="006800D6" w:rsidRPr="006800D6" w:rsidRDefault="006800D6" w:rsidP="006800D6">
            <w:pPr>
              <w:rPr>
                <w:rFonts w:ascii="Times New Roman" w:hAnsi="Times New Roman" w:cs="Times New Roman"/>
                <w:sz w:val="24"/>
                <w:szCs w:val="24"/>
              </w:rPr>
            </w:pPr>
          </w:p>
          <w:p w14:paraId="46E70A2C" w14:textId="77777777" w:rsidR="006800D6" w:rsidRPr="006800D6" w:rsidRDefault="006800D6" w:rsidP="006800D6">
            <w:pPr>
              <w:rPr>
                <w:rFonts w:ascii="Times New Roman" w:hAnsi="Times New Roman" w:cs="Times New Roman"/>
                <w:sz w:val="24"/>
                <w:szCs w:val="24"/>
              </w:rPr>
            </w:pPr>
          </w:p>
          <w:p w14:paraId="0949A621" w14:textId="77777777" w:rsidR="006800D6" w:rsidRPr="006800D6" w:rsidRDefault="006800D6" w:rsidP="006800D6">
            <w:pPr>
              <w:rPr>
                <w:rFonts w:ascii="Times New Roman" w:hAnsi="Times New Roman" w:cs="Times New Roman"/>
                <w:sz w:val="24"/>
                <w:szCs w:val="24"/>
              </w:rPr>
            </w:pPr>
          </w:p>
          <w:p w14:paraId="11AF21B1" w14:textId="77777777" w:rsidR="006800D6" w:rsidRPr="006800D6" w:rsidRDefault="006800D6" w:rsidP="006800D6">
            <w:pPr>
              <w:rPr>
                <w:rFonts w:ascii="Times New Roman" w:hAnsi="Times New Roman" w:cs="Times New Roman"/>
                <w:sz w:val="24"/>
                <w:szCs w:val="24"/>
              </w:rPr>
            </w:pPr>
          </w:p>
          <w:p w14:paraId="1A2E05E7" w14:textId="77777777" w:rsidR="006800D6" w:rsidRPr="006800D6" w:rsidRDefault="006800D6" w:rsidP="006800D6">
            <w:pPr>
              <w:rPr>
                <w:rFonts w:ascii="Times New Roman" w:hAnsi="Times New Roman" w:cs="Times New Roman"/>
                <w:sz w:val="24"/>
                <w:szCs w:val="24"/>
              </w:rPr>
            </w:pPr>
          </w:p>
          <w:p w14:paraId="480AC17D" w14:textId="68E9AAA2" w:rsidR="006800D6" w:rsidRPr="006800D6" w:rsidRDefault="0046315E" w:rsidP="006A39CB">
            <w:pPr>
              <w:tabs>
                <w:tab w:val="left" w:pos="1080"/>
              </w:tabs>
              <w:rPr>
                <w:rFonts w:ascii="Times New Roman" w:hAnsi="Times New Roman" w:cs="Times New Roman"/>
                <w:sz w:val="24"/>
                <w:szCs w:val="24"/>
              </w:rPr>
            </w:pPr>
            <w:r>
              <w:rPr>
                <w:rFonts w:ascii="Times New Roman" w:hAnsi="Times New Roman" w:cs="Times New Roman"/>
                <w:sz w:val="24"/>
                <w:szCs w:val="24"/>
              </w:rPr>
              <w:tab/>
            </w:r>
          </w:p>
          <w:p w14:paraId="23F865CE" w14:textId="77777777" w:rsidR="006800D6" w:rsidRPr="006800D6" w:rsidRDefault="006800D6" w:rsidP="006800D6">
            <w:pPr>
              <w:rPr>
                <w:rFonts w:ascii="Times New Roman" w:hAnsi="Times New Roman" w:cs="Times New Roman"/>
                <w:sz w:val="24"/>
                <w:szCs w:val="24"/>
              </w:rPr>
            </w:pPr>
          </w:p>
          <w:p w14:paraId="710DF93E" w14:textId="77777777" w:rsidR="006800D6" w:rsidRPr="006800D6" w:rsidRDefault="006800D6" w:rsidP="006800D6">
            <w:pPr>
              <w:rPr>
                <w:rFonts w:ascii="Times New Roman" w:hAnsi="Times New Roman" w:cs="Times New Roman"/>
                <w:sz w:val="24"/>
                <w:szCs w:val="24"/>
              </w:rPr>
            </w:pPr>
          </w:p>
          <w:p w14:paraId="1D3ED1FE" w14:textId="77777777" w:rsidR="006800D6" w:rsidRPr="006800D6" w:rsidRDefault="006800D6" w:rsidP="006800D6">
            <w:pPr>
              <w:rPr>
                <w:rFonts w:ascii="Times New Roman" w:hAnsi="Times New Roman" w:cs="Times New Roman"/>
                <w:sz w:val="24"/>
                <w:szCs w:val="24"/>
              </w:rPr>
            </w:pPr>
          </w:p>
          <w:p w14:paraId="4C8757C6" w14:textId="77777777" w:rsidR="006800D6" w:rsidRPr="006800D6" w:rsidRDefault="006800D6" w:rsidP="006800D6">
            <w:pPr>
              <w:rPr>
                <w:rFonts w:ascii="Times New Roman" w:hAnsi="Times New Roman" w:cs="Times New Roman"/>
                <w:sz w:val="24"/>
                <w:szCs w:val="24"/>
              </w:rPr>
            </w:pPr>
          </w:p>
          <w:p w14:paraId="33CA97E3" w14:textId="77777777" w:rsidR="006800D6" w:rsidRDefault="006800D6" w:rsidP="006800D6">
            <w:pPr>
              <w:rPr>
                <w:rFonts w:ascii="Times New Roman" w:eastAsia="Times New Roman" w:hAnsi="Times New Roman" w:cs="Times New Roman"/>
                <w:sz w:val="24"/>
                <w:szCs w:val="24"/>
              </w:rPr>
            </w:pPr>
          </w:p>
          <w:p w14:paraId="03DDB023" w14:textId="7F3F2064" w:rsidR="006800D6" w:rsidRPr="006800D6" w:rsidRDefault="006800D6" w:rsidP="006800D6">
            <w:pPr>
              <w:jc w:val="center"/>
              <w:rPr>
                <w:rFonts w:ascii="Times New Roman" w:hAnsi="Times New Roman" w:cs="Times New Roman"/>
                <w:sz w:val="24"/>
                <w:szCs w:val="24"/>
              </w:rPr>
            </w:pP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4242717" w14:textId="77777777" w:rsidR="00841929" w:rsidRDefault="00841929" w:rsidP="00841929">
            <w:pPr>
              <w:spacing w:after="0" w:line="240" w:lineRule="auto"/>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lastRenderedPageBreak/>
              <w:t>Ministru kabineta 2019. gada 7. maija rīkojums Nr. 210 "Par Valdības rīcības plānu Deklarācijas par Artura Krišjāņa Kariņa vadītā Ministru kabineta iecerēto darbību īstenošanai" 174.2. pasākums paredz apzināt un izstrādāt nepieciešamos normatīvos aktu projektus, lai stiprinātu Satversmes tiesas neatkarību jautājumos:</w:t>
            </w:r>
          </w:p>
          <w:p w14:paraId="19FC5BD9" w14:textId="0495D34A" w:rsidR="00841929" w:rsidRDefault="00841929" w:rsidP="00841929">
            <w:pPr>
              <w:spacing w:after="0" w:line="240" w:lineRule="auto"/>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1) par Satversmes </w:t>
            </w:r>
            <w:r w:rsidR="00884153">
              <w:rPr>
                <w:rFonts w:ascii="Times New Roman" w:eastAsia="Times New Roman" w:hAnsi="Times New Roman" w:cs="Times New Roman"/>
                <w:sz w:val="24"/>
                <w:szCs w:val="24"/>
                <w:lang w:eastAsia="en-US"/>
              </w:rPr>
              <w:t xml:space="preserve">tiesas </w:t>
            </w:r>
            <w:r>
              <w:rPr>
                <w:rFonts w:ascii="Times New Roman" w:eastAsia="Times New Roman" w:hAnsi="Times New Roman" w:cs="Times New Roman"/>
                <w:sz w:val="24"/>
                <w:szCs w:val="24"/>
                <w:lang w:eastAsia="en-US"/>
              </w:rPr>
              <w:t>tiesneša statusam nepieciešamajām garantijām pēc amata termiņa beigām;</w:t>
            </w:r>
          </w:p>
          <w:p w14:paraId="015C5A0B" w14:textId="77777777" w:rsidR="00841929" w:rsidRDefault="00841929" w:rsidP="00841929">
            <w:pPr>
              <w:spacing w:after="0" w:line="240" w:lineRule="auto"/>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2) par Satversmes tiesas administratīvo pārvaldību un Satversmes tiesas budžeta garantijām.</w:t>
            </w:r>
          </w:p>
          <w:p w14:paraId="63FC9E3B" w14:textId="2A5FC1F3" w:rsidR="006702BA" w:rsidRPr="008264B9" w:rsidRDefault="00841929" w:rsidP="006702BA">
            <w:pPr>
              <w:spacing w:after="0" w:line="240" w:lineRule="auto"/>
              <w:ind w:firstLine="284"/>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 xml:space="preserve">Lai </w:t>
            </w:r>
            <w:r w:rsidRPr="008264B9">
              <w:rPr>
                <w:rFonts w:ascii="Times New Roman" w:eastAsia="Times New Roman" w:hAnsi="Times New Roman" w:cs="Times New Roman"/>
                <w:sz w:val="24"/>
                <w:szCs w:val="24"/>
                <w:lang w:eastAsia="en-US"/>
              </w:rPr>
              <w:t xml:space="preserve">minēto sasniegtu, ir izstrādāti vairāki saistīti </w:t>
            </w:r>
            <w:r w:rsidR="008264B9" w:rsidRPr="008264B9">
              <w:rPr>
                <w:rFonts w:ascii="Times New Roman" w:eastAsia="Times New Roman" w:hAnsi="Times New Roman" w:cs="Times New Roman"/>
                <w:sz w:val="24"/>
                <w:szCs w:val="24"/>
                <w:lang w:eastAsia="en-US"/>
              </w:rPr>
              <w:t xml:space="preserve">normatīvo aktu </w:t>
            </w:r>
            <w:r w:rsidRPr="008264B9">
              <w:rPr>
                <w:rFonts w:ascii="Times New Roman" w:eastAsia="Times New Roman" w:hAnsi="Times New Roman" w:cs="Times New Roman"/>
                <w:sz w:val="24"/>
                <w:szCs w:val="24"/>
                <w:lang w:eastAsia="en-US"/>
              </w:rPr>
              <w:t>projekt</w:t>
            </w:r>
            <w:r w:rsidR="008264B9" w:rsidRPr="008264B9">
              <w:rPr>
                <w:rFonts w:ascii="Times New Roman" w:eastAsia="Times New Roman" w:hAnsi="Times New Roman" w:cs="Times New Roman"/>
                <w:sz w:val="24"/>
                <w:szCs w:val="24"/>
                <w:lang w:eastAsia="en-US"/>
              </w:rPr>
              <w:t>i</w:t>
            </w:r>
            <w:r w:rsidRPr="008264B9">
              <w:rPr>
                <w:rFonts w:ascii="Times New Roman" w:eastAsia="Times New Roman" w:hAnsi="Times New Roman" w:cs="Times New Roman"/>
                <w:sz w:val="24"/>
                <w:szCs w:val="24"/>
                <w:lang w:eastAsia="en-US"/>
              </w:rPr>
              <w:t>.</w:t>
            </w:r>
          </w:p>
          <w:p w14:paraId="79A32D1B" w14:textId="6C52DEFB" w:rsidR="000352CF" w:rsidRPr="000352CF" w:rsidRDefault="00841929" w:rsidP="00BF05E2">
            <w:pPr>
              <w:pStyle w:val="Sarakstarindkopa"/>
              <w:tabs>
                <w:tab w:val="left" w:pos="993"/>
              </w:tabs>
              <w:spacing w:after="0" w:line="240" w:lineRule="auto"/>
              <w:ind w:left="0" w:firstLine="284"/>
              <w:jc w:val="both"/>
              <w:rPr>
                <w:rFonts w:ascii="Times New Roman" w:eastAsia="Times New Roman" w:hAnsi="Times New Roman" w:cs="Times New Roman"/>
                <w:sz w:val="24"/>
                <w:szCs w:val="24"/>
              </w:rPr>
            </w:pPr>
            <w:r w:rsidRPr="008264B9">
              <w:rPr>
                <w:rFonts w:ascii="Times New Roman" w:eastAsia="Calibri" w:hAnsi="Times New Roman" w:cs="Times New Roman"/>
                <w:bCs/>
                <w:sz w:val="24"/>
                <w:szCs w:val="24"/>
              </w:rPr>
              <w:t xml:space="preserve">Izvērtējot Satversmes tiesas tiesnešu </w:t>
            </w:r>
            <w:r w:rsidRPr="000352CF">
              <w:rPr>
                <w:rFonts w:ascii="Times New Roman" w:eastAsia="Calibri" w:hAnsi="Times New Roman" w:cs="Times New Roman"/>
                <w:bCs/>
                <w:sz w:val="24"/>
                <w:szCs w:val="24"/>
              </w:rPr>
              <w:t xml:space="preserve">sociālo garantiju apjomu, kā arī ārvalstu konstitucionālo tiesu tiesnešu sociālās garantijas, izdarīti secinājumi, ka Satversmes tiesas tiesnešu sociālo garantiju sistēmu nepieciešams pilnveidot, nodrošinot Satversmes tiesnesim atbilstošas sociālās garantijas pēc pilnvaru termiņa beigām. No Satversmē nostiprinātā Satversmes tiesas konstitucionālā statusa izriet, ka attiecīgi nodrošināms tāds Satversmes tiesas tiesneša statuss, kas pilnībā atbilst tiesu varas nozīmībai kopumā, gan atspoguļo Satversmes tiesas konstitucionālo statusu un īpašās funkcijas, nodrošinot visu valsts varas atzaru līdzsvaru. Tādējādi Satversmes tiesas tiesnesim nedrīkstētu būt mazākas garantijas par Saeimas deputātiem un augstākajām valsts amatpersonām. Persona, kas izvēlējusies kļūt par tiesnesi, rēķinās ar zināmu stabilitāti un prognozējamu karjeras attīstību. </w:t>
            </w:r>
            <w:r w:rsidRPr="000352CF">
              <w:rPr>
                <w:rFonts w:ascii="Times New Roman" w:eastAsia="Times New Roman" w:hAnsi="Times New Roman" w:cs="Times New Roman"/>
                <w:sz w:val="24"/>
                <w:szCs w:val="24"/>
              </w:rPr>
              <w:t xml:space="preserve">Latvijas darba tirgus salīdzinoši ir neliels, savukārt normatīvie akti satur virkni ierobežojumu amatpersonām pēc amata pildīšanas beigām. </w:t>
            </w:r>
          </w:p>
          <w:p w14:paraId="0AB5D075" w14:textId="5FC1DDCA" w:rsidR="000352CF" w:rsidRPr="000352CF" w:rsidRDefault="000352CF" w:rsidP="000352CF">
            <w:pPr>
              <w:spacing w:after="0" w:line="240" w:lineRule="auto"/>
              <w:ind w:firstLine="284"/>
              <w:jc w:val="both"/>
              <w:rPr>
                <w:rFonts w:ascii="Times New Roman" w:eastAsia="Times New Roman" w:hAnsi="Times New Roman" w:cs="Times New Roman"/>
                <w:sz w:val="24"/>
                <w:szCs w:val="24"/>
                <w:lang w:eastAsia="en-US"/>
              </w:rPr>
            </w:pPr>
            <w:r w:rsidRPr="000352CF">
              <w:rPr>
                <w:rFonts w:ascii="Times New Roman" w:eastAsia="Times New Roman" w:hAnsi="Times New Roman" w:cs="Times New Roman"/>
                <w:sz w:val="24"/>
                <w:szCs w:val="24"/>
              </w:rPr>
              <w:t xml:space="preserve">Darba grupas, strādājot pie risinājuma </w:t>
            </w:r>
            <w:r w:rsidRPr="000352CF">
              <w:rPr>
                <w:rFonts w:ascii="Times New Roman" w:eastAsia="Times New Roman" w:hAnsi="Times New Roman" w:cs="Times New Roman"/>
                <w:sz w:val="24"/>
                <w:szCs w:val="24"/>
                <w:lang w:eastAsia="en-US"/>
              </w:rPr>
              <w:t xml:space="preserve">par Satversmes tiesas tiesneša statusam nepieciešamajām garantijām pēc amata termiņa </w:t>
            </w:r>
            <w:r w:rsidRPr="000352CF">
              <w:rPr>
                <w:rFonts w:ascii="Times New Roman" w:eastAsia="Times New Roman" w:hAnsi="Times New Roman" w:cs="Times New Roman"/>
                <w:sz w:val="24"/>
                <w:szCs w:val="24"/>
              </w:rPr>
              <w:lastRenderedPageBreak/>
              <w:t xml:space="preserve">beigām paredzēšanas, sākotnējā doma bija noteikt pārejas perioda pabalstu, ko izmaksātu pie nosacījuma, ja Satversmes tiesas tiesnesis pēc pilnvaru termina beigām neizmanto nevienu no </w:t>
            </w:r>
            <w:r w:rsidRPr="000352CF">
              <w:rPr>
                <w:rFonts w:ascii="Times New Roman" w:eastAsia="Times New Roman" w:hAnsi="Times New Roman" w:cs="Times New Roman"/>
                <w:sz w:val="24"/>
                <w:szCs w:val="24"/>
                <w:lang w:eastAsia="en-US"/>
              </w:rPr>
              <w:t xml:space="preserve">Satversmes tiesas tiesneša statusam nepieciešamajām garantijām pēc amata termiņa beigām, kas tiek paredzētas ar likumprojektu "Grozījumi Satversmes tiesas likumā", darba grupa no minētā risinājuma atteicās, jo secināja, ka normatīvajā regulējuma nepieciešamās atrunas būtu ļoti grūti paredzēt. </w:t>
            </w:r>
          </w:p>
          <w:p w14:paraId="148DFC04" w14:textId="5AFBD8B7" w:rsidR="00BF05E2" w:rsidRPr="000352CF" w:rsidRDefault="00841929" w:rsidP="00BF05E2">
            <w:pPr>
              <w:pStyle w:val="Sarakstarindkopa"/>
              <w:tabs>
                <w:tab w:val="left" w:pos="993"/>
              </w:tabs>
              <w:spacing w:after="0" w:line="240" w:lineRule="auto"/>
              <w:ind w:left="0" w:firstLine="284"/>
              <w:jc w:val="both"/>
              <w:rPr>
                <w:rFonts w:ascii="Times New Roman" w:eastAsia="Times New Roman" w:hAnsi="Times New Roman" w:cs="Times New Roman"/>
                <w:sz w:val="24"/>
                <w:szCs w:val="24"/>
              </w:rPr>
            </w:pPr>
            <w:r w:rsidRPr="000352CF">
              <w:rPr>
                <w:rFonts w:ascii="Times New Roman" w:eastAsia="Times New Roman" w:hAnsi="Times New Roman" w:cs="Times New Roman"/>
                <w:sz w:val="24"/>
                <w:szCs w:val="24"/>
              </w:rPr>
              <w:t xml:space="preserve">Šobrīd Satversmes tiesas tiesnesim pēc pilnvaru termiņa beigām saskaņā ar Valsts un pašvaldību </w:t>
            </w:r>
            <w:r w:rsidRPr="000352CF">
              <w:rPr>
                <w:rFonts w:ascii="Times New Roman" w:eastAsia="Calibri" w:hAnsi="Times New Roman" w:cs="Times New Roman"/>
                <w:bCs/>
                <w:sz w:val="24"/>
                <w:szCs w:val="24"/>
              </w:rPr>
              <w:t>institūciju amatpersonu un darbinieku atlīdzības likuma 17. panta devītās daļas pirmo punktu</w:t>
            </w:r>
            <w:r w:rsidRPr="000352CF">
              <w:rPr>
                <w:rFonts w:ascii="Times New Roman" w:eastAsia="Times New Roman" w:hAnsi="Times New Roman" w:cs="Times New Roman"/>
                <w:sz w:val="24"/>
                <w:szCs w:val="24"/>
              </w:rPr>
              <w:t xml:space="preserve"> paredzēts atlaišanas pabalsts mēnešalgas apmērā. Lielāks </w:t>
            </w:r>
            <w:r w:rsidR="00370B04" w:rsidRPr="000352CF">
              <w:rPr>
                <w:rFonts w:ascii="Times New Roman" w:eastAsia="Times New Roman" w:hAnsi="Times New Roman" w:cs="Times New Roman"/>
                <w:sz w:val="24"/>
                <w:szCs w:val="24"/>
              </w:rPr>
              <w:t xml:space="preserve">atlaišanas </w:t>
            </w:r>
            <w:r w:rsidRPr="000352CF">
              <w:rPr>
                <w:rFonts w:ascii="Times New Roman" w:eastAsia="Times New Roman" w:hAnsi="Times New Roman" w:cs="Times New Roman"/>
                <w:sz w:val="24"/>
                <w:szCs w:val="24"/>
              </w:rPr>
              <w:t xml:space="preserve">pabalsts </w:t>
            </w:r>
            <w:r w:rsidR="00370B04" w:rsidRPr="000352CF">
              <w:rPr>
                <w:rFonts w:ascii="Times New Roman" w:eastAsia="Times New Roman" w:hAnsi="Times New Roman" w:cs="Times New Roman"/>
                <w:sz w:val="24"/>
                <w:szCs w:val="24"/>
              </w:rPr>
              <w:t xml:space="preserve">pēc pilnvaru termiņa beigām </w:t>
            </w:r>
            <w:r w:rsidRPr="000352CF">
              <w:rPr>
                <w:rFonts w:ascii="Times New Roman" w:eastAsia="Times New Roman" w:hAnsi="Times New Roman" w:cs="Times New Roman"/>
                <w:sz w:val="24"/>
                <w:szCs w:val="24"/>
              </w:rPr>
              <w:t>nodrošinās Satversmes tiesneša statusam un neatkarības prasībām atbilstošākas materiālās garantijas, kā arī radīs lielāku motivāciju Satversmes tiesnesim nostrādāt pilnu pilnvaru termiņu, nevis uztraucoties par materiālajām garantijām, izlemt par labu citam amatam pirms pilnvaru termiņa beigām.</w:t>
            </w:r>
            <w:r w:rsidR="000352CF" w:rsidRPr="000352CF">
              <w:rPr>
                <w:rFonts w:ascii="Times New Roman" w:eastAsia="Times New Roman" w:hAnsi="Times New Roman" w:cs="Times New Roman"/>
                <w:sz w:val="24"/>
                <w:szCs w:val="24"/>
              </w:rPr>
              <w:t xml:space="preserve"> Uzsverams, ka lielāks atlaišanas pabalsts pēc pilnvaru termiņa beigām varētu arī motivēt personu izšķirties par labu izaicinājumam kļūt par Satversmes tiesas tiesnesi.  </w:t>
            </w:r>
          </w:p>
          <w:p w14:paraId="0E8F14B2" w14:textId="28CE43CD" w:rsidR="000352CF" w:rsidRPr="000352CF" w:rsidRDefault="000352CF" w:rsidP="000352CF">
            <w:pPr>
              <w:pStyle w:val="Sarakstarindkopa"/>
              <w:tabs>
                <w:tab w:val="left" w:pos="993"/>
              </w:tabs>
              <w:spacing w:after="0" w:line="240" w:lineRule="auto"/>
              <w:ind w:left="0" w:firstLine="284"/>
              <w:jc w:val="both"/>
              <w:rPr>
                <w:rFonts w:ascii="Times New Roman" w:eastAsia="Times New Roman" w:hAnsi="Times New Roman" w:cs="Times New Roman"/>
                <w:sz w:val="24"/>
                <w:szCs w:val="24"/>
              </w:rPr>
            </w:pPr>
            <w:r w:rsidRPr="000352CF">
              <w:rPr>
                <w:rFonts w:ascii="Times New Roman" w:eastAsia="Times New Roman" w:hAnsi="Times New Roman" w:cs="Times New Roman"/>
                <w:sz w:val="24"/>
                <w:szCs w:val="24"/>
              </w:rPr>
              <w:t xml:space="preserve">Ņemot vērā citām amatpersonām </w:t>
            </w:r>
            <w:r w:rsidRPr="000352CF">
              <w:rPr>
                <w:rFonts w:ascii="Times New Roman" w:hAnsi="Times New Roman" w:cs="Times New Roman"/>
                <w:sz w:val="24"/>
                <w:szCs w:val="24"/>
              </w:rPr>
              <w:t>Valsts un pašvaldību institūciju amatpersonu un darbinieku atlīdzības likumā noteikto atlaišanas vai atvaļināšanas pabalsta apmērus, kā arī citu valstu praksi attiecībā uz kompensāciju izmaksu Satversmes tiesas tiesnešiem pēc pilnvaru termiņa beigām, likumprojekts paredz</w:t>
            </w:r>
            <w:r w:rsidRPr="000352CF">
              <w:rPr>
                <w:rFonts w:ascii="Times New Roman" w:eastAsia="Calibri" w:hAnsi="Times New Roman" w:cs="Times New Roman"/>
                <w:sz w:val="24"/>
                <w:szCs w:val="24"/>
              </w:rPr>
              <w:t xml:space="preserve"> Satversmes tiesas tiesnesim pēc pilnvaru termiņa beigām izmaksāt atlaišanas pabalstu trīs mēnešalgu apmērā. Vienlaikus likumprojekts precizē normu, kas šobrīd paredz atlaišanas pabalsta Satversmes tiesas tiesnesim pēc pilnvaru termiņa beigām izmaksu vienas mēnešalgas apmērā.</w:t>
            </w:r>
          </w:p>
          <w:p w14:paraId="4F372D04" w14:textId="4FF21E99" w:rsidR="00026819" w:rsidRDefault="00841929" w:rsidP="000352CF">
            <w:pPr>
              <w:pStyle w:val="Sarakstarindkopa"/>
              <w:tabs>
                <w:tab w:val="left" w:pos="993"/>
              </w:tabs>
              <w:spacing w:after="0" w:line="240" w:lineRule="auto"/>
              <w:ind w:left="0" w:firstLine="284"/>
              <w:jc w:val="both"/>
              <w:rPr>
                <w:rFonts w:ascii="Times New Roman" w:eastAsia="Times New Roman" w:hAnsi="Times New Roman" w:cs="Times New Roman"/>
                <w:sz w:val="24"/>
                <w:szCs w:val="24"/>
              </w:rPr>
            </w:pPr>
            <w:r w:rsidRPr="000352CF">
              <w:rPr>
                <w:rFonts w:ascii="Times New Roman" w:eastAsia="Times New Roman" w:hAnsi="Times New Roman" w:cs="Times New Roman"/>
                <w:sz w:val="24"/>
                <w:szCs w:val="24"/>
              </w:rPr>
              <w:t xml:space="preserve">Likumprojektā piedāvātais </w:t>
            </w:r>
            <w:r w:rsidR="002917DD" w:rsidRPr="000352CF">
              <w:rPr>
                <w:rFonts w:ascii="Times New Roman" w:eastAsia="Times New Roman" w:hAnsi="Times New Roman" w:cs="Times New Roman"/>
                <w:sz w:val="24"/>
                <w:szCs w:val="24"/>
              </w:rPr>
              <w:t xml:space="preserve">atlaišanas </w:t>
            </w:r>
            <w:r w:rsidRPr="000352CF">
              <w:rPr>
                <w:rFonts w:ascii="Times New Roman" w:eastAsia="Times New Roman" w:hAnsi="Times New Roman" w:cs="Times New Roman"/>
                <w:sz w:val="24"/>
                <w:szCs w:val="24"/>
              </w:rPr>
              <w:t xml:space="preserve">pabalsta apmērs ir samērīgāks ar šobrīd </w:t>
            </w:r>
            <w:r w:rsidRPr="000352CF">
              <w:rPr>
                <w:rFonts w:ascii="Times New Roman" w:hAnsi="Times New Roman" w:cs="Times New Roman"/>
                <w:sz w:val="24"/>
                <w:szCs w:val="24"/>
              </w:rPr>
              <w:t xml:space="preserve">Valsts un pašvaldību institūciju amatpersonu un darbinieku atlīdzības likumā Satversmes tiesnesim noteikto pabalsta apmēru un </w:t>
            </w:r>
            <w:r w:rsidRPr="000352CF">
              <w:rPr>
                <w:rFonts w:ascii="Times New Roman" w:eastAsia="Times New Roman" w:hAnsi="Times New Roman" w:cs="Times New Roman"/>
                <w:sz w:val="24"/>
                <w:szCs w:val="24"/>
              </w:rPr>
              <w:t xml:space="preserve">citām amatpersonām </w:t>
            </w:r>
            <w:r w:rsidRPr="000352CF">
              <w:rPr>
                <w:rFonts w:ascii="Times New Roman" w:hAnsi="Times New Roman" w:cs="Times New Roman"/>
                <w:sz w:val="24"/>
                <w:szCs w:val="24"/>
              </w:rPr>
              <w:t>noteikto atlaišanas (atvaļināšanas) pabalst</w:t>
            </w:r>
            <w:r w:rsidR="002917DD" w:rsidRPr="000352CF">
              <w:rPr>
                <w:rFonts w:ascii="Times New Roman" w:hAnsi="Times New Roman" w:cs="Times New Roman"/>
                <w:sz w:val="24"/>
                <w:szCs w:val="24"/>
              </w:rPr>
              <w:t>a apmēru.</w:t>
            </w:r>
            <w:r w:rsidR="00BF05E2" w:rsidRPr="000352CF">
              <w:rPr>
                <w:rFonts w:ascii="Times New Roman" w:hAnsi="Times New Roman" w:cs="Times New Roman"/>
                <w:sz w:val="24"/>
                <w:szCs w:val="24"/>
              </w:rPr>
              <w:t xml:space="preserve"> </w:t>
            </w:r>
            <w:r w:rsidRPr="000352CF">
              <w:rPr>
                <w:rFonts w:ascii="Times New Roman" w:eastAsia="Times New Roman" w:hAnsi="Times New Roman" w:cs="Times New Roman"/>
                <w:sz w:val="24"/>
                <w:szCs w:val="24"/>
              </w:rPr>
              <w:t xml:space="preserve">Jāņem vērā arī fakts, ka ir septiņi Satversmes tiesas tiesneši, kuru pilnvaru termiņš ir 10 gadi. Pilnvaru termiņš kādam no septiņiem Satversmes tiesas tiesnešiem beidzas aptuveni ik pēc viena vai diviem gadiem, tas nozīmē, ka Satversmes tiesnesim atbilstošu sociālo garantiju nodrošināšana nerada būtisku ietekmi uz budžetu turpmākajos gados, piemēram, 2021. gadā pilnvaru beigu termiņš ir vienam no Satversmes tiesas tiesnešiem, savukārt </w:t>
            </w:r>
            <w:r w:rsidR="002917DD" w:rsidRPr="000352CF">
              <w:rPr>
                <w:rFonts w:ascii="Times New Roman" w:eastAsia="Times New Roman" w:hAnsi="Times New Roman" w:cs="Times New Roman"/>
                <w:sz w:val="24"/>
                <w:szCs w:val="24"/>
              </w:rPr>
              <w:t xml:space="preserve">atlaišanas </w:t>
            </w:r>
            <w:r w:rsidRPr="000352CF">
              <w:rPr>
                <w:rFonts w:ascii="Times New Roman" w:eastAsia="Times New Roman" w:hAnsi="Times New Roman" w:cs="Times New Roman"/>
                <w:sz w:val="24"/>
                <w:szCs w:val="24"/>
              </w:rPr>
              <w:t>pabalstu paredzēts izmaksāt pie nosacījuma, ka Satversmes tiesas tiesnesis nostrādājis pilnu pilnvaru termiņu</w:t>
            </w:r>
            <w:r w:rsidR="00BF05E2" w:rsidRPr="000352CF">
              <w:rPr>
                <w:rFonts w:ascii="Times New Roman" w:eastAsia="Times New Roman" w:hAnsi="Times New Roman" w:cs="Times New Roman"/>
                <w:sz w:val="24"/>
                <w:szCs w:val="24"/>
              </w:rPr>
              <w:t xml:space="preserve">, neatkarīgi no tā, vai Satversmes tiesnesis pēc pilnvaru termiņa beigām ir piekritis ieņemt amata vietu valsts pārvaldē, vai Augstākajā tiesā. </w:t>
            </w:r>
          </w:p>
          <w:p w14:paraId="5B938168" w14:textId="08C64F1C" w:rsidR="00100847" w:rsidRPr="00045C8A" w:rsidRDefault="00045C8A" w:rsidP="00045C8A">
            <w:pPr>
              <w:pStyle w:val="Sarakstarindkopa"/>
              <w:tabs>
                <w:tab w:val="left" w:pos="993"/>
              </w:tabs>
              <w:spacing w:after="0" w:line="240" w:lineRule="auto"/>
              <w:ind w:left="0" w:firstLine="284"/>
              <w:jc w:val="both"/>
              <w:rPr>
                <w:rFonts w:ascii="Times New Roman" w:eastAsia="Times New Roman" w:hAnsi="Times New Roman" w:cs="Times New Roman"/>
                <w:sz w:val="24"/>
                <w:szCs w:val="24"/>
              </w:rPr>
            </w:pPr>
            <w:r>
              <w:rPr>
                <w:rFonts w:ascii="Times New Roman" w:hAnsi="Times New Roman" w:cs="Times New Roman"/>
                <w:sz w:val="24"/>
                <w:szCs w:val="24"/>
              </w:rPr>
              <w:t xml:space="preserve">Augstākās tiesas neatkarības nodrošināšanai ir būtiska tiesība pašai Augstākajai tiesai noteikt tās darbinieku atalgojumu. Šobrīd to ierobežo </w:t>
            </w:r>
            <w:r w:rsidRPr="00911712">
              <w:rPr>
                <w:rFonts w:ascii="Times New Roman" w:eastAsia="Calibri" w:hAnsi="Times New Roman" w:cs="Times New Roman"/>
                <w:sz w:val="24"/>
                <w:szCs w:val="24"/>
              </w:rPr>
              <w:t xml:space="preserve">Valsts un pašvaldību institūciju amatpersonu un </w:t>
            </w:r>
            <w:r w:rsidRPr="00911712">
              <w:rPr>
                <w:rFonts w:ascii="Times New Roman" w:eastAsia="Calibri" w:hAnsi="Times New Roman" w:cs="Times New Roman"/>
                <w:sz w:val="24"/>
                <w:szCs w:val="24"/>
              </w:rPr>
              <w:lastRenderedPageBreak/>
              <w:t>darbinieku atlīdzības likums,</w:t>
            </w:r>
            <w:r>
              <w:rPr>
                <w:rFonts w:ascii="Times New Roman" w:eastAsia="Calibri" w:hAnsi="Times New Roman" w:cs="Times New Roman"/>
                <w:sz w:val="24"/>
                <w:szCs w:val="24"/>
              </w:rPr>
              <w:t xml:space="preserve"> kas savukārt </w:t>
            </w:r>
            <w:r w:rsidRPr="00911712">
              <w:rPr>
                <w:rFonts w:ascii="Times New Roman" w:eastAsia="Calibri" w:hAnsi="Times New Roman" w:cs="Times New Roman"/>
                <w:sz w:val="24"/>
                <w:szCs w:val="24"/>
              </w:rPr>
              <w:t>liedz Augstākajai tiesai piesaistīt augsti kvalificētus un uz rezultātu orientētus darbiniekus.</w:t>
            </w:r>
            <w:r>
              <w:rPr>
                <w:rFonts w:ascii="Times New Roman" w:eastAsia="Calibri" w:hAnsi="Times New Roman" w:cs="Times New Roman"/>
                <w:sz w:val="24"/>
                <w:szCs w:val="24"/>
              </w:rPr>
              <w:t xml:space="preserve"> Līdz ar to,</w:t>
            </w:r>
            <w:r w:rsidRPr="00911712">
              <w:rPr>
                <w:rFonts w:ascii="Times New Roman" w:hAnsi="Times New Roman" w:cs="Times New Roman"/>
                <w:sz w:val="24"/>
                <w:szCs w:val="24"/>
              </w:rPr>
              <w:t xml:space="preserve"> </w:t>
            </w:r>
            <w:r>
              <w:rPr>
                <w:rFonts w:ascii="Times New Roman" w:hAnsi="Times New Roman" w:cs="Times New Roman"/>
                <w:sz w:val="24"/>
                <w:szCs w:val="24"/>
              </w:rPr>
              <w:t>l</w:t>
            </w:r>
            <w:r w:rsidRPr="00911712">
              <w:rPr>
                <w:rFonts w:ascii="Times New Roman" w:hAnsi="Times New Roman" w:cs="Times New Roman"/>
                <w:sz w:val="24"/>
                <w:szCs w:val="24"/>
              </w:rPr>
              <w:t>ai n</w:t>
            </w:r>
            <w:r w:rsidRPr="00911712">
              <w:rPr>
                <w:rFonts w:ascii="Times New Roman" w:hAnsi="Times New Roman" w:cs="Times New Roman"/>
                <w:sz w:val="24"/>
                <w:szCs w:val="24"/>
                <w:lang w:eastAsia="ru-RU"/>
              </w:rPr>
              <w:t xml:space="preserve">odrošinātu tiesu varas institūcijas personāla politikas elastīgākus risinājumus, likumprojekts Augstākajai tiesai noteic tādu pat regulējumu darbinieku mēnešalgas noteikšanai kā </w:t>
            </w:r>
            <w:r w:rsidRPr="00C216C8">
              <w:rPr>
                <w:rFonts w:ascii="Times New Roman" w:hAnsi="Times New Roman" w:cs="Times New Roman"/>
                <w:sz w:val="24"/>
                <w:szCs w:val="24"/>
                <w:lang w:eastAsia="ru-RU"/>
              </w:rPr>
              <w:t>citām konstitucionālās varas institūcij</w:t>
            </w:r>
            <w:r>
              <w:rPr>
                <w:rFonts w:ascii="Times New Roman" w:hAnsi="Times New Roman" w:cs="Times New Roman"/>
                <w:sz w:val="24"/>
                <w:szCs w:val="24"/>
                <w:lang w:eastAsia="ru-RU"/>
              </w:rPr>
              <w:t>ām</w:t>
            </w:r>
            <w:r w:rsidR="00170307">
              <w:rPr>
                <w:rFonts w:ascii="Times New Roman" w:hAnsi="Times New Roman" w:cs="Times New Roman"/>
                <w:sz w:val="24"/>
                <w:szCs w:val="24"/>
                <w:lang w:eastAsia="ru-RU"/>
              </w:rPr>
              <w:t>.</w:t>
            </w:r>
          </w:p>
        </w:tc>
      </w:tr>
      <w:tr w:rsidR="003064F5" w:rsidRPr="00C208E2" w14:paraId="236F98EF" w14:textId="77777777" w:rsidTr="006A39CB">
        <w:tc>
          <w:tcPr>
            <w:tcW w:w="586"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3A143505"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lastRenderedPageBreak/>
              <w:t>3.</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442CE38" w14:textId="77777777" w:rsidR="008F594E" w:rsidRPr="0084212F" w:rsidRDefault="008F594E" w:rsidP="007B1A47">
            <w:pPr>
              <w:spacing w:after="0" w:line="240" w:lineRule="auto"/>
              <w:rPr>
                <w:rFonts w:ascii="Times New Roman" w:hAnsi="Times New Roman" w:cs="Times New Roman"/>
                <w:sz w:val="24"/>
                <w:szCs w:val="24"/>
              </w:rPr>
            </w:pPr>
            <w:r w:rsidRPr="0084212F">
              <w:rPr>
                <w:rFonts w:ascii="Times New Roman" w:eastAsia="Times New Roman" w:hAnsi="Times New Roman" w:cs="Times New Roman"/>
                <w:sz w:val="24"/>
                <w:szCs w:val="24"/>
              </w:rPr>
              <w:t xml:space="preserve">Projekta izstrādē iesaistītās institūcijas </w:t>
            </w:r>
            <w:r w:rsidRPr="0084212F">
              <w:rPr>
                <w:rFonts w:ascii="Times New Roman" w:hAnsi="Times New Roman" w:cs="Times New Roman"/>
                <w:sz w:val="24"/>
                <w:szCs w:val="24"/>
              </w:rPr>
              <w:t>un publiskas personas kapitālsabiedrības</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1EE062D" w14:textId="77777777" w:rsidR="008F594E" w:rsidRPr="00C208E2" w:rsidRDefault="008F594E" w:rsidP="007B1A47">
            <w:pPr>
              <w:spacing w:after="0" w:line="240" w:lineRule="auto"/>
              <w:ind w:firstLine="257"/>
              <w:jc w:val="both"/>
              <w:rPr>
                <w:rFonts w:ascii="Times New Roman" w:hAnsi="Times New Roman" w:cs="Times New Roman"/>
                <w:sz w:val="24"/>
                <w:szCs w:val="24"/>
              </w:rPr>
            </w:pPr>
            <w:r w:rsidRPr="00C208E2">
              <w:rPr>
                <w:rFonts w:ascii="Times New Roman" w:eastAsia="Times New Roman" w:hAnsi="Times New Roman" w:cs="Times New Roman"/>
                <w:color w:val="000000"/>
                <w:sz w:val="24"/>
                <w:szCs w:val="24"/>
              </w:rPr>
              <w:t xml:space="preserve">Tieslietu ministrija, </w:t>
            </w:r>
            <w:r>
              <w:rPr>
                <w:rFonts w:ascii="Times New Roman" w:eastAsia="Times New Roman" w:hAnsi="Times New Roman" w:cs="Times New Roman"/>
                <w:color w:val="000000"/>
                <w:sz w:val="24"/>
                <w:szCs w:val="24"/>
              </w:rPr>
              <w:t>Valsts kanceleja, Finanšu ministrija, Augstākā tiesa, Satversmes tiesas eksperts.</w:t>
            </w:r>
          </w:p>
        </w:tc>
      </w:tr>
      <w:tr w:rsidR="003064F5" w:rsidRPr="00C208E2" w14:paraId="00474573" w14:textId="77777777" w:rsidTr="006A39CB">
        <w:trPr>
          <w:trHeight w:val="1"/>
        </w:trPr>
        <w:tc>
          <w:tcPr>
            <w:tcW w:w="586" w:type="dxa"/>
            <w:tcBorders>
              <w:top w:val="single" w:sz="6" w:space="0" w:color="414142"/>
              <w:left w:val="single" w:sz="6" w:space="0" w:color="414142"/>
              <w:bottom w:val="single" w:sz="6" w:space="0" w:color="414142"/>
              <w:right w:val="single" w:sz="4" w:space="0" w:color="auto"/>
            </w:tcBorders>
            <w:shd w:val="clear" w:color="000000" w:fill="FFFFFF"/>
            <w:tcMar>
              <w:left w:w="30" w:type="dxa"/>
              <w:right w:w="30" w:type="dxa"/>
            </w:tcMar>
          </w:tcPr>
          <w:p w14:paraId="0B4ABF3A"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4.</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D96D99A"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Cita informācija</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F26D85D" w14:textId="77777777" w:rsidR="008F594E" w:rsidRPr="00C208E2" w:rsidRDefault="008F594E" w:rsidP="007B1A47">
            <w:pPr>
              <w:spacing w:after="0" w:line="240" w:lineRule="auto"/>
              <w:ind w:firstLine="257"/>
              <w:rPr>
                <w:rFonts w:ascii="Times New Roman" w:hAnsi="Times New Roman" w:cs="Times New Roman"/>
                <w:sz w:val="24"/>
                <w:szCs w:val="24"/>
              </w:rPr>
            </w:pPr>
            <w:r w:rsidRPr="00C208E2">
              <w:rPr>
                <w:rFonts w:ascii="Times New Roman" w:eastAsia="Times New Roman" w:hAnsi="Times New Roman" w:cs="Times New Roman"/>
                <w:sz w:val="24"/>
                <w:szCs w:val="24"/>
              </w:rPr>
              <w:t>Nav.</w:t>
            </w:r>
          </w:p>
        </w:tc>
      </w:tr>
      <w:tr w:rsidR="008F594E" w:rsidRPr="00C208E2" w14:paraId="37A14BED" w14:textId="77777777" w:rsidTr="00FD3F43">
        <w:tc>
          <w:tcPr>
            <w:tcW w:w="9219" w:type="dxa"/>
            <w:gridSpan w:val="3"/>
            <w:tcBorders>
              <w:bottom w:val="single" w:sz="4" w:space="0" w:color="auto"/>
            </w:tcBorders>
            <w:shd w:val="clear" w:color="000000" w:fill="FFFFFF"/>
            <w:tcMar>
              <w:left w:w="30" w:type="dxa"/>
              <w:right w:w="30" w:type="dxa"/>
            </w:tcMar>
          </w:tcPr>
          <w:p w14:paraId="49400233" w14:textId="77777777" w:rsidR="008F594E" w:rsidRPr="0082466A" w:rsidRDefault="008F594E" w:rsidP="007B1A47">
            <w:pPr>
              <w:tabs>
                <w:tab w:val="left" w:pos="990"/>
              </w:tabs>
              <w:spacing w:after="0" w:line="240" w:lineRule="auto"/>
              <w:rPr>
                <w:rFonts w:ascii="Times New Roman" w:eastAsia="Times New Roman" w:hAnsi="Times New Roman" w:cs="Times New Roman"/>
                <w:sz w:val="24"/>
                <w:szCs w:val="24"/>
              </w:rPr>
            </w:pPr>
            <w:r w:rsidRPr="00C208E2">
              <w:rPr>
                <w:rFonts w:ascii="Times New Roman" w:eastAsia="Times New Roman" w:hAnsi="Times New Roman" w:cs="Times New Roman"/>
                <w:sz w:val="24"/>
                <w:szCs w:val="24"/>
              </w:rPr>
              <w:tab/>
            </w:r>
          </w:p>
        </w:tc>
      </w:tr>
      <w:tr w:rsidR="008F594E" w:rsidRPr="00C208E2" w14:paraId="5E1B114F" w14:textId="77777777" w:rsidTr="00FD3F43">
        <w:tc>
          <w:tcPr>
            <w:tcW w:w="9219" w:type="dxa"/>
            <w:gridSpan w:val="3"/>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vAlign w:val="center"/>
          </w:tcPr>
          <w:p w14:paraId="41EA8C74" w14:textId="77777777" w:rsidR="008F594E" w:rsidRPr="00C208E2" w:rsidRDefault="008F594E" w:rsidP="007B1A47">
            <w:pPr>
              <w:spacing w:after="0" w:line="240" w:lineRule="auto"/>
              <w:jc w:val="center"/>
              <w:rPr>
                <w:rFonts w:ascii="Times New Roman" w:hAnsi="Times New Roman" w:cs="Times New Roman"/>
                <w:sz w:val="24"/>
                <w:szCs w:val="24"/>
              </w:rPr>
            </w:pPr>
            <w:r w:rsidRPr="00C208E2">
              <w:rPr>
                <w:rFonts w:ascii="Times New Roman" w:eastAsia="Times New Roman" w:hAnsi="Times New Roman" w:cs="Times New Roman"/>
                <w:b/>
                <w:sz w:val="24"/>
                <w:szCs w:val="24"/>
              </w:rPr>
              <w:t>II. Tiesību akta projekta ietekme uz sabiedrību, tautsaimniecības attīstību un administratīvo slogu</w:t>
            </w:r>
          </w:p>
        </w:tc>
      </w:tr>
      <w:tr w:rsidR="003064F5" w:rsidRPr="00C208E2" w14:paraId="120DFFC7" w14:textId="77777777" w:rsidTr="006A39CB">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F73F55D"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1.</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E98DFAE"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Sabiedrības mērķgrupas, kuras tiesiskais regulējums ietekmē</w:t>
            </w:r>
            <w:proofErr w:type="gramStart"/>
            <w:r w:rsidRPr="00C208E2">
              <w:rPr>
                <w:rFonts w:ascii="Times New Roman" w:eastAsia="Times New Roman" w:hAnsi="Times New Roman" w:cs="Times New Roman"/>
                <w:sz w:val="24"/>
                <w:szCs w:val="24"/>
              </w:rPr>
              <w:t xml:space="preserve"> vai varētu ietekmēt</w:t>
            </w:r>
            <w:proofErr w:type="gramEnd"/>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9C9E975" w14:textId="5A919702" w:rsidR="008F594E" w:rsidRPr="0077295A" w:rsidRDefault="00035BA8" w:rsidP="007B1A47">
            <w:pPr>
              <w:spacing w:after="0" w:line="240" w:lineRule="auto"/>
              <w:ind w:firstLine="283"/>
              <w:jc w:val="both"/>
              <w:rPr>
                <w:rFonts w:ascii="Times New Roman" w:eastAsia="Times New Roman" w:hAnsi="Times New Roman" w:cs="Times New Roman"/>
                <w:sz w:val="24"/>
              </w:rPr>
            </w:pPr>
            <w:r>
              <w:rPr>
                <w:rFonts w:ascii="Times New Roman" w:eastAsia="Times New Roman" w:hAnsi="Times New Roman" w:cs="Times New Roman"/>
                <w:sz w:val="24"/>
              </w:rPr>
              <w:t>A</w:t>
            </w:r>
            <w:r w:rsidR="008F594E">
              <w:rPr>
                <w:rFonts w:ascii="Times New Roman" w:eastAsia="Times New Roman" w:hAnsi="Times New Roman" w:cs="Times New Roman"/>
                <w:sz w:val="24"/>
              </w:rPr>
              <w:t xml:space="preserve">ttieksies uz </w:t>
            </w:r>
            <w:r w:rsidR="0039386B">
              <w:rPr>
                <w:rFonts w:ascii="Times New Roman" w:eastAsia="Times New Roman" w:hAnsi="Times New Roman" w:cs="Times New Roman"/>
                <w:sz w:val="24"/>
              </w:rPr>
              <w:t xml:space="preserve">Augstākās </w:t>
            </w:r>
            <w:r w:rsidR="008F594E">
              <w:rPr>
                <w:rFonts w:ascii="Times New Roman" w:eastAsia="Times New Roman" w:hAnsi="Times New Roman" w:cs="Times New Roman"/>
                <w:sz w:val="24"/>
              </w:rPr>
              <w:t>tiesas darbiniekiem un amatpersonām</w:t>
            </w:r>
            <w:r w:rsidR="00E520EF">
              <w:rPr>
                <w:rFonts w:ascii="Times New Roman" w:eastAsia="Times New Roman" w:hAnsi="Times New Roman" w:cs="Times New Roman"/>
                <w:sz w:val="24"/>
              </w:rPr>
              <w:t>, Satversmes tiesas tiesnešiem pēc pilnvaru termiņa beigām</w:t>
            </w:r>
            <w:r w:rsidR="003E0F1E">
              <w:rPr>
                <w:rFonts w:ascii="Times New Roman" w:eastAsia="Times New Roman" w:hAnsi="Times New Roman" w:cs="Times New Roman"/>
                <w:sz w:val="24"/>
              </w:rPr>
              <w:t>.</w:t>
            </w:r>
          </w:p>
        </w:tc>
      </w:tr>
      <w:tr w:rsidR="003064F5" w:rsidRPr="00C208E2" w14:paraId="3C47BD46" w14:textId="77777777" w:rsidTr="006A39CB">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E1A39B4"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2.</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F248204"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Tiesiskā regulējuma ietekme uz tautsaimniecību un administratīvo slogu</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069C7BD8" w14:textId="77777777" w:rsidR="008F594E" w:rsidRPr="0043295B" w:rsidRDefault="008F594E" w:rsidP="007B1A47">
            <w:pPr>
              <w:spacing w:after="0" w:line="240" w:lineRule="auto"/>
              <w:ind w:firstLine="283"/>
              <w:jc w:val="both"/>
              <w:rPr>
                <w:rFonts w:ascii="Times New Roman" w:eastAsia="Times New Roman" w:hAnsi="Times New Roman" w:cs="Times New Roman"/>
                <w:sz w:val="24"/>
              </w:rPr>
            </w:pPr>
            <w:r>
              <w:rPr>
                <w:rFonts w:ascii="Times New Roman" w:eastAsia="Times New Roman" w:hAnsi="Times New Roman" w:cs="Times New Roman"/>
                <w:color w:val="000000"/>
                <w:sz w:val="24"/>
              </w:rPr>
              <w:t>Likumprojekts šo jomu neskar.</w:t>
            </w:r>
            <w:r>
              <w:rPr>
                <w:rFonts w:ascii="Times New Roman" w:eastAsia="Times New Roman" w:hAnsi="Times New Roman" w:cs="Times New Roman"/>
                <w:sz w:val="24"/>
              </w:rPr>
              <w:t xml:space="preserve"> </w:t>
            </w:r>
          </w:p>
        </w:tc>
      </w:tr>
      <w:tr w:rsidR="003064F5" w:rsidRPr="00C208E2" w14:paraId="3800F930" w14:textId="77777777" w:rsidTr="006A39CB">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2734FBED"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3.</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6B1703D"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Administratīvo izmaksu monetārs novērtējums</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02BB664" w14:textId="77777777" w:rsidR="008F594E" w:rsidRPr="00C208E2" w:rsidRDefault="008F594E" w:rsidP="007B1A47">
            <w:pPr>
              <w:spacing w:after="0" w:line="240" w:lineRule="auto"/>
              <w:ind w:firstLine="283"/>
              <w:rPr>
                <w:rFonts w:ascii="Times New Roman" w:hAnsi="Times New Roman" w:cs="Times New Roman"/>
                <w:sz w:val="24"/>
                <w:szCs w:val="24"/>
              </w:rPr>
            </w:pPr>
            <w:r>
              <w:rPr>
                <w:rFonts w:ascii="Times New Roman" w:eastAsia="Times New Roman" w:hAnsi="Times New Roman" w:cs="Times New Roman"/>
                <w:sz w:val="24"/>
                <w:szCs w:val="24"/>
              </w:rPr>
              <w:t>Likump</w:t>
            </w:r>
            <w:r w:rsidRPr="00C208E2">
              <w:rPr>
                <w:rFonts w:ascii="Times New Roman" w:eastAsia="Times New Roman" w:hAnsi="Times New Roman" w:cs="Times New Roman"/>
                <w:sz w:val="24"/>
                <w:szCs w:val="24"/>
              </w:rPr>
              <w:t>rojekts šo jomu neskar.</w:t>
            </w:r>
          </w:p>
        </w:tc>
      </w:tr>
      <w:tr w:rsidR="003064F5" w:rsidRPr="00C208E2" w14:paraId="1A515087" w14:textId="77777777" w:rsidTr="006A39CB">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18647EA1" w14:textId="77777777" w:rsidR="008F594E" w:rsidRPr="00C208E2" w:rsidRDefault="008F594E" w:rsidP="007B1A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625AB84F" w14:textId="77777777" w:rsidR="008F594E" w:rsidRPr="0084212F" w:rsidRDefault="008F594E" w:rsidP="007B1A47">
            <w:pPr>
              <w:spacing w:after="0" w:line="240" w:lineRule="auto"/>
              <w:rPr>
                <w:rFonts w:ascii="Times New Roman" w:eastAsia="Times New Roman" w:hAnsi="Times New Roman" w:cs="Times New Roman"/>
                <w:sz w:val="24"/>
                <w:szCs w:val="24"/>
              </w:rPr>
            </w:pPr>
            <w:r w:rsidRPr="0084212F">
              <w:rPr>
                <w:rFonts w:ascii="Times New Roman" w:hAnsi="Times New Roman" w:cs="Times New Roman"/>
                <w:sz w:val="24"/>
                <w:szCs w:val="24"/>
              </w:rPr>
              <w:t>Atbilstības izmaksu monetārs novērtējums</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4D5D9606" w14:textId="77777777" w:rsidR="008F594E" w:rsidRDefault="008F594E" w:rsidP="007B1A47">
            <w:pPr>
              <w:spacing w:after="0" w:line="240" w:lineRule="auto"/>
              <w:ind w:firstLine="283"/>
              <w:rPr>
                <w:rFonts w:ascii="Times New Roman" w:eastAsia="Times New Roman" w:hAnsi="Times New Roman" w:cs="Times New Roman"/>
                <w:sz w:val="24"/>
                <w:szCs w:val="24"/>
              </w:rPr>
            </w:pPr>
            <w:r>
              <w:rPr>
                <w:rFonts w:ascii="Times New Roman" w:eastAsia="Times New Roman" w:hAnsi="Times New Roman" w:cs="Times New Roman"/>
                <w:sz w:val="24"/>
                <w:szCs w:val="24"/>
              </w:rPr>
              <w:t>Likump</w:t>
            </w:r>
            <w:r w:rsidRPr="00C208E2">
              <w:rPr>
                <w:rFonts w:ascii="Times New Roman" w:eastAsia="Times New Roman" w:hAnsi="Times New Roman" w:cs="Times New Roman"/>
                <w:sz w:val="24"/>
                <w:szCs w:val="24"/>
              </w:rPr>
              <w:t>rojekts šo jomu neskar.</w:t>
            </w:r>
          </w:p>
        </w:tc>
      </w:tr>
      <w:tr w:rsidR="003064F5" w:rsidRPr="00C208E2" w14:paraId="6CEBBFEB" w14:textId="77777777" w:rsidTr="006A39CB">
        <w:tc>
          <w:tcPr>
            <w:tcW w:w="58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C8B178C" w14:textId="77777777" w:rsidR="008F594E" w:rsidRPr="00C208E2" w:rsidRDefault="008F594E" w:rsidP="007B1A4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5</w:t>
            </w:r>
            <w:r w:rsidRPr="00C208E2">
              <w:rPr>
                <w:rFonts w:ascii="Times New Roman" w:eastAsia="Times New Roman" w:hAnsi="Times New Roman" w:cs="Times New Roman"/>
                <w:sz w:val="24"/>
                <w:szCs w:val="24"/>
              </w:rPr>
              <w:t>.</w:t>
            </w:r>
          </w:p>
        </w:tc>
        <w:tc>
          <w:tcPr>
            <w:tcW w:w="2356"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3F131ACB" w14:textId="77777777" w:rsidR="008F594E" w:rsidRPr="00C208E2" w:rsidRDefault="008F594E" w:rsidP="007B1A47">
            <w:pPr>
              <w:spacing w:after="0" w:line="240" w:lineRule="auto"/>
              <w:rPr>
                <w:rFonts w:ascii="Times New Roman" w:hAnsi="Times New Roman" w:cs="Times New Roman"/>
                <w:sz w:val="24"/>
                <w:szCs w:val="24"/>
              </w:rPr>
            </w:pPr>
            <w:r w:rsidRPr="00C208E2">
              <w:rPr>
                <w:rFonts w:ascii="Times New Roman" w:eastAsia="Times New Roman" w:hAnsi="Times New Roman" w:cs="Times New Roman"/>
                <w:sz w:val="24"/>
                <w:szCs w:val="24"/>
              </w:rPr>
              <w:t>Cita informācija</w:t>
            </w:r>
          </w:p>
        </w:tc>
        <w:tc>
          <w:tcPr>
            <w:tcW w:w="6277" w:type="dxa"/>
            <w:tcBorders>
              <w:top w:val="single" w:sz="4" w:space="0" w:color="auto"/>
              <w:left w:val="single" w:sz="4" w:space="0" w:color="auto"/>
              <w:bottom w:val="single" w:sz="4" w:space="0" w:color="auto"/>
              <w:right w:val="single" w:sz="4" w:space="0" w:color="auto"/>
            </w:tcBorders>
            <w:shd w:val="clear" w:color="000000" w:fill="FFFFFF"/>
            <w:tcMar>
              <w:left w:w="30" w:type="dxa"/>
              <w:right w:w="30" w:type="dxa"/>
            </w:tcMar>
          </w:tcPr>
          <w:p w14:paraId="5AF7BBC8" w14:textId="77777777" w:rsidR="008F594E" w:rsidRPr="00C208E2" w:rsidRDefault="008F594E" w:rsidP="007B1A47">
            <w:pPr>
              <w:spacing w:after="0" w:line="240" w:lineRule="auto"/>
              <w:ind w:firstLine="283"/>
              <w:rPr>
                <w:rFonts w:ascii="Times New Roman" w:hAnsi="Times New Roman" w:cs="Times New Roman"/>
                <w:sz w:val="24"/>
                <w:szCs w:val="24"/>
              </w:rPr>
            </w:pPr>
            <w:r w:rsidRPr="00C208E2">
              <w:rPr>
                <w:rFonts w:ascii="Times New Roman" w:eastAsia="Times New Roman" w:hAnsi="Times New Roman" w:cs="Times New Roman"/>
                <w:sz w:val="24"/>
                <w:szCs w:val="24"/>
              </w:rPr>
              <w:t>Nav.</w:t>
            </w:r>
          </w:p>
        </w:tc>
      </w:tr>
      <w:tr w:rsidR="008F594E" w:rsidRPr="0082466A" w14:paraId="30B92B2C" w14:textId="77777777" w:rsidTr="00FD3F43">
        <w:tc>
          <w:tcPr>
            <w:tcW w:w="9219" w:type="dxa"/>
            <w:gridSpan w:val="3"/>
            <w:tcBorders>
              <w:top w:val="single" w:sz="4" w:space="0" w:color="auto"/>
            </w:tcBorders>
            <w:shd w:val="clear" w:color="000000" w:fill="FFFFFF"/>
            <w:tcMar>
              <w:left w:w="30" w:type="dxa"/>
              <w:right w:w="30" w:type="dxa"/>
            </w:tcMar>
          </w:tcPr>
          <w:p w14:paraId="09763875" w14:textId="6A371D1E" w:rsidR="00264C11" w:rsidRDefault="00264C11" w:rsidP="007B1A47">
            <w:pPr>
              <w:spacing w:after="0" w:line="240" w:lineRule="auto"/>
              <w:rPr>
                <w:rFonts w:ascii="Times New Roman" w:eastAsia="Times New Roman" w:hAnsi="Times New Roman" w:cs="Times New Roman"/>
                <w:sz w:val="24"/>
                <w:szCs w:val="24"/>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0"/>
            </w:tblGrid>
            <w:tr w:rsidR="0039386B" w14:paraId="6A8C0C87" w14:textId="77777777" w:rsidTr="0039386B">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387FCF" w14:textId="77777777" w:rsidR="0039386B" w:rsidRDefault="0039386B" w:rsidP="0039386B">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III. Tiesību akta projekta ietekme uz valsts budžetu un pašvaldību budžetiem </w:t>
                  </w:r>
                </w:p>
              </w:tc>
            </w:tr>
            <w:tr w:rsidR="0039386B" w14:paraId="613B716B" w14:textId="77777777" w:rsidTr="0039386B">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19C97934" w14:textId="77777777" w:rsidR="0039386B" w:rsidRDefault="0039386B" w:rsidP="0039386B">
                  <w:pPr>
                    <w:spacing w:after="0" w:line="240" w:lineRule="auto"/>
                    <w:ind w:firstLine="30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Likumprojekts šo jomu neskar.</w:t>
                  </w:r>
                </w:p>
              </w:tc>
            </w:tr>
          </w:tbl>
          <w:p w14:paraId="2978BC8A" w14:textId="77777777" w:rsidR="00264C11" w:rsidRDefault="00264C11" w:rsidP="007B1A47">
            <w:pPr>
              <w:spacing w:after="0" w:line="240" w:lineRule="auto"/>
              <w:rPr>
                <w:rFonts w:ascii="Times New Roman" w:eastAsia="Times New Roman" w:hAnsi="Times New Roman" w:cs="Times New Roman"/>
                <w:sz w:val="24"/>
                <w:szCs w:val="24"/>
              </w:rPr>
            </w:pPr>
          </w:p>
          <w:tbl>
            <w:tblPr>
              <w:tblW w:w="9143" w:type="dxa"/>
              <w:tblCellMar>
                <w:left w:w="10" w:type="dxa"/>
                <w:right w:w="10" w:type="dxa"/>
              </w:tblCellMar>
              <w:tblLook w:val="04A0" w:firstRow="1" w:lastRow="0" w:firstColumn="1" w:lastColumn="0" w:noHBand="0" w:noVBand="1"/>
            </w:tblPr>
            <w:tblGrid>
              <w:gridCol w:w="523"/>
              <w:gridCol w:w="2751"/>
              <w:gridCol w:w="5869"/>
            </w:tblGrid>
            <w:tr w:rsidR="008F594E" w:rsidRPr="0082466A" w14:paraId="7B2F83B1" w14:textId="77777777" w:rsidTr="000658D1">
              <w:trPr>
                <w:trHeight w:val="261"/>
              </w:trPr>
              <w:tc>
                <w:tcPr>
                  <w:tcW w:w="9143"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409A5158" w14:textId="77777777" w:rsidR="008F594E" w:rsidRPr="0082466A" w:rsidRDefault="008F594E" w:rsidP="007B1A47">
                  <w:pPr>
                    <w:spacing w:after="0" w:line="240" w:lineRule="auto"/>
                    <w:ind w:firstLine="300"/>
                    <w:jc w:val="center"/>
                    <w:rPr>
                      <w:rFonts w:ascii="Times New Roman" w:hAnsi="Times New Roman" w:cs="Times New Roman"/>
                      <w:sz w:val="24"/>
                      <w:szCs w:val="24"/>
                    </w:rPr>
                  </w:pPr>
                  <w:r w:rsidRPr="0082466A">
                    <w:rPr>
                      <w:rFonts w:ascii="Times New Roman" w:eastAsia="Times New Roman" w:hAnsi="Times New Roman" w:cs="Times New Roman"/>
                      <w:b/>
                      <w:sz w:val="24"/>
                      <w:szCs w:val="24"/>
                    </w:rPr>
                    <w:t>IV. Tiesību akta projekta ietekme uz spēkā esošo tiesību normu sistēmu</w:t>
                  </w:r>
                </w:p>
              </w:tc>
            </w:tr>
            <w:tr w:rsidR="008F594E" w:rsidRPr="0082466A" w14:paraId="30BB9BC4" w14:textId="77777777" w:rsidTr="000658D1">
              <w:trPr>
                <w:trHeight w:val="993"/>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8DC1EA0" w14:textId="77777777" w:rsidR="008F594E" w:rsidRPr="0082466A" w:rsidRDefault="008F594E" w:rsidP="007B1A47">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1.</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F8FCDBE" w14:textId="77777777" w:rsidR="008F594E" w:rsidRPr="0082466A" w:rsidRDefault="008F594E" w:rsidP="007B1A47">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S</w:t>
                  </w:r>
                  <w:r w:rsidRPr="0082466A">
                    <w:rPr>
                      <w:rFonts w:ascii="Times New Roman" w:eastAsia="Times New Roman" w:hAnsi="Times New Roman" w:cs="Times New Roman"/>
                      <w:sz w:val="24"/>
                      <w:szCs w:val="24"/>
                    </w:rPr>
                    <w:t>aistītie tiesību aktu projekti</w:t>
                  </w:r>
                </w:p>
              </w:tc>
              <w:tc>
                <w:tcPr>
                  <w:tcW w:w="5869"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E8C8AF5" w14:textId="15C98479" w:rsidR="008F594E" w:rsidRPr="0046203B" w:rsidRDefault="00841929" w:rsidP="0046203B">
                  <w:pPr>
                    <w:shd w:val="clear" w:color="auto" w:fill="FFFFFF"/>
                    <w:spacing w:after="0" w:line="240" w:lineRule="auto"/>
                    <w:ind w:firstLine="284"/>
                    <w:jc w:val="both"/>
                    <w:rPr>
                      <w:rFonts w:ascii="Times New Roman" w:hAnsi="Times New Roman" w:cs="Times New Roman"/>
                      <w:sz w:val="24"/>
                      <w:szCs w:val="24"/>
                    </w:rPr>
                  </w:pPr>
                  <w:r w:rsidRPr="00311AC7">
                    <w:rPr>
                      <w:rFonts w:ascii="Times New Roman" w:eastAsia="Calibri" w:hAnsi="Times New Roman" w:cs="Times New Roman"/>
                      <w:sz w:val="24"/>
                      <w:szCs w:val="24"/>
                    </w:rPr>
                    <w:t xml:space="preserve">Likumprojekts </w:t>
                  </w:r>
                  <w:r w:rsidRPr="00311AC7">
                    <w:rPr>
                      <w:rFonts w:ascii="Times New Roman" w:hAnsi="Times New Roman" w:cs="Times New Roman"/>
                      <w:sz w:val="24"/>
                      <w:szCs w:val="24"/>
                    </w:rPr>
                    <w:t>"Grozījumi Satversmes tiesas likumā"</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izstrādāts Satversmes tiesas neatkarības nodrošināšanai un Satversmes tiesas tiesneša statusa nostiprināšanai, paredzot </w:t>
                  </w:r>
                  <w:r w:rsidRPr="00CC6672">
                    <w:rPr>
                      <w:rFonts w:ascii="Times New Roman" w:eastAsia="Times New Roman" w:hAnsi="Times New Roman" w:cs="Times New Roman"/>
                      <w:color w:val="000000"/>
                      <w:sz w:val="24"/>
                      <w:szCs w:val="24"/>
                    </w:rPr>
                    <w:t>Satversmes tiesas tiesnešu sociālās garantijas pēc pilnvaru termiņa beigām;</w:t>
                  </w:r>
                  <w:r>
                    <w:rPr>
                      <w:rFonts w:ascii="Times New Roman" w:eastAsia="Times New Roman" w:hAnsi="Times New Roman" w:cs="Times New Roman"/>
                      <w:color w:val="000000"/>
                      <w:sz w:val="24"/>
                      <w:szCs w:val="24"/>
                    </w:rPr>
                    <w:t xml:space="preserve"> </w:t>
                  </w:r>
                  <w:r w:rsidRPr="00CC6672">
                    <w:rPr>
                      <w:rFonts w:ascii="Times New Roman" w:eastAsia="Calibri" w:hAnsi="Times New Roman" w:cs="Times New Roman"/>
                      <w:sz w:val="24"/>
                      <w:szCs w:val="24"/>
                    </w:rPr>
                    <w:t>Satversmes tiesas budžeta autonomiju;</w:t>
                  </w:r>
                  <w:r>
                    <w:rPr>
                      <w:rFonts w:ascii="Times New Roman" w:eastAsia="Calibri" w:hAnsi="Times New Roman" w:cs="Times New Roman"/>
                      <w:sz w:val="24"/>
                      <w:szCs w:val="24"/>
                    </w:rPr>
                    <w:t xml:space="preserve"> </w:t>
                  </w:r>
                  <w:r w:rsidRPr="00CC6672">
                    <w:rPr>
                      <w:rFonts w:ascii="Times New Roman" w:hAnsi="Times New Roman" w:cs="Times New Roman"/>
                      <w:sz w:val="24"/>
                      <w:szCs w:val="24"/>
                    </w:rPr>
                    <w:t>Satversmes tiesā Administratīvā vadītāja vietas izveidi;</w:t>
                  </w:r>
                  <w:r>
                    <w:rPr>
                      <w:rFonts w:ascii="Times New Roman" w:hAnsi="Times New Roman" w:cs="Times New Roman"/>
                      <w:sz w:val="24"/>
                      <w:szCs w:val="24"/>
                    </w:rPr>
                    <w:t xml:space="preserve"> </w:t>
                  </w:r>
                  <w:r w:rsidRPr="00CC6672">
                    <w:rPr>
                      <w:rFonts w:ascii="Times New Roman" w:hAnsi="Times New Roman" w:cs="Times New Roman"/>
                      <w:sz w:val="24"/>
                      <w:szCs w:val="24"/>
                    </w:rPr>
                    <w:t>juridiskās palīdzības sniedzēja pilnvarojumu lietās, kad juridiskās palīdzības saņēmējam tiek sniegta valsts nodrošinātā juridiskā palīdzība.</w:t>
                  </w:r>
                </w:p>
              </w:tc>
            </w:tr>
            <w:tr w:rsidR="008F594E" w:rsidRPr="0082466A" w14:paraId="7C031B63" w14:textId="77777777" w:rsidTr="000658D1">
              <w:trPr>
                <w:trHeight w:val="261"/>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85381FA" w14:textId="77777777" w:rsidR="008F594E" w:rsidRPr="0082466A" w:rsidRDefault="008F594E" w:rsidP="007B1A47">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2.</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26AE0A25" w14:textId="77777777" w:rsidR="008F594E" w:rsidRPr="0082466A" w:rsidRDefault="008F594E" w:rsidP="007B1A47">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Atbildīgā institūcija</w:t>
                  </w:r>
                </w:p>
              </w:tc>
              <w:tc>
                <w:tcPr>
                  <w:tcW w:w="5869"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7DC7FB5D" w14:textId="77777777" w:rsidR="008F594E" w:rsidRPr="0082466A" w:rsidRDefault="008F594E" w:rsidP="00857F9A">
                  <w:pPr>
                    <w:spacing w:after="0" w:line="240" w:lineRule="auto"/>
                    <w:ind w:firstLine="284"/>
                    <w:rPr>
                      <w:rFonts w:ascii="Times New Roman" w:hAnsi="Times New Roman" w:cs="Times New Roman"/>
                      <w:sz w:val="24"/>
                      <w:szCs w:val="24"/>
                    </w:rPr>
                  </w:pPr>
                  <w:r w:rsidRPr="0082466A">
                    <w:rPr>
                      <w:rFonts w:ascii="Times New Roman" w:eastAsia="Times New Roman" w:hAnsi="Times New Roman" w:cs="Times New Roman"/>
                      <w:sz w:val="24"/>
                      <w:szCs w:val="24"/>
                    </w:rPr>
                    <w:t>Tieslietu ministrija.</w:t>
                  </w:r>
                </w:p>
              </w:tc>
            </w:tr>
            <w:tr w:rsidR="008F594E" w:rsidRPr="0082466A" w14:paraId="69E2BEA1" w14:textId="77777777" w:rsidTr="000658D1">
              <w:trPr>
                <w:trHeight w:val="275"/>
              </w:trPr>
              <w:tc>
                <w:tcPr>
                  <w:tcW w:w="523"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E3EA7DE" w14:textId="77777777" w:rsidR="008F594E" w:rsidRPr="0082466A" w:rsidRDefault="008F594E" w:rsidP="007B1A47">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3.</w:t>
                  </w:r>
                </w:p>
              </w:tc>
              <w:tc>
                <w:tcPr>
                  <w:tcW w:w="2751"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4BAAFB6" w14:textId="77777777" w:rsidR="008F594E" w:rsidRPr="0082466A" w:rsidRDefault="008F594E" w:rsidP="007B1A47">
                  <w:pPr>
                    <w:spacing w:after="0" w:line="240" w:lineRule="auto"/>
                    <w:rPr>
                      <w:rFonts w:ascii="Times New Roman" w:hAnsi="Times New Roman" w:cs="Times New Roman"/>
                      <w:sz w:val="24"/>
                      <w:szCs w:val="24"/>
                    </w:rPr>
                  </w:pPr>
                  <w:r w:rsidRPr="0082466A">
                    <w:rPr>
                      <w:rFonts w:ascii="Times New Roman" w:eastAsia="Times New Roman" w:hAnsi="Times New Roman" w:cs="Times New Roman"/>
                      <w:sz w:val="24"/>
                      <w:szCs w:val="24"/>
                    </w:rPr>
                    <w:t>Cita informācija</w:t>
                  </w:r>
                </w:p>
              </w:tc>
              <w:tc>
                <w:tcPr>
                  <w:tcW w:w="5869"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8F3BE91" w14:textId="77777777" w:rsidR="008F594E" w:rsidRPr="0082466A" w:rsidRDefault="008F594E" w:rsidP="00857F9A">
                  <w:pPr>
                    <w:spacing w:after="0" w:line="240" w:lineRule="auto"/>
                    <w:ind w:firstLine="284"/>
                    <w:rPr>
                      <w:rFonts w:ascii="Times New Roman" w:hAnsi="Times New Roman" w:cs="Times New Roman"/>
                      <w:sz w:val="24"/>
                      <w:szCs w:val="24"/>
                    </w:rPr>
                  </w:pPr>
                  <w:r w:rsidRPr="0082466A">
                    <w:rPr>
                      <w:rFonts w:ascii="Times New Roman" w:eastAsia="Times New Roman" w:hAnsi="Times New Roman" w:cs="Times New Roman"/>
                      <w:sz w:val="24"/>
                      <w:szCs w:val="24"/>
                    </w:rPr>
                    <w:t>Nav.</w:t>
                  </w:r>
                </w:p>
              </w:tc>
            </w:tr>
          </w:tbl>
          <w:p w14:paraId="3AB80D4A" w14:textId="77777777" w:rsidR="008F594E" w:rsidRDefault="008F594E" w:rsidP="007B1A47">
            <w:pPr>
              <w:spacing w:after="0" w:line="240" w:lineRule="auto"/>
              <w:rPr>
                <w:rFonts w:ascii="Times New Roman" w:eastAsia="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43"/>
            </w:tblGrid>
            <w:tr w:rsidR="008F594E" w:rsidRPr="00FA1485" w14:paraId="30CC61EA" w14:textId="77777777" w:rsidTr="007B1A47">
              <w:tc>
                <w:tcPr>
                  <w:tcW w:w="5000" w:type="pct"/>
                  <w:tcBorders>
                    <w:top w:val="outset" w:sz="6" w:space="0" w:color="414142"/>
                    <w:left w:val="outset" w:sz="6" w:space="0" w:color="414142"/>
                    <w:bottom w:val="outset" w:sz="6" w:space="0" w:color="414142"/>
                    <w:right w:val="outset" w:sz="6" w:space="0" w:color="414142"/>
                  </w:tcBorders>
                  <w:vAlign w:val="center"/>
                  <w:hideMark/>
                </w:tcPr>
                <w:p w14:paraId="41E2B1D0" w14:textId="77777777" w:rsidR="008F594E" w:rsidRPr="00FA1485" w:rsidRDefault="008F594E" w:rsidP="007B1A47">
                  <w:pPr>
                    <w:spacing w:after="0" w:line="240" w:lineRule="auto"/>
                    <w:ind w:firstLine="300"/>
                    <w:jc w:val="center"/>
                    <w:rPr>
                      <w:rFonts w:ascii="Times New Roman" w:eastAsia="Times New Roman" w:hAnsi="Times New Roman" w:cs="Times New Roman"/>
                      <w:b/>
                      <w:bCs/>
                      <w:sz w:val="24"/>
                      <w:szCs w:val="24"/>
                    </w:rPr>
                  </w:pPr>
                  <w:r w:rsidRPr="00FA1485">
                    <w:rPr>
                      <w:rFonts w:ascii="Times New Roman" w:eastAsia="Times New Roman" w:hAnsi="Times New Roman" w:cs="Times New Roman"/>
                      <w:b/>
                      <w:bCs/>
                      <w:sz w:val="24"/>
                      <w:szCs w:val="24"/>
                    </w:rPr>
                    <w:t>V. Tiesību akta projekta atbilstība Latvijas Republikas starptautiskajām saistībām</w:t>
                  </w:r>
                </w:p>
              </w:tc>
            </w:tr>
            <w:tr w:rsidR="008F594E" w:rsidRPr="00FA1485" w14:paraId="27DFEA1D" w14:textId="77777777" w:rsidTr="007B1A47">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2BD51052" w14:textId="76502E20" w:rsidR="00264C11" w:rsidRPr="00FA1485" w:rsidRDefault="008F594E" w:rsidP="00264C11">
                  <w:pPr>
                    <w:spacing w:after="0" w:line="240" w:lineRule="auto"/>
                    <w:ind w:firstLine="30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Likump</w:t>
                  </w:r>
                  <w:r w:rsidRPr="00FA1485">
                    <w:rPr>
                      <w:rFonts w:ascii="Times New Roman" w:eastAsia="Times New Roman" w:hAnsi="Times New Roman" w:cs="Times New Roman"/>
                      <w:bCs/>
                      <w:sz w:val="24"/>
                      <w:szCs w:val="24"/>
                    </w:rPr>
                    <w:t>rojekts šo jomu neskar</w:t>
                  </w:r>
                  <w:r>
                    <w:rPr>
                      <w:rFonts w:ascii="Times New Roman" w:eastAsia="Times New Roman" w:hAnsi="Times New Roman" w:cs="Times New Roman"/>
                      <w:bCs/>
                      <w:sz w:val="24"/>
                      <w:szCs w:val="24"/>
                    </w:rPr>
                    <w:t>.</w:t>
                  </w:r>
                </w:p>
              </w:tc>
            </w:tr>
          </w:tbl>
          <w:p w14:paraId="54252995" w14:textId="77777777" w:rsidR="008F594E" w:rsidRPr="0082466A" w:rsidRDefault="008F594E" w:rsidP="007B1A47">
            <w:pPr>
              <w:spacing w:after="0" w:line="240" w:lineRule="auto"/>
              <w:rPr>
                <w:rFonts w:ascii="Times New Roman" w:hAnsi="Times New Roman" w:cs="Times New Roman"/>
                <w:sz w:val="24"/>
                <w:szCs w:val="24"/>
              </w:rPr>
            </w:pPr>
          </w:p>
        </w:tc>
      </w:tr>
      <w:tr w:rsidR="008F594E" w:rsidRPr="00C208E2" w14:paraId="5C052446" w14:textId="77777777" w:rsidTr="00FD3F43">
        <w:tc>
          <w:tcPr>
            <w:tcW w:w="9219" w:type="dxa"/>
            <w:gridSpan w:val="3"/>
            <w:shd w:val="clear" w:color="000000" w:fill="FFFFFF"/>
            <w:tcMar>
              <w:left w:w="30" w:type="dxa"/>
              <w:right w:w="30" w:type="dxa"/>
            </w:tcMar>
            <w:vAlign w:val="center"/>
          </w:tcPr>
          <w:p w14:paraId="7CA9F688" w14:textId="4F66C84B" w:rsidR="00264C11" w:rsidRDefault="00264C11" w:rsidP="007B1A47">
            <w:pPr>
              <w:spacing w:after="0" w:line="240" w:lineRule="auto"/>
              <w:jc w:val="center"/>
              <w:rPr>
                <w:rFonts w:ascii="Times New Roman" w:eastAsia="Times New Roman" w:hAnsi="Times New Roman" w:cs="Times New Roman"/>
                <w:b/>
                <w:sz w:val="24"/>
                <w:szCs w:val="24"/>
              </w:rPr>
            </w:pPr>
          </w:p>
          <w:tbl>
            <w:tblPr>
              <w:tblW w:w="4993" w:type="pct"/>
              <w:tblInd w:w="1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0"/>
            </w:tblGrid>
            <w:tr w:rsidR="007B7F96" w14:paraId="0B30F434" w14:textId="77777777" w:rsidTr="007B1A47">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92E95AD" w14:textId="50AA364B" w:rsidR="007B7F96" w:rsidRDefault="007B7F96" w:rsidP="007B7F96">
                  <w:pPr>
                    <w:spacing w:after="0" w:line="240" w:lineRule="auto"/>
                    <w:ind w:firstLine="30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 Sabiedrības līdzdalība un komunikācijas aktivitātes</w:t>
                  </w:r>
                </w:p>
              </w:tc>
            </w:tr>
            <w:tr w:rsidR="007B7F96" w14:paraId="768C398A" w14:textId="77777777" w:rsidTr="007B1A47">
              <w:trPr>
                <w:trHeight w:val="30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70152729" w14:textId="77777777" w:rsidR="007B7F96" w:rsidRDefault="007B7F96" w:rsidP="007B7F96">
                  <w:pPr>
                    <w:spacing w:after="0" w:line="240" w:lineRule="auto"/>
                    <w:ind w:firstLine="30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Likumprojekts šo jomu neskar.</w:t>
                  </w:r>
                </w:p>
              </w:tc>
            </w:tr>
          </w:tbl>
          <w:p w14:paraId="397A948E" w14:textId="0F5A5F16" w:rsidR="00264C11" w:rsidRDefault="00264C11" w:rsidP="007B7F96">
            <w:pPr>
              <w:spacing w:after="0" w:line="240" w:lineRule="auto"/>
              <w:rPr>
                <w:rFonts w:ascii="Times New Roman" w:eastAsia="Times New Roman" w:hAnsi="Times New Roman" w:cs="Times New Roman"/>
                <w:b/>
                <w:sz w:val="24"/>
                <w:szCs w:val="24"/>
              </w:rPr>
            </w:pPr>
          </w:p>
          <w:p w14:paraId="0BE0F795" w14:textId="77777777" w:rsidR="006A39CB" w:rsidRPr="006A39CB" w:rsidRDefault="006A39CB" w:rsidP="006A39CB">
            <w:pPr>
              <w:spacing w:after="0" w:line="240" w:lineRule="auto"/>
              <w:rPr>
                <w:rFonts w:ascii="Times New Roman" w:eastAsia="Times New Roman" w:hAnsi="Times New Roman" w:cs="Times New Roman"/>
                <w:sz w:val="24"/>
                <w:szCs w:val="24"/>
              </w:rPr>
            </w:pPr>
            <w:bookmarkStart w:id="0" w:name="_GoBack"/>
            <w:bookmarkEnd w:id="0"/>
          </w:p>
          <w:tbl>
            <w:tblPr>
              <w:tblW w:w="0" w:type="auto"/>
              <w:tblInd w:w="30" w:type="dxa"/>
              <w:tblCellMar>
                <w:left w:w="10" w:type="dxa"/>
                <w:right w:w="10" w:type="dxa"/>
              </w:tblCellMar>
              <w:tblLook w:val="04A0" w:firstRow="1" w:lastRow="0" w:firstColumn="1" w:lastColumn="0" w:noHBand="0" w:noVBand="1"/>
            </w:tblPr>
            <w:tblGrid>
              <w:gridCol w:w="452"/>
              <w:gridCol w:w="3338"/>
              <w:gridCol w:w="5235"/>
            </w:tblGrid>
            <w:tr w:rsidR="006A39CB" w:rsidRPr="006A39CB" w14:paraId="5FBBC542" w14:textId="77777777" w:rsidTr="006A39CB">
              <w:tc>
                <w:tcPr>
                  <w:tcW w:w="9025" w:type="dxa"/>
                  <w:gridSpan w:val="3"/>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vAlign w:val="center"/>
                </w:tcPr>
                <w:p w14:paraId="5086D590" w14:textId="77777777" w:rsidR="006A39CB" w:rsidRPr="006A39CB" w:rsidRDefault="006A39CB" w:rsidP="006A39CB">
                  <w:pPr>
                    <w:spacing w:after="0" w:line="240" w:lineRule="auto"/>
                    <w:jc w:val="center"/>
                    <w:rPr>
                      <w:rFonts w:ascii="Times New Roman" w:hAnsi="Times New Roman" w:cs="Times New Roman"/>
                      <w:sz w:val="24"/>
                      <w:szCs w:val="24"/>
                    </w:rPr>
                  </w:pPr>
                  <w:r w:rsidRPr="006A39CB">
                    <w:rPr>
                      <w:rFonts w:ascii="Times New Roman" w:eastAsia="Times New Roman" w:hAnsi="Times New Roman" w:cs="Times New Roman"/>
                      <w:b/>
                      <w:sz w:val="24"/>
                      <w:szCs w:val="24"/>
                    </w:rPr>
                    <w:t>VII. Tiesību akta projekta izpildes nodrošināšana un tās ietekme uz institūcijām</w:t>
                  </w:r>
                </w:p>
              </w:tc>
            </w:tr>
            <w:tr w:rsidR="006A39CB" w:rsidRPr="006A39CB" w14:paraId="0E7211D5" w14:textId="77777777" w:rsidTr="006A39CB">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18B6DE9" w14:textId="77777777" w:rsidR="006A39CB" w:rsidRPr="006A39CB" w:rsidRDefault="006A39CB" w:rsidP="006A39CB">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1.</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1D0463EE" w14:textId="77777777" w:rsidR="006A39CB" w:rsidRPr="006A39CB" w:rsidRDefault="006A39CB" w:rsidP="006A39CB">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Projekta izpildē iesaistītās institūcijas</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C7A6499" w14:textId="500DBE49" w:rsidR="006A39CB" w:rsidRPr="006A39CB" w:rsidRDefault="006A39CB" w:rsidP="006A39C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Satversmes tiesa, </w:t>
                  </w:r>
                  <w:r w:rsidRPr="006A39CB">
                    <w:rPr>
                      <w:rFonts w:ascii="Times New Roman" w:eastAsia="Times New Roman" w:hAnsi="Times New Roman" w:cs="Times New Roman"/>
                      <w:sz w:val="24"/>
                      <w:szCs w:val="24"/>
                    </w:rPr>
                    <w:t>Augstākā tiesa.</w:t>
                  </w:r>
                </w:p>
              </w:tc>
            </w:tr>
            <w:tr w:rsidR="006A39CB" w:rsidRPr="006A39CB" w14:paraId="0FFB6206" w14:textId="77777777" w:rsidTr="006A39CB">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4922E076" w14:textId="77777777" w:rsidR="006A39CB" w:rsidRPr="006A39CB" w:rsidRDefault="006A39CB" w:rsidP="006A39CB">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2.</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A09DEAA" w14:textId="77777777" w:rsidR="006A39CB" w:rsidRPr="006A39CB" w:rsidRDefault="006A39CB" w:rsidP="006A39CB">
                  <w:pPr>
                    <w:spacing w:after="0" w:line="240" w:lineRule="auto"/>
                    <w:rPr>
                      <w:rFonts w:ascii="Times New Roman" w:eastAsia="Times New Roman" w:hAnsi="Times New Roman" w:cs="Times New Roman"/>
                      <w:sz w:val="24"/>
                      <w:szCs w:val="24"/>
                    </w:rPr>
                  </w:pPr>
                  <w:r w:rsidRPr="006A39CB">
                    <w:rPr>
                      <w:rFonts w:ascii="Times New Roman" w:eastAsia="Times New Roman" w:hAnsi="Times New Roman" w:cs="Times New Roman"/>
                      <w:sz w:val="24"/>
                      <w:szCs w:val="24"/>
                    </w:rPr>
                    <w:t xml:space="preserve">Projekta izpildes ietekme uz pārvaldes funkcijām un institucionālo struktūru. </w:t>
                  </w:r>
                </w:p>
                <w:p w14:paraId="47B00AC1" w14:textId="77777777" w:rsidR="006A39CB" w:rsidRPr="006A39CB" w:rsidRDefault="006A39CB" w:rsidP="006A39CB">
                  <w:pPr>
                    <w:spacing w:after="0" w:line="240" w:lineRule="auto"/>
                    <w:rPr>
                      <w:rFonts w:ascii="Times New Roman" w:eastAsia="Times New Roman" w:hAnsi="Times New Roman" w:cs="Times New Roman"/>
                      <w:sz w:val="24"/>
                      <w:szCs w:val="24"/>
                    </w:rPr>
                  </w:pPr>
                </w:p>
                <w:p w14:paraId="479976A3" w14:textId="77777777" w:rsidR="006A39CB" w:rsidRPr="006A39CB" w:rsidRDefault="006A39CB" w:rsidP="006A39CB">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656933F6" w14:textId="77777777" w:rsidR="006A39CB" w:rsidRPr="006A39CB" w:rsidRDefault="006A39CB" w:rsidP="006A39CB">
                  <w:pPr>
                    <w:spacing w:after="0" w:line="240" w:lineRule="auto"/>
                    <w:ind w:firstLine="284"/>
                    <w:jc w:val="both"/>
                    <w:rPr>
                      <w:rFonts w:ascii="Times New Roman" w:hAnsi="Times New Roman" w:cs="Times New Roman"/>
                      <w:sz w:val="24"/>
                      <w:szCs w:val="24"/>
                    </w:rPr>
                  </w:pPr>
                  <w:r w:rsidRPr="006A39CB">
                    <w:rPr>
                      <w:rFonts w:ascii="Times New Roman" w:eastAsia="Times New Roman" w:hAnsi="Times New Roman" w:cs="Times New Roman"/>
                      <w:sz w:val="24"/>
                      <w:szCs w:val="24"/>
                    </w:rPr>
                    <w:t>Likumprojekta izpilde nerada ietekmi uz pārvaldes funkcijām un institucionālo struktūru. Nav nepieciešama jaunu institūciju izveide, esošu institūciju likvidācija vai reorganizācija.</w:t>
                  </w:r>
                </w:p>
              </w:tc>
            </w:tr>
            <w:tr w:rsidR="006A39CB" w:rsidRPr="006A39CB" w14:paraId="7BEB8D58" w14:textId="77777777" w:rsidTr="006A39CB">
              <w:tc>
                <w:tcPr>
                  <w:tcW w:w="452"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9EC4B1C" w14:textId="77777777" w:rsidR="006A39CB" w:rsidRPr="006A39CB" w:rsidRDefault="006A39CB" w:rsidP="006A39CB">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3.</w:t>
                  </w:r>
                </w:p>
              </w:tc>
              <w:tc>
                <w:tcPr>
                  <w:tcW w:w="3338"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390A3D3A" w14:textId="77777777" w:rsidR="006A39CB" w:rsidRPr="006A39CB" w:rsidRDefault="006A39CB" w:rsidP="006A39CB">
                  <w:pPr>
                    <w:spacing w:after="0" w:line="240" w:lineRule="auto"/>
                    <w:rPr>
                      <w:rFonts w:ascii="Times New Roman" w:hAnsi="Times New Roman" w:cs="Times New Roman"/>
                      <w:sz w:val="24"/>
                      <w:szCs w:val="24"/>
                    </w:rPr>
                  </w:pPr>
                  <w:r w:rsidRPr="006A39CB">
                    <w:rPr>
                      <w:rFonts w:ascii="Times New Roman" w:eastAsia="Times New Roman" w:hAnsi="Times New Roman" w:cs="Times New Roman"/>
                      <w:sz w:val="24"/>
                      <w:szCs w:val="24"/>
                    </w:rPr>
                    <w:t>Cita informācija</w:t>
                  </w:r>
                </w:p>
              </w:tc>
              <w:tc>
                <w:tcPr>
                  <w:tcW w:w="5235" w:type="dxa"/>
                  <w:tcBorders>
                    <w:top w:val="single" w:sz="6" w:space="0" w:color="414142"/>
                    <w:left w:val="single" w:sz="6" w:space="0" w:color="414142"/>
                    <w:bottom w:val="single" w:sz="6" w:space="0" w:color="414142"/>
                    <w:right w:val="single" w:sz="6" w:space="0" w:color="414142"/>
                  </w:tcBorders>
                  <w:shd w:val="clear" w:color="000000" w:fill="FFFFFF"/>
                  <w:tcMar>
                    <w:left w:w="30" w:type="dxa"/>
                    <w:right w:w="30" w:type="dxa"/>
                  </w:tcMar>
                </w:tcPr>
                <w:p w14:paraId="58DB9B8E" w14:textId="77777777" w:rsidR="006A39CB" w:rsidRPr="006A39CB" w:rsidRDefault="006A39CB" w:rsidP="006A39CB">
                  <w:pPr>
                    <w:spacing w:after="0" w:line="240" w:lineRule="auto"/>
                    <w:ind w:firstLine="284"/>
                    <w:rPr>
                      <w:rFonts w:ascii="Times New Roman" w:hAnsi="Times New Roman" w:cs="Times New Roman"/>
                      <w:sz w:val="24"/>
                      <w:szCs w:val="24"/>
                    </w:rPr>
                  </w:pPr>
                  <w:r w:rsidRPr="006A39CB">
                    <w:rPr>
                      <w:rFonts w:ascii="Times New Roman" w:eastAsia="Times New Roman" w:hAnsi="Times New Roman" w:cs="Times New Roman"/>
                      <w:sz w:val="24"/>
                      <w:szCs w:val="24"/>
                    </w:rPr>
                    <w:t>Nav.</w:t>
                  </w:r>
                </w:p>
              </w:tc>
            </w:tr>
          </w:tbl>
          <w:p w14:paraId="4AB9FBFE" w14:textId="77777777" w:rsidR="008F594E" w:rsidRPr="00C208E2" w:rsidRDefault="008F594E" w:rsidP="00264C11">
            <w:pPr>
              <w:spacing w:after="0" w:line="240" w:lineRule="auto"/>
              <w:rPr>
                <w:rFonts w:ascii="Times New Roman" w:hAnsi="Times New Roman" w:cs="Times New Roman"/>
                <w:sz w:val="24"/>
                <w:szCs w:val="24"/>
              </w:rPr>
            </w:pPr>
          </w:p>
        </w:tc>
      </w:tr>
    </w:tbl>
    <w:p w14:paraId="00B8CC29" w14:textId="77777777" w:rsidR="000658D1" w:rsidRDefault="000658D1" w:rsidP="000658D1">
      <w:pPr>
        <w:tabs>
          <w:tab w:val="left" w:pos="7371"/>
        </w:tabs>
        <w:spacing w:after="0" w:line="240" w:lineRule="auto"/>
        <w:jc w:val="both"/>
        <w:rPr>
          <w:rFonts w:ascii="Times New Roman" w:eastAsia="Times New Roman" w:hAnsi="Times New Roman" w:cs="Times New Roman"/>
          <w:sz w:val="24"/>
          <w:szCs w:val="24"/>
        </w:rPr>
      </w:pPr>
    </w:p>
    <w:p w14:paraId="6FBA4568" w14:textId="77777777" w:rsidR="00A42DE6" w:rsidRPr="00A42DE6" w:rsidRDefault="00A42DE6" w:rsidP="00A42DE6">
      <w:pPr>
        <w:spacing w:after="0" w:line="240" w:lineRule="auto"/>
        <w:jc w:val="both"/>
        <w:rPr>
          <w:rFonts w:ascii="Times New Roman" w:eastAsia="Times New Roman" w:hAnsi="Times New Roman" w:cs="Times New Roman"/>
          <w:sz w:val="24"/>
          <w:szCs w:val="24"/>
        </w:rPr>
      </w:pPr>
      <w:r w:rsidRPr="00A42DE6">
        <w:rPr>
          <w:rFonts w:ascii="Times New Roman" w:eastAsia="Times New Roman" w:hAnsi="Times New Roman" w:cs="Times New Roman"/>
          <w:sz w:val="24"/>
          <w:szCs w:val="24"/>
        </w:rPr>
        <w:t>Iesniedzējs:</w:t>
      </w:r>
    </w:p>
    <w:p w14:paraId="6A71140D" w14:textId="280E3D49" w:rsidR="00A42DE6" w:rsidRPr="00A42DE6" w:rsidRDefault="00490A36" w:rsidP="00A42DE6">
      <w:pPr>
        <w:tabs>
          <w:tab w:val="left" w:pos="7371"/>
        </w:tabs>
        <w:spacing w:after="0" w:line="240" w:lineRule="auto"/>
        <w:jc w:val="both"/>
        <w:rPr>
          <w:rFonts w:ascii="Times New Roman" w:eastAsia="Times New Roman" w:hAnsi="Times New Roman" w:cs="Times New Roman"/>
          <w:sz w:val="24"/>
          <w:szCs w:val="24"/>
        </w:rPr>
      </w:pPr>
      <w:r>
        <w:rPr>
          <w:rFonts w:ascii="Times New Roman" w:hAnsi="Times New Roman" w:cs="Times New Roman"/>
          <w:color w:val="000000"/>
          <w:sz w:val="24"/>
          <w:szCs w:val="24"/>
        </w:rPr>
        <w:t>Tieslietu ministrijas valsts sekretārs</w:t>
      </w:r>
      <w:r w:rsidR="00A42DE6" w:rsidRPr="00A42DE6">
        <w:rPr>
          <w:rFonts w:ascii="Times New Roman" w:eastAsia="Times New Roman" w:hAnsi="Times New Roman" w:cs="Times New Roman"/>
          <w:sz w:val="24"/>
          <w:szCs w:val="24"/>
        </w:rPr>
        <w:tab/>
      </w:r>
      <w:r>
        <w:rPr>
          <w:rFonts w:ascii="Times New Roman" w:eastAsia="Times New Roman" w:hAnsi="Times New Roman" w:cs="Times New Roman"/>
          <w:sz w:val="24"/>
          <w:szCs w:val="24"/>
        </w:rPr>
        <w:t>Raivis Kronbergs</w:t>
      </w:r>
    </w:p>
    <w:p w14:paraId="0F1B1895" w14:textId="77777777" w:rsidR="00A42DE6" w:rsidRPr="00A42DE6" w:rsidRDefault="00A42DE6" w:rsidP="00A42DE6">
      <w:pPr>
        <w:spacing w:after="0" w:line="240" w:lineRule="auto"/>
        <w:rPr>
          <w:rFonts w:ascii="Times New Roman" w:eastAsia="Times New Roman" w:hAnsi="Times New Roman" w:cs="Times New Roman"/>
          <w:sz w:val="20"/>
          <w:szCs w:val="20"/>
        </w:rPr>
      </w:pPr>
    </w:p>
    <w:p w14:paraId="4093DD94" w14:textId="03A851CF" w:rsidR="00A42DE6" w:rsidRDefault="00A42DE6" w:rsidP="008F594E">
      <w:pPr>
        <w:spacing w:after="0" w:line="240" w:lineRule="auto"/>
        <w:rPr>
          <w:rFonts w:ascii="Times New Roman" w:eastAsia="Times New Roman" w:hAnsi="Times New Roman" w:cs="Times New Roman"/>
          <w:sz w:val="24"/>
          <w:szCs w:val="24"/>
        </w:rPr>
      </w:pPr>
    </w:p>
    <w:p w14:paraId="6B5719E9" w14:textId="77777777" w:rsidR="00A42DE6" w:rsidRDefault="00A42DE6" w:rsidP="008F594E">
      <w:pPr>
        <w:spacing w:after="0" w:line="240" w:lineRule="auto"/>
        <w:rPr>
          <w:rFonts w:ascii="Times New Roman" w:eastAsia="Times New Roman" w:hAnsi="Times New Roman" w:cs="Times New Roman"/>
          <w:i/>
          <w:sz w:val="24"/>
          <w:szCs w:val="24"/>
        </w:rPr>
      </w:pPr>
    </w:p>
    <w:p w14:paraId="05167E5F" w14:textId="4551F2E9" w:rsidR="008F594E" w:rsidRPr="00FF159F" w:rsidRDefault="008F594E" w:rsidP="008F594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Bajāre-Grīnberga </w:t>
      </w:r>
      <w:r w:rsidRPr="00FF159F">
        <w:rPr>
          <w:rFonts w:ascii="Times New Roman" w:eastAsia="Times New Roman" w:hAnsi="Times New Roman" w:cs="Times New Roman"/>
          <w:sz w:val="20"/>
          <w:szCs w:val="20"/>
        </w:rPr>
        <w:t>67036</w:t>
      </w:r>
      <w:r>
        <w:rPr>
          <w:rFonts w:ascii="Times New Roman" w:eastAsia="Times New Roman" w:hAnsi="Times New Roman" w:cs="Times New Roman"/>
          <w:sz w:val="20"/>
          <w:szCs w:val="20"/>
        </w:rPr>
        <w:t>789</w:t>
      </w:r>
    </w:p>
    <w:p w14:paraId="757C5002" w14:textId="46C309D7" w:rsidR="0046203B" w:rsidRPr="0046203B" w:rsidRDefault="008F594E" w:rsidP="006A39C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0"/>
          <w:szCs w:val="20"/>
          <w:u w:val="single"/>
        </w:rPr>
        <w:t>Kintija.Bajare-Grinberga@tm.gov.lv</w:t>
      </w:r>
    </w:p>
    <w:p w14:paraId="1D0D4EE6" w14:textId="77777777" w:rsidR="0046203B" w:rsidRPr="0046203B" w:rsidRDefault="0046203B" w:rsidP="006A39CB">
      <w:pPr>
        <w:rPr>
          <w:rFonts w:ascii="Times New Roman" w:eastAsia="Times New Roman" w:hAnsi="Times New Roman" w:cs="Times New Roman"/>
          <w:sz w:val="24"/>
          <w:szCs w:val="24"/>
        </w:rPr>
      </w:pPr>
    </w:p>
    <w:sectPr w:rsidR="0046203B" w:rsidRPr="0046203B" w:rsidSect="006A39CB">
      <w:headerReference w:type="default" r:id="rId8"/>
      <w:footerReference w:type="default" r:id="rId9"/>
      <w:footerReference w:type="first" r:id="rId10"/>
      <w:pgSz w:w="11906" w:h="16838"/>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859A5" w14:textId="77777777" w:rsidR="007B1A47" w:rsidRDefault="007B1A47">
      <w:pPr>
        <w:spacing w:after="0" w:line="240" w:lineRule="auto"/>
      </w:pPr>
      <w:r>
        <w:separator/>
      </w:r>
    </w:p>
  </w:endnote>
  <w:endnote w:type="continuationSeparator" w:id="0">
    <w:p w14:paraId="78EBF16D" w14:textId="77777777" w:rsidR="007B1A47" w:rsidRDefault="007B1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4BE7" w14:textId="212015CD" w:rsidR="007B1A47" w:rsidRPr="00E56BA2" w:rsidRDefault="0046315E" w:rsidP="00E56BA2">
    <w:pPr>
      <w:spacing w:after="0" w:line="240" w:lineRule="auto"/>
      <w:contextualSpacing/>
      <w:jc w:val="both"/>
      <w:rPr>
        <w:rFonts w:ascii="Times New Roman" w:eastAsia="Calibri" w:hAnsi="Times New Roman" w:cs="Times New Roman"/>
        <w:sz w:val="20"/>
        <w:szCs w:val="20"/>
      </w:rPr>
    </w:pPr>
    <w:proofErr w:type="spellStart"/>
    <w:r w:rsidRPr="00A67E48">
      <w:rPr>
        <w:rFonts w:ascii="Times New Roman" w:hAnsi="Times New Roman" w:cs="Times New Roman"/>
        <w:sz w:val="20"/>
        <w:szCs w:val="20"/>
      </w:rPr>
      <w:t>TM</w:t>
    </w:r>
    <w:r>
      <w:rPr>
        <w:rFonts w:ascii="Times New Roman" w:hAnsi="Times New Roman" w:cs="Times New Roman"/>
        <w:sz w:val="20"/>
        <w:szCs w:val="20"/>
      </w:rPr>
      <w:t>A</w:t>
    </w:r>
    <w:r w:rsidRPr="00A67E48">
      <w:rPr>
        <w:rFonts w:ascii="Times New Roman" w:hAnsi="Times New Roman" w:cs="Times New Roman"/>
        <w:sz w:val="20"/>
        <w:szCs w:val="20"/>
      </w:rPr>
      <w:t>not</w:t>
    </w:r>
    <w:proofErr w:type="spellEnd"/>
    <w:r w:rsidRPr="00A67E48">
      <w:rPr>
        <w:rFonts w:ascii="Times New Roman" w:hAnsi="Times New Roman" w:cs="Times New Roman"/>
        <w:sz w:val="20"/>
        <w:szCs w:val="20"/>
      </w:rPr>
      <w:t>_</w:t>
    </w:r>
    <w:r>
      <w:rPr>
        <w:rFonts w:ascii="Times New Roman" w:hAnsi="Times New Roman" w:cs="Times New Roman"/>
        <w:sz w:val="20"/>
        <w:szCs w:val="20"/>
        <w:lang w:val="ru-RU"/>
      </w:rPr>
      <w:t>2</w:t>
    </w:r>
    <w:r>
      <w:rPr>
        <w:rFonts w:ascii="Times New Roman" w:hAnsi="Times New Roman" w:cs="Times New Roman"/>
        <w:sz w:val="20"/>
        <w:szCs w:val="20"/>
      </w:rPr>
      <w:t>4</w:t>
    </w:r>
    <w:r w:rsidRPr="00A67E48">
      <w:rPr>
        <w:rFonts w:ascii="Times New Roman" w:hAnsi="Times New Roman" w:cs="Times New Roman"/>
        <w:sz w:val="20"/>
        <w:szCs w:val="20"/>
      </w:rPr>
      <w:t>0</w:t>
    </w:r>
    <w:r>
      <w:rPr>
        <w:rFonts w:ascii="Times New Roman" w:hAnsi="Times New Roman" w:cs="Times New Roman"/>
        <w:sz w:val="20"/>
        <w:szCs w:val="20"/>
      </w:rPr>
      <w:t>9</w:t>
    </w:r>
    <w:r w:rsidRPr="00A67E48">
      <w:rPr>
        <w:rFonts w:ascii="Times New Roman" w:hAnsi="Times New Roman" w:cs="Times New Roman"/>
        <w:sz w:val="20"/>
        <w:szCs w:val="20"/>
      </w:rPr>
      <w:t>19_</w:t>
    </w:r>
    <w:r>
      <w:rPr>
        <w:rFonts w:ascii="Times New Roman" w:hAnsi="Times New Roman" w:cs="Times New Roman"/>
        <w:sz w:val="20"/>
        <w:szCs w:val="20"/>
      </w:rPr>
      <w:t>atl_lik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22CC2" w14:textId="2894AA49" w:rsidR="007B1A47" w:rsidRPr="002E0FDE" w:rsidRDefault="00B41D7F" w:rsidP="006A39CB">
    <w:pPr>
      <w:spacing w:after="0" w:line="240" w:lineRule="auto"/>
      <w:contextualSpacing/>
      <w:jc w:val="both"/>
    </w:pPr>
    <w:proofErr w:type="spellStart"/>
    <w:r w:rsidRPr="00A67E48">
      <w:rPr>
        <w:rFonts w:ascii="Times New Roman" w:hAnsi="Times New Roman" w:cs="Times New Roman"/>
        <w:sz w:val="20"/>
        <w:szCs w:val="20"/>
      </w:rPr>
      <w:t>TM</w:t>
    </w:r>
    <w:r w:rsidR="0046315E">
      <w:rPr>
        <w:rFonts w:ascii="Times New Roman" w:hAnsi="Times New Roman" w:cs="Times New Roman"/>
        <w:sz w:val="20"/>
        <w:szCs w:val="20"/>
      </w:rPr>
      <w:t>A</w:t>
    </w:r>
    <w:r w:rsidRPr="00A67E48">
      <w:rPr>
        <w:rFonts w:ascii="Times New Roman" w:hAnsi="Times New Roman" w:cs="Times New Roman"/>
        <w:sz w:val="20"/>
        <w:szCs w:val="20"/>
      </w:rPr>
      <w:t>not</w:t>
    </w:r>
    <w:proofErr w:type="spellEnd"/>
    <w:r w:rsidRPr="00A67E48">
      <w:rPr>
        <w:rFonts w:ascii="Times New Roman" w:hAnsi="Times New Roman" w:cs="Times New Roman"/>
        <w:sz w:val="20"/>
        <w:szCs w:val="20"/>
      </w:rPr>
      <w:t>_</w:t>
    </w:r>
    <w:r w:rsidR="0046203B">
      <w:rPr>
        <w:rFonts w:ascii="Times New Roman" w:hAnsi="Times New Roman" w:cs="Times New Roman"/>
        <w:sz w:val="20"/>
        <w:szCs w:val="20"/>
        <w:lang w:val="ru-RU"/>
      </w:rPr>
      <w:t>2</w:t>
    </w:r>
    <w:r w:rsidR="0046315E">
      <w:rPr>
        <w:rFonts w:ascii="Times New Roman" w:hAnsi="Times New Roman" w:cs="Times New Roman"/>
        <w:sz w:val="20"/>
        <w:szCs w:val="20"/>
      </w:rPr>
      <w:t>4</w:t>
    </w:r>
    <w:r w:rsidRPr="00A67E48">
      <w:rPr>
        <w:rFonts w:ascii="Times New Roman" w:hAnsi="Times New Roman" w:cs="Times New Roman"/>
        <w:sz w:val="20"/>
        <w:szCs w:val="20"/>
      </w:rPr>
      <w:t>0</w:t>
    </w:r>
    <w:r w:rsidR="00E56BA2">
      <w:rPr>
        <w:rFonts w:ascii="Times New Roman" w:hAnsi="Times New Roman" w:cs="Times New Roman"/>
        <w:sz w:val="20"/>
        <w:szCs w:val="20"/>
      </w:rPr>
      <w:t>9</w:t>
    </w:r>
    <w:r w:rsidRPr="00A67E48">
      <w:rPr>
        <w:rFonts w:ascii="Times New Roman" w:hAnsi="Times New Roman" w:cs="Times New Roman"/>
        <w:sz w:val="20"/>
        <w:szCs w:val="20"/>
      </w:rPr>
      <w:t>19_</w:t>
    </w:r>
    <w:r w:rsidR="0046315E">
      <w:rPr>
        <w:rFonts w:ascii="Times New Roman" w:hAnsi="Times New Roman" w:cs="Times New Roman"/>
        <w:sz w:val="20"/>
        <w:szCs w:val="20"/>
      </w:rPr>
      <w:t>atl_lik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F1F6B" w14:textId="77777777" w:rsidR="007B1A47" w:rsidRDefault="007B1A47">
      <w:pPr>
        <w:spacing w:after="0" w:line="240" w:lineRule="auto"/>
      </w:pPr>
      <w:r>
        <w:separator/>
      </w:r>
    </w:p>
  </w:footnote>
  <w:footnote w:type="continuationSeparator" w:id="0">
    <w:p w14:paraId="1484FF05" w14:textId="77777777" w:rsidR="007B1A47" w:rsidRDefault="007B1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5954283"/>
      <w:docPartObj>
        <w:docPartGallery w:val="Page Numbers (Top of Page)"/>
        <w:docPartUnique/>
      </w:docPartObj>
    </w:sdtPr>
    <w:sdtEndPr/>
    <w:sdtContent>
      <w:p w14:paraId="74C889CB" w14:textId="77777777" w:rsidR="007B1A47" w:rsidRDefault="00B41D7F">
        <w:pPr>
          <w:pStyle w:val="Galvene"/>
          <w:jc w:val="center"/>
        </w:pPr>
        <w:r w:rsidRPr="006A39CB">
          <w:rPr>
            <w:rFonts w:ascii="Times New Roman" w:hAnsi="Times New Roman" w:cs="Times New Roman"/>
            <w:sz w:val="24"/>
            <w:szCs w:val="24"/>
          </w:rPr>
          <w:fldChar w:fldCharType="begin"/>
        </w:r>
        <w:r w:rsidRPr="006A39CB">
          <w:rPr>
            <w:rFonts w:ascii="Times New Roman" w:hAnsi="Times New Roman" w:cs="Times New Roman"/>
            <w:sz w:val="24"/>
            <w:szCs w:val="24"/>
          </w:rPr>
          <w:instrText>PAGE   \* MERGEFORMAT</w:instrText>
        </w:r>
        <w:r w:rsidRPr="006A39CB">
          <w:rPr>
            <w:rFonts w:ascii="Times New Roman" w:hAnsi="Times New Roman" w:cs="Times New Roman"/>
            <w:sz w:val="24"/>
            <w:szCs w:val="24"/>
          </w:rPr>
          <w:fldChar w:fldCharType="separate"/>
        </w:r>
        <w:r w:rsidRPr="006A39CB">
          <w:rPr>
            <w:rFonts w:ascii="Times New Roman" w:hAnsi="Times New Roman" w:cs="Times New Roman"/>
            <w:sz w:val="24"/>
            <w:szCs w:val="24"/>
          </w:rPr>
          <w:t>2</w:t>
        </w:r>
        <w:r w:rsidRPr="006A39CB">
          <w:rPr>
            <w:rFonts w:ascii="Times New Roman" w:hAnsi="Times New Roman" w:cs="Times New Roman"/>
            <w:sz w:val="24"/>
            <w:szCs w:val="24"/>
          </w:rPr>
          <w:fldChar w:fldCharType="end"/>
        </w:r>
      </w:p>
    </w:sdtContent>
  </w:sdt>
  <w:p w14:paraId="4C5B1F91" w14:textId="77777777" w:rsidR="007B1A47" w:rsidRDefault="007B1A4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6D44"/>
    <w:multiLevelType w:val="hybridMultilevel"/>
    <w:tmpl w:val="096A883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6665077"/>
    <w:multiLevelType w:val="hybridMultilevel"/>
    <w:tmpl w:val="128009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97143FF"/>
    <w:multiLevelType w:val="hybridMultilevel"/>
    <w:tmpl w:val="5F969C66"/>
    <w:lvl w:ilvl="0" w:tplc="70FE63BA">
      <w:start w:val="1"/>
      <w:numFmt w:val="decimal"/>
      <w:lvlText w:val="%1."/>
      <w:lvlJc w:val="left"/>
      <w:pPr>
        <w:ind w:left="644" w:hanging="360"/>
      </w:pPr>
      <w:rPr>
        <w:rFonts w:eastAsia="Times New Roman" w:hint="default"/>
        <w:color w:val="000000"/>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94E"/>
    <w:rsid w:val="000034A8"/>
    <w:rsid w:val="00023671"/>
    <w:rsid w:val="00026819"/>
    <w:rsid w:val="000352CF"/>
    <w:rsid w:val="00035BA8"/>
    <w:rsid w:val="00045C8A"/>
    <w:rsid w:val="000658D1"/>
    <w:rsid w:val="000954A2"/>
    <w:rsid w:val="00096F55"/>
    <w:rsid w:val="000C57B4"/>
    <w:rsid w:val="00100847"/>
    <w:rsid w:val="00160BEC"/>
    <w:rsid w:val="00170307"/>
    <w:rsid w:val="001D0F37"/>
    <w:rsid w:val="002021C8"/>
    <w:rsid w:val="00203282"/>
    <w:rsid w:val="00224107"/>
    <w:rsid w:val="00264C11"/>
    <w:rsid w:val="00265C7E"/>
    <w:rsid w:val="002917DD"/>
    <w:rsid w:val="002E66E9"/>
    <w:rsid w:val="002F57CC"/>
    <w:rsid w:val="003064F5"/>
    <w:rsid w:val="00311AC7"/>
    <w:rsid w:val="00370B04"/>
    <w:rsid w:val="0039386B"/>
    <w:rsid w:val="003A3415"/>
    <w:rsid w:val="003E0F1E"/>
    <w:rsid w:val="0046203B"/>
    <w:rsid w:val="0046315E"/>
    <w:rsid w:val="0047282F"/>
    <w:rsid w:val="00490A36"/>
    <w:rsid w:val="004E1FB8"/>
    <w:rsid w:val="004E5604"/>
    <w:rsid w:val="0051139D"/>
    <w:rsid w:val="005403AB"/>
    <w:rsid w:val="00540600"/>
    <w:rsid w:val="005444E2"/>
    <w:rsid w:val="00577B87"/>
    <w:rsid w:val="00581915"/>
    <w:rsid w:val="006702BA"/>
    <w:rsid w:val="006800D6"/>
    <w:rsid w:val="006A39CB"/>
    <w:rsid w:val="006B38B1"/>
    <w:rsid w:val="006D3B56"/>
    <w:rsid w:val="0073267B"/>
    <w:rsid w:val="0074387F"/>
    <w:rsid w:val="00775834"/>
    <w:rsid w:val="007B1A47"/>
    <w:rsid w:val="007B7F96"/>
    <w:rsid w:val="007D3664"/>
    <w:rsid w:val="007E267D"/>
    <w:rsid w:val="00805FB4"/>
    <w:rsid w:val="00816E23"/>
    <w:rsid w:val="008264B9"/>
    <w:rsid w:val="00841929"/>
    <w:rsid w:val="00857F9A"/>
    <w:rsid w:val="008621D0"/>
    <w:rsid w:val="0087053F"/>
    <w:rsid w:val="00884153"/>
    <w:rsid w:val="008C4391"/>
    <w:rsid w:val="008D08BF"/>
    <w:rsid w:val="008D1C26"/>
    <w:rsid w:val="008F594E"/>
    <w:rsid w:val="00903D28"/>
    <w:rsid w:val="00911712"/>
    <w:rsid w:val="00957534"/>
    <w:rsid w:val="00994BC4"/>
    <w:rsid w:val="009A6DD3"/>
    <w:rsid w:val="009B3A4F"/>
    <w:rsid w:val="00A42DE6"/>
    <w:rsid w:val="00A67E48"/>
    <w:rsid w:val="00AA1D44"/>
    <w:rsid w:val="00AD2E25"/>
    <w:rsid w:val="00B00F0C"/>
    <w:rsid w:val="00B41D7F"/>
    <w:rsid w:val="00B53F4B"/>
    <w:rsid w:val="00B57A2C"/>
    <w:rsid w:val="00BF05E2"/>
    <w:rsid w:val="00BF1208"/>
    <w:rsid w:val="00C216C8"/>
    <w:rsid w:val="00C412A6"/>
    <w:rsid w:val="00CC14BB"/>
    <w:rsid w:val="00D72BCB"/>
    <w:rsid w:val="00DC16EB"/>
    <w:rsid w:val="00DC43D9"/>
    <w:rsid w:val="00E05A43"/>
    <w:rsid w:val="00E520EF"/>
    <w:rsid w:val="00E54FFE"/>
    <w:rsid w:val="00E56BA2"/>
    <w:rsid w:val="00E56DA8"/>
    <w:rsid w:val="00F24AA3"/>
    <w:rsid w:val="00F379DF"/>
    <w:rsid w:val="00F55FA1"/>
    <w:rsid w:val="00FD3F43"/>
    <w:rsid w:val="00FD5C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668F"/>
  <w15:chartTrackingRefBased/>
  <w15:docId w15:val="{D3C61F84-9460-419E-A927-3A6698098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100847"/>
    <w:rPr>
      <w:rFonts w:eastAsiaTheme="minorEastAsia"/>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F59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F594E"/>
    <w:rPr>
      <w:rFonts w:eastAsiaTheme="minorEastAsia"/>
      <w:lang w:eastAsia="lv-LV"/>
    </w:rPr>
  </w:style>
  <w:style w:type="paragraph" w:styleId="Kjene">
    <w:name w:val="footer"/>
    <w:basedOn w:val="Parasts"/>
    <w:link w:val="KjeneRakstz"/>
    <w:uiPriority w:val="99"/>
    <w:unhideWhenUsed/>
    <w:rsid w:val="008F59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F594E"/>
    <w:rPr>
      <w:rFonts w:eastAsiaTheme="minorEastAsia"/>
      <w:lang w:eastAsia="lv-LV"/>
    </w:rPr>
  </w:style>
  <w:style w:type="character" w:styleId="Hipersaite">
    <w:name w:val="Hyperlink"/>
    <w:basedOn w:val="Noklusjumarindkopasfonts"/>
    <w:uiPriority w:val="99"/>
    <w:unhideWhenUsed/>
    <w:rsid w:val="008F594E"/>
    <w:rPr>
      <w:color w:val="0000FF"/>
      <w:u w:val="single"/>
    </w:rPr>
  </w:style>
  <w:style w:type="paragraph" w:styleId="Sarakstarindkopa">
    <w:name w:val="List Paragraph"/>
    <w:basedOn w:val="Parasts"/>
    <w:uiPriority w:val="34"/>
    <w:qFormat/>
    <w:rsid w:val="008F594E"/>
    <w:pPr>
      <w:ind w:left="720"/>
      <w:contextualSpacing/>
    </w:pPr>
    <w:rPr>
      <w:rFonts w:eastAsiaTheme="minorHAnsi"/>
      <w:lang w:eastAsia="en-US"/>
    </w:rPr>
  </w:style>
  <w:style w:type="paragraph" w:customStyle="1" w:styleId="StyleRight">
    <w:name w:val="Style Right"/>
    <w:basedOn w:val="Parasts"/>
    <w:rsid w:val="008F594E"/>
    <w:pPr>
      <w:spacing w:after="120" w:line="240" w:lineRule="auto"/>
      <w:ind w:firstLine="720"/>
      <w:jc w:val="right"/>
    </w:pPr>
    <w:rPr>
      <w:rFonts w:ascii="Times New Roman" w:eastAsia="Times New Roman" w:hAnsi="Times New Roman" w:cs="Times New Roman"/>
      <w:sz w:val="28"/>
      <w:szCs w:val="28"/>
      <w:lang w:eastAsia="en-US"/>
    </w:rPr>
  </w:style>
  <w:style w:type="paragraph" w:customStyle="1" w:styleId="tv213">
    <w:name w:val="tv213"/>
    <w:basedOn w:val="Parasts"/>
    <w:rsid w:val="001D0F37"/>
    <w:pPr>
      <w:spacing w:before="100" w:beforeAutospacing="1" w:after="100" w:afterAutospacing="1"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uiPriority w:val="99"/>
    <w:semiHidden/>
    <w:unhideWhenUsed/>
    <w:rsid w:val="009A6DD3"/>
    <w:rPr>
      <w:sz w:val="16"/>
      <w:szCs w:val="16"/>
    </w:rPr>
  </w:style>
  <w:style w:type="paragraph" w:styleId="Komentrateksts">
    <w:name w:val="annotation text"/>
    <w:basedOn w:val="Parasts"/>
    <w:link w:val="KomentratekstsRakstz"/>
    <w:uiPriority w:val="99"/>
    <w:semiHidden/>
    <w:unhideWhenUsed/>
    <w:rsid w:val="009A6DD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A6DD3"/>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9A6DD3"/>
    <w:rPr>
      <w:b/>
      <w:bCs/>
    </w:rPr>
  </w:style>
  <w:style w:type="character" w:customStyle="1" w:styleId="KomentratmaRakstz">
    <w:name w:val="Komentāra tēma Rakstz."/>
    <w:basedOn w:val="KomentratekstsRakstz"/>
    <w:link w:val="Komentratma"/>
    <w:uiPriority w:val="99"/>
    <w:semiHidden/>
    <w:rsid w:val="009A6DD3"/>
    <w:rPr>
      <w:rFonts w:eastAsiaTheme="minorEastAsia"/>
      <w:b/>
      <w:bCs/>
      <w:sz w:val="20"/>
      <w:szCs w:val="20"/>
      <w:lang w:eastAsia="lv-LV"/>
    </w:rPr>
  </w:style>
  <w:style w:type="paragraph" w:styleId="Balonteksts">
    <w:name w:val="Balloon Text"/>
    <w:basedOn w:val="Parasts"/>
    <w:link w:val="BalontekstsRakstz"/>
    <w:uiPriority w:val="99"/>
    <w:semiHidden/>
    <w:unhideWhenUsed/>
    <w:rsid w:val="009A6DD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A6DD3"/>
    <w:rPr>
      <w:rFonts w:ascii="Segoe UI" w:eastAsiaTheme="minorEastAsia"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20741">
      <w:bodyDiv w:val="1"/>
      <w:marLeft w:val="0"/>
      <w:marRight w:val="0"/>
      <w:marTop w:val="0"/>
      <w:marBottom w:val="0"/>
      <w:divBdr>
        <w:top w:val="none" w:sz="0" w:space="0" w:color="auto"/>
        <w:left w:val="none" w:sz="0" w:space="0" w:color="auto"/>
        <w:bottom w:val="none" w:sz="0" w:space="0" w:color="auto"/>
        <w:right w:val="none" w:sz="0" w:space="0" w:color="auto"/>
      </w:divBdr>
    </w:div>
    <w:div w:id="806779630">
      <w:bodyDiv w:val="1"/>
      <w:marLeft w:val="0"/>
      <w:marRight w:val="0"/>
      <w:marTop w:val="0"/>
      <w:marBottom w:val="0"/>
      <w:divBdr>
        <w:top w:val="none" w:sz="0" w:space="0" w:color="auto"/>
        <w:left w:val="none" w:sz="0" w:space="0" w:color="auto"/>
        <w:bottom w:val="none" w:sz="0" w:space="0" w:color="auto"/>
        <w:right w:val="none" w:sz="0" w:space="0" w:color="auto"/>
      </w:divBdr>
    </w:div>
    <w:div w:id="1551265475">
      <w:bodyDiv w:val="1"/>
      <w:marLeft w:val="0"/>
      <w:marRight w:val="0"/>
      <w:marTop w:val="0"/>
      <w:marBottom w:val="0"/>
      <w:divBdr>
        <w:top w:val="none" w:sz="0" w:space="0" w:color="auto"/>
        <w:left w:val="none" w:sz="0" w:space="0" w:color="auto"/>
        <w:bottom w:val="none" w:sz="0" w:space="0" w:color="auto"/>
        <w:right w:val="none" w:sz="0" w:space="0" w:color="auto"/>
      </w:divBdr>
    </w:div>
    <w:div w:id="1802528330">
      <w:bodyDiv w:val="1"/>
      <w:marLeft w:val="0"/>
      <w:marRight w:val="0"/>
      <w:marTop w:val="0"/>
      <w:marBottom w:val="0"/>
      <w:divBdr>
        <w:top w:val="none" w:sz="0" w:space="0" w:color="auto"/>
        <w:left w:val="none" w:sz="0" w:space="0" w:color="auto"/>
        <w:bottom w:val="none" w:sz="0" w:space="0" w:color="auto"/>
        <w:right w:val="none" w:sz="0" w:space="0" w:color="auto"/>
      </w:divBdr>
    </w:div>
    <w:div w:id="19590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46FF4-1690-4441-8BF0-714DAD668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5616</Words>
  <Characters>3202</Characters>
  <Application>Microsoft Office Word</Application>
  <DocSecurity>4</DocSecurity>
  <Lines>26</Lines>
  <Paragraphs>17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Valsts un pašvaldību institūciju amatpersonu un darbinieku atlīdzības likumā" sākotnējās ietekmes novērtējuma ziņojums (anotācija)</vt:lpstr>
      <vt:lpstr/>
    </vt:vector>
  </TitlesOfParts>
  <Company>Tieslietu ministrija</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Valsts un pašvaldību institūciju amatpersonu un darbinieku atlīdzības likumā" sākotnējās ietekmes novērtējuma ziņojums (anotācija)</dc:title>
  <dc:subject>Anotācija</dc:subject>
  <dc:creator>Kintija Bajāre-Grīnberga</dc:creator>
  <cp:keywords/>
  <dc:description>67036789, Kintija.Bajare-Grinberga@tm.gov.lv</dc:description>
  <cp:lastModifiedBy>Kintija Bajāre-Grīnberga</cp:lastModifiedBy>
  <cp:revision>2</cp:revision>
  <dcterms:created xsi:type="dcterms:W3CDTF">2019-09-24T07:12:00Z</dcterms:created>
  <dcterms:modified xsi:type="dcterms:W3CDTF">2019-09-24T07:12:00Z</dcterms:modified>
</cp:coreProperties>
</file>