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56795" w:rsidR="00356795" w:rsidP="00356795" w:rsidRDefault="00356795">
      <w:pPr>
        <w:tabs>
          <w:tab w:val="left" w:pos="993"/>
        </w:tabs>
        <w:ind w:firstLine="709"/>
        <w:jc w:val="center"/>
        <w:rPr>
          <w:b/>
          <w:szCs w:val="24"/>
        </w:rPr>
      </w:pPr>
      <w:bookmarkStart w:name="_Hlk8120945" w:id="0"/>
      <w:r w:rsidRPr="00356795">
        <w:rPr>
          <w:b/>
          <w:szCs w:val="24"/>
        </w:rPr>
        <w:t>Informatīvais ziņojums par jaunā Liepājas cietuma būvniecībai uzsākšanai nepieciešamo rīcību</w:t>
      </w:r>
    </w:p>
    <w:bookmarkEnd w:id="0"/>
    <w:p w:rsidRPr="00356795" w:rsidR="00356795" w:rsidP="00356795" w:rsidRDefault="00356795">
      <w:pPr>
        <w:tabs>
          <w:tab w:val="left" w:pos="993"/>
        </w:tabs>
        <w:ind w:firstLine="709"/>
        <w:rPr>
          <w:rFonts w:eastAsia="Times New Roman"/>
          <w:szCs w:val="24"/>
          <w:lang w:eastAsia="lv-LV"/>
        </w:rPr>
      </w:pPr>
    </w:p>
    <w:p w:rsidRPr="00356795" w:rsidR="00356795" w:rsidP="00356795" w:rsidRDefault="00356795">
      <w:pPr>
        <w:tabs>
          <w:tab w:val="left" w:pos="993"/>
        </w:tabs>
        <w:ind w:firstLine="709"/>
        <w:rPr>
          <w:rFonts w:eastAsia="Times New Roman"/>
          <w:szCs w:val="24"/>
          <w:lang w:eastAsia="lv-LV"/>
        </w:rPr>
      </w:pPr>
    </w:p>
    <w:p w:rsidRPr="00356795" w:rsidR="00356795" w:rsidP="00356795" w:rsidRDefault="00356795">
      <w:pPr>
        <w:tabs>
          <w:tab w:val="left" w:pos="993"/>
        </w:tabs>
        <w:ind w:firstLine="709"/>
        <w:rPr>
          <w:rFonts w:eastAsia="Times New Roman"/>
          <w:szCs w:val="24"/>
          <w:lang w:eastAsia="lv-LV"/>
        </w:rPr>
      </w:pPr>
      <w:r w:rsidRPr="00356795">
        <w:rPr>
          <w:rFonts w:eastAsia="Times New Roman"/>
          <w:szCs w:val="24"/>
          <w:lang w:eastAsia="lv-LV"/>
        </w:rPr>
        <w:t>Ministru kabineta 2017. gada 8. septembra ārkārtas sēdē (prot. Nr. 44, 1. §), izskatot informatīvo ziņojumu "Par fiskālās telpas pasākumiem un izdevumiem prioritārajiem pasākumiem valsts budžetam 2018. gadam un ietvaram 2018. - 2020. gadam", tika nolemts jaunā Liepājas cietuma būvniecības procesa uzsākšanu atlikt līdz 2020. gadam. 2018. gada 6. februārī Ministru kabinets nolēma (prot. Nr. 7, 40. §) atbalstīt jauna cietuma būvniecības Liepājā uzsākšanu atbilstoši informatīvajā ziņojumā "Par Ministru kabineta 2017</w:t>
      </w:r>
      <w:bookmarkStart w:name="_GoBack" w:id="1"/>
      <w:bookmarkEnd w:id="1"/>
      <w:r w:rsidRPr="00356795">
        <w:rPr>
          <w:rFonts w:eastAsia="Times New Roman"/>
          <w:szCs w:val="24"/>
          <w:lang w:eastAsia="lv-LV"/>
        </w:rPr>
        <w:t xml:space="preserve">. gada 8. septembra sēdē (prot. Nr. 44, 2. §, 2. punkts) dotā uzdevuma izpildei nepieciešamo rīcību" iekļautajam 2. variantam (2. variants paredz, ka 2018. gadā tiek uzsākta vienota jaunā cietuma būvdarbu un būvprojektēšanas, ieskaitot autoruzraudzību iepirkuma procedūra un būvuzraudzības iepirkuma procedūra, neveicot 1. variantā minētos priekšdarbus). Tāpat Ministru kabineta sēdes protokolā tika ietverta vēl virkne citu uzdevumu, tai skaitā - atļaut jauna iepirkuma izsludināšanu par jaunā Liepājas cietuma būvniecību un projektēšanu, ieskaitot autoruzraudzību, kā arī par būvuzraudzību. </w:t>
      </w:r>
    </w:p>
    <w:p w:rsidRPr="00356795" w:rsidR="00356795" w:rsidP="00356795" w:rsidRDefault="00356795">
      <w:pPr>
        <w:tabs>
          <w:tab w:val="left" w:pos="993"/>
        </w:tabs>
        <w:ind w:firstLine="709"/>
        <w:rPr>
          <w:szCs w:val="24"/>
        </w:rPr>
      </w:pPr>
      <w:r w:rsidRPr="00356795">
        <w:rPr>
          <w:szCs w:val="24"/>
        </w:rPr>
        <w:t xml:space="preserve">Ministru kabineta 2019. gada 16. jūlija sēdē tika izskatīts Tieslietu ministrijas sagatavotais ziņojums par Ministru kabineta 2018. gada 6. februāra sēdē (prot. Nr. 7, 40. § 3., 7. un 12. punkts) dotā uzdevuma izpildei nepieciešamo rīcību, kurā aprakstīti lēmumi, kas jāpieņem, lai 2020. gadā varētu nodrošināt jaunā Liepājas cietuma būvniecības uzsākšanu atbilstoši iepriekšējiem valdības lēmumiem. Atbilstoši Ministru kabineta 2019. gada 16. jūlija sēdē (protokols Nr. 33, 85.§) 4. punktā noteiktajam Tieslietu ministrijai tika uzdots kopīgi ar Finanšu ministriju turpināt sarunas ar Eiropas Padomes Attīstības banku par iespēju aizņemties finansējumu jaunā Liepājas cietuma būvniecībai un būvuzraudzībai un tieslietu ministram ziņot par sarunu rezultātiem Ministru kabineta 2019. gada 23. augusta sēdē. </w:t>
      </w:r>
    </w:p>
    <w:p w:rsidRPr="00356795" w:rsidR="00356795" w:rsidP="00356795" w:rsidRDefault="00356795">
      <w:pPr>
        <w:tabs>
          <w:tab w:val="left" w:pos="993"/>
        </w:tabs>
        <w:ind w:firstLine="709"/>
        <w:rPr>
          <w:szCs w:val="24"/>
        </w:rPr>
      </w:pPr>
      <w:r w:rsidRPr="00356795">
        <w:rPr>
          <w:szCs w:val="24"/>
        </w:rPr>
        <w:t xml:space="preserve">Tieslietu ministrija </w:t>
      </w:r>
      <w:proofErr w:type="gramStart"/>
      <w:r w:rsidRPr="00356795">
        <w:rPr>
          <w:szCs w:val="24"/>
        </w:rPr>
        <w:t>2019.gada</w:t>
      </w:r>
      <w:proofErr w:type="gramEnd"/>
      <w:r w:rsidRPr="00356795">
        <w:rPr>
          <w:szCs w:val="24"/>
        </w:rPr>
        <w:t xml:space="preserve"> 20.augustā nosūtīja vēstuli Nr.1-10/3019 Ministru prezidentam, kur norādīja uz nepieciešamību pieņemt lēmumu par jaunā cietuma būvniecības uzsākšanai nepieciešamā finansējuma avotu.</w:t>
      </w:r>
    </w:p>
    <w:p w:rsidRPr="00356795" w:rsidR="00356795" w:rsidP="00356795" w:rsidRDefault="00356795">
      <w:pPr>
        <w:widowControl/>
        <w:ind w:firstLine="709"/>
        <w:rPr>
          <w:szCs w:val="24"/>
        </w:rPr>
      </w:pPr>
    </w:p>
    <w:p w:rsidRPr="00356795" w:rsidR="00356795" w:rsidP="00356795" w:rsidRDefault="00356795">
      <w:pPr>
        <w:widowControl/>
        <w:ind w:firstLine="709"/>
        <w:rPr>
          <w:rFonts w:eastAsia="Times New Roman"/>
          <w:iCs/>
          <w:color w:val="000000" w:themeColor="text1"/>
          <w:szCs w:val="24"/>
          <w:lang w:eastAsia="lv-LV"/>
        </w:rPr>
      </w:pPr>
      <w:r w:rsidRPr="00356795">
        <w:rPr>
          <w:rFonts w:eastAsia="Times New Roman"/>
          <w:iCs/>
          <w:color w:val="000000" w:themeColor="text1"/>
          <w:szCs w:val="24"/>
          <w:lang w:eastAsia="lv-LV"/>
        </w:rPr>
        <w:t xml:space="preserve">Tieslietu ministrija kopš 2013. gada izpilda valdības uzdevumus attiecībā uz jaunā Liepājas cietuma būvniecības uzsākšanas un sagatavošanas procesu, un visi valdības uzdevumi ir izpildīti. Šī procesa ietvaros 2019. gada sākumā tika pasludināts uzvarētājs atkārtotajā iepirkuma konkursā par jaunā Liepājas cietuma būvprojektēšanu, būvniecību un autoruzraudzību. Tomēr līguma noslēgšana ar uzvarētāju bez Ministru kabineta lēmumu par būvniecības finansēšanu nav iespējama. Vienlaikus jāņem vērā, ka atkārtotajā iepirkumā par jaunā Liepājas cietuma būvprojektēšanu, būvniecību un autoruzraudzību iesniegtais pretendenta piedāvājuma nodrošinājums ir spēkā līdz 2019. gada oktobrim. </w:t>
      </w:r>
    </w:p>
    <w:p w:rsidRPr="00356795" w:rsidR="00356795" w:rsidP="00356795" w:rsidRDefault="00356795">
      <w:pPr>
        <w:tabs>
          <w:tab w:val="left" w:pos="993"/>
        </w:tabs>
        <w:ind w:firstLine="709"/>
        <w:rPr>
          <w:b/>
          <w:bCs/>
          <w:szCs w:val="24"/>
        </w:rPr>
      </w:pPr>
      <w:r w:rsidRPr="00356795">
        <w:rPr>
          <w:szCs w:val="24"/>
        </w:rPr>
        <w:t xml:space="preserve">Ņemot vērā minēto, kā arī to, ka </w:t>
      </w:r>
      <w:r w:rsidRPr="00356795">
        <w:rPr>
          <w:rFonts w:eastAsia="Times New Roman"/>
          <w:iCs/>
          <w:color w:val="000000" w:themeColor="text1"/>
          <w:szCs w:val="24"/>
          <w:lang w:eastAsia="lv-LV"/>
        </w:rPr>
        <w:t>turpmāku darbību veikšanai ir nepieciešama Ministru kabineta</w:t>
      </w:r>
      <w:r w:rsidRPr="00356795">
        <w:rPr>
          <w:rFonts w:eastAsia="Times New Roman"/>
          <w:b/>
          <w:iCs/>
          <w:color w:val="000000" w:themeColor="text1"/>
          <w:szCs w:val="24"/>
          <w:lang w:eastAsia="lv-LV"/>
        </w:rPr>
        <w:t xml:space="preserve"> politiska izšķiršanās par papildus nepieciešamā finansējuma avotu un nosacījumiem</w:t>
      </w:r>
      <w:r w:rsidRPr="00356795">
        <w:rPr>
          <w:rFonts w:eastAsia="Times New Roman"/>
          <w:iCs/>
          <w:color w:val="000000" w:themeColor="text1"/>
          <w:szCs w:val="24"/>
          <w:lang w:eastAsia="lv-LV"/>
        </w:rPr>
        <w:t xml:space="preserve"> </w:t>
      </w:r>
      <w:r w:rsidRPr="00356795">
        <w:rPr>
          <w:rFonts w:eastAsia="Times New Roman"/>
          <w:b/>
          <w:bCs/>
          <w:iCs/>
          <w:color w:val="000000" w:themeColor="text1"/>
          <w:szCs w:val="24"/>
          <w:lang w:eastAsia="lv-LV"/>
        </w:rPr>
        <w:t xml:space="preserve">jaunā Liepājas cietuma būvniecībai, </w:t>
      </w:r>
      <w:r w:rsidR="006C7316">
        <w:rPr>
          <w:rFonts w:eastAsia="Times New Roman"/>
          <w:b/>
          <w:bCs/>
          <w:szCs w:val="24"/>
          <w:lang w:eastAsia="lv-LV"/>
        </w:rPr>
        <w:t>jautājumu nepieciešams iekļaut</w:t>
      </w:r>
      <w:r w:rsidRPr="00356795">
        <w:rPr>
          <w:rFonts w:eastAsia="Times New Roman"/>
          <w:b/>
          <w:bCs/>
          <w:szCs w:val="24"/>
          <w:lang w:eastAsia="lv-LV"/>
        </w:rPr>
        <w:t xml:space="preserve"> Ministru kabineta sēdes darba kārtībā un izskatīt to </w:t>
      </w:r>
      <w:r w:rsidRPr="00356795">
        <w:rPr>
          <w:rFonts w:eastAsia="Times New Roman"/>
          <w:b/>
          <w:iCs/>
          <w:szCs w:val="24"/>
          <w:lang w:eastAsia="lv-LV"/>
        </w:rPr>
        <w:t>Ministru kabineta galīgā lēmuma pieņemšanas par valsts budžeta prioritārajiem pasākumiem 2020., 2021. un 2022. gadam sēdē</w:t>
      </w:r>
      <w:r w:rsidRPr="00356795">
        <w:rPr>
          <w:b/>
          <w:bCs/>
          <w:szCs w:val="24"/>
        </w:rPr>
        <w:t xml:space="preserve">. </w:t>
      </w:r>
    </w:p>
    <w:p w:rsidRPr="00356795" w:rsidR="00356795" w:rsidP="00356795" w:rsidRDefault="00356795">
      <w:pPr>
        <w:ind w:firstLine="709"/>
        <w:rPr>
          <w:szCs w:val="24"/>
          <w:lang w:eastAsia="lv-LV"/>
        </w:rPr>
      </w:pPr>
      <w:r w:rsidRPr="00356795">
        <w:rPr>
          <w:szCs w:val="24"/>
          <w:lang w:eastAsia="lv-LV"/>
        </w:rPr>
        <w:t xml:space="preserve">Atbilstoši Ministru kabineta 2019. gada 16. jūlija sēdes protokollēmuma Nr. 33 85. § 2. punktā minētajam, </w:t>
      </w:r>
      <w:r w:rsidRPr="00356795">
        <w:rPr>
          <w:color w:val="2A2A2A"/>
          <w:szCs w:val="24"/>
        </w:rPr>
        <w:t xml:space="preserve">jauna cietuma Liepājā būvniecības projekta provizoriskā ietekme uz vispārējās valdības budžeta bilanci atbilstoši Eiropas kontu sistēmai ir -140 </w:t>
      </w:r>
      <w:r w:rsidRPr="00356795">
        <w:rPr>
          <w:color w:val="2A2A2A"/>
          <w:szCs w:val="24"/>
        </w:rPr>
        <w:lastRenderedPageBreak/>
        <w:t>000 EUR 2019. gadā, -8 511 418 EUR 2020. gadā, -60 000 766 EUR 2021. gadā, -63 441 964 EUR 2022. gadā un -9 853 980 EUR 2023. gadā. Atbilstoši protokollēmuma 3. punktā minētajam, ņemot vērā šī protokollēmuma 2. punktā minēto fiskālo ietekmi, jautājumu par atļaujas došanu Tieslietu ministrijai uzņemties papildu valsts budžeta ilgtermiņa saistības Tieslietu ministrijas budžeta apakšprogrammā 04.02.00 "Ieslodzījuma vietu būvniecība" ilgtermiņa saistību pasākumam "Jauna cietuma būvniecība Liepājā" laikposmā no 2020. līdz 2023. gadam nepieciešams izskatīt likumprojekta "Par valsts budžetu 2020. gadam" un likumprojekta "Par vidēja termiņa budžeta ietvaru 2020., 2021. un 2022. gadam" sagatavošanas procesā.</w:t>
      </w:r>
    </w:p>
    <w:p w:rsidRPr="00356795" w:rsidR="006C7316" w:rsidP="006C7316" w:rsidRDefault="006C7316">
      <w:pPr>
        <w:ind w:firstLine="709"/>
        <w:rPr>
          <w:b/>
          <w:bCs/>
          <w:szCs w:val="24"/>
          <w:lang w:eastAsia="lv-LV"/>
        </w:rPr>
      </w:pPr>
      <w:r w:rsidRPr="00356795">
        <w:rPr>
          <w:b/>
          <w:bCs/>
          <w:szCs w:val="24"/>
          <w:lang w:eastAsia="lv-LV"/>
        </w:rPr>
        <w:t>Ņemot vērā minēto, Ministru kabinetam jāpieņem lēmum</w:t>
      </w:r>
      <w:r>
        <w:rPr>
          <w:b/>
          <w:bCs/>
          <w:szCs w:val="24"/>
          <w:lang w:eastAsia="lv-LV"/>
        </w:rPr>
        <w:t xml:space="preserve">s par finansējuma avotiem jaunā Liepājas cietuma būvniecības uzsākšanai. </w:t>
      </w:r>
    </w:p>
    <w:p w:rsidRPr="00356795" w:rsidR="00356795" w:rsidP="00356795" w:rsidRDefault="00356795">
      <w:pPr>
        <w:tabs>
          <w:tab w:val="left" w:pos="993"/>
        </w:tabs>
        <w:ind w:firstLine="709"/>
        <w:rPr>
          <w:b/>
          <w:bCs/>
          <w:szCs w:val="24"/>
        </w:rPr>
      </w:pPr>
      <w:r w:rsidRPr="00356795">
        <w:rPr>
          <w:b/>
          <w:bCs/>
          <w:szCs w:val="24"/>
        </w:rPr>
        <w:t xml:space="preserve">Turklāt nav pieļaujama turpmāka jaunā Liepājas cietuma būvniecības uzsākšanas atlikšana. </w:t>
      </w:r>
    </w:p>
    <w:p w:rsidRPr="00356795" w:rsidR="00356795" w:rsidP="00356795" w:rsidRDefault="00356795">
      <w:pPr>
        <w:pStyle w:val="Sarakstarindkopa"/>
        <w:widowControl/>
        <w:tabs>
          <w:tab w:val="left" w:pos="993"/>
        </w:tabs>
        <w:suppressAutoHyphens/>
        <w:ind w:left="709"/>
        <w:rPr>
          <w:szCs w:val="24"/>
          <w:lang w:eastAsia="lv-LV"/>
        </w:rPr>
      </w:pPr>
    </w:p>
    <w:p w:rsidRPr="00356795" w:rsidR="00356795" w:rsidP="00356795" w:rsidRDefault="00356795">
      <w:pPr>
        <w:ind w:firstLine="720"/>
        <w:rPr>
          <w:bCs/>
          <w:iCs/>
          <w:szCs w:val="24"/>
        </w:rPr>
      </w:pPr>
      <w:r w:rsidRPr="00356795">
        <w:rPr>
          <w:bCs/>
          <w:iCs/>
          <w:szCs w:val="24"/>
        </w:rPr>
        <w:t>Attiecībā uz papildu nepieciešamā finansējuma avotiem pastāv vismaz divi iespējamie risinājuma varianti:</w:t>
      </w:r>
    </w:p>
    <w:p w:rsidRPr="00356795" w:rsidR="00356795" w:rsidP="00356795" w:rsidRDefault="00356795">
      <w:pPr>
        <w:pStyle w:val="Sarakstarindkopa"/>
        <w:widowControl/>
        <w:numPr>
          <w:ilvl w:val="0"/>
          <w:numId w:val="2"/>
        </w:numPr>
        <w:suppressAutoHyphens/>
        <w:rPr>
          <w:bCs/>
          <w:iCs/>
          <w:szCs w:val="24"/>
        </w:rPr>
      </w:pPr>
      <w:r w:rsidRPr="00356795">
        <w:rPr>
          <w:bCs/>
          <w:iCs/>
          <w:szCs w:val="24"/>
        </w:rPr>
        <w:t xml:space="preserve">1. variants – rast papildu līdzekļus valsts budžetā. </w:t>
      </w:r>
    </w:p>
    <w:p w:rsidRPr="00356795" w:rsidR="00356795" w:rsidP="00356795" w:rsidRDefault="00356795">
      <w:pPr>
        <w:pStyle w:val="Sarakstarindkopa"/>
        <w:widowControl/>
        <w:numPr>
          <w:ilvl w:val="0"/>
          <w:numId w:val="2"/>
        </w:numPr>
        <w:suppressAutoHyphens/>
        <w:rPr>
          <w:bCs/>
          <w:iCs/>
          <w:szCs w:val="24"/>
        </w:rPr>
      </w:pPr>
      <w:r w:rsidRPr="00356795">
        <w:rPr>
          <w:bCs/>
          <w:iCs/>
          <w:szCs w:val="24"/>
        </w:rPr>
        <w:t xml:space="preserve">2. variants – rast papildu līdzekļus aizņēmuma veidā. </w:t>
      </w:r>
    </w:p>
    <w:p w:rsidRPr="00356795" w:rsidR="00356795" w:rsidP="00356795" w:rsidRDefault="00356795">
      <w:pPr>
        <w:ind w:firstLine="709"/>
        <w:rPr>
          <w:bCs/>
          <w:iCs/>
          <w:szCs w:val="24"/>
        </w:rPr>
      </w:pPr>
      <w:r w:rsidRPr="00356795">
        <w:rPr>
          <w:bCs/>
          <w:iCs/>
          <w:szCs w:val="24"/>
        </w:rPr>
        <w:t xml:space="preserve">Attiecībā uz minētajiem iespējamiem risinājuma variantiem pastāv šādi iespējamie risinājuma </w:t>
      </w:r>
      <w:proofErr w:type="spellStart"/>
      <w:r w:rsidRPr="00356795">
        <w:rPr>
          <w:bCs/>
          <w:iCs/>
          <w:szCs w:val="24"/>
        </w:rPr>
        <w:t>apakšvarianti</w:t>
      </w:r>
      <w:proofErr w:type="spellEnd"/>
      <w:r w:rsidRPr="00356795">
        <w:rPr>
          <w:bCs/>
          <w:iCs/>
          <w:szCs w:val="24"/>
        </w:rPr>
        <w:t xml:space="preserve"> papildu nepieciešamā finansējuma avotiem:</w:t>
      </w:r>
    </w:p>
    <w:p w:rsidRPr="00356795" w:rsidR="00356795" w:rsidP="00356795" w:rsidRDefault="00356795">
      <w:pPr>
        <w:pStyle w:val="Sarakstarindkopa"/>
        <w:numPr>
          <w:ilvl w:val="1"/>
          <w:numId w:val="4"/>
        </w:numPr>
        <w:rPr>
          <w:bCs/>
          <w:iCs/>
          <w:szCs w:val="24"/>
        </w:rPr>
      </w:pPr>
      <w:r w:rsidRPr="00356795">
        <w:rPr>
          <w:b/>
          <w:iCs/>
          <w:szCs w:val="24"/>
        </w:rPr>
        <w:t> aizņēmums no Eiropas Padomes Attīstības bankas:</w:t>
      </w:r>
      <w:r w:rsidRPr="00356795">
        <w:rPr>
          <w:bCs/>
          <w:iCs/>
          <w:szCs w:val="24"/>
        </w:rPr>
        <w:t xml:space="preserve"> </w:t>
      </w:r>
    </w:p>
    <w:p w:rsidRPr="00356795" w:rsidR="00356795" w:rsidP="00356795" w:rsidRDefault="00356795">
      <w:pPr>
        <w:ind w:firstLine="709"/>
        <w:rPr>
          <w:szCs w:val="24"/>
        </w:rPr>
      </w:pPr>
      <w:r w:rsidRPr="00356795">
        <w:rPr>
          <w:szCs w:val="24"/>
        </w:rPr>
        <w:t xml:space="preserve">vadoties no Finanšu ministrijas norādēm par to, ka ir jāmeklē citi jaunā Liepājas cietuma būvniecības finansēšanas mehānismi, piesaistot aizņēmumu un tehnisko palīdzību no starptautiskām finanšu institūcijām, 2019. gada 6. jūnijā notika Tieslietu ministrija un Finanšu ministrijas pārstāvju vizīte Eiropas Padomes Attīstības bankā (turpmāk – CEB) Parīzē, lai pārrunātu jautājumu par iespējamu CEB finansējuma piesaisti jaunā Liepājas cietuma būvniecībai. Tikšanās laikā tika panākta konceptuāla vienošanās par to, ka CEB ir gatava iesaistīties minētā jautājuma finansēšanā. 2019. gada 14. jūnijā Tieslietu ministrija saņēma  CEB </w:t>
      </w:r>
      <w:r w:rsidRPr="00356795">
        <w:rPr>
          <w:b/>
          <w:szCs w:val="24"/>
        </w:rPr>
        <w:t>vēstuli, kurā CEB apliecina nopietnu interesi par gatavību piedāvāt aizņēmumu Latvijai 70 - 100 miljonu eiro apjomā jaunā Liepājas cietuma būvniecības nodrošināšanai.</w:t>
      </w:r>
      <w:r w:rsidRPr="00356795">
        <w:rPr>
          <w:szCs w:val="24"/>
        </w:rPr>
        <w:t xml:space="preserve"> Papildus CEB informēja, ka var piedāvāt aizņēmuma procentu likmi 0,33% -0,45% EURIBOR mainīgās likmes un 0,77% fiksētās likmes gadījumā.</w:t>
      </w:r>
    </w:p>
    <w:p w:rsidRPr="00356795" w:rsidR="00356795" w:rsidP="00356795" w:rsidRDefault="00356795">
      <w:pPr>
        <w:ind w:firstLine="709"/>
        <w:rPr>
          <w:szCs w:val="24"/>
        </w:rPr>
      </w:pPr>
      <w:r w:rsidRPr="00356795">
        <w:rPr>
          <w:szCs w:val="24"/>
        </w:rPr>
        <w:t>Kopumā CEB darbojas dažādu jomu projektu finansēšanā un tehniskās palīdzības sniegšanā, t.sk. ilgtspējīgā un iekļaujošā attīstībā, bēgļu integrācijā, klimata aizsardzībā.  CEB ir d</w:t>
      </w:r>
      <w:r w:rsidRPr="00356795">
        <w:rPr>
          <w:szCs w:val="24"/>
          <w:lang w:eastAsia="lv-LV"/>
        </w:rPr>
        <w:t xml:space="preserve">audzpusīga attīstības banka ar ekskluzīvi sociālu mandātu. </w:t>
      </w:r>
      <w:r w:rsidRPr="00356795">
        <w:rPr>
          <w:szCs w:val="24"/>
        </w:rPr>
        <w:t>Galvenie kritēriji CEB atbalsta saņemšanai:</w:t>
      </w:r>
    </w:p>
    <w:p w:rsidRPr="00356795" w:rsidR="00356795" w:rsidP="00356795" w:rsidRDefault="00356795">
      <w:pPr>
        <w:pStyle w:val="Sarakstarindkopa"/>
        <w:widowControl/>
        <w:numPr>
          <w:ilvl w:val="0"/>
          <w:numId w:val="3"/>
        </w:numPr>
        <w:tabs>
          <w:tab w:val="left" w:pos="1134"/>
        </w:tabs>
        <w:suppressAutoHyphens/>
        <w:ind w:left="0" w:firstLine="851"/>
        <w:rPr>
          <w:szCs w:val="24"/>
        </w:rPr>
      </w:pPr>
      <w:r w:rsidRPr="00356795">
        <w:rPr>
          <w:szCs w:val="24"/>
        </w:rPr>
        <w:t xml:space="preserve">ar CEB finansējuma atbalstu būvētajiem cietumiem ir jāatbilst Eiropas Padomes rekomendācijām Rec(2006)2 par </w:t>
      </w:r>
      <w:r w:rsidRPr="00356795">
        <w:rPr>
          <w:b/>
          <w:szCs w:val="24"/>
        </w:rPr>
        <w:t>Eiropas Cietumu noteikumiem</w:t>
      </w:r>
      <w:r w:rsidRPr="00356795">
        <w:rPr>
          <w:szCs w:val="24"/>
        </w:rPr>
        <w:t xml:space="preserve"> un</w:t>
      </w:r>
      <w:r w:rsidRPr="00356795">
        <w:rPr>
          <w:b/>
          <w:szCs w:val="24"/>
        </w:rPr>
        <w:t xml:space="preserve"> CPT Komitejas standartiem.</w:t>
      </w:r>
      <w:r w:rsidRPr="00356795">
        <w:rPr>
          <w:szCs w:val="24"/>
        </w:rPr>
        <w:t xml:space="preserve"> Jaunā Liepājas cietuma gadījumā minētais nosacījums ir pilnībā ievērots;</w:t>
      </w:r>
    </w:p>
    <w:p w:rsidRPr="00356795" w:rsidR="00356795" w:rsidP="00356795" w:rsidRDefault="00356795">
      <w:pPr>
        <w:pStyle w:val="Sarakstarindkopa"/>
        <w:widowControl/>
        <w:numPr>
          <w:ilvl w:val="0"/>
          <w:numId w:val="3"/>
        </w:numPr>
        <w:tabs>
          <w:tab w:val="left" w:pos="1134"/>
        </w:tabs>
        <w:suppressAutoHyphens/>
        <w:ind w:left="0" w:firstLine="851"/>
        <w:rPr>
          <w:szCs w:val="24"/>
        </w:rPr>
      </w:pPr>
      <w:r w:rsidRPr="00356795">
        <w:rPr>
          <w:szCs w:val="24"/>
        </w:rPr>
        <w:t>CEB sniedz gan aizņēmumus, gan tehnisko palīdzību aizņēmumu ietvaros. Tehniskā palīdzība saistās ar dažāda veida ekspertīžu nodrošināšanu (ieskaitot vērtējumu par projekta atbilstību iepriekš minētajiem standartiem), vai projekta norises uzraudzības pasākumiem;</w:t>
      </w:r>
    </w:p>
    <w:p w:rsidRPr="00356795" w:rsidR="00356795" w:rsidP="00356795" w:rsidRDefault="00356795">
      <w:pPr>
        <w:pStyle w:val="Sarakstarindkopa"/>
        <w:widowControl/>
        <w:numPr>
          <w:ilvl w:val="0"/>
          <w:numId w:val="3"/>
        </w:numPr>
        <w:tabs>
          <w:tab w:val="left" w:pos="1134"/>
        </w:tabs>
        <w:suppressAutoHyphens/>
        <w:ind w:left="0" w:firstLine="851"/>
        <w:rPr>
          <w:szCs w:val="24"/>
        </w:rPr>
      </w:pPr>
      <w:r w:rsidRPr="00356795">
        <w:rPr>
          <w:szCs w:val="24"/>
        </w:rPr>
        <w:t>parasti līdzekļus aizņemas valsts Finanšu ministrijas personā, pašvaldības vai finanšu institūcijas, savukārt cietumu projektos Tieslietu ministrija darbojas kā ieviešanas institūcija (</w:t>
      </w:r>
      <w:proofErr w:type="spellStart"/>
      <w:r w:rsidRPr="00356795">
        <w:rPr>
          <w:i/>
          <w:szCs w:val="24"/>
        </w:rPr>
        <w:t>implementing</w:t>
      </w:r>
      <w:proofErr w:type="spellEnd"/>
      <w:r w:rsidRPr="00356795">
        <w:rPr>
          <w:i/>
          <w:szCs w:val="24"/>
        </w:rPr>
        <w:t xml:space="preserve"> </w:t>
      </w:r>
      <w:proofErr w:type="spellStart"/>
      <w:r w:rsidRPr="00356795">
        <w:rPr>
          <w:i/>
          <w:szCs w:val="24"/>
        </w:rPr>
        <w:t>agency</w:t>
      </w:r>
      <w:proofErr w:type="spellEnd"/>
      <w:r w:rsidRPr="00356795">
        <w:rPr>
          <w:szCs w:val="24"/>
        </w:rPr>
        <w:t xml:space="preserve">). Latvijas gadījumā šādu aizņēmumu var ņemt arī </w:t>
      </w:r>
      <w:r w:rsidRPr="00356795">
        <w:rPr>
          <w:szCs w:val="24"/>
          <w:lang w:eastAsia="lv-LV"/>
        </w:rPr>
        <w:t>valsts kapitālsabiedrība "Tiesu namu aģentūra"</w:t>
      </w:r>
      <w:r w:rsidRPr="00356795">
        <w:rPr>
          <w:szCs w:val="24"/>
        </w:rPr>
        <w:t>;</w:t>
      </w:r>
    </w:p>
    <w:p w:rsidRPr="00356795" w:rsidR="00356795" w:rsidP="00356795" w:rsidRDefault="00356795">
      <w:pPr>
        <w:widowControl/>
        <w:numPr>
          <w:ilvl w:val="0"/>
          <w:numId w:val="3"/>
        </w:numPr>
        <w:tabs>
          <w:tab w:val="left" w:pos="709"/>
          <w:tab w:val="left" w:pos="993"/>
          <w:tab w:val="left" w:pos="1276"/>
        </w:tabs>
        <w:suppressAutoHyphens/>
        <w:ind w:left="0" w:firstLine="851"/>
        <w:rPr>
          <w:szCs w:val="24"/>
          <w:lang w:eastAsia="lv-LV"/>
        </w:rPr>
      </w:pPr>
      <w:r w:rsidRPr="00356795">
        <w:rPr>
          <w:szCs w:val="24"/>
          <w:lang w:eastAsia="lv-LV"/>
        </w:rPr>
        <w:lastRenderedPageBreak/>
        <w:t xml:space="preserve"> parasti CEB finansē 50 % no projekta kopējām izmaksām (var apsvērt arī augstāku finansēšanas īpatsvaru - līdz 80%) un izsniedz ilgtermiņa aizņēmumus, kas atbilst aizņēmēja vajadzībām (aizdevumi līdz 25 gadiem);</w:t>
      </w:r>
    </w:p>
    <w:p w:rsidRPr="00356795" w:rsidR="00356795" w:rsidP="00356795" w:rsidRDefault="00356795">
      <w:pPr>
        <w:widowControl/>
        <w:numPr>
          <w:ilvl w:val="0"/>
          <w:numId w:val="3"/>
        </w:numPr>
        <w:tabs>
          <w:tab w:val="left" w:pos="709"/>
          <w:tab w:val="left" w:pos="993"/>
          <w:tab w:val="left" w:pos="1276"/>
        </w:tabs>
        <w:suppressAutoHyphens/>
        <w:ind w:left="0" w:firstLine="851"/>
        <w:rPr>
          <w:szCs w:val="24"/>
          <w:lang w:eastAsia="lv-LV"/>
        </w:rPr>
      </w:pPr>
      <w:r w:rsidRPr="00356795">
        <w:rPr>
          <w:szCs w:val="24"/>
          <w:lang w:eastAsia="lv-LV"/>
        </w:rPr>
        <w:t xml:space="preserve"> neizlietotie aizņēmuma līdzekļi netiek aplikti ar komisijas maksu;</w:t>
      </w:r>
    </w:p>
    <w:p w:rsidRPr="00356795" w:rsidR="00356795" w:rsidP="00356795" w:rsidRDefault="00356795">
      <w:pPr>
        <w:widowControl/>
        <w:numPr>
          <w:ilvl w:val="0"/>
          <w:numId w:val="3"/>
        </w:numPr>
        <w:tabs>
          <w:tab w:val="left" w:pos="709"/>
          <w:tab w:val="left" w:pos="993"/>
          <w:tab w:val="left" w:pos="1276"/>
        </w:tabs>
        <w:suppressAutoHyphens/>
        <w:ind w:left="0" w:firstLine="851"/>
        <w:rPr>
          <w:szCs w:val="24"/>
          <w:lang w:eastAsia="lv-LV"/>
        </w:rPr>
      </w:pPr>
      <w:r w:rsidRPr="00356795">
        <w:rPr>
          <w:szCs w:val="24"/>
          <w:lang w:eastAsia="lv-LV"/>
        </w:rPr>
        <w:t xml:space="preserve"> zemi aizņēmuma procenti; </w:t>
      </w:r>
    </w:p>
    <w:p w:rsidRPr="00356795" w:rsidR="00356795" w:rsidP="00356795" w:rsidRDefault="00356795">
      <w:pPr>
        <w:widowControl/>
        <w:numPr>
          <w:ilvl w:val="0"/>
          <w:numId w:val="3"/>
        </w:numPr>
        <w:tabs>
          <w:tab w:val="left" w:pos="709"/>
          <w:tab w:val="left" w:pos="993"/>
          <w:tab w:val="left" w:pos="1276"/>
        </w:tabs>
        <w:suppressAutoHyphens/>
        <w:ind w:left="0" w:firstLine="851"/>
        <w:rPr>
          <w:szCs w:val="24"/>
          <w:lang w:eastAsia="lv-LV"/>
        </w:rPr>
      </w:pPr>
      <w:r w:rsidRPr="00356795">
        <w:rPr>
          <w:szCs w:val="24"/>
          <w:lang w:eastAsia="lv-LV"/>
        </w:rPr>
        <w:t xml:space="preserve"> aizņēmējs izvēlas vēlamāko atmaksas struktūru.</w:t>
      </w:r>
    </w:p>
    <w:p w:rsidRPr="00356795" w:rsidR="00356795" w:rsidP="00356795" w:rsidRDefault="00356795">
      <w:pPr>
        <w:ind w:firstLine="709"/>
        <w:rPr>
          <w:szCs w:val="24"/>
          <w:lang w:eastAsia="lv-LV"/>
        </w:rPr>
      </w:pPr>
      <w:r w:rsidRPr="00356795">
        <w:rPr>
          <w:szCs w:val="24"/>
          <w:lang w:eastAsia="lv-LV"/>
        </w:rPr>
        <w:t xml:space="preserve">Pozitīva valdības lēmuma gadījumā aizņēmumu CEB ir iespējams apstiprināt 2020. gada sākumā. CEB ir nopietna pieredze jaunu cietumu būvniecībā un esošo cietumu rekonstrukcijā kopš 2009. gada, kad CEB finansēja cietuma būvniecību Bosnijā un Hercegovinā. Savukārt šobrīd CEB jau ir apstiprinājusi vai plāno izsniegt aizņēmumus jaunu penitenciārā infrastruktūras objektu būvniecībai 11 CEB mērķa grupas valstīs 462 miljonu apmērā. </w:t>
      </w:r>
    </w:p>
    <w:p w:rsidRPr="00356795" w:rsidR="00356795" w:rsidP="00356795" w:rsidRDefault="00356795">
      <w:pPr>
        <w:ind w:firstLine="709"/>
        <w:rPr>
          <w:color w:val="000000"/>
          <w:szCs w:val="24"/>
          <w:lang w:eastAsia="lv-LV"/>
        </w:rPr>
      </w:pPr>
      <w:r w:rsidRPr="00356795">
        <w:rPr>
          <w:szCs w:val="24"/>
          <w:lang w:eastAsia="lv-LV"/>
        </w:rPr>
        <w:t xml:space="preserve">Papildus norādām, ka jautājums par iespējamu aizņēmumu jaunā Liepājas cietuma būvniecības finansēšanai kā iespējamu finanšu avotu jau tika iekļauts </w:t>
      </w:r>
      <w:r w:rsidRPr="00356795">
        <w:rPr>
          <w:szCs w:val="24"/>
        </w:rPr>
        <w:t>informatīvajā ziņojumā "</w:t>
      </w:r>
      <w:r w:rsidRPr="00356795">
        <w:rPr>
          <w:i/>
          <w:szCs w:val="24"/>
        </w:rPr>
        <w:t>Par Ministru kabineta 2017. gada 8. septembra sēdē (prot. Nr. 44 2. § 2. punkts) dotā uzdevuma izpildei nepieciešamo rīcību</w:t>
      </w:r>
      <w:r w:rsidRPr="00356795">
        <w:rPr>
          <w:szCs w:val="24"/>
        </w:rPr>
        <w:t xml:space="preserve">", ko Ministru kabinets izskatīja 2018. gada 6. februārī (prot. Nr. 7, 40. §). Šī informatīvā ziņojuma 2. un 5. pielikumā bija prognozētas </w:t>
      </w:r>
      <w:r w:rsidRPr="00356795">
        <w:rPr>
          <w:color w:val="000000"/>
          <w:szCs w:val="24"/>
          <w:lang w:eastAsia="lv-LV"/>
        </w:rPr>
        <w:t xml:space="preserve">Liepājas cietuma būvniecības plānotās izmaksas (EUR ar PVN), ja finansējuma avots būtu </w:t>
      </w:r>
      <w:r w:rsidRPr="00356795">
        <w:rPr>
          <w:szCs w:val="24"/>
          <w:lang w:eastAsia="lv-LV"/>
        </w:rPr>
        <w:t xml:space="preserve">valsts kapitālsabiedrības "Tiesu namu aģentūra" </w:t>
      </w:r>
      <w:r w:rsidRPr="00356795">
        <w:rPr>
          <w:color w:val="000000"/>
          <w:szCs w:val="24"/>
          <w:lang w:eastAsia="lv-LV"/>
        </w:rPr>
        <w:t xml:space="preserve">ņemts aizņēmums. Prognoze tika izstrādāta par pamatu ņemot jaunā Liepājas cietuma pirmajā iepirkumā iesniegto pretendentu piedāvājumu cenas. </w:t>
      </w:r>
    </w:p>
    <w:p w:rsidRPr="00356795" w:rsidR="00356795" w:rsidP="00356795" w:rsidRDefault="00356795">
      <w:pPr>
        <w:pStyle w:val="Sarakstarindkopa"/>
        <w:numPr>
          <w:ilvl w:val="1"/>
          <w:numId w:val="4"/>
        </w:numPr>
        <w:ind w:left="1134" w:hanging="425"/>
        <w:rPr>
          <w:b/>
          <w:bCs/>
          <w:szCs w:val="24"/>
          <w:lang w:eastAsia="lv-LV"/>
        </w:rPr>
      </w:pPr>
      <w:r w:rsidRPr="00356795">
        <w:rPr>
          <w:b/>
          <w:bCs/>
          <w:szCs w:val="24"/>
          <w:lang w:eastAsia="lv-LV"/>
        </w:rPr>
        <w:t> aizņēmums Valsts kasē:</w:t>
      </w:r>
    </w:p>
    <w:p w:rsidRPr="00356795" w:rsidR="00356795" w:rsidP="00356795" w:rsidRDefault="00356795">
      <w:pPr>
        <w:ind w:firstLine="709"/>
        <w:rPr>
          <w:szCs w:val="24"/>
        </w:rPr>
      </w:pPr>
      <w:r w:rsidRPr="00356795">
        <w:rPr>
          <w:szCs w:val="24"/>
          <w:lang w:eastAsia="lv-LV"/>
        </w:rPr>
        <w:t xml:space="preserve">lai iegūtu pilnvērtīgi salīdzināmu informāciju par iespējamu aizņēmumu, Tieslietu ministrija apzināja arī iespējas ņemt aizņēmumu Valsts kasē jaunā Liepās cietuma būvniecības nodrošināšanai. Atbilstoši </w:t>
      </w:r>
      <w:r w:rsidRPr="00356795">
        <w:rPr>
          <w:szCs w:val="24"/>
        </w:rPr>
        <w:t xml:space="preserve">Valsts kases sniegtajai informācijai, Ministru kabineta 2015. gada 30. jūnija noteikumi Nr. 363 "Kārtība, kādā ministrijas un </w:t>
      </w:r>
      <w:proofErr w:type="gramStart"/>
      <w:r w:rsidRPr="00356795">
        <w:rPr>
          <w:szCs w:val="24"/>
        </w:rPr>
        <w:t>citas centrālās valsts</w:t>
      </w:r>
      <w:proofErr w:type="gramEnd"/>
      <w:r w:rsidRPr="00356795">
        <w:rPr>
          <w:szCs w:val="24"/>
        </w:rPr>
        <w:t xml:space="preserve"> iestādes iekļauj gadskārtējā valsts budžeta likumprojektā valsts aizdevumu pieprasījumus, un valsts aizdevumu izsniegšanas un apkalpošanas kārtība" (turpmāk - noteikumi) nosaka valsts aizdevumu izsniegšanas un apkalpošanas kārtību, piemērojamās aizdevumu procentu likmes un riska procentu likmes noteikšanas kārtību, kā arī nosaka prasību valsts aizdevuma saņēmējam aizdevumu saņemšanas gadījumā sniegt nodrošinājumu. Valsts aizdevuma procentu likme tiek noteikta aizdevuma līguma noslēgšanas dienā, ņemot vērā noteikumos paredzēto valsts aizdevumu procentu likmes noteikšanas kārtību un valsts finanšu resursu izmaksas aizdevuma līguma noslēgšanas dienā.</w:t>
      </w:r>
    </w:p>
    <w:p w:rsidRPr="00356795" w:rsidR="00356795" w:rsidP="00356795" w:rsidRDefault="00356795">
      <w:pPr>
        <w:ind w:firstLine="709"/>
        <w:rPr>
          <w:szCs w:val="24"/>
        </w:rPr>
      </w:pPr>
      <w:r w:rsidRPr="00356795">
        <w:rPr>
          <w:szCs w:val="24"/>
        </w:rPr>
        <w:t xml:space="preserve">Valsts kase izsniedz valsts aizdevumus ar maksimālo valsts aizdevuma atmaksas termiņu 30 gadi.  Aizņēmējs var izvēlēties aizdevuma likmes ar dažādu likmju fiksēšanas periodu, </w:t>
      </w:r>
      <w:proofErr w:type="gramStart"/>
      <w:r w:rsidRPr="00356795">
        <w:rPr>
          <w:szCs w:val="24"/>
        </w:rPr>
        <w:t>t.i.</w:t>
      </w:r>
      <w:proofErr w:type="gramEnd"/>
      <w:r w:rsidRPr="00356795">
        <w:rPr>
          <w:szCs w:val="24"/>
        </w:rPr>
        <w:t xml:space="preserve"> mainīgo 6 (sešu) mēnešu procentu likmi, kas šobrīd ir 0% gadā, vai viena gada procentu likmi - 0% gadā, vai  valsts aizdevumam, kura  termiņš ir garāks par pieciem gadiem, pirmajiem pieciem gadiem var tikt noteikta  fiksēta aizdevuma  likme, kas šobrīd ir 0,122% gadā. </w:t>
      </w:r>
    </w:p>
    <w:p w:rsidRPr="00356795" w:rsidR="00356795" w:rsidP="00356795" w:rsidRDefault="00356795">
      <w:pPr>
        <w:ind w:firstLine="709"/>
        <w:rPr>
          <w:szCs w:val="24"/>
        </w:rPr>
      </w:pPr>
      <w:r w:rsidRPr="00356795">
        <w:rPr>
          <w:szCs w:val="24"/>
        </w:rPr>
        <w:t xml:space="preserve">Kopējais valsts aizdevumam piemērojamais procentu likmes apmērs sastāv no noteiktās valsts aizdevuma procentu likmes, kam pieskaitīta maksa par valsts aizdevuma izsniegšanu un apkalpošanu, kas saskaņā ar Valsts kases maksas pakalpojumu cenrādi kapitālsabiedrību gadījumā ir 0,5% gadā no izsniegtā, bet neatmaksātā valsts aizdevuma apmēra, un kas pilnā apmērā tiek ieskaitīta valsts budžetā.  </w:t>
      </w:r>
    </w:p>
    <w:p w:rsidRPr="00356795" w:rsidR="00356795" w:rsidP="00356795" w:rsidRDefault="00356795">
      <w:pPr>
        <w:tabs>
          <w:tab w:val="left" w:pos="993"/>
        </w:tabs>
        <w:ind w:firstLine="709"/>
        <w:rPr>
          <w:szCs w:val="24"/>
        </w:rPr>
      </w:pPr>
      <w:r w:rsidRPr="00356795">
        <w:rPr>
          <w:rFonts w:eastAsia="Times New Roman"/>
          <w:iCs/>
          <w:szCs w:val="24"/>
          <w:lang w:eastAsia="lv-LV"/>
        </w:rPr>
        <w:t xml:space="preserve">Ņemot vērā minēto, kā arī to, ka valdība jau vairākkārt ir atbalstījusi jaunā cietuma būvniecības uzsākšanu, tai skaitā </w:t>
      </w:r>
      <w:r w:rsidRPr="00356795">
        <w:rPr>
          <w:szCs w:val="24"/>
        </w:rPr>
        <w:t xml:space="preserve">Ministru kabineta 2018. gada 6. februāra sēdē (prot. Nr. 7, 40. § 2. un 10. punkts) </w:t>
      </w:r>
      <w:r w:rsidRPr="00356795">
        <w:rPr>
          <w:bCs/>
          <w:szCs w:val="24"/>
        </w:rPr>
        <w:t xml:space="preserve">atbalstījusi jauna cietuma būvniecības Liepājā </w:t>
      </w:r>
      <w:r w:rsidRPr="00356795">
        <w:rPr>
          <w:bCs/>
          <w:szCs w:val="24"/>
        </w:rPr>
        <w:lastRenderedPageBreak/>
        <w:t xml:space="preserve">uzsākšanu, </w:t>
      </w:r>
      <w:r w:rsidRPr="00356795">
        <w:rPr>
          <w:rFonts w:eastAsia="Times New Roman"/>
          <w:b/>
          <w:iCs/>
          <w:szCs w:val="24"/>
          <w:lang w:eastAsia="lv-LV"/>
        </w:rPr>
        <w:t>lūdzu Ministru kabineta galīgā lēmuma pieņemšanas par valsts budžeta prioritārajiem pasākumiem 2020., 2021. un 2022. gadam sēdē atbalstīt jaunā Liepājas cietuma būvniecības uzsākšanu 2020. gadā un noteikt nepieciešamā finansējuma avotu un finansējuma izmantošanas nosacījumus</w:t>
      </w:r>
      <w:r w:rsidRPr="00356795">
        <w:rPr>
          <w:rFonts w:eastAsia="Times New Roman"/>
          <w:iCs/>
          <w:szCs w:val="24"/>
          <w:lang w:eastAsia="lv-LV"/>
        </w:rPr>
        <w:t xml:space="preserve">. </w:t>
      </w:r>
    </w:p>
    <w:p w:rsidRPr="00356795" w:rsidR="00F63F69" w:rsidRDefault="00F63F69">
      <w:pPr>
        <w:rPr>
          <w:szCs w:val="24"/>
        </w:rPr>
      </w:pPr>
    </w:p>
    <w:p w:rsidRPr="00356795" w:rsidR="00356795" w:rsidP="00356795" w:rsidRDefault="00356795">
      <w:pPr>
        <w:tabs>
          <w:tab w:val="left" w:pos="7088"/>
        </w:tabs>
        <w:ind w:firstLine="709"/>
        <w:rPr>
          <w:szCs w:val="24"/>
        </w:rPr>
      </w:pPr>
      <w:bookmarkStart w:name="_Hlk499822938" w:id="2"/>
    </w:p>
    <w:p w:rsidRPr="00356795" w:rsidR="00356795" w:rsidP="00356795" w:rsidRDefault="00356795">
      <w:pPr>
        <w:tabs>
          <w:tab w:val="left" w:pos="7088"/>
        </w:tabs>
        <w:ind w:firstLine="709"/>
        <w:rPr>
          <w:szCs w:val="24"/>
        </w:rPr>
      </w:pPr>
    </w:p>
    <w:p w:rsidRPr="00356795" w:rsidR="00356795" w:rsidP="00356795" w:rsidRDefault="00356795">
      <w:pPr>
        <w:tabs>
          <w:tab w:val="left" w:pos="7088"/>
        </w:tabs>
        <w:rPr>
          <w:szCs w:val="24"/>
        </w:rPr>
      </w:pPr>
      <w:r w:rsidRPr="00356795">
        <w:rPr>
          <w:szCs w:val="24"/>
        </w:rPr>
        <w:t xml:space="preserve">Ministru prezidenta biedrs, </w:t>
      </w:r>
    </w:p>
    <w:p w:rsidRPr="00356795" w:rsidR="00356795" w:rsidP="00356795" w:rsidRDefault="00356795">
      <w:pPr>
        <w:tabs>
          <w:tab w:val="left" w:pos="7088"/>
        </w:tabs>
        <w:rPr>
          <w:szCs w:val="24"/>
        </w:rPr>
      </w:pPr>
      <w:r w:rsidRPr="00356795">
        <w:rPr>
          <w:szCs w:val="24"/>
        </w:rPr>
        <w:t>tieslietu ministrs</w:t>
      </w:r>
      <w:proofErr w:type="gramStart"/>
      <w:r w:rsidRPr="00356795">
        <w:rPr>
          <w:szCs w:val="24"/>
        </w:rPr>
        <w:t xml:space="preserve">                                                                         </w:t>
      </w:r>
      <w:r w:rsidR="00B14371">
        <w:rPr>
          <w:szCs w:val="24"/>
        </w:rPr>
        <w:t xml:space="preserve">               </w:t>
      </w:r>
      <w:proofErr w:type="gramEnd"/>
      <w:r w:rsidRPr="00356795">
        <w:rPr>
          <w:szCs w:val="24"/>
        </w:rPr>
        <w:t xml:space="preserve">Jānis </w:t>
      </w:r>
      <w:proofErr w:type="spellStart"/>
      <w:r w:rsidRPr="00356795">
        <w:rPr>
          <w:szCs w:val="24"/>
        </w:rPr>
        <w:t>Bordāns</w:t>
      </w:r>
      <w:proofErr w:type="spellEnd"/>
    </w:p>
    <w:p w:rsidRPr="00356795" w:rsidR="00356795" w:rsidP="00356795" w:rsidRDefault="00356795">
      <w:pPr>
        <w:tabs>
          <w:tab w:val="left" w:pos="7088"/>
        </w:tabs>
        <w:ind w:firstLine="709"/>
        <w:rPr>
          <w:szCs w:val="24"/>
        </w:rPr>
      </w:pPr>
    </w:p>
    <w:p w:rsidRPr="00356795" w:rsidR="00356795" w:rsidP="00356795" w:rsidRDefault="00356795">
      <w:pPr>
        <w:tabs>
          <w:tab w:val="left" w:pos="7088"/>
        </w:tabs>
        <w:ind w:firstLine="709"/>
        <w:rPr>
          <w:szCs w:val="24"/>
        </w:rPr>
      </w:pPr>
    </w:p>
    <w:p w:rsidRPr="00356795" w:rsidR="00356795" w:rsidP="00356795" w:rsidRDefault="00356795">
      <w:pPr>
        <w:tabs>
          <w:tab w:val="left" w:pos="7088"/>
        </w:tabs>
        <w:rPr>
          <w:szCs w:val="24"/>
        </w:rPr>
      </w:pPr>
    </w:p>
    <w:p w:rsidRPr="00356795" w:rsidR="00356795" w:rsidP="00356795" w:rsidRDefault="00356795">
      <w:pPr>
        <w:tabs>
          <w:tab w:val="left" w:pos="7088"/>
        </w:tabs>
        <w:rPr>
          <w:color w:val="272C32"/>
          <w:sz w:val="20"/>
          <w:szCs w:val="20"/>
        </w:rPr>
      </w:pPr>
      <w:r w:rsidRPr="00356795">
        <w:rPr>
          <w:sz w:val="20"/>
          <w:szCs w:val="20"/>
        </w:rPr>
        <w:t xml:space="preserve">Ķipēna </w:t>
      </w:r>
      <w:r w:rsidRPr="00356795">
        <w:rPr>
          <w:color w:val="272C32"/>
          <w:sz w:val="20"/>
          <w:szCs w:val="20"/>
        </w:rPr>
        <w:t>67046124</w:t>
      </w:r>
    </w:p>
    <w:p w:rsidRPr="00356795" w:rsidR="00356795" w:rsidP="00356795" w:rsidRDefault="006C7316">
      <w:pPr>
        <w:rPr>
          <w:sz w:val="20"/>
          <w:szCs w:val="20"/>
        </w:rPr>
      </w:pPr>
      <w:hyperlink w:history="1" r:id="rId7">
        <w:r w:rsidRPr="00356795" w:rsidR="00356795">
          <w:rPr>
            <w:rStyle w:val="Hipersaite"/>
            <w:sz w:val="20"/>
            <w:szCs w:val="20"/>
          </w:rPr>
          <w:t>Kristine.Kipena@tm.gov.lv</w:t>
        </w:r>
      </w:hyperlink>
      <w:bookmarkEnd w:id="2"/>
    </w:p>
    <w:p w:rsidRPr="00356795" w:rsidR="00356795" w:rsidRDefault="00356795">
      <w:pPr>
        <w:rPr>
          <w:szCs w:val="24"/>
        </w:rPr>
      </w:pPr>
    </w:p>
    <w:sectPr w:rsidRPr="00356795" w:rsidR="00356795" w:rsidSect="00356795">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795" w:rsidRDefault="00356795" w:rsidP="00356795">
      <w:r>
        <w:separator/>
      </w:r>
    </w:p>
  </w:endnote>
  <w:endnote w:type="continuationSeparator" w:id="0">
    <w:p w:rsidR="00356795" w:rsidRDefault="00356795" w:rsidP="0035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795" w:rsidRDefault="00356795" w:rsidP="00356795">
      <w:r>
        <w:separator/>
      </w:r>
    </w:p>
  </w:footnote>
  <w:footnote w:type="continuationSeparator" w:id="0">
    <w:p w:rsidR="00356795" w:rsidRDefault="00356795" w:rsidP="0035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184536"/>
      <w:docPartObj>
        <w:docPartGallery w:val="Page Numbers (Top of Page)"/>
        <w:docPartUnique/>
      </w:docPartObj>
    </w:sdtPr>
    <w:sdtEndPr/>
    <w:sdtContent>
      <w:p w:rsidR="00356795" w:rsidRDefault="00356795">
        <w:pPr>
          <w:pStyle w:val="Galvene"/>
          <w:jc w:val="center"/>
        </w:pPr>
        <w:r>
          <w:fldChar w:fldCharType="begin"/>
        </w:r>
        <w:r>
          <w:instrText>PAGE   \* MERGEFORMAT</w:instrText>
        </w:r>
        <w:r>
          <w:fldChar w:fldCharType="separate"/>
        </w:r>
        <w:r>
          <w:t>2</w:t>
        </w:r>
        <w:r>
          <w:fldChar w:fldCharType="end"/>
        </w:r>
      </w:p>
    </w:sdtContent>
  </w:sdt>
  <w:p w:rsidR="00356795" w:rsidRDefault="0035679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FAF"/>
    <w:multiLevelType w:val="hybridMultilevel"/>
    <w:tmpl w:val="5268F2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39F2AD2"/>
    <w:multiLevelType w:val="hybridMultilevel"/>
    <w:tmpl w:val="07BAC5B6"/>
    <w:lvl w:ilvl="0" w:tplc="884EAC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D2A24F2"/>
    <w:multiLevelType w:val="multilevel"/>
    <w:tmpl w:val="26F276FA"/>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 w15:restartNumberingAfterBreak="0">
    <w:nsid w:val="76433CE7"/>
    <w:multiLevelType w:val="hybridMultilevel"/>
    <w:tmpl w:val="623ABE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95"/>
    <w:rsid w:val="00356795"/>
    <w:rsid w:val="006C7316"/>
    <w:rsid w:val="00B14371"/>
    <w:rsid w:val="00F63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1AC2"/>
  <w15:chartTrackingRefBased/>
  <w15:docId w15:val="{FD09C244-C2F2-4077-89AA-522A9D8E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6795"/>
    <w:pPr>
      <w:widowControl w:val="0"/>
      <w:spacing w:after="0" w:line="240" w:lineRule="auto"/>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56795"/>
    <w:pPr>
      <w:ind w:left="720"/>
      <w:contextualSpacing/>
    </w:pPr>
  </w:style>
  <w:style w:type="paragraph" w:styleId="Galvene">
    <w:name w:val="header"/>
    <w:basedOn w:val="Parasts"/>
    <w:link w:val="GalveneRakstz"/>
    <w:uiPriority w:val="99"/>
    <w:unhideWhenUsed/>
    <w:rsid w:val="00356795"/>
    <w:pPr>
      <w:tabs>
        <w:tab w:val="center" w:pos="4153"/>
        <w:tab w:val="right" w:pos="8306"/>
      </w:tabs>
    </w:pPr>
  </w:style>
  <w:style w:type="character" w:customStyle="1" w:styleId="GalveneRakstz">
    <w:name w:val="Galvene Rakstz."/>
    <w:basedOn w:val="Noklusjumarindkopasfonts"/>
    <w:link w:val="Galvene"/>
    <w:uiPriority w:val="99"/>
    <w:rsid w:val="00356795"/>
    <w:rPr>
      <w:rFonts w:ascii="Times New Roman" w:eastAsia="Calibri" w:hAnsi="Times New Roman" w:cs="Times New Roman"/>
      <w:sz w:val="24"/>
    </w:rPr>
  </w:style>
  <w:style w:type="paragraph" w:styleId="Kjene">
    <w:name w:val="footer"/>
    <w:basedOn w:val="Parasts"/>
    <w:link w:val="KjeneRakstz"/>
    <w:uiPriority w:val="99"/>
    <w:unhideWhenUsed/>
    <w:rsid w:val="00356795"/>
    <w:pPr>
      <w:tabs>
        <w:tab w:val="center" w:pos="4153"/>
        <w:tab w:val="right" w:pos="8306"/>
      </w:tabs>
    </w:pPr>
  </w:style>
  <w:style w:type="character" w:customStyle="1" w:styleId="KjeneRakstz">
    <w:name w:val="Kājene Rakstz."/>
    <w:basedOn w:val="Noklusjumarindkopasfonts"/>
    <w:link w:val="Kjene"/>
    <w:uiPriority w:val="99"/>
    <w:rsid w:val="00356795"/>
    <w:rPr>
      <w:rFonts w:ascii="Times New Roman" w:eastAsia="Calibri" w:hAnsi="Times New Roman" w:cs="Times New Roman"/>
      <w:sz w:val="24"/>
    </w:rPr>
  </w:style>
  <w:style w:type="character" w:styleId="Hipersaite">
    <w:name w:val="Hyperlink"/>
    <w:uiPriority w:val="99"/>
    <w:unhideWhenUsed/>
    <w:rsid w:val="00356795"/>
    <w:rPr>
      <w:strike w:val="0"/>
      <w:dstrike w:val="0"/>
      <w:color w:val="6C1F7E"/>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e.Kipena@t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7062</Words>
  <Characters>4026</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Ķipēna</dc:creator>
  <cp:keywords/>
  <dc:description/>
  <cp:lastModifiedBy>Kristīne Ķipēna</cp:lastModifiedBy>
  <cp:revision>3</cp:revision>
  <dcterms:created xsi:type="dcterms:W3CDTF">2019-09-06T06:04:00Z</dcterms:created>
  <dcterms:modified xsi:type="dcterms:W3CDTF">2019-09-06T06:34:00Z</dcterms:modified>
</cp:coreProperties>
</file>