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D9AD" w14:textId="77777777" w:rsidR="00D93D7D" w:rsidRDefault="00AD2C14" w:rsidP="00D93D7D">
      <w:pPr>
        <w:jc w:val="center"/>
        <w:rPr>
          <w:b/>
        </w:rPr>
      </w:pPr>
      <w:r w:rsidRPr="00563D3C">
        <w:rPr>
          <w:b/>
        </w:rPr>
        <w:t>Ministru kabineta noteikumu projekta</w:t>
      </w:r>
      <w:r w:rsidR="00D93D7D">
        <w:rPr>
          <w:b/>
        </w:rPr>
        <w:t xml:space="preserve"> </w:t>
      </w:r>
    </w:p>
    <w:p w14:paraId="51511652" w14:textId="30CEA235" w:rsidR="00AD2C14" w:rsidRDefault="004C2F5B" w:rsidP="00D93D7D">
      <w:pPr>
        <w:jc w:val="center"/>
        <w:rPr>
          <w:b/>
        </w:rPr>
      </w:pPr>
      <w:r>
        <w:rPr>
          <w:b/>
        </w:rPr>
        <w:t>“</w:t>
      </w:r>
      <w:r w:rsidR="00AD2C14" w:rsidRPr="00AD2C14">
        <w:rPr>
          <w:b/>
        </w:rPr>
        <w:t>Grozījumi Ministru kabineta 2011.</w:t>
      </w:r>
      <w:r w:rsidR="005C5F73">
        <w:rPr>
          <w:b/>
        </w:rPr>
        <w:t> </w:t>
      </w:r>
      <w:r w:rsidR="00AD2C14" w:rsidRPr="00AD2C14">
        <w:rPr>
          <w:b/>
        </w:rPr>
        <w:t>gada 19.</w:t>
      </w:r>
      <w:r w:rsidR="005C5F73">
        <w:rPr>
          <w:b/>
        </w:rPr>
        <w:t> </w:t>
      </w:r>
      <w:r w:rsidR="00AD2C14" w:rsidRPr="00AD2C14">
        <w:rPr>
          <w:b/>
        </w:rPr>
        <w:t>aprīļa noteikumos Nr.</w:t>
      </w:r>
      <w:r w:rsidR="005C5F73">
        <w:rPr>
          <w:b/>
        </w:rPr>
        <w:t> </w:t>
      </w:r>
      <w:r w:rsidR="00AD2C14" w:rsidRPr="00AD2C14">
        <w:rPr>
          <w:b/>
        </w:rPr>
        <w:t>302 “Noteikumi par atkritumu klasifikatoru un īpašībām, kuras padara atkritumus bīstamus</w:t>
      </w:r>
      <w:r w:rsidR="00AD2C14" w:rsidRPr="00563D3C">
        <w:rPr>
          <w:b/>
        </w:rPr>
        <w:t>”</w:t>
      </w:r>
      <w:r w:rsidR="007C0D58" w:rsidRPr="007C0D58">
        <w:rPr>
          <w:b/>
        </w:rPr>
        <w:t>”</w:t>
      </w:r>
      <w:r w:rsidR="00D93D7D">
        <w:rPr>
          <w:b/>
        </w:rPr>
        <w:t xml:space="preserve"> </w:t>
      </w:r>
      <w:r w:rsidR="00AD2C14" w:rsidRPr="00563D3C">
        <w:rPr>
          <w:b/>
        </w:rPr>
        <w:t xml:space="preserve">sākotnējās ietekmes novērtējuma </w:t>
      </w:r>
      <w:smartTag w:uri="schemas-tilde-lv/tildestengine" w:element="veidnes">
        <w:smartTagPr>
          <w:attr w:name="id" w:val="-1"/>
          <w:attr w:name="baseform" w:val="ziņojums"/>
          <w:attr w:name="text" w:val="ziņojums"/>
        </w:smartTagPr>
        <w:r w:rsidR="00AD2C14" w:rsidRPr="00563D3C">
          <w:rPr>
            <w:b/>
          </w:rPr>
          <w:t>ziņojums</w:t>
        </w:r>
      </w:smartTag>
      <w:r w:rsidR="00AD2C14" w:rsidRPr="00563D3C">
        <w:rPr>
          <w:b/>
        </w:rPr>
        <w:t xml:space="preserve"> (anotācija)</w:t>
      </w:r>
    </w:p>
    <w:p w14:paraId="2ED22214" w14:textId="77777777" w:rsidR="00AD2C14" w:rsidRDefault="00AD2C14" w:rsidP="00AD2C14">
      <w:pPr>
        <w:rPr>
          <w:b/>
        </w:rPr>
      </w:pPr>
    </w:p>
    <w:tbl>
      <w:tblPr>
        <w:tblStyle w:val="TableGrid"/>
        <w:tblW w:w="0" w:type="auto"/>
        <w:tblInd w:w="0" w:type="dxa"/>
        <w:tblLook w:val="04A0" w:firstRow="1" w:lastRow="0" w:firstColumn="1" w:lastColumn="0" w:noHBand="0" w:noVBand="1"/>
      </w:tblPr>
      <w:tblGrid>
        <w:gridCol w:w="3256"/>
        <w:gridCol w:w="5805"/>
      </w:tblGrid>
      <w:tr w:rsidR="00AD2C14" w14:paraId="0D6A4CA2" w14:textId="77777777" w:rsidTr="00154856">
        <w:tc>
          <w:tcPr>
            <w:tcW w:w="9061" w:type="dxa"/>
            <w:gridSpan w:val="2"/>
          </w:tcPr>
          <w:p w14:paraId="4E722E62" w14:textId="77777777" w:rsidR="00AD2C14" w:rsidRPr="00D062F9" w:rsidRDefault="00AD2C14" w:rsidP="00154856">
            <w:pPr>
              <w:jc w:val="center"/>
              <w:rPr>
                <w:b/>
              </w:rPr>
            </w:pPr>
            <w:r w:rsidRPr="00D062F9">
              <w:rPr>
                <w:b/>
              </w:rPr>
              <w:t>Tiesību akta anotācijas kopsavilkums</w:t>
            </w:r>
          </w:p>
        </w:tc>
      </w:tr>
      <w:tr w:rsidR="00AD2C14" w14:paraId="756AE47E" w14:textId="77777777" w:rsidTr="00154856">
        <w:tc>
          <w:tcPr>
            <w:tcW w:w="3256" w:type="dxa"/>
          </w:tcPr>
          <w:p w14:paraId="420A8CF6" w14:textId="77777777" w:rsidR="00AD2C14" w:rsidRPr="00DC48BF" w:rsidRDefault="00AD2C14" w:rsidP="00154856">
            <w:r>
              <w:t>Mērķis, risinājums un projekta spēkā stāšanās laiks (500 zīmes bez atstarpēm)</w:t>
            </w:r>
          </w:p>
        </w:tc>
        <w:tc>
          <w:tcPr>
            <w:tcW w:w="5805" w:type="dxa"/>
          </w:tcPr>
          <w:p w14:paraId="29CE965B" w14:textId="77777777" w:rsidR="00AD2C14" w:rsidRPr="00DC48BF" w:rsidRDefault="00AD2C14" w:rsidP="00154856">
            <w:r w:rsidRPr="00DC48BF">
              <w:t>Nav attiecināms.</w:t>
            </w:r>
          </w:p>
        </w:tc>
      </w:tr>
    </w:tbl>
    <w:p w14:paraId="20CCA1E6" w14:textId="77777777" w:rsidR="00AD2C14" w:rsidRDefault="00AD2C14" w:rsidP="00AD2C14">
      <w:pPr>
        <w:rPr>
          <w:b/>
        </w:rPr>
      </w:pPr>
    </w:p>
    <w:p w14:paraId="656BAC39" w14:textId="77777777" w:rsidR="00AD2C14" w:rsidRPr="00FB41DC" w:rsidRDefault="00AD2C14" w:rsidP="00AD2C14">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9"/>
        <w:gridCol w:w="1743"/>
        <w:gridCol w:w="6721"/>
      </w:tblGrid>
      <w:tr w:rsidR="00AD2C14" w:rsidRPr="00FB41DC" w14:paraId="17C88D09" w14:textId="77777777" w:rsidTr="00154856">
        <w:tc>
          <w:tcPr>
            <w:tcW w:w="9359" w:type="dxa"/>
            <w:gridSpan w:val="3"/>
          </w:tcPr>
          <w:p w14:paraId="6EBB0555" w14:textId="77777777" w:rsidR="00AD2C14" w:rsidRPr="00FB41DC" w:rsidRDefault="00AD2C14" w:rsidP="00154856">
            <w:pPr>
              <w:jc w:val="center"/>
              <w:rPr>
                <w:b/>
              </w:rPr>
            </w:pPr>
            <w:r w:rsidRPr="00FB41DC">
              <w:rPr>
                <w:b/>
              </w:rPr>
              <w:t>I.</w:t>
            </w:r>
            <w:r>
              <w:rPr>
                <w:b/>
              </w:rPr>
              <w:t> </w:t>
            </w:r>
            <w:r w:rsidRPr="00FB41DC">
              <w:rPr>
                <w:b/>
              </w:rPr>
              <w:t>Tiesību akta projekta izstrādes nepieciešamība</w:t>
            </w:r>
          </w:p>
        </w:tc>
      </w:tr>
      <w:tr w:rsidR="00AD2C14" w:rsidRPr="0062273E" w14:paraId="27DB49F5" w14:textId="77777777" w:rsidTr="00154856">
        <w:tc>
          <w:tcPr>
            <w:tcW w:w="720" w:type="dxa"/>
          </w:tcPr>
          <w:p w14:paraId="03D74F31" w14:textId="77777777" w:rsidR="00AD2C14" w:rsidRPr="0062273E" w:rsidRDefault="00AD2C14" w:rsidP="00154856">
            <w:pPr>
              <w:jc w:val="center"/>
            </w:pPr>
            <w:r w:rsidRPr="0062273E">
              <w:t>1.</w:t>
            </w:r>
          </w:p>
        </w:tc>
        <w:tc>
          <w:tcPr>
            <w:tcW w:w="1445" w:type="dxa"/>
          </w:tcPr>
          <w:p w14:paraId="7605B1C3" w14:textId="77777777" w:rsidR="00AD2C14" w:rsidRPr="0062273E" w:rsidRDefault="00AD2C14" w:rsidP="00154856">
            <w:r w:rsidRPr="0062273E">
              <w:t>Pamatojums</w:t>
            </w:r>
          </w:p>
        </w:tc>
        <w:tc>
          <w:tcPr>
            <w:tcW w:w="7194" w:type="dxa"/>
          </w:tcPr>
          <w:p w14:paraId="53817110" w14:textId="6B68BA5D" w:rsidR="00AD2C14" w:rsidRPr="00DA721C" w:rsidRDefault="00AD2C14" w:rsidP="00AD2C14">
            <w:pPr>
              <w:ind w:right="135"/>
              <w:jc w:val="both"/>
              <w:rPr>
                <w:bCs/>
              </w:rPr>
            </w:pPr>
            <w:r w:rsidRPr="00DA721C">
              <w:rPr>
                <w:bCs/>
              </w:rPr>
              <w:t xml:space="preserve">Noteikumu projekts </w:t>
            </w:r>
            <w:r>
              <w:rPr>
                <w:bCs/>
              </w:rPr>
              <w:t>“</w:t>
            </w:r>
            <w:r w:rsidRPr="00AD2C14">
              <w:t>Grozījumi Ministru kabineta 2011.</w:t>
            </w:r>
            <w:r w:rsidR="005C5F73">
              <w:t> </w:t>
            </w:r>
            <w:r w:rsidRPr="00AD2C14">
              <w:t>gada 19.</w:t>
            </w:r>
            <w:r w:rsidR="005C5F73">
              <w:t> </w:t>
            </w:r>
            <w:r w:rsidRPr="00AD2C14">
              <w:t>aprīļa noteikumos Nr.302 “Noteikumi par atkritumu klasifikatoru un īpašībām, kuras padara atkritumus bīstamus”</w:t>
            </w:r>
            <w:r>
              <w:t xml:space="preserve">” (turpmāk – </w:t>
            </w:r>
            <w:r w:rsidRPr="00463521">
              <w:t>noteikumu projekts</w:t>
            </w:r>
            <w:r w:rsidR="005C5F73">
              <w:t>)</w:t>
            </w:r>
            <w:r>
              <w:t xml:space="preserve"> ir izstrādāts, lai nodrošinātu Eiropas Parlamenta un Padomes 2018.</w:t>
            </w:r>
            <w:r w:rsidR="005C5F73">
              <w:t> </w:t>
            </w:r>
            <w:r>
              <w:t>gada 30.</w:t>
            </w:r>
            <w:r w:rsidR="005C5F73">
              <w:t> </w:t>
            </w:r>
            <w:r>
              <w:t>maija direktīvas 2018/85</w:t>
            </w:r>
            <w:r w:rsidR="00F32284">
              <w:t>1</w:t>
            </w:r>
            <w:r>
              <w:t xml:space="preserve">/ES, ar ko groza Direktīvu 2008/98 par atkritumiem (turpmāk – Direktīva 2018/851/ES) prasību pārņemšanu attiecībā uz jautājumiem par blakusproduktu kritērijiem, kā arī par atkritumu statusa piemērošanas izbeigšanas nosacījumiem. </w:t>
            </w:r>
          </w:p>
        </w:tc>
      </w:tr>
      <w:tr w:rsidR="00AD2C14" w:rsidRPr="00FB41DC" w14:paraId="66A30F3C" w14:textId="77777777" w:rsidTr="00154856">
        <w:trPr>
          <w:trHeight w:val="699"/>
        </w:trPr>
        <w:tc>
          <w:tcPr>
            <w:tcW w:w="720" w:type="dxa"/>
          </w:tcPr>
          <w:p w14:paraId="22B0F8FF" w14:textId="77777777" w:rsidR="00AD2C14" w:rsidRPr="00FB41DC" w:rsidRDefault="00AD2C14" w:rsidP="00154856">
            <w:pPr>
              <w:jc w:val="center"/>
            </w:pPr>
            <w:r w:rsidRPr="00FB41DC">
              <w:t>2.</w:t>
            </w:r>
          </w:p>
        </w:tc>
        <w:tc>
          <w:tcPr>
            <w:tcW w:w="1445" w:type="dxa"/>
          </w:tcPr>
          <w:p w14:paraId="7A4D22EE" w14:textId="77777777" w:rsidR="00AD2C14" w:rsidRPr="00FB41DC" w:rsidRDefault="00AD2C14" w:rsidP="00154856">
            <w:r w:rsidRPr="00FB41DC">
              <w:t>Pašreizējā situācija un problēmas</w:t>
            </w:r>
            <w:r>
              <w:t>, kuru risināšanai tiesību aktu projekts izstrādāts, tiesiskā regulējuma mērķis un būtība</w:t>
            </w:r>
          </w:p>
        </w:tc>
        <w:tc>
          <w:tcPr>
            <w:tcW w:w="7194" w:type="dxa"/>
          </w:tcPr>
          <w:p w14:paraId="7C41EB8F" w14:textId="2BC27630" w:rsidR="00AD2C14" w:rsidRDefault="00AD2C14" w:rsidP="00154856">
            <w:pPr>
              <w:pStyle w:val="tv2131"/>
              <w:spacing w:line="240" w:lineRule="auto"/>
              <w:ind w:right="135"/>
              <w:jc w:val="both"/>
              <w:rPr>
                <w:color w:val="auto"/>
                <w:sz w:val="24"/>
                <w:szCs w:val="24"/>
                <w:lang w:val="lv-LV"/>
              </w:rPr>
            </w:pPr>
            <w:r>
              <w:rPr>
                <w:color w:val="auto"/>
                <w:sz w:val="24"/>
                <w:szCs w:val="24"/>
                <w:lang w:val="lv-LV"/>
              </w:rPr>
              <w:t xml:space="preserve">Pašreizējā situācija un problēmas, kuru risināšanai </w:t>
            </w:r>
            <w:r w:rsidRPr="00463521">
              <w:rPr>
                <w:color w:val="auto"/>
                <w:sz w:val="24"/>
                <w:szCs w:val="24"/>
                <w:lang w:val="lv-LV"/>
              </w:rPr>
              <w:t>izstrādāts noteikumu projekts:</w:t>
            </w:r>
          </w:p>
          <w:p w14:paraId="07F6CAC2" w14:textId="5E3CDCFD" w:rsidR="00AD2C14" w:rsidRPr="00E210D0" w:rsidRDefault="00AD2C14" w:rsidP="00AD2C14">
            <w:pPr>
              <w:pStyle w:val="tv2131"/>
              <w:numPr>
                <w:ilvl w:val="0"/>
                <w:numId w:val="3"/>
              </w:numPr>
              <w:spacing w:line="240" w:lineRule="auto"/>
              <w:ind w:right="135"/>
              <w:jc w:val="both"/>
              <w:rPr>
                <w:color w:val="auto"/>
                <w:sz w:val="24"/>
                <w:szCs w:val="24"/>
                <w:lang w:val="lv-LV"/>
              </w:rPr>
            </w:pPr>
            <w:r w:rsidRPr="00E210D0">
              <w:rPr>
                <w:color w:val="auto"/>
                <w:sz w:val="24"/>
                <w:szCs w:val="24"/>
                <w:lang w:val="lv-LV"/>
              </w:rPr>
              <w:t xml:space="preserve">Atbilstoši </w:t>
            </w:r>
            <w:r w:rsidR="005C5F73">
              <w:rPr>
                <w:color w:val="auto"/>
                <w:sz w:val="24"/>
                <w:szCs w:val="24"/>
                <w:lang w:val="lv-LV"/>
              </w:rPr>
              <w:t>D</w:t>
            </w:r>
            <w:r w:rsidRPr="00E210D0">
              <w:rPr>
                <w:color w:val="auto"/>
                <w:sz w:val="24"/>
                <w:szCs w:val="24"/>
                <w:lang w:val="lv-LV"/>
              </w:rPr>
              <w:t>irektīvai 2018/851/ES ir nepieciešams transponēt definīciju “nebīstamie atkritumi” Latvijas normatīvajos aktos;</w:t>
            </w:r>
          </w:p>
          <w:p w14:paraId="21CD270E" w14:textId="77777777" w:rsidR="00AD2C14" w:rsidRPr="00E210D0" w:rsidRDefault="00AD2C14" w:rsidP="00AD2C14">
            <w:pPr>
              <w:pStyle w:val="tv2131"/>
              <w:numPr>
                <w:ilvl w:val="0"/>
                <w:numId w:val="3"/>
              </w:numPr>
              <w:spacing w:line="240" w:lineRule="auto"/>
              <w:ind w:right="135"/>
              <w:jc w:val="both"/>
              <w:rPr>
                <w:color w:val="auto"/>
                <w:sz w:val="24"/>
                <w:szCs w:val="24"/>
                <w:lang w:val="lv-LV"/>
              </w:rPr>
            </w:pPr>
            <w:r w:rsidRPr="00E210D0">
              <w:rPr>
                <w:color w:val="auto"/>
                <w:sz w:val="24"/>
                <w:szCs w:val="24"/>
                <w:lang w:val="lv-LV"/>
              </w:rPr>
              <w:t>Ministru kabineta 2011.</w:t>
            </w:r>
            <w:r w:rsidR="005C5F73">
              <w:rPr>
                <w:color w:val="auto"/>
                <w:sz w:val="24"/>
                <w:szCs w:val="24"/>
                <w:lang w:val="lv-LV"/>
              </w:rPr>
              <w:t> </w:t>
            </w:r>
            <w:r w:rsidRPr="00E210D0">
              <w:rPr>
                <w:color w:val="auto"/>
                <w:sz w:val="24"/>
                <w:szCs w:val="24"/>
                <w:lang w:val="lv-LV"/>
              </w:rPr>
              <w:t>gada 19.</w:t>
            </w:r>
            <w:r w:rsidR="005C5F73">
              <w:rPr>
                <w:color w:val="auto"/>
                <w:sz w:val="24"/>
                <w:szCs w:val="24"/>
                <w:lang w:val="lv-LV"/>
              </w:rPr>
              <w:t> </w:t>
            </w:r>
            <w:r w:rsidRPr="00E210D0">
              <w:rPr>
                <w:color w:val="auto"/>
                <w:sz w:val="24"/>
                <w:szCs w:val="24"/>
                <w:lang w:val="lv-LV"/>
              </w:rPr>
              <w:t>aprīļa noteikumos Nr.302 “Noteikumi par atkritumu klasifikatoru un īpašībām, kuras padara atkritumus bīstamus”</w:t>
            </w:r>
            <w:r w:rsidRPr="00E210D0">
              <w:rPr>
                <w:color w:val="auto"/>
                <w:lang w:val="lv-LV"/>
              </w:rPr>
              <w:t xml:space="preserve">” </w:t>
            </w:r>
            <w:r w:rsidRPr="00E210D0">
              <w:rPr>
                <w:color w:val="auto"/>
                <w:sz w:val="24"/>
                <w:szCs w:val="24"/>
                <w:lang w:val="lv-LV"/>
              </w:rPr>
              <w:t>ir ietvertas prasības blakusproduktu un atkritumu statusa piemērošanas izbeigšanai, tomēr šis regulējums pilnībā neatbilst Direktīvas 2018/851/ES regulējumam un tāpēc ir jāprecizē;</w:t>
            </w:r>
          </w:p>
          <w:p w14:paraId="56600EDD" w14:textId="77777777" w:rsidR="00AD2C14" w:rsidRPr="00E210D0" w:rsidRDefault="00AD2C14" w:rsidP="00AD2C14">
            <w:pPr>
              <w:pStyle w:val="tv2131"/>
              <w:numPr>
                <w:ilvl w:val="0"/>
                <w:numId w:val="3"/>
              </w:numPr>
              <w:spacing w:line="240" w:lineRule="auto"/>
              <w:ind w:right="135"/>
              <w:jc w:val="both"/>
              <w:rPr>
                <w:color w:val="auto"/>
                <w:sz w:val="22"/>
                <w:szCs w:val="24"/>
                <w:lang w:val="lv-LV"/>
              </w:rPr>
            </w:pPr>
            <w:r>
              <w:rPr>
                <w:color w:val="auto"/>
                <w:sz w:val="24"/>
                <w:szCs w:val="24"/>
                <w:lang w:val="lv-LV"/>
              </w:rPr>
              <w:t>Ir nep</w:t>
            </w:r>
            <w:r w:rsidR="00E210D0">
              <w:rPr>
                <w:color w:val="auto"/>
                <w:sz w:val="24"/>
                <w:szCs w:val="24"/>
                <w:lang w:val="lv-LV"/>
              </w:rPr>
              <w:t>ieciešams pārņemt</w:t>
            </w:r>
            <w:r>
              <w:rPr>
                <w:color w:val="auto"/>
                <w:sz w:val="24"/>
                <w:szCs w:val="24"/>
                <w:lang w:val="lv-LV"/>
              </w:rPr>
              <w:t xml:space="preserve"> Direktīvas 2018/851/ES prasības attiecībā uz </w:t>
            </w:r>
            <w:r w:rsidR="00E210D0">
              <w:rPr>
                <w:color w:val="auto"/>
                <w:sz w:val="24"/>
                <w:szCs w:val="24"/>
                <w:lang w:val="lv-LV"/>
              </w:rPr>
              <w:t xml:space="preserve">tādu materiālu, kam vairs nepiemēro atkritumu statusu, atbilstību </w:t>
            </w:r>
            <w:r w:rsidR="00E210D0" w:rsidRPr="00E210D0">
              <w:rPr>
                <w:color w:val="auto"/>
                <w:sz w:val="24"/>
                <w:szCs w:val="28"/>
                <w:lang w:val="lv-LV" w:eastAsia="lv-LV"/>
              </w:rPr>
              <w:t xml:space="preserve">normatīvo aktu prasībām par ķīmiskajām vielām un par preču un pakalpojumu drošību. </w:t>
            </w:r>
          </w:p>
          <w:p w14:paraId="3E2718C4" w14:textId="77777777" w:rsidR="00E210D0" w:rsidRPr="00E210D0" w:rsidRDefault="00E210D0" w:rsidP="00E210D0">
            <w:pPr>
              <w:pStyle w:val="tv2131"/>
              <w:spacing w:line="240" w:lineRule="auto"/>
              <w:ind w:left="660" w:right="135" w:firstLine="0"/>
              <w:jc w:val="both"/>
              <w:rPr>
                <w:color w:val="auto"/>
                <w:sz w:val="22"/>
                <w:szCs w:val="24"/>
                <w:lang w:val="lv-LV"/>
              </w:rPr>
            </w:pPr>
          </w:p>
          <w:p w14:paraId="7CEDE0EE" w14:textId="77777777" w:rsidR="00AD2C14" w:rsidRDefault="00AD2C14" w:rsidP="00154856">
            <w:pPr>
              <w:pStyle w:val="tv2131"/>
              <w:spacing w:line="240" w:lineRule="auto"/>
              <w:ind w:right="135"/>
              <w:jc w:val="both"/>
              <w:rPr>
                <w:color w:val="auto"/>
                <w:sz w:val="24"/>
                <w:szCs w:val="24"/>
                <w:lang w:val="lv-LV"/>
              </w:rPr>
            </w:pPr>
            <w:r>
              <w:rPr>
                <w:color w:val="auto"/>
                <w:sz w:val="24"/>
                <w:szCs w:val="24"/>
                <w:lang w:val="lv-LV"/>
              </w:rPr>
              <w:t>Tiesiskā regulējuma mērķis un būtība:</w:t>
            </w:r>
          </w:p>
          <w:p w14:paraId="4CDB0079" w14:textId="77777777" w:rsidR="00AD2C14" w:rsidRDefault="00E210D0" w:rsidP="00AD2C14">
            <w:pPr>
              <w:pStyle w:val="tv2131"/>
              <w:numPr>
                <w:ilvl w:val="0"/>
                <w:numId w:val="2"/>
              </w:numPr>
              <w:spacing w:line="240" w:lineRule="auto"/>
              <w:ind w:right="135"/>
              <w:jc w:val="both"/>
              <w:rPr>
                <w:color w:val="auto"/>
                <w:sz w:val="24"/>
                <w:szCs w:val="24"/>
                <w:lang w:val="lv-LV"/>
              </w:rPr>
            </w:pPr>
            <w:r>
              <w:rPr>
                <w:color w:val="auto"/>
                <w:sz w:val="24"/>
                <w:szCs w:val="24"/>
                <w:lang w:val="lv-LV"/>
              </w:rPr>
              <w:t>noteikumu projektā ietverta definīcija “nebīstamie atkritumi”</w:t>
            </w:r>
            <w:r w:rsidR="00AD2C14">
              <w:rPr>
                <w:color w:val="auto"/>
                <w:sz w:val="24"/>
                <w:szCs w:val="24"/>
                <w:lang w:val="lv-LV" w:eastAsia="lv-LV"/>
              </w:rPr>
              <w:t>;</w:t>
            </w:r>
          </w:p>
          <w:p w14:paraId="08ADFF19" w14:textId="77777777" w:rsidR="00AD2C14" w:rsidRDefault="00E210D0" w:rsidP="00AD2C14">
            <w:pPr>
              <w:pStyle w:val="tv2131"/>
              <w:numPr>
                <w:ilvl w:val="0"/>
                <w:numId w:val="2"/>
              </w:numPr>
              <w:spacing w:line="240" w:lineRule="auto"/>
              <w:ind w:right="135"/>
              <w:jc w:val="both"/>
              <w:rPr>
                <w:color w:val="auto"/>
                <w:sz w:val="24"/>
                <w:szCs w:val="24"/>
                <w:lang w:val="lv-LV"/>
              </w:rPr>
            </w:pPr>
            <w:r>
              <w:rPr>
                <w:color w:val="auto"/>
                <w:sz w:val="24"/>
                <w:szCs w:val="24"/>
                <w:lang w:val="lv-LV"/>
              </w:rPr>
              <w:t>noteikumu projektā ir precizētas prasības blakusproduktu statusa un atkritumu statusa piemērošanas izbeigšanai;</w:t>
            </w:r>
          </w:p>
          <w:p w14:paraId="16200D18" w14:textId="77777777" w:rsidR="00E210D0" w:rsidRPr="00E210D0" w:rsidRDefault="00E210D0" w:rsidP="00E210D0">
            <w:pPr>
              <w:pStyle w:val="tv2131"/>
              <w:numPr>
                <w:ilvl w:val="0"/>
                <w:numId w:val="2"/>
              </w:numPr>
              <w:spacing w:line="240" w:lineRule="auto"/>
              <w:ind w:right="135"/>
              <w:jc w:val="both"/>
              <w:rPr>
                <w:color w:val="auto"/>
                <w:sz w:val="24"/>
                <w:szCs w:val="24"/>
                <w:lang w:val="lv-LV"/>
              </w:rPr>
            </w:pPr>
            <w:r>
              <w:rPr>
                <w:color w:val="auto"/>
                <w:sz w:val="24"/>
                <w:szCs w:val="24"/>
                <w:lang w:val="lv-LV"/>
              </w:rPr>
              <w:t xml:space="preserve">noteikumu projektā ir paredzētas prasības attiecībā uz tādu materiālu, kam vairs nepiemēro atkritumu statusu, atbilstību </w:t>
            </w:r>
            <w:r w:rsidRPr="00E210D0">
              <w:rPr>
                <w:color w:val="auto"/>
                <w:sz w:val="24"/>
                <w:szCs w:val="28"/>
                <w:lang w:val="lv-LV" w:eastAsia="lv-LV"/>
              </w:rPr>
              <w:t xml:space="preserve">normatīvo aktu prasībām par ķīmiskajām vielām un par preču un pakalpojumu drošību. </w:t>
            </w:r>
          </w:p>
        </w:tc>
      </w:tr>
      <w:tr w:rsidR="00AD2C14" w:rsidRPr="00FB41DC" w14:paraId="69F365F6" w14:textId="77777777" w:rsidTr="00154856">
        <w:tc>
          <w:tcPr>
            <w:tcW w:w="720" w:type="dxa"/>
          </w:tcPr>
          <w:p w14:paraId="188C4F82" w14:textId="77777777" w:rsidR="00AD2C14" w:rsidRPr="00FB41DC" w:rsidRDefault="00AD2C14" w:rsidP="00154856">
            <w:pPr>
              <w:jc w:val="center"/>
            </w:pPr>
            <w:r>
              <w:t>3</w:t>
            </w:r>
            <w:r w:rsidRPr="00FB41DC">
              <w:t>.</w:t>
            </w:r>
          </w:p>
        </w:tc>
        <w:tc>
          <w:tcPr>
            <w:tcW w:w="1445" w:type="dxa"/>
          </w:tcPr>
          <w:p w14:paraId="59D2F87B" w14:textId="77777777" w:rsidR="00AD2C14" w:rsidRPr="00FB41DC" w:rsidRDefault="00AD2C14" w:rsidP="00154856">
            <w:r>
              <w:t>Projekta izstrādē iesaistītās institūcijas un publiskas personas kapitālsabiedrības</w:t>
            </w:r>
          </w:p>
        </w:tc>
        <w:tc>
          <w:tcPr>
            <w:tcW w:w="7194" w:type="dxa"/>
          </w:tcPr>
          <w:p w14:paraId="0D9360C0" w14:textId="77777777" w:rsidR="00AD2C14" w:rsidRPr="00FB41DC" w:rsidRDefault="00AD2C14" w:rsidP="00154856">
            <w:pPr>
              <w:pStyle w:val="naiskr"/>
              <w:jc w:val="both"/>
            </w:pPr>
            <w:r>
              <w:t>V</w:t>
            </w:r>
            <w:r w:rsidR="00463521">
              <w:t>ides aizsardzības un reģionālās attīstības ministrija (turpmāk – V</w:t>
            </w:r>
            <w:r>
              <w:t>ARAM</w:t>
            </w:r>
            <w:r w:rsidR="00463521">
              <w:t>)</w:t>
            </w:r>
            <w:r>
              <w:t>.</w:t>
            </w:r>
          </w:p>
        </w:tc>
      </w:tr>
      <w:tr w:rsidR="00AD2C14" w:rsidRPr="00FB41DC" w14:paraId="23F581C8" w14:textId="77777777" w:rsidTr="00154856">
        <w:trPr>
          <w:trHeight w:val="571"/>
        </w:trPr>
        <w:tc>
          <w:tcPr>
            <w:tcW w:w="720" w:type="dxa"/>
          </w:tcPr>
          <w:p w14:paraId="399B81C2" w14:textId="77777777" w:rsidR="00AD2C14" w:rsidRPr="00FB41DC" w:rsidRDefault="00AD2C14" w:rsidP="00154856">
            <w:pPr>
              <w:jc w:val="center"/>
            </w:pPr>
            <w:r>
              <w:t>4</w:t>
            </w:r>
            <w:r w:rsidRPr="00FB41DC">
              <w:t>.</w:t>
            </w:r>
          </w:p>
        </w:tc>
        <w:tc>
          <w:tcPr>
            <w:tcW w:w="1445" w:type="dxa"/>
          </w:tcPr>
          <w:p w14:paraId="1DCDBED4" w14:textId="77777777" w:rsidR="00AD2C14" w:rsidRPr="00FB41DC" w:rsidRDefault="00AD2C14" w:rsidP="00154856">
            <w:r w:rsidRPr="00FB41DC">
              <w:t>Cita informācija</w:t>
            </w:r>
          </w:p>
        </w:tc>
        <w:tc>
          <w:tcPr>
            <w:tcW w:w="7194" w:type="dxa"/>
          </w:tcPr>
          <w:p w14:paraId="791E8C33" w14:textId="77777777" w:rsidR="00AD2C14" w:rsidRPr="00FB41DC" w:rsidRDefault="00AD2C14" w:rsidP="00154856">
            <w:pPr>
              <w:jc w:val="both"/>
            </w:pPr>
            <w:r>
              <w:t>Nav.</w:t>
            </w:r>
          </w:p>
        </w:tc>
      </w:tr>
    </w:tbl>
    <w:p w14:paraId="1C8095DF" w14:textId="77777777" w:rsidR="00AD2C14" w:rsidRPr="00FB41DC" w:rsidRDefault="00AD2C14" w:rsidP="00AD2C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AD2C14" w:rsidRPr="00FB41DC" w14:paraId="511EA3FB" w14:textId="77777777" w:rsidTr="00154856">
        <w:tc>
          <w:tcPr>
            <w:tcW w:w="9287" w:type="dxa"/>
            <w:gridSpan w:val="3"/>
          </w:tcPr>
          <w:p w14:paraId="0C02590B" w14:textId="77777777" w:rsidR="00AD2C14" w:rsidRPr="00FB41DC" w:rsidRDefault="00AD2C14" w:rsidP="00154856">
            <w:pPr>
              <w:jc w:val="center"/>
              <w:rPr>
                <w:b/>
              </w:rPr>
            </w:pPr>
            <w:r w:rsidRPr="00FB41DC">
              <w:rPr>
                <w:b/>
              </w:rPr>
              <w:t>II.</w:t>
            </w:r>
            <w:r>
              <w:rPr>
                <w:b/>
              </w:rPr>
              <w:t> </w:t>
            </w:r>
            <w:r w:rsidRPr="00FB41DC">
              <w:rPr>
                <w:b/>
              </w:rPr>
              <w:t>Tiesību akta projekta ietekme uz sabiedrību</w:t>
            </w:r>
          </w:p>
        </w:tc>
      </w:tr>
      <w:tr w:rsidR="00AD2C14" w:rsidRPr="00FB41DC" w14:paraId="75DAB757" w14:textId="77777777" w:rsidTr="00154856">
        <w:tc>
          <w:tcPr>
            <w:tcW w:w="648" w:type="dxa"/>
          </w:tcPr>
          <w:p w14:paraId="1F85BBBD" w14:textId="77777777" w:rsidR="00AD2C14" w:rsidRPr="00FB41DC" w:rsidRDefault="00AD2C14" w:rsidP="00154856">
            <w:pPr>
              <w:jc w:val="center"/>
            </w:pPr>
            <w:r w:rsidRPr="00FB41DC">
              <w:t>1.</w:t>
            </w:r>
          </w:p>
        </w:tc>
        <w:tc>
          <w:tcPr>
            <w:tcW w:w="2700" w:type="dxa"/>
          </w:tcPr>
          <w:p w14:paraId="687FF62F" w14:textId="77777777" w:rsidR="00AD2C14" w:rsidRPr="00FB41DC" w:rsidRDefault="00AD2C14" w:rsidP="00154856">
            <w:r w:rsidRPr="00FB41DC">
              <w:t>Sabiedrības mērķgrupa</w:t>
            </w:r>
            <w:r>
              <w:t>s, kuras tiesiskais regulējums ietekmē vai varētu ietekmēt</w:t>
            </w:r>
          </w:p>
        </w:tc>
        <w:tc>
          <w:tcPr>
            <w:tcW w:w="5939" w:type="dxa"/>
          </w:tcPr>
          <w:p w14:paraId="10144F94" w14:textId="77777777" w:rsidR="00E210D0" w:rsidRPr="00186052" w:rsidRDefault="00942483" w:rsidP="00E210D0">
            <w:pPr>
              <w:jc w:val="both"/>
            </w:pPr>
            <w:r>
              <w:t>A</w:t>
            </w:r>
            <w:r w:rsidR="00E210D0" w:rsidRPr="00186052">
              <w:rPr>
                <w:szCs w:val="28"/>
              </w:rPr>
              <w:t>tkritumu aps</w:t>
            </w:r>
            <w:r>
              <w:rPr>
                <w:szCs w:val="28"/>
              </w:rPr>
              <w:t>aimniekotāji – ap 1000 komersantu;</w:t>
            </w:r>
          </w:p>
          <w:p w14:paraId="763DA6D2" w14:textId="4A944324" w:rsidR="00E210D0" w:rsidRDefault="00E210D0" w:rsidP="00E210D0">
            <w:pPr>
              <w:jc w:val="both"/>
              <w:rPr>
                <w:szCs w:val="28"/>
              </w:rPr>
            </w:pPr>
            <w:r>
              <w:rPr>
                <w:szCs w:val="28"/>
              </w:rPr>
              <w:t xml:space="preserve">Atkritumu pārvadājumu uzskaites sistēmas lietotāji </w:t>
            </w:r>
            <w:r w:rsidR="00B45B8F" w:rsidRPr="00B45B8F">
              <w:rPr>
                <w:szCs w:val="28"/>
              </w:rPr>
              <w:t>–</w:t>
            </w:r>
            <w:r>
              <w:rPr>
                <w:szCs w:val="28"/>
              </w:rPr>
              <w:t xml:space="preserve"> 141 komersants;</w:t>
            </w:r>
          </w:p>
          <w:p w14:paraId="3635C020" w14:textId="77777777" w:rsidR="00E210D0" w:rsidRDefault="00E210D0" w:rsidP="00E210D0">
            <w:pPr>
              <w:jc w:val="both"/>
              <w:rPr>
                <w:szCs w:val="28"/>
              </w:rPr>
            </w:pPr>
            <w:r>
              <w:rPr>
                <w:szCs w:val="28"/>
              </w:rPr>
              <w:t>Būvniecības atkritumu pārvadājumu uzskaites sistēmas lietotāji – 95 komersanti;</w:t>
            </w:r>
          </w:p>
          <w:p w14:paraId="47184C96" w14:textId="77777777" w:rsidR="00E210D0" w:rsidRPr="00186052" w:rsidRDefault="00E210D0" w:rsidP="00E210D0">
            <w:pPr>
              <w:jc w:val="both"/>
            </w:pPr>
            <w:r>
              <w:t>Personas</w:t>
            </w:r>
            <w:r w:rsidRPr="00C13682">
              <w:t>, kas nodarbojas ar sadzīves, ražošanas un bī</w:t>
            </w:r>
            <w:r>
              <w:t>stamo atkritumu pārvadājumiem – ap 900 komersantiem;</w:t>
            </w:r>
          </w:p>
          <w:p w14:paraId="0A3F02D8" w14:textId="77777777" w:rsidR="00E210D0" w:rsidRDefault="00E210D0" w:rsidP="00E210D0">
            <w:pPr>
              <w:jc w:val="both"/>
              <w:rPr>
                <w:szCs w:val="28"/>
              </w:rPr>
            </w:pPr>
            <w:r>
              <w:rPr>
                <w:szCs w:val="28"/>
              </w:rPr>
              <w:t>Pašvaldības - 119</w:t>
            </w:r>
          </w:p>
          <w:p w14:paraId="2E5CBE9C" w14:textId="77777777" w:rsidR="00942483" w:rsidRDefault="00E210D0" w:rsidP="00E210D0">
            <w:pPr>
              <w:tabs>
                <w:tab w:val="left" w:pos="720"/>
              </w:tabs>
              <w:suppressAutoHyphens/>
              <w:spacing w:line="100" w:lineRule="atLeast"/>
              <w:jc w:val="both"/>
              <w:rPr>
                <w:szCs w:val="28"/>
              </w:rPr>
            </w:pPr>
            <w:r>
              <w:rPr>
                <w:szCs w:val="28"/>
              </w:rPr>
              <w:t>Atkritumu tirgotāji un atkritumu apsaimniekošanas starpnieki – 11</w:t>
            </w:r>
            <w:r w:rsidRPr="007B4FB0">
              <w:rPr>
                <w:szCs w:val="28"/>
              </w:rPr>
              <w:t>1 komersants.</w:t>
            </w:r>
            <w:r w:rsidRPr="007B4FB0" w:rsidDel="006308EB">
              <w:rPr>
                <w:szCs w:val="28"/>
              </w:rPr>
              <w:t xml:space="preserve"> </w:t>
            </w:r>
          </w:p>
          <w:p w14:paraId="37092B9B" w14:textId="77777777" w:rsidR="00AD2C14" w:rsidRPr="00FB41DC" w:rsidRDefault="00E210D0" w:rsidP="00E210D0">
            <w:pPr>
              <w:tabs>
                <w:tab w:val="left" w:pos="720"/>
              </w:tabs>
              <w:suppressAutoHyphens/>
              <w:spacing w:line="100" w:lineRule="atLeast"/>
              <w:jc w:val="both"/>
            </w:pPr>
            <w:r w:rsidRPr="00186052">
              <w:rPr>
                <w:szCs w:val="28"/>
              </w:rPr>
              <w:t>Visi sadzīves atkritumu radītāji Latvijā – fiziskās un juridiskās personas.</w:t>
            </w:r>
          </w:p>
        </w:tc>
      </w:tr>
      <w:tr w:rsidR="00AD2C14" w:rsidRPr="00CC4F9A" w14:paraId="64CB8C8F" w14:textId="77777777" w:rsidTr="00154856">
        <w:tc>
          <w:tcPr>
            <w:tcW w:w="648" w:type="dxa"/>
            <w:shd w:val="clear" w:color="auto" w:fill="auto"/>
          </w:tcPr>
          <w:p w14:paraId="62B8833C" w14:textId="77777777" w:rsidR="00AD2C14" w:rsidRPr="00CC4F9A" w:rsidRDefault="00AD2C14" w:rsidP="00154856">
            <w:pPr>
              <w:jc w:val="center"/>
              <w:rPr>
                <w:highlight w:val="yellow"/>
              </w:rPr>
            </w:pPr>
            <w:r>
              <w:t>2</w:t>
            </w:r>
            <w:r w:rsidRPr="00331BA5">
              <w:t>.</w:t>
            </w:r>
          </w:p>
        </w:tc>
        <w:tc>
          <w:tcPr>
            <w:tcW w:w="2700" w:type="dxa"/>
            <w:shd w:val="clear" w:color="auto" w:fill="FFFFFF"/>
          </w:tcPr>
          <w:p w14:paraId="5B8F6DBC" w14:textId="77777777" w:rsidR="00AD2C14" w:rsidRPr="00CC4F9A" w:rsidRDefault="00AD2C14" w:rsidP="00154856">
            <w:pPr>
              <w:rPr>
                <w:highlight w:val="yellow"/>
              </w:rPr>
            </w:pPr>
            <w:r w:rsidRPr="00331BA5">
              <w:t xml:space="preserve">Tiesiskā regulējuma </w:t>
            </w:r>
            <w:r>
              <w:t>ietekme uz tautsaimniecību un administratīvo slogu</w:t>
            </w:r>
          </w:p>
        </w:tc>
        <w:tc>
          <w:tcPr>
            <w:tcW w:w="5939" w:type="dxa"/>
            <w:shd w:val="clear" w:color="auto" w:fill="auto"/>
          </w:tcPr>
          <w:p w14:paraId="2871B671" w14:textId="77777777" w:rsidR="00AD2C14" w:rsidRDefault="00AD2C14" w:rsidP="00154856">
            <w:pPr>
              <w:pStyle w:val="tv213"/>
              <w:jc w:val="both"/>
            </w:pPr>
            <w:r>
              <w:t>Noteikumu projekta tiesiskā regulējuma ietekme uz tautsaimniecību un sabiedrības mērķgrupām, īpaši norādot, kāda būs ietekme:</w:t>
            </w:r>
          </w:p>
          <w:p w14:paraId="2D70CB2B" w14:textId="77777777" w:rsidR="00AD2C14" w:rsidRDefault="00AD2C14" w:rsidP="00154856">
            <w:pPr>
              <w:pStyle w:val="tv213"/>
              <w:jc w:val="both"/>
            </w:pPr>
            <w:r>
              <w:t xml:space="preserve">Nav paredzams, ka noteikumu projekta prasības radīs būtisku ietekmi uz uzņēmējdarbības vidi un maziem, vidējiem uzņēmumiem, mikrouzņēmumiem un </w:t>
            </w:r>
            <w:proofErr w:type="spellStart"/>
            <w:r>
              <w:t>jaunuzņēmumiem</w:t>
            </w:r>
            <w:proofErr w:type="spellEnd"/>
            <w:r>
              <w:t>.</w:t>
            </w:r>
          </w:p>
          <w:p w14:paraId="5B2EFA59" w14:textId="77777777" w:rsidR="00AD2C14" w:rsidRDefault="00AD2C14" w:rsidP="00154856">
            <w:pPr>
              <w:pStyle w:val="tv213"/>
              <w:jc w:val="both"/>
            </w:pPr>
            <w:r>
              <w:t xml:space="preserve">Noteikumu projekta prasības neattiecas uz Nacionālā attīstības plāna 2014. – 2020. gadam rādītājiem </w:t>
            </w:r>
            <w:proofErr w:type="spellStart"/>
            <w:r>
              <w:t>mikrolīmenī</w:t>
            </w:r>
            <w:proofErr w:type="spellEnd"/>
            <w:r>
              <w:t xml:space="preserve"> vai makrolīmenī.</w:t>
            </w:r>
          </w:p>
          <w:p w14:paraId="34471E58" w14:textId="77777777" w:rsidR="00AD2C14" w:rsidRDefault="00AD2C14" w:rsidP="00154856">
            <w:pPr>
              <w:pStyle w:val="tv213"/>
              <w:jc w:val="both"/>
            </w:pPr>
            <w:r>
              <w:t>Noteikumu projekta prasības neattiecas uz konkurenci.</w:t>
            </w:r>
          </w:p>
          <w:p w14:paraId="2763F308" w14:textId="77777777" w:rsidR="00AD2C14" w:rsidRDefault="00AD2C14" w:rsidP="00154856">
            <w:pPr>
              <w:pStyle w:val="tv213"/>
              <w:jc w:val="both"/>
            </w:pPr>
            <w:r>
              <w:t>Noteikumu projekta ietekme uz vidi ir vērtējama pozitīvi, tā kā tiek noteiktas</w:t>
            </w:r>
            <w:r w:rsidR="00942483">
              <w:t xml:space="preserve"> prasības</w:t>
            </w:r>
            <w:r>
              <w:t xml:space="preserve">. </w:t>
            </w:r>
          </w:p>
          <w:p w14:paraId="406F444F" w14:textId="77777777" w:rsidR="00AD2C14" w:rsidRDefault="00AD2C14" w:rsidP="00154856">
            <w:pPr>
              <w:pStyle w:val="tv213"/>
              <w:jc w:val="both"/>
            </w:pPr>
            <w:r>
              <w:t>Noteikumu projekta prasībām nav ietekmes uz veselību.</w:t>
            </w:r>
          </w:p>
          <w:p w14:paraId="079C72B4" w14:textId="77777777" w:rsidR="00AD2C14" w:rsidRDefault="00AD2C14" w:rsidP="00154856">
            <w:pPr>
              <w:pStyle w:val="tv213"/>
              <w:jc w:val="both"/>
            </w:pPr>
            <w:r>
              <w:t xml:space="preserve">Noteikumu projekta prasības neskar nevalstiskās organizācijas. </w:t>
            </w:r>
          </w:p>
          <w:p w14:paraId="17E91B5D" w14:textId="77777777" w:rsidR="00AD2C14" w:rsidRPr="00DB4477" w:rsidRDefault="00AD2C14" w:rsidP="00154856">
            <w:pPr>
              <w:pStyle w:val="tv213"/>
              <w:jc w:val="both"/>
            </w:pPr>
            <w:r>
              <w:t xml:space="preserve">Sabiedrības grupām un institūcijām projekta tiesiskais regulējums nemaina tiesības un pienākumus, kā arī veicamās darbības. </w:t>
            </w:r>
          </w:p>
        </w:tc>
      </w:tr>
      <w:tr w:rsidR="00AD2C14" w:rsidRPr="00FB41DC" w14:paraId="0DCCD6FE" w14:textId="77777777" w:rsidTr="00154856">
        <w:tc>
          <w:tcPr>
            <w:tcW w:w="648" w:type="dxa"/>
          </w:tcPr>
          <w:p w14:paraId="6FDC389E" w14:textId="77777777" w:rsidR="00AD2C14" w:rsidRPr="00FB41DC" w:rsidRDefault="00AD2C14" w:rsidP="00154856">
            <w:pPr>
              <w:jc w:val="center"/>
            </w:pPr>
            <w:r>
              <w:t>3</w:t>
            </w:r>
            <w:r w:rsidRPr="00FB41DC">
              <w:t>.</w:t>
            </w:r>
          </w:p>
        </w:tc>
        <w:tc>
          <w:tcPr>
            <w:tcW w:w="2700" w:type="dxa"/>
          </w:tcPr>
          <w:p w14:paraId="6E74EA19" w14:textId="77777777" w:rsidR="00AD2C14" w:rsidRPr="00FB41DC" w:rsidRDefault="00AD2C14" w:rsidP="00154856">
            <w:r w:rsidRPr="00FB41DC">
              <w:t>Administratīvo izmaksu monetārs novērtējums</w:t>
            </w:r>
          </w:p>
        </w:tc>
        <w:tc>
          <w:tcPr>
            <w:tcW w:w="5939" w:type="dxa"/>
          </w:tcPr>
          <w:p w14:paraId="1645C615" w14:textId="77777777" w:rsidR="00AD2C14" w:rsidRPr="00FB41DC" w:rsidRDefault="00AD2C14" w:rsidP="00154856">
            <w:r>
              <w:t xml:space="preserve">Projekts šo jomu neskar. </w:t>
            </w:r>
          </w:p>
        </w:tc>
      </w:tr>
      <w:tr w:rsidR="00AD2C14" w:rsidRPr="00FB41DC" w14:paraId="3EB112F8" w14:textId="77777777" w:rsidTr="00154856">
        <w:tc>
          <w:tcPr>
            <w:tcW w:w="648" w:type="dxa"/>
          </w:tcPr>
          <w:p w14:paraId="06608D11" w14:textId="77777777" w:rsidR="00AD2C14" w:rsidRDefault="00AD2C14" w:rsidP="00154856">
            <w:pPr>
              <w:jc w:val="center"/>
            </w:pPr>
            <w:r>
              <w:t>4.</w:t>
            </w:r>
          </w:p>
        </w:tc>
        <w:tc>
          <w:tcPr>
            <w:tcW w:w="2700" w:type="dxa"/>
          </w:tcPr>
          <w:p w14:paraId="411080E5" w14:textId="77777777" w:rsidR="00AD2C14" w:rsidRPr="00FB41DC" w:rsidRDefault="00AD2C14" w:rsidP="00154856">
            <w:r>
              <w:t>Atbilstības izmaksu monetārs novērtējums</w:t>
            </w:r>
          </w:p>
        </w:tc>
        <w:tc>
          <w:tcPr>
            <w:tcW w:w="5939" w:type="dxa"/>
          </w:tcPr>
          <w:p w14:paraId="312DA21D" w14:textId="77777777" w:rsidR="00AD2C14" w:rsidRDefault="00AD2C14" w:rsidP="00154856">
            <w:r>
              <w:t>Projekts šo jomu neskar.</w:t>
            </w:r>
          </w:p>
        </w:tc>
      </w:tr>
      <w:tr w:rsidR="00AD2C14" w:rsidRPr="00FB41DC" w14:paraId="0E24118C" w14:textId="77777777" w:rsidTr="00154856">
        <w:tc>
          <w:tcPr>
            <w:tcW w:w="648" w:type="dxa"/>
          </w:tcPr>
          <w:p w14:paraId="2A31852B" w14:textId="77777777" w:rsidR="00AD2C14" w:rsidRPr="00FB41DC" w:rsidRDefault="00AD2C14" w:rsidP="00154856">
            <w:pPr>
              <w:jc w:val="center"/>
            </w:pPr>
            <w:r>
              <w:t>5</w:t>
            </w:r>
            <w:r w:rsidRPr="00FB41DC">
              <w:t>.</w:t>
            </w:r>
          </w:p>
        </w:tc>
        <w:tc>
          <w:tcPr>
            <w:tcW w:w="2700" w:type="dxa"/>
          </w:tcPr>
          <w:p w14:paraId="48CE8AA1" w14:textId="77777777" w:rsidR="00AD2C14" w:rsidRPr="00FB41DC" w:rsidRDefault="00AD2C14" w:rsidP="00154856">
            <w:r w:rsidRPr="00FB41DC">
              <w:t>Cita informācija</w:t>
            </w:r>
          </w:p>
        </w:tc>
        <w:tc>
          <w:tcPr>
            <w:tcW w:w="5939" w:type="dxa"/>
          </w:tcPr>
          <w:p w14:paraId="36A90B52" w14:textId="77777777" w:rsidR="00AD2C14" w:rsidRPr="00FB41DC" w:rsidRDefault="00AD2C14" w:rsidP="00154856">
            <w:pPr>
              <w:jc w:val="both"/>
            </w:pPr>
            <w:r>
              <w:t>Nav.</w:t>
            </w:r>
          </w:p>
        </w:tc>
      </w:tr>
    </w:tbl>
    <w:p w14:paraId="18C1E9A6" w14:textId="77777777" w:rsidR="00AD2C14" w:rsidRDefault="00AD2C14" w:rsidP="00AD2C14"/>
    <w:tbl>
      <w:tblPr>
        <w:tblStyle w:val="TableGrid"/>
        <w:tblW w:w="9101" w:type="dxa"/>
        <w:tblInd w:w="-34" w:type="dxa"/>
        <w:tblLook w:val="04A0" w:firstRow="1" w:lastRow="0" w:firstColumn="1" w:lastColumn="0" w:noHBand="0" w:noVBand="1"/>
      </w:tblPr>
      <w:tblGrid>
        <w:gridCol w:w="9101"/>
      </w:tblGrid>
      <w:tr w:rsidR="00AD2C14" w14:paraId="7EAB4283" w14:textId="77777777" w:rsidTr="00154856">
        <w:tc>
          <w:tcPr>
            <w:tcW w:w="9101" w:type="dxa"/>
            <w:tcBorders>
              <w:top w:val="single" w:sz="4" w:space="0" w:color="auto"/>
              <w:left w:val="single" w:sz="4" w:space="0" w:color="auto"/>
              <w:bottom w:val="single" w:sz="4" w:space="0" w:color="auto"/>
              <w:right w:val="single" w:sz="4" w:space="0" w:color="auto"/>
            </w:tcBorders>
            <w:hideMark/>
          </w:tcPr>
          <w:p w14:paraId="622D4B36" w14:textId="77777777" w:rsidR="00AD2C14" w:rsidRDefault="00AD2C14" w:rsidP="00154856">
            <w:pPr>
              <w:jc w:val="center"/>
              <w:rPr>
                <w:b/>
              </w:rPr>
            </w:pPr>
            <w:r>
              <w:rPr>
                <w:b/>
              </w:rPr>
              <w:t>III. Tiesību akta projekta ietekme uz valsts budžetu un pašvaldību budžetiem</w:t>
            </w:r>
          </w:p>
        </w:tc>
      </w:tr>
      <w:tr w:rsidR="00AD2C14" w14:paraId="6D98A976" w14:textId="77777777" w:rsidTr="00154856">
        <w:tc>
          <w:tcPr>
            <w:tcW w:w="9101" w:type="dxa"/>
            <w:tcBorders>
              <w:top w:val="single" w:sz="4" w:space="0" w:color="auto"/>
              <w:left w:val="single" w:sz="4" w:space="0" w:color="auto"/>
              <w:bottom w:val="single" w:sz="4" w:space="0" w:color="auto"/>
              <w:right w:val="single" w:sz="4" w:space="0" w:color="auto"/>
            </w:tcBorders>
            <w:hideMark/>
          </w:tcPr>
          <w:p w14:paraId="0B238B03" w14:textId="77777777" w:rsidR="00AD2C14" w:rsidRDefault="00AD2C14" w:rsidP="00154856">
            <w:pPr>
              <w:jc w:val="center"/>
            </w:pPr>
            <w:r>
              <w:t>Projekts šo jomu neskar.</w:t>
            </w:r>
          </w:p>
        </w:tc>
      </w:tr>
    </w:tbl>
    <w:p w14:paraId="14A9F6A0" w14:textId="77777777" w:rsidR="00AD2C14" w:rsidRDefault="00AD2C14" w:rsidP="00AD2C14"/>
    <w:tbl>
      <w:tblPr>
        <w:tblStyle w:val="TableGrid"/>
        <w:tblW w:w="9101" w:type="dxa"/>
        <w:tblInd w:w="-34" w:type="dxa"/>
        <w:tblLook w:val="04A0" w:firstRow="1" w:lastRow="0" w:firstColumn="1" w:lastColumn="0" w:noHBand="0" w:noVBand="1"/>
      </w:tblPr>
      <w:tblGrid>
        <w:gridCol w:w="9101"/>
      </w:tblGrid>
      <w:tr w:rsidR="00AD2C14" w14:paraId="298AC9B8" w14:textId="77777777" w:rsidTr="00154856">
        <w:tc>
          <w:tcPr>
            <w:tcW w:w="9101" w:type="dxa"/>
            <w:tcBorders>
              <w:top w:val="single" w:sz="4" w:space="0" w:color="auto"/>
              <w:left w:val="single" w:sz="4" w:space="0" w:color="auto"/>
              <w:bottom w:val="single" w:sz="4" w:space="0" w:color="auto"/>
              <w:right w:val="single" w:sz="4" w:space="0" w:color="auto"/>
            </w:tcBorders>
            <w:hideMark/>
          </w:tcPr>
          <w:p w14:paraId="57671B2F" w14:textId="77777777" w:rsidR="00AD2C14" w:rsidRDefault="00AD2C14" w:rsidP="00154856">
            <w:pPr>
              <w:jc w:val="center"/>
              <w:rPr>
                <w:b/>
              </w:rPr>
            </w:pPr>
            <w:r>
              <w:rPr>
                <w:b/>
              </w:rPr>
              <w:t>IV. Tiesību akta projekta ietekme uz spēkā esošo tiesību normu sistēmu</w:t>
            </w:r>
          </w:p>
        </w:tc>
      </w:tr>
      <w:tr w:rsidR="00AD2C14" w14:paraId="022FEFCA" w14:textId="77777777" w:rsidTr="00154856">
        <w:tc>
          <w:tcPr>
            <w:tcW w:w="9101" w:type="dxa"/>
            <w:tcBorders>
              <w:top w:val="single" w:sz="4" w:space="0" w:color="auto"/>
              <w:left w:val="single" w:sz="4" w:space="0" w:color="auto"/>
              <w:bottom w:val="single" w:sz="4" w:space="0" w:color="auto"/>
              <w:right w:val="single" w:sz="4" w:space="0" w:color="auto"/>
            </w:tcBorders>
            <w:hideMark/>
          </w:tcPr>
          <w:p w14:paraId="4C69640C" w14:textId="77777777" w:rsidR="00AD2C14" w:rsidRDefault="00AD2C14" w:rsidP="00154856">
            <w:pPr>
              <w:jc w:val="center"/>
            </w:pPr>
            <w:r>
              <w:t>Projekts šo jomu neskar.</w:t>
            </w:r>
          </w:p>
        </w:tc>
      </w:tr>
    </w:tbl>
    <w:p w14:paraId="040EBA2E" w14:textId="77777777" w:rsidR="00AD2C14" w:rsidRDefault="00AD2C14" w:rsidP="00AD2C14"/>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AD2C14" w:rsidRPr="00FB41DC" w14:paraId="2E2E8168" w14:textId="77777777" w:rsidTr="00154856">
        <w:trPr>
          <w:jc w:val="center"/>
        </w:trPr>
        <w:tc>
          <w:tcPr>
            <w:tcW w:w="9396" w:type="dxa"/>
            <w:gridSpan w:val="3"/>
          </w:tcPr>
          <w:p w14:paraId="4409271E" w14:textId="77777777" w:rsidR="00AD2C14" w:rsidRPr="00FB41DC" w:rsidRDefault="00AD2C14" w:rsidP="00154856">
            <w:pPr>
              <w:pStyle w:val="naisnod"/>
              <w:spacing w:before="0" w:after="0"/>
            </w:pPr>
            <w:r w:rsidRPr="00FB41DC">
              <w:t>V.</w:t>
            </w:r>
            <w:r>
              <w:t> </w:t>
            </w:r>
            <w:r w:rsidRPr="00FB41DC">
              <w:t>Tiesību akta projekta atbilstība Latvijas Republikas starptautiskajām saistībām</w:t>
            </w:r>
          </w:p>
        </w:tc>
      </w:tr>
      <w:tr w:rsidR="00AD2C14" w:rsidRPr="0062273E" w14:paraId="79E41990" w14:textId="77777777" w:rsidTr="00154856">
        <w:trPr>
          <w:jc w:val="center"/>
        </w:trPr>
        <w:tc>
          <w:tcPr>
            <w:tcW w:w="523" w:type="dxa"/>
          </w:tcPr>
          <w:p w14:paraId="49274354" w14:textId="77777777" w:rsidR="00AD2C14" w:rsidRPr="0062273E" w:rsidRDefault="00AD2C14" w:rsidP="00154856">
            <w:pPr>
              <w:pStyle w:val="naiskr"/>
              <w:tabs>
                <w:tab w:val="left" w:pos="2628"/>
              </w:tabs>
              <w:spacing w:before="0" w:after="0"/>
              <w:jc w:val="both"/>
            </w:pPr>
            <w:r w:rsidRPr="0062273E">
              <w:t>1.</w:t>
            </w:r>
          </w:p>
        </w:tc>
        <w:tc>
          <w:tcPr>
            <w:tcW w:w="2901" w:type="dxa"/>
          </w:tcPr>
          <w:p w14:paraId="024ED179" w14:textId="77777777" w:rsidR="00AD2C14" w:rsidRPr="004B69A2" w:rsidRDefault="00AD2C14" w:rsidP="00154856">
            <w:pPr>
              <w:pStyle w:val="naiskr"/>
              <w:tabs>
                <w:tab w:val="left" w:pos="2628"/>
              </w:tabs>
              <w:spacing w:before="0" w:after="0"/>
              <w:jc w:val="both"/>
            </w:pPr>
            <w:r w:rsidRPr="004B69A2">
              <w:t>Saistības pret Eiropas Savienību</w:t>
            </w:r>
          </w:p>
        </w:tc>
        <w:tc>
          <w:tcPr>
            <w:tcW w:w="5972" w:type="dxa"/>
          </w:tcPr>
          <w:p w14:paraId="24C6CE46" w14:textId="77777777" w:rsidR="00AD2C14" w:rsidRPr="00483F49" w:rsidRDefault="00AD2C14" w:rsidP="00154856">
            <w:pPr>
              <w:pStyle w:val="naisc"/>
              <w:spacing w:before="0" w:after="0"/>
              <w:jc w:val="both"/>
            </w:pPr>
            <w:r>
              <w:t>Direktīva 2018/851/ES (OV L 150, 14.6.2018., 109.lpp.)</w:t>
            </w:r>
          </w:p>
        </w:tc>
      </w:tr>
      <w:tr w:rsidR="00AD2C14" w:rsidRPr="00FB41DC" w14:paraId="36C7C704" w14:textId="77777777" w:rsidTr="00154856">
        <w:trPr>
          <w:jc w:val="center"/>
        </w:trPr>
        <w:tc>
          <w:tcPr>
            <w:tcW w:w="523" w:type="dxa"/>
          </w:tcPr>
          <w:p w14:paraId="3EB59AC1" w14:textId="77777777" w:rsidR="00AD2C14" w:rsidRPr="00FB41DC" w:rsidRDefault="00AD2C14" w:rsidP="00154856">
            <w:pPr>
              <w:pStyle w:val="naiskr"/>
              <w:tabs>
                <w:tab w:val="left" w:pos="2628"/>
              </w:tabs>
              <w:spacing w:before="0" w:after="0"/>
              <w:jc w:val="both"/>
            </w:pPr>
            <w:r w:rsidRPr="00FB41DC">
              <w:t>2.</w:t>
            </w:r>
          </w:p>
        </w:tc>
        <w:tc>
          <w:tcPr>
            <w:tcW w:w="2901" w:type="dxa"/>
          </w:tcPr>
          <w:p w14:paraId="57FEB840" w14:textId="77777777" w:rsidR="00AD2C14" w:rsidRPr="00FB41DC" w:rsidRDefault="00AD2C14" w:rsidP="00154856">
            <w:pPr>
              <w:pStyle w:val="naiskr"/>
              <w:tabs>
                <w:tab w:val="left" w:pos="2628"/>
              </w:tabs>
              <w:spacing w:before="0" w:after="0"/>
              <w:jc w:val="both"/>
            </w:pPr>
            <w:r w:rsidRPr="00FB41DC">
              <w:t>Citas starptautiskās saistības</w:t>
            </w:r>
          </w:p>
        </w:tc>
        <w:tc>
          <w:tcPr>
            <w:tcW w:w="5972" w:type="dxa"/>
          </w:tcPr>
          <w:p w14:paraId="61EF5CCB" w14:textId="77777777" w:rsidR="00AD2C14" w:rsidRPr="00FB41DC" w:rsidRDefault="00AD2C14" w:rsidP="00154856">
            <w:pPr>
              <w:pStyle w:val="naiskr"/>
              <w:tabs>
                <w:tab w:val="left" w:pos="2628"/>
              </w:tabs>
              <w:spacing w:before="0" w:after="0"/>
              <w:jc w:val="both"/>
            </w:pPr>
            <w:r>
              <w:t>Projekts šo jomu neskar.</w:t>
            </w:r>
          </w:p>
        </w:tc>
      </w:tr>
      <w:tr w:rsidR="00AD2C14" w:rsidRPr="00FB41DC" w14:paraId="27403FB1" w14:textId="77777777" w:rsidTr="00154856">
        <w:trPr>
          <w:jc w:val="center"/>
        </w:trPr>
        <w:tc>
          <w:tcPr>
            <w:tcW w:w="523" w:type="dxa"/>
          </w:tcPr>
          <w:p w14:paraId="292AB42E" w14:textId="77777777" w:rsidR="00AD2C14" w:rsidRPr="00FB41DC" w:rsidRDefault="00AD2C14" w:rsidP="00154856">
            <w:pPr>
              <w:pStyle w:val="naiskr"/>
              <w:tabs>
                <w:tab w:val="left" w:pos="2628"/>
              </w:tabs>
              <w:spacing w:before="0" w:after="0"/>
              <w:jc w:val="both"/>
            </w:pPr>
            <w:r w:rsidRPr="00FB41DC">
              <w:t>3.</w:t>
            </w:r>
          </w:p>
        </w:tc>
        <w:tc>
          <w:tcPr>
            <w:tcW w:w="2901" w:type="dxa"/>
          </w:tcPr>
          <w:p w14:paraId="664F0660" w14:textId="77777777" w:rsidR="00AD2C14" w:rsidRPr="00FB41DC" w:rsidRDefault="00AD2C14" w:rsidP="00154856">
            <w:pPr>
              <w:pStyle w:val="naiskr"/>
              <w:tabs>
                <w:tab w:val="left" w:pos="2628"/>
              </w:tabs>
              <w:spacing w:before="0" w:after="0"/>
              <w:jc w:val="both"/>
            </w:pPr>
            <w:r w:rsidRPr="00FB41DC">
              <w:t>Cita informācija</w:t>
            </w:r>
          </w:p>
        </w:tc>
        <w:tc>
          <w:tcPr>
            <w:tcW w:w="5972" w:type="dxa"/>
          </w:tcPr>
          <w:p w14:paraId="00B47D86" w14:textId="77777777" w:rsidR="00AD2C14" w:rsidRPr="00FB41DC" w:rsidRDefault="00AD2C14" w:rsidP="00154856">
            <w:pPr>
              <w:pStyle w:val="naiskr"/>
              <w:tabs>
                <w:tab w:val="left" w:pos="2628"/>
              </w:tabs>
              <w:spacing w:before="0" w:after="0"/>
              <w:jc w:val="both"/>
            </w:pPr>
            <w:r>
              <w:t>Nav</w:t>
            </w:r>
          </w:p>
        </w:tc>
      </w:tr>
    </w:tbl>
    <w:p w14:paraId="66D8441D" w14:textId="77777777" w:rsidR="00AD2C14" w:rsidRPr="00FB41DC" w:rsidRDefault="00AD2C14" w:rsidP="00AD2C14">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788"/>
        <w:gridCol w:w="1701"/>
        <w:gridCol w:w="3931"/>
      </w:tblGrid>
      <w:tr w:rsidR="006616A9" w14:paraId="1DA0AC18" w14:textId="77777777" w:rsidTr="00154856">
        <w:trPr>
          <w:trHeight w:val="313"/>
          <w:jc w:val="center"/>
        </w:trPr>
        <w:tc>
          <w:tcPr>
            <w:tcW w:w="2035" w:type="dxa"/>
          </w:tcPr>
          <w:p w14:paraId="11B9F793" w14:textId="77777777" w:rsidR="006616A9" w:rsidRPr="00D062F9" w:rsidRDefault="006616A9" w:rsidP="006616A9">
            <w:pPr>
              <w:pStyle w:val="naiskr"/>
              <w:spacing w:before="0" w:after="0"/>
              <w:rPr>
                <w:b/>
              </w:rPr>
            </w:pPr>
            <w:r w:rsidRPr="00D062F9">
              <w:rPr>
                <w:b/>
              </w:rPr>
              <w:t>Attiecīgā ES tiesību akta datums, numurs un nosaukums</w:t>
            </w:r>
          </w:p>
        </w:tc>
        <w:tc>
          <w:tcPr>
            <w:tcW w:w="7420" w:type="dxa"/>
            <w:gridSpan w:val="3"/>
            <w:vAlign w:val="center"/>
          </w:tcPr>
          <w:p w14:paraId="265B74E8" w14:textId="5FF6AFAC" w:rsidR="006616A9" w:rsidRPr="00D062F9" w:rsidRDefault="006616A9" w:rsidP="006616A9">
            <w:pPr>
              <w:pStyle w:val="naiskr"/>
              <w:spacing w:before="0" w:after="0"/>
              <w:rPr>
                <w:b/>
              </w:rPr>
            </w:pPr>
            <w:r w:rsidRPr="00D062F9">
              <w:rPr>
                <w:rStyle w:val="Strong"/>
              </w:rPr>
              <w:t>Direktīva</w:t>
            </w:r>
            <w:r w:rsidRPr="00D062F9">
              <w:rPr>
                <w:b/>
              </w:rPr>
              <w:t xml:space="preserve"> 2018/8</w:t>
            </w:r>
            <w:r>
              <w:rPr>
                <w:b/>
              </w:rPr>
              <w:t>51</w:t>
            </w:r>
            <w:r w:rsidRPr="00D062F9">
              <w:rPr>
                <w:b/>
              </w:rPr>
              <w:t>/ES</w:t>
            </w:r>
          </w:p>
        </w:tc>
      </w:tr>
      <w:tr w:rsidR="006616A9" w14:paraId="045F9937" w14:textId="77777777" w:rsidTr="00154856">
        <w:trPr>
          <w:trHeight w:val="313"/>
          <w:jc w:val="center"/>
        </w:trPr>
        <w:tc>
          <w:tcPr>
            <w:tcW w:w="2035" w:type="dxa"/>
            <w:vAlign w:val="center"/>
          </w:tcPr>
          <w:p w14:paraId="37F6D6F5" w14:textId="77777777" w:rsidR="006616A9" w:rsidRDefault="006616A9" w:rsidP="006616A9">
            <w:pPr>
              <w:pStyle w:val="naiskr"/>
              <w:spacing w:before="0" w:after="0"/>
              <w:jc w:val="center"/>
            </w:pPr>
            <w:r>
              <w:t>A</w:t>
            </w:r>
          </w:p>
        </w:tc>
        <w:tc>
          <w:tcPr>
            <w:tcW w:w="1788" w:type="dxa"/>
            <w:vAlign w:val="center"/>
          </w:tcPr>
          <w:p w14:paraId="13A13E5D" w14:textId="77777777" w:rsidR="006616A9" w:rsidRDefault="006616A9" w:rsidP="006616A9">
            <w:pPr>
              <w:pStyle w:val="naiskr"/>
              <w:spacing w:before="0" w:after="0"/>
              <w:jc w:val="center"/>
            </w:pPr>
            <w:r>
              <w:t>B</w:t>
            </w:r>
          </w:p>
        </w:tc>
        <w:tc>
          <w:tcPr>
            <w:tcW w:w="1701" w:type="dxa"/>
            <w:vAlign w:val="center"/>
          </w:tcPr>
          <w:p w14:paraId="2BE22298" w14:textId="77777777" w:rsidR="006616A9" w:rsidRDefault="006616A9" w:rsidP="006616A9">
            <w:pPr>
              <w:pStyle w:val="naiskr"/>
              <w:spacing w:before="0" w:after="0"/>
              <w:jc w:val="center"/>
            </w:pPr>
            <w:r>
              <w:t>C</w:t>
            </w:r>
          </w:p>
        </w:tc>
        <w:tc>
          <w:tcPr>
            <w:tcW w:w="3931" w:type="dxa"/>
            <w:vAlign w:val="center"/>
          </w:tcPr>
          <w:p w14:paraId="1D55EC86" w14:textId="77777777" w:rsidR="006616A9" w:rsidRDefault="006616A9" w:rsidP="006616A9">
            <w:pPr>
              <w:pStyle w:val="naiskr"/>
              <w:spacing w:before="0" w:after="0"/>
              <w:jc w:val="center"/>
            </w:pPr>
            <w:r>
              <w:t>D</w:t>
            </w:r>
          </w:p>
        </w:tc>
      </w:tr>
      <w:tr w:rsidR="006616A9" w14:paraId="02461EC0" w14:textId="77777777" w:rsidTr="00154856">
        <w:trPr>
          <w:trHeight w:val="313"/>
          <w:jc w:val="center"/>
        </w:trPr>
        <w:tc>
          <w:tcPr>
            <w:tcW w:w="2035" w:type="dxa"/>
          </w:tcPr>
          <w:p w14:paraId="62857FDC" w14:textId="77777777" w:rsidR="006616A9" w:rsidRDefault="006616A9" w:rsidP="006616A9">
            <w:pPr>
              <w:pStyle w:val="naiskr"/>
              <w:spacing w:before="0" w:after="0"/>
              <w:jc w:val="both"/>
            </w:pPr>
            <w:r w:rsidRPr="00C76D9A">
              <w:rPr>
                <w:sz w:val="18"/>
              </w:rPr>
              <w:t>Attiecīgā ES tiesību akta panta numurs (uzskaitot katru tiesību akta vienību – pantu, daļu, punktu, apakšpunktu)</w:t>
            </w:r>
          </w:p>
        </w:tc>
        <w:tc>
          <w:tcPr>
            <w:tcW w:w="1788" w:type="dxa"/>
          </w:tcPr>
          <w:p w14:paraId="3687138F" w14:textId="77777777" w:rsidR="006616A9" w:rsidRDefault="006616A9" w:rsidP="006616A9">
            <w:pPr>
              <w:pStyle w:val="naiskr"/>
              <w:spacing w:before="0" w:after="0"/>
              <w:jc w:val="both"/>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7706195B" w14:textId="77777777" w:rsidR="006616A9" w:rsidRDefault="006616A9" w:rsidP="006616A9">
            <w:pPr>
              <w:pStyle w:val="naiskr"/>
              <w:spacing w:before="0" w:after="0"/>
              <w:jc w:val="both"/>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931" w:type="dxa"/>
          </w:tcPr>
          <w:p w14:paraId="4007B20B" w14:textId="77777777" w:rsidR="006616A9" w:rsidRDefault="006616A9" w:rsidP="006616A9">
            <w:pPr>
              <w:pStyle w:val="naiskr"/>
              <w:spacing w:before="0" w:after="0"/>
              <w:jc w:val="both"/>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6616A9" w14:paraId="27D02667" w14:textId="77777777" w:rsidTr="00154856">
        <w:trPr>
          <w:trHeight w:val="313"/>
          <w:jc w:val="center"/>
        </w:trPr>
        <w:tc>
          <w:tcPr>
            <w:tcW w:w="2035" w:type="dxa"/>
          </w:tcPr>
          <w:p w14:paraId="57165B8E" w14:textId="77777777" w:rsidR="006616A9" w:rsidRPr="00651A51" w:rsidRDefault="006616A9" w:rsidP="006616A9">
            <w:pPr>
              <w:pStyle w:val="naiskr"/>
              <w:spacing w:before="0" w:after="0"/>
              <w:rPr>
                <w:sz w:val="22"/>
                <w:szCs w:val="22"/>
              </w:rPr>
            </w:pPr>
            <w:r w:rsidRPr="00651A51">
              <w:rPr>
                <w:sz w:val="22"/>
                <w:szCs w:val="22"/>
              </w:rPr>
              <w:t>1.panta 3.punkta a) punkts (direktīvas 2008/98/ES 3.panta 2.a punkts)</w:t>
            </w:r>
          </w:p>
        </w:tc>
        <w:tc>
          <w:tcPr>
            <w:tcW w:w="1788" w:type="dxa"/>
          </w:tcPr>
          <w:p w14:paraId="0FC32C16" w14:textId="77777777" w:rsidR="006616A9" w:rsidRPr="00651A51" w:rsidRDefault="006616A9" w:rsidP="006616A9">
            <w:pPr>
              <w:pStyle w:val="naiskr"/>
              <w:spacing w:before="0" w:after="0"/>
              <w:rPr>
                <w:sz w:val="22"/>
                <w:szCs w:val="22"/>
              </w:rPr>
            </w:pPr>
            <w:r>
              <w:rPr>
                <w:sz w:val="22"/>
                <w:szCs w:val="22"/>
              </w:rPr>
              <w:t>2.punkts</w:t>
            </w:r>
          </w:p>
        </w:tc>
        <w:tc>
          <w:tcPr>
            <w:tcW w:w="1701" w:type="dxa"/>
          </w:tcPr>
          <w:p w14:paraId="4D7EF5C6" w14:textId="77777777" w:rsidR="006616A9" w:rsidRPr="00651A51" w:rsidRDefault="006616A9" w:rsidP="006616A9">
            <w:pPr>
              <w:pStyle w:val="naiskr"/>
              <w:spacing w:before="0" w:after="0"/>
              <w:jc w:val="both"/>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w:t>
            </w:r>
          </w:p>
        </w:tc>
        <w:tc>
          <w:tcPr>
            <w:tcW w:w="3931" w:type="dxa"/>
          </w:tcPr>
          <w:p w14:paraId="1AA78619" w14:textId="7995081A" w:rsidR="006616A9" w:rsidRPr="00651A51" w:rsidRDefault="006616A9" w:rsidP="006616A9">
            <w:pPr>
              <w:pStyle w:val="naiskr"/>
              <w:spacing w:before="0" w:after="0"/>
              <w:rPr>
                <w:sz w:val="22"/>
                <w:szCs w:val="22"/>
              </w:rPr>
            </w:pPr>
            <w:r>
              <w:rPr>
                <w:sz w:val="22"/>
                <w:szCs w:val="22"/>
              </w:rPr>
              <w:t xml:space="preserve">Netiek noteiktas </w:t>
            </w:r>
            <w:r w:rsidRPr="00362895">
              <w:rPr>
                <w:sz w:val="22"/>
                <w:szCs w:val="22"/>
              </w:rPr>
              <w:t>stingrākas</w:t>
            </w:r>
            <w:r w:rsidR="00F32284">
              <w:rPr>
                <w:sz w:val="22"/>
                <w:szCs w:val="22"/>
              </w:rPr>
              <w:t xml:space="preserve"> prasības. </w:t>
            </w:r>
          </w:p>
        </w:tc>
      </w:tr>
      <w:tr w:rsidR="006616A9" w14:paraId="7E96C9DA" w14:textId="77777777" w:rsidTr="00154856">
        <w:trPr>
          <w:trHeight w:val="313"/>
          <w:jc w:val="center"/>
        </w:trPr>
        <w:tc>
          <w:tcPr>
            <w:tcW w:w="2035" w:type="dxa"/>
          </w:tcPr>
          <w:p w14:paraId="775E1588" w14:textId="77777777" w:rsidR="006616A9" w:rsidRPr="00651A51" w:rsidRDefault="006616A9" w:rsidP="006616A9">
            <w:pPr>
              <w:pStyle w:val="naiskr"/>
              <w:spacing w:before="0" w:after="0"/>
              <w:rPr>
                <w:sz w:val="22"/>
                <w:szCs w:val="22"/>
              </w:rPr>
            </w:pPr>
            <w:r w:rsidRPr="00651A51">
              <w:rPr>
                <w:sz w:val="22"/>
                <w:szCs w:val="22"/>
              </w:rPr>
              <w:t>1.panta 5.punkta a) punkts (Direktīvas 2008/98/EK 5.panta 1.punkta ievaddaļa)</w:t>
            </w:r>
          </w:p>
        </w:tc>
        <w:tc>
          <w:tcPr>
            <w:tcW w:w="1788" w:type="dxa"/>
          </w:tcPr>
          <w:p w14:paraId="6F6CF39F" w14:textId="77777777" w:rsidR="006616A9" w:rsidRPr="00651A51" w:rsidRDefault="006616A9" w:rsidP="006616A9">
            <w:pPr>
              <w:pStyle w:val="naiskr"/>
              <w:spacing w:before="0" w:after="0"/>
              <w:rPr>
                <w:sz w:val="22"/>
                <w:szCs w:val="22"/>
              </w:rPr>
            </w:pPr>
            <w:r>
              <w:rPr>
                <w:sz w:val="22"/>
                <w:szCs w:val="22"/>
              </w:rPr>
              <w:t>3.punkts</w:t>
            </w:r>
          </w:p>
        </w:tc>
        <w:tc>
          <w:tcPr>
            <w:tcW w:w="1701" w:type="dxa"/>
          </w:tcPr>
          <w:p w14:paraId="41CB0649" w14:textId="77777777" w:rsidR="006616A9" w:rsidRPr="00651A51" w:rsidRDefault="006616A9" w:rsidP="006616A9">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w:t>
            </w:r>
          </w:p>
        </w:tc>
        <w:tc>
          <w:tcPr>
            <w:tcW w:w="3931" w:type="dxa"/>
          </w:tcPr>
          <w:p w14:paraId="24BCEB2C" w14:textId="77777777" w:rsidR="006616A9" w:rsidRPr="00651A51" w:rsidRDefault="006616A9" w:rsidP="006616A9">
            <w:pPr>
              <w:pStyle w:val="naiskr"/>
              <w:spacing w:before="0" w:after="0"/>
              <w:rPr>
                <w:sz w:val="22"/>
                <w:szCs w:val="22"/>
              </w:rPr>
            </w:pPr>
            <w:r w:rsidRPr="00651A51">
              <w:rPr>
                <w:sz w:val="22"/>
                <w:szCs w:val="22"/>
              </w:rPr>
              <w:t xml:space="preserve">Netiek noteiktas </w:t>
            </w:r>
            <w:r w:rsidRPr="00362895">
              <w:rPr>
                <w:sz w:val="22"/>
                <w:szCs w:val="22"/>
              </w:rPr>
              <w:t>stingrākas prasības.</w:t>
            </w:r>
            <w:r w:rsidRPr="00651A51">
              <w:rPr>
                <w:sz w:val="22"/>
                <w:szCs w:val="22"/>
              </w:rPr>
              <w:t xml:space="preserve"> </w:t>
            </w:r>
          </w:p>
        </w:tc>
      </w:tr>
      <w:tr w:rsidR="006616A9" w14:paraId="772F8815" w14:textId="77777777" w:rsidTr="00154856">
        <w:trPr>
          <w:trHeight w:val="313"/>
          <w:jc w:val="center"/>
        </w:trPr>
        <w:tc>
          <w:tcPr>
            <w:tcW w:w="2035" w:type="dxa"/>
          </w:tcPr>
          <w:p w14:paraId="79CAAC59" w14:textId="77777777" w:rsidR="006616A9" w:rsidRPr="00651A51" w:rsidRDefault="006616A9" w:rsidP="006616A9">
            <w:pPr>
              <w:pStyle w:val="naiskr"/>
              <w:spacing w:before="0" w:after="0"/>
              <w:rPr>
                <w:sz w:val="22"/>
                <w:szCs w:val="22"/>
              </w:rPr>
            </w:pPr>
            <w:r w:rsidRPr="00651A51">
              <w:rPr>
                <w:sz w:val="22"/>
                <w:szCs w:val="22"/>
              </w:rPr>
              <w:t>1.panta 6.punkta a) i) punkts (Direktīvas 2008/98/EK 6.panta 1.punkts)</w:t>
            </w:r>
          </w:p>
        </w:tc>
        <w:tc>
          <w:tcPr>
            <w:tcW w:w="1788" w:type="dxa"/>
          </w:tcPr>
          <w:p w14:paraId="6F42D1C8" w14:textId="77777777" w:rsidR="006616A9" w:rsidRPr="00651A51" w:rsidRDefault="006616A9" w:rsidP="006616A9">
            <w:pPr>
              <w:pStyle w:val="naiskr"/>
              <w:spacing w:before="0" w:after="0"/>
              <w:rPr>
                <w:sz w:val="22"/>
                <w:szCs w:val="22"/>
              </w:rPr>
            </w:pPr>
            <w:r>
              <w:rPr>
                <w:sz w:val="22"/>
                <w:szCs w:val="22"/>
              </w:rPr>
              <w:t>4.punkts</w:t>
            </w:r>
          </w:p>
        </w:tc>
        <w:tc>
          <w:tcPr>
            <w:tcW w:w="1701" w:type="dxa"/>
          </w:tcPr>
          <w:p w14:paraId="7176E4CF" w14:textId="77777777" w:rsidR="006616A9" w:rsidRPr="00651A51" w:rsidRDefault="006616A9" w:rsidP="006616A9">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w:t>
            </w:r>
          </w:p>
        </w:tc>
        <w:tc>
          <w:tcPr>
            <w:tcW w:w="3931" w:type="dxa"/>
          </w:tcPr>
          <w:p w14:paraId="7934BC7A" w14:textId="77777777" w:rsidR="006616A9" w:rsidRPr="00651A51" w:rsidRDefault="006616A9" w:rsidP="006616A9">
            <w:pPr>
              <w:pStyle w:val="naiskr"/>
              <w:spacing w:before="0" w:after="0"/>
              <w:rPr>
                <w:sz w:val="22"/>
                <w:szCs w:val="22"/>
              </w:rPr>
            </w:pPr>
            <w:r w:rsidRPr="00651A51">
              <w:rPr>
                <w:sz w:val="22"/>
                <w:szCs w:val="22"/>
              </w:rPr>
              <w:t xml:space="preserve">Netiek noteiktas stingrākas prasības. </w:t>
            </w:r>
          </w:p>
        </w:tc>
      </w:tr>
      <w:tr w:rsidR="006616A9" w14:paraId="2475EBED" w14:textId="77777777" w:rsidTr="00154856">
        <w:trPr>
          <w:trHeight w:val="313"/>
          <w:jc w:val="center"/>
        </w:trPr>
        <w:tc>
          <w:tcPr>
            <w:tcW w:w="2035" w:type="dxa"/>
          </w:tcPr>
          <w:p w14:paraId="75847FE4" w14:textId="77777777" w:rsidR="006616A9" w:rsidRPr="00651A51" w:rsidRDefault="006616A9" w:rsidP="006616A9">
            <w:pPr>
              <w:pStyle w:val="naiskr"/>
              <w:spacing w:before="0" w:after="0"/>
              <w:rPr>
                <w:sz w:val="22"/>
                <w:szCs w:val="22"/>
              </w:rPr>
            </w:pPr>
            <w:r w:rsidRPr="00651A51">
              <w:rPr>
                <w:sz w:val="22"/>
                <w:szCs w:val="22"/>
              </w:rPr>
              <w:t xml:space="preserve">1.panta 6.punkta a) </w:t>
            </w:r>
            <w:proofErr w:type="spellStart"/>
            <w:r w:rsidRPr="00651A51">
              <w:rPr>
                <w:sz w:val="22"/>
                <w:szCs w:val="22"/>
              </w:rPr>
              <w:t>ii</w:t>
            </w:r>
            <w:proofErr w:type="spellEnd"/>
            <w:r w:rsidRPr="00651A51">
              <w:rPr>
                <w:sz w:val="22"/>
                <w:szCs w:val="22"/>
              </w:rPr>
              <w:t>) punkts (Direktīvas 2008/98/EK 6.panta 1.punkts)</w:t>
            </w:r>
          </w:p>
        </w:tc>
        <w:tc>
          <w:tcPr>
            <w:tcW w:w="1788" w:type="dxa"/>
          </w:tcPr>
          <w:p w14:paraId="772B4E2D" w14:textId="77777777" w:rsidR="006616A9" w:rsidRPr="00651A51" w:rsidRDefault="006616A9" w:rsidP="006616A9">
            <w:pPr>
              <w:pStyle w:val="naiskr"/>
              <w:spacing w:before="0" w:after="0"/>
              <w:rPr>
                <w:sz w:val="22"/>
                <w:szCs w:val="22"/>
              </w:rPr>
            </w:pPr>
            <w:r>
              <w:rPr>
                <w:sz w:val="22"/>
                <w:szCs w:val="22"/>
              </w:rPr>
              <w:t>5.punkts</w:t>
            </w:r>
          </w:p>
        </w:tc>
        <w:tc>
          <w:tcPr>
            <w:tcW w:w="1701" w:type="dxa"/>
          </w:tcPr>
          <w:p w14:paraId="53631A65" w14:textId="77777777" w:rsidR="006616A9" w:rsidRPr="00651A51" w:rsidRDefault="006616A9" w:rsidP="006616A9">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w:t>
            </w:r>
          </w:p>
        </w:tc>
        <w:tc>
          <w:tcPr>
            <w:tcW w:w="3931" w:type="dxa"/>
          </w:tcPr>
          <w:p w14:paraId="1BF86CE2" w14:textId="77777777" w:rsidR="006616A9" w:rsidRPr="00651A51" w:rsidRDefault="006616A9" w:rsidP="006616A9">
            <w:pPr>
              <w:pStyle w:val="naiskr"/>
              <w:spacing w:before="0" w:after="0"/>
              <w:rPr>
                <w:sz w:val="22"/>
                <w:szCs w:val="22"/>
              </w:rPr>
            </w:pPr>
            <w:r w:rsidRPr="00651A51">
              <w:rPr>
                <w:sz w:val="22"/>
                <w:szCs w:val="22"/>
              </w:rPr>
              <w:t xml:space="preserve">Netiek noteiktas stingrākas prasības. </w:t>
            </w:r>
          </w:p>
        </w:tc>
      </w:tr>
      <w:tr w:rsidR="00F32284" w14:paraId="48BBC6C0" w14:textId="77777777" w:rsidTr="00154856">
        <w:trPr>
          <w:trHeight w:val="313"/>
          <w:jc w:val="center"/>
        </w:trPr>
        <w:tc>
          <w:tcPr>
            <w:tcW w:w="2035" w:type="dxa"/>
          </w:tcPr>
          <w:p w14:paraId="2D7CBDA3" w14:textId="0C167BE2" w:rsidR="00F32284" w:rsidRPr="00651A51" w:rsidRDefault="00F32284" w:rsidP="006616A9">
            <w:pPr>
              <w:pStyle w:val="naiskr"/>
              <w:spacing w:before="0" w:after="0"/>
              <w:rPr>
                <w:sz w:val="22"/>
                <w:szCs w:val="22"/>
              </w:rPr>
            </w:pPr>
            <w:r>
              <w:rPr>
                <w:sz w:val="22"/>
                <w:szCs w:val="22"/>
              </w:rPr>
              <w:t>1.panta 6.punkta b) punkts (Direktīvas 2008/98/EK 6.panta 2.punkts)</w:t>
            </w:r>
          </w:p>
        </w:tc>
        <w:tc>
          <w:tcPr>
            <w:tcW w:w="1788" w:type="dxa"/>
          </w:tcPr>
          <w:p w14:paraId="2583DC6D" w14:textId="77777777" w:rsidR="00F32284" w:rsidRDefault="00F32284" w:rsidP="006616A9">
            <w:pPr>
              <w:pStyle w:val="naiskr"/>
              <w:spacing w:before="0" w:after="0"/>
              <w:jc w:val="both"/>
            </w:pPr>
          </w:p>
        </w:tc>
        <w:tc>
          <w:tcPr>
            <w:tcW w:w="1701" w:type="dxa"/>
          </w:tcPr>
          <w:p w14:paraId="4EABFCA4" w14:textId="04B9DD85" w:rsidR="00F32284" w:rsidRPr="00651A51" w:rsidRDefault="00F32284" w:rsidP="006616A9">
            <w:pPr>
              <w:pStyle w:val="naiskr"/>
              <w:spacing w:before="0" w:after="0"/>
              <w:rPr>
                <w:sz w:val="22"/>
                <w:szCs w:val="22"/>
              </w:rPr>
            </w:pPr>
            <w:r>
              <w:rPr>
                <w:sz w:val="22"/>
                <w:szCs w:val="22"/>
              </w:rPr>
              <w:t xml:space="preserve">Netiks pārņemts. </w:t>
            </w:r>
          </w:p>
        </w:tc>
        <w:tc>
          <w:tcPr>
            <w:tcW w:w="3931" w:type="dxa"/>
          </w:tcPr>
          <w:p w14:paraId="3707FE83" w14:textId="1D0C360D" w:rsidR="00F32284" w:rsidRPr="00651A51" w:rsidRDefault="00F32284">
            <w:pPr>
              <w:spacing w:before="100" w:beforeAutospacing="1" w:after="100" w:afterAutospacing="1"/>
              <w:jc w:val="both"/>
              <w:rPr>
                <w:sz w:val="22"/>
                <w:szCs w:val="22"/>
              </w:rPr>
            </w:pPr>
            <w:r>
              <w:rPr>
                <w:sz w:val="22"/>
                <w:szCs w:val="22"/>
              </w:rPr>
              <w:t xml:space="preserve">Attiecas uz Eiropas Komisijas pilnvarām. </w:t>
            </w:r>
          </w:p>
        </w:tc>
      </w:tr>
      <w:tr w:rsidR="006616A9" w14:paraId="6FD7488D" w14:textId="77777777" w:rsidTr="00154856">
        <w:trPr>
          <w:trHeight w:val="313"/>
          <w:jc w:val="center"/>
        </w:trPr>
        <w:tc>
          <w:tcPr>
            <w:tcW w:w="2035" w:type="dxa"/>
          </w:tcPr>
          <w:p w14:paraId="5AE8A40F" w14:textId="77777777" w:rsidR="006616A9" w:rsidRPr="00651A51" w:rsidRDefault="006616A9" w:rsidP="006616A9">
            <w:pPr>
              <w:pStyle w:val="naiskr"/>
              <w:spacing w:before="0" w:after="0"/>
              <w:rPr>
                <w:sz w:val="22"/>
                <w:szCs w:val="22"/>
              </w:rPr>
            </w:pPr>
            <w:r w:rsidRPr="00651A51">
              <w:rPr>
                <w:sz w:val="22"/>
                <w:szCs w:val="22"/>
              </w:rPr>
              <w:t>1.panta 6.punkta b) punkts (Direktīvas 2008/98/EK 6.panta 3.punkts)</w:t>
            </w:r>
          </w:p>
        </w:tc>
        <w:tc>
          <w:tcPr>
            <w:tcW w:w="1788" w:type="dxa"/>
          </w:tcPr>
          <w:p w14:paraId="29EABFCC" w14:textId="77777777" w:rsidR="006616A9" w:rsidRDefault="006616A9" w:rsidP="006616A9">
            <w:pPr>
              <w:pStyle w:val="naiskr"/>
              <w:spacing w:before="0" w:after="0"/>
              <w:jc w:val="both"/>
            </w:pPr>
          </w:p>
        </w:tc>
        <w:tc>
          <w:tcPr>
            <w:tcW w:w="1701" w:type="dxa"/>
          </w:tcPr>
          <w:p w14:paraId="2DCCC19D" w14:textId="77777777" w:rsidR="006616A9" w:rsidRPr="00651A51" w:rsidRDefault="006616A9" w:rsidP="006616A9">
            <w:pPr>
              <w:pStyle w:val="naiskr"/>
              <w:spacing w:before="0" w:after="0"/>
              <w:rPr>
                <w:sz w:val="22"/>
                <w:szCs w:val="22"/>
              </w:rPr>
            </w:pPr>
            <w:r w:rsidRPr="00651A51">
              <w:rPr>
                <w:sz w:val="22"/>
                <w:szCs w:val="22"/>
              </w:rPr>
              <w:t>Netiks pārņemts.</w:t>
            </w:r>
          </w:p>
          <w:p w14:paraId="232C68F9" w14:textId="77777777" w:rsidR="006616A9" w:rsidRPr="00651A51" w:rsidRDefault="006616A9" w:rsidP="006616A9">
            <w:pPr>
              <w:pStyle w:val="naiskr"/>
              <w:spacing w:before="0" w:after="0"/>
              <w:rPr>
                <w:sz w:val="22"/>
                <w:szCs w:val="22"/>
              </w:rPr>
            </w:pPr>
          </w:p>
        </w:tc>
        <w:tc>
          <w:tcPr>
            <w:tcW w:w="3931" w:type="dxa"/>
          </w:tcPr>
          <w:p w14:paraId="79C3D020" w14:textId="77777777" w:rsidR="006616A9" w:rsidRPr="00651A51" w:rsidRDefault="006616A9" w:rsidP="00362895">
            <w:pPr>
              <w:spacing w:before="100" w:beforeAutospacing="1" w:after="100" w:afterAutospacing="1"/>
              <w:jc w:val="both"/>
              <w:rPr>
                <w:sz w:val="22"/>
                <w:szCs w:val="22"/>
              </w:rPr>
            </w:pPr>
            <w:r w:rsidRPr="00651A51">
              <w:rPr>
                <w:sz w:val="22"/>
                <w:szCs w:val="22"/>
              </w:rPr>
              <w:t>Tiks izmantota tiesību normā paredzētā rīcības brīvība dalībvalstīm.</w:t>
            </w:r>
          </w:p>
          <w:p w14:paraId="68145A40" w14:textId="77777777" w:rsidR="006616A9" w:rsidRPr="00651A51" w:rsidRDefault="006616A9" w:rsidP="00362895">
            <w:pPr>
              <w:spacing w:before="100" w:beforeAutospacing="1" w:after="100" w:afterAutospacing="1"/>
              <w:jc w:val="both"/>
              <w:rPr>
                <w:sz w:val="22"/>
                <w:szCs w:val="22"/>
              </w:rPr>
            </w:pPr>
          </w:p>
        </w:tc>
      </w:tr>
      <w:tr w:rsidR="006616A9" w14:paraId="56ED0B10" w14:textId="77777777" w:rsidTr="00154856">
        <w:trPr>
          <w:trHeight w:val="313"/>
          <w:jc w:val="center"/>
        </w:trPr>
        <w:tc>
          <w:tcPr>
            <w:tcW w:w="2035" w:type="dxa"/>
          </w:tcPr>
          <w:p w14:paraId="31073A5E" w14:textId="77777777" w:rsidR="006616A9" w:rsidRPr="00651A51" w:rsidRDefault="006616A9" w:rsidP="006616A9">
            <w:pPr>
              <w:pStyle w:val="naiskr"/>
              <w:spacing w:before="0" w:after="0"/>
              <w:rPr>
                <w:sz w:val="22"/>
                <w:szCs w:val="22"/>
              </w:rPr>
            </w:pPr>
            <w:r w:rsidRPr="00651A51">
              <w:rPr>
                <w:sz w:val="22"/>
                <w:szCs w:val="22"/>
              </w:rPr>
              <w:lastRenderedPageBreak/>
              <w:t>1.panta 6.punkta b) punkts (Direktīvas 2008/98/EK 6.panta 4.punkts)</w:t>
            </w:r>
          </w:p>
        </w:tc>
        <w:tc>
          <w:tcPr>
            <w:tcW w:w="1788" w:type="dxa"/>
          </w:tcPr>
          <w:p w14:paraId="7D56E669" w14:textId="77777777" w:rsidR="006616A9" w:rsidRDefault="006616A9" w:rsidP="006616A9">
            <w:pPr>
              <w:pStyle w:val="naiskr"/>
              <w:spacing w:before="0" w:after="0"/>
              <w:jc w:val="both"/>
            </w:pPr>
          </w:p>
        </w:tc>
        <w:tc>
          <w:tcPr>
            <w:tcW w:w="1701" w:type="dxa"/>
          </w:tcPr>
          <w:p w14:paraId="09D2482D" w14:textId="77777777" w:rsidR="006616A9" w:rsidRPr="00651A51" w:rsidRDefault="006616A9" w:rsidP="006616A9">
            <w:pPr>
              <w:pStyle w:val="naiskr"/>
              <w:spacing w:before="0" w:after="0"/>
              <w:rPr>
                <w:sz w:val="22"/>
                <w:szCs w:val="22"/>
              </w:rPr>
            </w:pPr>
            <w:r w:rsidRPr="00651A51">
              <w:rPr>
                <w:sz w:val="22"/>
                <w:szCs w:val="22"/>
              </w:rPr>
              <w:t>Netiks pārņemts.</w:t>
            </w:r>
          </w:p>
          <w:p w14:paraId="6327ADE7" w14:textId="77777777" w:rsidR="006616A9" w:rsidRPr="00651A51" w:rsidRDefault="006616A9" w:rsidP="006616A9">
            <w:pPr>
              <w:pStyle w:val="naiskr"/>
              <w:spacing w:before="0" w:after="0"/>
              <w:rPr>
                <w:sz w:val="22"/>
                <w:szCs w:val="22"/>
              </w:rPr>
            </w:pPr>
          </w:p>
        </w:tc>
        <w:tc>
          <w:tcPr>
            <w:tcW w:w="3931" w:type="dxa"/>
          </w:tcPr>
          <w:p w14:paraId="044762AB" w14:textId="77777777" w:rsidR="006616A9" w:rsidRPr="00651A51" w:rsidRDefault="006616A9" w:rsidP="00362895">
            <w:pPr>
              <w:spacing w:before="100" w:beforeAutospacing="1" w:after="100" w:afterAutospacing="1"/>
              <w:jc w:val="both"/>
              <w:rPr>
                <w:sz w:val="22"/>
                <w:szCs w:val="22"/>
              </w:rPr>
            </w:pPr>
            <w:r w:rsidRPr="00651A51">
              <w:rPr>
                <w:sz w:val="22"/>
                <w:szCs w:val="22"/>
              </w:rPr>
              <w:t>Tiks izmantota tiesību normā paredzētā rīcības brīvība dalībvalstīm.</w:t>
            </w:r>
          </w:p>
          <w:p w14:paraId="41A0F53D" w14:textId="77777777" w:rsidR="006616A9" w:rsidRPr="00651A51" w:rsidRDefault="006616A9" w:rsidP="00362895">
            <w:pPr>
              <w:spacing w:before="100" w:beforeAutospacing="1" w:after="100" w:afterAutospacing="1"/>
              <w:jc w:val="both"/>
              <w:rPr>
                <w:sz w:val="22"/>
                <w:szCs w:val="22"/>
              </w:rPr>
            </w:pPr>
          </w:p>
        </w:tc>
      </w:tr>
      <w:tr w:rsidR="006616A9" w14:paraId="3C581BF1" w14:textId="77777777" w:rsidTr="00154856">
        <w:trPr>
          <w:trHeight w:val="313"/>
          <w:jc w:val="center"/>
        </w:trPr>
        <w:tc>
          <w:tcPr>
            <w:tcW w:w="2035" w:type="dxa"/>
          </w:tcPr>
          <w:p w14:paraId="5ECE3FD9" w14:textId="77777777" w:rsidR="006616A9" w:rsidRPr="00651A51" w:rsidRDefault="006616A9" w:rsidP="006616A9">
            <w:pPr>
              <w:pStyle w:val="naiskr"/>
              <w:spacing w:before="0" w:after="0"/>
              <w:rPr>
                <w:sz w:val="22"/>
                <w:szCs w:val="22"/>
              </w:rPr>
            </w:pPr>
            <w:r w:rsidRPr="00651A51">
              <w:rPr>
                <w:sz w:val="22"/>
                <w:szCs w:val="22"/>
              </w:rPr>
              <w:t>1.panta 6.punkta c) punkts (Direktīvas 2008/98/EK 6.panta 5.punkts)</w:t>
            </w:r>
          </w:p>
        </w:tc>
        <w:tc>
          <w:tcPr>
            <w:tcW w:w="1788" w:type="dxa"/>
          </w:tcPr>
          <w:p w14:paraId="29745C46" w14:textId="77777777" w:rsidR="006616A9" w:rsidRDefault="006616A9" w:rsidP="006616A9">
            <w:pPr>
              <w:pStyle w:val="naiskr"/>
              <w:spacing w:before="0" w:after="0"/>
              <w:jc w:val="both"/>
            </w:pPr>
            <w:r>
              <w:t>6.punts</w:t>
            </w:r>
          </w:p>
        </w:tc>
        <w:tc>
          <w:tcPr>
            <w:tcW w:w="1701" w:type="dxa"/>
          </w:tcPr>
          <w:p w14:paraId="7004A73E" w14:textId="77777777" w:rsidR="006616A9" w:rsidRPr="00651A51" w:rsidRDefault="006616A9" w:rsidP="006616A9">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w:t>
            </w:r>
          </w:p>
        </w:tc>
        <w:tc>
          <w:tcPr>
            <w:tcW w:w="3931" w:type="dxa"/>
          </w:tcPr>
          <w:p w14:paraId="7D90F01A" w14:textId="77777777" w:rsidR="006616A9" w:rsidRPr="00651A51" w:rsidRDefault="006616A9" w:rsidP="00362895">
            <w:pPr>
              <w:pStyle w:val="naiskr"/>
              <w:spacing w:before="0" w:after="0"/>
              <w:jc w:val="both"/>
              <w:rPr>
                <w:sz w:val="22"/>
                <w:szCs w:val="22"/>
              </w:rPr>
            </w:pPr>
            <w:r w:rsidRPr="00651A51">
              <w:rPr>
                <w:sz w:val="22"/>
                <w:szCs w:val="22"/>
              </w:rPr>
              <w:t xml:space="preserve">Netiek noteiktas stingrākas prasības. </w:t>
            </w:r>
          </w:p>
        </w:tc>
      </w:tr>
      <w:tr w:rsidR="006616A9" w14:paraId="54775556" w14:textId="77777777" w:rsidTr="00154856">
        <w:trPr>
          <w:trHeight w:val="313"/>
          <w:jc w:val="center"/>
        </w:trPr>
        <w:tc>
          <w:tcPr>
            <w:tcW w:w="3823" w:type="dxa"/>
            <w:gridSpan w:val="2"/>
          </w:tcPr>
          <w:p w14:paraId="1B34C831" w14:textId="77777777" w:rsidR="006616A9" w:rsidRPr="006C4B9F" w:rsidRDefault="006616A9" w:rsidP="006616A9">
            <w:pPr>
              <w:pStyle w:val="naiskr"/>
              <w:spacing w:before="0" w:after="0"/>
              <w:jc w:val="both"/>
            </w:pPr>
            <w:r w:rsidRPr="006C4B9F">
              <w:t>Kā ir izmantota ES tiesību aktā paredzētā rīcības brīvība dalībvalstij pārņemt vai ieviest noteiktas ES tiesību akta normas.</w:t>
            </w:r>
          </w:p>
          <w:p w14:paraId="52F0B8E5" w14:textId="77777777" w:rsidR="006616A9" w:rsidRDefault="006616A9" w:rsidP="006616A9">
            <w:pPr>
              <w:pStyle w:val="naiskr"/>
              <w:spacing w:before="0" w:after="0"/>
              <w:jc w:val="both"/>
            </w:pPr>
            <w:r w:rsidRPr="006C4B9F">
              <w:t>Kādēļ?</w:t>
            </w:r>
          </w:p>
        </w:tc>
        <w:tc>
          <w:tcPr>
            <w:tcW w:w="5632" w:type="dxa"/>
            <w:gridSpan w:val="2"/>
          </w:tcPr>
          <w:p w14:paraId="77F212C3" w14:textId="77777777" w:rsidR="006616A9" w:rsidRPr="00FA02AC" w:rsidRDefault="006616A9" w:rsidP="006616A9">
            <w:pPr>
              <w:pStyle w:val="naiskr"/>
              <w:numPr>
                <w:ilvl w:val="0"/>
                <w:numId w:val="4"/>
              </w:numPr>
              <w:spacing w:before="0" w:after="0"/>
              <w:ind w:left="0" w:firstLine="357"/>
              <w:jc w:val="both"/>
              <w:rPr>
                <w:sz w:val="22"/>
                <w:szCs w:val="22"/>
              </w:rPr>
            </w:pPr>
            <w:r w:rsidRPr="00FA02AC">
              <w:rPr>
                <w:sz w:val="22"/>
                <w:szCs w:val="22"/>
              </w:rPr>
              <w:t>Direktīvas 2018/851/ES 1.</w:t>
            </w:r>
            <w:r>
              <w:rPr>
                <w:sz w:val="22"/>
                <w:szCs w:val="22"/>
              </w:rPr>
              <w:t> </w:t>
            </w:r>
            <w:r w:rsidRPr="00FA02AC">
              <w:rPr>
                <w:sz w:val="22"/>
                <w:szCs w:val="22"/>
              </w:rPr>
              <w:t>panta 6.</w:t>
            </w:r>
            <w:r>
              <w:rPr>
                <w:sz w:val="22"/>
                <w:szCs w:val="22"/>
              </w:rPr>
              <w:t> </w:t>
            </w:r>
            <w:r w:rsidRPr="00FA02AC">
              <w:rPr>
                <w:sz w:val="22"/>
                <w:szCs w:val="22"/>
              </w:rPr>
              <w:t>punkta b) punktā (Direktīvas 2008/98/EK 6.panta 3.punkts) ir paredzēts, ka, ja kritēriji atkritumu statusa piemērošanas izbeigšanai nav noteikti Savienības līmenī saskaņā ar 2. punktā izklāstīto procedūru, dalībvalstis var noteikt sīki izstrādātus kritērijus, pēc kuriem 1. punktā paredzētos nosacījumus piemēro konkrētiem atkritumu veidiem. Latvija nav izmantojusi šo rīcības brīvību un normatīvajos aktos nav noteikusi kritērijus atkritumu statusa piemērošanas izbeigšanai.</w:t>
            </w:r>
          </w:p>
          <w:p w14:paraId="0FD0B333" w14:textId="6793D68B" w:rsidR="006616A9" w:rsidRPr="00C826E1" w:rsidRDefault="006616A9" w:rsidP="006616A9">
            <w:pPr>
              <w:pStyle w:val="naiskr"/>
              <w:numPr>
                <w:ilvl w:val="0"/>
                <w:numId w:val="4"/>
              </w:numPr>
              <w:spacing w:before="0" w:after="0"/>
              <w:ind w:left="0" w:firstLine="357"/>
              <w:jc w:val="both"/>
              <w:rPr>
                <w:sz w:val="22"/>
                <w:szCs w:val="22"/>
              </w:rPr>
            </w:pPr>
            <w:r w:rsidRPr="00FA02AC">
              <w:rPr>
                <w:sz w:val="22"/>
                <w:szCs w:val="22"/>
              </w:rPr>
              <w:t>Direktīvas 2018/851/ES 1.</w:t>
            </w:r>
            <w:r>
              <w:rPr>
                <w:sz w:val="22"/>
                <w:szCs w:val="22"/>
              </w:rPr>
              <w:t> </w:t>
            </w:r>
            <w:r w:rsidRPr="00FA02AC">
              <w:rPr>
                <w:sz w:val="22"/>
                <w:szCs w:val="22"/>
              </w:rPr>
              <w:t>panta 6.</w:t>
            </w:r>
            <w:r>
              <w:rPr>
                <w:sz w:val="22"/>
                <w:szCs w:val="22"/>
              </w:rPr>
              <w:t> </w:t>
            </w:r>
            <w:r w:rsidRPr="00FA02AC">
              <w:rPr>
                <w:sz w:val="22"/>
                <w:szCs w:val="22"/>
              </w:rPr>
              <w:t>punkta b) punktā  (Direktīvas 2008/98/EK 6.panta 4.punkts) ir noteikts, ka, ja atkritumu statusa piemērošanas izbeigšanas kritēriji nav noteikti ne Savienības, ne dalībvalstu līmenī, dalībvalsts var lemt par katru gadījumu atsevišķi vai veikt atbilstīgus pasākumus, lai pārbaudītu, ka konkrēti atkritumi vairs nav atkritumi, pamatojoties uz 1. punktā noteiktajiem nosacījumiem un, vajadzības gadījumā, ņemot vērā prasības, kas noteiktas 2. punkta a) līdz e) apakšpunktā, un ņemot vērā piesārņotāju robežvērtības, kā arī jebkādu iespējamu negatīvu ietekmi uz vidi un cilvēku veselību.” Latvija nav izmantojusi šo rīcības brīvību un normatīvajos aktos nav noteikusi kritērijus atkritumu statusa piemērošanas izbeigšanai.</w:t>
            </w:r>
          </w:p>
        </w:tc>
      </w:tr>
      <w:tr w:rsidR="006616A9" w14:paraId="6F197476" w14:textId="77777777" w:rsidTr="00154856">
        <w:trPr>
          <w:trHeight w:val="313"/>
          <w:jc w:val="center"/>
        </w:trPr>
        <w:tc>
          <w:tcPr>
            <w:tcW w:w="3823" w:type="dxa"/>
            <w:gridSpan w:val="2"/>
          </w:tcPr>
          <w:p w14:paraId="0111ABB9" w14:textId="77777777" w:rsidR="006616A9" w:rsidRDefault="006616A9" w:rsidP="006616A9">
            <w:pPr>
              <w:pStyle w:val="naiskr"/>
              <w:spacing w:before="0" w:after="0"/>
              <w:jc w:val="both"/>
            </w:pPr>
            <w:r w:rsidRPr="006C4B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32" w:type="dxa"/>
            <w:gridSpan w:val="2"/>
          </w:tcPr>
          <w:p w14:paraId="1DF585C4" w14:textId="77777777" w:rsidR="006616A9" w:rsidRDefault="006616A9" w:rsidP="006616A9">
            <w:pPr>
              <w:pStyle w:val="naiskr"/>
              <w:spacing w:before="0" w:after="0"/>
              <w:jc w:val="both"/>
            </w:pPr>
            <w:r>
              <w:t>Projekts šo jomu neskar.</w:t>
            </w:r>
          </w:p>
        </w:tc>
      </w:tr>
      <w:tr w:rsidR="006616A9" w14:paraId="29F63992" w14:textId="77777777" w:rsidTr="00154856">
        <w:trPr>
          <w:trHeight w:val="313"/>
          <w:jc w:val="center"/>
        </w:trPr>
        <w:tc>
          <w:tcPr>
            <w:tcW w:w="3823" w:type="dxa"/>
            <w:gridSpan w:val="2"/>
          </w:tcPr>
          <w:p w14:paraId="3E95CA6A" w14:textId="77777777" w:rsidR="006616A9" w:rsidRDefault="006616A9" w:rsidP="006616A9">
            <w:pPr>
              <w:pStyle w:val="naiskr"/>
              <w:spacing w:before="0" w:after="0"/>
              <w:jc w:val="both"/>
            </w:pPr>
            <w:r w:rsidRPr="006C4B9F">
              <w:t>Cita informācija</w:t>
            </w:r>
          </w:p>
        </w:tc>
        <w:tc>
          <w:tcPr>
            <w:tcW w:w="5632" w:type="dxa"/>
            <w:gridSpan w:val="2"/>
          </w:tcPr>
          <w:p w14:paraId="13832A30" w14:textId="17C467D8" w:rsidR="006616A9" w:rsidRDefault="006616A9" w:rsidP="006616A9">
            <w:pPr>
              <w:pStyle w:val="naiskr"/>
              <w:spacing w:before="0" w:after="0"/>
              <w:jc w:val="both"/>
            </w:pPr>
            <w:r>
              <w:t xml:space="preserve">Informācija par pārējo </w:t>
            </w:r>
            <w:r w:rsidR="005B06C6">
              <w:t xml:space="preserve">Direktīvas 2018/850/ES un </w:t>
            </w:r>
            <w:r>
              <w:t xml:space="preserve">Direktīvas 2018/851/ES normu transponēšanu ir sniegta likumprojekta “Grozījumi Atkritumu apsaimniekošanas likumā” </w:t>
            </w:r>
            <w:r w:rsidR="00963B4F">
              <w:t>sākotnējās ietekmes novērtējuma ziņojumā (</w:t>
            </w:r>
            <w:r>
              <w:t>anotācijā</w:t>
            </w:r>
            <w:r w:rsidR="00963B4F">
              <w:t>)</w:t>
            </w:r>
            <w:r>
              <w:t xml:space="preserve">. </w:t>
            </w:r>
            <w:r>
              <w:rPr>
                <w:rStyle w:val="FootnoteReference"/>
              </w:rPr>
              <w:footnoteReference w:id="1"/>
            </w:r>
          </w:p>
        </w:tc>
      </w:tr>
    </w:tbl>
    <w:p w14:paraId="660B707A" w14:textId="77777777" w:rsidR="00AD2C14" w:rsidRDefault="00AD2C14" w:rsidP="00AD2C14">
      <w:pPr>
        <w:pStyle w:val="naisf"/>
        <w:spacing w:before="0" w:after="0"/>
        <w:ind w:firstLine="0"/>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AD2C14" w14:paraId="20A3B49E" w14:textId="77777777" w:rsidTr="00154856">
        <w:tc>
          <w:tcPr>
            <w:tcW w:w="9469" w:type="dxa"/>
            <w:tcBorders>
              <w:top w:val="single" w:sz="4" w:space="0" w:color="auto"/>
              <w:left w:val="single" w:sz="4" w:space="0" w:color="auto"/>
              <w:bottom w:val="single" w:sz="4" w:space="0" w:color="auto"/>
              <w:right w:val="single" w:sz="4" w:space="0" w:color="auto"/>
            </w:tcBorders>
            <w:hideMark/>
          </w:tcPr>
          <w:p w14:paraId="5FE6DB60" w14:textId="77777777" w:rsidR="00AD2C14" w:rsidRDefault="00AD2C14" w:rsidP="00154856">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367AD0A9" w14:textId="77777777" w:rsidR="00AD2C14" w:rsidRDefault="00AD2C14" w:rsidP="00154856">
            <w:pPr>
              <w:spacing w:line="256" w:lineRule="auto"/>
              <w:jc w:val="center"/>
              <w:rPr>
                <w:lang w:eastAsia="en-US"/>
              </w:rPr>
            </w:pPr>
            <w:r>
              <w:rPr>
                <w:b/>
                <w:lang w:eastAsia="en-US"/>
              </w:rPr>
              <w:t>Pasākumi šo saistību izpildei</w:t>
            </w:r>
          </w:p>
        </w:tc>
      </w:tr>
      <w:tr w:rsidR="00AD2C14" w14:paraId="2B3BDB8F" w14:textId="77777777" w:rsidTr="00154856">
        <w:tc>
          <w:tcPr>
            <w:tcW w:w="9469" w:type="dxa"/>
            <w:tcBorders>
              <w:top w:val="single" w:sz="4" w:space="0" w:color="auto"/>
              <w:left w:val="single" w:sz="4" w:space="0" w:color="auto"/>
              <w:bottom w:val="single" w:sz="4" w:space="0" w:color="auto"/>
              <w:right w:val="single" w:sz="4" w:space="0" w:color="auto"/>
            </w:tcBorders>
          </w:tcPr>
          <w:p w14:paraId="4354E757" w14:textId="77777777" w:rsidR="00AD2C14" w:rsidRPr="00FF72C6" w:rsidRDefault="00AD2C14" w:rsidP="00154856">
            <w:pPr>
              <w:spacing w:line="256" w:lineRule="auto"/>
              <w:jc w:val="center"/>
              <w:rPr>
                <w:lang w:eastAsia="en-US"/>
              </w:rPr>
            </w:pPr>
            <w:r>
              <w:rPr>
                <w:lang w:eastAsia="en-US"/>
              </w:rPr>
              <w:t>P</w:t>
            </w:r>
            <w:r w:rsidRPr="00FF72C6">
              <w:rPr>
                <w:lang w:eastAsia="en-US"/>
              </w:rPr>
              <w:t>rojekts šo jomu neskar.</w:t>
            </w:r>
          </w:p>
        </w:tc>
      </w:tr>
    </w:tbl>
    <w:p w14:paraId="3262C674" w14:textId="77777777" w:rsidR="00AD2C14" w:rsidRPr="00FB41DC" w:rsidRDefault="00AD2C14" w:rsidP="00AD2C14"/>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AD2C14" w:rsidRPr="00FB41DC" w14:paraId="28C22750" w14:textId="77777777" w:rsidTr="00154856">
        <w:trPr>
          <w:jc w:val="center"/>
        </w:trPr>
        <w:tc>
          <w:tcPr>
            <w:tcW w:w="9472" w:type="dxa"/>
            <w:gridSpan w:val="3"/>
            <w:tcMar>
              <w:top w:w="57" w:type="dxa"/>
              <w:left w:w="57" w:type="dxa"/>
              <w:bottom w:w="57" w:type="dxa"/>
              <w:right w:w="57" w:type="dxa"/>
            </w:tcMar>
          </w:tcPr>
          <w:p w14:paraId="12643140" w14:textId="77777777" w:rsidR="00AD2C14" w:rsidRPr="00FB41DC" w:rsidRDefault="00AD2C14" w:rsidP="00154856">
            <w:pPr>
              <w:pStyle w:val="naisnod"/>
              <w:spacing w:before="0" w:after="0"/>
              <w:ind w:left="57" w:right="57"/>
            </w:pPr>
            <w:r w:rsidRPr="00FB41DC">
              <w:t>VI.</w:t>
            </w:r>
            <w:r>
              <w:t> </w:t>
            </w:r>
            <w:r w:rsidRPr="00FB41DC">
              <w:t xml:space="preserve">Sabiedrības līdzdalība un </w:t>
            </w:r>
            <w:r>
              <w:t>komunikācijas aktivitātes</w:t>
            </w:r>
          </w:p>
        </w:tc>
      </w:tr>
      <w:tr w:rsidR="00AD2C14" w:rsidRPr="00FB41DC" w14:paraId="2544804D" w14:textId="77777777" w:rsidTr="00BE3D30">
        <w:trPr>
          <w:trHeight w:val="1634"/>
          <w:jc w:val="center"/>
        </w:trPr>
        <w:tc>
          <w:tcPr>
            <w:tcW w:w="485" w:type="dxa"/>
            <w:tcMar>
              <w:top w:w="57" w:type="dxa"/>
              <w:left w:w="57" w:type="dxa"/>
              <w:bottom w:w="57" w:type="dxa"/>
              <w:right w:w="57" w:type="dxa"/>
            </w:tcMar>
          </w:tcPr>
          <w:p w14:paraId="3B6AF158" w14:textId="77777777" w:rsidR="00AD2C14" w:rsidRPr="00FB41DC" w:rsidRDefault="00AD2C14" w:rsidP="00154856">
            <w:pPr>
              <w:pStyle w:val="naiskr"/>
              <w:spacing w:before="0" w:after="0"/>
              <w:ind w:left="57" w:right="57"/>
              <w:rPr>
                <w:bCs/>
              </w:rPr>
            </w:pPr>
            <w:r w:rsidRPr="00FB41DC">
              <w:rPr>
                <w:bCs/>
              </w:rPr>
              <w:lastRenderedPageBreak/>
              <w:t>1.</w:t>
            </w:r>
          </w:p>
        </w:tc>
        <w:tc>
          <w:tcPr>
            <w:tcW w:w="3118" w:type="dxa"/>
            <w:tcMar>
              <w:top w:w="57" w:type="dxa"/>
              <w:left w:w="57" w:type="dxa"/>
              <w:bottom w:w="57" w:type="dxa"/>
              <w:right w:w="57" w:type="dxa"/>
            </w:tcMar>
          </w:tcPr>
          <w:p w14:paraId="10B9892D" w14:textId="77777777" w:rsidR="00AD2C14" w:rsidRPr="00FB41DC" w:rsidRDefault="00AD2C14" w:rsidP="00154856">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38D02C69" w14:textId="1B9B3948" w:rsidR="00AD2C14" w:rsidRPr="00FB41DC" w:rsidRDefault="00AD2C14" w:rsidP="00154856">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00990ABA">
              <w:t>970 “</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AD2C14" w:rsidRPr="00FB41DC" w14:paraId="300E7D62" w14:textId="77777777" w:rsidTr="00154856">
        <w:trPr>
          <w:trHeight w:val="339"/>
          <w:jc w:val="center"/>
        </w:trPr>
        <w:tc>
          <w:tcPr>
            <w:tcW w:w="485" w:type="dxa"/>
            <w:tcMar>
              <w:top w:w="57" w:type="dxa"/>
              <w:left w:w="57" w:type="dxa"/>
              <w:bottom w:w="57" w:type="dxa"/>
              <w:right w:w="57" w:type="dxa"/>
            </w:tcMar>
          </w:tcPr>
          <w:p w14:paraId="4FFAE0BD" w14:textId="77777777" w:rsidR="00AD2C14" w:rsidRPr="00FB41DC" w:rsidRDefault="00AD2C14" w:rsidP="00154856">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668C9989" w14:textId="77777777" w:rsidR="00AD2C14" w:rsidRPr="00FB41DC" w:rsidRDefault="00AD2C14" w:rsidP="00154856">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65455659" w14:textId="33A9EBA9" w:rsidR="00AD2C14" w:rsidRPr="00FB41DC" w:rsidRDefault="00AD2C14" w:rsidP="00BE3D30">
            <w:pPr>
              <w:pStyle w:val="naiskr"/>
              <w:spacing w:before="0" w:after="0"/>
              <w:ind w:right="57"/>
              <w:jc w:val="both"/>
            </w:pPr>
            <w:r>
              <w:t xml:space="preserve">Noteikumu projekts un sākotnējās ietekmes novērtējuma ziņojums </w:t>
            </w:r>
            <w:r w:rsidR="00362895">
              <w:t xml:space="preserve">2019. gada </w:t>
            </w:r>
            <w:proofErr w:type="gramStart"/>
            <w:r w:rsidR="00362895">
              <w:t>4.</w:t>
            </w:r>
            <w:r w:rsidR="005E38A8" w:rsidRPr="005E38A8">
              <w:t>septembrī</w:t>
            </w:r>
            <w:proofErr w:type="gramEnd"/>
            <w:r w:rsidRPr="005E38A8">
              <w:t xml:space="preserve"> tika publicēts</w:t>
            </w:r>
            <w:r>
              <w:t xml:space="preserve"> VARAM tīmekļvietnē: </w:t>
            </w:r>
            <w:hyperlink r:id="rId7" w:history="1">
              <w:r w:rsidRPr="00EB4802">
                <w:rPr>
                  <w:rStyle w:val="Hyperlink"/>
                </w:rPr>
                <w:t>www.varam.gov.lv</w:t>
              </w:r>
            </w:hyperlink>
            <w:r w:rsidR="003B6497">
              <w:t xml:space="preserve"> un Ministru kabineta</w:t>
            </w:r>
            <w:r w:rsidR="005E38A8">
              <w:t xml:space="preserve"> mājas lapā atbilstoši </w:t>
            </w:r>
            <w:r w:rsidR="005E38A8" w:rsidRPr="00CD00B5">
              <w:t>Ministru kabineta 2009.</w:t>
            </w:r>
            <w:r w:rsidR="005E38A8">
              <w:t> </w:t>
            </w:r>
            <w:r w:rsidR="005E38A8" w:rsidRPr="00CD00B5">
              <w:t>gada 25.</w:t>
            </w:r>
            <w:r w:rsidR="005E38A8">
              <w:t> </w:t>
            </w:r>
            <w:r w:rsidR="005E38A8" w:rsidRPr="00CD00B5">
              <w:t>augusta noteikumu Nr.</w:t>
            </w:r>
            <w:r w:rsidR="005E38A8">
              <w:t> 970 “</w:t>
            </w:r>
            <w:r w:rsidR="005E38A8" w:rsidRPr="00CD00B5">
              <w:t>Sabiedrības līdzdalības kārtība attīstības plānošanas procesā”</w:t>
            </w:r>
            <w:r w:rsidR="005E38A8">
              <w:t xml:space="preserve"> 13. un 14.punktam. </w:t>
            </w:r>
          </w:p>
        </w:tc>
      </w:tr>
      <w:tr w:rsidR="00AD2C14" w:rsidRPr="00FB41DC" w14:paraId="677ABC86" w14:textId="77777777" w:rsidTr="00154856">
        <w:trPr>
          <w:trHeight w:val="375"/>
          <w:jc w:val="center"/>
        </w:trPr>
        <w:tc>
          <w:tcPr>
            <w:tcW w:w="485" w:type="dxa"/>
            <w:tcMar>
              <w:top w:w="57" w:type="dxa"/>
              <w:left w:w="57" w:type="dxa"/>
              <w:bottom w:w="57" w:type="dxa"/>
              <w:right w:w="57" w:type="dxa"/>
            </w:tcMar>
          </w:tcPr>
          <w:p w14:paraId="36ECE567" w14:textId="77777777" w:rsidR="00AD2C14" w:rsidRPr="00FB41DC" w:rsidRDefault="00AD2C14" w:rsidP="00154856">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3929813A" w14:textId="77777777" w:rsidR="00AD2C14" w:rsidRPr="00FB41DC" w:rsidRDefault="00AD2C14" w:rsidP="00154856">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084F5BA0" w14:textId="7B3CE372" w:rsidR="00AD2C14" w:rsidRPr="00FB41DC" w:rsidRDefault="003B6497" w:rsidP="00154856">
            <w:pPr>
              <w:pStyle w:val="naiskr"/>
              <w:spacing w:before="0" w:after="0"/>
              <w:ind w:right="57"/>
              <w:jc w:val="both"/>
            </w:pPr>
            <w:r>
              <w:t xml:space="preserve">Sabiedriskās apspriešanas </w:t>
            </w:r>
            <w:r>
              <w:t>ietvaros par noteikumu projektu</w:t>
            </w:r>
            <w:bookmarkStart w:id="0" w:name="_GoBack"/>
            <w:bookmarkEnd w:id="0"/>
            <w:r>
              <w:t xml:space="preserve"> un tā anotāciju netika saņemti sabiedrības viedokļi.</w:t>
            </w:r>
          </w:p>
        </w:tc>
      </w:tr>
      <w:tr w:rsidR="00AD2C14" w:rsidRPr="00FB41DC" w14:paraId="47096721" w14:textId="77777777" w:rsidTr="00154856">
        <w:trPr>
          <w:trHeight w:val="476"/>
          <w:jc w:val="center"/>
        </w:trPr>
        <w:tc>
          <w:tcPr>
            <w:tcW w:w="485" w:type="dxa"/>
            <w:tcMar>
              <w:top w:w="57" w:type="dxa"/>
              <w:left w:w="57" w:type="dxa"/>
              <w:bottom w:w="57" w:type="dxa"/>
              <w:right w:w="57" w:type="dxa"/>
            </w:tcMar>
          </w:tcPr>
          <w:p w14:paraId="6A9F51BF" w14:textId="77777777" w:rsidR="00AD2C14" w:rsidRPr="00FB41DC" w:rsidRDefault="00AD2C14" w:rsidP="00154856">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7D0FE9E5" w14:textId="77777777" w:rsidR="00AD2C14" w:rsidRPr="00FB41DC" w:rsidRDefault="00AD2C14" w:rsidP="00154856">
            <w:pPr>
              <w:pStyle w:val="naiskr"/>
              <w:spacing w:before="0" w:after="0"/>
              <w:ind w:left="57" w:right="57"/>
            </w:pPr>
            <w:r w:rsidRPr="00FB41DC">
              <w:t>Cita informācija</w:t>
            </w:r>
          </w:p>
        </w:tc>
        <w:tc>
          <w:tcPr>
            <w:tcW w:w="5869" w:type="dxa"/>
            <w:tcMar>
              <w:top w:w="57" w:type="dxa"/>
              <w:left w:w="57" w:type="dxa"/>
              <w:bottom w:w="57" w:type="dxa"/>
              <w:right w:w="57" w:type="dxa"/>
            </w:tcMar>
          </w:tcPr>
          <w:p w14:paraId="668CEA67" w14:textId="2E8356D2" w:rsidR="00AD2C14" w:rsidRPr="00FB41DC" w:rsidRDefault="00AD2C14" w:rsidP="00154856">
            <w:pPr>
              <w:pStyle w:val="naiskr"/>
              <w:spacing w:before="0" w:after="0"/>
              <w:ind w:right="57"/>
              <w:jc w:val="both"/>
            </w:pPr>
            <w:r>
              <w:t>Nav</w:t>
            </w:r>
            <w:r w:rsidR="00865F1A">
              <w:t xml:space="preserve">. </w:t>
            </w:r>
          </w:p>
        </w:tc>
      </w:tr>
    </w:tbl>
    <w:p w14:paraId="4EC6448A" w14:textId="77777777" w:rsidR="00AD2C14" w:rsidRPr="00FB41DC" w:rsidRDefault="00AD2C14" w:rsidP="00AD2C14"/>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AD2C14" w:rsidRPr="00FB41DC" w14:paraId="6671CF51" w14:textId="77777777" w:rsidTr="00154856">
        <w:trPr>
          <w:jc w:val="center"/>
        </w:trPr>
        <w:tc>
          <w:tcPr>
            <w:tcW w:w="9474" w:type="dxa"/>
            <w:gridSpan w:val="3"/>
            <w:tcBorders>
              <w:top w:val="single" w:sz="4" w:space="0" w:color="auto"/>
            </w:tcBorders>
            <w:tcMar>
              <w:top w:w="57" w:type="dxa"/>
              <w:left w:w="57" w:type="dxa"/>
              <w:bottom w:w="57" w:type="dxa"/>
              <w:right w:w="57" w:type="dxa"/>
            </w:tcMar>
          </w:tcPr>
          <w:p w14:paraId="27403D06" w14:textId="77777777" w:rsidR="00AD2C14" w:rsidRPr="00FB41DC" w:rsidRDefault="00AD2C14" w:rsidP="00154856">
            <w:pPr>
              <w:pStyle w:val="naisnod"/>
              <w:spacing w:before="0" w:after="0"/>
              <w:ind w:left="57" w:right="57"/>
            </w:pPr>
            <w:r w:rsidRPr="00FB41DC">
              <w:t>VII.</w:t>
            </w:r>
            <w:r>
              <w:t> </w:t>
            </w:r>
            <w:r w:rsidRPr="00FB41DC">
              <w:t>Tiesību akta projekta izpildes nodrošināšana un tās ietekme uz institūcijām</w:t>
            </w:r>
          </w:p>
        </w:tc>
      </w:tr>
      <w:tr w:rsidR="00AD2C14" w:rsidRPr="00FB41DC" w14:paraId="51B3FF37" w14:textId="77777777" w:rsidTr="00154856">
        <w:trPr>
          <w:trHeight w:val="427"/>
          <w:jc w:val="center"/>
        </w:trPr>
        <w:tc>
          <w:tcPr>
            <w:tcW w:w="486" w:type="dxa"/>
            <w:tcMar>
              <w:top w:w="57" w:type="dxa"/>
              <w:left w:w="57" w:type="dxa"/>
              <w:bottom w:w="57" w:type="dxa"/>
              <w:right w:w="57" w:type="dxa"/>
            </w:tcMar>
          </w:tcPr>
          <w:p w14:paraId="372B42D9" w14:textId="77777777" w:rsidR="00AD2C14" w:rsidRPr="00FB41DC" w:rsidRDefault="00AD2C14" w:rsidP="00154856">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11B0524E" w14:textId="77777777" w:rsidR="00AD2C14" w:rsidRPr="00FB41DC" w:rsidRDefault="00AD2C14" w:rsidP="00154856">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34523B26" w14:textId="77777777" w:rsidR="00AD2C14" w:rsidRPr="00563D3C" w:rsidRDefault="00AD2C14" w:rsidP="00154856">
            <w:pPr>
              <w:pStyle w:val="naisc"/>
              <w:spacing w:before="0" w:after="0"/>
              <w:jc w:val="both"/>
            </w:pPr>
            <w:r>
              <w:t>VARAM</w:t>
            </w:r>
            <w:r w:rsidRPr="00563D3C">
              <w:t>,</w:t>
            </w:r>
            <w:r>
              <w:t xml:space="preserve"> Valsts vides dienests</w:t>
            </w:r>
            <w:r w:rsidRPr="00563D3C">
              <w:t>.</w:t>
            </w:r>
          </w:p>
        </w:tc>
      </w:tr>
      <w:tr w:rsidR="00AD2C14" w:rsidRPr="00FB41DC" w14:paraId="3047E944" w14:textId="77777777" w:rsidTr="00154856">
        <w:trPr>
          <w:trHeight w:val="463"/>
          <w:jc w:val="center"/>
        </w:trPr>
        <w:tc>
          <w:tcPr>
            <w:tcW w:w="486" w:type="dxa"/>
            <w:tcMar>
              <w:top w:w="57" w:type="dxa"/>
              <w:left w:w="57" w:type="dxa"/>
              <w:bottom w:w="57" w:type="dxa"/>
              <w:right w:w="57" w:type="dxa"/>
            </w:tcMar>
          </w:tcPr>
          <w:p w14:paraId="0152B5BB" w14:textId="77777777" w:rsidR="00AD2C14" w:rsidRPr="00FB41DC" w:rsidRDefault="00AD2C14" w:rsidP="00154856">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5D1264C1" w14:textId="77777777" w:rsidR="00AD2C14" w:rsidRPr="00FB41DC" w:rsidRDefault="00AD2C14" w:rsidP="00154856">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25B02532" w14:textId="77777777" w:rsidR="00AD2C14" w:rsidRDefault="00AD2C14" w:rsidP="00154856">
            <w:pPr>
              <w:pStyle w:val="naisnod"/>
              <w:spacing w:before="0" w:after="0"/>
              <w:ind w:right="57"/>
              <w:jc w:val="both"/>
              <w:rPr>
                <w:b w:val="0"/>
              </w:rPr>
            </w:pPr>
            <w:r>
              <w:rPr>
                <w:b w:val="0"/>
              </w:rPr>
              <w:t>Noteikumu projekts neietekmē iesaistīto institūciju funkcijas un uzdevumus.</w:t>
            </w:r>
          </w:p>
          <w:p w14:paraId="718FAF60" w14:textId="77777777" w:rsidR="00AD2C14" w:rsidRPr="00F862E3" w:rsidRDefault="00AD2C14" w:rsidP="00154856">
            <w:pPr>
              <w:pStyle w:val="naisnod"/>
              <w:spacing w:before="0" w:after="0"/>
              <w:ind w:right="57"/>
              <w:jc w:val="both"/>
              <w:rPr>
                <w:b w:val="0"/>
              </w:rPr>
            </w:pPr>
            <w:r w:rsidRPr="002F2520">
              <w:rPr>
                <w:b w:val="0"/>
                <w:bCs w:val="0"/>
              </w:rPr>
              <w:t>Jaunas institūcijas nav jāveido. Esošās institūcijas nav jāreorganizē.</w:t>
            </w:r>
          </w:p>
        </w:tc>
      </w:tr>
      <w:tr w:rsidR="00AD2C14" w:rsidRPr="00FB41DC" w14:paraId="3E2664EE" w14:textId="77777777" w:rsidTr="00154856">
        <w:trPr>
          <w:trHeight w:val="476"/>
          <w:jc w:val="center"/>
        </w:trPr>
        <w:tc>
          <w:tcPr>
            <w:tcW w:w="486" w:type="dxa"/>
            <w:tcMar>
              <w:top w:w="57" w:type="dxa"/>
              <w:left w:w="57" w:type="dxa"/>
              <w:bottom w:w="57" w:type="dxa"/>
              <w:right w:w="57" w:type="dxa"/>
            </w:tcMar>
          </w:tcPr>
          <w:p w14:paraId="51CCA50D" w14:textId="77777777" w:rsidR="00AD2C14" w:rsidRPr="00FB41DC" w:rsidRDefault="00AD2C14" w:rsidP="00154856">
            <w:pPr>
              <w:pStyle w:val="naiskr"/>
              <w:spacing w:before="0" w:after="0"/>
              <w:ind w:left="57" w:right="57"/>
            </w:pPr>
            <w:r>
              <w:t>3</w:t>
            </w:r>
            <w:r w:rsidRPr="00FB41DC">
              <w:t>.</w:t>
            </w:r>
          </w:p>
        </w:tc>
        <w:tc>
          <w:tcPr>
            <w:tcW w:w="3118" w:type="dxa"/>
            <w:tcMar>
              <w:top w:w="57" w:type="dxa"/>
              <w:left w:w="57" w:type="dxa"/>
              <w:bottom w:w="57" w:type="dxa"/>
              <w:right w:w="57" w:type="dxa"/>
            </w:tcMar>
          </w:tcPr>
          <w:p w14:paraId="32E4CB46" w14:textId="77777777" w:rsidR="00AD2C14" w:rsidRPr="00FB41DC" w:rsidRDefault="00AD2C14" w:rsidP="00154856">
            <w:pPr>
              <w:pStyle w:val="naiskr"/>
              <w:spacing w:before="0" w:after="0"/>
              <w:ind w:left="57" w:right="57"/>
            </w:pPr>
            <w:r w:rsidRPr="00FB41DC">
              <w:t>Cita informācija</w:t>
            </w:r>
          </w:p>
        </w:tc>
        <w:tc>
          <w:tcPr>
            <w:tcW w:w="5870" w:type="dxa"/>
            <w:tcMar>
              <w:top w:w="57" w:type="dxa"/>
              <w:left w:w="57" w:type="dxa"/>
              <w:bottom w:w="57" w:type="dxa"/>
              <w:right w:w="57" w:type="dxa"/>
            </w:tcMar>
          </w:tcPr>
          <w:p w14:paraId="0E571752" w14:textId="77777777" w:rsidR="00AD2C14" w:rsidRPr="00FB41DC" w:rsidRDefault="00AD2C14" w:rsidP="00154856">
            <w:pPr>
              <w:pStyle w:val="naiskr"/>
              <w:spacing w:before="0" w:after="0"/>
              <w:ind w:left="57" w:right="57"/>
            </w:pPr>
            <w:r>
              <w:t>Nav</w:t>
            </w:r>
          </w:p>
        </w:tc>
      </w:tr>
    </w:tbl>
    <w:p w14:paraId="61FAC484" w14:textId="77777777" w:rsidR="00AD2C14" w:rsidRDefault="00AD2C14" w:rsidP="00AD2C14">
      <w:pPr>
        <w:pStyle w:val="naisf"/>
        <w:spacing w:before="0" w:after="0"/>
        <w:ind w:firstLine="374"/>
        <w:rPr>
          <w:b/>
        </w:rPr>
      </w:pPr>
    </w:p>
    <w:p w14:paraId="6C51F5C9" w14:textId="77777777" w:rsidR="00AD2C14" w:rsidRPr="00ED433D" w:rsidRDefault="00AD2C14" w:rsidP="00AD2C14">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1F4F0733" w14:textId="77777777" w:rsidR="00AD2C14" w:rsidRDefault="00AD2C14" w:rsidP="00AD2C14">
      <w:r>
        <w:t>reģionālās attīstības ministrs</w:t>
      </w:r>
      <w:r>
        <w:tab/>
      </w:r>
      <w:r>
        <w:tab/>
      </w:r>
      <w:r>
        <w:tab/>
      </w:r>
      <w:r>
        <w:tab/>
      </w:r>
      <w:r>
        <w:tab/>
        <w:t>Juris Pūce</w:t>
      </w:r>
    </w:p>
    <w:p w14:paraId="35D3E7A6" w14:textId="77777777" w:rsidR="00AD2C14" w:rsidRDefault="00AD2C14" w:rsidP="00AD2C14"/>
    <w:p w14:paraId="1D6AA705" w14:textId="77777777" w:rsidR="00AD2C14" w:rsidRPr="00ED433D" w:rsidRDefault="00AD2C14" w:rsidP="00AD2C14"/>
    <w:p w14:paraId="1F962AE2" w14:textId="77777777" w:rsidR="00AD2C14" w:rsidRDefault="00AD2C14" w:rsidP="00AD2C14">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5EF7DF31" w14:textId="77777777" w:rsidR="00AD2C14" w:rsidRPr="00563D3C" w:rsidRDefault="00425B55" w:rsidP="00AD2C14">
      <w:pPr>
        <w:rPr>
          <w:sz w:val="20"/>
          <w:szCs w:val="20"/>
        </w:rPr>
      </w:pPr>
      <w:hyperlink r:id="rId8" w:history="1">
        <w:r w:rsidR="00AD2C14" w:rsidRPr="00055928">
          <w:rPr>
            <w:rStyle w:val="Hyperlink"/>
            <w:sz w:val="20"/>
            <w:szCs w:val="20"/>
          </w:rPr>
          <w:t>ilze.donina@varam.gov.lv</w:t>
        </w:r>
      </w:hyperlink>
    </w:p>
    <w:p w14:paraId="663A3264" w14:textId="77777777" w:rsidR="00AD2C14" w:rsidRDefault="00AD2C14" w:rsidP="00AD2C14"/>
    <w:p w14:paraId="61AC0D21" w14:textId="77777777" w:rsidR="00AD2C14" w:rsidRDefault="00AD2C14" w:rsidP="00AD2C14"/>
    <w:p w14:paraId="20808CEC" w14:textId="77777777" w:rsidR="0059243D" w:rsidRDefault="0059243D"/>
    <w:sectPr w:rsidR="0059243D" w:rsidSect="00B227DD">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38A98" w14:textId="77777777" w:rsidR="00425B55" w:rsidRDefault="00425B55" w:rsidP="00AD2C14">
      <w:r>
        <w:separator/>
      </w:r>
    </w:p>
  </w:endnote>
  <w:endnote w:type="continuationSeparator" w:id="0">
    <w:p w14:paraId="3B0A8AC1" w14:textId="77777777" w:rsidR="00425B55" w:rsidRDefault="00425B55" w:rsidP="00AD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AB1C" w14:textId="38189B25" w:rsidR="00BD3CB7" w:rsidRPr="00627155" w:rsidRDefault="00C852E3" w:rsidP="00627155">
    <w:pPr>
      <w:jc w:val="both"/>
    </w:pPr>
    <w:r w:rsidRPr="00A81BC9">
      <w:rPr>
        <w:sz w:val="20"/>
        <w:szCs w:val="20"/>
      </w:rPr>
      <w:t>VARAMAnot_</w:t>
    </w:r>
    <w:r w:rsidR="00D05BB4">
      <w:rPr>
        <w:sz w:val="20"/>
        <w:szCs w:val="20"/>
      </w:rPr>
      <w:t>30</w:t>
    </w:r>
    <w:r w:rsidR="006616A9" w:rsidRPr="00A81BC9">
      <w:rPr>
        <w:sz w:val="20"/>
        <w:szCs w:val="20"/>
      </w:rPr>
      <w:t>08</w:t>
    </w:r>
    <w:r w:rsidRPr="00A81BC9">
      <w:rPr>
        <w:sz w:val="20"/>
        <w:szCs w:val="20"/>
      </w:rPr>
      <w:t>19</w:t>
    </w:r>
    <w:r w:rsidRPr="000B0353">
      <w:rPr>
        <w:sz w:val="20"/>
        <w:szCs w:val="20"/>
      </w:rPr>
      <w:t>_groz</w:t>
    </w:r>
    <w:r w:rsidR="006616A9" w:rsidRPr="00362895">
      <w:rPr>
        <w:sz w:val="20"/>
        <w:szCs w:val="20"/>
      </w:rPr>
      <w:t>302</w:t>
    </w:r>
    <w:r w:rsidR="00D05BB4">
      <w:rPr>
        <w:sz w:val="20"/>
        <w:szCs w:val="20"/>
      </w:rPr>
      <w:t>_klasifikators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D302" w14:textId="2243E807" w:rsidR="00BD3CB7" w:rsidRPr="00627155" w:rsidRDefault="00C852E3" w:rsidP="00627155">
    <w:pPr>
      <w:jc w:val="both"/>
    </w:pPr>
    <w:r w:rsidRPr="00A81BC9">
      <w:rPr>
        <w:sz w:val="20"/>
        <w:szCs w:val="20"/>
      </w:rPr>
      <w:t>VARAMAnot_</w:t>
    </w:r>
    <w:r w:rsidR="00D05BB4">
      <w:rPr>
        <w:sz w:val="20"/>
        <w:szCs w:val="20"/>
      </w:rPr>
      <w:t>30</w:t>
    </w:r>
    <w:r w:rsidR="006616A9" w:rsidRPr="00A81BC9">
      <w:rPr>
        <w:sz w:val="20"/>
        <w:szCs w:val="20"/>
      </w:rPr>
      <w:t>08</w:t>
    </w:r>
    <w:r w:rsidRPr="00A81BC9">
      <w:rPr>
        <w:sz w:val="20"/>
        <w:szCs w:val="20"/>
      </w:rPr>
      <w:t>19_groz</w:t>
    </w:r>
    <w:r w:rsidR="006616A9" w:rsidRPr="003B6497">
      <w:rPr>
        <w:sz w:val="20"/>
        <w:szCs w:val="20"/>
      </w:rPr>
      <w:t>302</w:t>
    </w:r>
    <w:r w:rsidR="00D05BB4">
      <w:rPr>
        <w:sz w:val="20"/>
        <w:szCs w:val="20"/>
      </w:rPr>
      <w:t>_klasifikators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B9D96" w14:textId="77777777" w:rsidR="00425B55" w:rsidRDefault="00425B55" w:rsidP="00AD2C14">
      <w:r>
        <w:separator/>
      </w:r>
    </w:p>
  </w:footnote>
  <w:footnote w:type="continuationSeparator" w:id="0">
    <w:p w14:paraId="240D64F2" w14:textId="77777777" w:rsidR="00425B55" w:rsidRDefault="00425B55" w:rsidP="00AD2C14">
      <w:r>
        <w:continuationSeparator/>
      </w:r>
    </w:p>
  </w:footnote>
  <w:footnote w:id="1">
    <w:p w14:paraId="4D258435" w14:textId="577F21ED" w:rsidR="006616A9" w:rsidRDefault="006616A9" w:rsidP="00AD2C14">
      <w:pPr>
        <w:pStyle w:val="FootnoteText"/>
      </w:pPr>
      <w:r>
        <w:rPr>
          <w:rStyle w:val="FootnoteReference"/>
        </w:rPr>
        <w:footnoteRef/>
      </w:r>
      <w:r>
        <w:t xml:space="preserve"> </w:t>
      </w:r>
      <w:r w:rsidR="004B76E8">
        <w:t xml:space="preserve">VARAM tīmekļvietnes sadaļa “Sabiedrības līdzdalība: </w:t>
      </w:r>
      <w:hyperlink r:id="rId1" w:history="1">
        <w:r w:rsidRPr="00243718">
          <w:rPr>
            <w:rStyle w:val="Hyperlink"/>
          </w:rPr>
          <w:t>http://www.varam.gov.lv/lat/likumdosana/normativo_aktu_projekti/normativo_aktu_projekti_vides_aizsardzibas_joma/?doc=27666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09B8" w14:textId="77777777" w:rsidR="00BD3CB7" w:rsidRDefault="00C852E3">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3B6497">
      <w:rPr>
        <w:rStyle w:val="PageNumber"/>
        <w:noProof/>
      </w:rPr>
      <w:t>5</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E82F28"/>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7A0312A5"/>
    <w:multiLevelType w:val="hybridMultilevel"/>
    <w:tmpl w:val="0F0CA9F0"/>
    <w:lvl w:ilvl="0" w:tplc="07664D7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14"/>
    <w:rsid w:val="000B0353"/>
    <w:rsid w:val="001A7E2C"/>
    <w:rsid w:val="001F6D50"/>
    <w:rsid w:val="00293C82"/>
    <w:rsid w:val="002E6F56"/>
    <w:rsid w:val="00332043"/>
    <w:rsid w:val="00362895"/>
    <w:rsid w:val="003B0794"/>
    <w:rsid w:val="003B6497"/>
    <w:rsid w:val="003C6706"/>
    <w:rsid w:val="00425B55"/>
    <w:rsid w:val="00463521"/>
    <w:rsid w:val="004927D2"/>
    <w:rsid w:val="004B76E8"/>
    <w:rsid w:val="004C2F5B"/>
    <w:rsid w:val="00591482"/>
    <w:rsid w:val="0059243D"/>
    <w:rsid w:val="005B06C6"/>
    <w:rsid w:val="005C5F73"/>
    <w:rsid w:val="005E38A8"/>
    <w:rsid w:val="00627155"/>
    <w:rsid w:val="00642AB1"/>
    <w:rsid w:val="006616A9"/>
    <w:rsid w:val="00666246"/>
    <w:rsid w:val="007676F8"/>
    <w:rsid w:val="007C0D58"/>
    <w:rsid w:val="007D1AFA"/>
    <w:rsid w:val="0083201D"/>
    <w:rsid w:val="008646D4"/>
    <w:rsid w:val="00865F1A"/>
    <w:rsid w:val="00942483"/>
    <w:rsid w:val="00950F79"/>
    <w:rsid w:val="00963B4F"/>
    <w:rsid w:val="00966E64"/>
    <w:rsid w:val="00990ABA"/>
    <w:rsid w:val="009D56E5"/>
    <w:rsid w:val="009F45F7"/>
    <w:rsid w:val="009F592F"/>
    <w:rsid w:val="00A81BC9"/>
    <w:rsid w:val="00AD2C14"/>
    <w:rsid w:val="00B3397E"/>
    <w:rsid w:val="00B45B8F"/>
    <w:rsid w:val="00BE3D30"/>
    <w:rsid w:val="00C826E1"/>
    <w:rsid w:val="00C852E3"/>
    <w:rsid w:val="00D05BB4"/>
    <w:rsid w:val="00D93D7D"/>
    <w:rsid w:val="00E210D0"/>
    <w:rsid w:val="00E71963"/>
    <w:rsid w:val="00E92A7E"/>
    <w:rsid w:val="00F27E62"/>
    <w:rsid w:val="00F32284"/>
    <w:rsid w:val="00FC2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2FF2027"/>
  <w15:chartTrackingRefBased/>
  <w15:docId w15:val="{99475491-0181-46B7-AE95-53A4F714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1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C14"/>
    <w:pPr>
      <w:tabs>
        <w:tab w:val="center" w:pos="4153"/>
        <w:tab w:val="right" w:pos="8306"/>
      </w:tabs>
    </w:pPr>
  </w:style>
  <w:style w:type="character" w:customStyle="1" w:styleId="HeaderChar">
    <w:name w:val="Header Char"/>
    <w:basedOn w:val="DefaultParagraphFont"/>
    <w:link w:val="Header"/>
    <w:rsid w:val="00AD2C14"/>
    <w:rPr>
      <w:rFonts w:ascii="Times New Roman" w:eastAsia="Times New Roman" w:hAnsi="Times New Roman" w:cs="Times New Roman"/>
      <w:sz w:val="24"/>
      <w:szCs w:val="24"/>
      <w:lang w:eastAsia="lv-LV"/>
    </w:rPr>
  </w:style>
  <w:style w:type="paragraph" w:customStyle="1" w:styleId="naisf">
    <w:name w:val="naisf"/>
    <w:basedOn w:val="Normal"/>
    <w:rsid w:val="00AD2C14"/>
    <w:pPr>
      <w:spacing w:before="75" w:after="75"/>
      <w:ind w:firstLine="375"/>
      <w:jc w:val="both"/>
    </w:pPr>
  </w:style>
  <w:style w:type="character" w:styleId="PageNumber">
    <w:name w:val="page number"/>
    <w:basedOn w:val="DefaultParagraphFont"/>
    <w:rsid w:val="00AD2C14"/>
  </w:style>
  <w:style w:type="character" w:styleId="Hyperlink">
    <w:name w:val="Hyperlink"/>
    <w:rsid w:val="00AD2C14"/>
    <w:rPr>
      <w:rFonts w:cs="Times New Roman"/>
      <w:color w:val="0000FF"/>
      <w:u w:val="single"/>
    </w:rPr>
  </w:style>
  <w:style w:type="paragraph" w:customStyle="1" w:styleId="naisnod">
    <w:name w:val="naisnod"/>
    <w:basedOn w:val="Normal"/>
    <w:rsid w:val="00AD2C14"/>
    <w:pPr>
      <w:spacing w:before="150" w:after="150"/>
      <w:jc w:val="center"/>
    </w:pPr>
    <w:rPr>
      <w:b/>
      <w:bCs/>
    </w:rPr>
  </w:style>
  <w:style w:type="paragraph" w:customStyle="1" w:styleId="naiskr">
    <w:name w:val="naiskr"/>
    <w:basedOn w:val="Normal"/>
    <w:rsid w:val="00AD2C14"/>
    <w:pPr>
      <w:spacing w:before="75" w:after="75"/>
    </w:pPr>
  </w:style>
  <w:style w:type="paragraph" w:styleId="Title">
    <w:name w:val="Title"/>
    <w:basedOn w:val="Normal"/>
    <w:link w:val="TitleChar"/>
    <w:qFormat/>
    <w:rsid w:val="00AD2C14"/>
    <w:pPr>
      <w:jc w:val="center"/>
    </w:pPr>
    <w:rPr>
      <w:b/>
      <w:bCs/>
      <w:lang w:eastAsia="en-US"/>
    </w:rPr>
  </w:style>
  <w:style w:type="character" w:customStyle="1" w:styleId="TitleChar">
    <w:name w:val="Title Char"/>
    <w:basedOn w:val="DefaultParagraphFont"/>
    <w:link w:val="Title"/>
    <w:rsid w:val="00AD2C14"/>
    <w:rPr>
      <w:rFonts w:ascii="Times New Roman" w:eastAsia="Times New Roman" w:hAnsi="Times New Roman" w:cs="Times New Roman"/>
      <w:b/>
      <w:bCs/>
      <w:sz w:val="24"/>
      <w:szCs w:val="24"/>
    </w:rPr>
  </w:style>
  <w:style w:type="paragraph" w:customStyle="1" w:styleId="naisc">
    <w:name w:val="naisc"/>
    <w:basedOn w:val="Normal"/>
    <w:rsid w:val="00AD2C14"/>
    <w:pPr>
      <w:spacing w:before="75" w:after="75"/>
      <w:jc w:val="center"/>
    </w:pPr>
  </w:style>
  <w:style w:type="character" w:styleId="Strong">
    <w:name w:val="Strong"/>
    <w:uiPriority w:val="22"/>
    <w:qFormat/>
    <w:rsid w:val="00AD2C14"/>
    <w:rPr>
      <w:b/>
      <w:bCs/>
    </w:rPr>
  </w:style>
  <w:style w:type="paragraph" w:customStyle="1" w:styleId="tv2161">
    <w:name w:val="tv2161"/>
    <w:basedOn w:val="Normal"/>
    <w:rsid w:val="00AD2C14"/>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AD2C14"/>
    <w:pPr>
      <w:spacing w:line="360" w:lineRule="auto"/>
      <w:ind w:firstLine="300"/>
    </w:pPr>
    <w:rPr>
      <w:color w:val="414142"/>
      <w:sz w:val="20"/>
      <w:szCs w:val="20"/>
      <w:lang w:val="en-US" w:eastAsia="en-US"/>
    </w:rPr>
  </w:style>
  <w:style w:type="table" w:styleId="TableGrid">
    <w:name w:val="Table Grid"/>
    <w:basedOn w:val="TableNormal"/>
    <w:uiPriority w:val="39"/>
    <w:rsid w:val="00AD2C1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2C14"/>
    <w:rPr>
      <w:sz w:val="20"/>
      <w:szCs w:val="20"/>
    </w:rPr>
  </w:style>
  <w:style w:type="character" w:customStyle="1" w:styleId="FootnoteTextChar">
    <w:name w:val="Footnote Text Char"/>
    <w:basedOn w:val="DefaultParagraphFont"/>
    <w:link w:val="FootnoteText"/>
    <w:uiPriority w:val="99"/>
    <w:semiHidden/>
    <w:rsid w:val="00AD2C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AD2C14"/>
    <w:rPr>
      <w:vertAlign w:val="superscript"/>
    </w:rPr>
  </w:style>
  <w:style w:type="paragraph" w:styleId="ListParagraph">
    <w:name w:val="List Paragraph"/>
    <w:basedOn w:val="Normal"/>
    <w:qFormat/>
    <w:rsid w:val="00AD2C14"/>
    <w:pPr>
      <w:ind w:left="720"/>
      <w:contextualSpacing/>
    </w:pPr>
  </w:style>
  <w:style w:type="paragraph" w:customStyle="1" w:styleId="tv213">
    <w:name w:val="tv213"/>
    <w:basedOn w:val="Normal"/>
    <w:rsid w:val="00AD2C14"/>
    <w:pPr>
      <w:spacing w:before="100" w:beforeAutospacing="1" w:after="100" w:afterAutospacing="1"/>
    </w:pPr>
  </w:style>
  <w:style w:type="paragraph" w:styleId="BalloonText">
    <w:name w:val="Balloon Text"/>
    <w:basedOn w:val="Normal"/>
    <w:link w:val="BalloonTextChar"/>
    <w:uiPriority w:val="99"/>
    <w:semiHidden/>
    <w:unhideWhenUsed/>
    <w:rsid w:val="0046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521"/>
    <w:rPr>
      <w:rFonts w:ascii="Segoe UI" w:eastAsia="Times New Roman" w:hAnsi="Segoe UI" w:cs="Segoe UI"/>
      <w:sz w:val="18"/>
      <w:szCs w:val="18"/>
      <w:lang w:eastAsia="lv-LV"/>
    </w:rPr>
  </w:style>
  <w:style w:type="paragraph" w:styleId="Footer">
    <w:name w:val="footer"/>
    <w:basedOn w:val="Normal"/>
    <w:link w:val="FooterChar"/>
    <w:uiPriority w:val="99"/>
    <w:unhideWhenUsed/>
    <w:rsid w:val="00463521"/>
    <w:pPr>
      <w:tabs>
        <w:tab w:val="center" w:pos="4153"/>
        <w:tab w:val="right" w:pos="8306"/>
      </w:tabs>
    </w:pPr>
  </w:style>
  <w:style w:type="character" w:customStyle="1" w:styleId="FooterChar">
    <w:name w:val="Footer Char"/>
    <w:basedOn w:val="DefaultParagraphFont"/>
    <w:link w:val="Footer"/>
    <w:uiPriority w:val="99"/>
    <w:rsid w:val="00463521"/>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C5F73"/>
    <w:rPr>
      <w:sz w:val="16"/>
      <w:szCs w:val="16"/>
    </w:rPr>
  </w:style>
  <w:style w:type="paragraph" w:styleId="CommentText">
    <w:name w:val="annotation text"/>
    <w:basedOn w:val="Normal"/>
    <w:link w:val="CommentTextChar"/>
    <w:uiPriority w:val="99"/>
    <w:semiHidden/>
    <w:unhideWhenUsed/>
    <w:rsid w:val="005C5F73"/>
    <w:rPr>
      <w:sz w:val="20"/>
      <w:szCs w:val="20"/>
    </w:rPr>
  </w:style>
  <w:style w:type="character" w:customStyle="1" w:styleId="CommentTextChar">
    <w:name w:val="Comment Text Char"/>
    <w:basedOn w:val="DefaultParagraphFont"/>
    <w:link w:val="CommentText"/>
    <w:uiPriority w:val="99"/>
    <w:semiHidden/>
    <w:rsid w:val="005C5F7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C5F73"/>
    <w:rPr>
      <w:b/>
      <w:bCs/>
    </w:rPr>
  </w:style>
  <w:style w:type="character" w:customStyle="1" w:styleId="CommentSubjectChar">
    <w:name w:val="Comment Subject Char"/>
    <w:basedOn w:val="CommentTextChar"/>
    <w:link w:val="CommentSubject"/>
    <w:uiPriority w:val="99"/>
    <w:semiHidden/>
    <w:rsid w:val="005C5F7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likumdosana/normativo_aktu_projekti/normativo_aktu_projekti_vides_aizsardzibas_joma/?doc=27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6815</Words>
  <Characters>3885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19. aprīļa noteikumos Nr. 302 “Noteikumi par atkritumu klasifikatoru un īpašībām, kuras padara atkritumus bīstamus”” sākotnējās ietekmes novērtējuma ziņojums (anotācija)</dc:title>
  <dc:subject>sākotnējās ietekmes novērtējuma ziņojums (anotācija)</dc:subject>
  <dc:creator>Ilze Doniņa</dc:creator>
  <cp:keywords/>
  <dc:description>67026515, ilze.donina@varam.gov.lv</dc:description>
  <cp:lastModifiedBy>Ilze Doniņa</cp:lastModifiedBy>
  <cp:revision>3</cp:revision>
  <dcterms:created xsi:type="dcterms:W3CDTF">2019-09-24T06:26:00Z</dcterms:created>
  <dcterms:modified xsi:type="dcterms:W3CDTF">2019-09-24T06:26:00Z</dcterms:modified>
</cp:coreProperties>
</file>