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D3FF" w14:textId="77777777" w:rsidR="00796546" w:rsidRPr="0008383C" w:rsidRDefault="00796546" w:rsidP="00796546">
      <w:pPr>
        <w:spacing w:after="0" w:line="240" w:lineRule="auto"/>
        <w:jc w:val="right"/>
        <w:rPr>
          <w:rFonts w:ascii="Times New Roman" w:hAnsi="Times New Roman" w:cs="Times New Roman"/>
          <w:sz w:val="28"/>
          <w:szCs w:val="28"/>
        </w:rPr>
      </w:pPr>
      <w:r w:rsidRPr="0008383C">
        <w:rPr>
          <w:rFonts w:ascii="Times New Roman" w:hAnsi="Times New Roman" w:cs="Times New Roman"/>
          <w:sz w:val="28"/>
          <w:szCs w:val="28"/>
        </w:rPr>
        <w:t>Projekts</w:t>
      </w:r>
    </w:p>
    <w:p w14:paraId="7E5EBE5E" w14:textId="77777777" w:rsidR="00796546" w:rsidRPr="00734B9E" w:rsidRDefault="00796546" w:rsidP="00796546">
      <w:pPr>
        <w:spacing w:after="0" w:line="240" w:lineRule="auto"/>
        <w:jc w:val="center"/>
        <w:rPr>
          <w:rFonts w:ascii="Times New Roman" w:hAnsi="Times New Roman" w:cs="Times New Roman"/>
          <w:sz w:val="28"/>
          <w:szCs w:val="28"/>
        </w:rPr>
      </w:pPr>
    </w:p>
    <w:p w14:paraId="13BA0919" w14:textId="77777777" w:rsidR="00796546" w:rsidRPr="00734B9E" w:rsidRDefault="00796546" w:rsidP="00796546">
      <w:pPr>
        <w:spacing w:after="0" w:line="240" w:lineRule="auto"/>
        <w:jc w:val="center"/>
        <w:rPr>
          <w:rFonts w:ascii="Times New Roman" w:hAnsi="Times New Roman" w:cs="Times New Roman"/>
          <w:sz w:val="28"/>
          <w:szCs w:val="28"/>
        </w:rPr>
      </w:pPr>
      <w:r w:rsidRPr="00734B9E">
        <w:rPr>
          <w:rFonts w:ascii="Times New Roman" w:hAnsi="Times New Roman" w:cs="Times New Roman"/>
          <w:sz w:val="28"/>
          <w:szCs w:val="28"/>
        </w:rPr>
        <w:t>LATVIJAS REPUBLIKAS MINISTRU KABINETS</w:t>
      </w:r>
    </w:p>
    <w:p w14:paraId="62FBBBC0" w14:textId="77777777" w:rsidR="00796546" w:rsidRPr="00734B9E" w:rsidRDefault="00796546" w:rsidP="00796546">
      <w:pPr>
        <w:spacing w:after="0" w:line="240" w:lineRule="auto"/>
        <w:jc w:val="center"/>
        <w:rPr>
          <w:rFonts w:ascii="Times New Roman" w:hAnsi="Times New Roman" w:cs="Times New Roman"/>
          <w:sz w:val="28"/>
          <w:szCs w:val="28"/>
        </w:rPr>
      </w:pPr>
    </w:p>
    <w:p w14:paraId="6E5EB360" w14:textId="77777777" w:rsidR="00796546" w:rsidRPr="0008383C" w:rsidRDefault="00796546" w:rsidP="00796546">
      <w:pPr>
        <w:pStyle w:val="naislab"/>
        <w:spacing w:before="0" w:beforeAutospacing="0" w:after="0" w:afterAutospacing="0"/>
        <w:jc w:val="left"/>
        <w:rPr>
          <w:sz w:val="28"/>
          <w:szCs w:val="28"/>
          <w:lang w:val="lv-LV"/>
        </w:rPr>
      </w:pPr>
      <w:r w:rsidRPr="0008383C">
        <w:rPr>
          <w:sz w:val="28"/>
          <w:szCs w:val="28"/>
          <w:lang w:val="lv-LV"/>
        </w:rPr>
        <w:t>2019. gada__________</w:t>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t xml:space="preserve"> Noteikumi Nr._____</w:t>
      </w:r>
    </w:p>
    <w:p w14:paraId="42146907" w14:textId="77777777" w:rsidR="00796546" w:rsidRPr="0008383C" w:rsidRDefault="00796546" w:rsidP="00796546">
      <w:pPr>
        <w:pStyle w:val="naislab"/>
        <w:spacing w:before="0" w:beforeAutospacing="0" w:after="0" w:afterAutospacing="0"/>
        <w:jc w:val="center"/>
        <w:rPr>
          <w:sz w:val="28"/>
          <w:szCs w:val="28"/>
          <w:lang w:val="lv-LV"/>
        </w:rPr>
      </w:pPr>
      <w:r w:rsidRPr="0008383C">
        <w:rPr>
          <w:sz w:val="28"/>
          <w:szCs w:val="28"/>
          <w:lang w:val="lv-LV"/>
        </w:rPr>
        <w:t xml:space="preserve">Rīgā </w:t>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r>
      <w:r w:rsidRPr="0008383C">
        <w:rPr>
          <w:sz w:val="28"/>
          <w:szCs w:val="28"/>
          <w:lang w:val="lv-LV"/>
        </w:rPr>
        <w:tab/>
        <w:t xml:space="preserve">      (prot. Nr.              )</w:t>
      </w:r>
    </w:p>
    <w:p w14:paraId="240E14D3" w14:textId="77777777" w:rsidR="00796546" w:rsidRPr="0008383C" w:rsidRDefault="00796546" w:rsidP="00796546">
      <w:pPr>
        <w:rPr>
          <w:rFonts w:ascii="Times New Roman" w:hAnsi="Times New Roman" w:cs="Times New Roman"/>
          <w:sz w:val="28"/>
          <w:szCs w:val="28"/>
        </w:rPr>
      </w:pPr>
    </w:p>
    <w:p w14:paraId="4B41AFFA" w14:textId="2D148599" w:rsidR="0059243D" w:rsidRDefault="00796546" w:rsidP="0034509C">
      <w:pPr>
        <w:jc w:val="center"/>
        <w:rPr>
          <w:rFonts w:ascii="Times New Roman" w:hAnsi="Times New Roman" w:cs="Times New Roman"/>
          <w:b/>
          <w:sz w:val="28"/>
          <w:szCs w:val="28"/>
        </w:rPr>
      </w:pPr>
      <w:r w:rsidRPr="00E834B5">
        <w:rPr>
          <w:rFonts w:ascii="Times New Roman" w:hAnsi="Times New Roman" w:cs="Times New Roman"/>
          <w:b/>
          <w:sz w:val="28"/>
          <w:szCs w:val="28"/>
        </w:rPr>
        <w:t>Grozījumi Ministru kabineta 2011.</w:t>
      </w:r>
      <w:r w:rsidR="004138D2">
        <w:rPr>
          <w:rFonts w:ascii="Times New Roman" w:hAnsi="Times New Roman" w:cs="Times New Roman"/>
          <w:b/>
          <w:sz w:val="28"/>
          <w:szCs w:val="28"/>
        </w:rPr>
        <w:t> </w:t>
      </w:r>
      <w:r w:rsidRPr="00E834B5">
        <w:rPr>
          <w:rFonts w:ascii="Times New Roman" w:hAnsi="Times New Roman" w:cs="Times New Roman"/>
          <w:b/>
          <w:sz w:val="28"/>
          <w:szCs w:val="28"/>
        </w:rPr>
        <w:t>gada 21.</w:t>
      </w:r>
      <w:r w:rsidR="004138D2">
        <w:rPr>
          <w:rFonts w:ascii="Times New Roman" w:hAnsi="Times New Roman" w:cs="Times New Roman"/>
          <w:b/>
          <w:sz w:val="28"/>
          <w:szCs w:val="28"/>
        </w:rPr>
        <w:t> </w:t>
      </w:r>
      <w:r w:rsidRPr="00E834B5">
        <w:rPr>
          <w:rFonts w:ascii="Times New Roman" w:hAnsi="Times New Roman" w:cs="Times New Roman"/>
          <w:b/>
          <w:sz w:val="28"/>
          <w:szCs w:val="28"/>
        </w:rPr>
        <w:t>jūnija noteikumos Nr.485 “Atsevišķu veidu bīstamo atkritumu apsaimniekošanas kārtība un prasības titāna dioksīda ražošanas iekārtu radīto emisiju ierobežošanai, kontrolei un monitoringam”</w:t>
      </w:r>
    </w:p>
    <w:p w14:paraId="3208F50B" w14:textId="77777777" w:rsidR="00E834B5" w:rsidRPr="00E834B5" w:rsidRDefault="00E834B5" w:rsidP="00E834B5">
      <w:pPr>
        <w:jc w:val="center"/>
        <w:rPr>
          <w:rFonts w:ascii="Times New Roman" w:hAnsi="Times New Roman" w:cs="Times New Roman"/>
          <w:b/>
          <w:sz w:val="28"/>
          <w:szCs w:val="28"/>
        </w:rPr>
      </w:pPr>
    </w:p>
    <w:p w14:paraId="1CAD7E11" w14:textId="77777777" w:rsidR="00E834B5" w:rsidRDefault="00A77AA8" w:rsidP="00E834B5">
      <w:pPr>
        <w:spacing w:after="0" w:line="240" w:lineRule="auto"/>
        <w:jc w:val="right"/>
        <w:rPr>
          <w:rFonts w:ascii="Times New Roman" w:hAnsi="Times New Roman" w:cs="Times New Roman"/>
          <w:sz w:val="28"/>
          <w:szCs w:val="28"/>
        </w:rPr>
      </w:pPr>
      <w:r w:rsidRPr="00E834B5">
        <w:rPr>
          <w:rFonts w:ascii="Times New Roman" w:hAnsi="Times New Roman" w:cs="Times New Roman"/>
          <w:sz w:val="28"/>
          <w:szCs w:val="28"/>
        </w:rPr>
        <w:t xml:space="preserve"> </w:t>
      </w:r>
      <w:r w:rsidR="00511C1F" w:rsidRPr="00E834B5">
        <w:rPr>
          <w:rFonts w:ascii="Times New Roman" w:hAnsi="Times New Roman" w:cs="Times New Roman"/>
          <w:sz w:val="28"/>
          <w:szCs w:val="28"/>
        </w:rPr>
        <w:t xml:space="preserve">Izdoti saskaņā ar Atkritumu apsaimniekošanas likuma </w:t>
      </w:r>
    </w:p>
    <w:p w14:paraId="46CA0833" w14:textId="2522226B" w:rsidR="00796546" w:rsidRPr="00E834B5" w:rsidRDefault="00E834B5" w:rsidP="00E834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r w:rsidR="00511C1F" w:rsidRPr="00E834B5">
        <w:rPr>
          <w:rFonts w:ascii="Times New Roman" w:hAnsi="Times New Roman" w:cs="Times New Roman"/>
          <w:sz w:val="28"/>
          <w:szCs w:val="28"/>
        </w:rPr>
        <w:t>7. panta ast</w:t>
      </w:r>
      <w:r w:rsidR="00153C0A">
        <w:rPr>
          <w:rFonts w:ascii="Times New Roman" w:hAnsi="Times New Roman" w:cs="Times New Roman"/>
          <w:sz w:val="28"/>
          <w:szCs w:val="28"/>
        </w:rPr>
        <w:t>oto daļu, 36. pantu un</w:t>
      </w:r>
      <w:r w:rsidR="00153C0A">
        <w:rPr>
          <w:rFonts w:ascii="Times New Roman" w:hAnsi="Times New Roman" w:cs="Times New Roman"/>
          <w:sz w:val="28"/>
          <w:szCs w:val="28"/>
        </w:rPr>
        <w:br/>
        <w:t>likuma “Par piesārņojumu”</w:t>
      </w:r>
      <w:r w:rsidR="00511C1F" w:rsidRPr="00E834B5">
        <w:rPr>
          <w:rFonts w:ascii="Times New Roman" w:hAnsi="Times New Roman" w:cs="Times New Roman"/>
          <w:sz w:val="28"/>
          <w:szCs w:val="28"/>
        </w:rPr>
        <w:t xml:space="preserve"> 11. panta otrās daļas 21. punktu</w:t>
      </w:r>
    </w:p>
    <w:p w14:paraId="4FA964F1" w14:textId="77777777" w:rsidR="00E834B5" w:rsidRDefault="00E834B5" w:rsidP="00E834B5">
      <w:pPr>
        <w:jc w:val="both"/>
        <w:rPr>
          <w:rFonts w:ascii="Times New Roman" w:hAnsi="Times New Roman" w:cs="Times New Roman"/>
          <w:sz w:val="28"/>
          <w:szCs w:val="28"/>
        </w:rPr>
      </w:pPr>
    </w:p>
    <w:p w14:paraId="30925847" w14:textId="39E02C46" w:rsidR="00511C1F" w:rsidRDefault="00511C1F" w:rsidP="00E834B5">
      <w:pPr>
        <w:spacing w:after="0" w:line="240" w:lineRule="auto"/>
        <w:jc w:val="both"/>
        <w:rPr>
          <w:rFonts w:ascii="Times New Roman" w:hAnsi="Times New Roman" w:cs="Times New Roman"/>
          <w:sz w:val="28"/>
          <w:szCs w:val="28"/>
        </w:rPr>
      </w:pPr>
      <w:r w:rsidRPr="00E834B5">
        <w:rPr>
          <w:rFonts w:ascii="Times New Roman" w:hAnsi="Times New Roman" w:cs="Times New Roman"/>
          <w:sz w:val="28"/>
          <w:szCs w:val="28"/>
        </w:rPr>
        <w:t>Izdarīt Ministru kabineta 2011.</w:t>
      </w:r>
      <w:r w:rsidR="004138D2">
        <w:rPr>
          <w:rFonts w:ascii="Times New Roman" w:hAnsi="Times New Roman" w:cs="Times New Roman"/>
          <w:sz w:val="28"/>
          <w:szCs w:val="28"/>
        </w:rPr>
        <w:t> </w:t>
      </w:r>
      <w:r w:rsidRPr="00E834B5">
        <w:rPr>
          <w:rFonts w:ascii="Times New Roman" w:hAnsi="Times New Roman" w:cs="Times New Roman"/>
          <w:sz w:val="28"/>
          <w:szCs w:val="28"/>
        </w:rPr>
        <w:t>gada 21.</w:t>
      </w:r>
      <w:r w:rsidR="004138D2">
        <w:rPr>
          <w:rFonts w:ascii="Times New Roman" w:hAnsi="Times New Roman" w:cs="Times New Roman"/>
          <w:sz w:val="28"/>
          <w:szCs w:val="28"/>
        </w:rPr>
        <w:t> </w:t>
      </w:r>
      <w:r w:rsidRPr="00E834B5">
        <w:rPr>
          <w:rFonts w:ascii="Times New Roman" w:hAnsi="Times New Roman" w:cs="Times New Roman"/>
          <w:sz w:val="28"/>
          <w:szCs w:val="28"/>
        </w:rPr>
        <w:t>jūnija noteikumos Nr.485 “Atsevišķu veidu bīstamo atkritumu apsaimniekošanas kārtība un prasības titāna dioksīda ražošanas iekārtu radīto emisiju ierob</w:t>
      </w:r>
      <w:bookmarkStart w:id="0" w:name="_GoBack"/>
      <w:bookmarkEnd w:id="0"/>
      <w:r w:rsidRPr="00E834B5">
        <w:rPr>
          <w:rFonts w:ascii="Times New Roman" w:hAnsi="Times New Roman" w:cs="Times New Roman"/>
          <w:sz w:val="28"/>
          <w:szCs w:val="28"/>
        </w:rPr>
        <w:t>ežošanai, kontrolei un monitoringam”</w:t>
      </w:r>
      <w:r w:rsidR="00E834B5">
        <w:t xml:space="preserve"> </w:t>
      </w:r>
      <w:r>
        <w:t>(</w:t>
      </w:r>
      <w:r w:rsidRPr="00E4366B">
        <w:rPr>
          <w:rFonts w:ascii="Times New Roman" w:hAnsi="Times New Roman" w:cs="Times New Roman"/>
          <w:sz w:val="28"/>
          <w:szCs w:val="28"/>
        </w:rPr>
        <w:t>Latvijas Vēstnesis, 2011, 102. nr.; 2013, 83. nr.; 2014, 47. nr.; 2015, 176. nr.; 2017, 30.</w:t>
      </w:r>
      <w:r>
        <w:rPr>
          <w:rFonts w:ascii="Times New Roman" w:hAnsi="Times New Roman" w:cs="Times New Roman"/>
          <w:sz w:val="28"/>
          <w:szCs w:val="28"/>
        </w:rPr>
        <w:t> </w:t>
      </w:r>
      <w:r w:rsidRPr="00E4366B">
        <w:rPr>
          <w:rFonts w:ascii="Times New Roman" w:hAnsi="Times New Roman" w:cs="Times New Roman"/>
          <w:sz w:val="28"/>
          <w:szCs w:val="28"/>
        </w:rPr>
        <w:t>nr.</w:t>
      </w:r>
      <w:r w:rsidR="004C2F74">
        <w:rPr>
          <w:rFonts w:ascii="Times New Roman" w:hAnsi="Times New Roman" w:cs="Times New Roman"/>
          <w:sz w:val="28"/>
          <w:szCs w:val="28"/>
        </w:rPr>
        <w:t>; 2019, 108.nr.) šādus grozījumus:</w:t>
      </w:r>
    </w:p>
    <w:p w14:paraId="795176C1" w14:textId="46F7526D" w:rsidR="00EF4DD5" w:rsidRPr="003E3EED" w:rsidRDefault="00EF4DD5" w:rsidP="003E3EED">
      <w:pPr>
        <w:pStyle w:val="modref"/>
        <w:numPr>
          <w:ilvl w:val="0"/>
          <w:numId w:val="1"/>
        </w:numPr>
        <w:rPr>
          <w:sz w:val="28"/>
          <w:szCs w:val="28"/>
        </w:rPr>
      </w:pPr>
      <w:r w:rsidRPr="003E3EED">
        <w:rPr>
          <w:sz w:val="28"/>
          <w:szCs w:val="28"/>
        </w:rPr>
        <w:t>Izteikt 9.2.</w:t>
      </w:r>
      <w:r w:rsidR="00B84D13">
        <w:rPr>
          <w:sz w:val="28"/>
          <w:szCs w:val="28"/>
        </w:rPr>
        <w:t>, 9.3. un 9.4. </w:t>
      </w:r>
      <w:r w:rsidRPr="003E3EED">
        <w:rPr>
          <w:sz w:val="28"/>
          <w:szCs w:val="28"/>
        </w:rPr>
        <w:t>apakšpunktu šādā redakcijā:</w:t>
      </w:r>
    </w:p>
    <w:p w14:paraId="4545B795" w14:textId="6C8392A7" w:rsidR="00EF4DD5" w:rsidRPr="003E3EED" w:rsidRDefault="00580CBD" w:rsidP="0034426C">
      <w:pPr>
        <w:pStyle w:val="modref"/>
        <w:jc w:val="both"/>
        <w:rPr>
          <w:sz w:val="28"/>
          <w:szCs w:val="28"/>
        </w:rPr>
      </w:pPr>
      <w:r w:rsidRPr="0034426C">
        <w:rPr>
          <w:sz w:val="28"/>
          <w:szCs w:val="28"/>
        </w:rPr>
        <w:t>“</w:t>
      </w:r>
      <w:r w:rsidR="00EF4DD5" w:rsidRPr="0034426C">
        <w:rPr>
          <w:sz w:val="28"/>
          <w:szCs w:val="28"/>
        </w:rPr>
        <w:t>9.2. netiek sajaukti naftas produktu atkritumi ar cita veida atkritumiem vai vielām, ja šāda sajaukšana traucē to turpmāko reģenerāciju vai pārstrādi citā veidā, kas no vides aizsardzības viedokļa ir līdzvērtīga vai efektīvāka nekā reģenerācija.</w:t>
      </w:r>
    </w:p>
    <w:p w14:paraId="16ACAAAE" w14:textId="71359306" w:rsidR="00EF4DD5" w:rsidRPr="003E3EED" w:rsidRDefault="00B84D13" w:rsidP="0034426C">
      <w:pPr>
        <w:pStyle w:val="norm"/>
        <w:jc w:val="both"/>
        <w:rPr>
          <w:sz w:val="28"/>
          <w:szCs w:val="28"/>
        </w:rPr>
      </w:pPr>
      <w:r w:rsidRPr="003E3EED" w:rsidDel="00B84D13">
        <w:rPr>
          <w:sz w:val="28"/>
          <w:szCs w:val="28"/>
        </w:rPr>
        <w:t xml:space="preserve"> </w:t>
      </w:r>
      <w:r w:rsidR="00EF4DD5" w:rsidRPr="003E3EED">
        <w:rPr>
          <w:sz w:val="28"/>
          <w:szCs w:val="28"/>
        </w:rPr>
        <w:t xml:space="preserve">9.3. tiek veikta naftas produktu atkritumu reģenerācija vai </w:t>
      </w:r>
      <w:r w:rsidR="00EF4DD5" w:rsidRPr="0034426C">
        <w:rPr>
          <w:sz w:val="28"/>
          <w:szCs w:val="28"/>
        </w:rPr>
        <w:t>pārstrāde citā veidā, kas no vides aizsardzības viedokļa ir līdzvērtīga vai efektīvāka nekā reģenerācija</w:t>
      </w:r>
      <w:r w:rsidR="00580CBD" w:rsidRPr="0034426C">
        <w:rPr>
          <w:sz w:val="28"/>
          <w:szCs w:val="28"/>
        </w:rPr>
        <w:t>.”</w:t>
      </w:r>
    </w:p>
    <w:p w14:paraId="6242F630" w14:textId="7E60D29D" w:rsidR="00AC06E3" w:rsidRPr="00846B56" w:rsidRDefault="00B84D13" w:rsidP="00846B56">
      <w:pPr>
        <w:pStyle w:val="norm"/>
        <w:jc w:val="both"/>
        <w:rPr>
          <w:sz w:val="28"/>
          <w:szCs w:val="28"/>
        </w:rPr>
      </w:pPr>
      <w:r w:rsidRPr="003E3EED" w:rsidDel="00B84D13">
        <w:rPr>
          <w:sz w:val="28"/>
          <w:szCs w:val="28"/>
        </w:rPr>
        <w:t xml:space="preserve"> </w:t>
      </w:r>
      <w:r w:rsidR="00EF4DD5" w:rsidRPr="003E3EED">
        <w:rPr>
          <w:sz w:val="28"/>
          <w:szCs w:val="28"/>
        </w:rPr>
        <w:t xml:space="preserve">9.4. tiek veikta naftas produktu atkritumu pārstrāde tādā veidā, </w:t>
      </w:r>
      <w:r w:rsidR="00EF4DD5" w:rsidRPr="0034426C">
        <w:rPr>
          <w:sz w:val="28"/>
          <w:szCs w:val="28"/>
        </w:rPr>
        <w:t>kas no vides aizsardzības viedokļa nav līdzvērtīga vai efektīvāka nekā reģenerācija</w:t>
      </w:r>
      <w:r w:rsidR="00580CBD" w:rsidRPr="0034426C">
        <w:rPr>
          <w:sz w:val="28"/>
          <w:szCs w:val="28"/>
        </w:rPr>
        <w:t>.”</w:t>
      </w:r>
    </w:p>
    <w:p w14:paraId="3DEB7A36" w14:textId="5B9EDD60" w:rsidR="008B0F8D" w:rsidRPr="00846B56" w:rsidRDefault="00B84D13" w:rsidP="00846B56">
      <w:pPr>
        <w:spacing w:after="0" w:line="240" w:lineRule="auto"/>
        <w:ind w:left="360"/>
        <w:jc w:val="both"/>
        <w:rPr>
          <w:rFonts w:ascii="Times New Roman" w:hAnsi="Times New Roman" w:cs="Times New Roman"/>
          <w:sz w:val="28"/>
          <w:szCs w:val="24"/>
        </w:rPr>
      </w:pPr>
      <w:r>
        <w:rPr>
          <w:rFonts w:ascii="Times New Roman" w:hAnsi="Times New Roman" w:cs="Times New Roman"/>
          <w:sz w:val="28"/>
          <w:szCs w:val="24"/>
        </w:rPr>
        <w:t xml:space="preserve">2. </w:t>
      </w:r>
      <w:r w:rsidR="008B0F8D" w:rsidRPr="00846B56">
        <w:rPr>
          <w:rFonts w:ascii="Times New Roman" w:hAnsi="Times New Roman" w:cs="Times New Roman"/>
          <w:sz w:val="28"/>
          <w:szCs w:val="24"/>
        </w:rPr>
        <w:t>Papildināt noteikumus ar 44.</w:t>
      </w:r>
      <w:r w:rsidR="00846B56">
        <w:rPr>
          <w:rFonts w:ascii="Times New Roman" w:hAnsi="Times New Roman" w:cs="Times New Roman"/>
          <w:sz w:val="28"/>
          <w:szCs w:val="24"/>
          <w:vertAlign w:val="superscript"/>
        </w:rPr>
        <w:t>11</w:t>
      </w:r>
      <w:r w:rsidR="009F33E4" w:rsidRPr="00846B56">
        <w:rPr>
          <w:rFonts w:ascii="Times New Roman" w:hAnsi="Times New Roman" w:cs="Times New Roman"/>
          <w:sz w:val="28"/>
          <w:szCs w:val="24"/>
        </w:rPr>
        <w:t xml:space="preserve"> </w:t>
      </w:r>
      <w:r w:rsidR="00503D8E" w:rsidRPr="00846B56">
        <w:rPr>
          <w:rFonts w:ascii="Times New Roman" w:hAnsi="Times New Roman" w:cs="Times New Roman"/>
          <w:sz w:val="28"/>
          <w:szCs w:val="24"/>
        </w:rPr>
        <w:t>punktu šādā redakcijā:</w:t>
      </w:r>
    </w:p>
    <w:p w14:paraId="0DBC3D3E" w14:textId="57F0CFE9" w:rsidR="00503D8E" w:rsidRDefault="009F33E4" w:rsidP="0034426C">
      <w:pPr>
        <w:spacing w:after="0" w:line="240" w:lineRule="auto"/>
        <w:jc w:val="both"/>
        <w:rPr>
          <w:rFonts w:ascii="Times New Roman" w:hAnsi="Times New Roman" w:cs="Times New Roman"/>
          <w:sz w:val="28"/>
          <w:szCs w:val="24"/>
        </w:rPr>
      </w:pPr>
      <w:r w:rsidRPr="0034426C">
        <w:rPr>
          <w:rFonts w:ascii="Times New Roman" w:hAnsi="Times New Roman" w:cs="Times New Roman"/>
          <w:sz w:val="28"/>
          <w:szCs w:val="24"/>
        </w:rPr>
        <w:t>“44.</w:t>
      </w:r>
      <w:r w:rsidR="00846B56">
        <w:rPr>
          <w:rFonts w:ascii="Times New Roman" w:hAnsi="Times New Roman" w:cs="Times New Roman"/>
          <w:sz w:val="28"/>
          <w:szCs w:val="24"/>
          <w:vertAlign w:val="superscript"/>
        </w:rPr>
        <w:t>11</w:t>
      </w:r>
      <w:r w:rsidRPr="0034426C">
        <w:rPr>
          <w:rFonts w:ascii="Times New Roman" w:hAnsi="Times New Roman" w:cs="Times New Roman"/>
          <w:sz w:val="28"/>
          <w:szCs w:val="24"/>
        </w:rPr>
        <w:t xml:space="preserve"> </w:t>
      </w:r>
      <w:r w:rsidR="00D93549" w:rsidRPr="0034426C">
        <w:rPr>
          <w:rFonts w:ascii="Times New Roman" w:hAnsi="Times New Roman" w:cs="Times New Roman"/>
          <w:sz w:val="28"/>
          <w:szCs w:val="24"/>
        </w:rPr>
        <w:t>Operatori nodrošina Eiropas Parlamenta un Padomes 2017.</w:t>
      </w:r>
      <w:r w:rsidR="004138D2">
        <w:rPr>
          <w:rFonts w:ascii="Times New Roman" w:hAnsi="Times New Roman" w:cs="Times New Roman"/>
          <w:sz w:val="28"/>
          <w:szCs w:val="24"/>
        </w:rPr>
        <w:t> </w:t>
      </w:r>
      <w:r w:rsidR="00D93549" w:rsidRPr="0034426C">
        <w:rPr>
          <w:rFonts w:ascii="Times New Roman" w:hAnsi="Times New Roman" w:cs="Times New Roman"/>
          <w:sz w:val="28"/>
          <w:szCs w:val="24"/>
        </w:rPr>
        <w:t>gada 17.</w:t>
      </w:r>
      <w:r w:rsidR="004138D2">
        <w:rPr>
          <w:rFonts w:ascii="Times New Roman" w:hAnsi="Times New Roman" w:cs="Times New Roman"/>
          <w:sz w:val="28"/>
          <w:szCs w:val="24"/>
        </w:rPr>
        <w:t> </w:t>
      </w:r>
      <w:r w:rsidR="00D93549" w:rsidRPr="0034426C">
        <w:rPr>
          <w:rFonts w:ascii="Times New Roman" w:hAnsi="Times New Roman" w:cs="Times New Roman"/>
          <w:sz w:val="28"/>
          <w:szCs w:val="24"/>
        </w:rPr>
        <w:t xml:space="preserve">maija Regulas Nr.2017/852/ES par dzīvsudrabu un ar ko atceļ Regulu (EK) Nr. 1102/2008 (turpmāk – Regula Nr.2017/852/ES) </w:t>
      </w:r>
      <w:r w:rsidRPr="0034426C">
        <w:rPr>
          <w:rFonts w:ascii="Times New Roman" w:hAnsi="Times New Roman" w:cs="Times New Roman"/>
          <w:sz w:val="28"/>
          <w:szCs w:val="24"/>
        </w:rPr>
        <w:t>14.1.punktā vai 14.2.punktā minētā reģistra iesniegšanu Valsts vides dienestā Regulas Nr.2017/852/ES 14.</w:t>
      </w:r>
      <w:r w:rsidR="00B84D13">
        <w:rPr>
          <w:rFonts w:ascii="Times New Roman" w:hAnsi="Times New Roman" w:cs="Times New Roman"/>
          <w:sz w:val="28"/>
          <w:szCs w:val="24"/>
        </w:rPr>
        <w:t> </w:t>
      </w:r>
      <w:r w:rsidRPr="0034426C">
        <w:rPr>
          <w:rFonts w:ascii="Times New Roman" w:hAnsi="Times New Roman" w:cs="Times New Roman"/>
          <w:sz w:val="28"/>
          <w:szCs w:val="24"/>
        </w:rPr>
        <w:t>panta 4.</w:t>
      </w:r>
      <w:r w:rsidR="00B84D13">
        <w:rPr>
          <w:rFonts w:ascii="Times New Roman" w:hAnsi="Times New Roman" w:cs="Times New Roman"/>
          <w:sz w:val="28"/>
          <w:szCs w:val="24"/>
        </w:rPr>
        <w:t> </w:t>
      </w:r>
      <w:r w:rsidRPr="0034426C">
        <w:rPr>
          <w:rFonts w:ascii="Times New Roman" w:hAnsi="Times New Roman" w:cs="Times New Roman"/>
          <w:sz w:val="28"/>
          <w:szCs w:val="24"/>
        </w:rPr>
        <w:t>punktā noteiktajā termiņā. “</w:t>
      </w:r>
    </w:p>
    <w:p w14:paraId="09861BEA" w14:textId="77777777" w:rsidR="00C11957" w:rsidRPr="0034426C" w:rsidRDefault="00C11957" w:rsidP="0034426C">
      <w:pPr>
        <w:spacing w:after="0" w:line="240" w:lineRule="auto"/>
        <w:jc w:val="both"/>
        <w:rPr>
          <w:rFonts w:ascii="Times New Roman" w:hAnsi="Times New Roman" w:cs="Times New Roman"/>
          <w:sz w:val="28"/>
          <w:szCs w:val="24"/>
        </w:rPr>
      </w:pPr>
    </w:p>
    <w:p w14:paraId="78E98FCF" w14:textId="52AB58ED" w:rsidR="00AC06E3" w:rsidRPr="00846B56" w:rsidRDefault="00B84D13" w:rsidP="00846B56">
      <w:pPr>
        <w:spacing w:after="0" w:line="240" w:lineRule="auto"/>
        <w:ind w:firstLine="284"/>
        <w:jc w:val="both"/>
        <w:rPr>
          <w:rFonts w:ascii="Times New Roman" w:hAnsi="Times New Roman" w:cs="Times New Roman"/>
          <w:sz w:val="28"/>
          <w:szCs w:val="28"/>
        </w:rPr>
      </w:pPr>
      <w:r w:rsidRPr="00846B56">
        <w:rPr>
          <w:rFonts w:ascii="Times New Roman" w:hAnsi="Times New Roman" w:cs="Times New Roman"/>
          <w:sz w:val="28"/>
          <w:szCs w:val="28"/>
        </w:rPr>
        <w:t xml:space="preserve">3. </w:t>
      </w:r>
      <w:r w:rsidR="00AC06E3" w:rsidRPr="00846B56">
        <w:rPr>
          <w:rFonts w:ascii="Times New Roman" w:hAnsi="Times New Roman" w:cs="Times New Roman"/>
          <w:sz w:val="28"/>
          <w:szCs w:val="28"/>
        </w:rPr>
        <w:t xml:space="preserve">Papildināt </w:t>
      </w:r>
      <w:r w:rsidR="00F24A2E" w:rsidRPr="00846B56">
        <w:rPr>
          <w:rFonts w:ascii="Times New Roman" w:hAnsi="Times New Roman" w:cs="Times New Roman"/>
          <w:sz w:val="28"/>
          <w:szCs w:val="28"/>
        </w:rPr>
        <w:t xml:space="preserve">informatīvo </w:t>
      </w:r>
      <w:r w:rsidR="00AC06E3" w:rsidRPr="00846B56">
        <w:rPr>
          <w:rFonts w:ascii="Times New Roman" w:hAnsi="Times New Roman" w:cs="Times New Roman"/>
          <w:sz w:val="28"/>
          <w:szCs w:val="28"/>
        </w:rPr>
        <w:t>atsauci uz Eiropas Savienības direktīvām ar 11.punktu šādā redakcijā:</w:t>
      </w:r>
    </w:p>
    <w:p w14:paraId="333EF40F" w14:textId="6ACE8A26" w:rsidR="0034426C" w:rsidRDefault="00AC06E3" w:rsidP="0034426C">
      <w:pPr>
        <w:spacing w:after="0" w:line="240" w:lineRule="auto"/>
        <w:jc w:val="both"/>
        <w:rPr>
          <w:rFonts w:ascii="Times New Roman" w:hAnsi="Times New Roman" w:cs="Times New Roman"/>
          <w:sz w:val="28"/>
          <w:szCs w:val="28"/>
        </w:rPr>
      </w:pPr>
      <w:r w:rsidRPr="0034426C">
        <w:rPr>
          <w:rFonts w:ascii="Times New Roman" w:hAnsi="Times New Roman" w:cs="Times New Roman"/>
          <w:sz w:val="28"/>
          <w:szCs w:val="28"/>
        </w:rPr>
        <w:lastRenderedPageBreak/>
        <w:t>“11) Eiropas Parlamenta un Padomes 2018.</w:t>
      </w:r>
      <w:r w:rsidR="00B84D13">
        <w:rPr>
          <w:rFonts w:ascii="Times New Roman" w:hAnsi="Times New Roman" w:cs="Times New Roman"/>
          <w:sz w:val="28"/>
          <w:szCs w:val="28"/>
        </w:rPr>
        <w:t> </w:t>
      </w:r>
      <w:r w:rsidRPr="0034426C">
        <w:rPr>
          <w:rFonts w:ascii="Times New Roman" w:hAnsi="Times New Roman" w:cs="Times New Roman"/>
          <w:sz w:val="28"/>
          <w:szCs w:val="28"/>
        </w:rPr>
        <w:t>gada 30.</w:t>
      </w:r>
      <w:r w:rsidR="00B84D13">
        <w:rPr>
          <w:rFonts w:ascii="Times New Roman" w:hAnsi="Times New Roman" w:cs="Times New Roman"/>
          <w:sz w:val="28"/>
          <w:szCs w:val="28"/>
        </w:rPr>
        <w:t> </w:t>
      </w:r>
      <w:r w:rsidRPr="0034426C">
        <w:rPr>
          <w:rFonts w:ascii="Times New Roman" w:hAnsi="Times New Roman" w:cs="Times New Roman"/>
          <w:sz w:val="28"/>
          <w:szCs w:val="28"/>
        </w:rPr>
        <w:t>maija Direktīvas 2018/851/ES, ar ko groza Direktīvu 2008/98/EK par atkritumiem.”</w:t>
      </w:r>
    </w:p>
    <w:p w14:paraId="1125A0AB" w14:textId="77777777" w:rsidR="0034426C" w:rsidRDefault="0034426C" w:rsidP="0034426C">
      <w:pPr>
        <w:spacing w:after="0" w:line="240" w:lineRule="auto"/>
        <w:jc w:val="both"/>
        <w:rPr>
          <w:rFonts w:ascii="Times New Roman" w:hAnsi="Times New Roman" w:cs="Times New Roman"/>
          <w:sz w:val="28"/>
          <w:szCs w:val="28"/>
        </w:rPr>
      </w:pPr>
    </w:p>
    <w:p w14:paraId="292AAD49" w14:textId="77777777" w:rsidR="00B84D13" w:rsidRDefault="00B84D13" w:rsidP="0034426C">
      <w:pPr>
        <w:spacing w:after="0" w:line="240" w:lineRule="auto"/>
        <w:jc w:val="both"/>
        <w:rPr>
          <w:rFonts w:ascii="Times New Roman" w:hAnsi="Times New Roman" w:cs="Times New Roman"/>
          <w:sz w:val="28"/>
          <w:szCs w:val="28"/>
        </w:rPr>
      </w:pPr>
    </w:p>
    <w:p w14:paraId="65469A11" w14:textId="77777777" w:rsidR="00B84D13" w:rsidRDefault="00B84D13" w:rsidP="0034426C">
      <w:pPr>
        <w:spacing w:after="0" w:line="240" w:lineRule="auto"/>
        <w:jc w:val="both"/>
        <w:rPr>
          <w:rFonts w:ascii="Times New Roman" w:hAnsi="Times New Roman" w:cs="Times New Roman"/>
          <w:sz w:val="28"/>
          <w:szCs w:val="28"/>
        </w:rPr>
      </w:pPr>
    </w:p>
    <w:p w14:paraId="6B9182F4" w14:textId="55F52EA2" w:rsidR="0034426C" w:rsidRDefault="0034426C" w:rsidP="00344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Art</w:t>
      </w:r>
      <w:r w:rsidR="00F81E80">
        <w:rPr>
          <w:rFonts w:ascii="Times New Roman" w:hAnsi="Times New Roman" w:cs="Times New Roman"/>
          <w:sz w:val="28"/>
          <w:szCs w:val="28"/>
        </w:rPr>
        <w:t>u</w:t>
      </w:r>
      <w:r>
        <w:rPr>
          <w:rFonts w:ascii="Times New Roman" w:hAnsi="Times New Roman" w:cs="Times New Roman"/>
          <w:sz w:val="28"/>
          <w:szCs w:val="28"/>
        </w:rPr>
        <w:t>rs Krišjānis Kariņš</w:t>
      </w:r>
    </w:p>
    <w:p w14:paraId="4859CBBE" w14:textId="77777777" w:rsidR="0034426C" w:rsidRDefault="0034426C" w:rsidP="0034426C">
      <w:pPr>
        <w:spacing w:after="0" w:line="240" w:lineRule="auto"/>
        <w:jc w:val="both"/>
        <w:rPr>
          <w:rFonts w:ascii="Times New Roman" w:hAnsi="Times New Roman" w:cs="Times New Roman"/>
          <w:sz w:val="28"/>
          <w:szCs w:val="28"/>
        </w:rPr>
      </w:pPr>
    </w:p>
    <w:p w14:paraId="37EA10AA" w14:textId="77777777" w:rsidR="0034426C" w:rsidRDefault="0034426C" w:rsidP="00344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Vides aizsardzības un </w:t>
      </w:r>
    </w:p>
    <w:p w14:paraId="298E1F07" w14:textId="77777777" w:rsidR="0034426C" w:rsidRDefault="0034426C" w:rsidP="00344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Juris Pūce</w:t>
      </w:r>
    </w:p>
    <w:p w14:paraId="4C491E24" w14:textId="77777777" w:rsidR="0034426C" w:rsidRDefault="0034426C" w:rsidP="0034426C">
      <w:pPr>
        <w:spacing w:after="0" w:line="240" w:lineRule="auto"/>
        <w:jc w:val="both"/>
        <w:rPr>
          <w:rFonts w:ascii="Times New Roman" w:hAnsi="Times New Roman" w:cs="Times New Roman"/>
          <w:sz w:val="28"/>
          <w:szCs w:val="28"/>
        </w:rPr>
      </w:pPr>
    </w:p>
    <w:p w14:paraId="2C1639AC" w14:textId="77777777" w:rsidR="0034426C" w:rsidRDefault="0034426C" w:rsidP="0034426C">
      <w:pPr>
        <w:spacing w:after="0" w:line="240" w:lineRule="auto"/>
        <w:jc w:val="both"/>
        <w:rPr>
          <w:rFonts w:ascii="Times New Roman" w:hAnsi="Times New Roman" w:cs="Times New Roman"/>
          <w:sz w:val="28"/>
          <w:szCs w:val="28"/>
        </w:rPr>
      </w:pPr>
    </w:p>
    <w:p w14:paraId="40FE9C19" w14:textId="5008915F" w:rsidR="00A136F3" w:rsidRPr="00A136F3" w:rsidRDefault="00A136F3" w:rsidP="0034426C">
      <w:pPr>
        <w:spacing w:after="0" w:line="240" w:lineRule="auto"/>
        <w:jc w:val="both"/>
        <w:rPr>
          <w:rFonts w:ascii="Times New Roman" w:hAnsi="Times New Roman" w:cs="Times New Roman"/>
          <w:sz w:val="20"/>
          <w:szCs w:val="28"/>
        </w:rPr>
      </w:pPr>
      <w:r w:rsidRPr="00A136F3">
        <w:rPr>
          <w:rFonts w:ascii="Times New Roman" w:hAnsi="Times New Roman" w:cs="Times New Roman"/>
          <w:sz w:val="20"/>
          <w:szCs w:val="28"/>
        </w:rPr>
        <w:t xml:space="preserve"> </w:t>
      </w:r>
    </w:p>
    <w:sectPr w:rsidR="00A136F3" w:rsidRPr="00A136F3" w:rsidSect="00846B56">
      <w:headerReference w:type="default" r:id="rId7"/>
      <w:footerReference w:type="default" r:id="rId8"/>
      <w:footerReference w:type="first" r:id="rId9"/>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6002" w14:textId="77777777" w:rsidR="003B5DEF" w:rsidRDefault="003B5DEF" w:rsidP="00F81E80">
      <w:pPr>
        <w:spacing w:after="0" w:line="240" w:lineRule="auto"/>
      </w:pPr>
      <w:r>
        <w:separator/>
      </w:r>
    </w:p>
  </w:endnote>
  <w:endnote w:type="continuationSeparator" w:id="0">
    <w:p w14:paraId="64A554D7" w14:textId="77777777" w:rsidR="003B5DEF" w:rsidRDefault="003B5DEF" w:rsidP="00F8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8BF1" w14:textId="658D4D91" w:rsidR="00F81E80" w:rsidRPr="00846B56" w:rsidRDefault="009A13E4" w:rsidP="00846B56">
    <w:pPr>
      <w:pStyle w:val="Footer"/>
      <w:rPr>
        <w:rFonts w:ascii="Times New Roman" w:hAnsi="Times New Roman" w:cs="Times New Roman"/>
      </w:rPr>
    </w:pPr>
    <w:r w:rsidRPr="00EF4D7D">
      <w:rPr>
        <w:rFonts w:ascii="Times New Roman" w:hAnsi="Times New Roman" w:cs="Times New Roman"/>
      </w:rPr>
      <w:t>VARAMNot_30</w:t>
    </w:r>
    <w:r w:rsidR="00846B56" w:rsidRPr="00EF4D7D">
      <w:rPr>
        <w:rFonts w:ascii="Times New Roman" w:hAnsi="Times New Roman" w:cs="Times New Roman"/>
      </w:rPr>
      <w:t>082019_groz319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2547" w14:textId="111991E3" w:rsidR="00846B56" w:rsidRPr="00846B56" w:rsidRDefault="009A13E4">
    <w:pPr>
      <w:pStyle w:val="Footer"/>
      <w:rPr>
        <w:rFonts w:ascii="Times New Roman" w:hAnsi="Times New Roman" w:cs="Times New Roman"/>
      </w:rPr>
    </w:pPr>
    <w:r w:rsidRPr="00EF4D7D">
      <w:rPr>
        <w:rFonts w:ascii="Times New Roman" w:hAnsi="Times New Roman" w:cs="Times New Roman"/>
      </w:rPr>
      <w:t>VARAMNot_30</w:t>
    </w:r>
    <w:r w:rsidR="00846B56" w:rsidRPr="00EF4D7D">
      <w:rPr>
        <w:rFonts w:ascii="Times New Roman" w:hAnsi="Times New Roman" w:cs="Times New Roman"/>
      </w:rPr>
      <w:t>082019_groz485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E2F1" w14:textId="77777777" w:rsidR="003B5DEF" w:rsidRDefault="003B5DEF" w:rsidP="00F81E80">
      <w:pPr>
        <w:spacing w:after="0" w:line="240" w:lineRule="auto"/>
      </w:pPr>
      <w:r>
        <w:separator/>
      </w:r>
    </w:p>
  </w:footnote>
  <w:footnote w:type="continuationSeparator" w:id="0">
    <w:p w14:paraId="3C960999" w14:textId="77777777" w:rsidR="003B5DEF" w:rsidRDefault="003B5DEF" w:rsidP="00F8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98049"/>
      <w:docPartObj>
        <w:docPartGallery w:val="Page Numbers (Top of Page)"/>
        <w:docPartUnique/>
      </w:docPartObj>
    </w:sdtPr>
    <w:sdtEndPr>
      <w:rPr>
        <w:rFonts w:ascii="Times New Roman" w:hAnsi="Times New Roman" w:cs="Times New Roman"/>
        <w:noProof/>
        <w:sz w:val="24"/>
        <w:szCs w:val="24"/>
      </w:rPr>
    </w:sdtEndPr>
    <w:sdtContent>
      <w:p w14:paraId="00AC0709" w14:textId="77777777" w:rsidR="00F81E80" w:rsidRPr="00846B56" w:rsidRDefault="00F81E80">
        <w:pPr>
          <w:pStyle w:val="Header"/>
          <w:jc w:val="center"/>
          <w:rPr>
            <w:rFonts w:ascii="Times New Roman" w:hAnsi="Times New Roman" w:cs="Times New Roman"/>
            <w:sz w:val="24"/>
            <w:szCs w:val="24"/>
          </w:rPr>
        </w:pPr>
        <w:r w:rsidRPr="00846B56">
          <w:rPr>
            <w:rFonts w:ascii="Times New Roman" w:hAnsi="Times New Roman" w:cs="Times New Roman"/>
            <w:sz w:val="24"/>
            <w:szCs w:val="24"/>
          </w:rPr>
          <w:fldChar w:fldCharType="begin"/>
        </w:r>
        <w:r w:rsidRPr="00846B56">
          <w:rPr>
            <w:rFonts w:ascii="Times New Roman" w:hAnsi="Times New Roman" w:cs="Times New Roman"/>
            <w:sz w:val="24"/>
            <w:szCs w:val="24"/>
          </w:rPr>
          <w:instrText xml:space="preserve"> PAGE   \* MERGEFORMAT </w:instrText>
        </w:r>
        <w:r w:rsidRPr="00846B56">
          <w:rPr>
            <w:rFonts w:ascii="Times New Roman" w:hAnsi="Times New Roman" w:cs="Times New Roman"/>
            <w:sz w:val="24"/>
            <w:szCs w:val="24"/>
          </w:rPr>
          <w:fldChar w:fldCharType="separate"/>
        </w:r>
        <w:r w:rsidR="00EF4D7D">
          <w:rPr>
            <w:rFonts w:ascii="Times New Roman" w:hAnsi="Times New Roman" w:cs="Times New Roman"/>
            <w:noProof/>
            <w:sz w:val="24"/>
            <w:szCs w:val="24"/>
          </w:rPr>
          <w:t>2</w:t>
        </w:r>
        <w:r w:rsidRPr="00846B56">
          <w:rPr>
            <w:rFonts w:ascii="Times New Roman" w:hAnsi="Times New Roman" w:cs="Times New Roman"/>
            <w:noProof/>
            <w:sz w:val="24"/>
            <w:szCs w:val="24"/>
          </w:rPr>
          <w:fldChar w:fldCharType="end"/>
        </w:r>
      </w:p>
    </w:sdtContent>
  </w:sdt>
  <w:p w14:paraId="6296969F" w14:textId="77777777" w:rsidR="00F81E80" w:rsidRDefault="00F8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A355B"/>
    <w:multiLevelType w:val="hybridMultilevel"/>
    <w:tmpl w:val="5A40E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46"/>
    <w:rsid w:val="00140BAF"/>
    <w:rsid w:val="00145076"/>
    <w:rsid w:val="00153C0A"/>
    <w:rsid w:val="00174AAD"/>
    <w:rsid w:val="00201555"/>
    <w:rsid w:val="00212345"/>
    <w:rsid w:val="0028469A"/>
    <w:rsid w:val="0034426C"/>
    <w:rsid w:val="0034460C"/>
    <w:rsid w:val="0034509C"/>
    <w:rsid w:val="003B5DEF"/>
    <w:rsid w:val="003D4818"/>
    <w:rsid w:val="003E3EED"/>
    <w:rsid w:val="004138D2"/>
    <w:rsid w:val="004576E7"/>
    <w:rsid w:val="004638AD"/>
    <w:rsid w:val="00477F35"/>
    <w:rsid w:val="004C2F74"/>
    <w:rsid w:val="00503D8E"/>
    <w:rsid w:val="00511C1F"/>
    <w:rsid w:val="00580CBD"/>
    <w:rsid w:val="0059243D"/>
    <w:rsid w:val="005B73F0"/>
    <w:rsid w:val="00796546"/>
    <w:rsid w:val="00836A1F"/>
    <w:rsid w:val="00846B56"/>
    <w:rsid w:val="008B0F8D"/>
    <w:rsid w:val="008F10E1"/>
    <w:rsid w:val="009A13E4"/>
    <w:rsid w:val="009E7286"/>
    <w:rsid w:val="009F33E4"/>
    <w:rsid w:val="00A01A38"/>
    <w:rsid w:val="00A136F3"/>
    <w:rsid w:val="00A77AA8"/>
    <w:rsid w:val="00AA6285"/>
    <w:rsid w:val="00AC06E3"/>
    <w:rsid w:val="00B56F87"/>
    <w:rsid w:val="00B84D13"/>
    <w:rsid w:val="00C11957"/>
    <w:rsid w:val="00D8775C"/>
    <w:rsid w:val="00D93549"/>
    <w:rsid w:val="00E3563A"/>
    <w:rsid w:val="00E47843"/>
    <w:rsid w:val="00E834B5"/>
    <w:rsid w:val="00EF4D7D"/>
    <w:rsid w:val="00EF4DD5"/>
    <w:rsid w:val="00F24A2E"/>
    <w:rsid w:val="00F81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7F09"/>
  <w15:chartTrackingRefBased/>
  <w15:docId w15:val="{154F39EA-9687-4544-8F6F-57E0A715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96546"/>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511C1F"/>
    <w:rPr>
      <w:color w:val="0000FF"/>
      <w:u w:val="single"/>
    </w:rPr>
  </w:style>
  <w:style w:type="table" w:styleId="TableGrid">
    <w:name w:val="Table Grid"/>
    <w:basedOn w:val="TableNormal"/>
    <w:uiPriority w:val="39"/>
    <w:rsid w:val="00AC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AC06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C06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Normal"/>
    <w:rsid w:val="00836A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dref">
    <w:name w:val="modref"/>
    <w:basedOn w:val="Normal"/>
    <w:rsid w:val="00836A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F4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D5"/>
    <w:rPr>
      <w:rFonts w:ascii="Segoe UI" w:hAnsi="Segoe UI" w:cs="Segoe UI"/>
      <w:sz w:val="18"/>
      <w:szCs w:val="18"/>
    </w:rPr>
  </w:style>
  <w:style w:type="paragraph" w:styleId="ListParagraph">
    <w:name w:val="List Paragraph"/>
    <w:basedOn w:val="Normal"/>
    <w:uiPriority w:val="34"/>
    <w:qFormat/>
    <w:rsid w:val="009F33E4"/>
    <w:pPr>
      <w:ind w:left="720"/>
      <w:contextualSpacing/>
    </w:pPr>
  </w:style>
  <w:style w:type="paragraph" w:styleId="Header">
    <w:name w:val="header"/>
    <w:basedOn w:val="Normal"/>
    <w:link w:val="HeaderChar"/>
    <w:uiPriority w:val="99"/>
    <w:unhideWhenUsed/>
    <w:rsid w:val="00F81E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1E80"/>
  </w:style>
  <w:style w:type="paragraph" w:styleId="Footer">
    <w:name w:val="footer"/>
    <w:basedOn w:val="Normal"/>
    <w:link w:val="FooterChar"/>
    <w:uiPriority w:val="99"/>
    <w:unhideWhenUsed/>
    <w:rsid w:val="00F81E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E80"/>
  </w:style>
  <w:style w:type="character" w:styleId="CommentReference">
    <w:name w:val="annotation reference"/>
    <w:basedOn w:val="DefaultParagraphFont"/>
    <w:uiPriority w:val="99"/>
    <w:semiHidden/>
    <w:unhideWhenUsed/>
    <w:rsid w:val="00F81E80"/>
    <w:rPr>
      <w:sz w:val="16"/>
      <w:szCs w:val="16"/>
    </w:rPr>
  </w:style>
  <w:style w:type="paragraph" w:styleId="CommentText">
    <w:name w:val="annotation text"/>
    <w:basedOn w:val="Normal"/>
    <w:link w:val="CommentTextChar"/>
    <w:uiPriority w:val="99"/>
    <w:semiHidden/>
    <w:unhideWhenUsed/>
    <w:rsid w:val="00F81E80"/>
    <w:pPr>
      <w:spacing w:line="240" w:lineRule="auto"/>
    </w:pPr>
    <w:rPr>
      <w:sz w:val="20"/>
      <w:szCs w:val="20"/>
    </w:rPr>
  </w:style>
  <w:style w:type="character" w:customStyle="1" w:styleId="CommentTextChar">
    <w:name w:val="Comment Text Char"/>
    <w:basedOn w:val="DefaultParagraphFont"/>
    <w:link w:val="CommentText"/>
    <w:uiPriority w:val="99"/>
    <w:semiHidden/>
    <w:rsid w:val="00F81E80"/>
    <w:rPr>
      <w:sz w:val="20"/>
      <w:szCs w:val="20"/>
    </w:rPr>
  </w:style>
  <w:style w:type="paragraph" w:styleId="CommentSubject">
    <w:name w:val="annotation subject"/>
    <w:basedOn w:val="CommentText"/>
    <w:next w:val="CommentText"/>
    <w:link w:val="CommentSubjectChar"/>
    <w:uiPriority w:val="99"/>
    <w:semiHidden/>
    <w:unhideWhenUsed/>
    <w:rsid w:val="00F81E80"/>
    <w:rPr>
      <w:b/>
      <w:bCs/>
    </w:rPr>
  </w:style>
  <w:style w:type="character" w:customStyle="1" w:styleId="CommentSubjectChar">
    <w:name w:val="Comment Subject Char"/>
    <w:basedOn w:val="CommentTextChar"/>
    <w:link w:val="CommentSubject"/>
    <w:uiPriority w:val="99"/>
    <w:semiHidden/>
    <w:rsid w:val="00F81E80"/>
    <w:rPr>
      <w:b/>
      <w:bCs/>
      <w:sz w:val="20"/>
      <w:szCs w:val="20"/>
    </w:rPr>
  </w:style>
  <w:style w:type="character" w:styleId="FollowedHyperlink">
    <w:name w:val="FollowedHyperlink"/>
    <w:basedOn w:val="DefaultParagraphFont"/>
    <w:uiPriority w:val="99"/>
    <w:semiHidden/>
    <w:unhideWhenUsed/>
    <w:rsid w:val="00846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3786">
      <w:bodyDiv w:val="1"/>
      <w:marLeft w:val="0"/>
      <w:marRight w:val="0"/>
      <w:marTop w:val="0"/>
      <w:marBottom w:val="0"/>
      <w:divBdr>
        <w:top w:val="none" w:sz="0" w:space="0" w:color="auto"/>
        <w:left w:val="none" w:sz="0" w:space="0" w:color="auto"/>
        <w:bottom w:val="none" w:sz="0" w:space="0" w:color="auto"/>
        <w:right w:val="none" w:sz="0" w:space="0" w:color="auto"/>
      </w:divBdr>
    </w:div>
    <w:div w:id="367532453">
      <w:bodyDiv w:val="1"/>
      <w:marLeft w:val="0"/>
      <w:marRight w:val="0"/>
      <w:marTop w:val="0"/>
      <w:marBottom w:val="0"/>
      <w:divBdr>
        <w:top w:val="none" w:sz="0" w:space="0" w:color="auto"/>
        <w:left w:val="none" w:sz="0" w:space="0" w:color="auto"/>
        <w:bottom w:val="none" w:sz="0" w:space="0" w:color="auto"/>
        <w:right w:val="none" w:sz="0" w:space="0" w:color="auto"/>
      </w:divBdr>
    </w:div>
    <w:div w:id="1000695065">
      <w:bodyDiv w:val="1"/>
      <w:marLeft w:val="0"/>
      <w:marRight w:val="0"/>
      <w:marTop w:val="0"/>
      <w:marBottom w:val="0"/>
      <w:divBdr>
        <w:top w:val="none" w:sz="0" w:space="0" w:color="auto"/>
        <w:left w:val="none" w:sz="0" w:space="0" w:color="auto"/>
        <w:bottom w:val="none" w:sz="0" w:space="0" w:color="auto"/>
        <w:right w:val="none" w:sz="0" w:space="0" w:color="auto"/>
      </w:divBdr>
      <w:divsChild>
        <w:div w:id="1587837094">
          <w:marLeft w:val="480"/>
          <w:marRight w:val="0"/>
          <w:marTop w:val="0"/>
          <w:marBottom w:val="0"/>
          <w:divBdr>
            <w:top w:val="none" w:sz="0" w:space="0" w:color="auto"/>
            <w:left w:val="none" w:sz="0" w:space="0" w:color="auto"/>
            <w:bottom w:val="none" w:sz="0" w:space="0" w:color="auto"/>
            <w:right w:val="none" w:sz="0" w:space="0" w:color="auto"/>
          </w:divBdr>
        </w:div>
        <w:div w:id="319967313">
          <w:marLeft w:val="480"/>
          <w:marRight w:val="0"/>
          <w:marTop w:val="0"/>
          <w:marBottom w:val="0"/>
          <w:divBdr>
            <w:top w:val="none" w:sz="0" w:space="0" w:color="auto"/>
            <w:left w:val="none" w:sz="0" w:space="0" w:color="auto"/>
            <w:bottom w:val="none" w:sz="0" w:space="0" w:color="auto"/>
            <w:right w:val="none" w:sz="0" w:space="0" w:color="auto"/>
          </w:divBdr>
        </w:div>
        <w:div w:id="1631016324">
          <w:marLeft w:val="480"/>
          <w:marRight w:val="0"/>
          <w:marTop w:val="0"/>
          <w:marBottom w:val="0"/>
          <w:divBdr>
            <w:top w:val="none" w:sz="0" w:space="0" w:color="auto"/>
            <w:left w:val="none" w:sz="0" w:space="0" w:color="auto"/>
            <w:bottom w:val="none" w:sz="0" w:space="0" w:color="auto"/>
            <w:right w:val="none" w:sz="0" w:space="0" w:color="auto"/>
          </w:divBdr>
        </w:div>
      </w:divsChild>
    </w:div>
    <w:div w:id="2131387523">
      <w:bodyDiv w:val="1"/>
      <w:marLeft w:val="0"/>
      <w:marRight w:val="0"/>
      <w:marTop w:val="0"/>
      <w:marBottom w:val="0"/>
      <w:divBdr>
        <w:top w:val="none" w:sz="0" w:space="0" w:color="auto"/>
        <w:left w:val="none" w:sz="0" w:space="0" w:color="auto"/>
        <w:bottom w:val="none" w:sz="0" w:space="0" w:color="auto"/>
        <w:right w:val="none" w:sz="0" w:space="0" w:color="auto"/>
      </w:divBdr>
      <w:divsChild>
        <w:div w:id="387842730">
          <w:marLeft w:val="0"/>
          <w:marRight w:val="0"/>
          <w:marTop w:val="0"/>
          <w:marBottom w:val="0"/>
          <w:divBdr>
            <w:top w:val="none" w:sz="0" w:space="0" w:color="auto"/>
            <w:left w:val="none" w:sz="0" w:space="0" w:color="auto"/>
            <w:bottom w:val="none" w:sz="0" w:space="0" w:color="auto"/>
            <w:right w:val="none" w:sz="0" w:space="0" w:color="auto"/>
          </w:divBdr>
        </w:div>
        <w:div w:id="1196846813">
          <w:marLeft w:val="0"/>
          <w:marRight w:val="0"/>
          <w:marTop w:val="0"/>
          <w:marBottom w:val="0"/>
          <w:divBdr>
            <w:top w:val="none" w:sz="0" w:space="0" w:color="auto"/>
            <w:left w:val="none" w:sz="0" w:space="0" w:color="auto"/>
            <w:bottom w:val="none" w:sz="0" w:space="0" w:color="auto"/>
            <w:right w:val="none" w:sz="0" w:space="0" w:color="auto"/>
          </w:divBdr>
        </w:div>
        <w:div w:id="1036469148">
          <w:marLeft w:val="0"/>
          <w:marRight w:val="0"/>
          <w:marTop w:val="0"/>
          <w:marBottom w:val="0"/>
          <w:divBdr>
            <w:top w:val="none" w:sz="0" w:space="0" w:color="auto"/>
            <w:left w:val="none" w:sz="0" w:space="0" w:color="auto"/>
            <w:bottom w:val="none" w:sz="0" w:space="0" w:color="auto"/>
            <w:right w:val="none" w:sz="0" w:space="0" w:color="auto"/>
          </w:divBdr>
        </w:div>
        <w:div w:id="1112360466">
          <w:marLeft w:val="0"/>
          <w:marRight w:val="0"/>
          <w:marTop w:val="0"/>
          <w:marBottom w:val="0"/>
          <w:divBdr>
            <w:top w:val="none" w:sz="0" w:space="0" w:color="auto"/>
            <w:left w:val="none" w:sz="0" w:space="0" w:color="auto"/>
            <w:bottom w:val="none" w:sz="0" w:space="0" w:color="auto"/>
            <w:right w:val="none" w:sz="0" w:space="0" w:color="auto"/>
          </w:divBdr>
        </w:div>
        <w:div w:id="1041857284">
          <w:marLeft w:val="0"/>
          <w:marRight w:val="0"/>
          <w:marTop w:val="0"/>
          <w:marBottom w:val="0"/>
          <w:divBdr>
            <w:top w:val="none" w:sz="0" w:space="0" w:color="auto"/>
            <w:left w:val="none" w:sz="0" w:space="0" w:color="auto"/>
            <w:bottom w:val="none" w:sz="0" w:space="0" w:color="auto"/>
            <w:right w:val="none" w:sz="0" w:space="0" w:color="auto"/>
          </w:divBdr>
        </w:div>
        <w:div w:id="1791238679">
          <w:marLeft w:val="0"/>
          <w:marRight w:val="0"/>
          <w:marTop w:val="0"/>
          <w:marBottom w:val="0"/>
          <w:divBdr>
            <w:top w:val="none" w:sz="0" w:space="0" w:color="auto"/>
            <w:left w:val="none" w:sz="0" w:space="0" w:color="auto"/>
            <w:bottom w:val="none" w:sz="0" w:space="0" w:color="auto"/>
            <w:right w:val="none" w:sz="0" w:space="0" w:color="auto"/>
          </w:divBdr>
        </w:div>
        <w:div w:id="1677461136">
          <w:marLeft w:val="0"/>
          <w:marRight w:val="0"/>
          <w:marTop w:val="0"/>
          <w:marBottom w:val="0"/>
          <w:divBdr>
            <w:top w:val="none" w:sz="0" w:space="0" w:color="auto"/>
            <w:left w:val="none" w:sz="0" w:space="0" w:color="auto"/>
            <w:bottom w:val="none" w:sz="0" w:space="0" w:color="auto"/>
            <w:right w:val="none" w:sz="0" w:space="0" w:color="auto"/>
          </w:divBdr>
        </w:div>
        <w:div w:id="1168519406">
          <w:marLeft w:val="0"/>
          <w:marRight w:val="0"/>
          <w:marTop w:val="0"/>
          <w:marBottom w:val="0"/>
          <w:divBdr>
            <w:top w:val="none" w:sz="0" w:space="0" w:color="auto"/>
            <w:left w:val="none" w:sz="0" w:space="0" w:color="auto"/>
            <w:bottom w:val="none" w:sz="0" w:space="0" w:color="auto"/>
            <w:right w:val="none" w:sz="0" w:space="0" w:color="auto"/>
          </w:divBdr>
        </w:div>
        <w:div w:id="1048918302">
          <w:marLeft w:val="0"/>
          <w:marRight w:val="0"/>
          <w:marTop w:val="0"/>
          <w:marBottom w:val="0"/>
          <w:divBdr>
            <w:top w:val="none" w:sz="0" w:space="0" w:color="auto"/>
            <w:left w:val="none" w:sz="0" w:space="0" w:color="auto"/>
            <w:bottom w:val="none" w:sz="0" w:space="0" w:color="auto"/>
            <w:right w:val="none" w:sz="0" w:space="0" w:color="auto"/>
          </w:divBdr>
        </w:div>
        <w:div w:id="1381977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1430</Words>
  <Characters>816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21. jūnija noteikumos Nr.485 “Atsevišķu veidu bīstamo atkritumu apsaimniekošanas kārtība un prasības titāna dioksīda ražošanas iekārtu radīto emisiju ierobežošanai, kontrolei un monitoringam”</dc:title>
  <dc:subject>MK noteikumu projekts</dc:subject>
  <dc:creator>Ilze Doniņa</dc:creator>
  <cp:keywords/>
  <dc:description>67026515, ilze.donina@varam.gov.lv</dc:description>
  <cp:lastModifiedBy>Ilze Doniņa</cp:lastModifiedBy>
  <cp:revision>3</cp:revision>
  <dcterms:created xsi:type="dcterms:W3CDTF">2019-08-30T12:29:00Z</dcterms:created>
  <dcterms:modified xsi:type="dcterms:W3CDTF">2019-09-03T13:13:00Z</dcterms:modified>
</cp:coreProperties>
</file>