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FF8F" w14:textId="77777777" w:rsidR="00C06509" w:rsidRPr="004836A6" w:rsidRDefault="00C123BF">
      <w:pPr>
        <w:jc w:val="center"/>
        <w:rPr>
          <w:b/>
          <w:bCs/>
          <w:color w:val="auto"/>
          <w:sz w:val="25"/>
          <w:szCs w:val="25"/>
        </w:rPr>
      </w:pPr>
      <w:bookmarkStart w:id="0" w:name="OLE_LINK1"/>
      <w:bookmarkStart w:id="1" w:name="OLE_LINK2"/>
      <w:r w:rsidRPr="004836A6">
        <w:rPr>
          <w:b/>
          <w:bCs/>
          <w:color w:val="auto"/>
          <w:sz w:val="25"/>
          <w:szCs w:val="25"/>
        </w:rPr>
        <w:t>Ministru kabineta noteikumu projekta “</w:t>
      </w:r>
      <w:r w:rsidRPr="004836A6">
        <w:rPr>
          <w:rFonts w:eastAsia="Calibri"/>
          <w:b/>
          <w:color w:val="auto"/>
          <w:sz w:val="25"/>
          <w:szCs w:val="25"/>
          <w:lang w:eastAsia="en-US"/>
        </w:rPr>
        <w:t>Grozījumi Ministru kabineta 2006. gada 25. jūlija noteikumos Nr. 611 „Dzemdību palīdzības nodrošināšanas kārtība”</w:t>
      </w:r>
      <w:r w:rsidRPr="004836A6">
        <w:rPr>
          <w:b/>
          <w:bCs/>
          <w:color w:val="auto"/>
          <w:sz w:val="25"/>
          <w:szCs w:val="25"/>
        </w:rPr>
        <w:t>” sākotnējās ietekmes novērtējuma ziņojums (anotācija</w:t>
      </w:r>
      <w:bookmarkStart w:id="2" w:name="OLE_LINK3"/>
      <w:bookmarkStart w:id="3" w:name="OLE_LINK4"/>
      <w:bookmarkEnd w:id="0"/>
      <w:bookmarkEnd w:id="1"/>
      <w:bookmarkEnd w:id="2"/>
      <w:bookmarkEnd w:id="3"/>
      <w:r w:rsidRPr="004836A6">
        <w:rPr>
          <w:b/>
          <w:bCs/>
          <w:color w:val="auto"/>
          <w:sz w:val="25"/>
          <w:szCs w:val="25"/>
        </w:rPr>
        <w:t>)</w:t>
      </w:r>
    </w:p>
    <w:p w14:paraId="6484E431" w14:textId="30D6AD29" w:rsidR="003048C9" w:rsidRPr="004836A6" w:rsidRDefault="003048C9">
      <w:pPr>
        <w:jc w:val="center"/>
        <w:rPr>
          <w:rFonts w:eastAsia="Calibri"/>
          <w:color w:val="auto"/>
          <w:sz w:val="25"/>
          <w:szCs w:val="25"/>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9"/>
        <w:gridCol w:w="6936"/>
      </w:tblGrid>
      <w:tr w:rsidR="003048C9" w:rsidRPr="004836A6" w14:paraId="7E760FB3" w14:textId="77777777" w:rsidTr="00C00B7A">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A09A11A" w14:textId="77777777" w:rsidR="003048C9" w:rsidRPr="004836A6" w:rsidRDefault="003048C9" w:rsidP="003048C9">
            <w:pPr>
              <w:spacing w:line="293" w:lineRule="atLeast"/>
              <w:jc w:val="center"/>
              <w:rPr>
                <w:b/>
                <w:bCs/>
                <w:color w:val="auto"/>
                <w:sz w:val="25"/>
                <w:szCs w:val="25"/>
              </w:rPr>
            </w:pPr>
            <w:r w:rsidRPr="004836A6">
              <w:rPr>
                <w:b/>
                <w:bCs/>
                <w:color w:val="auto"/>
                <w:sz w:val="25"/>
                <w:szCs w:val="25"/>
              </w:rPr>
              <w:t>Tiesību akta projekta anotācijas kopsavilkums</w:t>
            </w:r>
          </w:p>
        </w:tc>
      </w:tr>
      <w:tr w:rsidR="003048C9" w:rsidRPr="004836A6" w14:paraId="5EB5000D" w14:textId="77777777" w:rsidTr="00C01E2E">
        <w:trPr>
          <w:trHeight w:val="405"/>
        </w:trPr>
        <w:tc>
          <w:tcPr>
            <w:tcW w:w="1170" w:type="pct"/>
            <w:tcBorders>
              <w:top w:val="outset" w:sz="6" w:space="0" w:color="414142"/>
              <w:left w:val="outset" w:sz="6" w:space="0" w:color="414142"/>
              <w:bottom w:val="outset" w:sz="6" w:space="0" w:color="414142"/>
              <w:right w:val="outset" w:sz="6" w:space="0" w:color="414142"/>
            </w:tcBorders>
            <w:hideMark/>
          </w:tcPr>
          <w:p w14:paraId="12453B25" w14:textId="77777777" w:rsidR="003048C9" w:rsidRPr="004836A6" w:rsidRDefault="003048C9" w:rsidP="003048C9">
            <w:pPr>
              <w:ind w:left="44"/>
              <w:jc w:val="both"/>
              <w:rPr>
                <w:color w:val="auto"/>
                <w:sz w:val="25"/>
                <w:szCs w:val="25"/>
              </w:rPr>
            </w:pPr>
            <w:r w:rsidRPr="004836A6">
              <w:rPr>
                <w:color w:val="auto"/>
                <w:sz w:val="25"/>
                <w:szCs w:val="25"/>
              </w:rPr>
              <w:t>Mērķis, risinājums un projekta spēkā stāšanās laiks (500 zīmes bez atstarpēm)</w:t>
            </w:r>
          </w:p>
        </w:tc>
        <w:tc>
          <w:tcPr>
            <w:tcW w:w="3830" w:type="pct"/>
            <w:tcBorders>
              <w:top w:val="outset" w:sz="6" w:space="0" w:color="414142"/>
              <w:left w:val="outset" w:sz="6" w:space="0" w:color="414142"/>
              <w:bottom w:val="outset" w:sz="6" w:space="0" w:color="414142"/>
              <w:right w:val="outset" w:sz="6" w:space="0" w:color="414142"/>
            </w:tcBorders>
            <w:hideMark/>
          </w:tcPr>
          <w:p w14:paraId="04FAAA53" w14:textId="77777777" w:rsidR="00C01E2E" w:rsidRPr="004836A6" w:rsidRDefault="003048C9" w:rsidP="003048C9">
            <w:pPr>
              <w:jc w:val="both"/>
              <w:rPr>
                <w:rFonts w:eastAsiaTheme="minorEastAsia"/>
                <w:bCs/>
                <w:color w:val="auto"/>
                <w:sz w:val="25"/>
                <w:szCs w:val="25"/>
              </w:rPr>
            </w:pPr>
            <w:r w:rsidRPr="004836A6">
              <w:rPr>
                <w:rFonts w:eastAsiaTheme="minorEastAsia"/>
                <w:bCs/>
                <w:color w:val="auto"/>
                <w:sz w:val="25"/>
                <w:szCs w:val="25"/>
              </w:rPr>
              <w:t>Ministru kabineta noteikumu projekta „</w:t>
            </w:r>
            <w:r w:rsidRPr="004836A6">
              <w:rPr>
                <w:rFonts w:eastAsia="Calibri"/>
                <w:color w:val="auto"/>
                <w:sz w:val="25"/>
                <w:szCs w:val="25"/>
                <w:lang w:eastAsia="en-US"/>
              </w:rPr>
              <w:t>Grozījumi Ministru kabineta 2006. gada 25. jūlija noteikumos Nr. 611 „Dzemdību palīdzības nodrošināšanas kārtība”</w:t>
            </w:r>
            <w:r w:rsidRPr="004836A6">
              <w:rPr>
                <w:bCs/>
                <w:color w:val="auto"/>
                <w:sz w:val="25"/>
                <w:szCs w:val="25"/>
              </w:rPr>
              <w:t>”</w:t>
            </w:r>
            <w:r w:rsidRPr="004836A6">
              <w:rPr>
                <w:rFonts w:eastAsiaTheme="minorEastAsia"/>
                <w:bCs/>
                <w:color w:val="auto"/>
                <w:sz w:val="25"/>
                <w:szCs w:val="25"/>
              </w:rPr>
              <w:t xml:space="preserve"> (turpmāk – Projekts) mērķi ir</w:t>
            </w:r>
            <w:r w:rsidR="00C01E2E" w:rsidRPr="004836A6">
              <w:rPr>
                <w:rFonts w:eastAsiaTheme="minorEastAsia"/>
                <w:bCs/>
                <w:color w:val="auto"/>
                <w:sz w:val="25"/>
                <w:szCs w:val="25"/>
              </w:rPr>
              <w:t>:</w:t>
            </w:r>
          </w:p>
          <w:p w14:paraId="1F64E841" w14:textId="2D804226" w:rsidR="00C01E2E" w:rsidRPr="004836A6" w:rsidRDefault="00C01E2E" w:rsidP="003048C9">
            <w:pPr>
              <w:jc w:val="both"/>
              <w:rPr>
                <w:color w:val="auto"/>
                <w:sz w:val="25"/>
                <w:szCs w:val="25"/>
              </w:rPr>
            </w:pPr>
            <w:r w:rsidRPr="004836A6">
              <w:rPr>
                <w:rFonts w:eastAsiaTheme="minorEastAsia"/>
                <w:bCs/>
                <w:color w:val="auto"/>
                <w:sz w:val="25"/>
                <w:szCs w:val="25"/>
              </w:rPr>
              <w:t xml:space="preserve">1) </w:t>
            </w:r>
            <w:r w:rsidR="003048C9" w:rsidRPr="004836A6">
              <w:rPr>
                <w:color w:val="auto"/>
                <w:sz w:val="25"/>
                <w:szCs w:val="25"/>
                <w:shd w:val="clear" w:color="auto" w:fill="FFFFFF"/>
              </w:rPr>
              <w:t>uzlabot grūtnieču ultrasonogrāfisko izmeklējumu kvalitāti</w:t>
            </w:r>
            <w:r w:rsidR="000A2CC2" w:rsidRPr="004836A6">
              <w:rPr>
                <w:color w:val="auto"/>
                <w:sz w:val="25"/>
                <w:szCs w:val="25"/>
                <w:shd w:val="clear" w:color="auto" w:fill="FFFFFF"/>
              </w:rPr>
              <w:t>, lai savlaicīgi konstatētu augļa ģenētisko patoloģiju grūtniecēm pēc 3</w:t>
            </w:r>
            <w:r w:rsidR="00432F3B" w:rsidRPr="004836A6">
              <w:rPr>
                <w:color w:val="auto"/>
                <w:sz w:val="25"/>
                <w:szCs w:val="25"/>
                <w:shd w:val="clear" w:color="auto" w:fill="FFFFFF"/>
              </w:rPr>
              <w:t>5</w:t>
            </w:r>
            <w:r w:rsidR="000A2CC2" w:rsidRPr="004836A6">
              <w:rPr>
                <w:color w:val="auto"/>
                <w:sz w:val="25"/>
                <w:szCs w:val="25"/>
                <w:shd w:val="clear" w:color="auto" w:fill="FFFFFF"/>
              </w:rPr>
              <w:t xml:space="preserve"> gadu vecuma. Tādējādi projekts paredz grūtniecēm pēc 3</w:t>
            </w:r>
            <w:r w:rsidR="00432F3B" w:rsidRPr="004836A6">
              <w:rPr>
                <w:color w:val="auto"/>
                <w:sz w:val="25"/>
                <w:szCs w:val="25"/>
                <w:shd w:val="clear" w:color="auto" w:fill="FFFFFF"/>
              </w:rPr>
              <w:t>5</w:t>
            </w:r>
            <w:r w:rsidR="000A2CC2" w:rsidRPr="004836A6">
              <w:rPr>
                <w:color w:val="auto"/>
                <w:sz w:val="25"/>
                <w:szCs w:val="25"/>
                <w:shd w:val="clear" w:color="auto" w:fill="FFFFFF"/>
              </w:rPr>
              <w:t xml:space="preserve"> gadu vecumam 10-11 grūtniecības nedēļās noteikt bioķīmiskos rādītājus asinīs un nosūtīt grūtnieci </w:t>
            </w:r>
            <w:r w:rsidRPr="004836A6">
              <w:rPr>
                <w:color w:val="auto"/>
                <w:sz w:val="25"/>
                <w:szCs w:val="25"/>
                <w:shd w:val="clear" w:color="auto" w:fill="FFFFFF"/>
              </w:rPr>
              <w:t xml:space="preserve">pie </w:t>
            </w:r>
            <w:r w:rsidR="000A2CC2" w:rsidRPr="004836A6">
              <w:rPr>
                <w:color w:val="auto"/>
                <w:sz w:val="25"/>
                <w:szCs w:val="25"/>
              </w:rPr>
              <w:t xml:space="preserve">ultrasonogrāfijas </w:t>
            </w:r>
            <w:r w:rsidRPr="004836A6">
              <w:rPr>
                <w:color w:val="auto"/>
                <w:sz w:val="25"/>
                <w:szCs w:val="25"/>
              </w:rPr>
              <w:t>(turpmāk – USG) speciālista padziļinātai augļa izmeklēšanai un iedzimtu ģenētisku patoloģiju riska noteikšanai no 11</w:t>
            </w:r>
            <w:r w:rsidR="00902D06" w:rsidRPr="004836A6">
              <w:rPr>
                <w:color w:val="auto"/>
                <w:sz w:val="25"/>
                <w:szCs w:val="25"/>
              </w:rPr>
              <w:t>.</w:t>
            </w:r>
            <w:r w:rsidRPr="004836A6">
              <w:rPr>
                <w:color w:val="auto"/>
                <w:sz w:val="25"/>
                <w:szCs w:val="25"/>
              </w:rPr>
              <w:t xml:space="preserve"> līdz 13</w:t>
            </w:r>
            <w:r w:rsidR="00902D06" w:rsidRPr="004836A6">
              <w:rPr>
                <w:color w:val="auto"/>
                <w:sz w:val="25"/>
                <w:szCs w:val="25"/>
              </w:rPr>
              <w:t>.</w:t>
            </w:r>
            <w:r w:rsidRPr="004836A6">
              <w:rPr>
                <w:color w:val="auto"/>
                <w:sz w:val="25"/>
                <w:szCs w:val="25"/>
              </w:rPr>
              <w:t xml:space="preserve"> nedēļ</w:t>
            </w:r>
            <w:r w:rsidR="00057A98" w:rsidRPr="004836A6">
              <w:rPr>
                <w:color w:val="auto"/>
                <w:sz w:val="25"/>
                <w:szCs w:val="25"/>
              </w:rPr>
              <w:t>ai</w:t>
            </w:r>
            <w:r w:rsidRPr="004836A6">
              <w:rPr>
                <w:color w:val="auto"/>
                <w:sz w:val="25"/>
                <w:szCs w:val="25"/>
              </w:rPr>
              <w:t xml:space="preserve"> un 6 dienām. Vienlaikus </w:t>
            </w:r>
            <w:r w:rsidR="00C00B7A" w:rsidRPr="004836A6">
              <w:rPr>
                <w:color w:val="auto"/>
                <w:sz w:val="25"/>
                <w:szCs w:val="25"/>
              </w:rPr>
              <w:t>Projekts paredz</w:t>
            </w:r>
            <w:r w:rsidR="00ED1042" w:rsidRPr="004836A6">
              <w:rPr>
                <w:color w:val="auto"/>
                <w:sz w:val="25"/>
                <w:szCs w:val="25"/>
              </w:rPr>
              <w:t xml:space="preserve"> stingrākas prasības grūtniecības ultrasonogrāfiskajai izmeklēšanai, tai skaitā stingrākas prasības ginekologu, dzemdību speciālistu kvalifikācijai,</w:t>
            </w:r>
            <w:r w:rsidRPr="004836A6">
              <w:rPr>
                <w:color w:val="auto"/>
                <w:sz w:val="25"/>
                <w:szCs w:val="25"/>
              </w:rPr>
              <w:t xml:space="preserve"> paredzot obligātus kursus, </w:t>
            </w:r>
            <w:r w:rsidR="00ED1042" w:rsidRPr="004836A6">
              <w:rPr>
                <w:color w:val="auto"/>
                <w:sz w:val="25"/>
                <w:szCs w:val="25"/>
              </w:rPr>
              <w:t>kuru praktisk</w:t>
            </w:r>
            <w:r w:rsidR="004954DF" w:rsidRPr="004836A6">
              <w:rPr>
                <w:color w:val="auto"/>
                <w:sz w:val="25"/>
                <w:szCs w:val="25"/>
              </w:rPr>
              <w:t>o</w:t>
            </w:r>
            <w:r w:rsidR="00ED1042" w:rsidRPr="004836A6">
              <w:rPr>
                <w:color w:val="auto"/>
                <w:sz w:val="25"/>
                <w:szCs w:val="25"/>
              </w:rPr>
              <w:t xml:space="preserve"> daļ</w:t>
            </w:r>
            <w:r w:rsidR="004954DF" w:rsidRPr="004836A6">
              <w:rPr>
                <w:color w:val="auto"/>
                <w:sz w:val="25"/>
                <w:szCs w:val="25"/>
              </w:rPr>
              <w:t>u</w:t>
            </w:r>
            <w:r w:rsidR="00ED1042" w:rsidRPr="004836A6">
              <w:rPr>
                <w:color w:val="auto"/>
                <w:sz w:val="25"/>
                <w:szCs w:val="25"/>
              </w:rPr>
              <w:t>, kā arī pārbaudījumu, lietojot ultrasonogrāfijas simulatoru,</w:t>
            </w:r>
            <w:r w:rsidR="00D32728" w:rsidRPr="004836A6">
              <w:rPr>
                <w:color w:val="auto"/>
                <w:sz w:val="25"/>
                <w:szCs w:val="25"/>
              </w:rPr>
              <w:t xml:space="preserve"> </w:t>
            </w:r>
            <w:r w:rsidR="00ED1042" w:rsidRPr="004836A6">
              <w:rPr>
                <w:color w:val="auto"/>
                <w:sz w:val="25"/>
                <w:szCs w:val="25"/>
              </w:rPr>
              <w:t>kā arī st</w:t>
            </w:r>
            <w:r w:rsidR="00334738" w:rsidRPr="004836A6">
              <w:rPr>
                <w:color w:val="auto"/>
                <w:sz w:val="25"/>
                <w:szCs w:val="25"/>
              </w:rPr>
              <w:t>i</w:t>
            </w:r>
            <w:r w:rsidR="00ED1042" w:rsidRPr="004836A6">
              <w:rPr>
                <w:color w:val="auto"/>
                <w:sz w:val="25"/>
                <w:szCs w:val="25"/>
              </w:rPr>
              <w:t>ngrākas prasības ultrasonogrāfijas aparātiem.</w:t>
            </w:r>
          </w:p>
          <w:p w14:paraId="7D2EBEA1" w14:textId="763328F9" w:rsidR="003048C9" w:rsidRPr="004836A6" w:rsidRDefault="00C01E2E" w:rsidP="003048C9">
            <w:pPr>
              <w:jc w:val="both"/>
              <w:rPr>
                <w:bCs/>
                <w:color w:val="auto"/>
                <w:sz w:val="25"/>
                <w:szCs w:val="25"/>
              </w:rPr>
            </w:pPr>
            <w:r w:rsidRPr="004836A6">
              <w:rPr>
                <w:color w:val="auto"/>
                <w:sz w:val="25"/>
                <w:szCs w:val="25"/>
              </w:rPr>
              <w:t xml:space="preserve">2) </w:t>
            </w:r>
            <w:r w:rsidRPr="004836A6">
              <w:rPr>
                <w:color w:val="auto"/>
                <w:sz w:val="25"/>
                <w:szCs w:val="25"/>
                <w:u w:color="000000"/>
              </w:rPr>
              <w:t>p</w:t>
            </w:r>
            <w:r w:rsidRPr="004836A6">
              <w:rPr>
                <w:color w:val="auto"/>
                <w:sz w:val="25"/>
                <w:szCs w:val="25"/>
                <w:u w:color="414142"/>
              </w:rPr>
              <w:t xml:space="preserve">aplašināt jaundzimušo ģenētiski iedzimto slimību skrīningu ar jauniem izmeklējumiem </w:t>
            </w:r>
            <w:r w:rsidRPr="004836A6">
              <w:rPr>
                <w:color w:val="auto"/>
                <w:sz w:val="25"/>
                <w:szCs w:val="25"/>
              </w:rPr>
              <w:t>agrīnai ārstējamu patoloģiju diagnosticēšanai,</w:t>
            </w:r>
            <w:r w:rsidRPr="004836A6">
              <w:rPr>
                <w:color w:val="auto"/>
                <w:sz w:val="25"/>
                <w:szCs w:val="25"/>
                <w:lang w:eastAsia="en-US"/>
              </w:rPr>
              <w:t xml:space="preserve"> tai skaitā, noteikt a</w:t>
            </w:r>
            <w:r w:rsidRPr="004836A6">
              <w:rPr>
                <w:bCs/>
                <w:color w:val="auto"/>
                <w:sz w:val="25"/>
                <w:szCs w:val="25"/>
              </w:rPr>
              <w:t>monjaku riska grupas jaundzimušajiem.</w:t>
            </w:r>
          </w:p>
          <w:p w14:paraId="05542F76" w14:textId="50F6E387" w:rsidR="001B0A04" w:rsidRPr="004836A6" w:rsidRDefault="001B0A04" w:rsidP="003048C9">
            <w:pPr>
              <w:jc w:val="both"/>
              <w:rPr>
                <w:rFonts w:eastAsia="Arial Unicode MS"/>
                <w:color w:val="auto"/>
                <w:sz w:val="25"/>
                <w:szCs w:val="25"/>
                <w:u w:color="000000"/>
              </w:rPr>
            </w:pPr>
            <w:r w:rsidRPr="004836A6">
              <w:rPr>
                <w:iCs/>
                <w:color w:val="auto"/>
                <w:sz w:val="25"/>
                <w:szCs w:val="25"/>
              </w:rPr>
              <w:t>3) Ņemot vērā, ka f</w:t>
            </w:r>
            <w:r w:rsidRPr="004836A6">
              <w:rPr>
                <w:rFonts w:eastAsia="Arial Unicode MS"/>
                <w:color w:val="auto"/>
                <w:sz w:val="25"/>
                <w:szCs w:val="25"/>
                <w:u w:color="000000"/>
              </w:rPr>
              <w:t>izioloģisko izmaiņu dēļ grūtnieces pieder pie riska grupas indivīdiem, kuriem ir augsts gripas radīto komplikāciju risks, projekts paredz pirmreizējā ārstniecības persona</w:t>
            </w:r>
            <w:r w:rsidR="00752CFE" w:rsidRPr="004836A6">
              <w:rPr>
                <w:rFonts w:eastAsia="Arial Unicode MS"/>
                <w:color w:val="auto"/>
                <w:sz w:val="25"/>
                <w:szCs w:val="25"/>
                <w:u w:color="000000"/>
              </w:rPr>
              <w:t>s</w:t>
            </w:r>
            <w:r w:rsidRPr="004836A6">
              <w:rPr>
                <w:rFonts w:eastAsia="Arial Unicode MS"/>
                <w:color w:val="auto"/>
                <w:sz w:val="25"/>
                <w:szCs w:val="25"/>
                <w:u w:color="000000"/>
              </w:rPr>
              <w:t xml:space="preserve"> apmeklējuma laikā informēt grūtnieci par nepieciešamību vakcinēties pret sezonālo gripu.</w:t>
            </w:r>
          </w:p>
          <w:p w14:paraId="00EE6AC0" w14:textId="781A35E6" w:rsidR="001B0A04" w:rsidRPr="004836A6" w:rsidRDefault="001B0A04" w:rsidP="003F11F2">
            <w:pPr>
              <w:spacing w:after="120"/>
              <w:jc w:val="both"/>
              <w:rPr>
                <w:rFonts w:eastAsiaTheme="minorHAnsi"/>
                <w:b/>
                <w:color w:val="auto"/>
                <w:sz w:val="25"/>
                <w:szCs w:val="25"/>
                <w:lang w:eastAsia="en-US"/>
              </w:rPr>
            </w:pPr>
            <w:r w:rsidRPr="004836A6">
              <w:rPr>
                <w:iCs/>
                <w:color w:val="auto"/>
                <w:sz w:val="25"/>
                <w:szCs w:val="25"/>
              </w:rPr>
              <w:t>4)</w:t>
            </w:r>
            <w:r w:rsidRPr="004836A6">
              <w:rPr>
                <w:rFonts w:eastAsiaTheme="minorHAnsi"/>
                <w:color w:val="auto"/>
                <w:sz w:val="25"/>
                <w:szCs w:val="25"/>
                <w:lang w:eastAsia="en-US"/>
              </w:rPr>
              <w:t xml:space="preserve"> Lai</w:t>
            </w:r>
            <w:r w:rsidR="00750370" w:rsidRPr="004836A6">
              <w:rPr>
                <w:rFonts w:eastAsiaTheme="minorHAnsi"/>
                <w:color w:val="auto"/>
                <w:sz w:val="25"/>
                <w:szCs w:val="25"/>
                <w:lang w:eastAsia="en-US"/>
              </w:rPr>
              <w:t xml:space="preserve"> rastu iespēju</w:t>
            </w:r>
            <w:r w:rsidRPr="004836A6">
              <w:rPr>
                <w:rFonts w:eastAsiaTheme="minorHAnsi"/>
                <w:color w:val="auto"/>
                <w:sz w:val="25"/>
                <w:szCs w:val="25"/>
                <w:lang w:eastAsia="en-US"/>
              </w:rPr>
              <w:t xml:space="preserve"> savlaicīgi veikt izmeklējumus, izvērtēt augļa </w:t>
            </w:r>
            <w:r w:rsidRPr="004836A6">
              <w:rPr>
                <w:rFonts w:eastAsiaTheme="minorHAnsi"/>
                <w:b/>
                <w:color w:val="auto"/>
                <w:sz w:val="25"/>
                <w:szCs w:val="25"/>
                <w:lang w:eastAsia="en-US"/>
              </w:rPr>
              <w:t xml:space="preserve"> </w:t>
            </w:r>
            <w:proofErr w:type="spellStart"/>
            <w:r w:rsidRPr="004836A6">
              <w:rPr>
                <w:rFonts w:eastAsiaTheme="minorHAnsi"/>
                <w:color w:val="auto"/>
                <w:sz w:val="25"/>
                <w:szCs w:val="25"/>
                <w:lang w:eastAsia="en-US"/>
              </w:rPr>
              <w:t>intrauterīno</w:t>
            </w:r>
            <w:proofErr w:type="spellEnd"/>
            <w:r w:rsidRPr="004836A6">
              <w:rPr>
                <w:rFonts w:eastAsiaTheme="minorHAnsi"/>
                <w:color w:val="auto"/>
                <w:sz w:val="25"/>
                <w:szCs w:val="25"/>
                <w:lang w:eastAsia="en-US"/>
              </w:rPr>
              <w:t xml:space="preserve"> stāvokli un lemt par tālāko grūtniecības vadīšanas stratēģiju</w:t>
            </w:r>
            <w:r w:rsidR="00750370" w:rsidRPr="004836A6">
              <w:rPr>
                <w:rFonts w:eastAsiaTheme="minorHAnsi"/>
                <w:color w:val="auto"/>
                <w:sz w:val="25"/>
                <w:szCs w:val="25"/>
                <w:lang w:eastAsia="en-US"/>
              </w:rPr>
              <w:t xml:space="preserve"> augļa iespējamās hipoksijas gadījumā</w:t>
            </w:r>
            <w:r w:rsidRPr="004836A6">
              <w:rPr>
                <w:rFonts w:eastAsiaTheme="minorHAnsi"/>
                <w:color w:val="auto"/>
                <w:sz w:val="25"/>
                <w:szCs w:val="25"/>
                <w:lang w:eastAsia="en-US"/>
              </w:rPr>
              <w:t>, tādējādi uzlabojot perinatālo iznākumu,</w:t>
            </w:r>
            <w:r w:rsidR="00750370" w:rsidRPr="004836A6">
              <w:rPr>
                <w:rFonts w:eastAsiaTheme="minorHAnsi"/>
                <w:color w:val="auto"/>
                <w:sz w:val="25"/>
                <w:szCs w:val="25"/>
                <w:lang w:eastAsia="en-US"/>
              </w:rPr>
              <w:t xml:space="preserve"> projekts paredz ārstniecības personai izskaidrot grūtniecei nozīmību pievērst uzmanību un sekot augļa kustībām</w:t>
            </w:r>
            <w:r w:rsidR="005E319A" w:rsidRPr="004836A6">
              <w:rPr>
                <w:rFonts w:eastAsiaTheme="minorHAnsi"/>
                <w:color w:val="auto"/>
                <w:sz w:val="25"/>
                <w:szCs w:val="25"/>
                <w:lang w:eastAsia="en-US"/>
              </w:rPr>
              <w:t>, jo sa</w:t>
            </w:r>
            <w:r w:rsidR="00752CFE" w:rsidRPr="004836A6">
              <w:rPr>
                <w:rFonts w:eastAsiaTheme="minorHAnsi"/>
                <w:color w:val="auto"/>
                <w:sz w:val="25"/>
                <w:szCs w:val="25"/>
                <w:lang w:eastAsia="en-US"/>
              </w:rPr>
              <w:t>ma</w:t>
            </w:r>
            <w:r w:rsidR="005E319A" w:rsidRPr="004836A6">
              <w:rPr>
                <w:rFonts w:eastAsiaTheme="minorHAnsi"/>
                <w:color w:val="auto"/>
                <w:sz w:val="25"/>
                <w:szCs w:val="25"/>
                <w:lang w:eastAsia="en-US"/>
              </w:rPr>
              <w:t xml:space="preserve">zināts augļa kustīgums var </w:t>
            </w:r>
            <w:r w:rsidR="0083696E" w:rsidRPr="004836A6">
              <w:rPr>
                <w:rFonts w:eastAsiaTheme="minorHAnsi"/>
                <w:color w:val="auto"/>
                <w:sz w:val="25"/>
                <w:szCs w:val="25"/>
                <w:lang w:eastAsia="en-US"/>
              </w:rPr>
              <w:t>būt saistīts ar</w:t>
            </w:r>
            <w:r w:rsidR="005E319A" w:rsidRPr="004836A6">
              <w:rPr>
                <w:rFonts w:eastAsiaTheme="minorHAnsi"/>
                <w:color w:val="auto"/>
                <w:sz w:val="25"/>
                <w:szCs w:val="25"/>
                <w:lang w:eastAsia="en-US"/>
              </w:rPr>
              <w:t xml:space="preserve"> augļa hipoks</w:t>
            </w:r>
            <w:r w:rsidR="0083696E" w:rsidRPr="004836A6">
              <w:rPr>
                <w:rFonts w:eastAsiaTheme="minorHAnsi"/>
                <w:color w:val="auto"/>
                <w:sz w:val="25"/>
                <w:szCs w:val="25"/>
                <w:lang w:eastAsia="en-US"/>
              </w:rPr>
              <w:t>iju</w:t>
            </w:r>
            <w:r w:rsidR="005E319A" w:rsidRPr="004836A6">
              <w:rPr>
                <w:rFonts w:eastAsiaTheme="minorHAnsi"/>
                <w:color w:val="auto"/>
                <w:sz w:val="25"/>
                <w:szCs w:val="25"/>
                <w:lang w:eastAsia="en-US"/>
              </w:rPr>
              <w:t>.</w:t>
            </w:r>
          </w:p>
          <w:p w14:paraId="2957627C" w14:textId="0434E428" w:rsidR="00A9427C" w:rsidRPr="004836A6" w:rsidRDefault="00A9427C" w:rsidP="00A9427C">
            <w:pPr>
              <w:shd w:val="clear" w:color="auto" w:fill="FFFFFF"/>
              <w:jc w:val="both"/>
              <w:rPr>
                <w:color w:val="auto"/>
                <w:sz w:val="25"/>
                <w:szCs w:val="25"/>
              </w:rPr>
            </w:pPr>
            <w:r w:rsidRPr="004836A6">
              <w:rPr>
                <w:color w:val="auto"/>
                <w:sz w:val="25"/>
                <w:szCs w:val="25"/>
              </w:rPr>
              <w:t>Projekta 1.</w:t>
            </w:r>
            <w:r w:rsidR="00934627" w:rsidRPr="004836A6">
              <w:rPr>
                <w:color w:val="auto"/>
                <w:sz w:val="25"/>
                <w:szCs w:val="25"/>
              </w:rPr>
              <w:t>8</w:t>
            </w:r>
            <w:r w:rsidRPr="004836A6">
              <w:rPr>
                <w:color w:val="auto"/>
                <w:sz w:val="25"/>
                <w:szCs w:val="25"/>
              </w:rPr>
              <w:t>. un 1.</w:t>
            </w:r>
            <w:r w:rsidR="00934627" w:rsidRPr="004836A6">
              <w:rPr>
                <w:color w:val="auto"/>
                <w:sz w:val="25"/>
                <w:szCs w:val="25"/>
              </w:rPr>
              <w:t>9</w:t>
            </w:r>
            <w:r w:rsidRPr="004836A6">
              <w:rPr>
                <w:color w:val="auto"/>
                <w:sz w:val="25"/>
                <w:szCs w:val="25"/>
              </w:rPr>
              <w:t>. apakšpunkts stājas spēkā 2021. gada 1. janvārī.</w:t>
            </w:r>
            <w:r w:rsidR="00726367" w:rsidRPr="004836A6">
              <w:rPr>
                <w:rFonts w:eastAsiaTheme="minorEastAsia"/>
                <w:bCs/>
                <w:color w:val="auto"/>
                <w:sz w:val="25"/>
                <w:szCs w:val="25"/>
                <w:shd w:val="clear" w:color="auto" w:fill="FFFFFF"/>
              </w:rPr>
              <w:t xml:space="preserve"> </w:t>
            </w:r>
            <w:r w:rsidR="00D32728" w:rsidRPr="004836A6">
              <w:rPr>
                <w:rFonts w:eastAsiaTheme="minorEastAsia"/>
                <w:bCs/>
                <w:color w:val="auto"/>
                <w:sz w:val="25"/>
                <w:szCs w:val="25"/>
                <w:shd w:val="clear" w:color="auto" w:fill="FFFFFF"/>
              </w:rPr>
              <w:t>Pārējās Projektā iekļautās tiesību normas stājas spēkā</w:t>
            </w:r>
            <w:r w:rsidR="00726367" w:rsidRPr="004836A6">
              <w:rPr>
                <w:rFonts w:eastAsiaTheme="minorEastAsia"/>
                <w:bCs/>
                <w:color w:val="auto"/>
                <w:sz w:val="25"/>
                <w:szCs w:val="25"/>
                <w:shd w:val="clear" w:color="auto" w:fill="FFFFFF"/>
              </w:rPr>
              <w:t xml:space="preserve"> Oficiālo publikāciju un tiesiskās informācijas likumā noteiktajā kārtībā.</w:t>
            </w:r>
          </w:p>
          <w:p w14:paraId="09AD76D8" w14:textId="71C3D5CF" w:rsidR="00120825" w:rsidRPr="004836A6" w:rsidRDefault="00120825" w:rsidP="003F11F2">
            <w:pPr>
              <w:spacing w:after="120"/>
              <w:jc w:val="both"/>
              <w:rPr>
                <w:iCs/>
                <w:color w:val="auto"/>
                <w:sz w:val="25"/>
                <w:szCs w:val="25"/>
              </w:rPr>
            </w:pPr>
          </w:p>
        </w:tc>
      </w:tr>
    </w:tbl>
    <w:p w14:paraId="62F55401" w14:textId="77777777" w:rsidR="00D32728" w:rsidRPr="004836A6" w:rsidRDefault="00D32728">
      <w:pPr>
        <w:jc w:val="center"/>
        <w:rPr>
          <w:color w:val="auto"/>
          <w:sz w:val="25"/>
          <w:szCs w:val="25"/>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275"/>
        <w:gridCol w:w="1985"/>
        <w:gridCol w:w="6795"/>
      </w:tblGrid>
      <w:tr w:rsidR="00BE0152" w:rsidRPr="004836A6" w14:paraId="6CB856EB" w14:textId="77777777" w:rsidTr="00313587">
        <w:trPr>
          <w:trHeight w:val="217"/>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14:paraId="23BB8A60" w14:textId="77777777" w:rsidR="00C06509" w:rsidRPr="004836A6" w:rsidRDefault="00C123BF">
            <w:pPr>
              <w:contextualSpacing/>
              <w:jc w:val="center"/>
              <w:rPr>
                <w:color w:val="auto"/>
                <w:sz w:val="25"/>
                <w:szCs w:val="25"/>
              </w:rPr>
            </w:pPr>
            <w:r w:rsidRPr="004836A6">
              <w:rPr>
                <w:b/>
                <w:bCs/>
                <w:color w:val="auto"/>
                <w:sz w:val="25"/>
                <w:szCs w:val="25"/>
              </w:rPr>
              <w:t>I. Tiesību akta projekta izstrādes nepieciešamība</w:t>
            </w:r>
          </w:p>
        </w:tc>
      </w:tr>
      <w:tr w:rsidR="00BE0152" w:rsidRPr="004836A6" w14:paraId="168D7861" w14:textId="77777777" w:rsidTr="003A5025">
        <w:trPr>
          <w:trHeight w:val="375"/>
        </w:trPr>
        <w:tc>
          <w:tcPr>
            <w:tcW w:w="152"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76EB7199" w14:textId="77777777" w:rsidR="00C06509" w:rsidRPr="004836A6" w:rsidRDefault="00C123BF">
            <w:pPr>
              <w:contextualSpacing/>
              <w:rPr>
                <w:color w:val="auto"/>
                <w:sz w:val="25"/>
                <w:szCs w:val="25"/>
              </w:rPr>
            </w:pPr>
            <w:r w:rsidRPr="004836A6">
              <w:rPr>
                <w:color w:val="auto"/>
                <w:sz w:val="25"/>
                <w:szCs w:val="25"/>
              </w:rPr>
              <w:t>1.</w:t>
            </w:r>
          </w:p>
        </w:tc>
        <w:tc>
          <w:tcPr>
            <w:tcW w:w="1096"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1720114" w14:textId="77777777" w:rsidR="00C06509" w:rsidRPr="004836A6" w:rsidRDefault="00C123BF">
            <w:pPr>
              <w:contextualSpacing/>
              <w:rPr>
                <w:color w:val="auto"/>
                <w:sz w:val="25"/>
                <w:szCs w:val="25"/>
              </w:rPr>
            </w:pPr>
            <w:r w:rsidRPr="004836A6">
              <w:rPr>
                <w:color w:val="auto"/>
                <w:sz w:val="25"/>
                <w:szCs w:val="25"/>
              </w:rPr>
              <w:t>Pamatojums</w:t>
            </w:r>
          </w:p>
        </w:tc>
        <w:tc>
          <w:tcPr>
            <w:tcW w:w="3752"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DA037E7" w14:textId="77777777" w:rsidR="00C06509" w:rsidRPr="004836A6" w:rsidRDefault="00C123BF">
            <w:pPr>
              <w:jc w:val="both"/>
              <w:rPr>
                <w:color w:val="auto"/>
                <w:sz w:val="25"/>
                <w:szCs w:val="25"/>
                <w:highlight w:val="white"/>
              </w:rPr>
            </w:pPr>
            <w:r w:rsidRPr="004836A6">
              <w:rPr>
                <w:rFonts w:eastAsiaTheme="minorEastAsia"/>
                <w:bCs/>
                <w:color w:val="auto"/>
                <w:sz w:val="25"/>
                <w:szCs w:val="25"/>
              </w:rPr>
              <w:t>Projekts</w:t>
            </w:r>
            <w:r w:rsidR="003048C9" w:rsidRPr="004836A6">
              <w:rPr>
                <w:rFonts w:eastAsiaTheme="minorEastAsia"/>
                <w:bCs/>
                <w:color w:val="auto"/>
                <w:sz w:val="25"/>
                <w:szCs w:val="25"/>
              </w:rPr>
              <w:t xml:space="preserve"> </w:t>
            </w:r>
            <w:r w:rsidRPr="004836A6">
              <w:rPr>
                <w:rFonts w:eastAsiaTheme="minorEastAsia"/>
                <w:bCs/>
                <w:color w:val="auto"/>
                <w:sz w:val="25"/>
                <w:szCs w:val="25"/>
              </w:rPr>
              <w:t>ir izstrādāts, lai īstenotu</w:t>
            </w:r>
            <w:r w:rsidRPr="004836A6">
              <w:rPr>
                <w:rFonts w:eastAsiaTheme="minorEastAsia"/>
                <w:color w:val="auto"/>
                <w:sz w:val="25"/>
                <w:szCs w:val="25"/>
              </w:rPr>
              <w:t xml:space="preserve"> Mātes un bērna veselības uzlabošanas plāna 2018. – 2020. gadam (apstiprināts ar Ministru kabineta 2018. gada 6. jūnija rīkojumu Nr. 259) (turpmāk – Plāns) 2.2. un 2.6. apakšpunktā ietvertos pasākumus</w:t>
            </w:r>
            <w:r w:rsidRPr="004836A6">
              <w:rPr>
                <w:color w:val="auto"/>
                <w:sz w:val="25"/>
                <w:szCs w:val="25"/>
              </w:rPr>
              <w:t>.</w:t>
            </w:r>
          </w:p>
        </w:tc>
      </w:tr>
      <w:tr w:rsidR="00BE0152" w:rsidRPr="004836A6" w14:paraId="57794139" w14:textId="77777777" w:rsidTr="003A5025">
        <w:trPr>
          <w:trHeight w:val="431"/>
        </w:trPr>
        <w:tc>
          <w:tcPr>
            <w:tcW w:w="152"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C4FE473" w14:textId="77777777" w:rsidR="00C06509" w:rsidRPr="004836A6" w:rsidRDefault="00C123BF">
            <w:pPr>
              <w:spacing w:before="75" w:after="75"/>
              <w:contextualSpacing/>
              <w:rPr>
                <w:color w:val="auto"/>
                <w:sz w:val="25"/>
                <w:szCs w:val="25"/>
              </w:rPr>
            </w:pPr>
            <w:r w:rsidRPr="004836A6">
              <w:rPr>
                <w:color w:val="auto"/>
                <w:sz w:val="25"/>
                <w:szCs w:val="25"/>
              </w:rPr>
              <w:t>2.</w:t>
            </w:r>
          </w:p>
        </w:tc>
        <w:tc>
          <w:tcPr>
            <w:tcW w:w="1096"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2FFBE6FF" w14:textId="77777777" w:rsidR="00853063" w:rsidRPr="004836A6" w:rsidRDefault="00853063" w:rsidP="00853063">
            <w:pPr>
              <w:ind w:left="44"/>
              <w:rPr>
                <w:color w:val="auto"/>
                <w:sz w:val="25"/>
                <w:szCs w:val="25"/>
              </w:rPr>
            </w:pPr>
            <w:r w:rsidRPr="004836A6">
              <w:rPr>
                <w:color w:val="auto"/>
                <w:sz w:val="25"/>
                <w:szCs w:val="25"/>
              </w:rPr>
              <w:t xml:space="preserve">Pašreizējā situācija un </w:t>
            </w:r>
            <w:r w:rsidRPr="004836A6">
              <w:rPr>
                <w:color w:val="auto"/>
                <w:sz w:val="25"/>
                <w:szCs w:val="25"/>
              </w:rPr>
              <w:lastRenderedPageBreak/>
              <w:t>problēmas, kuru risināšanai tiesību akta projekts izstrādāts, tiesiskā regulējuma mērķis un būtība</w:t>
            </w:r>
          </w:p>
          <w:p w14:paraId="6DD98898" w14:textId="77777777" w:rsidR="00C06509" w:rsidRPr="004836A6" w:rsidRDefault="00C06509">
            <w:pPr>
              <w:contextualSpacing/>
              <w:rPr>
                <w:color w:val="auto"/>
                <w:sz w:val="25"/>
                <w:szCs w:val="25"/>
              </w:rPr>
            </w:pPr>
          </w:p>
          <w:p w14:paraId="4D5A25C1" w14:textId="77777777" w:rsidR="00C06509" w:rsidRPr="004836A6" w:rsidRDefault="00C06509">
            <w:pPr>
              <w:rPr>
                <w:color w:val="auto"/>
                <w:sz w:val="25"/>
                <w:szCs w:val="25"/>
              </w:rPr>
            </w:pPr>
          </w:p>
          <w:p w14:paraId="166744BE" w14:textId="77777777" w:rsidR="00C06509" w:rsidRPr="004836A6" w:rsidRDefault="00C06509">
            <w:pPr>
              <w:rPr>
                <w:color w:val="auto"/>
                <w:sz w:val="25"/>
                <w:szCs w:val="25"/>
              </w:rPr>
            </w:pPr>
          </w:p>
          <w:p w14:paraId="12C4E885" w14:textId="77777777" w:rsidR="00C06509" w:rsidRPr="004836A6" w:rsidRDefault="00C06509">
            <w:pPr>
              <w:rPr>
                <w:color w:val="auto"/>
                <w:sz w:val="25"/>
                <w:szCs w:val="25"/>
              </w:rPr>
            </w:pPr>
          </w:p>
          <w:p w14:paraId="2718F256" w14:textId="77777777" w:rsidR="00C06509" w:rsidRPr="004836A6" w:rsidRDefault="00C06509">
            <w:pPr>
              <w:rPr>
                <w:color w:val="auto"/>
                <w:sz w:val="25"/>
                <w:szCs w:val="25"/>
              </w:rPr>
            </w:pPr>
          </w:p>
          <w:p w14:paraId="031593AE" w14:textId="77777777" w:rsidR="00C06509" w:rsidRPr="004836A6" w:rsidRDefault="00C06509">
            <w:pPr>
              <w:rPr>
                <w:color w:val="auto"/>
                <w:sz w:val="25"/>
                <w:szCs w:val="25"/>
              </w:rPr>
            </w:pPr>
          </w:p>
          <w:p w14:paraId="6DCF23CB" w14:textId="77777777" w:rsidR="00C06509" w:rsidRPr="004836A6" w:rsidRDefault="00C06509">
            <w:pPr>
              <w:rPr>
                <w:color w:val="auto"/>
                <w:sz w:val="25"/>
                <w:szCs w:val="25"/>
              </w:rPr>
            </w:pPr>
          </w:p>
          <w:p w14:paraId="3E9D1BAF" w14:textId="77777777" w:rsidR="00C06509" w:rsidRPr="004836A6" w:rsidRDefault="00C06509">
            <w:pPr>
              <w:rPr>
                <w:color w:val="auto"/>
                <w:sz w:val="25"/>
                <w:szCs w:val="25"/>
              </w:rPr>
            </w:pPr>
          </w:p>
          <w:p w14:paraId="2C3BD993" w14:textId="77777777" w:rsidR="00C06509" w:rsidRPr="004836A6" w:rsidRDefault="00C06509">
            <w:pPr>
              <w:rPr>
                <w:color w:val="auto"/>
                <w:sz w:val="25"/>
                <w:szCs w:val="25"/>
              </w:rPr>
            </w:pPr>
          </w:p>
          <w:p w14:paraId="0F169D72" w14:textId="77777777" w:rsidR="00C06509" w:rsidRPr="004836A6" w:rsidRDefault="00C06509">
            <w:pPr>
              <w:rPr>
                <w:color w:val="auto"/>
                <w:sz w:val="25"/>
                <w:szCs w:val="25"/>
              </w:rPr>
            </w:pPr>
          </w:p>
          <w:p w14:paraId="71A2C500" w14:textId="77777777" w:rsidR="00C06509" w:rsidRPr="004836A6" w:rsidRDefault="00C06509">
            <w:pPr>
              <w:rPr>
                <w:color w:val="auto"/>
                <w:sz w:val="25"/>
                <w:szCs w:val="25"/>
              </w:rPr>
            </w:pPr>
          </w:p>
          <w:p w14:paraId="0C6C7FBF" w14:textId="77777777" w:rsidR="00C06509" w:rsidRPr="004836A6" w:rsidRDefault="00C06509">
            <w:pPr>
              <w:rPr>
                <w:color w:val="auto"/>
                <w:sz w:val="25"/>
                <w:szCs w:val="25"/>
              </w:rPr>
            </w:pPr>
          </w:p>
          <w:p w14:paraId="396D87D9" w14:textId="77777777" w:rsidR="00C06509" w:rsidRPr="004836A6" w:rsidRDefault="00C06509">
            <w:pPr>
              <w:rPr>
                <w:color w:val="auto"/>
                <w:sz w:val="25"/>
                <w:szCs w:val="25"/>
              </w:rPr>
            </w:pPr>
          </w:p>
          <w:p w14:paraId="3A0151EB" w14:textId="77777777" w:rsidR="00C06509" w:rsidRPr="004836A6" w:rsidRDefault="00C06509">
            <w:pPr>
              <w:rPr>
                <w:color w:val="auto"/>
                <w:sz w:val="25"/>
                <w:szCs w:val="25"/>
              </w:rPr>
            </w:pPr>
          </w:p>
          <w:p w14:paraId="5FB08627" w14:textId="77777777" w:rsidR="00C06509" w:rsidRPr="004836A6" w:rsidRDefault="00C06509">
            <w:pPr>
              <w:rPr>
                <w:color w:val="auto"/>
                <w:sz w:val="25"/>
                <w:szCs w:val="25"/>
              </w:rPr>
            </w:pPr>
          </w:p>
          <w:p w14:paraId="12176195" w14:textId="77777777" w:rsidR="00C06509" w:rsidRPr="004836A6" w:rsidRDefault="00C06509">
            <w:pPr>
              <w:rPr>
                <w:color w:val="auto"/>
                <w:sz w:val="25"/>
                <w:szCs w:val="25"/>
              </w:rPr>
            </w:pPr>
          </w:p>
          <w:p w14:paraId="26075BAF" w14:textId="77777777" w:rsidR="00C06509" w:rsidRPr="004836A6" w:rsidRDefault="00C06509">
            <w:pPr>
              <w:ind w:firstLine="720"/>
              <w:rPr>
                <w:color w:val="auto"/>
                <w:sz w:val="25"/>
                <w:szCs w:val="25"/>
              </w:rPr>
            </w:pPr>
          </w:p>
          <w:p w14:paraId="03551827" w14:textId="77777777" w:rsidR="00C06509" w:rsidRPr="004836A6" w:rsidRDefault="00C06509">
            <w:pPr>
              <w:rPr>
                <w:color w:val="auto"/>
                <w:sz w:val="25"/>
                <w:szCs w:val="25"/>
              </w:rPr>
            </w:pPr>
          </w:p>
          <w:p w14:paraId="728C3FE5" w14:textId="77777777" w:rsidR="00C06509" w:rsidRPr="004836A6" w:rsidRDefault="00C06509">
            <w:pPr>
              <w:rPr>
                <w:color w:val="auto"/>
                <w:sz w:val="25"/>
                <w:szCs w:val="25"/>
              </w:rPr>
            </w:pPr>
          </w:p>
          <w:p w14:paraId="097C2916" w14:textId="77777777" w:rsidR="00C06509" w:rsidRPr="004836A6" w:rsidRDefault="00C06509">
            <w:pPr>
              <w:rPr>
                <w:color w:val="auto"/>
                <w:sz w:val="25"/>
                <w:szCs w:val="25"/>
              </w:rPr>
            </w:pPr>
          </w:p>
          <w:p w14:paraId="7B40E2F7" w14:textId="77777777" w:rsidR="00C06509" w:rsidRPr="004836A6" w:rsidRDefault="00C06509">
            <w:pPr>
              <w:rPr>
                <w:color w:val="auto"/>
                <w:sz w:val="25"/>
                <w:szCs w:val="25"/>
              </w:rPr>
            </w:pPr>
          </w:p>
          <w:p w14:paraId="035023DB" w14:textId="77777777" w:rsidR="00C06509" w:rsidRPr="004836A6" w:rsidRDefault="00C06509">
            <w:pPr>
              <w:rPr>
                <w:color w:val="auto"/>
                <w:sz w:val="25"/>
                <w:szCs w:val="25"/>
              </w:rPr>
            </w:pPr>
          </w:p>
          <w:p w14:paraId="347C416E" w14:textId="77777777" w:rsidR="00C06509" w:rsidRPr="004836A6" w:rsidRDefault="00C06509">
            <w:pPr>
              <w:rPr>
                <w:color w:val="auto"/>
                <w:sz w:val="25"/>
                <w:szCs w:val="25"/>
              </w:rPr>
            </w:pPr>
          </w:p>
          <w:p w14:paraId="1DE6EDA2" w14:textId="77777777" w:rsidR="00C06509" w:rsidRPr="004836A6" w:rsidRDefault="00C06509">
            <w:pPr>
              <w:rPr>
                <w:color w:val="auto"/>
                <w:sz w:val="25"/>
                <w:szCs w:val="25"/>
              </w:rPr>
            </w:pPr>
          </w:p>
          <w:p w14:paraId="3F373412" w14:textId="77777777" w:rsidR="00C06509" w:rsidRPr="004836A6" w:rsidRDefault="00C06509">
            <w:pPr>
              <w:rPr>
                <w:color w:val="auto"/>
                <w:sz w:val="25"/>
                <w:szCs w:val="25"/>
              </w:rPr>
            </w:pPr>
          </w:p>
          <w:p w14:paraId="43D576AC" w14:textId="77777777" w:rsidR="00C06509" w:rsidRPr="004836A6" w:rsidRDefault="00C06509">
            <w:pPr>
              <w:rPr>
                <w:color w:val="auto"/>
                <w:sz w:val="25"/>
                <w:szCs w:val="25"/>
              </w:rPr>
            </w:pPr>
          </w:p>
          <w:p w14:paraId="6F36800B" w14:textId="77777777" w:rsidR="00C06509" w:rsidRPr="004836A6" w:rsidRDefault="00C06509">
            <w:pPr>
              <w:rPr>
                <w:color w:val="auto"/>
                <w:sz w:val="25"/>
                <w:szCs w:val="25"/>
              </w:rPr>
            </w:pPr>
          </w:p>
          <w:p w14:paraId="18DB24DA" w14:textId="77777777" w:rsidR="00C06509" w:rsidRPr="004836A6" w:rsidRDefault="00C06509">
            <w:pPr>
              <w:rPr>
                <w:color w:val="auto"/>
                <w:sz w:val="25"/>
                <w:szCs w:val="25"/>
              </w:rPr>
            </w:pPr>
          </w:p>
          <w:p w14:paraId="2A21869B" w14:textId="77777777" w:rsidR="00C06509" w:rsidRPr="004836A6" w:rsidRDefault="00C06509">
            <w:pPr>
              <w:rPr>
                <w:color w:val="auto"/>
                <w:sz w:val="25"/>
                <w:szCs w:val="25"/>
              </w:rPr>
            </w:pPr>
          </w:p>
          <w:p w14:paraId="63359FC1" w14:textId="77777777" w:rsidR="00C06509" w:rsidRPr="004836A6" w:rsidRDefault="00C06509">
            <w:pPr>
              <w:rPr>
                <w:color w:val="auto"/>
                <w:sz w:val="25"/>
                <w:szCs w:val="25"/>
              </w:rPr>
            </w:pPr>
          </w:p>
          <w:p w14:paraId="1B3E98D7" w14:textId="77777777" w:rsidR="00C06509" w:rsidRPr="004836A6" w:rsidRDefault="00C06509">
            <w:pPr>
              <w:rPr>
                <w:color w:val="auto"/>
                <w:sz w:val="25"/>
                <w:szCs w:val="25"/>
              </w:rPr>
            </w:pPr>
          </w:p>
          <w:p w14:paraId="4B7A2EE5" w14:textId="77777777" w:rsidR="00C06509" w:rsidRPr="004836A6" w:rsidRDefault="00C06509">
            <w:pPr>
              <w:rPr>
                <w:color w:val="auto"/>
                <w:sz w:val="25"/>
                <w:szCs w:val="25"/>
              </w:rPr>
            </w:pPr>
          </w:p>
          <w:p w14:paraId="2965E946" w14:textId="77777777" w:rsidR="00C06509" w:rsidRPr="004836A6" w:rsidRDefault="00C06509">
            <w:pPr>
              <w:rPr>
                <w:color w:val="auto"/>
                <w:sz w:val="25"/>
                <w:szCs w:val="25"/>
              </w:rPr>
            </w:pPr>
          </w:p>
          <w:p w14:paraId="45B2F35A" w14:textId="77777777" w:rsidR="00C06509" w:rsidRPr="004836A6" w:rsidRDefault="00C06509">
            <w:pPr>
              <w:rPr>
                <w:color w:val="auto"/>
                <w:sz w:val="25"/>
                <w:szCs w:val="25"/>
              </w:rPr>
            </w:pPr>
          </w:p>
          <w:p w14:paraId="2B328247" w14:textId="77777777" w:rsidR="00C06509" w:rsidRPr="004836A6" w:rsidRDefault="00C06509">
            <w:pPr>
              <w:rPr>
                <w:color w:val="auto"/>
                <w:sz w:val="25"/>
                <w:szCs w:val="25"/>
              </w:rPr>
            </w:pPr>
          </w:p>
          <w:p w14:paraId="1E56FC22" w14:textId="77777777" w:rsidR="006818A7" w:rsidRPr="004836A6" w:rsidRDefault="006818A7" w:rsidP="006818A7">
            <w:pPr>
              <w:rPr>
                <w:sz w:val="25"/>
                <w:szCs w:val="25"/>
              </w:rPr>
            </w:pPr>
          </w:p>
          <w:p w14:paraId="273F0219" w14:textId="77777777" w:rsidR="006818A7" w:rsidRPr="004836A6" w:rsidRDefault="006818A7" w:rsidP="006818A7">
            <w:pPr>
              <w:rPr>
                <w:sz w:val="25"/>
                <w:szCs w:val="25"/>
              </w:rPr>
            </w:pPr>
          </w:p>
          <w:p w14:paraId="369ADD5C" w14:textId="77777777" w:rsidR="006818A7" w:rsidRPr="004836A6" w:rsidRDefault="006818A7" w:rsidP="006818A7">
            <w:pPr>
              <w:rPr>
                <w:sz w:val="25"/>
                <w:szCs w:val="25"/>
              </w:rPr>
            </w:pPr>
          </w:p>
          <w:p w14:paraId="7EDC21D6" w14:textId="77777777" w:rsidR="006818A7" w:rsidRPr="004836A6" w:rsidRDefault="006818A7" w:rsidP="006818A7">
            <w:pPr>
              <w:rPr>
                <w:sz w:val="25"/>
                <w:szCs w:val="25"/>
              </w:rPr>
            </w:pPr>
          </w:p>
          <w:p w14:paraId="6A2F2150" w14:textId="77777777" w:rsidR="006818A7" w:rsidRPr="004836A6" w:rsidRDefault="006818A7" w:rsidP="006818A7">
            <w:pPr>
              <w:rPr>
                <w:sz w:val="25"/>
                <w:szCs w:val="25"/>
              </w:rPr>
            </w:pPr>
          </w:p>
          <w:p w14:paraId="6FA71070" w14:textId="77777777" w:rsidR="006818A7" w:rsidRPr="004836A6" w:rsidRDefault="006818A7" w:rsidP="006818A7">
            <w:pPr>
              <w:rPr>
                <w:sz w:val="25"/>
                <w:szCs w:val="25"/>
              </w:rPr>
            </w:pPr>
          </w:p>
          <w:p w14:paraId="4DA442ED" w14:textId="77777777" w:rsidR="006818A7" w:rsidRPr="004836A6" w:rsidRDefault="006818A7" w:rsidP="006818A7">
            <w:pPr>
              <w:rPr>
                <w:sz w:val="25"/>
                <w:szCs w:val="25"/>
              </w:rPr>
            </w:pPr>
          </w:p>
          <w:p w14:paraId="2572BF22" w14:textId="77777777" w:rsidR="006818A7" w:rsidRPr="004836A6" w:rsidRDefault="006818A7" w:rsidP="006818A7">
            <w:pPr>
              <w:rPr>
                <w:sz w:val="25"/>
                <w:szCs w:val="25"/>
              </w:rPr>
            </w:pPr>
          </w:p>
          <w:p w14:paraId="36A36CE0" w14:textId="77777777" w:rsidR="006818A7" w:rsidRPr="004836A6" w:rsidRDefault="006818A7" w:rsidP="006818A7">
            <w:pPr>
              <w:rPr>
                <w:sz w:val="25"/>
                <w:szCs w:val="25"/>
              </w:rPr>
            </w:pPr>
          </w:p>
          <w:p w14:paraId="7D5BD79E" w14:textId="77777777" w:rsidR="006818A7" w:rsidRPr="004836A6" w:rsidRDefault="006818A7" w:rsidP="006818A7">
            <w:pPr>
              <w:rPr>
                <w:sz w:val="25"/>
                <w:szCs w:val="25"/>
              </w:rPr>
            </w:pPr>
          </w:p>
          <w:p w14:paraId="0D464A55" w14:textId="77777777" w:rsidR="006818A7" w:rsidRPr="004836A6" w:rsidRDefault="006818A7" w:rsidP="006818A7">
            <w:pPr>
              <w:rPr>
                <w:sz w:val="25"/>
                <w:szCs w:val="25"/>
              </w:rPr>
            </w:pPr>
          </w:p>
          <w:p w14:paraId="42F505C5" w14:textId="77777777" w:rsidR="006818A7" w:rsidRPr="004836A6" w:rsidRDefault="006818A7" w:rsidP="006818A7">
            <w:pPr>
              <w:rPr>
                <w:sz w:val="25"/>
                <w:szCs w:val="25"/>
              </w:rPr>
            </w:pPr>
          </w:p>
          <w:p w14:paraId="77256682" w14:textId="77777777" w:rsidR="006818A7" w:rsidRPr="004836A6" w:rsidRDefault="006818A7" w:rsidP="006818A7">
            <w:pPr>
              <w:rPr>
                <w:color w:val="auto"/>
                <w:sz w:val="25"/>
                <w:szCs w:val="25"/>
              </w:rPr>
            </w:pPr>
          </w:p>
          <w:p w14:paraId="7D2EA420" w14:textId="4CEB3A38" w:rsidR="006818A7" w:rsidRPr="004836A6" w:rsidRDefault="006818A7" w:rsidP="006818A7">
            <w:pPr>
              <w:jc w:val="center"/>
              <w:rPr>
                <w:sz w:val="25"/>
                <w:szCs w:val="25"/>
              </w:rPr>
            </w:pPr>
          </w:p>
        </w:tc>
        <w:tc>
          <w:tcPr>
            <w:tcW w:w="3752"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15B5711" w14:textId="3DE3F956" w:rsidR="000672F3" w:rsidRPr="004836A6" w:rsidRDefault="00C123BF" w:rsidP="000672F3">
            <w:pPr>
              <w:spacing w:after="120"/>
              <w:jc w:val="both"/>
              <w:rPr>
                <w:color w:val="auto"/>
                <w:sz w:val="25"/>
                <w:szCs w:val="25"/>
                <w:highlight w:val="white"/>
              </w:rPr>
            </w:pPr>
            <w:r w:rsidRPr="004836A6">
              <w:rPr>
                <w:rFonts w:eastAsia="Arial Unicode MS"/>
                <w:b/>
                <w:color w:val="auto"/>
                <w:sz w:val="25"/>
                <w:szCs w:val="25"/>
                <w:u w:color="000000"/>
              </w:rPr>
              <w:lastRenderedPageBreak/>
              <w:t xml:space="preserve">1. </w:t>
            </w:r>
            <w:r w:rsidRPr="004836A6">
              <w:rPr>
                <w:rFonts w:eastAsia="Arial Unicode MS"/>
                <w:color w:val="auto"/>
                <w:sz w:val="25"/>
                <w:szCs w:val="25"/>
                <w:u w:color="000000"/>
              </w:rPr>
              <w:t>Veselības aprūpes finansēšanas likuma, kas</w:t>
            </w:r>
            <w:r w:rsidRPr="004836A6">
              <w:rPr>
                <w:rFonts w:eastAsia="Arial Unicode MS"/>
                <w:b/>
                <w:color w:val="auto"/>
                <w:sz w:val="25"/>
                <w:szCs w:val="25"/>
                <w:u w:color="000000"/>
              </w:rPr>
              <w:t xml:space="preserve"> </w:t>
            </w:r>
            <w:r w:rsidRPr="004836A6">
              <w:rPr>
                <w:rFonts w:eastAsia="Arial Unicode MS"/>
                <w:color w:val="auto"/>
                <w:sz w:val="25"/>
                <w:szCs w:val="25"/>
                <w:u w:color="000000"/>
              </w:rPr>
              <w:t xml:space="preserve">ir stājies spēkā 2018. gada 1. janvārī, 6. panta otrās daļas 2. punkts paredz, ka </w:t>
            </w:r>
            <w:r w:rsidRPr="004836A6">
              <w:rPr>
                <w:color w:val="auto"/>
                <w:sz w:val="25"/>
                <w:szCs w:val="25"/>
                <w:shd w:val="clear" w:color="auto" w:fill="FFFFFF"/>
              </w:rPr>
              <w:t xml:space="preserve">grūtnieces </w:t>
            </w:r>
            <w:r w:rsidRPr="004836A6">
              <w:rPr>
                <w:color w:val="auto"/>
                <w:sz w:val="25"/>
                <w:szCs w:val="25"/>
                <w:shd w:val="clear" w:color="auto" w:fill="FFFFFF"/>
              </w:rPr>
              <w:lastRenderedPageBreak/>
              <w:t xml:space="preserve">un sievietes pēcdzemdību periodā līdz 70 dienām, ja tiek saņemti veselības aprūpes pakalpojumi, kas saistīti ar grūtniecības un pēcdzemdību novērošanu un grūtniecības norisi, ir atbrīvotas no pacienta līdzmaksājuma. </w:t>
            </w:r>
            <w:r w:rsidR="00CA5359" w:rsidRPr="004836A6">
              <w:rPr>
                <w:color w:val="auto"/>
                <w:sz w:val="25"/>
                <w:szCs w:val="25"/>
                <w:shd w:val="clear" w:color="auto" w:fill="FFFFFF"/>
              </w:rPr>
              <w:t>Lai novērstu pretrunas normatīvajos aktos, a</w:t>
            </w:r>
            <w:r w:rsidRPr="004836A6">
              <w:rPr>
                <w:color w:val="auto"/>
                <w:sz w:val="25"/>
                <w:szCs w:val="25"/>
                <w:shd w:val="clear" w:color="auto" w:fill="FFFFFF"/>
              </w:rPr>
              <w:t>tbilstoši minētajai tiesību normai</w:t>
            </w:r>
            <w:r w:rsidR="00A62D36" w:rsidRPr="004836A6">
              <w:rPr>
                <w:color w:val="auto"/>
                <w:sz w:val="25"/>
                <w:szCs w:val="25"/>
                <w:shd w:val="clear" w:color="auto" w:fill="FFFFFF"/>
              </w:rPr>
              <w:t>,</w:t>
            </w:r>
            <w:r w:rsidR="00AB7441" w:rsidRPr="004836A6">
              <w:rPr>
                <w:color w:val="auto"/>
                <w:sz w:val="25"/>
                <w:szCs w:val="25"/>
                <w:shd w:val="clear" w:color="auto" w:fill="FFFFFF"/>
              </w:rPr>
              <w:t xml:space="preserve"> ir </w:t>
            </w:r>
            <w:r w:rsidR="00176C21" w:rsidRPr="004836A6">
              <w:rPr>
                <w:color w:val="auto"/>
                <w:sz w:val="25"/>
                <w:szCs w:val="25"/>
                <w:shd w:val="clear" w:color="auto" w:fill="FFFFFF"/>
              </w:rPr>
              <w:t>precizējams</w:t>
            </w:r>
            <w:r w:rsidR="00AB7441" w:rsidRPr="004836A6">
              <w:rPr>
                <w:color w:val="auto"/>
                <w:sz w:val="25"/>
                <w:szCs w:val="25"/>
                <w:shd w:val="clear" w:color="auto" w:fill="FFFFFF"/>
              </w:rPr>
              <w:t xml:space="preserve"> </w:t>
            </w:r>
            <w:r w:rsidRPr="004836A6">
              <w:rPr>
                <w:color w:val="auto"/>
                <w:sz w:val="25"/>
                <w:szCs w:val="25"/>
                <w:shd w:val="clear" w:color="auto" w:fill="FFFFFF"/>
              </w:rPr>
              <w:t>Noteikumu Nr. 611 9. punkt</w:t>
            </w:r>
            <w:r w:rsidR="00AB7441" w:rsidRPr="004836A6">
              <w:rPr>
                <w:color w:val="auto"/>
                <w:sz w:val="25"/>
                <w:szCs w:val="25"/>
                <w:shd w:val="clear" w:color="auto" w:fill="FFFFFF"/>
              </w:rPr>
              <w:t>s</w:t>
            </w:r>
            <w:r w:rsidRPr="004836A6">
              <w:rPr>
                <w:color w:val="auto"/>
                <w:sz w:val="25"/>
                <w:szCs w:val="25"/>
                <w:shd w:val="clear" w:color="auto" w:fill="FFFFFF"/>
              </w:rPr>
              <w:t>, kurā noteikts, ka dzemdību palīdzību nedēļniecei (42 kalendāra dienas pēc dzemdībām) atbilstoši šo noteikumu 1. pielikumā minētajam, kā arī individuālajām medicīniskajām indikācijām sniedz ginekologs (dzemdību speciālists) vai vecmāte</w:t>
            </w:r>
            <w:r w:rsidR="00AB7441" w:rsidRPr="004836A6">
              <w:rPr>
                <w:color w:val="auto"/>
                <w:sz w:val="25"/>
                <w:szCs w:val="25"/>
                <w:shd w:val="clear" w:color="auto" w:fill="FFFFFF"/>
              </w:rPr>
              <w:t>.</w:t>
            </w:r>
            <w:r w:rsidRPr="004836A6">
              <w:rPr>
                <w:color w:val="auto"/>
                <w:sz w:val="25"/>
                <w:szCs w:val="25"/>
                <w:shd w:val="clear" w:color="auto" w:fill="FFFFFF"/>
              </w:rPr>
              <w:t xml:space="preserve"> </w:t>
            </w:r>
            <w:r w:rsidR="00AB7441" w:rsidRPr="004836A6">
              <w:rPr>
                <w:color w:val="auto"/>
                <w:sz w:val="25"/>
                <w:szCs w:val="25"/>
                <w:shd w:val="clear" w:color="auto" w:fill="FFFFFF"/>
              </w:rPr>
              <w:t>Līdz ar to p</w:t>
            </w:r>
            <w:r w:rsidR="00B41F04" w:rsidRPr="004836A6">
              <w:rPr>
                <w:color w:val="auto"/>
                <w:sz w:val="25"/>
                <w:szCs w:val="25"/>
                <w:shd w:val="clear" w:color="auto" w:fill="FFFFFF"/>
              </w:rPr>
              <w:t xml:space="preserve">rojektā </w:t>
            </w:r>
            <w:r w:rsidRPr="004836A6">
              <w:rPr>
                <w:color w:val="auto"/>
                <w:sz w:val="25"/>
                <w:szCs w:val="25"/>
                <w:shd w:val="clear" w:color="auto" w:fill="FFFFFF"/>
              </w:rPr>
              <w:t>precizē</w:t>
            </w:r>
            <w:r w:rsidR="00AB7441" w:rsidRPr="004836A6">
              <w:rPr>
                <w:color w:val="auto"/>
                <w:sz w:val="25"/>
                <w:szCs w:val="25"/>
                <w:shd w:val="clear" w:color="auto" w:fill="FFFFFF"/>
              </w:rPr>
              <w:t>ts</w:t>
            </w:r>
            <w:r w:rsidRPr="004836A6">
              <w:rPr>
                <w:color w:val="auto"/>
                <w:sz w:val="25"/>
                <w:szCs w:val="25"/>
                <w:shd w:val="clear" w:color="auto" w:fill="FFFFFF"/>
              </w:rPr>
              <w:t xml:space="preserve"> kalendāro dienu skaits, paredzot 42 kalendāra dienu vietā – 70 kalendāra dienas pēc dzemdībām</w:t>
            </w:r>
            <w:r w:rsidR="00B41F04" w:rsidRPr="004836A6">
              <w:rPr>
                <w:color w:val="auto"/>
                <w:sz w:val="25"/>
                <w:szCs w:val="25"/>
                <w:shd w:val="clear" w:color="auto" w:fill="FFFFFF"/>
              </w:rPr>
              <w:t>, kā arī</w:t>
            </w:r>
            <w:r w:rsidR="00530F55" w:rsidRPr="004836A6">
              <w:rPr>
                <w:color w:val="auto"/>
                <w:sz w:val="25"/>
                <w:szCs w:val="25"/>
                <w:shd w:val="clear" w:color="auto" w:fill="FFFFFF"/>
              </w:rPr>
              <w:t xml:space="preserve"> Noteikumu 1. p</w:t>
            </w:r>
            <w:r w:rsidR="00B41F04" w:rsidRPr="004836A6">
              <w:rPr>
                <w:color w:val="auto"/>
                <w:sz w:val="25"/>
                <w:szCs w:val="25"/>
                <w:shd w:val="clear" w:color="auto" w:fill="FFFFFF"/>
              </w:rPr>
              <w:t xml:space="preserve">ielikuma tabulas 10. punktā atbilstoši ir precizējamas grūtniecības nedēļas, paredzot 6-8 nedēļu vietā – 6-10 nedēļas </w:t>
            </w:r>
            <w:r w:rsidR="000672F3" w:rsidRPr="004836A6">
              <w:rPr>
                <w:color w:val="auto"/>
                <w:sz w:val="25"/>
                <w:szCs w:val="25"/>
                <w:shd w:val="clear" w:color="auto" w:fill="FFFFFF"/>
              </w:rPr>
              <w:t xml:space="preserve">(Projekta 1.1. un 1.4. apakšpunkts).   </w:t>
            </w:r>
          </w:p>
          <w:p w14:paraId="2827C8F8" w14:textId="71F7F08F" w:rsidR="00C06509" w:rsidRPr="004836A6" w:rsidRDefault="00C123BF" w:rsidP="006F209D">
            <w:pPr>
              <w:spacing w:after="120"/>
              <w:jc w:val="both"/>
              <w:rPr>
                <w:b/>
                <w:color w:val="auto"/>
                <w:sz w:val="25"/>
                <w:szCs w:val="25"/>
                <w:highlight w:val="white"/>
              </w:rPr>
            </w:pPr>
            <w:r w:rsidRPr="004836A6">
              <w:rPr>
                <w:b/>
                <w:color w:val="auto"/>
                <w:sz w:val="25"/>
                <w:szCs w:val="25"/>
                <w:shd w:val="clear" w:color="auto" w:fill="FFFFFF"/>
              </w:rPr>
              <w:t>2.</w:t>
            </w:r>
            <w:r w:rsidRPr="004836A6">
              <w:rPr>
                <w:color w:val="auto"/>
                <w:sz w:val="25"/>
                <w:szCs w:val="25"/>
                <w:shd w:val="clear" w:color="auto" w:fill="FFFFFF"/>
              </w:rPr>
              <w:t xml:space="preserve"> Saskaņā ar Latvijas Ginekologu un dzemdību speciālistu asociācijas sniegto informāciju, </w:t>
            </w:r>
            <w:r w:rsidRPr="004836A6">
              <w:rPr>
                <w:color w:val="auto"/>
                <w:sz w:val="25"/>
                <w:szCs w:val="25"/>
              </w:rPr>
              <w:t>grūtniecēm pēc 3</w:t>
            </w:r>
            <w:r w:rsidR="00AB6C9D" w:rsidRPr="004836A6">
              <w:rPr>
                <w:color w:val="auto"/>
                <w:sz w:val="25"/>
                <w:szCs w:val="25"/>
              </w:rPr>
              <w:t>5</w:t>
            </w:r>
            <w:r w:rsidRPr="004836A6">
              <w:rPr>
                <w:color w:val="auto"/>
                <w:sz w:val="25"/>
                <w:szCs w:val="25"/>
              </w:rPr>
              <w:t xml:space="preserve"> gadu vecuma, veicot I trimestra kombinēto ģenētisko skrīningu, bieži tiek konstatēts vidējs vai augsts </w:t>
            </w:r>
            <w:proofErr w:type="spellStart"/>
            <w:r w:rsidRPr="004836A6">
              <w:rPr>
                <w:color w:val="auto"/>
                <w:sz w:val="25"/>
                <w:szCs w:val="25"/>
              </w:rPr>
              <w:t>hromosomālo</w:t>
            </w:r>
            <w:proofErr w:type="spellEnd"/>
            <w:r w:rsidRPr="004836A6">
              <w:rPr>
                <w:color w:val="auto"/>
                <w:sz w:val="25"/>
                <w:szCs w:val="25"/>
              </w:rPr>
              <w:t xml:space="preserve"> slimību risks, kas rada nepieciešamību veikt papildu izmeklējumus un ģenētiskā riska pārrēķinu pie USG speciālista eksperta. Ņemot vērā, ka riska pārrēķins ir veicams līdz grūtniecības 13. nedēļai + 6 dienām, ierobežotā laika dēļ grūtnieces nereti šo būtisko grūtniecības termiņu nokavē un augļa ģenētiskā patoloģija netiek savlaicīgi diagnosticēta. Turklāt šobrīd </w:t>
            </w:r>
            <w:r w:rsidRPr="004836A6">
              <w:rPr>
                <w:rFonts w:eastAsia="Calibri"/>
                <w:color w:val="auto"/>
                <w:sz w:val="25"/>
                <w:szCs w:val="25"/>
                <w:lang w:eastAsia="en-US"/>
              </w:rPr>
              <w:t>Ministru kabineta 2006. gada 25. jūlija noteikumi Nr. 611 „Dzemdību palīdzības nodrošināšanas kārtība”</w:t>
            </w:r>
            <w:r w:rsidRPr="004836A6">
              <w:rPr>
                <w:bCs/>
                <w:color w:val="auto"/>
                <w:sz w:val="25"/>
                <w:szCs w:val="25"/>
              </w:rPr>
              <w:t>” (turpmāk – Noteikumi Nr. 611) paredz, ka</w:t>
            </w:r>
            <w:r w:rsidRPr="004836A6">
              <w:rPr>
                <w:color w:val="auto"/>
                <w:sz w:val="25"/>
                <w:szCs w:val="25"/>
              </w:rPr>
              <w:t xml:space="preserve"> augsta riska grūtnieces tiek izmeklētas divas reizes – pirmo reizi skrīninga USG, savukārt, konstatējot analīzēs paaugstinātu risku, sieviete tiek izmeklēta atkārtoti pie USG eksperta līmeņa speciālista. Tas nelietderīgi noslogo gan speciālistu, gan ārstniecības iestādi, kā arī neracionāli izmanto veselības aprūpei paredzētos valsts budžeta līdzekļus. </w:t>
            </w:r>
          </w:p>
          <w:p w14:paraId="1955A8DD" w14:textId="43A12828" w:rsidR="00C06509" w:rsidRPr="004836A6" w:rsidRDefault="00C123BF">
            <w:pPr>
              <w:spacing w:after="120"/>
              <w:jc w:val="both"/>
              <w:rPr>
                <w:color w:val="auto"/>
                <w:sz w:val="25"/>
                <w:szCs w:val="25"/>
              </w:rPr>
            </w:pPr>
            <w:r w:rsidRPr="004836A6">
              <w:rPr>
                <w:color w:val="auto"/>
                <w:sz w:val="25"/>
                <w:szCs w:val="25"/>
              </w:rPr>
              <w:t xml:space="preserve">Ņemot vērā </w:t>
            </w:r>
            <w:r w:rsidR="00A62D36" w:rsidRPr="004836A6">
              <w:rPr>
                <w:color w:val="auto"/>
                <w:sz w:val="25"/>
                <w:szCs w:val="25"/>
              </w:rPr>
              <w:t>a</w:t>
            </w:r>
            <w:r w:rsidR="00D3001E">
              <w:rPr>
                <w:color w:val="auto"/>
                <w:sz w:val="25"/>
                <w:szCs w:val="25"/>
              </w:rPr>
              <w:t>u</w:t>
            </w:r>
            <w:r w:rsidR="00A62D36" w:rsidRPr="004836A6">
              <w:rPr>
                <w:color w:val="auto"/>
                <w:sz w:val="25"/>
                <w:szCs w:val="25"/>
              </w:rPr>
              <w:t xml:space="preserve">gstāk </w:t>
            </w:r>
            <w:r w:rsidRPr="004836A6">
              <w:rPr>
                <w:color w:val="auto"/>
                <w:sz w:val="25"/>
                <w:szCs w:val="25"/>
              </w:rPr>
              <w:t>minēto,</w:t>
            </w:r>
            <w:r w:rsidR="00A62D36" w:rsidRPr="004836A6">
              <w:rPr>
                <w:color w:val="auto"/>
                <w:sz w:val="25"/>
                <w:szCs w:val="25"/>
              </w:rPr>
              <w:t xml:space="preserve"> kā arī</w:t>
            </w:r>
            <w:r w:rsidRPr="004836A6">
              <w:rPr>
                <w:color w:val="auto"/>
                <w:sz w:val="25"/>
                <w:szCs w:val="25"/>
              </w:rPr>
              <w:t xml:space="preserve"> </w:t>
            </w:r>
            <w:r w:rsidR="00A62D36" w:rsidRPr="004836A6">
              <w:rPr>
                <w:color w:val="auto"/>
                <w:sz w:val="25"/>
                <w:szCs w:val="25"/>
                <w:shd w:val="clear" w:color="auto" w:fill="FFFFFF"/>
              </w:rPr>
              <w:t>Plāna 2.2. apakšpunktā iekļaut</w:t>
            </w:r>
            <w:r w:rsidR="00DC2B03" w:rsidRPr="004836A6">
              <w:rPr>
                <w:color w:val="auto"/>
                <w:sz w:val="25"/>
                <w:szCs w:val="25"/>
                <w:shd w:val="clear" w:color="auto" w:fill="FFFFFF"/>
              </w:rPr>
              <w:t>o</w:t>
            </w:r>
            <w:r w:rsidR="00A62D36" w:rsidRPr="004836A6">
              <w:rPr>
                <w:color w:val="auto"/>
                <w:sz w:val="25"/>
                <w:szCs w:val="25"/>
                <w:shd w:val="clear" w:color="auto" w:fill="FFFFFF"/>
              </w:rPr>
              <w:t xml:space="preserve"> pasākum</w:t>
            </w:r>
            <w:r w:rsidR="00DC2B03" w:rsidRPr="004836A6">
              <w:rPr>
                <w:color w:val="auto"/>
                <w:sz w:val="25"/>
                <w:szCs w:val="25"/>
                <w:shd w:val="clear" w:color="auto" w:fill="FFFFFF"/>
              </w:rPr>
              <w:t>u, kas</w:t>
            </w:r>
            <w:r w:rsidR="00A62D36" w:rsidRPr="004836A6">
              <w:rPr>
                <w:color w:val="auto"/>
                <w:sz w:val="25"/>
                <w:szCs w:val="25"/>
                <w:shd w:val="clear" w:color="auto" w:fill="FFFFFF"/>
              </w:rPr>
              <w:t xml:space="preserve"> paredz uzlabot grūtnieču ultrasonogrāfisko izmeklējumu kvalitāti, vienlaikus izvērtējot ultrasonogrāfisko izmeklējumu un I trimestra skrīninga aptveri, kvalitāti, atbilstību normatīvo aktu, kā arī nepieciešamos uzlabojumus</w:t>
            </w:r>
            <w:r w:rsidR="00DC2B03" w:rsidRPr="004836A6">
              <w:rPr>
                <w:color w:val="auto"/>
                <w:sz w:val="25"/>
                <w:szCs w:val="25"/>
                <w:shd w:val="clear" w:color="auto" w:fill="FFFFFF"/>
              </w:rPr>
              <w:t>,</w:t>
            </w:r>
            <w:r w:rsidR="00A62D36" w:rsidRPr="004836A6">
              <w:rPr>
                <w:color w:val="auto"/>
                <w:sz w:val="25"/>
                <w:szCs w:val="25"/>
                <w:shd w:val="clear" w:color="auto" w:fill="FFFFFF"/>
              </w:rPr>
              <w:t xml:space="preserve"> </w:t>
            </w:r>
            <w:r w:rsidRPr="004836A6">
              <w:rPr>
                <w:color w:val="auto"/>
                <w:sz w:val="25"/>
                <w:szCs w:val="25"/>
              </w:rPr>
              <w:t xml:space="preserve">Projekts paredz papildināt Noteikumu Nr. 611 1. pielikuma </w:t>
            </w:r>
            <w:r w:rsidR="008970CC" w:rsidRPr="004836A6">
              <w:rPr>
                <w:color w:val="auto"/>
                <w:sz w:val="25"/>
                <w:szCs w:val="25"/>
              </w:rPr>
              <w:t>tabulas</w:t>
            </w:r>
            <w:r w:rsidR="003A5025" w:rsidRPr="004836A6">
              <w:rPr>
                <w:color w:val="auto"/>
                <w:sz w:val="25"/>
                <w:szCs w:val="25"/>
              </w:rPr>
              <w:t xml:space="preserve"> 1,punkta</w:t>
            </w:r>
            <w:r w:rsidR="008970CC" w:rsidRPr="004836A6">
              <w:rPr>
                <w:color w:val="auto"/>
                <w:sz w:val="25"/>
                <w:szCs w:val="25"/>
              </w:rPr>
              <w:t xml:space="preserve"> 4. ail</w:t>
            </w:r>
            <w:r w:rsidR="003A5025" w:rsidRPr="004836A6">
              <w:rPr>
                <w:color w:val="auto"/>
                <w:sz w:val="25"/>
                <w:szCs w:val="25"/>
              </w:rPr>
              <w:t>i ar</w:t>
            </w:r>
            <w:r w:rsidR="008970CC" w:rsidRPr="004836A6">
              <w:rPr>
                <w:color w:val="auto"/>
                <w:sz w:val="25"/>
                <w:szCs w:val="25"/>
              </w:rPr>
              <w:t xml:space="preserve"> </w:t>
            </w:r>
            <w:r w:rsidR="006818A7" w:rsidRPr="004836A6">
              <w:rPr>
                <w:bCs/>
                <w:color w:val="auto"/>
                <w:sz w:val="25"/>
                <w:szCs w:val="25"/>
              </w:rPr>
              <w:t>5</w:t>
            </w:r>
            <w:r w:rsidRPr="004836A6">
              <w:rPr>
                <w:bCs/>
                <w:color w:val="auto"/>
                <w:sz w:val="25"/>
                <w:szCs w:val="25"/>
              </w:rPr>
              <w:t>.</w:t>
            </w:r>
            <w:r w:rsidRPr="004836A6">
              <w:rPr>
                <w:color w:val="auto"/>
                <w:sz w:val="25"/>
                <w:szCs w:val="25"/>
              </w:rPr>
              <w:t xml:space="preserve"> punktu, nosakot, ka  grūtniecēm ≥ 3</w:t>
            </w:r>
            <w:r w:rsidR="008132AF" w:rsidRPr="004836A6">
              <w:rPr>
                <w:color w:val="auto"/>
                <w:sz w:val="25"/>
                <w:szCs w:val="25"/>
              </w:rPr>
              <w:t>5</w:t>
            </w:r>
            <w:r w:rsidRPr="004836A6">
              <w:rPr>
                <w:color w:val="auto"/>
                <w:sz w:val="25"/>
                <w:szCs w:val="25"/>
              </w:rPr>
              <w:t xml:space="preserve"> gadiem 10-11 grūtniecības nedēļās vispirms jānosaka asinīs bioķīmiskie rādītāji PAPP-A un </w:t>
            </w:r>
            <w:proofErr w:type="spellStart"/>
            <w:r w:rsidRPr="004836A6">
              <w:rPr>
                <w:color w:val="auto"/>
                <w:sz w:val="25"/>
                <w:szCs w:val="25"/>
              </w:rPr>
              <w:t>βhCG</w:t>
            </w:r>
            <w:proofErr w:type="spellEnd"/>
            <w:r w:rsidRPr="004836A6">
              <w:rPr>
                <w:color w:val="auto"/>
                <w:sz w:val="25"/>
                <w:szCs w:val="25"/>
              </w:rPr>
              <w:t xml:space="preserve"> asinīs un tad jānosūta grūtniece uz USG  pie eksperta līmeņa USG speciālista padziļinātai augļa izmeklēšanai un iedzimtu ģenētisku patoloģiju riska noteikšanai no 11 līdz 13 nedēļām un 6 dienām”</w:t>
            </w:r>
            <w:r w:rsidR="00D3006B" w:rsidRPr="004836A6">
              <w:rPr>
                <w:color w:val="FF0000"/>
                <w:sz w:val="25"/>
                <w:szCs w:val="25"/>
              </w:rPr>
              <w:t xml:space="preserve"> </w:t>
            </w:r>
            <w:r w:rsidR="00D3006B" w:rsidRPr="004836A6">
              <w:rPr>
                <w:color w:val="auto"/>
                <w:sz w:val="25"/>
                <w:szCs w:val="25"/>
              </w:rPr>
              <w:t>(Projekta 1.2. apakšpunkts)</w:t>
            </w:r>
            <w:r w:rsidRPr="004836A6">
              <w:rPr>
                <w:color w:val="auto"/>
                <w:sz w:val="25"/>
                <w:szCs w:val="25"/>
              </w:rPr>
              <w:t xml:space="preserve">. </w:t>
            </w:r>
          </w:p>
          <w:p w14:paraId="49DD2A0D" w14:textId="01899530" w:rsidR="0047433F" w:rsidRPr="004836A6" w:rsidRDefault="00C123BF" w:rsidP="0047433F">
            <w:pPr>
              <w:pStyle w:val="NormalWeb"/>
              <w:shd w:val="clear" w:color="auto" w:fill="FFFFFF"/>
              <w:spacing w:before="0" w:after="0"/>
              <w:jc w:val="both"/>
              <w:rPr>
                <w:color w:val="auto"/>
                <w:sz w:val="25"/>
                <w:szCs w:val="25"/>
              </w:rPr>
            </w:pPr>
            <w:r w:rsidRPr="004836A6">
              <w:rPr>
                <w:color w:val="auto"/>
                <w:sz w:val="25"/>
                <w:szCs w:val="25"/>
              </w:rPr>
              <w:t>Vienlaikus, lai uzlabotu grūtnieču ultrasonogrāfisko izmeklējumu kvalitāti Latvijas Ginekologu un dzemdību speciālistu asociācijas valdes sēdē tika pārrunāti iespējamie risinājumi, kur speciālisti vienojās</w:t>
            </w:r>
            <w:r w:rsidR="002E315B" w:rsidRPr="004836A6">
              <w:rPr>
                <w:color w:val="auto"/>
                <w:sz w:val="25"/>
                <w:szCs w:val="25"/>
              </w:rPr>
              <w:t xml:space="preserve"> </w:t>
            </w:r>
            <w:r w:rsidR="000B1172" w:rsidRPr="004836A6">
              <w:rPr>
                <w:color w:val="auto"/>
                <w:sz w:val="25"/>
                <w:szCs w:val="25"/>
              </w:rPr>
              <w:t>par s</w:t>
            </w:r>
            <w:r w:rsidR="00AF0777" w:rsidRPr="004836A6">
              <w:rPr>
                <w:color w:val="auto"/>
                <w:sz w:val="25"/>
                <w:szCs w:val="25"/>
              </w:rPr>
              <w:t>t</w:t>
            </w:r>
            <w:r w:rsidR="000B1172" w:rsidRPr="004836A6">
              <w:rPr>
                <w:color w:val="auto"/>
                <w:sz w:val="25"/>
                <w:szCs w:val="25"/>
              </w:rPr>
              <w:t xml:space="preserve">ingrākām </w:t>
            </w:r>
            <w:r w:rsidR="002E315B" w:rsidRPr="004836A6">
              <w:rPr>
                <w:color w:val="auto"/>
                <w:sz w:val="25"/>
                <w:szCs w:val="25"/>
              </w:rPr>
              <w:t xml:space="preserve"> prasīb</w:t>
            </w:r>
            <w:r w:rsidR="000B1172" w:rsidRPr="004836A6">
              <w:rPr>
                <w:color w:val="auto"/>
                <w:sz w:val="25"/>
                <w:szCs w:val="25"/>
              </w:rPr>
              <w:t>ām</w:t>
            </w:r>
            <w:r w:rsidR="002E315B" w:rsidRPr="004836A6">
              <w:rPr>
                <w:color w:val="auto"/>
                <w:sz w:val="25"/>
                <w:szCs w:val="25"/>
              </w:rPr>
              <w:t xml:space="preserve"> ginekologu, dzemdību speciālistu </w:t>
            </w:r>
            <w:r w:rsidR="002E315B" w:rsidRPr="004836A6">
              <w:rPr>
                <w:color w:val="auto"/>
                <w:sz w:val="25"/>
                <w:szCs w:val="25"/>
              </w:rPr>
              <w:lastRenderedPageBreak/>
              <w:t>kvalifikācijai, paredzot obligātus kursus, kuru praktiskās daļas</w:t>
            </w:r>
            <w:r w:rsidR="000B1172" w:rsidRPr="004836A6">
              <w:rPr>
                <w:color w:val="auto"/>
                <w:sz w:val="25"/>
                <w:szCs w:val="25"/>
              </w:rPr>
              <w:t xml:space="preserve"> (“</w:t>
            </w:r>
            <w:proofErr w:type="spellStart"/>
            <w:r w:rsidR="000B1172" w:rsidRPr="004836A6">
              <w:rPr>
                <w:color w:val="auto"/>
                <w:sz w:val="25"/>
                <w:szCs w:val="25"/>
              </w:rPr>
              <w:t>hands</w:t>
            </w:r>
            <w:proofErr w:type="spellEnd"/>
            <w:r w:rsidR="000B1172" w:rsidRPr="004836A6">
              <w:rPr>
                <w:color w:val="auto"/>
                <w:sz w:val="25"/>
                <w:szCs w:val="25"/>
              </w:rPr>
              <w:t xml:space="preserve"> </w:t>
            </w:r>
            <w:proofErr w:type="spellStart"/>
            <w:r w:rsidR="000B1172" w:rsidRPr="004836A6">
              <w:rPr>
                <w:color w:val="auto"/>
                <w:sz w:val="25"/>
                <w:szCs w:val="25"/>
              </w:rPr>
              <w:t>on</w:t>
            </w:r>
            <w:proofErr w:type="spellEnd"/>
            <w:r w:rsidR="000B1172" w:rsidRPr="004836A6">
              <w:rPr>
                <w:color w:val="auto"/>
                <w:sz w:val="25"/>
                <w:szCs w:val="25"/>
              </w:rPr>
              <w:t>”)</w:t>
            </w:r>
            <w:r w:rsidR="002E315B" w:rsidRPr="004836A6">
              <w:rPr>
                <w:color w:val="auto"/>
                <w:sz w:val="25"/>
                <w:szCs w:val="25"/>
              </w:rPr>
              <w:t xml:space="preserve">, kā arī pārbaudījumu, lietojot ultrasonogrāfijas simulatoru, </w:t>
            </w:r>
            <w:r w:rsidR="000B1172" w:rsidRPr="004836A6">
              <w:rPr>
                <w:color w:val="auto"/>
                <w:sz w:val="25"/>
                <w:szCs w:val="25"/>
              </w:rPr>
              <w:t>Latvijas Ginekologu un dzemdību speciālistu asociācija organizēs Latvijā sākot ar 2021. Vienlaikus minēto kursu pabeigšana un veiksmīga nokārtošana būs nepieciešama</w:t>
            </w:r>
            <w:r w:rsidRPr="004836A6">
              <w:rPr>
                <w:color w:val="auto"/>
                <w:sz w:val="25"/>
                <w:szCs w:val="25"/>
              </w:rPr>
              <w:t xml:space="preserve">, ginekologiem dzemdību speciālistiem, </w:t>
            </w:r>
            <w:r w:rsidR="000B1172" w:rsidRPr="004836A6">
              <w:rPr>
                <w:color w:val="auto"/>
                <w:sz w:val="25"/>
                <w:szCs w:val="25"/>
              </w:rPr>
              <w:t xml:space="preserve">reizi 5 gados </w:t>
            </w:r>
            <w:r w:rsidRPr="004836A6">
              <w:rPr>
                <w:color w:val="auto"/>
                <w:sz w:val="25"/>
                <w:szCs w:val="25"/>
              </w:rPr>
              <w:t>vei</w:t>
            </w:r>
            <w:r w:rsidR="000B1172" w:rsidRPr="004836A6">
              <w:rPr>
                <w:color w:val="auto"/>
                <w:sz w:val="25"/>
                <w:szCs w:val="25"/>
              </w:rPr>
              <w:t>cot ārstniecības personu</w:t>
            </w:r>
            <w:r w:rsidRPr="004836A6">
              <w:rPr>
                <w:color w:val="auto"/>
                <w:sz w:val="25"/>
                <w:szCs w:val="25"/>
              </w:rPr>
              <w:t xml:space="preserve"> resertifikāciju</w:t>
            </w:r>
            <w:r w:rsidR="000B1172" w:rsidRPr="004836A6">
              <w:rPr>
                <w:color w:val="auto"/>
                <w:sz w:val="25"/>
                <w:szCs w:val="25"/>
              </w:rPr>
              <w:t xml:space="preserve">. </w:t>
            </w:r>
            <w:r w:rsidR="00FC7BD4" w:rsidRPr="004836A6">
              <w:rPr>
                <w:color w:val="auto"/>
                <w:sz w:val="25"/>
                <w:szCs w:val="25"/>
              </w:rPr>
              <w:t>Šobrīd speciālisti</w:t>
            </w:r>
            <w:r w:rsidR="0047433F" w:rsidRPr="004836A6">
              <w:rPr>
                <w:color w:val="auto"/>
                <w:sz w:val="25"/>
                <w:szCs w:val="25"/>
              </w:rPr>
              <w:t xml:space="preserve"> teorētisk</w:t>
            </w:r>
            <w:r w:rsidR="00FC7BD4" w:rsidRPr="004836A6">
              <w:rPr>
                <w:color w:val="auto"/>
                <w:sz w:val="25"/>
                <w:szCs w:val="25"/>
              </w:rPr>
              <w:t>ā</w:t>
            </w:r>
            <w:r w:rsidR="0047433F" w:rsidRPr="004836A6">
              <w:rPr>
                <w:color w:val="auto"/>
                <w:sz w:val="25"/>
                <w:szCs w:val="25"/>
              </w:rPr>
              <w:t xml:space="preserve"> kurs</w:t>
            </w:r>
            <w:r w:rsidR="00FC7BD4" w:rsidRPr="004836A6">
              <w:rPr>
                <w:color w:val="auto"/>
                <w:sz w:val="25"/>
                <w:szCs w:val="25"/>
              </w:rPr>
              <w:t>a ietvaros</w:t>
            </w:r>
            <w:r w:rsidR="0047433F" w:rsidRPr="004836A6">
              <w:rPr>
                <w:color w:val="auto"/>
                <w:sz w:val="25"/>
                <w:szCs w:val="25"/>
              </w:rPr>
              <w:t xml:space="preserve"> </w:t>
            </w:r>
            <w:proofErr w:type="spellStart"/>
            <w:r w:rsidR="0047433F" w:rsidRPr="004836A6">
              <w:rPr>
                <w:color w:val="auto"/>
                <w:sz w:val="25"/>
                <w:szCs w:val="25"/>
              </w:rPr>
              <w:t>Fetal</w:t>
            </w:r>
            <w:proofErr w:type="spellEnd"/>
            <w:r w:rsidR="0047433F" w:rsidRPr="004836A6">
              <w:rPr>
                <w:color w:val="auto"/>
                <w:sz w:val="25"/>
                <w:szCs w:val="25"/>
              </w:rPr>
              <w:t xml:space="preserve"> </w:t>
            </w:r>
            <w:proofErr w:type="spellStart"/>
            <w:r w:rsidR="0047433F" w:rsidRPr="004836A6">
              <w:rPr>
                <w:color w:val="auto"/>
                <w:sz w:val="25"/>
                <w:szCs w:val="25"/>
              </w:rPr>
              <w:t>Medicine</w:t>
            </w:r>
            <w:proofErr w:type="spellEnd"/>
            <w:r w:rsidR="0047433F" w:rsidRPr="004836A6">
              <w:rPr>
                <w:color w:val="auto"/>
                <w:sz w:val="25"/>
                <w:szCs w:val="25"/>
              </w:rPr>
              <w:t xml:space="preserve"> </w:t>
            </w:r>
            <w:proofErr w:type="spellStart"/>
            <w:r w:rsidR="0047433F" w:rsidRPr="004836A6">
              <w:rPr>
                <w:color w:val="auto"/>
                <w:sz w:val="25"/>
                <w:szCs w:val="25"/>
              </w:rPr>
              <w:t>Foundation</w:t>
            </w:r>
            <w:proofErr w:type="spellEnd"/>
            <w:r w:rsidR="0047433F" w:rsidRPr="004836A6">
              <w:rPr>
                <w:color w:val="auto"/>
                <w:sz w:val="25"/>
                <w:szCs w:val="25"/>
              </w:rPr>
              <w:t xml:space="preserve"> mājas lap</w:t>
            </w:r>
            <w:r w:rsidR="00FC7BD4" w:rsidRPr="004836A6">
              <w:rPr>
                <w:color w:val="auto"/>
                <w:sz w:val="25"/>
                <w:szCs w:val="25"/>
              </w:rPr>
              <w:t>as</w:t>
            </w:r>
            <w:r w:rsidR="0047433F" w:rsidRPr="004836A6">
              <w:rPr>
                <w:color w:val="auto"/>
                <w:sz w:val="25"/>
                <w:szCs w:val="25"/>
              </w:rPr>
              <w:t xml:space="preserve"> sadaļ</w:t>
            </w:r>
            <w:r w:rsidR="00FC7BD4" w:rsidRPr="004836A6">
              <w:rPr>
                <w:color w:val="auto"/>
                <w:sz w:val="25"/>
                <w:szCs w:val="25"/>
              </w:rPr>
              <w:t xml:space="preserve">ā </w:t>
            </w:r>
            <w:proofErr w:type="spellStart"/>
            <w:r w:rsidR="0047433F" w:rsidRPr="004836A6">
              <w:rPr>
                <w:i/>
                <w:iCs/>
                <w:color w:val="auto"/>
                <w:sz w:val="25"/>
                <w:szCs w:val="25"/>
              </w:rPr>
              <w:t>education</w:t>
            </w:r>
            <w:proofErr w:type="spellEnd"/>
            <w:r w:rsidR="00FC7BD4" w:rsidRPr="004836A6">
              <w:rPr>
                <w:i/>
                <w:iCs/>
                <w:color w:val="auto"/>
                <w:sz w:val="25"/>
                <w:szCs w:val="25"/>
              </w:rPr>
              <w:t xml:space="preserve"> </w:t>
            </w:r>
            <w:r w:rsidR="0047433F" w:rsidRPr="004836A6">
              <w:rPr>
                <w:color w:val="auto"/>
                <w:sz w:val="25"/>
                <w:szCs w:val="25"/>
              </w:rPr>
              <w:t xml:space="preserve">var noklausīties lekciju par </w:t>
            </w:r>
            <w:r w:rsidR="001D3D52" w:rsidRPr="004836A6">
              <w:rPr>
                <w:color w:val="auto"/>
                <w:sz w:val="25"/>
                <w:szCs w:val="25"/>
              </w:rPr>
              <w:t>augļa</w:t>
            </w:r>
            <w:r w:rsidR="0047433F" w:rsidRPr="004836A6">
              <w:rPr>
                <w:color w:val="auto"/>
                <w:sz w:val="25"/>
                <w:szCs w:val="25"/>
              </w:rPr>
              <w:t xml:space="preserve"> skrīningu angļu valodā vai krievu valodā. </w:t>
            </w:r>
            <w:r w:rsidR="00FC7BD4" w:rsidRPr="004836A6">
              <w:rPr>
                <w:color w:val="auto"/>
                <w:sz w:val="25"/>
                <w:szCs w:val="25"/>
              </w:rPr>
              <w:t>Attiecīgā informācija ir tulkota</w:t>
            </w:r>
            <w:r w:rsidR="0047433F" w:rsidRPr="004836A6">
              <w:rPr>
                <w:color w:val="auto"/>
                <w:sz w:val="25"/>
                <w:szCs w:val="25"/>
              </w:rPr>
              <w:t xml:space="preserve"> latviešu valodā </w:t>
            </w:r>
            <w:r w:rsidR="00FC7BD4" w:rsidRPr="004836A6">
              <w:rPr>
                <w:color w:val="auto"/>
                <w:sz w:val="25"/>
                <w:szCs w:val="25"/>
              </w:rPr>
              <w:t>un ir pieejama Latvijas ginekologu un dzemdību speciālistu asociācijas mājas lapā</w:t>
            </w:r>
            <w:r w:rsidR="0047433F" w:rsidRPr="004836A6">
              <w:rPr>
                <w:color w:val="auto"/>
                <w:sz w:val="25"/>
                <w:szCs w:val="25"/>
              </w:rPr>
              <w:t xml:space="preserve"> </w:t>
            </w:r>
            <w:proofErr w:type="spellStart"/>
            <w:r w:rsidR="0047433F" w:rsidRPr="004836A6">
              <w:rPr>
                <w:color w:val="auto"/>
                <w:sz w:val="25"/>
                <w:szCs w:val="25"/>
              </w:rPr>
              <w:t>lapā</w:t>
            </w:r>
            <w:proofErr w:type="spellEnd"/>
            <w:r w:rsidR="0047433F" w:rsidRPr="004836A6">
              <w:rPr>
                <w:color w:val="auto"/>
                <w:sz w:val="25"/>
                <w:szCs w:val="25"/>
              </w:rPr>
              <w:t xml:space="preserve"> </w:t>
            </w:r>
            <w:proofErr w:type="spellStart"/>
            <w:r w:rsidR="0047433F" w:rsidRPr="004836A6">
              <w:rPr>
                <w:color w:val="auto"/>
                <w:sz w:val="25"/>
                <w:szCs w:val="25"/>
              </w:rPr>
              <w:t>www.ginasoc.lv</w:t>
            </w:r>
            <w:proofErr w:type="spellEnd"/>
            <w:r w:rsidR="0047433F" w:rsidRPr="004836A6">
              <w:rPr>
                <w:color w:val="auto"/>
                <w:sz w:val="25"/>
                <w:szCs w:val="25"/>
              </w:rPr>
              <w:t xml:space="preserve">. </w:t>
            </w:r>
            <w:r w:rsidR="006625ED" w:rsidRPr="004836A6">
              <w:rPr>
                <w:color w:val="auto"/>
                <w:sz w:val="25"/>
                <w:szCs w:val="25"/>
              </w:rPr>
              <w:t>Pēc</w:t>
            </w:r>
            <w:r w:rsidR="0047433F" w:rsidRPr="004836A6">
              <w:rPr>
                <w:color w:val="auto"/>
                <w:sz w:val="25"/>
                <w:szCs w:val="25"/>
              </w:rPr>
              <w:t xml:space="preserve"> </w:t>
            </w:r>
            <w:r w:rsidR="00380338" w:rsidRPr="004836A6">
              <w:rPr>
                <w:color w:val="auto"/>
                <w:sz w:val="25"/>
                <w:szCs w:val="25"/>
              </w:rPr>
              <w:t>minētā</w:t>
            </w:r>
            <w:r w:rsidR="0047433F" w:rsidRPr="004836A6">
              <w:rPr>
                <w:color w:val="auto"/>
                <w:sz w:val="25"/>
                <w:szCs w:val="25"/>
              </w:rPr>
              <w:t xml:space="preserve"> kurs</w:t>
            </w:r>
            <w:r w:rsidR="00380338" w:rsidRPr="004836A6">
              <w:rPr>
                <w:color w:val="auto"/>
                <w:sz w:val="25"/>
                <w:szCs w:val="25"/>
              </w:rPr>
              <w:t>a noklausīšan</w:t>
            </w:r>
            <w:r w:rsidR="006625ED" w:rsidRPr="004836A6">
              <w:rPr>
                <w:color w:val="auto"/>
                <w:sz w:val="25"/>
                <w:szCs w:val="25"/>
              </w:rPr>
              <w:t>ās speciālistam ir jāsagatavo un elektroniski jānosūta</w:t>
            </w:r>
            <w:r w:rsidR="00380338" w:rsidRPr="004836A6">
              <w:rPr>
                <w:color w:val="auto"/>
                <w:sz w:val="25"/>
                <w:szCs w:val="25"/>
              </w:rPr>
              <w:t xml:space="preserve"> pēc noteiktiem kritērijiem sagatavot</w:t>
            </w:r>
            <w:r w:rsidR="006625ED" w:rsidRPr="004836A6">
              <w:rPr>
                <w:color w:val="auto"/>
                <w:sz w:val="25"/>
                <w:szCs w:val="25"/>
              </w:rPr>
              <w:t>i</w:t>
            </w:r>
            <w:r w:rsidR="00380338" w:rsidRPr="004836A6">
              <w:rPr>
                <w:color w:val="auto"/>
                <w:sz w:val="25"/>
                <w:szCs w:val="25"/>
              </w:rPr>
              <w:t xml:space="preserve"> </w:t>
            </w:r>
            <w:r w:rsidR="0047433F" w:rsidRPr="004836A6">
              <w:rPr>
                <w:color w:val="auto"/>
                <w:sz w:val="25"/>
                <w:szCs w:val="25"/>
              </w:rPr>
              <w:t xml:space="preserve">darba </w:t>
            </w:r>
            <w:r w:rsidR="00380338" w:rsidRPr="004836A6">
              <w:rPr>
                <w:color w:val="auto"/>
                <w:sz w:val="25"/>
                <w:szCs w:val="25"/>
              </w:rPr>
              <w:t xml:space="preserve">(ultrasonogrāfijas) </w:t>
            </w:r>
            <w:r w:rsidR="0047433F" w:rsidRPr="004836A6">
              <w:rPr>
                <w:color w:val="auto"/>
                <w:sz w:val="25"/>
                <w:szCs w:val="25"/>
              </w:rPr>
              <w:t>attēl</w:t>
            </w:r>
            <w:r w:rsidR="006625ED" w:rsidRPr="004836A6">
              <w:rPr>
                <w:color w:val="auto"/>
                <w:sz w:val="25"/>
                <w:szCs w:val="25"/>
              </w:rPr>
              <w:t>i, pēc kuru akceptēšanas</w:t>
            </w:r>
            <w:r w:rsidR="0047433F" w:rsidRPr="004836A6">
              <w:rPr>
                <w:color w:val="auto"/>
                <w:sz w:val="25"/>
                <w:szCs w:val="25"/>
              </w:rPr>
              <w:t>,</w:t>
            </w:r>
            <w:r w:rsidR="00D21492" w:rsidRPr="004836A6">
              <w:rPr>
                <w:color w:val="auto"/>
                <w:sz w:val="25"/>
                <w:szCs w:val="25"/>
              </w:rPr>
              <w:t xml:space="preserve"> </w:t>
            </w:r>
            <w:r w:rsidR="0047433F" w:rsidRPr="004836A6">
              <w:rPr>
                <w:color w:val="auto"/>
                <w:sz w:val="25"/>
                <w:szCs w:val="25"/>
              </w:rPr>
              <w:t xml:space="preserve">tiek </w:t>
            </w:r>
            <w:r w:rsidR="00380338" w:rsidRPr="004836A6">
              <w:rPr>
                <w:color w:val="auto"/>
                <w:sz w:val="25"/>
                <w:szCs w:val="25"/>
              </w:rPr>
              <w:t>izsniegts</w:t>
            </w:r>
            <w:r w:rsidR="0047433F" w:rsidRPr="004836A6">
              <w:rPr>
                <w:color w:val="auto"/>
                <w:sz w:val="25"/>
                <w:szCs w:val="25"/>
              </w:rPr>
              <w:t xml:space="preserve"> sertifikāts (dokumentāls apstiprinājums</w:t>
            </w:r>
            <w:r w:rsidR="00380338" w:rsidRPr="004836A6">
              <w:rPr>
                <w:color w:val="auto"/>
                <w:sz w:val="25"/>
                <w:szCs w:val="25"/>
              </w:rPr>
              <w:t xml:space="preserve"> par </w:t>
            </w:r>
            <w:r w:rsidR="006625ED" w:rsidRPr="004836A6">
              <w:rPr>
                <w:color w:val="auto"/>
                <w:sz w:val="25"/>
                <w:szCs w:val="25"/>
              </w:rPr>
              <w:t>minētā kursa apguvi</w:t>
            </w:r>
            <w:r w:rsidR="0047433F" w:rsidRPr="004836A6">
              <w:rPr>
                <w:color w:val="auto"/>
                <w:sz w:val="25"/>
                <w:szCs w:val="25"/>
              </w:rPr>
              <w:t xml:space="preserve">). </w:t>
            </w:r>
            <w:r w:rsidR="006625ED" w:rsidRPr="004836A6">
              <w:rPr>
                <w:color w:val="auto"/>
                <w:sz w:val="25"/>
                <w:szCs w:val="25"/>
              </w:rPr>
              <w:t>Konkrētā k</w:t>
            </w:r>
            <w:r w:rsidR="0047433F" w:rsidRPr="004836A6">
              <w:rPr>
                <w:color w:val="auto"/>
                <w:sz w:val="25"/>
                <w:szCs w:val="25"/>
              </w:rPr>
              <w:t>ompetenc</w:t>
            </w:r>
            <w:r w:rsidR="006625ED" w:rsidRPr="004836A6">
              <w:rPr>
                <w:color w:val="auto"/>
                <w:sz w:val="25"/>
                <w:szCs w:val="25"/>
              </w:rPr>
              <w:t>e</w:t>
            </w:r>
            <w:r w:rsidR="0047433F" w:rsidRPr="004836A6">
              <w:rPr>
                <w:color w:val="auto"/>
                <w:sz w:val="25"/>
                <w:szCs w:val="25"/>
              </w:rPr>
              <w:t xml:space="preserve"> </w:t>
            </w:r>
            <w:r w:rsidR="006625ED" w:rsidRPr="004836A6">
              <w:rPr>
                <w:color w:val="auto"/>
                <w:sz w:val="25"/>
                <w:szCs w:val="25"/>
              </w:rPr>
              <w:t>ir apstiprināma</w:t>
            </w:r>
            <w:r w:rsidR="0047433F" w:rsidRPr="004836A6">
              <w:rPr>
                <w:color w:val="auto"/>
                <w:sz w:val="25"/>
                <w:szCs w:val="25"/>
              </w:rPr>
              <w:t xml:space="preserve"> 1 rei</w:t>
            </w:r>
            <w:r w:rsidR="00281524" w:rsidRPr="004836A6">
              <w:rPr>
                <w:color w:val="auto"/>
                <w:sz w:val="25"/>
                <w:szCs w:val="25"/>
              </w:rPr>
              <w:t>zi</w:t>
            </w:r>
            <w:r w:rsidR="0047433F" w:rsidRPr="004836A6">
              <w:rPr>
                <w:color w:val="auto"/>
                <w:sz w:val="25"/>
                <w:szCs w:val="25"/>
              </w:rPr>
              <w:t xml:space="preserve"> gadā, </w:t>
            </w:r>
            <w:r w:rsidR="006625ED" w:rsidRPr="004836A6">
              <w:rPr>
                <w:color w:val="auto"/>
                <w:sz w:val="25"/>
                <w:szCs w:val="25"/>
              </w:rPr>
              <w:t xml:space="preserve">līdz ar ko arī iepriekšminētā </w:t>
            </w:r>
            <w:r w:rsidR="0047433F" w:rsidRPr="004836A6">
              <w:rPr>
                <w:color w:val="auto"/>
                <w:sz w:val="25"/>
                <w:szCs w:val="25"/>
              </w:rPr>
              <w:t>procedūr</w:t>
            </w:r>
            <w:r w:rsidR="006625ED" w:rsidRPr="004836A6">
              <w:rPr>
                <w:color w:val="auto"/>
                <w:sz w:val="25"/>
                <w:szCs w:val="25"/>
              </w:rPr>
              <w:t>a</w:t>
            </w:r>
            <w:r w:rsidR="0047433F" w:rsidRPr="004836A6">
              <w:rPr>
                <w:color w:val="auto"/>
                <w:sz w:val="25"/>
                <w:szCs w:val="25"/>
              </w:rPr>
              <w:t xml:space="preserve"> </w:t>
            </w:r>
            <w:r w:rsidR="006625ED" w:rsidRPr="004836A6">
              <w:rPr>
                <w:color w:val="auto"/>
                <w:sz w:val="25"/>
                <w:szCs w:val="25"/>
              </w:rPr>
              <w:t xml:space="preserve">katru gadu ir </w:t>
            </w:r>
            <w:r w:rsidR="0047433F" w:rsidRPr="004836A6">
              <w:rPr>
                <w:color w:val="auto"/>
                <w:sz w:val="25"/>
                <w:szCs w:val="25"/>
              </w:rPr>
              <w:t xml:space="preserve">jāiziet no jauna, </w:t>
            </w:r>
            <w:r w:rsidR="00D21492" w:rsidRPr="004836A6">
              <w:rPr>
                <w:color w:val="auto"/>
                <w:sz w:val="25"/>
                <w:szCs w:val="25"/>
              </w:rPr>
              <w:t>tādējādi</w:t>
            </w:r>
            <w:r w:rsidR="006625ED" w:rsidRPr="004836A6">
              <w:rPr>
                <w:color w:val="auto"/>
                <w:sz w:val="25"/>
                <w:szCs w:val="25"/>
              </w:rPr>
              <w:t xml:space="preserve"> </w:t>
            </w:r>
            <w:r w:rsidR="00D21492" w:rsidRPr="004836A6">
              <w:rPr>
                <w:color w:val="auto"/>
                <w:sz w:val="25"/>
                <w:szCs w:val="25"/>
              </w:rPr>
              <w:t>sertifikāta</w:t>
            </w:r>
            <w:r w:rsidR="006625ED" w:rsidRPr="004836A6">
              <w:rPr>
                <w:color w:val="auto"/>
                <w:sz w:val="25"/>
                <w:szCs w:val="25"/>
              </w:rPr>
              <w:t xml:space="preserve"> derīguma termiņš </w:t>
            </w:r>
            <w:r w:rsidR="00D21492" w:rsidRPr="004836A6">
              <w:rPr>
                <w:color w:val="auto"/>
                <w:sz w:val="25"/>
                <w:szCs w:val="25"/>
              </w:rPr>
              <w:t xml:space="preserve">sistēmā </w:t>
            </w:r>
            <w:r w:rsidR="006625ED" w:rsidRPr="004836A6">
              <w:rPr>
                <w:color w:val="auto"/>
                <w:sz w:val="25"/>
                <w:szCs w:val="25"/>
              </w:rPr>
              <w:t>tiek pagarināts</w:t>
            </w:r>
            <w:r w:rsidR="00D21492" w:rsidRPr="004836A6">
              <w:rPr>
                <w:color w:val="auto"/>
                <w:sz w:val="25"/>
                <w:szCs w:val="25"/>
              </w:rPr>
              <w:t>.</w:t>
            </w:r>
          </w:p>
          <w:p w14:paraId="44A30858" w14:textId="67BB4458" w:rsidR="0047433F" w:rsidRPr="004836A6" w:rsidRDefault="0047433F" w:rsidP="0047433F">
            <w:pPr>
              <w:shd w:val="clear" w:color="auto" w:fill="FFFFFF"/>
              <w:jc w:val="both"/>
              <w:rPr>
                <w:color w:val="auto"/>
                <w:sz w:val="25"/>
                <w:szCs w:val="25"/>
              </w:rPr>
            </w:pPr>
            <w:r w:rsidRPr="004836A6">
              <w:rPr>
                <w:color w:val="auto"/>
                <w:sz w:val="25"/>
                <w:szCs w:val="25"/>
              </w:rPr>
              <w:t xml:space="preserve">Turpmāk plānoti ESF apmaksāti regulāri kursi Latvijā. Kursu nodrošināšanai sākotnēji tiks īrēts, tad iegādāts USG stimulators un eksāmenu regulāri </w:t>
            </w:r>
            <w:r w:rsidR="00D21492" w:rsidRPr="004836A6">
              <w:rPr>
                <w:color w:val="auto"/>
                <w:sz w:val="25"/>
                <w:szCs w:val="25"/>
              </w:rPr>
              <w:t xml:space="preserve">varēs nokārtot </w:t>
            </w:r>
            <w:r w:rsidRPr="004836A6">
              <w:rPr>
                <w:color w:val="auto"/>
                <w:sz w:val="25"/>
                <w:szCs w:val="25"/>
              </w:rPr>
              <w:t xml:space="preserve">Latvijā latviešu valodā. Kursu </w:t>
            </w:r>
            <w:r w:rsidR="00EA73BD" w:rsidRPr="004836A6">
              <w:rPr>
                <w:color w:val="auto"/>
                <w:sz w:val="25"/>
                <w:szCs w:val="25"/>
              </w:rPr>
              <w:t>īstenošana tiks uzsākta</w:t>
            </w:r>
            <w:r w:rsidRPr="004836A6">
              <w:rPr>
                <w:color w:val="auto"/>
                <w:sz w:val="25"/>
                <w:szCs w:val="25"/>
              </w:rPr>
              <w:t xml:space="preserve"> jau šogad RSU tālākizglītības fakultātē.</w:t>
            </w:r>
          </w:p>
          <w:p w14:paraId="22E8CE82" w14:textId="5CB7F63A" w:rsidR="00F87200" w:rsidRPr="004836A6" w:rsidRDefault="00C123BF" w:rsidP="0047433F">
            <w:pPr>
              <w:spacing w:after="120"/>
              <w:jc w:val="both"/>
              <w:rPr>
                <w:color w:val="auto"/>
                <w:sz w:val="25"/>
                <w:szCs w:val="25"/>
              </w:rPr>
            </w:pPr>
            <w:r w:rsidRPr="004836A6">
              <w:rPr>
                <w:color w:val="auto"/>
                <w:sz w:val="25"/>
                <w:szCs w:val="25"/>
              </w:rPr>
              <w:t xml:space="preserve">Tāpat netiek mainītas prasības ultrasonogrāfijas eksperta līmeņa speciālistiem. Savukārt </w:t>
            </w:r>
            <w:proofErr w:type="spellStart"/>
            <w:r w:rsidRPr="004836A6">
              <w:rPr>
                <w:color w:val="auto"/>
                <w:sz w:val="25"/>
                <w:szCs w:val="25"/>
              </w:rPr>
              <w:t>Fetal</w:t>
            </w:r>
            <w:proofErr w:type="spellEnd"/>
            <w:r w:rsidRPr="004836A6">
              <w:rPr>
                <w:color w:val="auto"/>
                <w:sz w:val="25"/>
                <w:szCs w:val="25"/>
              </w:rPr>
              <w:t xml:space="preserve"> </w:t>
            </w:r>
            <w:proofErr w:type="spellStart"/>
            <w:r w:rsidRPr="004836A6">
              <w:rPr>
                <w:color w:val="auto"/>
                <w:sz w:val="25"/>
                <w:szCs w:val="25"/>
              </w:rPr>
              <w:t>Medicine</w:t>
            </w:r>
            <w:proofErr w:type="spellEnd"/>
            <w:r w:rsidRPr="004836A6">
              <w:rPr>
                <w:color w:val="auto"/>
                <w:sz w:val="25"/>
                <w:szCs w:val="25"/>
              </w:rPr>
              <w:t xml:space="preserve"> </w:t>
            </w:r>
            <w:proofErr w:type="spellStart"/>
            <w:r w:rsidRPr="004836A6">
              <w:rPr>
                <w:color w:val="auto"/>
                <w:sz w:val="25"/>
                <w:szCs w:val="25"/>
              </w:rPr>
              <w:t>Foundation</w:t>
            </w:r>
            <w:proofErr w:type="spellEnd"/>
            <w:r w:rsidRPr="004836A6">
              <w:rPr>
                <w:color w:val="auto"/>
                <w:sz w:val="25"/>
                <w:szCs w:val="25"/>
              </w:rPr>
              <w:t xml:space="preserve"> sertifikācijas prasības </w:t>
            </w:r>
            <w:r w:rsidRPr="004836A6">
              <w:rPr>
                <w:color w:val="auto"/>
                <w:sz w:val="25"/>
                <w:szCs w:val="25"/>
                <w:shd w:val="clear" w:color="auto" w:fill="FFFFFF"/>
              </w:rPr>
              <w:t>atbilst  starptautiski adaptētai apmācību sistēmai, uz kuras balstās ultrasonogrāfijas speciālistu prasmes daudzās Eiropas valstīs</w:t>
            </w:r>
            <w:r w:rsidR="00F87200" w:rsidRPr="004836A6">
              <w:rPr>
                <w:color w:val="auto"/>
                <w:sz w:val="25"/>
                <w:szCs w:val="25"/>
                <w:shd w:val="clear" w:color="auto" w:fill="FFFFFF"/>
              </w:rPr>
              <w:t xml:space="preserve"> (</w:t>
            </w:r>
            <w:r w:rsidR="00F87200" w:rsidRPr="004836A6">
              <w:rPr>
                <w:color w:val="auto"/>
                <w:sz w:val="25"/>
                <w:szCs w:val="25"/>
              </w:rPr>
              <w:t>1.</w:t>
            </w:r>
            <w:r w:rsidR="004E03BC" w:rsidRPr="004836A6">
              <w:rPr>
                <w:color w:val="auto"/>
                <w:sz w:val="25"/>
                <w:szCs w:val="25"/>
              </w:rPr>
              <w:t>8</w:t>
            </w:r>
            <w:r w:rsidR="00F87200" w:rsidRPr="004836A6">
              <w:rPr>
                <w:color w:val="auto"/>
                <w:sz w:val="25"/>
                <w:szCs w:val="25"/>
              </w:rPr>
              <w:t>., 1.</w:t>
            </w:r>
            <w:r w:rsidR="004E03BC" w:rsidRPr="004836A6">
              <w:rPr>
                <w:color w:val="auto"/>
                <w:sz w:val="25"/>
                <w:szCs w:val="25"/>
              </w:rPr>
              <w:t>9</w:t>
            </w:r>
            <w:r w:rsidR="00F87200" w:rsidRPr="004836A6">
              <w:rPr>
                <w:color w:val="auto"/>
                <w:sz w:val="25"/>
                <w:szCs w:val="25"/>
              </w:rPr>
              <w:t>., 1.</w:t>
            </w:r>
            <w:r w:rsidR="004E03BC" w:rsidRPr="004836A6">
              <w:rPr>
                <w:color w:val="auto"/>
                <w:sz w:val="25"/>
                <w:szCs w:val="25"/>
              </w:rPr>
              <w:t>11</w:t>
            </w:r>
            <w:r w:rsidR="00F87200" w:rsidRPr="004836A6">
              <w:rPr>
                <w:color w:val="auto"/>
                <w:sz w:val="25"/>
                <w:szCs w:val="25"/>
              </w:rPr>
              <w:t>. un 1.</w:t>
            </w:r>
            <w:r w:rsidR="004E03BC" w:rsidRPr="004836A6">
              <w:rPr>
                <w:color w:val="auto"/>
                <w:sz w:val="25"/>
                <w:szCs w:val="25"/>
              </w:rPr>
              <w:t>12</w:t>
            </w:r>
            <w:r w:rsidR="00F87200" w:rsidRPr="004836A6">
              <w:rPr>
                <w:color w:val="auto"/>
                <w:sz w:val="25"/>
                <w:szCs w:val="25"/>
              </w:rPr>
              <w:t>. apakšpunkts).</w:t>
            </w:r>
          </w:p>
          <w:p w14:paraId="063BF24E" w14:textId="4FDEC7BB" w:rsidR="000A6783" w:rsidRPr="004836A6" w:rsidRDefault="00F87200" w:rsidP="0047433F">
            <w:pPr>
              <w:spacing w:after="120"/>
              <w:jc w:val="both"/>
              <w:rPr>
                <w:color w:val="auto"/>
                <w:sz w:val="25"/>
                <w:szCs w:val="25"/>
              </w:rPr>
            </w:pPr>
            <w:r w:rsidRPr="004836A6">
              <w:rPr>
                <w:color w:val="auto"/>
                <w:sz w:val="25"/>
                <w:szCs w:val="25"/>
                <w:shd w:val="clear" w:color="auto" w:fill="FFFFFF"/>
              </w:rPr>
              <w:t xml:space="preserve"> </w:t>
            </w:r>
            <w:r w:rsidR="00FF61EA" w:rsidRPr="004836A6">
              <w:rPr>
                <w:color w:val="auto"/>
                <w:sz w:val="25"/>
                <w:szCs w:val="25"/>
                <w:shd w:val="clear" w:color="auto" w:fill="FFFFFF"/>
              </w:rPr>
              <w:t xml:space="preserve"> </w:t>
            </w:r>
            <w:r w:rsidR="00281524" w:rsidRPr="004836A6">
              <w:rPr>
                <w:color w:val="auto"/>
                <w:sz w:val="25"/>
                <w:szCs w:val="25"/>
                <w:shd w:val="clear" w:color="auto" w:fill="FFFFFF"/>
              </w:rPr>
              <w:t>Lai nodrošināt</w:t>
            </w:r>
            <w:r w:rsidR="0006324D" w:rsidRPr="004836A6">
              <w:rPr>
                <w:color w:val="auto"/>
                <w:sz w:val="25"/>
                <w:szCs w:val="25"/>
                <w:shd w:val="clear" w:color="auto" w:fill="FFFFFF"/>
              </w:rPr>
              <w:t>u</w:t>
            </w:r>
            <w:r w:rsidR="00281524" w:rsidRPr="004836A6">
              <w:rPr>
                <w:color w:val="auto"/>
                <w:sz w:val="25"/>
                <w:szCs w:val="25"/>
                <w:shd w:val="clear" w:color="auto" w:fill="FFFFFF"/>
              </w:rPr>
              <w:t xml:space="preserve"> ultrasonogrāfijas izmeklējuma kvalitāti, atbilstoši speciālistu ieteikumam ir precizētas prasības, kurām ultrason</w:t>
            </w:r>
            <w:r w:rsidR="00E90BD0" w:rsidRPr="004836A6">
              <w:rPr>
                <w:color w:val="auto"/>
                <w:sz w:val="25"/>
                <w:szCs w:val="25"/>
                <w:shd w:val="clear" w:color="auto" w:fill="FFFFFF"/>
              </w:rPr>
              <w:t>o</w:t>
            </w:r>
            <w:r w:rsidR="00281524" w:rsidRPr="004836A6">
              <w:rPr>
                <w:color w:val="auto"/>
                <w:sz w:val="25"/>
                <w:szCs w:val="25"/>
                <w:shd w:val="clear" w:color="auto" w:fill="FFFFFF"/>
              </w:rPr>
              <w:t xml:space="preserve">grāfijas aparātam ir jāatbilst </w:t>
            </w:r>
            <w:r w:rsidR="00FF61EA" w:rsidRPr="004836A6">
              <w:rPr>
                <w:color w:val="auto"/>
                <w:sz w:val="25"/>
                <w:szCs w:val="25"/>
              </w:rPr>
              <w:t xml:space="preserve">(Projekta </w:t>
            </w:r>
            <w:r w:rsidRPr="004836A6">
              <w:rPr>
                <w:color w:val="auto"/>
                <w:sz w:val="25"/>
                <w:szCs w:val="25"/>
              </w:rPr>
              <w:t>1.</w:t>
            </w:r>
            <w:r w:rsidR="004E03BC" w:rsidRPr="004836A6">
              <w:rPr>
                <w:color w:val="auto"/>
                <w:sz w:val="25"/>
                <w:szCs w:val="25"/>
              </w:rPr>
              <w:t>10</w:t>
            </w:r>
            <w:r w:rsidRPr="004836A6">
              <w:rPr>
                <w:color w:val="auto"/>
                <w:sz w:val="25"/>
                <w:szCs w:val="25"/>
              </w:rPr>
              <w:t>. un</w:t>
            </w:r>
            <w:r w:rsidR="00FF61EA" w:rsidRPr="004836A6">
              <w:rPr>
                <w:color w:val="auto"/>
                <w:sz w:val="25"/>
                <w:szCs w:val="25"/>
              </w:rPr>
              <w:t xml:space="preserve"> 1.1</w:t>
            </w:r>
            <w:r w:rsidR="004E03BC" w:rsidRPr="004836A6">
              <w:rPr>
                <w:color w:val="auto"/>
                <w:sz w:val="25"/>
                <w:szCs w:val="25"/>
              </w:rPr>
              <w:t>3</w:t>
            </w:r>
            <w:r w:rsidR="00FF61EA" w:rsidRPr="004836A6">
              <w:rPr>
                <w:color w:val="auto"/>
                <w:sz w:val="25"/>
                <w:szCs w:val="25"/>
              </w:rPr>
              <w:t>.</w:t>
            </w:r>
            <w:r w:rsidR="004E03BC" w:rsidRPr="004836A6">
              <w:rPr>
                <w:color w:val="auto"/>
                <w:sz w:val="25"/>
                <w:szCs w:val="25"/>
              </w:rPr>
              <w:t xml:space="preserve"> </w:t>
            </w:r>
            <w:r w:rsidR="00FF61EA" w:rsidRPr="004836A6">
              <w:rPr>
                <w:color w:val="auto"/>
                <w:sz w:val="25"/>
                <w:szCs w:val="25"/>
              </w:rPr>
              <w:t>apakšpunkts).</w:t>
            </w:r>
          </w:p>
          <w:p w14:paraId="1AFEDCB5" w14:textId="4D6BE30A" w:rsidR="004E65C8" w:rsidRPr="004836A6" w:rsidRDefault="004E65C8" w:rsidP="0047433F">
            <w:pPr>
              <w:spacing w:after="120"/>
              <w:jc w:val="both"/>
              <w:rPr>
                <w:color w:val="auto"/>
                <w:sz w:val="25"/>
                <w:szCs w:val="25"/>
                <w:shd w:val="clear" w:color="auto" w:fill="FFFFFF"/>
              </w:rPr>
            </w:pPr>
            <w:r w:rsidRPr="004836A6">
              <w:rPr>
                <w:color w:val="auto"/>
                <w:sz w:val="25"/>
                <w:szCs w:val="25"/>
              </w:rPr>
              <w:t>Ne</w:t>
            </w:r>
            <w:r w:rsidR="00716217" w:rsidRPr="004836A6">
              <w:rPr>
                <w:color w:val="auto"/>
                <w:sz w:val="25"/>
                <w:szCs w:val="25"/>
              </w:rPr>
              <w:t>veicot augstāk minētās izmaiņas Noteikumos Nr. 611 attiecībā uz prasību p</w:t>
            </w:r>
            <w:r w:rsidR="00D3001E">
              <w:rPr>
                <w:color w:val="auto"/>
                <w:sz w:val="25"/>
                <w:szCs w:val="25"/>
              </w:rPr>
              <w:t>a</w:t>
            </w:r>
            <w:r w:rsidR="00716217" w:rsidRPr="004836A6">
              <w:rPr>
                <w:color w:val="auto"/>
                <w:sz w:val="25"/>
                <w:szCs w:val="25"/>
              </w:rPr>
              <w:t>augstināšanu speciālistu kvalifikācijai un ultrasonogrāfijas aparāti, nevar tikt paaugstināta nodrošinātā pakalpojuma kvalitāte un palielināties savlaicīgi noteikto patoloģiju skaits.</w:t>
            </w:r>
          </w:p>
          <w:p w14:paraId="44CB4528" w14:textId="3C390584" w:rsidR="00C06509" w:rsidRPr="004836A6" w:rsidRDefault="000A6783">
            <w:pPr>
              <w:spacing w:after="120"/>
              <w:jc w:val="both"/>
              <w:rPr>
                <w:color w:val="auto"/>
                <w:sz w:val="25"/>
                <w:szCs w:val="25"/>
                <w:highlight w:val="white"/>
              </w:rPr>
            </w:pPr>
            <w:r w:rsidRPr="004836A6">
              <w:rPr>
                <w:color w:val="auto"/>
                <w:sz w:val="25"/>
                <w:szCs w:val="25"/>
                <w:shd w:val="clear" w:color="auto" w:fill="FFFFFF"/>
              </w:rPr>
              <w:t xml:space="preserve">Paredzēts, ka augstāk minētā tiesību norma stājas spēkā </w:t>
            </w:r>
            <w:r w:rsidRPr="004836A6">
              <w:rPr>
                <w:color w:val="auto"/>
                <w:sz w:val="25"/>
                <w:szCs w:val="25"/>
              </w:rPr>
              <w:t>2021. gada 1. janvārī</w:t>
            </w:r>
            <w:r w:rsidR="00584D63" w:rsidRPr="004836A6">
              <w:rPr>
                <w:color w:val="auto"/>
                <w:sz w:val="25"/>
                <w:szCs w:val="25"/>
              </w:rPr>
              <w:t xml:space="preserve"> (Projekta </w:t>
            </w:r>
            <w:r w:rsidR="00AE7C54" w:rsidRPr="004836A6">
              <w:rPr>
                <w:color w:val="auto"/>
                <w:sz w:val="25"/>
                <w:szCs w:val="25"/>
              </w:rPr>
              <w:t>2</w:t>
            </w:r>
            <w:r w:rsidR="00584D63" w:rsidRPr="004836A6">
              <w:rPr>
                <w:color w:val="auto"/>
                <w:sz w:val="25"/>
                <w:szCs w:val="25"/>
              </w:rPr>
              <w:t>.</w:t>
            </w:r>
            <w:r w:rsidR="00AE7C54" w:rsidRPr="004836A6">
              <w:rPr>
                <w:color w:val="auto"/>
                <w:sz w:val="25"/>
                <w:szCs w:val="25"/>
              </w:rPr>
              <w:t xml:space="preserve"> </w:t>
            </w:r>
            <w:r w:rsidR="00584D63" w:rsidRPr="004836A6">
              <w:rPr>
                <w:color w:val="auto"/>
                <w:sz w:val="25"/>
                <w:szCs w:val="25"/>
              </w:rPr>
              <w:t>punkts)</w:t>
            </w:r>
            <w:r w:rsidRPr="004836A6">
              <w:rPr>
                <w:color w:val="auto"/>
                <w:sz w:val="25"/>
                <w:szCs w:val="25"/>
              </w:rPr>
              <w:t>.</w:t>
            </w:r>
            <w:r w:rsidR="00C123BF" w:rsidRPr="004836A6">
              <w:rPr>
                <w:color w:val="auto"/>
                <w:sz w:val="25"/>
                <w:szCs w:val="25"/>
                <w:shd w:val="clear" w:color="auto" w:fill="FFFFFF"/>
              </w:rPr>
              <w:t> </w:t>
            </w:r>
          </w:p>
          <w:p w14:paraId="4528F52C" w14:textId="3A743274" w:rsidR="00C06509" w:rsidRPr="004836A6" w:rsidRDefault="00C123BF">
            <w:pPr>
              <w:spacing w:after="120"/>
              <w:jc w:val="both"/>
              <w:rPr>
                <w:rFonts w:eastAsiaTheme="minorHAnsi"/>
                <w:color w:val="auto"/>
                <w:sz w:val="25"/>
                <w:szCs w:val="25"/>
                <w:lang w:eastAsia="en-US"/>
              </w:rPr>
            </w:pPr>
            <w:r w:rsidRPr="004836A6">
              <w:rPr>
                <w:b/>
                <w:color w:val="auto"/>
                <w:sz w:val="25"/>
                <w:szCs w:val="25"/>
              </w:rPr>
              <w:t>3.</w:t>
            </w:r>
            <w:r w:rsidRPr="004836A6">
              <w:rPr>
                <w:color w:val="auto"/>
                <w:sz w:val="25"/>
                <w:szCs w:val="25"/>
              </w:rPr>
              <w:t xml:space="preserve"> </w:t>
            </w:r>
            <w:r w:rsidRPr="004836A6">
              <w:rPr>
                <w:rFonts w:eastAsia="Arial Unicode MS"/>
                <w:color w:val="auto"/>
                <w:sz w:val="25"/>
                <w:szCs w:val="25"/>
                <w:u w:color="000000"/>
              </w:rPr>
              <w:t xml:space="preserve">Šobrīd Noteikumu Nr. 611 1. pielikuma 1. punktā ir noteikts, ka grūtniece pirmreizējā ārstniecības personas apmeklējuma laikā (no grūtniecības 8. – 12. nedēļai) ir jāinformē par nepieciešamību vakcinēties pret sezonālo gripu. Latvijas Ginekologu un dzemdību </w:t>
            </w:r>
            <w:r w:rsidRPr="004836A6">
              <w:rPr>
                <w:rFonts w:eastAsia="Arial Unicode MS"/>
                <w:b/>
                <w:color w:val="auto"/>
                <w:sz w:val="25"/>
                <w:szCs w:val="25"/>
                <w:u w:color="000000"/>
              </w:rPr>
              <w:t xml:space="preserve"> </w:t>
            </w:r>
            <w:r w:rsidRPr="004836A6">
              <w:rPr>
                <w:rFonts w:eastAsia="Arial Unicode MS"/>
                <w:color w:val="auto"/>
                <w:sz w:val="25"/>
                <w:szCs w:val="25"/>
                <w:u w:color="000000"/>
              </w:rPr>
              <w:t xml:space="preserve">speciālistu asociācija norāda, ka informācija par nepieciešamību pasargāt sevi no saslimšanas ar gripu un vakcinēties pieder pie būtiskām rekomendācijām, kas sniedzamas grūtniecei. Fizioloģisko izmaiņu dēļ grūtnieces pieder pie riska grupas indivīdiem, kuriem ir </w:t>
            </w:r>
            <w:r w:rsidRPr="004836A6">
              <w:rPr>
                <w:rFonts w:eastAsia="Arial Unicode MS"/>
                <w:color w:val="auto"/>
                <w:sz w:val="25"/>
                <w:szCs w:val="25"/>
                <w:u w:color="000000"/>
              </w:rPr>
              <w:lastRenderedPageBreak/>
              <w:t xml:space="preserve">augsts gripas radīto komplikāciju risks. Arī Slimību profilakses un kontroles centrs rekomendē grūtniecēm vakcinēties pret gripu, lai mazinātu sarežģījumu riskus. Latvijā šobrīd vakcīna pret gripu grūtniecēm tiek kompensēta pilnā apmērā. </w:t>
            </w:r>
            <w:r w:rsidRPr="004836A6">
              <w:rPr>
                <w:rFonts w:eastAsiaTheme="minorHAnsi"/>
                <w:color w:val="auto"/>
                <w:sz w:val="25"/>
                <w:szCs w:val="25"/>
                <w:lang w:eastAsia="en-US"/>
              </w:rPr>
              <w:t>Ņemot vērā minēto, Latvijas Ginekologu un dzemdību speciālistu asociācija ierosina precizēt Noteikumu Nr. 611 1. pielikuma 1. punktā ietverto tiesību normu, paredzot informēt grūtnieci ne tikai par nepieciešamību vakcinēties pret gripu, bet arī par gripas bīstamību grūtniecības laikā</w:t>
            </w:r>
            <w:r w:rsidR="00152C3F" w:rsidRPr="004836A6">
              <w:rPr>
                <w:rFonts w:eastAsiaTheme="minorHAnsi"/>
                <w:color w:val="auto"/>
                <w:sz w:val="25"/>
                <w:szCs w:val="25"/>
                <w:lang w:eastAsia="en-US"/>
              </w:rPr>
              <w:t xml:space="preserve"> (Projekta 1.2. apakšpunkts)</w:t>
            </w:r>
            <w:r w:rsidRPr="004836A6">
              <w:rPr>
                <w:rFonts w:eastAsiaTheme="minorHAnsi"/>
                <w:color w:val="auto"/>
                <w:sz w:val="25"/>
                <w:szCs w:val="25"/>
                <w:lang w:eastAsia="en-US"/>
              </w:rPr>
              <w:t>.</w:t>
            </w:r>
          </w:p>
          <w:p w14:paraId="16C06588" w14:textId="61CB0316" w:rsidR="00123443" w:rsidRPr="004836A6" w:rsidRDefault="00123443">
            <w:pPr>
              <w:spacing w:after="120"/>
              <w:jc w:val="both"/>
              <w:rPr>
                <w:rFonts w:eastAsiaTheme="minorHAnsi"/>
                <w:color w:val="auto"/>
                <w:sz w:val="25"/>
                <w:szCs w:val="25"/>
                <w:lang w:eastAsia="en-US"/>
              </w:rPr>
            </w:pPr>
            <w:r w:rsidRPr="004836A6">
              <w:rPr>
                <w:rFonts w:eastAsiaTheme="minorHAnsi"/>
                <w:color w:val="auto"/>
                <w:sz w:val="25"/>
                <w:szCs w:val="25"/>
                <w:lang w:eastAsia="en-US"/>
              </w:rPr>
              <w:t xml:space="preserve">Neveicot augstāk minētos grozījumus Noteikumus Nr. 611 attiecībā uz grūtnieču informēšanu par iespēju saņemt valsts apmaksātu vakcināciju pret gripu, iespējas mazināt grūtnieču saslimstību ar gripu būtu ierobežotas. </w:t>
            </w:r>
          </w:p>
          <w:p w14:paraId="4F526EDA" w14:textId="77777777" w:rsidR="00C06509" w:rsidRPr="004836A6" w:rsidRDefault="00C123BF">
            <w:pPr>
              <w:jc w:val="both"/>
              <w:rPr>
                <w:rFonts w:eastAsiaTheme="minorHAnsi"/>
                <w:color w:val="auto"/>
                <w:sz w:val="25"/>
                <w:szCs w:val="25"/>
                <w:lang w:eastAsia="en-US"/>
              </w:rPr>
            </w:pPr>
            <w:r w:rsidRPr="004836A6">
              <w:rPr>
                <w:b/>
                <w:color w:val="auto"/>
                <w:sz w:val="25"/>
                <w:szCs w:val="25"/>
              </w:rPr>
              <w:t>4.</w:t>
            </w:r>
            <w:r w:rsidRPr="004836A6">
              <w:rPr>
                <w:color w:val="auto"/>
                <w:sz w:val="25"/>
                <w:szCs w:val="25"/>
              </w:rPr>
              <w:t xml:space="preserve"> </w:t>
            </w:r>
            <w:r w:rsidRPr="004836A6">
              <w:rPr>
                <w:rFonts w:eastAsiaTheme="minorHAnsi"/>
                <w:color w:val="auto"/>
                <w:sz w:val="25"/>
                <w:szCs w:val="25"/>
                <w:lang w:eastAsia="en-US"/>
              </w:rPr>
              <w:t>Pamatojoties uz</w:t>
            </w:r>
            <w:r w:rsidRPr="004836A6">
              <w:rPr>
                <w:rFonts w:eastAsiaTheme="minorHAnsi"/>
                <w:b/>
                <w:color w:val="auto"/>
                <w:sz w:val="25"/>
                <w:szCs w:val="25"/>
                <w:lang w:eastAsia="en-US"/>
              </w:rPr>
              <w:t xml:space="preserve"> </w:t>
            </w:r>
            <w:r w:rsidRPr="004836A6">
              <w:rPr>
                <w:rFonts w:eastAsiaTheme="minorHAnsi"/>
                <w:color w:val="auto"/>
                <w:sz w:val="25"/>
                <w:szCs w:val="25"/>
                <w:lang w:eastAsia="en-US"/>
              </w:rPr>
              <w:t xml:space="preserve">Latvijas Ginekologu un dzemdību speciālistu asociācijas pausto viedokli, grūtnieci ir būtiski izglītot un mudināt pievērst īpašu uzmanību augļa kustībām, kā arī sekot tām. Augļa kustības ir būtisks augļa </w:t>
            </w:r>
            <w:proofErr w:type="spellStart"/>
            <w:r w:rsidRPr="004836A6">
              <w:rPr>
                <w:rFonts w:eastAsiaTheme="minorHAnsi"/>
                <w:color w:val="auto"/>
                <w:sz w:val="25"/>
                <w:szCs w:val="25"/>
                <w:lang w:eastAsia="en-US"/>
              </w:rPr>
              <w:t>intrauterīnā</w:t>
            </w:r>
            <w:proofErr w:type="spellEnd"/>
            <w:r w:rsidRPr="004836A6">
              <w:rPr>
                <w:rFonts w:eastAsiaTheme="minorHAnsi"/>
                <w:color w:val="auto"/>
                <w:sz w:val="25"/>
                <w:szCs w:val="25"/>
                <w:lang w:eastAsia="en-US"/>
              </w:rPr>
              <w:t xml:space="preserve"> stāvokļa rādītājs. Savlaicīga uzmanības pievēršana samazinātam augļa kustīgumam, kas var būt augļa hipoksijas rādītājs, ļauj savlaicīgi veikt izmeklējumus, izvērtēt augļa </w:t>
            </w:r>
            <w:r w:rsidRPr="004836A6">
              <w:rPr>
                <w:rFonts w:eastAsiaTheme="minorHAnsi"/>
                <w:b/>
                <w:color w:val="auto"/>
                <w:sz w:val="25"/>
                <w:szCs w:val="25"/>
                <w:lang w:eastAsia="en-US"/>
              </w:rPr>
              <w:t xml:space="preserve"> </w:t>
            </w:r>
            <w:proofErr w:type="spellStart"/>
            <w:r w:rsidRPr="004836A6">
              <w:rPr>
                <w:rFonts w:eastAsiaTheme="minorHAnsi"/>
                <w:color w:val="auto"/>
                <w:sz w:val="25"/>
                <w:szCs w:val="25"/>
                <w:lang w:eastAsia="en-US"/>
              </w:rPr>
              <w:t>intrauterīno</w:t>
            </w:r>
            <w:proofErr w:type="spellEnd"/>
            <w:r w:rsidRPr="004836A6">
              <w:rPr>
                <w:rFonts w:eastAsiaTheme="minorHAnsi"/>
                <w:color w:val="auto"/>
                <w:sz w:val="25"/>
                <w:szCs w:val="25"/>
                <w:lang w:eastAsia="en-US"/>
              </w:rPr>
              <w:t xml:space="preserve"> stāvokli un lemt par tālāko grūtniecības vadīšanas stratēģiju, tādējādi uzlabojot perinatālo iznākumu.</w:t>
            </w:r>
          </w:p>
          <w:p w14:paraId="2873812E" w14:textId="77777777" w:rsidR="00152C3F" w:rsidRPr="004836A6" w:rsidRDefault="00C123BF" w:rsidP="00C73C0D">
            <w:pPr>
              <w:spacing w:after="120"/>
              <w:jc w:val="both"/>
              <w:rPr>
                <w:rFonts w:eastAsiaTheme="minorHAnsi"/>
                <w:b/>
                <w:color w:val="FF0000"/>
                <w:sz w:val="25"/>
                <w:szCs w:val="25"/>
                <w:lang w:eastAsia="en-US"/>
              </w:rPr>
            </w:pPr>
            <w:r w:rsidRPr="004836A6">
              <w:rPr>
                <w:rFonts w:eastAsiaTheme="minorHAnsi"/>
                <w:color w:val="auto"/>
                <w:sz w:val="25"/>
                <w:szCs w:val="25"/>
                <w:lang w:eastAsia="en-US"/>
              </w:rPr>
              <w:t xml:space="preserve">Ņemot vērā minēto, Projekts paredz papildināt Noteikumu Nr. 611 1. pielikuma </w:t>
            </w:r>
            <w:r w:rsidR="00A542DE" w:rsidRPr="004836A6">
              <w:rPr>
                <w:rFonts w:eastAsiaTheme="minorHAnsi"/>
                <w:color w:val="auto"/>
                <w:sz w:val="25"/>
                <w:szCs w:val="25"/>
                <w:lang w:eastAsia="en-US"/>
              </w:rPr>
              <w:t xml:space="preserve">tabulas </w:t>
            </w:r>
            <w:r w:rsidRPr="004836A6">
              <w:rPr>
                <w:rFonts w:eastAsiaTheme="minorHAnsi"/>
                <w:color w:val="auto"/>
                <w:sz w:val="25"/>
                <w:szCs w:val="25"/>
                <w:lang w:eastAsia="en-US"/>
              </w:rPr>
              <w:t>4. punktu, paredzot ārstniecības personai izskaidrot grūtniecei (no 29. – 30. grūtniecības nedēļā) nozīmību pievērst uzmanību un sekot augļa kustībām</w:t>
            </w:r>
            <w:r w:rsidR="00152C3F" w:rsidRPr="004836A6">
              <w:rPr>
                <w:rFonts w:eastAsiaTheme="minorHAnsi"/>
                <w:color w:val="auto"/>
                <w:sz w:val="25"/>
                <w:szCs w:val="25"/>
                <w:lang w:eastAsia="en-US"/>
              </w:rPr>
              <w:t xml:space="preserve"> (Projekta 1.3. apakšpunkts).</w:t>
            </w:r>
            <w:bookmarkStart w:id="4" w:name="_GoBack"/>
            <w:r w:rsidR="00152C3F" w:rsidRPr="004836A6">
              <w:rPr>
                <w:rFonts w:eastAsiaTheme="minorHAnsi"/>
                <w:color w:val="auto"/>
                <w:sz w:val="25"/>
                <w:szCs w:val="25"/>
                <w:lang w:eastAsia="en-US"/>
              </w:rPr>
              <w:t xml:space="preserve">   </w:t>
            </w:r>
            <w:bookmarkEnd w:id="4"/>
          </w:p>
          <w:p w14:paraId="722F8F55" w14:textId="59E7B0FA" w:rsidR="00BA3644" w:rsidRPr="004836A6" w:rsidRDefault="00C123BF">
            <w:pPr>
              <w:spacing w:after="120"/>
              <w:jc w:val="both"/>
              <w:rPr>
                <w:color w:val="auto"/>
                <w:sz w:val="25"/>
                <w:szCs w:val="25"/>
                <w:lang w:eastAsia="en-US"/>
              </w:rPr>
            </w:pPr>
            <w:r w:rsidRPr="004836A6">
              <w:rPr>
                <w:b/>
                <w:color w:val="auto"/>
                <w:sz w:val="25"/>
                <w:szCs w:val="25"/>
                <w:u w:color="000000"/>
              </w:rPr>
              <w:t xml:space="preserve">5. </w:t>
            </w:r>
            <w:r w:rsidRPr="004836A6">
              <w:rPr>
                <w:color w:val="auto"/>
                <w:sz w:val="25"/>
                <w:szCs w:val="25"/>
                <w:u w:color="000000"/>
              </w:rPr>
              <w:t>Plāna 2.6. apakšpunktā ir iekļauts pasākums, kas paredz p</w:t>
            </w:r>
            <w:r w:rsidRPr="004836A6">
              <w:rPr>
                <w:color w:val="auto"/>
                <w:sz w:val="25"/>
                <w:szCs w:val="25"/>
                <w:u w:color="414142"/>
              </w:rPr>
              <w:t xml:space="preserve">aplašināt jaundzimušo ģenētiski iedzimto slimību skrīningu ar jauniem izmeklējumiem </w:t>
            </w:r>
            <w:r w:rsidRPr="004836A6">
              <w:rPr>
                <w:color w:val="auto"/>
                <w:sz w:val="25"/>
                <w:szCs w:val="25"/>
              </w:rPr>
              <w:t>agrīnai ārstējamu patoloģiju diagnosticēšanai,</w:t>
            </w:r>
            <w:r w:rsidRPr="004836A6">
              <w:rPr>
                <w:color w:val="auto"/>
                <w:sz w:val="25"/>
                <w:szCs w:val="25"/>
                <w:lang w:eastAsia="en-US"/>
              </w:rPr>
              <w:t xml:space="preserve"> tai skaitā, noteikt a</w:t>
            </w:r>
            <w:r w:rsidRPr="004836A6">
              <w:rPr>
                <w:bCs/>
                <w:color w:val="auto"/>
                <w:sz w:val="25"/>
                <w:szCs w:val="25"/>
              </w:rPr>
              <w:t>monjaku riska grupas jaundzimušajiem,</w:t>
            </w:r>
            <w:r w:rsidRPr="004836A6">
              <w:rPr>
                <w:b/>
                <w:bCs/>
                <w:color w:val="auto"/>
                <w:sz w:val="25"/>
                <w:szCs w:val="25"/>
              </w:rPr>
              <w:t xml:space="preserve"> </w:t>
            </w:r>
            <w:r w:rsidRPr="004836A6">
              <w:rPr>
                <w:bCs/>
                <w:color w:val="auto"/>
                <w:sz w:val="25"/>
                <w:szCs w:val="25"/>
                <w:lang w:eastAsia="en-US"/>
              </w:rPr>
              <w:t>kuriem novēro apātiju, krampjus, progresējošus  centrālās nervu sistēmas traucējumus, letarģiju un komu</w:t>
            </w:r>
            <w:r w:rsidR="00E90BD0" w:rsidRPr="004836A6">
              <w:rPr>
                <w:bCs/>
                <w:color w:val="auto"/>
                <w:sz w:val="25"/>
                <w:szCs w:val="25"/>
                <w:lang w:eastAsia="en-US"/>
              </w:rPr>
              <w:t>.</w:t>
            </w:r>
            <w:r w:rsidRPr="004836A6">
              <w:rPr>
                <w:color w:val="auto"/>
                <w:sz w:val="25"/>
                <w:szCs w:val="25"/>
                <w:lang w:eastAsia="en-US"/>
              </w:rPr>
              <w:t xml:space="preserve"> </w:t>
            </w:r>
            <w:r w:rsidRPr="004836A6">
              <w:rPr>
                <w:bCs/>
                <w:color w:val="auto"/>
                <w:sz w:val="25"/>
                <w:szCs w:val="25"/>
                <w:lang w:eastAsia="en-US"/>
              </w:rPr>
              <w:t>Nenosakot amonjaka līmeni šai riska grupai, kas varētu būt aptuveni 150 pacienti gadā, netiek savlaicīgi atklāti pacienti ar urīnvielas cikla traucējumiem, kuriem iespējama ārstēšana. Savukārt n</w:t>
            </w:r>
            <w:r w:rsidRPr="004836A6">
              <w:rPr>
                <w:color w:val="auto"/>
                <w:sz w:val="25"/>
                <w:szCs w:val="25"/>
                <w:lang w:eastAsia="en-US"/>
              </w:rPr>
              <w:t xml:space="preserve">ovēlota terapija var izraisīt centrālās nervu sistēmas </w:t>
            </w:r>
            <w:r w:rsidR="00D72924" w:rsidRPr="004836A6">
              <w:rPr>
                <w:color w:val="auto"/>
                <w:sz w:val="25"/>
                <w:szCs w:val="25"/>
                <w:lang w:eastAsia="en-US"/>
              </w:rPr>
              <w:t xml:space="preserve">neatgriezeniskas </w:t>
            </w:r>
            <w:r w:rsidRPr="004836A6">
              <w:rPr>
                <w:color w:val="auto"/>
                <w:sz w:val="25"/>
                <w:szCs w:val="25"/>
                <w:lang w:eastAsia="en-US"/>
              </w:rPr>
              <w:t xml:space="preserve">izmaiņas vai nāvi. </w:t>
            </w:r>
            <w:r w:rsidRPr="004836A6">
              <w:rPr>
                <w:bCs/>
                <w:color w:val="auto"/>
                <w:sz w:val="25"/>
                <w:szCs w:val="25"/>
                <w:lang w:eastAsia="en-US"/>
              </w:rPr>
              <w:t xml:space="preserve">Šādai diagnostikai būtu jābūt pieejamai visos Perinatālās aprūpes centros un </w:t>
            </w:r>
            <w:r w:rsidRPr="004836A6">
              <w:rPr>
                <w:color w:val="auto"/>
                <w:sz w:val="25"/>
                <w:szCs w:val="25"/>
              </w:rPr>
              <w:t xml:space="preserve">valsts sabiedrībā ar ierobežotu atbildību „Bērnu klīniskā universitātes slimnīca” (turpmāk – BKUS) </w:t>
            </w:r>
            <w:r w:rsidRPr="004836A6">
              <w:rPr>
                <w:bCs/>
                <w:color w:val="auto"/>
                <w:sz w:val="25"/>
                <w:szCs w:val="25"/>
                <w:lang w:eastAsia="en-US"/>
              </w:rPr>
              <w:t xml:space="preserve">visu diennakti. </w:t>
            </w:r>
            <w:proofErr w:type="spellStart"/>
            <w:r w:rsidRPr="004836A6">
              <w:rPr>
                <w:color w:val="auto"/>
                <w:sz w:val="25"/>
                <w:szCs w:val="25"/>
                <w:lang w:eastAsia="en-US"/>
              </w:rPr>
              <w:t>Hiperamonēmijas</w:t>
            </w:r>
            <w:proofErr w:type="spellEnd"/>
            <w:r w:rsidRPr="004836A6">
              <w:rPr>
                <w:color w:val="auto"/>
                <w:sz w:val="25"/>
                <w:szCs w:val="25"/>
                <w:lang w:eastAsia="en-US"/>
              </w:rPr>
              <w:t xml:space="preserve"> gadījumā </w:t>
            </w:r>
            <w:r w:rsidRPr="004836A6">
              <w:rPr>
                <w:color w:val="auto"/>
                <w:sz w:val="25"/>
                <w:szCs w:val="25"/>
                <w:shd w:val="clear" w:color="auto" w:fill="FFFFFF"/>
                <w:lang w:eastAsia="en-US"/>
              </w:rPr>
              <w:t xml:space="preserve">amonjaka līmenis smadzenēs ir pusotru līdz trīs reizes augstāks nekā asinīs, </w:t>
            </w:r>
            <w:r w:rsidRPr="004836A6">
              <w:rPr>
                <w:color w:val="auto"/>
                <w:sz w:val="25"/>
                <w:szCs w:val="25"/>
                <w:lang w:eastAsia="en-US"/>
              </w:rPr>
              <w:t xml:space="preserve">tāpēc nenobriedušai nervu sistēmai </w:t>
            </w:r>
            <w:proofErr w:type="spellStart"/>
            <w:r w:rsidRPr="004836A6">
              <w:rPr>
                <w:color w:val="auto"/>
                <w:sz w:val="25"/>
                <w:szCs w:val="25"/>
                <w:lang w:eastAsia="en-US"/>
              </w:rPr>
              <w:t>hiperamonēmija</w:t>
            </w:r>
            <w:proofErr w:type="spellEnd"/>
            <w:r w:rsidRPr="004836A6">
              <w:rPr>
                <w:color w:val="auto"/>
                <w:sz w:val="25"/>
                <w:szCs w:val="25"/>
                <w:lang w:eastAsia="en-US"/>
              </w:rPr>
              <w:t xml:space="preserve"> var izraisīt neatgriezeniskus smadzeņu bojājumus, piemēram,  smadzeņu garozas atrofij</w:t>
            </w:r>
            <w:r w:rsidR="00E90BD0" w:rsidRPr="004836A6">
              <w:rPr>
                <w:color w:val="auto"/>
                <w:sz w:val="25"/>
                <w:szCs w:val="25"/>
                <w:lang w:eastAsia="en-US"/>
              </w:rPr>
              <w:t>u</w:t>
            </w:r>
            <w:r w:rsidRPr="004836A6">
              <w:rPr>
                <w:color w:val="auto"/>
                <w:sz w:val="25"/>
                <w:szCs w:val="25"/>
                <w:lang w:eastAsia="en-US"/>
              </w:rPr>
              <w:t xml:space="preserve">, vēderiņu paplašināšanos un </w:t>
            </w:r>
            <w:proofErr w:type="spellStart"/>
            <w:r w:rsidRPr="004836A6">
              <w:rPr>
                <w:color w:val="auto"/>
                <w:sz w:val="25"/>
                <w:szCs w:val="25"/>
                <w:lang w:eastAsia="en-US"/>
              </w:rPr>
              <w:t>demielenizāciju</w:t>
            </w:r>
            <w:proofErr w:type="spellEnd"/>
            <w:r w:rsidRPr="004836A6">
              <w:rPr>
                <w:color w:val="auto"/>
                <w:sz w:val="25"/>
                <w:szCs w:val="25"/>
                <w:lang w:eastAsia="en-US"/>
              </w:rPr>
              <w:t xml:space="preserve">, kas noved pie tādiem klīniskiem simptomiem kā intelekta deficīta un krampjiem. Laicīgi nediagnosticēta </w:t>
            </w:r>
            <w:proofErr w:type="spellStart"/>
            <w:r w:rsidRPr="004836A6">
              <w:rPr>
                <w:color w:val="auto"/>
                <w:sz w:val="25"/>
                <w:szCs w:val="25"/>
                <w:lang w:eastAsia="en-US"/>
              </w:rPr>
              <w:t>hiperamonēmija</w:t>
            </w:r>
            <w:proofErr w:type="spellEnd"/>
            <w:r w:rsidRPr="004836A6">
              <w:rPr>
                <w:color w:val="auto"/>
                <w:sz w:val="25"/>
                <w:szCs w:val="25"/>
                <w:lang w:eastAsia="en-US"/>
              </w:rPr>
              <w:t xml:space="preserve"> izraisa </w:t>
            </w:r>
            <w:r w:rsidRPr="004836A6">
              <w:rPr>
                <w:color w:val="auto"/>
                <w:sz w:val="25"/>
                <w:szCs w:val="25"/>
                <w:lang w:eastAsia="en-US"/>
              </w:rPr>
              <w:lastRenderedPageBreak/>
              <w:t>encefalopātiju, kam seko koma un nāve.</w:t>
            </w:r>
            <w:r w:rsidRPr="004836A6">
              <w:rPr>
                <w:rStyle w:val="FootnoteAnchor"/>
                <w:color w:val="auto"/>
                <w:sz w:val="25"/>
                <w:szCs w:val="25"/>
                <w:lang w:eastAsia="en-US"/>
              </w:rPr>
              <w:footnoteReference w:id="1"/>
            </w:r>
            <w:r w:rsidRPr="004836A6">
              <w:rPr>
                <w:color w:val="auto"/>
                <w:sz w:val="25"/>
                <w:szCs w:val="25"/>
                <w:lang w:eastAsia="en-US"/>
              </w:rPr>
              <w:t xml:space="preserve"> Nodrošinot amonjaka līmeņa diagnostiku un kontroli pacientiem ar jau noteiktām diagnozēm, kas saistītas ar primāru vai sekundāru </w:t>
            </w:r>
            <w:proofErr w:type="spellStart"/>
            <w:r w:rsidRPr="004836A6">
              <w:rPr>
                <w:color w:val="auto"/>
                <w:sz w:val="25"/>
                <w:szCs w:val="25"/>
                <w:lang w:eastAsia="en-US"/>
              </w:rPr>
              <w:t>hiperamonēmiju</w:t>
            </w:r>
            <w:proofErr w:type="spellEnd"/>
            <w:r w:rsidRPr="004836A6">
              <w:rPr>
                <w:color w:val="auto"/>
                <w:sz w:val="25"/>
                <w:szCs w:val="25"/>
                <w:lang w:eastAsia="en-US"/>
              </w:rPr>
              <w:t xml:space="preserve"> ambulatoros apstākļos, samazināsies hospitalizācijas biežums, kā arī hospitalizācijas ilgums, uzlabosies slimības gaitas norises kontrole un nepieciešamās adekvātās terapijas nozīmēšana, kas attiecīgi nozīmē zemākas ārstēšanas un uzraudzības izmaksas kopumā</w:t>
            </w:r>
            <w:r w:rsidR="00B845F1" w:rsidRPr="004836A6">
              <w:rPr>
                <w:color w:val="auto"/>
                <w:sz w:val="25"/>
                <w:szCs w:val="25"/>
                <w:lang w:eastAsia="en-US"/>
              </w:rPr>
              <w:t xml:space="preserve"> (Projekta 1.6. apakšpunkts).</w:t>
            </w:r>
          </w:p>
          <w:p w14:paraId="7F9FD9B1" w14:textId="77777777" w:rsidR="00217D7F" w:rsidRPr="004836A6" w:rsidRDefault="00C123BF" w:rsidP="00217D7F">
            <w:pPr>
              <w:pStyle w:val="Standard"/>
              <w:jc w:val="both"/>
              <w:rPr>
                <w:rFonts w:ascii="Times New Roman" w:hAnsi="Times New Roman" w:cs="Times New Roman"/>
                <w:sz w:val="25"/>
                <w:szCs w:val="25"/>
              </w:rPr>
            </w:pPr>
            <w:r w:rsidRPr="004836A6">
              <w:rPr>
                <w:rFonts w:ascii="Times New Roman" w:hAnsi="Times New Roman" w:cs="Times New Roman"/>
                <w:b/>
                <w:sz w:val="25"/>
                <w:szCs w:val="25"/>
                <w:u w:color="000000"/>
              </w:rPr>
              <w:t xml:space="preserve">6. </w:t>
            </w:r>
            <w:r w:rsidR="00D1463B" w:rsidRPr="004836A6">
              <w:rPr>
                <w:rFonts w:ascii="Times New Roman" w:hAnsi="Times New Roman" w:cs="Times New Roman"/>
                <w:sz w:val="25"/>
                <w:szCs w:val="25"/>
                <w:u w:color="000000"/>
              </w:rPr>
              <w:t xml:space="preserve">Atbilstoši speciālistu sniegtajam priekšlikumam, projekts paredz veikt precizējumu Noteikumu Nr. 611 </w:t>
            </w:r>
            <w:r w:rsidR="00D1463B" w:rsidRPr="004836A6">
              <w:rPr>
                <w:rFonts w:ascii="Times New Roman" w:eastAsia="Calibri" w:hAnsi="Times New Roman" w:cs="Times New Roman"/>
                <w:sz w:val="25"/>
                <w:szCs w:val="25"/>
                <w:lang w:eastAsia="en-US"/>
              </w:rPr>
              <w:t xml:space="preserve">1. pielikuma </w:t>
            </w:r>
            <w:r w:rsidR="00530F55" w:rsidRPr="004836A6">
              <w:rPr>
                <w:rFonts w:ascii="Times New Roman" w:eastAsia="Calibri" w:hAnsi="Times New Roman" w:cs="Times New Roman"/>
                <w:sz w:val="25"/>
                <w:szCs w:val="25"/>
                <w:lang w:eastAsia="en-US"/>
              </w:rPr>
              <w:t>tabulas 11. punkta 7. ailē, novecojušās terminoloģijas “jaundzimušo hemorāģiskā slimība” vietā paredzot jaunu terminu “K vitamīna atkarīga asiņošana</w:t>
            </w:r>
            <w:r w:rsidR="003A5025" w:rsidRPr="004836A6">
              <w:rPr>
                <w:rFonts w:ascii="Times New Roman" w:eastAsia="Calibri" w:hAnsi="Times New Roman" w:cs="Times New Roman"/>
                <w:sz w:val="25"/>
                <w:szCs w:val="25"/>
                <w:lang w:eastAsia="en-US"/>
              </w:rPr>
              <w:t>”</w:t>
            </w:r>
            <w:r w:rsidR="00530F55" w:rsidRPr="004836A6">
              <w:rPr>
                <w:rFonts w:ascii="Times New Roman" w:eastAsia="Calibri" w:hAnsi="Times New Roman" w:cs="Times New Roman"/>
                <w:sz w:val="25"/>
                <w:szCs w:val="25"/>
                <w:lang w:eastAsia="en-US"/>
              </w:rPr>
              <w:t xml:space="preserve">. Vienlaikus Noteikumu projekta 1. pielikuma tabulas </w:t>
            </w:r>
            <w:r w:rsidR="00D1463B" w:rsidRPr="004836A6">
              <w:rPr>
                <w:rFonts w:ascii="Times New Roman" w:eastAsia="Calibri" w:hAnsi="Times New Roman" w:cs="Times New Roman"/>
                <w:sz w:val="25"/>
                <w:szCs w:val="25"/>
                <w:lang w:eastAsia="en-US"/>
              </w:rPr>
              <w:t xml:space="preserve">14. punkta </w:t>
            </w:r>
            <w:r w:rsidR="00685106" w:rsidRPr="004836A6">
              <w:rPr>
                <w:rFonts w:ascii="Times New Roman" w:eastAsia="Calibri" w:hAnsi="Times New Roman" w:cs="Times New Roman"/>
                <w:sz w:val="25"/>
                <w:szCs w:val="25"/>
                <w:lang w:eastAsia="en-US"/>
              </w:rPr>
              <w:t>7</w:t>
            </w:r>
            <w:r w:rsidR="00D1463B" w:rsidRPr="004836A6">
              <w:rPr>
                <w:rFonts w:ascii="Times New Roman" w:eastAsia="Calibri" w:hAnsi="Times New Roman" w:cs="Times New Roman"/>
                <w:sz w:val="25"/>
                <w:szCs w:val="25"/>
                <w:lang w:eastAsia="en-US"/>
              </w:rPr>
              <w:t>. ailē paredz</w:t>
            </w:r>
            <w:r w:rsidR="00530F55" w:rsidRPr="004836A6">
              <w:rPr>
                <w:rFonts w:ascii="Times New Roman" w:eastAsia="Calibri" w:hAnsi="Times New Roman" w:cs="Times New Roman"/>
                <w:sz w:val="25"/>
                <w:szCs w:val="25"/>
                <w:lang w:eastAsia="en-US"/>
              </w:rPr>
              <w:t>ē</w:t>
            </w:r>
            <w:r w:rsidR="00D1463B" w:rsidRPr="004836A6">
              <w:rPr>
                <w:rFonts w:ascii="Times New Roman" w:eastAsia="Calibri" w:hAnsi="Times New Roman" w:cs="Times New Roman"/>
                <w:sz w:val="25"/>
                <w:szCs w:val="25"/>
                <w:lang w:eastAsia="en-US"/>
              </w:rPr>
              <w:t>t</w:t>
            </w:r>
            <w:r w:rsidR="00530F55" w:rsidRPr="004836A6">
              <w:rPr>
                <w:rFonts w:ascii="Times New Roman" w:eastAsia="Calibri" w:hAnsi="Times New Roman" w:cs="Times New Roman"/>
                <w:sz w:val="25"/>
                <w:szCs w:val="25"/>
                <w:lang w:eastAsia="en-US"/>
              </w:rPr>
              <w:t>s</w:t>
            </w:r>
            <w:r w:rsidR="00D1463B" w:rsidRPr="004836A6">
              <w:rPr>
                <w:rFonts w:ascii="Times New Roman" w:eastAsia="Calibri" w:hAnsi="Times New Roman" w:cs="Times New Roman"/>
                <w:sz w:val="25"/>
                <w:szCs w:val="25"/>
                <w:lang w:eastAsia="en-US"/>
              </w:rPr>
              <w:t xml:space="preserve">, ka </w:t>
            </w:r>
            <w:r w:rsidR="00D1463B" w:rsidRPr="004836A6">
              <w:rPr>
                <w:rFonts w:ascii="Times New Roman" w:hAnsi="Times New Roman" w:cs="Times New Roman"/>
                <w:sz w:val="25"/>
                <w:szCs w:val="25"/>
                <w:lang w:eastAsia="en-US"/>
              </w:rPr>
              <w:t>K vitamīna atkarīgās asiņošanas profilaksi turpina, ja K vitamīns ir saņemts perorāli</w:t>
            </w:r>
            <w:r w:rsidR="00530F55" w:rsidRPr="004836A6">
              <w:rPr>
                <w:rFonts w:ascii="Times New Roman" w:hAnsi="Times New Roman" w:cs="Times New Roman"/>
                <w:sz w:val="25"/>
                <w:szCs w:val="25"/>
                <w:lang w:eastAsia="en-US"/>
              </w:rPr>
              <w:t xml:space="preserve">, </w:t>
            </w:r>
            <w:r w:rsidR="00E74BE4" w:rsidRPr="004836A6">
              <w:rPr>
                <w:rFonts w:ascii="Times New Roman" w:hAnsi="Times New Roman" w:cs="Times New Roman"/>
                <w:sz w:val="25"/>
                <w:szCs w:val="25"/>
                <w:lang w:eastAsia="en-US"/>
              </w:rPr>
              <w:t>j</w:t>
            </w:r>
            <w:r w:rsidR="00530F55" w:rsidRPr="004836A6">
              <w:rPr>
                <w:rFonts w:ascii="Times New Roman" w:hAnsi="Times New Roman" w:cs="Times New Roman"/>
                <w:sz w:val="25"/>
                <w:szCs w:val="25"/>
                <w:lang w:eastAsia="en-US"/>
              </w:rPr>
              <w:t>o</w:t>
            </w:r>
            <w:r w:rsidR="00D1463B" w:rsidRPr="004836A6">
              <w:rPr>
                <w:rFonts w:ascii="Times New Roman" w:hAnsi="Times New Roman" w:cs="Times New Roman"/>
                <w:sz w:val="25"/>
                <w:szCs w:val="25"/>
                <w:lang w:eastAsia="en-US"/>
              </w:rPr>
              <w:t xml:space="preserve"> </w:t>
            </w:r>
            <w:r w:rsidR="00D1463B" w:rsidRPr="004836A6">
              <w:rPr>
                <w:rFonts w:ascii="Times New Roman" w:eastAsia="Calibri" w:hAnsi="Times New Roman" w:cs="Times New Roman"/>
                <w:sz w:val="25"/>
                <w:szCs w:val="25"/>
                <w:lang w:eastAsia="en-US"/>
              </w:rPr>
              <w:t xml:space="preserve"> </w:t>
            </w:r>
            <w:r w:rsidR="00D1463B" w:rsidRPr="004836A6">
              <w:rPr>
                <w:rFonts w:ascii="Times New Roman" w:hAnsi="Times New Roman" w:cs="Times New Roman"/>
                <w:sz w:val="25"/>
                <w:szCs w:val="25"/>
                <w:lang w:eastAsia="en-US"/>
              </w:rPr>
              <w:t>K vitamīna atkarīgās asiņošanas profilaksi visā pasaulē nodrošina 2 dažādos veidos – intramuskulāri vai perorāli. Abiem veidiem atšķiras K vitamīna devu skaits. Intramuskulāri nepieciešama tikai 1 deva pirmajās 24 stundās, bet perorālai ievadei – 3 devas.</w:t>
            </w:r>
            <w:r w:rsidR="00D1463B" w:rsidRPr="004836A6">
              <w:rPr>
                <w:rFonts w:ascii="Times New Roman" w:hAnsi="Times New Roman" w:cs="Times New Roman"/>
                <w:sz w:val="25"/>
                <w:szCs w:val="25"/>
              </w:rPr>
              <w:t xml:space="preserve"> </w:t>
            </w:r>
            <w:r w:rsidR="00D1463B" w:rsidRPr="004836A6">
              <w:rPr>
                <w:rFonts w:ascii="Times New Roman" w:hAnsi="Times New Roman" w:cs="Times New Roman"/>
                <w:sz w:val="25"/>
                <w:szCs w:val="25"/>
                <w:lang w:eastAsia="en-US"/>
              </w:rPr>
              <w:t>Abi profilakses veidi ir efektīvi un uz pierādījumiem balstīti, līdz ar to ārstam un pacienta vecākiem ir tiesības izvēlēties ievades veidu</w:t>
            </w:r>
            <w:r w:rsidR="00F925C3" w:rsidRPr="004836A6">
              <w:rPr>
                <w:rFonts w:ascii="Times New Roman" w:hAnsi="Times New Roman" w:cs="Times New Roman"/>
                <w:sz w:val="25"/>
                <w:szCs w:val="25"/>
                <w:lang w:eastAsia="en-US"/>
              </w:rPr>
              <w:t xml:space="preserve">. </w:t>
            </w:r>
            <w:r w:rsidR="00F925C3" w:rsidRPr="004836A6">
              <w:rPr>
                <w:rFonts w:ascii="Times New Roman" w:hAnsi="Times New Roman" w:cs="Times New Roman"/>
                <w:sz w:val="25"/>
                <w:szCs w:val="25"/>
              </w:rPr>
              <w:t xml:space="preserve">K vitamīna deficīta izraisīta asiņošana gadījumā ir traucēta asins recēšana, un rodas spontāni asinsizplūdumi. </w:t>
            </w:r>
            <w:r w:rsidR="00217D7F" w:rsidRPr="004836A6">
              <w:rPr>
                <w:rFonts w:ascii="Times New Roman" w:hAnsi="Times New Roman" w:cs="Times New Roman"/>
                <w:sz w:val="25"/>
                <w:szCs w:val="25"/>
              </w:rPr>
              <w:t>Atbilstoši speciālistu sniegtajam viedoklim, arī pēc perorālas profilakses uzsākšanas 1. dzīves dienā, ģimenes ārstam ir iespēja turpināt ar intramuskulāru K vitamīna ievadi (1 deva 1 reizi).</w:t>
            </w:r>
          </w:p>
          <w:p w14:paraId="3B769B40" w14:textId="77777777" w:rsidR="00217D7F" w:rsidRPr="004836A6" w:rsidRDefault="00217D7F" w:rsidP="00217D7F">
            <w:pPr>
              <w:pStyle w:val="Standard"/>
              <w:jc w:val="both"/>
              <w:rPr>
                <w:rFonts w:ascii="Times New Roman" w:hAnsi="Times New Roman" w:cs="Times New Roman"/>
                <w:sz w:val="25"/>
                <w:szCs w:val="25"/>
              </w:rPr>
            </w:pPr>
            <w:r w:rsidRPr="004836A6">
              <w:rPr>
                <w:rFonts w:ascii="Times New Roman" w:hAnsi="Times New Roman" w:cs="Times New Roman"/>
                <w:sz w:val="25"/>
                <w:szCs w:val="25"/>
              </w:rPr>
              <w:t xml:space="preserve">K vitamīna profilaktiska lietošana atšķiras bērniem ar tauku uzsūkšanās traucējumiem (piemēram, </w:t>
            </w:r>
            <w:proofErr w:type="spellStart"/>
            <w:r w:rsidRPr="004836A6">
              <w:rPr>
                <w:rFonts w:ascii="Times New Roman" w:hAnsi="Times New Roman" w:cs="Times New Roman"/>
                <w:sz w:val="25"/>
                <w:szCs w:val="25"/>
              </w:rPr>
              <w:t>citomegalovīrusa</w:t>
            </w:r>
            <w:proofErr w:type="spellEnd"/>
            <w:r w:rsidRPr="004836A6">
              <w:rPr>
                <w:rFonts w:ascii="Times New Roman" w:hAnsi="Times New Roman" w:cs="Times New Roman"/>
                <w:sz w:val="25"/>
                <w:szCs w:val="25"/>
              </w:rPr>
              <w:t xml:space="preserve"> izraisīta </w:t>
            </w:r>
            <w:proofErr w:type="spellStart"/>
            <w:r w:rsidRPr="004836A6">
              <w:rPr>
                <w:rFonts w:ascii="Times New Roman" w:hAnsi="Times New Roman" w:cs="Times New Roman"/>
                <w:sz w:val="25"/>
                <w:szCs w:val="25"/>
              </w:rPr>
              <w:t>holestāze</w:t>
            </w:r>
            <w:proofErr w:type="spellEnd"/>
            <w:r w:rsidRPr="004836A6">
              <w:rPr>
                <w:rFonts w:ascii="Times New Roman" w:hAnsi="Times New Roman" w:cs="Times New Roman"/>
                <w:sz w:val="25"/>
                <w:szCs w:val="25"/>
              </w:rPr>
              <w:t>, aknu darbības traucējumi, u.c.) - pacientam nepieciešams saņemt lielākas devas un biežāk.</w:t>
            </w:r>
          </w:p>
          <w:p w14:paraId="3CD2D059" w14:textId="1DB7A88E" w:rsidR="003A5025" w:rsidRPr="004836A6" w:rsidRDefault="003A5025" w:rsidP="00217D7F">
            <w:pPr>
              <w:pStyle w:val="Standard"/>
              <w:jc w:val="both"/>
              <w:rPr>
                <w:rFonts w:ascii="Times New Roman" w:hAnsi="Times New Roman" w:cs="Times New Roman"/>
                <w:sz w:val="25"/>
                <w:szCs w:val="25"/>
              </w:rPr>
            </w:pPr>
            <w:bookmarkStart w:id="5" w:name="_Hlk17120919"/>
            <w:r w:rsidRPr="004836A6">
              <w:rPr>
                <w:rFonts w:ascii="Times New Roman" w:hAnsi="Times New Roman" w:cs="Times New Roman"/>
                <w:sz w:val="25"/>
                <w:szCs w:val="25"/>
              </w:rPr>
              <w:t>Lai nodrošinātu K vitamīna atkarīgās asiņošanas profilaks</w:t>
            </w:r>
            <w:r w:rsidR="00217D7F" w:rsidRPr="004836A6">
              <w:rPr>
                <w:rFonts w:ascii="Times New Roman" w:hAnsi="Times New Roman" w:cs="Times New Roman"/>
                <w:sz w:val="25"/>
                <w:szCs w:val="25"/>
              </w:rPr>
              <w:t>es</w:t>
            </w:r>
            <w:r w:rsidRPr="004836A6">
              <w:rPr>
                <w:rFonts w:ascii="Times New Roman" w:hAnsi="Times New Roman" w:cs="Times New Roman"/>
                <w:sz w:val="25"/>
                <w:szCs w:val="25"/>
              </w:rPr>
              <w:t xml:space="preserve"> turpināšanu gadījumos kad 1. deva jaundzimušajam tiek ievadīta perorāli</w:t>
            </w:r>
            <w:r w:rsidR="002548EE" w:rsidRPr="004836A6">
              <w:rPr>
                <w:rFonts w:ascii="Times New Roman" w:hAnsi="Times New Roman" w:cs="Times New Roman"/>
                <w:sz w:val="25"/>
                <w:szCs w:val="25"/>
              </w:rPr>
              <w:t xml:space="preserve"> vai K vitamīna atkarīgās asiņošanas profilakse jaundzimušajam nav tikusi veikta</w:t>
            </w:r>
            <w:r w:rsidRPr="004836A6">
              <w:rPr>
                <w:rFonts w:ascii="Times New Roman" w:hAnsi="Times New Roman" w:cs="Times New Roman"/>
                <w:sz w:val="25"/>
                <w:szCs w:val="25"/>
              </w:rPr>
              <w:t xml:space="preserve">, Projekts paredz, ka minētajās situācijās tiek nodrošināta </w:t>
            </w:r>
            <w:r w:rsidR="00AE3DA0">
              <w:rPr>
                <w:rFonts w:ascii="Times New Roman" w:hAnsi="Times New Roman" w:cs="Times New Roman"/>
                <w:sz w:val="25"/>
                <w:szCs w:val="25"/>
              </w:rPr>
              <w:t xml:space="preserve">rakstiskas </w:t>
            </w:r>
            <w:r w:rsidRPr="004836A6">
              <w:rPr>
                <w:rFonts w:ascii="Times New Roman" w:hAnsi="Times New Roman" w:cs="Times New Roman"/>
                <w:sz w:val="25"/>
                <w:szCs w:val="25"/>
              </w:rPr>
              <w:t xml:space="preserve">informācijas </w:t>
            </w:r>
            <w:r w:rsidR="00AE3DA0" w:rsidRPr="004836A6">
              <w:rPr>
                <w:rFonts w:ascii="Times New Roman" w:hAnsi="Times New Roman" w:cs="Times New Roman"/>
                <w:sz w:val="25"/>
                <w:szCs w:val="25"/>
              </w:rPr>
              <w:t xml:space="preserve">nodošana jaundzimušā ģimenes ārstam </w:t>
            </w:r>
            <w:r w:rsidRPr="004836A6">
              <w:rPr>
                <w:rFonts w:ascii="Times New Roman" w:hAnsi="Times New Roman" w:cs="Times New Roman"/>
                <w:sz w:val="25"/>
                <w:szCs w:val="25"/>
              </w:rPr>
              <w:t>par turpmāk</w:t>
            </w:r>
            <w:r w:rsidR="00AE3DA0">
              <w:rPr>
                <w:rFonts w:ascii="Times New Roman" w:hAnsi="Times New Roman" w:cs="Times New Roman"/>
                <w:sz w:val="25"/>
                <w:szCs w:val="25"/>
              </w:rPr>
              <w:t>ās</w:t>
            </w:r>
            <w:r w:rsidRPr="004836A6">
              <w:rPr>
                <w:rFonts w:ascii="Times New Roman" w:hAnsi="Times New Roman" w:cs="Times New Roman"/>
                <w:sz w:val="25"/>
                <w:szCs w:val="25"/>
              </w:rPr>
              <w:t xml:space="preserve"> </w:t>
            </w:r>
            <w:r w:rsidR="00AE3DA0" w:rsidRPr="004836A6">
              <w:rPr>
                <w:rFonts w:ascii="Times New Roman" w:hAnsi="Times New Roman" w:cs="Times New Roman"/>
                <w:sz w:val="25"/>
                <w:szCs w:val="25"/>
              </w:rPr>
              <w:t xml:space="preserve">K vitamīna atkarīgās asiņošanas profilakses </w:t>
            </w:r>
            <w:r w:rsidR="00AE3DA0">
              <w:rPr>
                <w:rFonts w:ascii="Times New Roman" w:hAnsi="Times New Roman" w:cs="Times New Roman"/>
                <w:sz w:val="25"/>
                <w:szCs w:val="25"/>
              </w:rPr>
              <w:t>nepieciešamību,</w:t>
            </w:r>
            <w:r w:rsidRPr="004836A6">
              <w:rPr>
                <w:rFonts w:ascii="Times New Roman" w:hAnsi="Times New Roman" w:cs="Times New Roman"/>
                <w:sz w:val="25"/>
                <w:szCs w:val="25"/>
              </w:rPr>
              <w:t xml:space="preserve"> </w:t>
            </w:r>
            <w:r w:rsidR="00AE3DA0">
              <w:rPr>
                <w:rFonts w:ascii="Times New Roman" w:hAnsi="Times New Roman" w:cs="Times New Roman"/>
                <w:sz w:val="25"/>
                <w:szCs w:val="25"/>
              </w:rPr>
              <w:t>norādot to</w:t>
            </w:r>
            <w:r w:rsidR="00217D7F" w:rsidRPr="004836A6">
              <w:rPr>
                <w:rFonts w:ascii="Times New Roman" w:hAnsi="Times New Roman" w:cs="Times New Roman"/>
                <w:sz w:val="25"/>
                <w:szCs w:val="25"/>
              </w:rPr>
              <w:t xml:space="preserve"> Jaundzimušā attīstības vēstures (veidlapa Nr. 097/u) 2. ieliekamās lapas Izrakstā no dzemdību un jaundzimušā vēstures (kuras 1 eksemplārs tiek nodots ģimenes ārstam) 33. punktā “Rekomendācijas ģimenes ārstam”.</w:t>
            </w:r>
          </w:p>
          <w:p w14:paraId="0210DF91" w14:textId="593393BF" w:rsidR="00F925C3" w:rsidRPr="004836A6" w:rsidRDefault="002548EE" w:rsidP="00F925C3">
            <w:pPr>
              <w:pStyle w:val="Standard"/>
              <w:jc w:val="both"/>
              <w:rPr>
                <w:rFonts w:ascii="Times New Roman" w:hAnsi="Times New Roman" w:cs="Times New Roman"/>
                <w:sz w:val="25"/>
                <w:szCs w:val="25"/>
              </w:rPr>
            </w:pPr>
            <w:r w:rsidRPr="004836A6">
              <w:rPr>
                <w:rFonts w:ascii="Times New Roman" w:hAnsi="Times New Roman" w:cs="Times New Roman"/>
                <w:sz w:val="25"/>
                <w:szCs w:val="25"/>
              </w:rPr>
              <w:t>Gadījumā</w:t>
            </w:r>
            <w:r w:rsidR="009C7358" w:rsidRPr="004836A6">
              <w:rPr>
                <w:rFonts w:ascii="Times New Roman" w:hAnsi="Times New Roman" w:cs="Times New Roman"/>
                <w:sz w:val="25"/>
                <w:szCs w:val="25"/>
              </w:rPr>
              <w:t xml:space="preserve">, ja pacients vispār nav saņēmis K vitamīnu profilaktiski </w:t>
            </w:r>
            <w:r w:rsidR="009C7358" w:rsidRPr="004836A6">
              <w:rPr>
                <w:rFonts w:ascii="Times New Roman" w:hAnsi="Times New Roman" w:cs="Times New Roman"/>
                <w:sz w:val="25"/>
                <w:szCs w:val="25"/>
              </w:rPr>
              <w:lastRenderedPageBreak/>
              <w:t xml:space="preserve">vai profilakse ir bijusi nepilnīga </w:t>
            </w:r>
            <w:r w:rsidR="00F925C3" w:rsidRPr="004836A6">
              <w:rPr>
                <w:rFonts w:ascii="Times New Roman" w:hAnsi="Times New Roman" w:cs="Times New Roman"/>
                <w:sz w:val="25"/>
                <w:szCs w:val="25"/>
              </w:rPr>
              <w:t>(piemēram, jaundzimušajam ir iedota 1 perorāla deva, bet pārējās – nē),</w:t>
            </w:r>
            <w:r w:rsidR="009C7358" w:rsidRPr="004836A6">
              <w:rPr>
                <w:rFonts w:ascii="Times New Roman" w:hAnsi="Times New Roman" w:cs="Times New Roman"/>
                <w:sz w:val="25"/>
                <w:szCs w:val="25"/>
              </w:rPr>
              <w:t>ģimenes ārstam</w:t>
            </w:r>
            <w:r w:rsidR="00F925C3" w:rsidRPr="004836A6">
              <w:rPr>
                <w:rFonts w:ascii="Times New Roman" w:hAnsi="Times New Roman" w:cs="Times New Roman"/>
                <w:sz w:val="25"/>
                <w:szCs w:val="25"/>
              </w:rPr>
              <w:t xml:space="preserve"> kopā ar vecākiem būtu </w:t>
            </w:r>
            <w:r w:rsidR="009C7358" w:rsidRPr="004836A6">
              <w:rPr>
                <w:rFonts w:ascii="Times New Roman" w:hAnsi="Times New Roman" w:cs="Times New Roman"/>
                <w:sz w:val="25"/>
                <w:szCs w:val="25"/>
              </w:rPr>
              <w:t>jā</w:t>
            </w:r>
            <w:r w:rsidR="00F925C3" w:rsidRPr="004836A6">
              <w:rPr>
                <w:rFonts w:ascii="Times New Roman" w:hAnsi="Times New Roman" w:cs="Times New Roman"/>
                <w:sz w:val="25"/>
                <w:szCs w:val="25"/>
              </w:rPr>
              <w:t>izvēlas veids, kādā uzsākt vai turpināt profilaksi – perorāli vai intramuskulāri, ņemot vērā vecāku viedokli un bērna faktorus, jo asiņošanas risks pacientam saglabājas līdz 3-6 mēnešu vecumam.</w:t>
            </w:r>
          </w:p>
          <w:p w14:paraId="04C579A2" w14:textId="77777777" w:rsidR="00F925C3" w:rsidRPr="004836A6" w:rsidRDefault="00F925C3" w:rsidP="00F925C3">
            <w:pPr>
              <w:pStyle w:val="Standard"/>
              <w:jc w:val="both"/>
              <w:rPr>
                <w:rFonts w:ascii="Times New Roman" w:hAnsi="Times New Roman" w:cs="Times New Roman"/>
                <w:sz w:val="25"/>
                <w:szCs w:val="25"/>
              </w:rPr>
            </w:pPr>
            <w:r w:rsidRPr="004836A6">
              <w:rPr>
                <w:rFonts w:ascii="Times New Roman" w:hAnsi="Times New Roman" w:cs="Times New Roman"/>
                <w:sz w:val="25"/>
                <w:szCs w:val="25"/>
              </w:rPr>
              <w:t>Atbilstoši speciālistu sniegtajam viedoklim, arī pēc perorālas profilakses uzsākšanas 1. dzīves dienā, ģimenes ārstam ir iespēja turpināt ar intramuskulāru K vitamīna ievadi (1 deva 1 reizi).</w:t>
            </w:r>
          </w:p>
          <w:p w14:paraId="26D801E9" w14:textId="15BF059D" w:rsidR="00F925C3" w:rsidRPr="004836A6" w:rsidRDefault="00F925C3" w:rsidP="00F925C3">
            <w:pPr>
              <w:pStyle w:val="Standard"/>
              <w:jc w:val="both"/>
              <w:rPr>
                <w:rFonts w:ascii="Times New Roman" w:hAnsi="Times New Roman" w:cs="Times New Roman"/>
                <w:sz w:val="25"/>
                <w:szCs w:val="25"/>
              </w:rPr>
            </w:pPr>
            <w:r w:rsidRPr="004836A6">
              <w:rPr>
                <w:rFonts w:ascii="Times New Roman" w:hAnsi="Times New Roman" w:cs="Times New Roman"/>
                <w:sz w:val="25"/>
                <w:szCs w:val="25"/>
              </w:rPr>
              <w:t xml:space="preserve">K vitamīna profilaktiska lietošana atšķiras bērniem ar tauku uzsūkšanās traucējumiem (piemēram, </w:t>
            </w:r>
            <w:proofErr w:type="spellStart"/>
            <w:r w:rsidRPr="004836A6">
              <w:rPr>
                <w:rFonts w:ascii="Times New Roman" w:hAnsi="Times New Roman" w:cs="Times New Roman"/>
                <w:sz w:val="25"/>
                <w:szCs w:val="25"/>
              </w:rPr>
              <w:t>citomegalovīrusa</w:t>
            </w:r>
            <w:proofErr w:type="spellEnd"/>
            <w:r w:rsidRPr="004836A6">
              <w:rPr>
                <w:rFonts w:ascii="Times New Roman" w:hAnsi="Times New Roman" w:cs="Times New Roman"/>
                <w:sz w:val="25"/>
                <w:szCs w:val="25"/>
              </w:rPr>
              <w:t xml:space="preserve"> izraisīta </w:t>
            </w:r>
            <w:proofErr w:type="spellStart"/>
            <w:r w:rsidRPr="004836A6">
              <w:rPr>
                <w:rFonts w:ascii="Times New Roman" w:hAnsi="Times New Roman" w:cs="Times New Roman"/>
                <w:sz w:val="25"/>
                <w:szCs w:val="25"/>
              </w:rPr>
              <w:t>holestāze</w:t>
            </w:r>
            <w:proofErr w:type="spellEnd"/>
            <w:r w:rsidRPr="004836A6">
              <w:rPr>
                <w:rFonts w:ascii="Times New Roman" w:hAnsi="Times New Roman" w:cs="Times New Roman"/>
                <w:sz w:val="25"/>
                <w:szCs w:val="25"/>
              </w:rPr>
              <w:t xml:space="preserve">, aknu darbības traucējumi, u.c.) - pacientam nepieciešams saņemt lielākas devas un biežāk. </w:t>
            </w:r>
            <w:r w:rsidR="009C7358" w:rsidRPr="004836A6">
              <w:rPr>
                <w:rFonts w:ascii="Times New Roman" w:hAnsi="Times New Roman" w:cs="Times New Roman"/>
                <w:sz w:val="25"/>
                <w:szCs w:val="25"/>
              </w:rPr>
              <w:t xml:space="preserve">Tādējādi </w:t>
            </w:r>
            <w:r w:rsidRPr="004836A6">
              <w:rPr>
                <w:rFonts w:ascii="Times New Roman" w:hAnsi="Times New Roman" w:cs="Times New Roman"/>
                <w:sz w:val="25"/>
                <w:szCs w:val="25"/>
              </w:rPr>
              <w:t>pacienta stāvoklis ārstam katrā atsevišķā gadījumā ir jāizvērtē individuāli</w:t>
            </w:r>
            <w:bookmarkEnd w:id="5"/>
            <w:r w:rsidRPr="004836A6">
              <w:rPr>
                <w:rFonts w:ascii="Times New Roman" w:hAnsi="Times New Roman" w:cs="Times New Roman"/>
                <w:sz w:val="25"/>
                <w:szCs w:val="25"/>
              </w:rPr>
              <w:t>.</w:t>
            </w:r>
          </w:p>
          <w:p w14:paraId="259AB6FA" w14:textId="345775F8" w:rsidR="00D1463B" w:rsidRPr="004836A6" w:rsidRDefault="00B845F1" w:rsidP="00D1463B">
            <w:pPr>
              <w:pStyle w:val="Standard"/>
              <w:jc w:val="both"/>
              <w:rPr>
                <w:rFonts w:ascii="Times New Roman" w:hAnsi="Times New Roman" w:cs="Times New Roman"/>
                <w:sz w:val="25"/>
                <w:szCs w:val="25"/>
              </w:rPr>
            </w:pPr>
            <w:r w:rsidRPr="004836A6">
              <w:rPr>
                <w:rFonts w:ascii="Times New Roman" w:hAnsi="Times New Roman" w:cs="Times New Roman"/>
                <w:sz w:val="25"/>
                <w:szCs w:val="25"/>
                <w:lang w:eastAsia="en-US"/>
              </w:rPr>
              <w:t xml:space="preserve"> (Projekta 1.5.</w:t>
            </w:r>
            <w:r w:rsidR="002548EE" w:rsidRPr="004836A6">
              <w:rPr>
                <w:rFonts w:ascii="Times New Roman" w:hAnsi="Times New Roman" w:cs="Times New Roman"/>
                <w:sz w:val="25"/>
                <w:szCs w:val="25"/>
                <w:lang w:eastAsia="en-US"/>
              </w:rPr>
              <w:t xml:space="preserve">, </w:t>
            </w:r>
            <w:r w:rsidRPr="004836A6">
              <w:rPr>
                <w:rFonts w:ascii="Times New Roman" w:hAnsi="Times New Roman" w:cs="Times New Roman"/>
                <w:sz w:val="25"/>
                <w:szCs w:val="25"/>
                <w:lang w:eastAsia="en-US"/>
              </w:rPr>
              <w:t xml:space="preserve">1.6. </w:t>
            </w:r>
            <w:r w:rsidR="002548EE" w:rsidRPr="004836A6">
              <w:rPr>
                <w:rFonts w:ascii="Times New Roman" w:hAnsi="Times New Roman" w:cs="Times New Roman"/>
                <w:sz w:val="25"/>
                <w:szCs w:val="25"/>
                <w:lang w:eastAsia="en-US"/>
              </w:rPr>
              <w:t xml:space="preserve">un 1.7. </w:t>
            </w:r>
            <w:r w:rsidRPr="004836A6">
              <w:rPr>
                <w:rFonts w:ascii="Times New Roman" w:hAnsi="Times New Roman" w:cs="Times New Roman"/>
                <w:sz w:val="25"/>
                <w:szCs w:val="25"/>
                <w:lang w:eastAsia="en-US"/>
              </w:rPr>
              <w:t>apakšpunkts)</w:t>
            </w:r>
            <w:r w:rsidR="00D1463B" w:rsidRPr="004836A6">
              <w:rPr>
                <w:rFonts w:ascii="Times New Roman" w:hAnsi="Times New Roman" w:cs="Times New Roman"/>
                <w:sz w:val="25"/>
                <w:szCs w:val="25"/>
                <w:lang w:eastAsia="en-US"/>
              </w:rPr>
              <w:t>.</w:t>
            </w:r>
          </w:p>
          <w:p w14:paraId="3B6A5B7A" w14:textId="77777777" w:rsidR="00D1463B" w:rsidRPr="004836A6" w:rsidRDefault="00D1463B" w:rsidP="00D1463B">
            <w:pPr>
              <w:pStyle w:val="Standard"/>
              <w:rPr>
                <w:rFonts w:ascii="Times New Roman" w:hAnsi="Times New Roman" w:cs="Times New Roman"/>
                <w:sz w:val="25"/>
                <w:szCs w:val="25"/>
              </w:rPr>
            </w:pPr>
          </w:p>
          <w:p w14:paraId="7A443C2C" w14:textId="77777777" w:rsidR="00C06509" w:rsidRPr="004836A6" w:rsidRDefault="00C123BF">
            <w:pPr>
              <w:jc w:val="both"/>
              <w:rPr>
                <w:color w:val="auto"/>
                <w:sz w:val="25"/>
                <w:szCs w:val="25"/>
                <w:u w:color="000000"/>
              </w:rPr>
            </w:pPr>
            <w:r w:rsidRPr="004836A6">
              <w:rPr>
                <w:b/>
                <w:color w:val="auto"/>
                <w:sz w:val="25"/>
                <w:szCs w:val="25"/>
              </w:rPr>
              <w:t>7.</w:t>
            </w:r>
            <w:r w:rsidRPr="004836A6">
              <w:rPr>
                <w:color w:val="auto"/>
                <w:sz w:val="25"/>
                <w:szCs w:val="25"/>
              </w:rPr>
              <w:t xml:space="preserve"> Pašlaik Latvijā jaundzimušo skrīnings tiek veikts divām retām slimībām - </w:t>
            </w:r>
            <w:proofErr w:type="spellStart"/>
            <w:r w:rsidRPr="004836A6">
              <w:rPr>
                <w:color w:val="auto"/>
                <w:sz w:val="25"/>
                <w:szCs w:val="25"/>
              </w:rPr>
              <w:t>fenilketonūrijai</w:t>
            </w:r>
            <w:proofErr w:type="spellEnd"/>
            <w:r w:rsidRPr="004836A6">
              <w:rPr>
                <w:color w:val="auto"/>
                <w:sz w:val="25"/>
                <w:szCs w:val="25"/>
              </w:rPr>
              <w:t xml:space="preserve"> (kopš 1987.gada) un iedzimtai </w:t>
            </w:r>
            <w:proofErr w:type="spellStart"/>
            <w:r w:rsidRPr="004836A6">
              <w:rPr>
                <w:color w:val="auto"/>
                <w:sz w:val="25"/>
                <w:szCs w:val="25"/>
              </w:rPr>
              <w:t>hipotireozei</w:t>
            </w:r>
            <w:proofErr w:type="spellEnd"/>
            <w:r w:rsidRPr="004836A6">
              <w:rPr>
                <w:color w:val="auto"/>
                <w:sz w:val="25"/>
                <w:szCs w:val="25"/>
              </w:rPr>
              <w:t xml:space="preserve"> (kopš 1996.gada). Šāds skrīnings dod iespēju diagnosticēt iedzimto </w:t>
            </w:r>
            <w:proofErr w:type="spellStart"/>
            <w:r w:rsidRPr="004836A6">
              <w:rPr>
                <w:color w:val="auto"/>
                <w:sz w:val="25"/>
                <w:szCs w:val="25"/>
              </w:rPr>
              <w:t>hipotireozi</w:t>
            </w:r>
            <w:proofErr w:type="spellEnd"/>
            <w:r w:rsidRPr="004836A6">
              <w:rPr>
                <w:color w:val="auto"/>
                <w:sz w:val="25"/>
                <w:szCs w:val="25"/>
              </w:rPr>
              <w:t xml:space="preserve"> un </w:t>
            </w:r>
            <w:proofErr w:type="spellStart"/>
            <w:r w:rsidRPr="004836A6">
              <w:rPr>
                <w:color w:val="auto"/>
                <w:sz w:val="25"/>
                <w:szCs w:val="25"/>
              </w:rPr>
              <w:t>fenilketonūriju</w:t>
            </w:r>
            <w:proofErr w:type="spellEnd"/>
            <w:r w:rsidRPr="004836A6">
              <w:rPr>
                <w:color w:val="auto"/>
                <w:sz w:val="25"/>
                <w:szCs w:val="25"/>
              </w:rPr>
              <w:t xml:space="preserve"> visiem jaundzimušajiem, kuriem ir šāda iedzimtā patoloģija. Minēto slimību savlaicīga diagnostika un ārstēšana nodrošina normālu šo bērnu garīgo un fizisko attīstību. Latvijā ik gadu tādā veidā tiek agrīni atklāti vidēji 4 jaundzimušie ar iedzimtu </w:t>
            </w:r>
            <w:proofErr w:type="spellStart"/>
            <w:r w:rsidRPr="004836A6">
              <w:rPr>
                <w:color w:val="auto"/>
                <w:sz w:val="25"/>
                <w:szCs w:val="25"/>
              </w:rPr>
              <w:t>hipotireozi</w:t>
            </w:r>
            <w:proofErr w:type="spellEnd"/>
            <w:r w:rsidRPr="004836A6">
              <w:rPr>
                <w:color w:val="auto"/>
                <w:sz w:val="25"/>
                <w:szCs w:val="25"/>
              </w:rPr>
              <w:t xml:space="preserve"> un 3 jaundzimušie ar </w:t>
            </w:r>
            <w:proofErr w:type="spellStart"/>
            <w:r w:rsidRPr="004836A6">
              <w:rPr>
                <w:color w:val="auto"/>
                <w:sz w:val="25"/>
                <w:szCs w:val="25"/>
              </w:rPr>
              <w:t>fenilketonūriju</w:t>
            </w:r>
            <w:proofErr w:type="spellEnd"/>
            <w:r w:rsidRPr="004836A6">
              <w:rPr>
                <w:color w:val="auto"/>
                <w:sz w:val="25"/>
                <w:szCs w:val="25"/>
              </w:rPr>
              <w:t xml:space="preserve">. </w:t>
            </w:r>
          </w:p>
          <w:p w14:paraId="26C5508F" w14:textId="77777777" w:rsidR="00C06509" w:rsidRPr="004836A6" w:rsidRDefault="00C123BF" w:rsidP="00C73C0D">
            <w:pPr>
              <w:jc w:val="both"/>
              <w:rPr>
                <w:color w:val="auto"/>
                <w:sz w:val="25"/>
                <w:szCs w:val="25"/>
              </w:rPr>
            </w:pPr>
            <w:r w:rsidRPr="004836A6">
              <w:rPr>
                <w:rFonts w:eastAsiaTheme="minorHAnsi"/>
                <w:color w:val="auto"/>
                <w:sz w:val="25"/>
                <w:szCs w:val="25"/>
              </w:rPr>
              <w:t xml:space="preserve">Lielākā daļa no iedzimtajām augļa attīstības anomālijām un pārmantotām vielmaiņas slimībām ir atsevišķas patoloģijas, ko diagnosticē, veicot ģenētiskus izmeklējumus. Bieži vien bērns tiek agrīni izrakstīts no dzemdību nodaļas uz mājām, un diagnoze noskaidrojas tikai tad, kad organismā ir jau notikušas neatgriezeniskas izmaiņas un kad adekvāta ārstēšana vairs nespēj dot vēlamo rezultātu. Agrīnai diagnostikai un ārstēšanas uzsākšanai ir noteicošā loma jautājumā par bērna izdzīvošanu vai turpmāko attīstību. Latvijā aptuveni 40 bērni ik gadus piedzimst ar kādu no iedzimtām vielmaiņas slimībām. </w:t>
            </w:r>
          </w:p>
          <w:p w14:paraId="7AB03910" w14:textId="77777777" w:rsidR="00C06509" w:rsidRPr="004836A6" w:rsidRDefault="00C123BF" w:rsidP="00C73C0D">
            <w:pPr>
              <w:jc w:val="both"/>
              <w:rPr>
                <w:color w:val="auto"/>
                <w:sz w:val="25"/>
                <w:szCs w:val="25"/>
              </w:rPr>
            </w:pPr>
            <w:r w:rsidRPr="004836A6">
              <w:rPr>
                <w:rFonts w:eastAsia="Arial Unicode MS"/>
                <w:color w:val="auto"/>
                <w:sz w:val="25"/>
                <w:szCs w:val="25"/>
                <w:u w:color="000000"/>
              </w:rPr>
              <w:t xml:space="preserve">Ģenētikas nozares speciālisti iesaka papildus esošajiem diviem jaundzimušo </w:t>
            </w:r>
            <w:proofErr w:type="spellStart"/>
            <w:r w:rsidRPr="004836A6">
              <w:rPr>
                <w:rFonts w:eastAsia="Arial Unicode MS"/>
                <w:color w:val="auto"/>
                <w:sz w:val="25"/>
                <w:szCs w:val="25"/>
                <w:u w:color="000000"/>
              </w:rPr>
              <w:t>skrīningiem</w:t>
            </w:r>
            <w:proofErr w:type="spellEnd"/>
            <w:r w:rsidRPr="004836A6">
              <w:rPr>
                <w:rFonts w:eastAsia="Arial Unicode MS"/>
                <w:color w:val="auto"/>
                <w:sz w:val="25"/>
                <w:szCs w:val="25"/>
                <w:u w:color="000000"/>
              </w:rPr>
              <w:t xml:space="preserve"> uzsākt četru pārmantotu slimību skrīningu (iedzimta virsnieru garozas hiperplāzija, </w:t>
            </w:r>
            <w:proofErr w:type="spellStart"/>
            <w:r w:rsidRPr="004836A6">
              <w:rPr>
                <w:rFonts w:eastAsia="Arial Unicode MS"/>
                <w:color w:val="auto"/>
                <w:sz w:val="25"/>
                <w:szCs w:val="25"/>
                <w:u w:color="000000"/>
              </w:rPr>
              <w:t>galaktozēmija</w:t>
            </w:r>
            <w:proofErr w:type="spellEnd"/>
            <w:r w:rsidRPr="004836A6">
              <w:rPr>
                <w:rFonts w:eastAsia="Arial Unicode MS"/>
                <w:color w:val="auto"/>
                <w:sz w:val="25"/>
                <w:szCs w:val="25"/>
                <w:u w:color="000000"/>
              </w:rPr>
              <w:t xml:space="preserve">, cistiskā fibroze un </w:t>
            </w:r>
            <w:proofErr w:type="spellStart"/>
            <w:r w:rsidRPr="004836A6">
              <w:rPr>
                <w:rFonts w:eastAsia="Arial Unicode MS"/>
                <w:color w:val="auto"/>
                <w:sz w:val="25"/>
                <w:szCs w:val="25"/>
                <w:u w:color="000000"/>
              </w:rPr>
              <w:t>biotinidāzes</w:t>
            </w:r>
            <w:proofErr w:type="spellEnd"/>
            <w:r w:rsidRPr="004836A6">
              <w:rPr>
                <w:rFonts w:eastAsia="Arial Unicode MS"/>
                <w:color w:val="auto"/>
                <w:sz w:val="25"/>
                <w:szCs w:val="25"/>
                <w:u w:color="000000"/>
              </w:rPr>
              <w:t xml:space="preserve"> deficīts). Ņemot vērā minēto, Mātes un bērna veselības uzlabošanas plānā 2018. – 2020. gadam ir iekļauts pasākums, kas paredz p</w:t>
            </w:r>
            <w:r w:rsidRPr="004836A6">
              <w:rPr>
                <w:rFonts w:eastAsiaTheme="minorHAnsi"/>
                <w:color w:val="auto"/>
                <w:sz w:val="25"/>
                <w:szCs w:val="25"/>
                <w:shd w:val="clear" w:color="auto" w:fill="FFFFFF"/>
                <w:lang w:eastAsia="en-US"/>
              </w:rPr>
              <w:t xml:space="preserve">aplašināt jaundzimušo ģenētiski iedzimto slimību skrīningu ar jauniem izmeklējumiem agrīnai ārstējamu patoloģiju ārstēšanai. Minēto izmeklējumu veikšana ir jāparedz arī Noteikumu Nr. 611 1. pielikumā, papildinot šī pielikuma </w:t>
            </w:r>
            <w:r w:rsidR="00D44FBE" w:rsidRPr="004836A6">
              <w:rPr>
                <w:rFonts w:eastAsiaTheme="minorHAnsi"/>
                <w:color w:val="auto"/>
                <w:sz w:val="25"/>
                <w:szCs w:val="25"/>
                <w:shd w:val="clear" w:color="auto" w:fill="FFFFFF"/>
                <w:lang w:eastAsia="en-US"/>
              </w:rPr>
              <w:t xml:space="preserve">tabulas </w:t>
            </w:r>
            <w:r w:rsidRPr="004836A6">
              <w:rPr>
                <w:rFonts w:eastAsiaTheme="minorHAnsi"/>
                <w:color w:val="auto"/>
                <w:sz w:val="25"/>
                <w:szCs w:val="25"/>
                <w:shd w:val="clear" w:color="auto" w:fill="FFFFFF"/>
                <w:lang w:eastAsia="en-US"/>
              </w:rPr>
              <w:t>13. un 14. punktu</w:t>
            </w:r>
            <w:r w:rsidR="00B845F1" w:rsidRPr="004836A6">
              <w:rPr>
                <w:rFonts w:eastAsiaTheme="minorHAnsi"/>
                <w:color w:val="auto"/>
                <w:sz w:val="25"/>
                <w:szCs w:val="25"/>
                <w:shd w:val="clear" w:color="auto" w:fill="FFFFFF"/>
                <w:lang w:eastAsia="en-US"/>
              </w:rPr>
              <w:t xml:space="preserve"> (Projekta 1.6. apakšpunkts)</w:t>
            </w:r>
            <w:r w:rsidRPr="004836A6">
              <w:rPr>
                <w:rFonts w:eastAsiaTheme="minorHAnsi"/>
                <w:color w:val="auto"/>
                <w:sz w:val="25"/>
                <w:szCs w:val="25"/>
                <w:shd w:val="clear" w:color="auto" w:fill="FFFFFF"/>
                <w:lang w:eastAsia="en-US"/>
              </w:rPr>
              <w:t xml:space="preserve">. Skrīninga izmeklējumu veikšana ir jāparedz, lai: </w:t>
            </w:r>
          </w:p>
          <w:p w14:paraId="558A2714" w14:textId="1B90A2D0" w:rsidR="00C06509" w:rsidRPr="004836A6" w:rsidRDefault="00C73C0D" w:rsidP="00C73C0D">
            <w:pPr>
              <w:jc w:val="both"/>
              <w:rPr>
                <w:color w:val="auto"/>
                <w:sz w:val="25"/>
                <w:szCs w:val="25"/>
              </w:rPr>
            </w:pPr>
            <w:r w:rsidRPr="004836A6">
              <w:rPr>
                <w:color w:val="auto"/>
                <w:sz w:val="25"/>
                <w:szCs w:val="25"/>
              </w:rPr>
              <w:t xml:space="preserve">   </w:t>
            </w:r>
            <w:r w:rsidR="00C123BF" w:rsidRPr="004836A6">
              <w:rPr>
                <w:color w:val="auto"/>
                <w:sz w:val="25"/>
                <w:szCs w:val="25"/>
              </w:rPr>
              <w:t xml:space="preserve">1) </w:t>
            </w:r>
            <w:r w:rsidR="00C123BF" w:rsidRPr="004836A6">
              <w:rPr>
                <w:rFonts w:eastAsiaTheme="minorHAnsi"/>
                <w:color w:val="auto"/>
                <w:sz w:val="25"/>
                <w:szCs w:val="25"/>
                <w:shd w:val="clear" w:color="auto" w:fill="FFFFFF"/>
                <w:lang w:eastAsia="en-US"/>
              </w:rPr>
              <w:t xml:space="preserve">identificētu pacientus ar virsnieru garozas hiperplāziju </w:t>
            </w:r>
            <w:proofErr w:type="spellStart"/>
            <w:r w:rsidR="00C123BF" w:rsidRPr="004836A6">
              <w:rPr>
                <w:rFonts w:eastAsiaTheme="minorHAnsi"/>
                <w:color w:val="auto"/>
                <w:sz w:val="25"/>
                <w:szCs w:val="25"/>
                <w:shd w:val="clear" w:color="auto" w:fill="FFFFFF"/>
                <w:lang w:eastAsia="en-US"/>
              </w:rPr>
              <w:t>presimptomātiski</w:t>
            </w:r>
            <w:proofErr w:type="spellEnd"/>
            <w:r w:rsidR="00C123BF" w:rsidRPr="004836A6">
              <w:rPr>
                <w:rFonts w:eastAsiaTheme="minorHAnsi"/>
                <w:color w:val="auto"/>
                <w:sz w:val="25"/>
                <w:szCs w:val="25"/>
                <w:shd w:val="clear" w:color="auto" w:fill="FFFFFF"/>
                <w:lang w:eastAsia="en-US"/>
              </w:rPr>
              <w:t xml:space="preserve">, novērstu mirstību un samazinātu ilgtermiņa veselības problēmas, uzsākot agrīnu ārstēšanu ar steroīdu </w:t>
            </w:r>
            <w:r w:rsidR="00C123BF" w:rsidRPr="004836A6">
              <w:rPr>
                <w:rFonts w:eastAsiaTheme="minorHAnsi"/>
                <w:color w:val="auto"/>
                <w:sz w:val="25"/>
                <w:szCs w:val="25"/>
                <w:shd w:val="clear" w:color="auto" w:fill="FFFFFF"/>
                <w:lang w:eastAsia="en-US"/>
              </w:rPr>
              <w:lastRenderedPageBreak/>
              <w:t>aizvietošanas terapiju.</w:t>
            </w:r>
            <w:r w:rsidR="00C123BF" w:rsidRPr="004836A6">
              <w:rPr>
                <w:rFonts w:eastAsiaTheme="minorHAnsi"/>
                <w:color w:val="auto"/>
                <w:sz w:val="25"/>
                <w:szCs w:val="25"/>
                <w:lang w:eastAsia="en-US"/>
              </w:rPr>
              <w:t xml:space="preserve"> (Pilnīgs enzīma trūkums ir apmēram 75% gadījumos, kad attīstās iedzimtas virsnieru garozas hiperplāzijas </w:t>
            </w:r>
            <w:proofErr w:type="spellStart"/>
            <w:r w:rsidR="00C123BF" w:rsidRPr="004836A6">
              <w:rPr>
                <w:rFonts w:eastAsiaTheme="minorHAnsi"/>
                <w:color w:val="auto"/>
                <w:sz w:val="25"/>
                <w:szCs w:val="25"/>
                <w:lang w:eastAsia="en-US"/>
              </w:rPr>
              <w:t>sālszaudes</w:t>
            </w:r>
            <w:proofErr w:type="spellEnd"/>
            <w:r w:rsidR="00C123BF" w:rsidRPr="004836A6">
              <w:rPr>
                <w:rFonts w:eastAsiaTheme="minorHAnsi"/>
                <w:color w:val="auto"/>
                <w:sz w:val="25"/>
                <w:szCs w:val="25"/>
                <w:lang w:eastAsia="en-US"/>
              </w:rPr>
              <w:t xml:space="preserve"> forma, kam raksturīga </w:t>
            </w:r>
            <w:proofErr w:type="spellStart"/>
            <w:r w:rsidR="00C123BF" w:rsidRPr="004836A6">
              <w:rPr>
                <w:rFonts w:eastAsiaTheme="minorHAnsi"/>
                <w:color w:val="auto"/>
                <w:sz w:val="25"/>
                <w:szCs w:val="25"/>
                <w:lang w:eastAsia="en-US"/>
              </w:rPr>
              <w:t>hipovolēmija</w:t>
            </w:r>
            <w:proofErr w:type="spellEnd"/>
            <w:r w:rsidR="00C123BF" w:rsidRPr="004836A6">
              <w:rPr>
                <w:rFonts w:eastAsiaTheme="minorHAnsi"/>
                <w:color w:val="auto"/>
                <w:sz w:val="25"/>
                <w:szCs w:val="25"/>
                <w:lang w:eastAsia="en-US"/>
              </w:rPr>
              <w:t xml:space="preserve">, </w:t>
            </w:r>
            <w:proofErr w:type="spellStart"/>
            <w:r w:rsidR="00C123BF" w:rsidRPr="004836A6">
              <w:rPr>
                <w:rFonts w:eastAsiaTheme="minorHAnsi"/>
                <w:color w:val="auto"/>
                <w:sz w:val="25"/>
                <w:szCs w:val="25"/>
                <w:lang w:eastAsia="en-US"/>
              </w:rPr>
              <w:t>hiponātriēmija</w:t>
            </w:r>
            <w:proofErr w:type="spellEnd"/>
            <w:r w:rsidR="00C123BF" w:rsidRPr="004836A6">
              <w:rPr>
                <w:rFonts w:eastAsiaTheme="minorHAnsi"/>
                <w:color w:val="auto"/>
                <w:sz w:val="25"/>
                <w:szCs w:val="25"/>
                <w:lang w:eastAsia="en-US"/>
              </w:rPr>
              <w:t xml:space="preserve">, </w:t>
            </w:r>
            <w:proofErr w:type="spellStart"/>
            <w:r w:rsidR="00C123BF" w:rsidRPr="004836A6">
              <w:rPr>
                <w:rFonts w:eastAsiaTheme="minorHAnsi"/>
                <w:color w:val="auto"/>
                <w:sz w:val="25"/>
                <w:szCs w:val="25"/>
                <w:lang w:eastAsia="en-US"/>
              </w:rPr>
              <w:t>hiperkaliēmija</w:t>
            </w:r>
            <w:proofErr w:type="spellEnd"/>
            <w:r w:rsidR="00C123BF" w:rsidRPr="004836A6">
              <w:rPr>
                <w:rFonts w:eastAsiaTheme="minorHAnsi"/>
                <w:color w:val="auto"/>
                <w:sz w:val="25"/>
                <w:szCs w:val="25"/>
                <w:lang w:eastAsia="en-US"/>
              </w:rPr>
              <w:t xml:space="preserve">, </w:t>
            </w:r>
            <w:proofErr w:type="spellStart"/>
            <w:r w:rsidR="00C123BF" w:rsidRPr="004836A6">
              <w:rPr>
                <w:rFonts w:eastAsiaTheme="minorHAnsi"/>
                <w:color w:val="auto"/>
                <w:sz w:val="25"/>
                <w:szCs w:val="25"/>
                <w:lang w:eastAsia="en-US"/>
              </w:rPr>
              <w:t>metabola</w:t>
            </w:r>
            <w:proofErr w:type="spellEnd"/>
            <w:r w:rsidR="00C123BF" w:rsidRPr="004836A6">
              <w:rPr>
                <w:rFonts w:eastAsiaTheme="minorHAnsi"/>
                <w:color w:val="auto"/>
                <w:sz w:val="25"/>
                <w:szCs w:val="25"/>
                <w:lang w:eastAsia="en-US"/>
              </w:rPr>
              <w:t xml:space="preserve"> acidoze un hipoglikēmija. Latvijā 60% gadījumos diagnoze uzstādīta vēlīni, dekompensācijas stadijā, kad jau ir attīstījusies virsnieru mazspējas krīze);</w:t>
            </w:r>
          </w:p>
          <w:p w14:paraId="300A054E" w14:textId="22049F47" w:rsidR="00C06509" w:rsidRPr="004836A6" w:rsidRDefault="00C73C0D" w:rsidP="00C73C0D">
            <w:pPr>
              <w:jc w:val="both"/>
              <w:rPr>
                <w:rFonts w:eastAsiaTheme="minorHAnsi"/>
                <w:color w:val="auto"/>
                <w:sz w:val="25"/>
                <w:szCs w:val="25"/>
                <w:highlight w:val="white"/>
                <w:lang w:eastAsia="en-US"/>
              </w:rPr>
            </w:pPr>
            <w:r w:rsidRPr="004836A6">
              <w:rPr>
                <w:color w:val="auto"/>
                <w:sz w:val="25"/>
                <w:szCs w:val="25"/>
              </w:rPr>
              <w:t xml:space="preserve">   </w:t>
            </w:r>
            <w:r w:rsidR="00C123BF" w:rsidRPr="004836A6">
              <w:rPr>
                <w:color w:val="auto"/>
                <w:sz w:val="25"/>
                <w:szCs w:val="25"/>
              </w:rPr>
              <w:t xml:space="preserve">2) </w:t>
            </w:r>
            <w:r w:rsidR="00C123BF" w:rsidRPr="004836A6">
              <w:rPr>
                <w:rFonts w:eastAsiaTheme="minorHAnsi"/>
                <w:color w:val="auto"/>
                <w:sz w:val="25"/>
                <w:szCs w:val="25"/>
                <w:lang w:eastAsia="en-US"/>
              </w:rPr>
              <w:t xml:space="preserve">identificētu pacientus ar </w:t>
            </w:r>
            <w:proofErr w:type="spellStart"/>
            <w:r w:rsidR="00C123BF" w:rsidRPr="004836A6">
              <w:rPr>
                <w:rFonts w:eastAsiaTheme="minorHAnsi"/>
                <w:color w:val="auto"/>
                <w:sz w:val="25"/>
                <w:szCs w:val="25"/>
                <w:lang w:eastAsia="en-US"/>
              </w:rPr>
              <w:t>galaktozēmiju</w:t>
            </w:r>
            <w:proofErr w:type="spellEnd"/>
            <w:r w:rsidR="00C123BF" w:rsidRPr="004836A6">
              <w:rPr>
                <w:rFonts w:eastAsiaTheme="minorHAnsi"/>
                <w:color w:val="auto"/>
                <w:sz w:val="25"/>
                <w:szCs w:val="25"/>
                <w:lang w:eastAsia="en-US"/>
              </w:rPr>
              <w:t xml:space="preserve"> </w:t>
            </w:r>
            <w:proofErr w:type="spellStart"/>
            <w:r w:rsidR="00C123BF" w:rsidRPr="004836A6">
              <w:rPr>
                <w:rFonts w:eastAsiaTheme="minorHAnsi"/>
                <w:color w:val="auto"/>
                <w:sz w:val="25"/>
                <w:szCs w:val="25"/>
                <w:lang w:eastAsia="en-US"/>
              </w:rPr>
              <w:t>presimptomātiski</w:t>
            </w:r>
            <w:proofErr w:type="spellEnd"/>
            <w:r w:rsidR="00C123BF" w:rsidRPr="004836A6">
              <w:rPr>
                <w:rFonts w:eastAsiaTheme="minorHAnsi"/>
                <w:color w:val="auto"/>
                <w:sz w:val="25"/>
                <w:szCs w:val="25"/>
                <w:lang w:eastAsia="en-US"/>
              </w:rPr>
              <w:t xml:space="preserve">, novērstu mirstību un samazinātu ilgtermiņa veselības problēmas, uzsākot agrīnu ārstēšanu izslēdzot no uztura galaktozi saturošus produktus. </w:t>
            </w:r>
            <w:r w:rsidR="00C123BF" w:rsidRPr="004836A6">
              <w:rPr>
                <w:rFonts w:eastAsiaTheme="minorHAnsi"/>
                <w:color w:val="auto"/>
                <w:sz w:val="25"/>
                <w:szCs w:val="25"/>
                <w:shd w:val="clear" w:color="auto" w:fill="FFFFFF"/>
                <w:lang w:eastAsia="en-US"/>
              </w:rPr>
              <w:t xml:space="preserve">Neārstētos gadījumos jaundzimušajam parādās simptomi, sākot ar svara zudumu, vemšanu, diareju, letarģiju un hipotoniju, vēlāk pievienojas arī katarakta, </w:t>
            </w:r>
            <w:proofErr w:type="spellStart"/>
            <w:r w:rsidR="00C123BF" w:rsidRPr="004836A6">
              <w:rPr>
                <w:rFonts w:eastAsiaTheme="minorHAnsi"/>
                <w:color w:val="auto"/>
                <w:sz w:val="25"/>
                <w:szCs w:val="25"/>
                <w:shd w:val="clear" w:color="auto" w:fill="FFFFFF"/>
                <w:lang w:eastAsia="en-US"/>
              </w:rPr>
              <w:t>hepatomegālija</w:t>
            </w:r>
            <w:proofErr w:type="spellEnd"/>
            <w:r w:rsidR="00C123BF" w:rsidRPr="004836A6">
              <w:rPr>
                <w:rFonts w:eastAsiaTheme="minorHAnsi"/>
                <w:color w:val="auto"/>
                <w:sz w:val="25"/>
                <w:szCs w:val="25"/>
                <w:shd w:val="clear" w:color="auto" w:fill="FFFFFF"/>
                <w:lang w:eastAsia="en-US"/>
              </w:rPr>
              <w:t xml:space="preserve">, dzelte, koagulācijas traucējumi un septicēmija, kas noved pie jaundzimušā nāves. Pēc literatūras datiem, pacientiem, kuriem veikts skrīnings, 93% gadījumos ārstēšana tiek uzsākta pirmo 15 dienu laikā, savukārt pacientu grupā, kurā nav veikts skrīnings, tikai 71% no diagnosticētajiem pacientiem ārstēšana tiek uzsākta 15 dienu laikā, bet tieši agrīna diagnostika un ārstēšana pirmās nedēļas līdz pirmo divu dzīves nedēļu laikā ar laktozi un galaktozi nesaturošu uzturu samazina aknu mazspējas un nāves risku; </w:t>
            </w:r>
          </w:p>
          <w:p w14:paraId="0B7A4F6A" w14:textId="6DE206BD" w:rsidR="00C06509" w:rsidRPr="004836A6" w:rsidRDefault="00C73C0D" w:rsidP="00C73C0D">
            <w:pPr>
              <w:jc w:val="both"/>
              <w:rPr>
                <w:rFonts w:eastAsiaTheme="minorHAnsi"/>
                <w:color w:val="auto"/>
                <w:sz w:val="25"/>
                <w:szCs w:val="25"/>
                <w:lang w:eastAsia="en-US"/>
              </w:rPr>
            </w:pPr>
            <w:r w:rsidRPr="004836A6">
              <w:rPr>
                <w:rFonts w:eastAsiaTheme="minorHAnsi"/>
                <w:color w:val="auto"/>
                <w:sz w:val="25"/>
                <w:szCs w:val="25"/>
                <w:shd w:val="clear" w:color="auto" w:fill="FFFFFF"/>
                <w:lang w:eastAsia="en-US"/>
              </w:rPr>
              <w:t xml:space="preserve">   </w:t>
            </w:r>
            <w:r w:rsidR="00C123BF" w:rsidRPr="004836A6">
              <w:rPr>
                <w:rFonts w:eastAsiaTheme="minorHAnsi"/>
                <w:color w:val="auto"/>
                <w:sz w:val="25"/>
                <w:szCs w:val="25"/>
                <w:shd w:val="clear" w:color="auto" w:fill="FFFFFF"/>
                <w:lang w:eastAsia="en-US"/>
              </w:rPr>
              <w:t xml:space="preserve">3) identificētu pacientus ar cistisko fibrozi </w:t>
            </w:r>
            <w:proofErr w:type="spellStart"/>
            <w:r w:rsidR="00C123BF" w:rsidRPr="004836A6">
              <w:rPr>
                <w:rFonts w:eastAsiaTheme="minorHAnsi"/>
                <w:color w:val="auto"/>
                <w:sz w:val="25"/>
                <w:szCs w:val="25"/>
                <w:shd w:val="clear" w:color="auto" w:fill="FFFFFF"/>
                <w:lang w:eastAsia="en-US"/>
              </w:rPr>
              <w:t>presimptomātiski</w:t>
            </w:r>
            <w:proofErr w:type="spellEnd"/>
            <w:r w:rsidR="00C123BF" w:rsidRPr="004836A6">
              <w:rPr>
                <w:rFonts w:eastAsiaTheme="minorHAnsi"/>
                <w:color w:val="auto"/>
                <w:sz w:val="25"/>
                <w:szCs w:val="25"/>
                <w:shd w:val="clear" w:color="auto" w:fill="FFFFFF"/>
                <w:lang w:eastAsia="en-US"/>
              </w:rPr>
              <w:t>, lai novērstu mirstību un samazinātu ilgtermiņa veselības problēmas, uzsākot agrīnu adekvātu ārstēšanu</w:t>
            </w:r>
            <w:r w:rsidR="00C123BF" w:rsidRPr="004836A6">
              <w:rPr>
                <w:rFonts w:eastAsiaTheme="minorHAnsi"/>
                <w:color w:val="auto"/>
                <w:sz w:val="25"/>
                <w:szCs w:val="25"/>
                <w:lang w:eastAsia="en-US"/>
              </w:rPr>
              <w:t xml:space="preserve"> Nopietnas slimības gaitas gadījumā ārstēšana ir dārga un </w:t>
            </w:r>
            <w:proofErr w:type="spellStart"/>
            <w:r w:rsidR="00C123BF" w:rsidRPr="004836A6">
              <w:rPr>
                <w:rFonts w:eastAsiaTheme="minorHAnsi"/>
                <w:color w:val="auto"/>
                <w:sz w:val="25"/>
                <w:szCs w:val="25"/>
                <w:lang w:eastAsia="en-US"/>
              </w:rPr>
              <w:t>mazefektīva</w:t>
            </w:r>
            <w:proofErr w:type="spellEnd"/>
            <w:r w:rsidR="00C123BF" w:rsidRPr="004836A6">
              <w:rPr>
                <w:rFonts w:eastAsiaTheme="minorHAnsi"/>
                <w:color w:val="auto"/>
                <w:sz w:val="25"/>
                <w:szCs w:val="25"/>
                <w:lang w:eastAsia="en-US"/>
              </w:rPr>
              <w:t>, tai ir  augsta letalitāte līdz 1 gada vecumam</w:t>
            </w:r>
            <w:r w:rsidR="00C123BF" w:rsidRPr="004836A6">
              <w:rPr>
                <w:rStyle w:val="FootnoteAnchor"/>
                <w:rFonts w:eastAsiaTheme="minorHAnsi"/>
                <w:color w:val="auto"/>
                <w:sz w:val="25"/>
                <w:szCs w:val="25"/>
                <w:lang w:eastAsia="en-US"/>
              </w:rPr>
              <w:footnoteReference w:id="2"/>
            </w:r>
            <w:r w:rsidR="00C123BF" w:rsidRPr="004836A6">
              <w:rPr>
                <w:rFonts w:eastAsiaTheme="minorHAnsi"/>
                <w:color w:val="auto"/>
                <w:sz w:val="25"/>
                <w:szCs w:val="25"/>
                <w:lang w:eastAsia="en-US"/>
              </w:rPr>
              <w:t>. Ieviešot cistiskās fibrozes jaundzimušo skrīningu sagaidāms, ka 2020.gadā Latvijā būs divas reizes vairāk izdzīvojušu  cistiskās fibrozes pacientu (ap 80), bet daļa no tiem būs ar vieglām slimības izpausmēm, jo agrīni tiks uzsākta slimības profilakse un mērķtiecīga ārstēšana, nesagaidot slimības komplikācijas, tādējādi samazinot kopējās izmaksas no valsts budžeta;</w:t>
            </w:r>
          </w:p>
          <w:p w14:paraId="6E455352" w14:textId="328489C9" w:rsidR="00C06509" w:rsidRPr="004836A6" w:rsidRDefault="00C73C0D" w:rsidP="00C73C0D">
            <w:pPr>
              <w:jc w:val="both"/>
              <w:rPr>
                <w:rFonts w:eastAsia="Arial Unicode MS"/>
                <w:color w:val="auto"/>
                <w:sz w:val="25"/>
                <w:szCs w:val="25"/>
                <w:u w:color="000000"/>
              </w:rPr>
            </w:pPr>
            <w:r w:rsidRPr="004836A6">
              <w:rPr>
                <w:rFonts w:eastAsiaTheme="minorHAnsi"/>
                <w:color w:val="auto"/>
                <w:sz w:val="25"/>
                <w:szCs w:val="25"/>
                <w:lang w:eastAsia="en-US"/>
              </w:rPr>
              <w:t xml:space="preserve">   </w:t>
            </w:r>
            <w:r w:rsidR="00C123BF" w:rsidRPr="004836A6">
              <w:rPr>
                <w:rFonts w:eastAsiaTheme="minorHAnsi"/>
                <w:color w:val="auto"/>
                <w:sz w:val="25"/>
                <w:szCs w:val="25"/>
                <w:lang w:eastAsia="en-US"/>
              </w:rPr>
              <w:t xml:space="preserve">4) identificēt pacientus ar </w:t>
            </w:r>
            <w:proofErr w:type="spellStart"/>
            <w:r w:rsidR="00C123BF" w:rsidRPr="004836A6">
              <w:rPr>
                <w:rFonts w:eastAsiaTheme="minorHAnsi"/>
                <w:color w:val="auto"/>
                <w:sz w:val="25"/>
                <w:szCs w:val="25"/>
                <w:lang w:eastAsia="en-US"/>
              </w:rPr>
              <w:t>biotinidāzes</w:t>
            </w:r>
            <w:proofErr w:type="spellEnd"/>
            <w:r w:rsidR="00C123BF" w:rsidRPr="004836A6">
              <w:rPr>
                <w:rFonts w:eastAsiaTheme="minorHAnsi"/>
                <w:color w:val="auto"/>
                <w:sz w:val="25"/>
                <w:szCs w:val="25"/>
                <w:lang w:eastAsia="en-US"/>
              </w:rPr>
              <w:t xml:space="preserve"> deficītu </w:t>
            </w:r>
            <w:proofErr w:type="spellStart"/>
            <w:r w:rsidR="00C123BF" w:rsidRPr="004836A6">
              <w:rPr>
                <w:rFonts w:eastAsiaTheme="minorHAnsi"/>
                <w:color w:val="auto"/>
                <w:sz w:val="25"/>
                <w:szCs w:val="25"/>
                <w:lang w:eastAsia="en-US"/>
              </w:rPr>
              <w:t>presimptomātiski</w:t>
            </w:r>
            <w:proofErr w:type="spellEnd"/>
            <w:r w:rsidR="00C123BF" w:rsidRPr="004836A6">
              <w:rPr>
                <w:rFonts w:eastAsiaTheme="minorHAnsi"/>
                <w:color w:val="auto"/>
                <w:sz w:val="25"/>
                <w:szCs w:val="25"/>
                <w:lang w:eastAsia="en-US"/>
              </w:rPr>
              <w:t xml:space="preserve">, lai novērstu mirstību un samazinātu ilgtermiņa veselības problēmas, uzsākot agrīnu ārstēšanu ar biotīnu. Neārstētos gadījumos </w:t>
            </w:r>
            <w:proofErr w:type="spellStart"/>
            <w:r w:rsidR="00C123BF" w:rsidRPr="004836A6">
              <w:rPr>
                <w:rFonts w:eastAsiaTheme="minorHAnsi"/>
                <w:color w:val="auto"/>
                <w:sz w:val="25"/>
                <w:szCs w:val="25"/>
                <w:lang w:eastAsia="en-US"/>
              </w:rPr>
              <w:t>biotinidāzes</w:t>
            </w:r>
            <w:proofErr w:type="spellEnd"/>
            <w:r w:rsidR="00C123BF" w:rsidRPr="004836A6">
              <w:rPr>
                <w:rFonts w:eastAsiaTheme="minorHAnsi"/>
                <w:color w:val="auto"/>
                <w:sz w:val="25"/>
                <w:szCs w:val="25"/>
                <w:lang w:eastAsia="en-US"/>
              </w:rPr>
              <w:t xml:space="preserve"> deficīts var novest pie komas un nāves. Terapija ar biotīnu uzlabo vispārējo stāvokli, taču optiskā atrofija, dzirdes zudums un kognitīvais deficīts parasti ir neatgriezeniski. Jaundzimušo skrīningā identificētajiem pacientiem, uzsākot terapiju </w:t>
            </w:r>
            <w:proofErr w:type="spellStart"/>
            <w:r w:rsidR="00C123BF" w:rsidRPr="004836A6">
              <w:rPr>
                <w:rFonts w:eastAsiaTheme="minorHAnsi"/>
                <w:color w:val="auto"/>
                <w:sz w:val="25"/>
                <w:szCs w:val="25"/>
                <w:lang w:eastAsia="en-US"/>
              </w:rPr>
              <w:t>presimptomātiski</w:t>
            </w:r>
            <w:proofErr w:type="spellEnd"/>
            <w:r w:rsidR="00C123BF" w:rsidRPr="004836A6">
              <w:rPr>
                <w:rFonts w:eastAsiaTheme="minorHAnsi"/>
                <w:color w:val="auto"/>
                <w:sz w:val="25"/>
                <w:szCs w:val="25"/>
                <w:lang w:eastAsia="en-US"/>
              </w:rPr>
              <w:t xml:space="preserve">, novērojama normāla fiziskā un garīgā attīstība, pacienti ir klīniski veseli. Latvijā šobrīd nav atklāts pacients ar </w:t>
            </w:r>
            <w:proofErr w:type="spellStart"/>
            <w:r w:rsidR="00C123BF" w:rsidRPr="004836A6">
              <w:rPr>
                <w:rFonts w:eastAsiaTheme="minorHAnsi"/>
                <w:color w:val="auto"/>
                <w:sz w:val="25"/>
                <w:szCs w:val="25"/>
                <w:lang w:eastAsia="en-US"/>
              </w:rPr>
              <w:t>biotinidāzes</w:t>
            </w:r>
            <w:proofErr w:type="spellEnd"/>
            <w:r w:rsidR="00C123BF" w:rsidRPr="004836A6">
              <w:rPr>
                <w:rFonts w:eastAsiaTheme="minorHAnsi"/>
                <w:color w:val="auto"/>
                <w:sz w:val="25"/>
                <w:szCs w:val="25"/>
                <w:lang w:eastAsia="en-US"/>
              </w:rPr>
              <w:t xml:space="preserve"> pilnīgu vai daļēju deficītu.</w:t>
            </w:r>
          </w:p>
          <w:p w14:paraId="749A6B5E" w14:textId="30A07408" w:rsidR="003F5A66" w:rsidRPr="004836A6" w:rsidRDefault="00C73C0D" w:rsidP="003F5A66">
            <w:pPr>
              <w:jc w:val="both"/>
              <w:rPr>
                <w:rFonts w:eastAsia="Arial Unicode MS"/>
                <w:color w:val="auto"/>
                <w:sz w:val="25"/>
                <w:szCs w:val="25"/>
                <w:u w:color="000000"/>
              </w:rPr>
            </w:pPr>
            <w:r w:rsidRPr="004836A6">
              <w:rPr>
                <w:rFonts w:eastAsia="Arial Unicode MS"/>
                <w:color w:val="auto"/>
                <w:sz w:val="25"/>
                <w:szCs w:val="25"/>
                <w:u w:color="000000"/>
              </w:rPr>
              <w:lastRenderedPageBreak/>
              <w:t xml:space="preserve">   </w:t>
            </w:r>
            <w:r w:rsidR="00C123BF" w:rsidRPr="004836A6">
              <w:rPr>
                <w:rFonts w:eastAsia="Arial Unicode MS"/>
                <w:color w:val="auto"/>
                <w:sz w:val="25"/>
                <w:szCs w:val="25"/>
                <w:u w:color="000000"/>
              </w:rPr>
              <w:t xml:space="preserve">Jaundzimušo skrīningu izmeklējumi tiks veikti valsts sabiedrībā ar ierobežotu atbildību “Bērnu klīniskā universitātes slimnīca”. </w:t>
            </w:r>
          </w:p>
          <w:p w14:paraId="5D63C494" w14:textId="6C30B67B" w:rsidR="00C06509" w:rsidRPr="004836A6" w:rsidRDefault="003F11F2" w:rsidP="00C73C0D">
            <w:pPr>
              <w:shd w:val="clear" w:color="auto" w:fill="FFFFFF"/>
              <w:jc w:val="both"/>
              <w:rPr>
                <w:color w:val="auto"/>
                <w:sz w:val="25"/>
                <w:szCs w:val="25"/>
              </w:rPr>
            </w:pPr>
            <w:r w:rsidRPr="004836A6">
              <w:rPr>
                <w:color w:val="auto"/>
                <w:sz w:val="25"/>
                <w:szCs w:val="25"/>
              </w:rPr>
              <w:t>Projekta 1.</w:t>
            </w:r>
            <w:r w:rsidR="004E03BC" w:rsidRPr="004836A6">
              <w:rPr>
                <w:color w:val="auto"/>
                <w:sz w:val="25"/>
                <w:szCs w:val="25"/>
              </w:rPr>
              <w:t>8</w:t>
            </w:r>
            <w:r w:rsidRPr="004836A6">
              <w:rPr>
                <w:color w:val="auto"/>
                <w:sz w:val="25"/>
                <w:szCs w:val="25"/>
              </w:rPr>
              <w:t>. un 1.</w:t>
            </w:r>
            <w:r w:rsidR="004E03BC" w:rsidRPr="004836A6">
              <w:rPr>
                <w:color w:val="auto"/>
                <w:sz w:val="25"/>
                <w:szCs w:val="25"/>
              </w:rPr>
              <w:t>9</w:t>
            </w:r>
            <w:r w:rsidRPr="004836A6">
              <w:rPr>
                <w:color w:val="auto"/>
                <w:sz w:val="25"/>
                <w:szCs w:val="25"/>
              </w:rPr>
              <w:t>. apakšpunktā paredzētās tiesību normas attiecībā uz prasībām grūtniecības ultrasonogrāfisk</w:t>
            </w:r>
            <w:r w:rsidR="009147B9" w:rsidRPr="004836A6">
              <w:rPr>
                <w:color w:val="auto"/>
                <w:sz w:val="25"/>
                <w:szCs w:val="25"/>
              </w:rPr>
              <w:t>ai</w:t>
            </w:r>
            <w:r w:rsidRPr="004836A6">
              <w:rPr>
                <w:color w:val="auto"/>
                <w:sz w:val="25"/>
                <w:szCs w:val="25"/>
              </w:rPr>
              <w:t xml:space="preserve"> izmeklē</w:t>
            </w:r>
            <w:r w:rsidR="009147B9" w:rsidRPr="004836A6">
              <w:rPr>
                <w:color w:val="auto"/>
                <w:sz w:val="25"/>
                <w:szCs w:val="25"/>
              </w:rPr>
              <w:t xml:space="preserve">šanai stājas spēkā </w:t>
            </w:r>
            <w:r w:rsidR="009147B9" w:rsidRPr="004836A6">
              <w:rPr>
                <w:sz w:val="25"/>
                <w:szCs w:val="25"/>
              </w:rPr>
              <w:t>2021. gada 1. janvārī</w:t>
            </w:r>
            <w:r w:rsidR="00B845F1" w:rsidRPr="004836A6">
              <w:rPr>
                <w:sz w:val="25"/>
                <w:szCs w:val="25"/>
              </w:rPr>
              <w:t xml:space="preserve"> (Projekta </w:t>
            </w:r>
            <w:r w:rsidR="000732B4" w:rsidRPr="004836A6">
              <w:rPr>
                <w:sz w:val="25"/>
                <w:szCs w:val="25"/>
              </w:rPr>
              <w:t>2</w:t>
            </w:r>
            <w:r w:rsidR="00B845F1" w:rsidRPr="004836A6">
              <w:rPr>
                <w:sz w:val="25"/>
                <w:szCs w:val="25"/>
              </w:rPr>
              <w:t>.</w:t>
            </w:r>
            <w:r w:rsidR="000732B4" w:rsidRPr="004836A6">
              <w:rPr>
                <w:sz w:val="25"/>
                <w:szCs w:val="25"/>
              </w:rPr>
              <w:t xml:space="preserve"> </w:t>
            </w:r>
            <w:r w:rsidR="00B845F1" w:rsidRPr="004836A6">
              <w:rPr>
                <w:sz w:val="25"/>
                <w:szCs w:val="25"/>
              </w:rPr>
              <w:t>punkts)</w:t>
            </w:r>
            <w:r w:rsidR="009147B9" w:rsidRPr="004836A6">
              <w:rPr>
                <w:color w:val="auto"/>
                <w:sz w:val="25"/>
                <w:szCs w:val="25"/>
              </w:rPr>
              <w:t>.</w:t>
            </w:r>
            <w:r w:rsidRPr="004836A6">
              <w:rPr>
                <w:color w:val="auto"/>
                <w:sz w:val="25"/>
                <w:szCs w:val="25"/>
              </w:rPr>
              <w:t xml:space="preserve"> </w:t>
            </w:r>
          </w:p>
        </w:tc>
      </w:tr>
      <w:tr w:rsidR="00BE0152" w:rsidRPr="004836A6" w14:paraId="74AD917B" w14:textId="77777777" w:rsidTr="003A5025">
        <w:trPr>
          <w:trHeight w:val="431"/>
        </w:trPr>
        <w:tc>
          <w:tcPr>
            <w:tcW w:w="152"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61C81147" w14:textId="77777777" w:rsidR="00C06509" w:rsidRPr="004836A6" w:rsidRDefault="00C123BF">
            <w:pPr>
              <w:spacing w:before="75" w:after="75"/>
              <w:contextualSpacing/>
              <w:rPr>
                <w:color w:val="auto"/>
                <w:sz w:val="25"/>
                <w:szCs w:val="25"/>
              </w:rPr>
            </w:pPr>
            <w:r w:rsidRPr="004836A6">
              <w:rPr>
                <w:color w:val="auto"/>
                <w:sz w:val="25"/>
                <w:szCs w:val="25"/>
              </w:rPr>
              <w:lastRenderedPageBreak/>
              <w:t>3.</w:t>
            </w:r>
          </w:p>
        </w:tc>
        <w:tc>
          <w:tcPr>
            <w:tcW w:w="1096"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534BCE5F" w14:textId="77777777" w:rsidR="00853063" w:rsidRPr="004836A6" w:rsidRDefault="00853063" w:rsidP="00853063">
            <w:pPr>
              <w:rPr>
                <w:color w:val="auto"/>
                <w:sz w:val="25"/>
                <w:szCs w:val="25"/>
              </w:rPr>
            </w:pPr>
            <w:r w:rsidRPr="004836A6">
              <w:rPr>
                <w:color w:val="auto"/>
                <w:sz w:val="25"/>
                <w:szCs w:val="25"/>
              </w:rPr>
              <w:t xml:space="preserve">Projekta izstrādē iesaistītās institūcijas un publiskas personas </w:t>
            </w:r>
          </w:p>
          <w:p w14:paraId="1E38FCD6" w14:textId="77777777" w:rsidR="00C06509" w:rsidRPr="004836A6" w:rsidRDefault="00853063" w:rsidP="00853063">
            <w:pPr>
              <w:contextualSpacing/>
              <w:rPr>
                <w:color w:val="auto"/>
                <w:sz w:val="25"/>
                <w:szCs w:val="25"/>
              </w:rPr>
            </w:pPr>
            <w:r w:rsidRPr="004836A6">
              <w:rPr>
                <w:color w:val="auto"/>
                <w:sz w:val="25"/>
                <w:szCs w:val="25"/>
              </w:rPr>
              <w:t>kapitālsabiedrības</w:t>
            </w:r>
          </w:p>
        </w:tc>
        <w:tc>
          <w:tcPr>
            <w:tcW w:w="3752"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B486DEB" w14:textId="77777777" w:rsidR="00C06509" w:rsidRPr="004836A6" w:rsidRDefault="00C123BF">
            <w:pPr>
              <w:contextualSpacing/>
              <w:jc w:val="both"/>
              <w:rPr>
                <w:color w:val="auto"/>
                <w:sz w:val="25"/>
                <w:szCs w:val="25"/>
              </w:rPr>
            </w:pPr>
            <w:r w:rsidRPr="004836A6">
              <w:rPr>
                <w:color w:val="auto"/>
                <w:sz w:val="25"/>
                <w:szCs w:val="25"/>
              </w:rPr>
              <w:t xml:space="preserve">Latvijas Ginekologu un dzemdību speciālistu asociācija, Latvijas </w:t>
            </w:r>
            <w:proofErr w:type="spellStart"/>
            <w:r w:rsidRPr="004836A6">
              <w:rPr>
                <w:color w:val="auto"/>
                <w:sz w:val="25"/>
                <w:szCs w:val="25"/>
              </w:rPr>
              <w:t>Neonatologu</w:t>
            </w:r>
            <w:proofErr w:type="spellEnd"/>
            <w:r w:rsidRPr="004836A6">
              <w:rPr>
                <w:color w:val="auto"/>
                <w:sz w:val="25"/>
                <w:szCs w:val="25"/>
              </w:rPr>
              <w:t xml:space="preserve"> biedrība, BKUS.</w:t>
            </w:r>
          </w:p>
        </w:tc>
      </w:tr>
      <w:tr w:rsidR="00C06509" w:rsidRPr="004836A6" w14:paraId="28025F04" w14:textId="77777777" w:rsidTr="003A5025">
        <w:trPr>
          <w:trHeight w:val="250"/>
        </w:trPr>
        <w:tc>
          <w:tcPr>
            <w:tcW w:w="152"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1B315F7" w14:textId="77777777" w:rsidR="00C06509" w:rsidRPr="004836A6" w:rsidRDefault="00C123BF">
            <w:pPr>
              <w:spacing w:before="75" w:after="75"/>
              <w:contextualSpacing/>
              <w:rPr>
                <w:color w:val="auto"/>
                <w:sz w:val="25"/>
                <w:szCs w:val="25"/>
              </w:rPr>
            </w:pPr>
            <w:r w:rsidRPr="004836A6">
              <w:rPr>
                <w:color w:val="auto"/>
                <w:sz w:val="25"/>
                <w:szCs w:val="25"/>
              </w:rPr>
              <w:t>4.</w:t>
            </w:r>
          </w:p>
        </w:tc>
        <w:tc>
          <w:tcPr>
            <w:tcW w:w="1096"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E5E8F5B" w14:textId="77777777" w:rsidR="00C06509" w:rsidRPr="004836A6" w:rsidRDefault="00C123BF">
            <w:pPr>
              <w:contextualSpacing/>
              <w:rPr>
                <w:color w:val="auto"/>
                <w:sz w:val="25"/>
                <w:szCs w:val="25"/>
              </w:rPr>
            </w:pPr>
            <w:r w:rsidRPr="004836A6">
              <w:rPr>
                <w:color w:val="auto"/>
                <w:sz w:val="25"/>
                <w:szCs w:val="25"/>
              </w:rPr>
              <w:t>Cita informācija</w:t>
            </w:r>
          </w:p>
        </w:tc>
        <w:tc>
          <w:tcPr>
            <w:tcW w:w="3752" w:type="pct"/>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5CAE5BBE" w14:textId="77777777" w:rsidR="00C06509" w:rsidRPr="004836A6" w:rsidRDefault="00C123BF">
            <w:pPr>
              <w:pStyle w:val="NormalWeb"/>
              <w:spacing w:before="0" w:after="0"/>
              <w:contextualSpacing/>
              <w:jc w:val="both"/>
              <w:rPr>
                <w:color w:val="auto"/>
                <w:sz w:val="25"/>
                <w:szCs w:val="25"/>
              </w:rPr>
            </w:pPr>
            <w:r w:rsidRPr="004836A6">
              <w:rPr>
                <w:color w:val="auto"/>
                <w:sz w:val="25"/>
                <w:szCs w:val="25"/>
              </w:rPr>
              <w:t>Nav.</w:t>
            </w:r>
          </w:p>
        </w:tc>
      </w:tr>
    </w:tbl>
    <w:p w14:paraId="7E03F1DE" w14:textId="29D99230" w:rsidR="00C06509" w:rsidRPr="004836A6" w:rsidRDefault="00C06509">
      <w:pPr>
        <w:rPr>
          <w:color w:val="auto"/>
          <w:sz w:val="25"/>
          <w:szCs w:val="25"/>
        </w:rPr>
      </w:pPr>
    </w:p>
    <w:p w14:paraId="1ACA12CE" w14:textId="77777777" w:rsidR="00C73C0D" w:rsidRPr="004836A6" w:rsidRDefault="00C73C0D">
      <w:pPr>
        <w:rPr>
          <w:color w:val="auto"/>
          <w:sz w:val="25"/>
          <w:szCs w:val="25"/>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5"/>
        <w:gridCol w:w="3352"/>
        <w:gridCol w:w="5284"/>
      </w:tblGrid>
      <w:tr w:rsidR="00BE0152" w:rsidRPr="004836A6" w14:paraId="0280E54A" w14:textId="77777777">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62D48C" w14:textId="77777777" w:rsidR="00C06509" w:rsidRPr="004836A6" w:rsidRDefault="00C123BF">
            <w:pPr>
              <w:jc w:val="center"/>
              <w:rPr>
                <w:color w:val="auto"/>
                <w:sz w:val="25"/>
                <w:szCs w:val="25"/>
              </w:rPr>
            </w:pPr>
            <w:r w:rsidRPr="004836A6">
              <w:rPr>
                <w:b/>
                <w:bCs/>
                <w:color w:val="auto"/>
                <w:sz w:val="25"/>
                <w:szCs w:val="25"/>
                <w:lang w:val="fi-FI"/>
              </w:rPr>
              <w:t>II. Tiesību akta projekta ietekme uz sabiedrību, tautsaimniecības attīstību un administratīvo slogu</w:t>
            </w:r>
          </w:p>
        </w:tc>
      </w:tr>
      <w:tr w:rsidR="00BE0152" w:rsidRPr="004836A6" w14:paraId="1AE15C54" w14:textId="777777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E9070D" w14:textId="77777777" w:rsidR="00C06509" w:rsidRPr="004836A6" w:rsidRDefault="00C123BF">
            <w:pPr>
              <w:rPr>
                <w:color w:val="auto"/>
                <w:sz w:val="25"/>
                <w:szCs w:val="25"/>
              </w:rPr>
            </w:pPr>
            <w:r w:rsidRPr="004836A6">
              <w:rPr>
                <w:color w:val="auto"/>
                <w:sz w:val="25"/>
                <w:szCs w:val="25"/>
              </w:rPr>
              <w:t>1.</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C035EB" w14:textId="77777777" w:rsidR="00C06509" w:rsidRPr="004836A6" w:rsidRDefault="00C123BF">
            <w:pPr>
              <w:rPr>
                <w:color w:val="auto"/>
                <w:sz w:val="25"/>
                <w:szCs w:val="25"/>
              </w:rPr>
            </w:pPr>
            <w:r w:rsidRPr="004836A6">
              <w:rPr>
                <w:color w:val="auto"/>
                <w:sz w:val="25"/>
                <w:szCs w:val="25"/>
              </w:rPr>
              <w:t>Sabiedrības mērķgrupas, kuras tiesiskais regulējums ietekmē vai varētu ietekmēt</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1720F" w14:textId="1401F6CC" w:rsidR="00C06509" w:rsidRPr="004836A6" w:rsidRDefault="00D32D7B">
            <w:pPr>
              <w:jc w:val="both"/>
              <w:rPr>
                <w:color w:val="auto"/>
                <w:sz w:val="25"/>
                <w:szCs w:val="25"/>
              </w:rPr>
            </w:pPr>
            <w:r w:rsidRPr="004836A6">
              <w:rPr>
                <w:color w:val="auto"/>
                <w:sz w:val="25"/>
                <w:szCs w:val="25"/>
              </w:rPr>
              <w:t>Ārstniecības iestādes, kuras nodrošina dzemdību palīdzības pakalpojumus,</w:t>
            </w:r>
            <w:r w:rsidR="008F51B7" w:rsidRPr="004836A6">
              <w:rPr>
                <w:color w:val="auto"/>
                <w:sz w:val="25"/>
                <w:szCs w:val="25"/>
              </w:rPr>
              <w:t xml:space="preserve"> BKUS, </w:t>
            </w:r>
            <w:r w:rsidRPr="004836A6">
              <w:rPr>
                <w:color w:val="auto"/>
                <w:sz w:val="25"/>
                <w:szCs w:val="25"/>
              </w:rPr>
              <w:t xml:space="preserve"> </w:t>
            </w:r>
            <w:r w:rsidR="008F51B7" w:rsidRPr="004836A6">
              <w:rPr>
                <w:color w:val="auto"/>
                <w:sz w:val="25"/>
                <w:szCs w:val="25"/>
              </w:rPr>
              <w:t>g</w:t>
            </w:r>
            <w:r w:rsidR="00C123BF" w:rsidRPr="004836A6">
              <w:rPr>
                <w:color w:val="auto"/>
                <w:sz w:val="25"/>
                <w:szCs w:val="25"/>
              </w:rPr>
              <w:t>rūtnieces un jaundzimušie</w:t>
            </w:r>
            <w:r w:rsidR="007E43F6" w:rsidRPr="004836A6">
              <w:rPr>
                <w:color w:val="auto"/>
                <w:sz w:val="25"/>
                <w:szCs w:val="25"/>
              </w:rPr>
              <w:t xml:space="preserve">, </w:t>
            </w:r>
            <w:r w:rsidR="00DC2B03" w:rsidRPr="004836A6">
              <w:rPr>
                <w:color w:val="auto"/>
                <w:sz w:val="25"/>
                <w:szCs w:val="25"/>
              </w:rPr>
              <w:t xml:space="preserve">jaundzimušo vecāki, </w:t>
            </w:r>
            <w:r w:rsidR="007E43F6" w:rsidRPr="004836A6">
              <w:rPr>
                <w:color w:val="auto"/>
                <w:sz w:val="25"/>
                <w:szCs w:val="25"/>
              </w:rPr>
              <w:t>ginekologi, dzemdību speciālisti, ģimenes ārsti, kuri nodrošina grūtnieces aprūpi</w:t>
            </w:r>
            <w:r w:rsidR="007F15F3" w:rsidRPr="004836A6">
              <w:rPr>
                <w:color w:val="auto"/>
                <w:sz w:val="25"/>
                <w:szCs w:val="25"/>
              </w:rPr>
              <w:t xml:space="preserve">, </w:t>
            </w:r>
            <w:proofErr w:type="spellStart"/>
            <w:r w:rsidR="007F15F3" w:rsidRPr="004836A6">
              <w:rPr>
                <w:color w:val="auto"/>
                <w:sz w:val="25"/>
                <w:szCs w:val="25"/>
              </w:rPr>
              <w:t>neonatologi</w:t>
            </w:r>
            <w:proofErr w:type="spellEnd"/>
            <w:r w:rsidR="008F51B7" w:rsidRPr="004836A6">
              <w:rPr>
                <w:color w:val="auto"/>
                <w:sz w:val="25"/>
                <w:szCs w:val="25"/>
              </w:rPr>
              <w:t>, vecmātes.</w:t>
            </w:r>
          </w:p>
        </w:tc>
      </w:tr>
      <w:tr w:rsidR="00BE0152" w:rsidRPr="004836A6" w14:paraId="5320F12A" w14:textId="777777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9FC2CE" w14:textId="77777777" w:rsidR="00C06509" w:rsidRPr="004836A6" w:rsidRDefault="00C123BF">
            <w:pPr>
              <w:rPr>
                <w:color w:val="auto"/>
                <w:sz w:val="25"/>
                <w:szCs w:val="25"/>
              </w:rPr>
            </w:pPr>
            <w:r w:rsidRPr="004836A6">
              <w:rPr>
                <w:color w:val="auto"/>
                <w:sz w:val="25"/>
                <w:szCs w:val="25"/>
              </w:rPr>
              <w:t>2.</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012CD4" w14:textId="77777777" w:rsidR="00C06509" w:rsidRPr="004836A6" w:rsidRDefault="00C123BF">
            <w:pPr>
              <w:rPr>
                <w:color w:val="auto"/>
                <w:sz w:val="25"/>
                <w:szCs w:val="25"/>
              </w:rPr>
            </w:pPr>
            <w:r w:rsidRPr="004836A6">
              <w:rPr>
                <w:color w:val="auto"/>
                <w:sz w:val="25"/>
                <w:szCs w:val="25"/>
              </w:rPr>
              <w:t>Tiesiskā regulējuma ietekme uz tautsaimniecību un administratīvo slogu</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0E3BED" w14:textId="188E6FE2" w:rsidR="00334738" w:rsidRPr="004836A6" w:rsidRDefault="005E4103" w:rsidP="005E4103">
            <w:pPr>
              <w:jc w:val="both"/>
              <w:rPr>
                <w:color w:val="auto"/>
                <w:sz w:val="25"/>
                <w:szCs w:val="25"/>
                <w:shd w:val="clear" w:color="auto" w:fill="FFFFFF"/>
              </w:rPr>
            </w:pPr>
            <w:r w:rsidRPr="004836A6">
              <w:rPr>
                <w:rFonts w:eastAsiaTheme="minorEastAsia"/>
                <w:bCs/>
                <w:color w:val="auto"/>
                <w:sz w:val="25"/>
                <w:szCs w:val="25"/>
              </w:rPr>
              <w:t>Paredzam</w:t>
            </w:r>
            <w:r w:rsidR="005A68A4" w:rsidRPr="004836A6">
              <w:rPr>
                <w:rFonts w:eastAsiaTheme="minorEastAsia"/>
                <w:bCs/>
                <w:color w:val="auto"/>
                <w:sz w:val="25"/>
                <w:szCs w:val="25"/>
              </w:rPr>
              <w:t>s, ka</w:t>
            </w:r>
            <w:r w:rsidRPr="004836A6">
              <w:rPr>
                <w:rFonts w:eastAsiaTheme="minorEastAsia"/>
                <w:bCs/>
                <w:color w:val="auto"/>
                <w:sz w:val="25"/>
                <w:szCs w:val="25"/>
              </w:rPr>
              <w:t xml:space="preserve"> Proj</w:t>
            </w:r>
            <w:r w:rsidR="005A68A4" w:rsidRPr="004836A6">
              <w:rPr>
                <w:rFonts w:eastAsiaTheme="minorEastAsia"/>
                <w:bCs/>
                <w:color w:val="auto"/>
                <w:sz w:val="25"/>
                <w:szCs w:val="25"/>
              </w:rPr>
              <w:t>e</w:t>
            </w:r>
            <w:r w:rsidRPr="004836A6">
              <w:rPr>
                <w:rFonts w:eastAsiaTheme="minorEastAsia"/>
                <w:bCs/>
                <w:color w:val="auto"/>
                <w:sz w:val="25"/>
                <w:szCs w:val="25"/>
              </w:rPr>
              <w:t>ktā iekļaut</w:t>
            </w:r>
            <w:r w:rsidR="005A68A4" w:rsidRPr="004836A6">
              <w:rPr>
                <w:rFonts w:eastAsiaTheme="minorEastAsia"/>
                <w:bCs/>
                <w:color w:val="auto"/>
                <w:sz w:val="25"/>
                <w:szCs w:val="25"/>
              </w:rPr>
              <w:t>ais</w:t>
            </w:r>
            <w:r w:rsidRPr="004836A6">
              <w:rPr>
                <w:rFonts w:eastAsiaTheme="minorEastAsia"/>
                <w:bCs/>
                <w:color w:val="auto"/>
                <w:sz w:val="25"/>
                <w:szCs w:val="25"/>
              </w:rPr>
              <w:t xml:space="preserve"> tiesisk</w:t>
            </w:r>
            <w:r w:rsidR="005A68A4" w:rsidRPr="004836A6">
              <w:rPr>
                <w:rFonts w:eastAsiaTheme="minorEastAsia"/>
                <w:bCs/>
                <w:color w:val="auto"/>
                <w:sz w:val="25"/>
                <w:szCs w:val="25"/>
              </w:rPr>
              <w:t>ais</w:t>
            </w:r>
            <w:r w:rsidRPr="004836A6">
              <w:rPr>
                <w:rFonts w:eastAsiaTheme="minorEastAsia"/>
                <w:bCs/>
                <w:color w:val="auto"/>
                <w:sz w:val="25"/>
                <w:szCs w:val="25"/>
              </w:rPr>
              <w:t xml:space="preserve"> regulējum</w:t>
            </w:r>
            <w:r w:rsidR="005A68A4" w:rsidRPr="004836A6">
              <w:rPr>
                <w:rFonts w:eastAsiaTheme="minorEastAsia"/>
                <w:bCs/>
                <w:color w:val="auto"/>
                <w:sz w:val="25"/>
                <w:szCs w:val="25"/>
              </w:rPr>
              <w:t>s</w:t>
            </w:r>
            <w:r w:rsidRPr="004836A6">
              <w:rPr>
                <w:rFonts w:eastAsiaTheme="minorEastAsia"/>
                <w:bCs/>
                <w:color w:val="auto"/>
                <w:sz w:val="25"/>
                <w:szCs w:val="25"/>
              </w:rPr>
              <w:t xml:space="preserve"> pozitīv</w:t>
            </w:r>
            <w:r w:rsidR="005A68A4" w:rsidRPr="004836A6">
              <w:rPr>
                <w:rFonts w:eastAsiaTheme="minorEastAsia"/>
                <w:bCs/>
                <w:color w:val="auto"/>
                <w:sz w:val="25"/>
                <w:szCs w:val="25"/>
              </w:rPr>
              <w:t>i</w:t>
            </w:r>
            <w:r w:rsidRPr="004836A6">
              <w:rPr>
                <w:rFonts w:eastAsiaTheme="minorEastAsia"/>
                <w:bCs/>
                <w:color w:val="auto"/>
                <w:sz w:val="25"/>
                <w:szCs w:val="25"/>
              </w:rPr>
              <w:t xml:space="preserve"> ietekm</w:t>
            </w:r>
            <w:r w:rsidR="005A68A4" w:rsidRPr="004836A6">
              <w:rPr>
                <w:rFonts w:eastAsiaTheme="minorEastAsia"/>
                <w:bCs/>
                <w:color w:val="auto"/>
                <w:sz w:val="25"/>
                <w:szCs w:val="25"/>
              </w:rPr>
              <w:t>ēs</w:t>
            </w:r>
            <w:r w:rsidRPr="004836A6">
              <w:rPr>
                <w:rFonts w:eastAsiaTheme="minorEastAsia"/>
                <w:bCs/>
                <w:color w:val="auto"/>
                <w:sz w:val="25"/>
                <w:szCs w:val="25"/>
              </w:rPr>
              <w:t xml:space="preserve"> sabiedrības veselību, ņemot vērā </w:t>
            </w:r>
            <w:r w:rsidRPr="004836A6">
              <w:rPr>
                <w:color w:val="auto"/>
                <w:sz w:val="25"/>
                <w:szCs w:val="25"/>
                <w:shd w:val="clear" w:color="auto" w:fill="FFFFFF"/>
              </w:rPr>
              <w:t xml:space="preserve">grūtnieču ultrasonogrāfisko izmeklējumu veikšanas kvalitātes plānotos uzlabojumus, </w:t>
            </w:r>
            <w:r w:rsidR="005A68A4" w:rsidRPr="004836A6">
              <w:rPr>
                <w:color w:val="auto"/>
                <w:sz w:val="25"/>
                <w:szCs w:val="25"/>
                <w:shd w:val="clear" w:color="auto" w:fill="FFFFFF"/>
              </w:rPr>
              <w:t xml:space="preserve">paredzamo savlaicīgi konstatēto augļa </w:t>
            </w:r>
            <w:r w:rsidRPr="004836A6">
              <w:rPr>
                <w:color w:val="auto"/>
                <w:sz w:val="25"/>
                <w:szCs w:val="25"/>
                <w:shd w:val="clear" w:color="auto" w:fill="FFFFFF"/>
              </w:rPr>
              <w:t>ģenētisk</w:t>
            </w:r>
            <w:r w:rsidR="005A68A4" w:rsidRPr="004836A6">
              <w:rPr>
                <w:color w:val="auto"/>
                <w:sz w:val="25"/>
                <w:szCs w:val="25"/>
                <w:shd w:val="clear" w:color="auto" w:fill="FFFFFF"/>
              </w:rPr>
              <w:t>o</w:t>
            </w:r>
            <w:r w:rsidRPr="004836A6">
              <w:rPr>
                <w:color w:val="auto"/>
                <w:sz w:val="25"/>
                <w:szCs w:val="25"/>
                <w:shd w:val="clear" w:color="auto" w:fill="FFFFFF"/>
              </w:rPr>
              <w:t xml:space="preserve"> patoloģij</w:t>
            </w:r>
            <w:r w:rsidR="005A68A4" w:rsidRPr="004836A6">
              <w:rPr>
                <w:color w:val="auto"/>
                <w:sz w:val="25"/>
                <w:szCs w:val="25"/>
                <w:shd w:val="clear" w:color="auto" w:fill="FFFFFF"/>
              </w:rPr>
              <w:t>u skaita iespējamo pieaugumu</w:t>
            </w:r>
            <w:r w:rsidRPr="004836A6">
              <w:rPr>
                <w:color w:val="auto"/>
                <w:sz w:val="25"/>
                <w:szCs w:val="25"/>
                <w:shd w:val="clear" w:color="auto" w:fill="FFFFFF"/>
              </w:rPr>
              <w:t>, jaundzimušo p</w:t>
            </w:r>
            <w:r w:rsidR="00777170" w:rsidRPr="004836A6">
              <w:rPr>
                <w:color w:val="auto"/>
                <w:sz w:val="25"/>
                <w:szCs w:val="25"/>
                <w:shd w:val="clear" w:color="auto" w:fill="FFFFFF"/>
              </w:rPr>
              <w:t>ap</w:t>
            </w:r>
            <w:r w:rsidRPr="004836A6">
              <w:rPr>
                <w:color w:val="auto"/>
                <w:sz w:val="25"/>
                <w:szCs w:val="25"/>
                <w:shd w:val="clear" w:color="auto" w:fill="FFFFFF"/>
              </w:rPr>
              <w:t>lašinātā ģenētiskā skrīn</w:t>
            </w:r>
            <w:r w:rsidR="005A68A4" w:rsidRPr="004836A6">
              <w:rPr>
                <w:color w:val="auto"/>
                <w:sz w:val="25"/>
                <w:szCs w:val="25"/>
                <w:shd w:val="clear" w:color="auto" w:fill="FFFFFF"/>
              </w:rPr>
              <w:t>inga veikšanas rezultātā savlaicīgi atklāto pataloģiju skaita iespējamo palielināšanos, kā arī Projektā paredzēto pastiprinātas uzmanības pievēršanu grūtnieču vakcinācijai pret sezonālo gripu un augļa kustībām grūtniecības laikā.</w:t>
            </w:r>
          </w:p>
          <w:p w14:paraId="55CDCC3C" w14:textId="1785E894" w:rsidR="00B27D7C" w:rsidRPr="004836A6" w:rsidRDefault="00B27D7C" w:rsidP="00F17734">
            <w:pPr>
              <w:spacing w:after="120"/>
              <w:jc w:val="both"/>
              <w:rPr>
                <w:color w:val="auto"/>
                <w:sz w:val="25"/>
                <w:szCs w:val="25"/>
              </w:rPr>
            </w:pPr>
          </w:p>
        </w:tc>
      </w:tr>
      <w:tr w:rsidR="00BE0152" w:rsidRPr="004836A6" w14:paraId="2C6496FF" w14:textId="777777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0AA28" w14:textId="77777777" w:rsidR="00C06509" w:rsidRPr="004836A6" w:rsidRDefault="00C123BF">
            <w:pPr>
              <w:rPr>
                <w:color w:val="auto"/>
                <w:sz w:val="25"/>
                <w:szCs w:val="25"/>
              </w:rPr>
            </w:pPr>
            <w:r w:rsidRPr="004836A6">
              <w:rPr>
                <w:color w:val="auto"/>
                <w:sz w:val="25"/>
                <w:szCs w:val="25"/>
              </w:rPr>
              <w:t>3.</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C8877" w14:textId="77777777" w:rsidR="00C06509" w:rsidRPr="004836A6" w:rsidRDefault="00C123BF">
            <w:pPr>
              <w:rPr>
                <w:color w:val="auto"/>
                <w:sz w:val="25"/>
                <w:szCs w:val="25"/>
              </w:rPr>
            </w:pPr>
            <w:r w:rsidRPr="004836A6">
              <w:rPr>
                <w:color w:val="auto"/>
                <w:sz w:val="25"/>
                <w:szCs w:val="25"/>
              </w:rPr>
              <w:t>Administratīvo izmaksu monetārs novērtējums</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ABFF18" w14:textId="77777777" w:rsidR="00C06509" w:rsidRPr="004836A6" w:rsidRDefault="00C123BF">
            <w:pPr>
              <w:jc w:val="both"/>
              <w:rPr>
                <w:color w:val="auto"/>
                <w:sz w:val="25"/>
                <w:szCs w:val="25"/>
              </w:rPr>
            </w:pPr>
            <w:r w:rsidRPr="004836A6">
              <w:rPr>
                <w:color w:val="auto"/>
                <w:sz w:val="25"/>
                <w:szCs w:val="25"/>
              </w:rPr>
              <w:t>Projekts šo jomu neskar.</w:t>
            </w:r>
          </w:p>
          <w:p w14:paraId="73660898" w14:textId="77777777" w:rsidR="00C06509" w:rsidRPr="004836A6" w:rsidRDefault="00C06509">
            <w:pPr>
              <w:jc w:val="both"/>
              <w:rPr>
                <w:color w:val="auto"/>
                <w:sz w:val="25"/>
                <w:szCs w:val="25"/>
              </w:rPr>
            </w:pPr>
          </w:p>
        </w:tc>
      </w:tr>
      <w:tr w:rsidR="00853063" w:rsidRPr="004836A6" w14:paraId="63354FDB" w14:textId="777777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017E25" w14:textId="77777777" w:rsidR="00853063" w:rsidRPr="004836A6" w:rsidRDefault="00853063">
            <w:pPr>
              <w:rPr>
                <w:color w:val="auto"/>
                <w:sz w:val="25"/>
                <w:szCs w:val="25"/>
              </w:rPr>
            </w:pPr>
            <w:r w:rsidRPr="004836A6">
              <w:rPr>
                <w:color w:val="auto"/>
                <w:sz w:val="25"/>
                <w:szCs w:val="25"/>
              </w:rPr>
              <w:t>4.</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510C30" w14:textId="77777777" w:rsidR="00853063" w:rsidRPr="004836A6" w:rsidRDefault="00853063">
            <w:pPr>
              <w:rPr>
                <w:color w:val="auto"/>
                <w:sz w:val="25"/>
                <w:szCs w:val="25"/>
              </w:rPr>
            </w:pPr>
            <w:r w:rsidRPr="004836A6">
              <w:rPr>
                <w:sz w:val="25"/>
                <w:szCs w:val="25"/>
              </w:rPr>
              <w:t>Atbilstības izmaksu monetārs novērtējums</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D5080" w14:textId="77777777" w:rsidR="00853063" w:rsidRPr="004836A6" w:rsidRDefault="00853063" w:rsidP="00853063">
            <w:pPr>
              <w:jc w:val="both"/>
              <w:rPr>
                <w:color w:val="auto"/>
                <w:sz w:val="25"/>
                <w:szCs w:val="25"/>
              </w:rPr>
            </w:pPr>
            <w:r w:rsidRPr="004836A6">
              <w:rPr>
                <w:color w:val="auto"/>
                <w:sz w:val="25"/>
                <w:szCs w:val="25"/>
              </w:rPr>
              <w:t>Projekts šo jomu neskar.</w:t>
            </w:r>
          </w:p>
          <w:p w14:paraId="371607C8" w14:textId="77777777" w:rsidR="00853063" w:rsidRPr="004836A6" w:rsidRDefault="00853063">
            <w:pPr>
              <w:jc w:val="both"/>
              <w:rPr>
                <w:color w:val="auto"/>
                <w:sz w:val="25"/>
                <w:szCs w:val="25"/>
              </w:rPr>
            </w:pPr>
          </w:p>
        </w:tc>
      </w:tr>
      <w:tr w:rsidR="00BE0152" w:rsidRPr="004836A6" w14:paraId="388A9F60" w14:textId="777777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57A59" w14:textId="77777777" w:rsidR="00C06509" w:rsidRPr="004836A6" w:rsidRDefault="00853063">
            <w:pPr>
              <w:rPr>
                <w:color w:val="auto"/>
                <w:sz w:val="25"/>
                <w:szCs w:val="25"/>
              </w:rPr>
            </w:pPr>
            <w:r w:rsidRPr="004836A6">
              <w:rPr>
                <w:color w:val="auto"/>
                <w:sz w:val="25"/>
                <w:szCs w:val="25"/>
              </w:rPr>
              <w:t>5</w:t>
            </w:r>
            <w:r w:rsidR="00C123BF" w:rsidRPr="004836A6">
              <w:rPr>
                <w:color w:val="auto"/>
                <w:sz w:val="25"/>
                <w:szCs w:val="25"/>
              </w:rPr>
              <w:t>.</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3707C" w14:textId="77777777" w:rsidR="00C06509" w:rsidRPr="004836A6" w:rsidRDefault="00C123BF">
            <w:pPr>
              <w:rPr>
                <w:color w:val="auto"/>
                <w:sz w:val="25"/>
                <w:szCs w:val="25"/>
              </w:rPr>
            </w:pPr>
            <w:r w:rsidRPr="004836A6">
              <w:rPr>
                <w:color w:val="auto"/>
                <w:sz w:val="25"/>
                <w:szCs w:val="25"/>
              </w:rPr>
              <w:t>Cita informācija</w:t>
            </w:r>
          </w:p>
        </w:tc>
        <w:tc>
          <w:tcPr>
            <w:tcW w:w="5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AF422E" w14:textId="77777777" w:rsidR="00C06509" w:rsidRPr="004836A6" w:rsidRDefault="00C123BF">
            <w:pPr>
              <w:jc w:val="both"/>
              <w:rPr>
                <w:color w:val="auto"/>
                <w:sz w:val="25"/>
                <w:szCs w:val="25"/>
                <w:highlight w:val="yellow"/>
              </w:rPr>
            </w:pPr>
            <w:r w:rsidRPr="004836A6">
              <w:rPr>
                <w:color w:val="auto"/>
                <w:sz w:val="25"/>
                <w:szCs w:val="25"/>
              </w:rPr>
              <w:t>Nav.</w:t>
            </w:r>
          </w:p>
        </w:tc>
      </w:tr>
    </w:tbl>
    <w:p w14:paraId="3910F659" w14:textId="55403ABB" w:rsidR="00C06509" w:rsidRPr="004836A6" w:rsidRDefault="00C06509">
      <w:pPr>
        <w:rPr>
          <w:color w:val="auto"/>
          <w:sz w:val="25"/>
          <w:szCs w:val="25"/>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377"/>
        <w:gridCol w:w="2784"/>
        <w:gridCol w:w="815"/>
        <w:gridCol w:w="814"/>
        <w:gridCol w:w="815"/>
        <w:gridCol w:w="814"/>
        <w:gridCol w:w="815"/>
        <w:gridCol w:w="821"/>
      </w:tblGrid>
      <w:tr w:rsidR="005C5004" w:rsidRPr="004836A6" w14:paraId="5B757405" w14:textId="77777777" w:rsidTr="000D2356">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97611D" w14:textId="77777777" w:rsidR="005C5004" w:rsidRPr="00316A1B" w:rsidRDefault="005C5004" w:rsidP="000D2356">
            <w:pPr>
              <w:jc w:val="center"/>
              <w:rPr>
                <w:b/>
                <w:color w:val="auto"/>
                <w:sz w:val="22"/>
                <w:szCs w:val="22"/>
              </w:rPr>
            </w:pPr>
            <w:r w:rsidRPr="00316A1B">
              <w:rPr>
                <w:b/>
                <w:color w:val="auto"/>
                <w:sz w:val="22"/>
                <w:szCs w:val="22"/>
              </w:rPr>
              <w:t>III. Tiesību akta projekta ietekme uz valsts budžetu un pašvaldību budžetiem</w:t>
            </w:r>
          </w:p>
        </w:tc>
      </w:tr>
      <w:tr w:rsidR="005C5004" w:rsidRPr="004836A6" w14:paraId="41F804F3" w14:textId="77777777" w:rsidTr="00316A1B">
        <w:tc>
          <w:tcPr>
            <w:tcW w:w="57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F0BF87" w14:textId="77777777" w:rsidR="005C5004" w:rsidRPr="004836A6" w:rsidRDefault="005C5004" w:rsidP="000D2356">
            <w:pPr>
              <w:jc w:val="center"/>
              <w:rPr>
                <w:b/>
                <w:color w:val="auto"/>
                <w:sz w:val="25"/>
                <w:szCs w:val="25"/>
              </w:rPr>
            </w:pPr>
            <w:r w:rsidRPr="004836A6">
              <w:rPr>
                <w:b/>
                <w:color w:val="auto"/>
                <w:sz w:val="25"/>
                <w:szCs w:val="25"/>
              </w:rPr>
              <w:t>Rādītāji</w:t>
            </w:r>
          </w:p>
        </w:tc>
        <w:tc>
          <w:tcPr>
            <w:tcW w:w="201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08479" w14:textId="77777777" w:rsidR="005C5004" w:rsidRPr="00316A1B" w:rsidRDefault="005C5004" w:rsidP="000D2356">
            <w:pPr>
              <w:jc w:val="center"/>
              <w:rPr>
                <w:color w:val="auto"/>
                <w:sz w:val="22"/>
                <w:szCs w:val="22"/>
              </w:rPr>
            </w:pPr>
            <w:r w:rsidRPr="00316A1B">
              <w:rPr>
                <w:color w:val="auto"/>
                <w:sz w:val="22"/>
                <w:szCs w:val="22"/>
              </w:rPr>
              <w:t>2019.gads</w:t>
            </w:r>
          </w:p>
        </w:tc>
        <w:tc>
          <w:tcPr>
            <w:tcW w:w="241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16D50B" w14:textId="77777777" w:rsidR="005C5004" w:rsidRPr="00316A1B" w:rsidRDefault="005C5004" w:rsidP="000D2356">
            <w:pPr>
              <w:jc w:val="center"/>
              <w:rPr>
                <w:color w:val="auto"/>
                <w:sz w:val="22"/>
                <w:szCs w:val="22"/>
              </w:rPr>
            </w:pPr>
            <w:r w:rsidRPr="00316A1B">
              <w:rPr>
                <w:color w:val="auto"/>
                <w:sz w:val="22"/>
                <w:szCs w:val="22"/>
              </w:rPr>
              <w:t>Turpmākie trīs gadi (</w:t>
            </w:r>
            <w:proofErr w:type="spellStart"/>
            <w:r w:rsidRPr="00316A1B">
              <w:rPr>
                <w:i/>
                <w:iCs/>
                <w:color w:val="auto"/>
                <w:sz w:val="22"/>
                <w:szCs w:val="22"/>
              </w:rPr>
              <w:t>euro</w:t>
            </w:r>
            <w:proofErr w:type="spellEnd"/>
            <w:r w:rsidRPr="00316A1B">
              <w:rPr>
                <w:color w:val="auto"/>
                <w:sz w:val="22"/>
                <w:szCs w:val="22"/>
              </w:rPr>
              <w:t>)</w:t>
            </w:r>
          </w:p>
        </w:tc>
      </w:tr>
      <w:tr w:rsidR="005C5004" w:rsidRPr="004836A6" w14:paraId="605BEA7F" w14:textId="77777777" w:rsidTr="00316A1B">
        <w:tc>
          <w:tcPr>
            <w:tcW w:w="57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2C527" w14:textId="77777777" w:rsidR="005C5004" w:rsidRPr="004836A6" w:rsidRDefault="005C5004" w:rsidP="000D2356">
            <w:pPr>
              <w:rPr>
                <w:color w:val="auto"/>
                <w:sz w:val="25"/>
                <w:szCs w:val="25"/>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B25212" w14:textId="77777777" w:rsidR="005C5004" w:rsidRPr="00316A1B" w:rsidRDefault="005C5004" w:rsidP="000D2356">
            <w:pPr>
              <w:jc w:val="center"/>
              <w:rPr>
                <w:color w:val="auto"/>
                <w:sz w:val="22"/>
                <w:szCs w:val="22"/>
              </w:rPr>
            </w:pPr>
          </w:p>
        </w:tc>
        <w:tc>
          <w:tcPr>
            <w:tcW w:w="96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33B67" w14:textId="77777777" w:rsidR="005C5004" w:rsidRPr="00316A1B" w:rsidRDefault="005C5004" w:rsidP="000D2356">
            <w:pPr>
              <w:jc w:val="center"/>
              <w:rPr>
                <w:color w:val="auto"/>
                <w:sz w:val="22"/>
                <w:szCs w:val="22"/>
              </w:rPr>
            </w:pPr>
            <w:r w:rsidRPr="00316A1B">
              <w:rPr>
                <w:color w:val="auto"/>
                <w:sz w:val="22"/>
                <w:szCs w:val="22"/>
              </w:rPr>
              <w:t>2020.gads</w:t>
            </w:r>
          </w:p>
        </w:tc>
        <w:tc>
          <w:tcPr>
            <w:tcW w:w="96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0AC778" w14:textId="77777777" w:rsidR="005C5004" w:rsidRPr="00316A1B" w:rsidRDefault="005C5004" w:rsidP="000D2356">
            <w:pPr>
              <w:jc w:val="center"/>
              <w:rPr>
                <w:color w:val="auto"/>
                <w:sz w:val="22"/>
                <w:szCs w:val="22"/>
              </w:rPr>
            </w:pPr>
            <w:r w:rsidRPr="00316A1B">
              <w:rPr>
                <w:color w:val="auto"/>
                <w:sz w:val="22"/>
                <w:szCs w:val="22"/>
              </w:rPr>
              <w:t>2021.gads</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31364" w14:textId="77777777" w:rsidR="005C5004" w:rsidRPr="00316A1B" w:rsidRDefault="005C5004" w:rsidP="000D2356">
            <w:pPr>
              <w:jc w:val="center"/>
              <w:rPr>
                <w:color w:val="auto"/>
                <w:sz w:val="22"/>
                <w:szCs w:val="22"/>
              </w:rPr>
            </w:pPr>
            <w:r w:rsidRPr="00316A1B">
              <w:rPr>
                <w:color w:val="auto"/>
                <w:sz w:val="22"/>
                <w:szCs w:val="22"/>
              </w:rPr>
              <w:t>2022.gads</w:t>
            </w:r>
          </w:p>
        </w:tc>
      </w:tr>
      <w:tr w:rsidR="005C5004" w:rsidRPr="004836A6" w14:paraId="05C6764D" w14:textId="77777777" w:rsidTr="00316A1B">
        <w:tc>
          <w:tcPr>
            <w:tcW w:w="57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FFE0D" w14:textId="77777777" w:rsidR="005C5004" w:rsidRPr="004836A6" w:rsidRDefault="005C5004" w:rsidP="000D2356">
            <w:pPr>
              <w:rPr>
                <w:color w:val="auto"/>
                <w:sz w:val="25"/>
                <w:szCs w:val="25"/>
              </w:rPr>
            </w:pP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2127C" w14:textId="77777777" w:rsidR="005C5004" w:rsidRPr="00316A1B" w:rsidRDefault="005C5004" w:rsidP="000D2356">
            <w:pPr>
              <w:rPr>
                <w:color w:val="auto"/>
                <w:sz w:val="22"/>
                <w:szCs w:val="22"/>
              </w:rPr>
            </w:pPr>
            <w:r w:rsidRPr="00316A1B">
              <w:rPr>
                <w:color w:val="auto"/>
                <w:sz w:val="22"/>
                <w:szCs w:val="22"/>
              </w:rPr>
              <w:t>saskaņā ar valsts budžetu kārtējam gadam</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C101E" w14:textId="77777777" w:rsidR="005C5004" w:rsidRPr="00316A1B" w:rsidRDefault="005C5004" w:rsidP="000D2356">
            <w:pPr>
              <w:rPr>
                <w:color w:val="auto"/>
                <w:sz w:val="22"/>
                <w:szCs w:val="22"/>
              </w:rPr>
            </w:pPr>
            <w:r w:rsidRPr="00316A1B">
              <w:rPr>
                <w:color w:val="auto"/>
                <w:sz w:val="22"/>
                <w:szCs w:val="22"/>
              </w:rPr>
              <w:t xml:space="preserve">izmaiņas kārtējā gadā, salīdzinot ar </w:t>
            </w:r>
            <w:r w:rsidRPr="00316A1B">
              <w:rPr>
                <w:color w:val="auto"/>
                <w:sz w:val="22"/>
                <w:szCs w:val="22"/>
              </w:rPr>
              <w:lastRenderedPageBreak/>
              <w:t>valsts budžetu kārtējam gadam</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53060C" w14:textId="77777777" w:rsidR="005C5004" w:rsidRPr="00316A1B" w:rsidRDefault="005C5004" w:rsidP="000D2356">
            <w:pPr>
              <w:rPr>
                <w:color w:val="auto"/>
                <w:sz w:val="22"/>
                <w:szCs w:val="22"/>
              </w:rPr>
            </w:pPr>
            <w:r w:rsidRPr="00316A1B">
              <w:rPr>
                <w:color w:val="auto"/>
                <w:sz w:val="22"/>
                <w:szCs w:val="22"/>
              </w:rPr>
              <w:lastRenderedPageBreak/>
              <w:t xml:space="preserve">saskaņā ar vidēja termiņa </w:t>
            </w:r>
            <w:r w:rsidRPr="00316A1B">
              <w:rPr>
                <w:color w:val="auto"/>
                <w:sz w:val="22"/>
                <w:szCs w:val="22"/>
              </w:rPr>
              <w:lastRenderedPageBreak/>
              <w:t>budžeta ietvaru</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1BC837" w14:textId="77777777" w:rsidR="005C5004" w:rsidRPr="00316A1B" w:rsidRDefault="005C5004" w:rsidP="000D2356">
            <w:pPr>
              <w:rPr>
                <w:color w:val="auto"/>
                <w:sz w:val="22"/>
                <w:szCs w:val="22"/>
              </w:rPr>
            </w:pPr>
            <w:r w:rsidRPr="00316A1B">
              <w:rPr>
                <w:color w:val="auto"/>
                <w:sz w:val="22"/>
                <w:szCs w:val="22"/>
              </w:rPr>
              <w:lastRenderedPageBreak/>
              <w:t xml:space="preserve">izmaiņas, salīdzinot ar vidēja </w:t>
            </w:r>
            <w:r w:rsidRPr="00316A1B">
              <w:rPr>
                <w:color w:val="auto"/>
                <w:sz w:val="22"/>
                <w:szCs w:val="22"/>
              </w:rPr>
              <w:lastRenderedPageBreak/>
              <w:t>termiņa budžeta ietvaru n+1 gadam</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C8EE5" w14:textId="77777777" w:rsidR="005C5004" w:rsidRPr="00316A1B" w:rsidRDefault="005C5004" w:rsidP="000D2356">
            <w:pPr>
              <w:rPr>
                <w:color w:val="auto"/>
                <w:sz w:val="22"/>
                <w:szCs w:val="22"/>
              </w:rPr>
            </w:pPr>
            <w:r w:rsidRPr="00316A1B">
              <w:rPr>
                <w:color w:val="auto"/>
                <w:sz w:val="22"/>
                <w:szCs w:val="22"/>
              </w:rPr>
              <w:lastRenderedPageBreak/>
              <w:t xml:space="preserve">saskaņā ar vidēja termiņa </w:t>
            </w:r>
            <w:r w:rsidRPr="00316A1B">
              <w:rPr>
                <w:color w:val="auto"/>
                <w:sz w:val="22"/>
                <w:szCs w:val="22"/>
              </w:rPr>
              <w:lastRenderedPageBreak/>
              <w:t>budžeta ietvaru</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2A169" w14:textId="77777777" w:rsidR="005C5004" w:rsidRPr="00316A1B" w:rsidRDefault="005C5004" w:rsidP="000D2356">
            <w:pPr>
              <w:rPr>
                <w:color w:val="auto"/>
                <w:sz w:val="22"/>
                <w:szCs w:val="22"/>
              </w:rPr>
            </w:pPr>
            <w:r w:rsidRPr="00316A1B">
              <w:rPr>
                <w:color w:val="auto"/>
                <w:sz w:val="22"/>
                <w:szCs w:val="22"/>
              </w:rPr>
              <w:lastRenderedPageBreak/>
              <w:t xml:space="preserve">izmaiņas, salīdzinot ar vidēja </w:t>
            </w:r>
            <w:r w:rsidRPr="00316A1B">
              <w:rPr>
                <w:color w:val="auto"/>
                <w:sz w:val="22"/>
                <w:szCs w:val="22"/>
              </w:rPr>
              <w:lastRenderedPageBreak/>
              <w:t>termiņa budžeta ietvaru n+2 gadam</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71826" w14:textId="77777777" w:rsidR="005C5004" w:rsidRPr="00316A1B" w:rsidRDefault="005C5004" w:rsidP="000D2356">
            <w:pPr>
              <w:rPr>
                <w:color w:val="auto"/>
                <w:sz w:val="22"/>
                <w:szCs w:val="22"/>
              </w:rPr>
            </w:pPr>
            <w:r w:rsidRPr="00316A1B">
              <w:rPr>
                <w:color w:val="auto"/>
                <w:sz w:val="22"/>
                <w:szCs w:val="22"/>
              </w:rPr>
              <w:lastRenderedPageBreak/>
              <w:t xml:space="preserve">izmaiņas, salīdzinot ar vidēja </w:t>
            </w:r>
            <w:r w:rsidRPr="00316A1B">
              <w:rPr>
                <w:color w:val="auto"/>
                <w:sz w:val="22"/>
                <w:szCs w:val="22"/>
              </w:rPr>
              <w:lastRenderedPageBreak/>
              <w:t>termiņa budžeta ietvaru n+2 gadam</w:t>
            </w:r>
          </w:p>
        </w:tc>
      </w:tr>
      <w:tr w:rsidR="005C5004" w:rsidRPr="004836A6" w14:paraId="61B32B6A"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B50B44" w14:textId="77777777" w:rsidR="005C5004" w:rsidRPr="004836A6" w:rsidRDefault="005C5004" w:rsidP="000D2356">
            <w:pPr>
              <w:rPr>
                <w:color w:val="auto"/>
                <w:sz w:val="25"/>
                <w:szCs w:val="25"/>
              </w:rPr>
            </w:pPr>
            <w:r w:rsidRPr="004836A6">
              <w:rPr>
                <w:color w:val="auto"/>
                <w:sz w:val="25"/>
                <w:szCs w:val="25"/>
              </w:rPr>
              <w:lastRenderedPageBreak/>
              <w:t>1</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DF863" w14:textId="77777777" w:rsidR="005C5004" w:rsidRPr="004836A6" w:rsidRDefault="005C5004" w:rsidP="000D2356">
            <w:pPr>
              <w:rPr>
                <w:color w:val="auto"/>
                <w:sz w:val="25"/>
                <w:szCs w:val="25"/>
              </w:rPr>
            </w:pPr>
            <w:r w:rsidRPr="004836A6">
              <w:rPr>
                <w:color w:val="auto"/>
                <w:sz w:val="25"/>
                <w:szCs w:val="25"/>
              </w:rPr>
              <w:t>2</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EA8C8" w14:textId="77777777" w:rsidR="005C5004" w:rsidRPr="004836A6" w:rsidRDefault="005C5004" w:rsidP="000D2356">
            <w:pPr>
              <w:rPr>
                <w:color w:val="auto"/>
                <w:sz w:val="25"/>
                <w:szCs w:val="25"/>
              </w:rPr>
            </w:pPr>
            <w:r w:rsidRPr="004836A6">
              <w:rPr>
                <w:color w:val="auto"/>
                <w:sz w:val="25"/>
                <w:szCs w:val="25"/>
              </w:rPr>
              <w:t>3</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8DF10C" w14:textId="77777777" w:rsidR="005C5004" w:rsidRPr="004836A6" w:rsidRDefault="005C5004" w:rsidP="000D2356">
            <w:pPr>
              <w:rPr>
                <w:color w:val="auto"/>
                <w:sz w:val="25"/>
                <w:szCs w:val="25"/>
              </w:rPr>
            </w:pPr>
            <w:r w:rsidRPr="004836A6">
              <w:rPr>
                <w:color w:val="auto"/>
                <w:sz w:val="25"/>
                <w:szCs w:val="25"/>
              </w:rPr>
              <w:t>4</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544E1" w14:textId="77777777" w:rsidR="005C5004" w:rsidRPr="004836A6" w:rsidRDefault="005C5004" w:rsidP="000D2356">
            <w:pPr>
              <w:rPr>
                <w:color w:val="auto"/>
                <w:sz w:val="25"/>
                <w:szCs w:val="25"/>
              </w:rPr>
            </w:pPr>
            <w:r w:rsidRPr="004836A6">
              <w:rPr>
                <w:color w:val="auto"/>
                <w:sz w:val="25"/>
                <w:szCs w:val="25"/>
              </w:rPr>
              <w:t>5</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05EAE" w14:textId="77777777" w:rsidR="005C5004" w:rsidRPr="004836A6" w:rsidRDefault="005C5004" w:rsidP="000D2356">
            <w:pPr>
              <w:rPr>
                <w:color w:val="auto"/>
                <w:sz w:val="25"/>
                <w:szCs w:val="25"/>
              </w:rPr>
            </w:pPr>
            <w:r w:rsidRPr="004836A6">
              <w:rPr>
                <w:color w:val="auto"/>
                <w:sz w:val="25"/>
                <w:szCs w:val="25"/>
              </w:rPr>
              <w:t>6</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D051C" w14:textId="77777777" w:rsidR="005C5004" w:rsidRPr="004836A6" w:rsidRDefault="005C5004" w:rsidP="000D2356">
            <w:pPr>
              <w:rPr>
                <w:color w:val="auto"/>
                <w:sz w:val="25"/>
                <w:szCs w:val="25"/>
              </w:rPr>
            </w:pPr>
            <w:r w:rsidRPr="004836A6">
              <w:rPr>
                <w:color w:val="auto"/>
                <w:sz w:val="25"/>
                <w:szCs w:val="25"/>
              </w:rPr>
              <w:t>7</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8A0372" w14:textId="77777777" w:rsidR="005C5004" w:rsidRPr="004836A6" w:rsidRDefault="005C5004" w:rsidP="000D2356">
            <w:pPr>
              <w:rPr>
                <w:color w:val="auto"/>
                <w:sz w:val="25"/>
                <w:szCs w:val="25"/>
              </w:rPr>
            </w:pPr>
            <w:r w:rsidRPr="004836A6">
              <w:rPr>
                <w:color w:val="auto"/>
                <w:sz w:val="25"/>
                <w:szCs w:val="25"/>
              </w:rPr>
              <w:t>8</w:t>
            </w:r>
          </w:p>
        </w:tc>
      </w:tr>
      <w:tr w:rsidR="005C5004" w:rsidRPr="004836A6" w14:paraId="2F05EBE3"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1957D37" w14:textId="77777777" w:rsidR="005C5004" w:rsidRPr="004836A6" w:rsidRDefault="005C5004" w:rsidP="000D2356">
            <w:pPr>
              <w:rPr>
                <w:b/>
                <w:color w:val="auto"/>
                <w:sz w:val="25"/>
                <w:szCs w:val="25"/>
              </w:rPr>
            </w:pPr>
            <w:r w:rsidRPr="004836A6">
              <w:rPr>
                <w:b/>
                <w:color w:val="auto"/>
                <w:sz w:val="25"/>
                <w:szCs w:val="25"/>
              </w:rPr>
              <w:t>1. Budžeta ieņēmumi</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F17C8C" w14:textId="77777777" w:rsidR="005C5004" w:rsidRPr="00316A1B" w:rsidRDefault="005C5004" w:rsidP="000D2356">
            <w:pPr>
              <w:rPr>
                <w:b/>
                <w:color w:val="auto"/>
                <w:sz w:val="20"/>
                <w:szCs w:val="20"/>
              </w:rPr>
            </w:pPr>
            <w:r w:rsidRPr="00316A1B">
              <w:rPr>
                <w:b/>
                <w:color w:val="auto"/>
                <w:sz w:val="20"/>
                <w:szCs w:val="20"/>
              </w:rPr>
              <w:t>261 904 860</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43F156" w14:textId="77777777" w:rsidR="005C5004" w:rsidRPr="00316A1B" w:rsidRDefault="005C5004" w:rsidP="000D2356">
            <w:pPr>
              <w:rPr>
                <w:b/>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8E27FD" w14:textId="77777777" w:rsidR="005C5004" w:rsidRPr="00316A1B" w:rsidRDefault="005C5004" w:rsidP="000D2356">
            <w:pPr>
              <w:rPr>
                <w:b/>
                <w:color w:val="auto"/>
                <w:sz w:val="20"/>
                <w:szCs w:val="20"/>
              </w:rPr>
            </w:pPr>
            <w:r w:rsidRPr="00316A1B">
              <w:rPr>
                <w:b/>
                <w:color w:val="auto"/>
                <w:sz w:val="20"/>
                <w:szCs w:val="20"/>
              </w:rPr>
              <w:t>191 212 886</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A0F425" w14:textId="77777777" w:rsidR="005C5004" w:rsidRPr="00316A1B" w:rsidRDefault="005C5004" w:rsidP="000D2356">
            <w:pPr>
              <w:rPr>
                <w:b/>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C3041B" w14:textId="77777777" w:rsidR="005C5004" w:rsidRPr="00316A1B" w:rsidRDefault="005C5004" w:rsidP="000D2356">
            <w:pPr>
              <w:rPr>
                <w:b/>
                <w:color w:val="auto"/>
                <w:sz w:val="20"/>
                <w:szCs w:val="20"/>
              </w:rPr>
            </w:pPr>
            <w:r w:rsidRPr="00316A1B">
              <w:rPr>
                <w:b/>
                <w:color w:val="auto"/>
                <w:sz w:val="20"/>
                <w:szCs w:val="20"/>
              </w:rPr>
              <w:t>191 266 487</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8189C1" w14:textId="77777777" w:rsidR="005C5004" w:rsidRPr="00316A1B" w:rsidRDefault="005C5004" w:rsidP="000D2356">
            <w:pPr>
              <w:rPr>
                <w:b/>
                <w:color w:val="auto"/>
                <w:sz w:val="20"/>
                <w:szCs w:val="20"/>
              </w:rPr>
            </w:pP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E7405" w14:textId="77777777" w:rsidR="005C5004" w:rsidRPr="00316A1B" w:rsidRDefault="005C5004" w:rsidP="000D2356">
            <w:pPr>
              <w:rPr>
                <w:b/>
                <w:color w:val="auto"/>
                <w:sz w:val="20"/>
                <w:szCs w:val="20"/>
              </w:rPr>
            </w:pPr>
            <w:r w:rsidRPr="00316A1B">
              <w:rPr>
                <w:b/>
                <w:color w:val="auto"/>
                <w:sz w:val="20"/>
                <w:szCs w:val="20"/>
              </w:rPr>
              <w:t> </w:t>
            </w:r>
          </w:p>
        </w:tc>
      </w:tr>
      <w:tr w:rsidR="005C5004" w:rsidRPr="004836A6" w14:paraId="458260E8"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113737EA" w14:textId="77777777" w:rsidR="005C5004" w:rsidRPr="004836A6" w:rsidRDefault="005C5004" w:rsidP="000D2356">
            <w:pPr>
              <w:rPr>
                <w:color w:val="auto"/>
                <w:sz w:val="25"/>
                <w:szCs w:val="25"/>
              </w:rPr>
            </w:pPr>
            <w:r w:rsidRPr="004836A6">
              <w:rPr>
                <w:color w:val="auto"/>
                <w:sz w:val="25"/>
                <w:szCs w:val="25"/>
              </w:rPr>
              <w:t>1.1. valsts pamatbudžets, tai skaitā ieņēmumi no maksas pakalpojumiem un citi pašu ieņēmumi</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68B453"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DA7CFD"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F9CF87"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9B2AD0"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C62CF3"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B759BF" w14:textId="77777777" w:rsidR="005C5004" w:rsidRPr="00316A1B" w:rsidRDefault="005C5004" w:rsidP="000D2356">
            <w:pPr>
              <w:rPr>
                <w:color w:val="auto"/>
                <w:sz w:val="20"/>
                <w:szCs w:val="20"/>
              </w:rPr>
            </w:pP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FAA46A" w14:textId="77777777" w:rsidR="005C5004" w:rsidRPr="00316A1B" w:rsidRDefault="005C5004" w:rsidP="000D2356">
            <w:pPr>
              <w:rPr>
                <w:color w:val="auto"/>
                <w:sz w:val="20"/>
                <w:szCs w:val="20"/>
              </w:rPr>
            </w:pPr>
            <w:r w:rsidRPr="00316A1B">
              <w:rPr>
                <w:color w:val="auto"/>
                <w:sz w:val="20"/>
                <w:szCs w:val="20"/>
              </w:rPr>
              <w:t> </w:t>
            </w:r>
          </w:p>
        </w:tc>
      </w:tr>
      <w:tr w:rsidR="005C5004" w:rsidRPr="004836A6" w14:paraId="70E7A4A7"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tcPr>
          <w:p w14:paraId="35CC7B6C" w14:textId="77777777" w:rsidR="005C5004" w:rsidRPr="004836A6" w:rsidRDefault="005C5004" w:rsidP="000D2356">
            <w:pPr>
              <w:rPr>
                <w:color w:val="auto"/>
                <w:sz w:val="25"/>
                <w:szCs w:val="25"/>
              </w:rPr>
            </w:pPr>
            <w:r w:rsidRPr="004836A6">
              <w:rPr>
                <w:color w:val="auto"/>
                <w:sz w:val="25"/>
                <w:szCs w:val="25"/>
              </w:rPr>
              <w:t>33.15.00</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A7C198" w14:textId="77777777" w:rsidR="005C5004" w:rsidRPr="00316A1B" w:rsidRDefault="005C5004" w:rsidP="000D2356">
            <w:pPr>
              <w:rPr>
                <w:color w:val="auto"/>
                <w:sz w:val="20"/>
                <w:szCs w:val="20"/>
              </w:rPr>
            </w:pPr>
            <w:r w:rsidRPr="00316A1B">
              <w:rPr>
                <w:color w:val="auto"/>
                <w:sz w:val="20"/>
                <w:szCs w:val="20"/>
              </w:rPr>
              <w:t>36 376 569</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BA9226"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85A2E9" w14:textId="77777777" w:rsidR="005C5004" w:rsidRPr="00316A1B" w:rsidRDefault="005C5004" w:rsidP="000D2356">
            <w:pPr>
              <w:rPr>
                <w:color w:val="auto"/>
                <w:sz w:val="20"/>
                <w:szCs w:val="20"/>
              </w:rPr>
            </w:pPr>
            <w:r w:rsidRPr="00316A1B">
              <w:rPr>
                <w:color w:val="auto"/>
                <w:sz w:val="20"/>
                <w:szCs w:val="20"/>
              </w:rPr>
              <w:t>33 403 557</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C78130"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B3DF49" w14:textId="77777777" w:rsidR="005C5004" w:rsidRPr="00316A1B" w:rsidRDefault="005C5004" w:rsidP="000D2356">
            <w:pPr>
              <w:rPr>
                <w:color w:val="auto"/>
                <w:sz w:val="20"/>
                <w:szCs w:val="20"/>
              </w:rPr>
            </w:pPr>
            <w:r w:rsidRPr="00316A1B">
              <w:rPr>
                <w:color w:val="auto"/>
                <w:sz w:val="20"/>
                <w:szCs w:val="20"/>
              </w:rPr>
              <w:t>33 403 557</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89CCFB" w14:textId="77777777" w:rsidR="005C5004" w:rsidRPr="00316A1B" w:rsidRDefault="005C5004" w:rsidP="000D2356">
            <w:pPr>
              <w:rPr>
                <w:color w:val="auto"/>
                <w:sz w:val="20"/>
                <w:szCs w:val="20"/>
              </w:rPr>
            </w:pP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89B4BD" w14:textId="77777777" w:rsidR="005C5004" w:rsidRPr="00316A1B" w:rsidRDefault="005C5004" w:rsidP="000D2356">
            <w:pPr>
              <w:rPr>
                <w:color w:val="auto"/>
                <w:sz w:val="20"/>
                <w:szCs w:val="20"/>
              </w:rPr>
            </w:pPr>
          </w:p>
        </w:tc>
      </w:tr>
      <w:tr w:rsidR="005C5004" w:rsidRPr="004836A6" w14:paraId="7BF5BF11"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tcPr>
          <w:p w14:paraId="01A48D63" w14:textId="77777777" w:rsidR="005C5004" w:rsidRPr="004836A6" w:rsidRDefault="005C5004" w:rsidP="000D2356">
            <w:pPr>
              <w:rPr>
                <w:color w:val="auto"/>
                <w:sz w:val="25"/>
                <w:szCs w:val="25"/>
              </w:rPr>
            </w:pPr>
            <w:r w:rsidRPr="004836A6">
              <w:rPr>
                <w:color w:val="auto"/>
                <w:sz w:val="25"/>
                <w:szCs w:val="25"/>
              </w:rPr>
              <w:t>33.16.00</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D0C60A" w14:textId="77777777" w:rsidR="005C5004" w:rsidRPr="00316A1B" w:rsidRDefault="005C5004" w:rsidP="000D2356">
            <w:pPr>
              <w:rPr>
                <w:color w:val="auto"/>
                <w:sz w:val="20"/>
                <w:szCs w:val="20"/>
              </w:rPr>
            </w:pPr>
            <w:r w:rsidRPr="00316A1B">
              <w:rPr>
                <w:color w:val="auto"/>
                <w:sz w:val="20"/>
                <w:szCs w:val="20"/>
              </w:rPr>
              <w:t>225 528 291</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4A3485"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CD8ADA" w14:textId="77777777" w:rsidR="005C5004" w:rsidRPr="00316A1B" w:rsidRDefault="005C5004" w:rsidP="000D2356">
            <w:pPr>
              <w:rPr>
                <w:color w:val="auto"/>
                <w:sz w:val="20"/>
                <w:szCs w:val="20"/>
              </w:rPr>
            </w:pPr>
            <w:r w:rsidRPr="00316A1B">
              <w:rPr>
                <w:color w:val="auto"/>
                <w:sz w:val="20"/>
                <w:szCs w:val="20"/>
              </w:rPr>
              <w:t>157 809 329</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5495B0"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FF63E1" w14:textId="77777777" w:rsidR="005C5004" w:rsidRPr="00316A1B" w:rsidRDefault="005C5004" w:rsidP="000D2356">
            <w:pPr>
              <w:rPr>
                <w:color w:val="auto"/>
                <w:sz w:val="20"/>
                <w:szCs w:val="20"/>
              </w:rPr>
            </w:pPr>
            <w:r w:rsidRPr="00316A1B">
              <w:rPr>
                <w:color w:val="auto"/>
                <w:sz w:val="20"/>
                <w:szCs w:val="20"/>
              </w:rPr>
              <w:t>157 862 930</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A7964A" w14:textId="77777777" w:rsidR="005C5004" w:rsidRPr="00316A1B" w:rsidRDefault="005C5004" w:rsidP="000D2356">
            <w:pPr>
              <w:rPr>
                <w:color w:val="auto"/>
                <w:sz w:val="20"/>
                <w:szCs w:val="20"/>
              </w:rPr>
            </w:pP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3D6FC6" w14:textId="77777777" w:rsidR="005C5004" w:rsidRPr="00316A1B" w:rsidRDefault="005C5004" w:rsidP="000D2356">
            <w:pPr>
              <w:rPr>
                <w:color w:val="auto"/>
                <w:sz w:val="20"/>
                <w:szCs w:val="20"/>
              </w:rPr>
            </w:pPr>
          </w:p>
        </w:tc>
      </w:tr>
      <w:tr w:rsidR="005C5004" w:rsidRPr="004836A6" w14:paraId="3F72608A"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1DAFDB99" w14:textId="77777777" w:rsidR="005C5004" w:rsidRPr="004836A6" w:rsidRDefault="005C5004" w:rsidP="000D2356">
            <w:pPr>
              <w:rPr>
                <w:color w:val="auto"/>
                <w:sz w:val="25"/>
                <w:szCs w:val="25"/>
              </w:rPr>
            </w:pPr>
            <w:r w:rsidRPr="004836A6">
              <w:rPr>
                <w:color w:val="auto"/>
                <w:sz w:val="25"/>
                <w:szCs w:val="25"/>
              </w:rPr>
              <w:t>1.2. valsts speciālais budžets</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885020"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6C9C5" w14:textId="77777777" w:rsidR="005C5004" w:rsidRPr="00316A1B" w:rsidRDefault="005C5004" w:rsidP="000D2356">
            <w:pPr>
              <w:rPr>
                <w:color w:val="auto"/>
                <w:sz w:val="20"/>
                <w:szCs w:val="20"/>
              </w:rPr>
            </w:pPr>
            <w:r w:rsidRPr="00316A1B">
              <w:rPr>
                <w:color w:val="auto"/>
                <w:sz w:val="20"/>
                <w:szCs w:val="20"/>
              </w:rPr>
              <w:t> </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276501"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ABA6C" w14:textId="77777777" w:rsidR="005C5004" w:rsidRPr="00316A1B" w:rsidRDefault="005C5004" w:rsidP="000D2356">
            <w:pPr>
              <w:rPr>
                <w:color w:val="auto"/>
                <w:sz w:val="20"/>
                <w:szCs w:val="20"/>
              </w:rPr>
            </w:pPr>
            <w:r w:rsidRPr="00316A1B">
              <w:rPr>
                <w:color w:val="auto"/>
                <w:sz w:val="20"/>
                <w:szCs w:val="20"/>
              </w:rPr>
              <w:t> </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E79A8"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DF342" w14:textId="77777777" w:rsidR="005C5004" w:rsidRPr="00316A1B" w:rsidRDefault="005C5004" w:rsidP="000D2356">
            <w:pPr>
              <w:rPr>
                <w:color w:val="auto"/>
                <w:sz w:val="20"/>
                <w:szCs w:val="20"/>
              </w:rPr>
            </w:pPr>
            <w:r w:rsidRPr="00316A1B">
              <w:rPr>
                <w:color w:val="auto"/>
                <w:sz w:val="20"/>
                <w:szCs w:val="20"/>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E9DA8E" w14:textId="77777777" w:rsidR="005C5004" w:rsidRPr="00316A1B" w:rsidRDefault="005C5004" w:rsidP="000D2356">
            <w:pPr>
              <w:rPr>
                <w:color w:val="auto"/>
                <w:sz w:val="20"/>
                <w:szCs w:val="20"/>
              </w:rPr>
            </w:pPr>
            <w:r w:rsidRPr="00316A1B">
              <w:rPr>
                <w:color w:val="auto"/>
                <w:sz w:val="20"/>
                <w:szCs w:val="20"/>
              </w:rPr>
              <w:t> </w:t>
            </w:r>
          </w:p>
        </w:tc>
      </w:tr>
      <w:tr w:rsidR="005C5004" w:rsidRPr="004836A6" w14:paraId="07702F7A"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21EE57CA" w14:textId="77777777" w:rsidR="005C5004" w:rsidRPr="004836A6" w:rsidRDefault="005C5004" w:rsidP="000D2356">
            <w:pPr>
              <w:rPr>
                <w:color w:val="auto"/>
                <w:sz w:val="25"/>
                <w:szCs w:val="25"/>
              </w:rPr>
            </w:pPr>
            <w:r w:rsidRPr="004836A6">
              <w:rPr>
                <w:color w:val="auto"/>
                <w:sz w:val="25"/>
                <w:szCs w:val="25"/>
              </w:rPr>
              <w:t>1.3. pašvaldību budžets</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AAA910"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4ABFE" w14:textId="77777777" w:rsidR="005C5004" w:rsidRPr="00316A1B" w:rsidRDefault="005C5004" w:rsidP="000D2356">
            <w:pPr>
              <w:rPr>
                <w:color w:val="auto"/>
                <w:sz w:val="20"/>
                <w:szCs w:val="20"/>
              </w:rPr>
            </w:pPr>
            <w:r w:rsidRPr="00316A1B">
              <w:rPr>
                <w:color w:val="auto"/>
                <w:sz w:val="20"/>
                <w:szCs w:val="20"/>
              </w:rPr>
              <w:t> </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E71FAA"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6A847" w14:textId="77777777" w:rsidR="005C5004" w:rsidRPr="00316A1B" w:rsidRDefault="005C5004" w:rsidP="000D2356">
            <w:pPr>
              <w:rPr>
                <w:color w:val="auto"/>
                <w:sz w:val="20"/>
                <w:szCs w:val="20"/>
              </w:rPr>
            </w:pPr>
            <w:r w:rsidRPr="00316A1B">
              <w:rPr>
                <w:color w:val="auto"/>
                <w:sz w:val="20"/>
                <w:szCs w:val="20"/>
              </w:rPr>
              <w:t> </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29EBC"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05E59" w14:textId="77777777" w:rsidR="005C5004" w:rsidRPr="00316A1B" w:rsidRDefault="005C5004" w:rsidP="000D2356">
            <w:pPr>
              <w:rPr>
                <w:color w:val="auto"/>
                <w:sz w:val="20"/>
                <w:szCs w:val="20"/>
              </w:rPr>
            </w:pPr>
            <w:r w:rsidRPr="00316A1B">
              <w:rPr>
                <w:color w:val="auto"/>
                <w:sz w:val="20"/>
                <w:szCs w:val="20"/>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0642F" w14:textId="77777777" w:rsidR="005C5004" w:rsidRPr="00316A1B" w:rsidRDefault="005C5004" w:rsidP="000D2356">
            <w:pPr>
              <w:rPr>
                <w:color w:val="auto"/>
                <w:sz w:val="20"/>
                <w:szCs w:val="20"/>
              </w:rPr>
            </w:pPr>
            <w:r w:rsidRPr="00316A1B">
              <w:rPr>
                <w:color w:val="auto"/>
                <w:sz w:val="20"/>
                <w:szCs w:val="20"/>
              </w:rPr>
              <w:t> </w:t>
            </w:r>
          </w:p>
        </w:tc>
      </w:tr>
      <w:tr w:rsidR="005C5004" w:rsidRPr="004836A6" w14:paraId="02292B31"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75DA0AF9" w14:textId="77777777" w:rsidR="005C5004" w:rsidRPr="004836A6" w:rsidRDefault="005C5004" w:rsidP="000D2356">
            <w:pPr>
              <w:rPr>
                <w:b/>
                <w:color w:val="auto"/>
                <w:sz w:val="25"/>
                <w:szCs w:val="25"/>
              </w:rPr>
            </w:pPr>
            <w:r w:rsidRPr="004836A6">
              <w:rPr>
                <w:b/>
                <w:color w:val="auto"/>
                <w:sz w:val="25"/>
                <w:szCs w:val="25"/>
              </w:rPr>
              <w:t>2. Budžeta izdevumi</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E3E060" w14:textId="77777777" w:rsidR="005C5004" w:rsidRPr="00316A1B" w:rsidRDefault="005C5004" w:rsidP="000D2356">
            <w:pPr>
              <w:rPr>
                <w:b/>
                <w:color w:val="auto"/>
                <w:sz w:val="20"/>
                <w:szCs w:val="20"/>
              </w:rPr>
            </w:pPr>
            <w:r w:rsidRPr="00316A1B">
              <w:rPr>
                <w:b/>
                <w:color w:val="auto"/>
                <w:sz w:val="20"/>
                <w:szCs w:val="20"/>
              </w:rPr>
              <w:t>261 904 860</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23AEB2" w14:textId="77777777" w:rsidR="005C5004" w:rsidRPr="00316A1B" w:rsidRDefault="005C5004" w:rsidP="000D2356">
            <w:pPr>
              <w:rPr>
                <w:b/>
                <w:color w:val="auto"/>
                <w:sz w:val="20"/>
                <w:szCs w:val="20"/>
              </w:rPr>
            </w:pPr>
            <w:r w:rsidRPr="00316A1B">
              <w:rPr>
                <w:b/>
                <w:color w:val="auto"/>
                <w:sz w:val="20"/>
                <w:szCs w:val="20"/>
              </w:rPr>
              <w:t>0</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F1CB1E" w14:textId="77777777" w:rsidR="005C5004" w:rsidRPr="00316A1B" w:rsidRDefault="005C5004" w:rsidP="000D2356">
            <w:pPr>
              <w:rPr>
                <w:b/>
                <w:color w:val="auto"/>
                <w:sz w:val="20"/>
                <w:szCs w:val="20"/>
              </w:rPr>
            </w:pPr>
            <w:r w:rsidRPr="00316A1B">
              <w:rPr>
                <w:b/>
                <w:color w:val="auto"/>
                <w:sz w:val="20"/>
                <w:szCs w:val="20"/>
              </w:rPr>
              <w:t>191 212 886</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09F952" w14:textId="77777777" w:rsidR="005C5004" w:rsidRPr="00316A1B" w:rsidRDefault="005C5004" w:rsidP="000D2356">
            <w:pPr>
              <w:rPr>
                <w:b/>
                <w:color w:val="auto"/>
                <w:sz w:val="20"/>
                <w:szCs w:val="20"/>
              </w:rPr>
            </w:pPr>
            <w:r w:rsidRPr="00316A1B">
              <w:rPr>
                <w:b/>
                <w:color w:val="auto"/>
                <w:sz w:val="20"/>
                <w:szCs w:val="20"/>
              </w:rPr>
              <w:t>+39 143</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AE73D7" w14:textId="77777777" w:rsidR="005C5004" w:rsidRPr="00316A1B" w:rsidRDefault="005C5004" w:rsidP="000D2356">
            <w:pPr>
              <w:rPr>
                <w:b/>
                <w:color w:val="auto"/>
                <w:sz w:val="20"/>
                <w:szCs w:val="20"/>
              </w:rPr>
            </w:pPr>
            <w:r w:rsidRPr="00316A1B">
              <w:rPr>
                <w:b/>
                <w:color w:val="auto"/>
                <w:sz w:val="20"/>
                <w:szCs w:val="20"/>
              </w:rPr>
              <w:t>191 266 487</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9EC9A9" w14:textId="77777777" w:rsidR="005C5004" w:rsidRPr="00316A1B" w:rsidRDefault="005C5004" w:rsidP="000D2356">
            <w:pPr>
              <w:rPr>
                <w:b/>
                <w:color w:val="auto"/>
                <w:sz w:val="20"/>
                <w:szCs w:val="20"/>
              </w:rPr>
            </w:pPr>
            <w:r w:rsidRPr="00316A1B">
              <w:rPr>
                <w:b/>
                <w:color w:val="auto"/>
                <w:sz w:val="20"/>
                <w:szCs w:val="20"/>
              </w:rPr>
              <w:t>+39 143</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AB27F8" w14:textId="77777777" w:rsidR="005C5004" w:rsidRPr="00316A1B" w:rsidRDefault="005C5004" w:rsidP="000D2356">
            <w:pPr>
              <w:rPr>
                <w:b/>
                <w:color w:val="auto"/>
                <w:sz w:val="20"/>
                <w:szCs w:val="20"/>
              </w:rPr>
            </w:pPr>
            <w:r w:rsidRPr="00316A1B">
              <w:rPr>
                <w:b/>
                <w:color w:val="auto"/>
                <w:sz w:val="20"/>
                <w:szCs w:val="20"/>
              </w:rPr>
              <w:t>+39 143</w:t>
            </w:r>
          </w:p>
        </w:tc>
      </w:tr>
      <w:tr w:rsidR="005C5004" w:rsidRPr="004836A6" w14:paraId="400A271A"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006A9EF7" w14:textId="77777777" w:rsidR="005C5004" w:rsidRPr="004836A6" w:rsidRDefault="005C5004" w:rsidP="000D2356">
            <w:pPr>
              <w:rPr>
                <w:color w:val="auto"/>
                <w:sz w:val="25"/>
                <w:szCs w:val="25"/>
              </w:rPr>
            </w:pPr>
            <w:r w:rsidRPr="004836A6">
              <w:rPr>
                <w:color w:val="auto"/>
                <w:sz w:val="25"/>
                <w:szCs w:val="25"/>
              </w:rPr>
              <w:t>2.1. valsts pamatbudžets</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612B00"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BB4B20"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3DF72D"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40629F"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144F8C"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3C62E8" w14:textId="77777777" w:rsidR="005C5004" w:rsidRPr="00316A1B" w:rsidRDefault="005C5004" w:rsidP="000D2356">
            <w:pPr>
              <w:rPr>
                <w:color w:val="auto"/>
                <w:sz w:val="20"/>
                <w:szCs w:val="20"/>
              </w:rPr>
            </w:pP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AB4F33" w14:textId="77777777" w:rsidR="005C5004" w:rsidRPr="00316A1B" w:rsidRDefault="005C5004" w:rsidP="000D2356">
            <w:pPr>
              <w:rPr>
                <w:color w:val="auto"/>
                <w:sz w:val="20"/>
                <w:szCs w:val="20"/>
              </w:rPr>
            </w:pPr>
          </w:p>
        </w:tc>
      </w:tr>
      <w:tr w:rsidR="005C5004" w:rsidRPr="004836A6" w14:paraId="6351D271"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tcPr>
          <w:p w14:paraId="608AE689" w14:textId="77777777" w:rsidR="005C5004" w:rsidRPr="004836A6" w:rsidRDefault="005C5004" w:rsidP="000D2356">
            <w:pPr>
              <w:rPr>
                <w:color w:val="auto"/>
                <w:sz w:val="25"/>
                <w:szCs w:val="25"/>
              </w:rPr>
            </w:pPr>
            <w:r w:rsidRPr="004836A6">
              <w:rPr>
                <w:color w:val="auto"/>
                <w:sz w:val="25"/>
                <w:szCs w:val="25"/>
              </w:rPr>
              <w:t>33.15.00</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BB0AA8" w14:textId="77777777" w:rsidR="005C5004" w:rsidRPr="00316A1B" w:rsidRDefault="005C5004" w:rsidP="000D2356">
            <w:pPr>
              <w:rPr>
                <w:color w:val="auto"/>
                <w:sz w:val="20"/>
                <w:szCs w:val="20"/>
              </w:rPr>
            </w:pPr>
            <w:r w:rsidRPr="00316A1B">
              <w:rPr>
                <w:color w:val="auto"/>
                <w:sz w:val="20"/>
                <w:szCs w:val="20"/>
              </w:rPr>
              <w:t>36 376 569</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94B6A8"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302CE4" w14:textId="77777777" w:rsidR="005C5004" w:rsidRPr="00316A1B" w:rsidRDefault="005C5004" w:rsidP="000D2356">
            <w:pPr>
              <w:rPr>
                <w:color w:val="auto"/>
                <w:sz w:val="20"/>
                <w:szCs w:val="20"/>
              </w:rPr>
            </w:pPr>
            <w:r w:rsidRPr="00316A1B">
              <w:rPr>
                <w:color w:val="auto"/>
                <w:sz w:val="20"/>
                <w:szCs w:val="20"/>
              </w:rPr>
              <w:t>33 403 557</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36E2D8" w14:textId="77777777" w:rsidR="005C5004" w:rsidRPr="00316A1B" w:rsidRDefault="005C5004" w:rsidP="000D2356">
            <w:pPr>
              <w:rPr>
                <w:color w:val="auto"/>
                <w:sz w:val="20"/>
                <w:szCs w:val="20"/>
              </w:rPr>
            </w:pPr>
            <w:r w:rsidRPr="00316A1B">
              <w:rPr>
                <w:color w:val="auto"/>
                <w:sz w:val="20"/>
                <w:szCs w:val="20"/>
              </w:rPr>
              <w:t>1 985</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A96543" w14:textId="77777777" w:rsidR="005C5004" w:rsidRPr="00316A1B" w:rsidRDefault="005C5004" w:rsidP="000D2356">
            <w:pPr>
              <w:rPr>
                <w:color w:val="auto"/>
                <w:sz w:val="20"/>
                <w:szCs w:val="20"/>
              </w:rPr>
            </w:pPr>
            <w:r w:rsidRPr="00316A1B">
              <w:rPr>
                <w:color w:val="auto"/>
                <w:sz w:val="20"/>
                <w:szCs w:val="20"/>
              </w:rPr>
              <w:t>33 403 557</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9EB1A7" w14:textId="77777777" w:rsidR="005C5004" w:rsidRPr="00316A1B" w:rsidRDefault="005C5004" w:rsidP="000D2356">
            <w:pPr>
              <w:rPr>
                <w:color w:val="auto"/>
                <w:sz w:val="20"/>
                <w:szCs w:val="20"/>
              </w:rPr>
            </w:pPr>
            <w:r w:rsidRPr="00316A1B">
              <w:rPr>
                <w:color w:val="auto"/>
                <w:sz w:val="20"/>
                <w:szCs w:val="20"/>
              </w:rPr>
              <w:t>1 985</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12263D" w14:textId="77777777" w:rsidR="005C5004" w:rsidRPr="00316A1B" w:rsidRDefault="005C5004" w:rsidP="000D2356">
            <w:pPr>
              <w:rPr>
                <w:color w:val="auto"/>
                <w:sz w:val="20"/>
                <w:szCs w:val="20"/>
              </w:rPr>
            </w:pPr>
            <w:r w:rsidRPr="00316A1B">
              <w:rPr>
                <w:color w:val="auto"/>
                <w:sz w:val="20"/>
                <w:szCs w:val="20"/>
              </w:rPr>
              <w:t>1 985</w:t>
            </w:r>
          </w:p>
        </w:tc>
      </w:tr>
      <w:tr w:rsidR="005C5004" w:rsidRPr="004836A6" w14:paraId="2572FEBF"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tcPr>
          <w:p w14:paraId="5503228D" w14:textId="77777777" w:rsidR="005C5004" w:rsidRPr="004836A6" w:rsidRDefault="005C5004" w:rsidP="000D2356">
            <w:pPr>
              <w:rPr>
                <w:color w:val="auto"/>
                <w:sz w:val="25"/>
                <w:szCs w:val="25"/>
              </w:rPr>
            </w:pPr>
            <w:r w:rsidRPr="004836A6">
              <w:rPr>
                <w:color w:val="auto"/>
                <w:sz w:val="25"/>
                <w:szCs w:val="25"/>
              </w:rPr>
              <w:t>33.16.00</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514B78" w14:textId="77777777" w:rsidR="005C5004" w:rsidRPr="00316A1B" w:rsidRDefault="005C5004" w:rsidP="000D2356">
            <w:pPr>
              <w:rPr>
                <w:color w:val="auto"/>
                <w:sz w:val="20"/>
                <w:szCs w:val="20"/>
              </w:rPr>
            </w:pPr>
            <w:r w:rsidRPr="00316A1B">
              <w:rPr>
                <w:color w:val="auto"/>
                <w:sz w:val="20"/>
                <w:szCs w:val="20"/>
              </w:rPr>
              <w:t>225 528 291</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C92909"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383495" w14:textId="77777777" w:rsidR="005C5004" w:rsidRPr="00316A1B" w:rsidRDefault="005C5004" w:rsidP="000D2356">
            <w:pPr>
              <w:rPr>
                <w:color w:val="auto"/>
                <w:sz w:val="20"/>
                <w:szCs w:val="20"/>
              </w:rPr>
            </w:pPr>
            <w:r w:rsidRPr="00316A1B">
              <w:rPr>
                <w:color w:val="auto"/>
                <w:sz w:val="20"/>
                <w:szCs w:val="20"/>
              </w:rPr>
              <w:t>157 809 329</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460AC6" w14:textId="77777777" w:rsidR="005C5004" w:rsidRPr="00316A1B" w:rsidRDefault="005C5004" w:rsidP="000D2356">
            <w:pPr>
              <w:rPr>
                <w:color w:val="auto"/>
                <w:sz w:val="20"/>
                <w:szCs w:val="20"/>
              </w:rPr>
            </w:pPr>
            <w:r w:rsidRPr="00316A1B">
              <w:rPr>
                <w:color w:val="auto"/>
                <w:sz w:val="20"/>
                <w:szCs w:val="20"/>
              </w:rPr>
              <w:t>37 158</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18352F" w14:textId="77777777" w:rsidR="005C5004" w:rsidRPr="00316A1B" w:rsidRDefault="005C5004" w:rsidP="000D2356">
            <w:pPr>
              <w:rPr>
                <w:color w:val="auto"/>
                <w:sz w:val="20"/>
                <w:szCs w:val="20"/>
              </w:rPr>
            </w:pPr>
            <w:r w:rsidRPr="00316A1B">
              <w:rPr>
                <w:color w:val="auto"/>
                <w:sz w:val="20"/>
                <w:szCs w:val="20"/>
              </w:rPr>
              <w:t>157 862 930</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BD0B16" w14:textId="77777777" w:rsidR="005C5004" w:rsidRPr="00316A1B" w:rsidRDefault="005C5004" w:rsidP="000D2356">
            <w:pPr>
              <w:rPr>
                <w:color w:val="auto"/>
                <w:sz w:val="20"/>
                <w:szCs w:val="20"/>
              </w:rPr>
            </w:pPr>
            <w:r w:rsidRPr="00316A1B">
              <w:rPr>
                <w:color w:val="auto"/>
                <w:sz w:val="20"/>
                <w:szCs w:val="20"/>
              </w:rPr>
              <w:t>37 158</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5F41FB" w14:textId="77777777" w:rsidR="005C5004" w:rsidRPr="00316A1B" w:rsidRDefault="005C5004" w:rsidP="000D2356">
            <w:pPr>
              <w:rPr>
                <w:color w:val="auto"/>
                <w:sz w:val="20"/>
                <w:szCs w:val="20"/>
              </w:rPr>
            </w:pPr>
            <w:r w:rsidRPr="00316A1B">
              <w:rPr>
                <w:color w:val="auto"/>
                <w:sz w:val="20"/>
                <w:szCs w:val="20"/>
              </w:rPr>
              <w:t>37 158</w:t>
            </w:r>
          </w:p>
        </w:tc>
      </w:tr>
      <w:tr w:rsidR="005C5004" w:rsidRPr="004836A6" w14:paraId="3A1DD497"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47A3A094" w14:textId="77777777" w:rsidR="005C5004" w:rsidRPr="004836A6" w:rsidRDefault="005C5004" w:rsidP="000D2356">
            <w:pPr>
              <w:rPr>
                <w:color w:val="auto"/>
                <w:sz w:val="25"/>
                <w:szCs w:val="25"/>
              </w:rPr>
            </w:pPr>
            <w:r w:rsidRPr="004836A6">
              <w:rPr>
                <w:color w:val="auto"/>
                <w:sz w:val="25"/>
                <w:szCs w:val="25"/>
              </w:rPr>
              <w:t>2.2. valsts speciālais budžets</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543AA2"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5A5622"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A724CD"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3BAD21"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86DB0F6"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2AD5BD" w14:textId="77777777" w:rsidR="005C5004" w:rsidRPr="00316A1B" w:rsidRDefault="005C5004" w:rsidP="000D2356">
            <w:pPr>
              <w:rPr>
                <w:color w:val="auto"/>
                <w:sz w:val="20"/>
                <w:szCs w:val="20"/>
              </w:rPr>
            </w:pP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567D9D" w14:textId="77777777" w:rsidR="005C5004" w:rsidRPr="00316A1B" w:rsidRDefault="005C5004" w:rsidP="000D2356">
            <w:pPr>
              <w:rPr>
                <w:color w:val="auto"/>
                <w:sz w:val="20"/>
                <w:szCs w:val="20"/>
              </w:rPr>
            </w:pPr>
          </w:p>
        </w:tc>
      </w:tr>
      <w:tr w:rsidR="005C5004" w:rsidRPr="004836A6" w14:paraId="4B7C1DFA"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2571758E" w14:textId="77777777" w:rsidR="005C5004" w:rsidRPr="004836A6" w:rsidRDefault="005C5004" w:rsidP="000D2356">
            <w:pPr>
              <w:rPr>
                <w:color w:val="auto"/>
                <w:sz w:val="25"/>
                <w:szCs w:val="25"/>
              </w:rPr>
            </w:pPr>
            <w:r w:rsidRPr="004836A6">
              <w:rPr>
                <w:color w:val="auto"/>
                <w:sz w:val="25"/>
                <w:szCs w:val="25"/>
              </w:rPr>
              <w:t>2.3. pašvaldību budžets</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B7941E"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B9F9F8"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B78C56"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8FB927" w14:textId="77777777" w:rsidR="005C5004" w:rsidRPr="00316A1B" w:rsidRDefault="005C5004" w:rsidP="000D2356">
            <w:pP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BED507" w14:textId="77777777" w:rsidR="005C5004" w:rsidRPr="00316A1B" w:rsidRDefault="005C5004" w:rsidP="000D2356">
            <w:pPr>
              <w:rPr>
                <w:color w:val="auto"/>
                <w:sz w:val="20"/>
                <w:szCs w:val="20"/>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FF286F" w14:textId="77777777" w:rsidR="005C5004" w:rsidRPr="00316A1B" w:rsidRDefault="005C5004" w:rsidP="000D2356">
            <w:pPr>
              <w:rPr>
                <w:color w:val="auto"/>
                <w:sz w:val="20"/>
                <w:szCs w:val="20"/>
              </w:rPr>
            </w:pP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BF21AE" w14:textId="77777777" w:rsidR="005C5004" w:rsidRPr="00316A1B" w:rsidRDefault="005C5004" w:rsidP="000D2356">
            <w:pPr>
              <w:rPr>
                <w:color w:val="auto"/>
                <w:sz w:val="20"/>
                <w:szCs w:val="20"/>
              </w:rPr>
            </w:pPr>
          </w:p>
        </w:tc>
      </w:tr>
      <w:tr w:rsidR="005C5004" w:rsidRPr="004836A6" w14:paraId="58BD0796"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7396CCC5" w14:textId="77777777" w:rsidR="005C5004" w:rsidRPr="004836A6" w:rsidRDefault="005C5004" w:rsidP="000D2356">
            <w:pPr>
              <w:rPr>
                <w:b/>
                <w:color w:val="auto"/>
                <w:sz w:val="25"/>
                <w:szCs w:val="25"/>
              </w:rPr>
            </w:pPr>
            <w:r w:rsidRPr="004836A6">
              <w:rPr>
                <w:b/>
                <w:color w:val="auto"/>
                <w:sz w:val="25"/>
                <w:szCs w:val="25"/>
              </w:rPr>
              <w:t>3. Finansiālā ietekme</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3A904F" w14:textId="77777777" w:rsidR="005C5004" w:rsidRPr="00316A1B" w:rsidRDefault="005C5004" w:rsidP="000D2356">
            <w:pPr>
              <w:jc w:val="center"/>
              <w:rPr>
                <w:b/>
                <w:color w:val="auto"/>
                <w:sz w:val="20"/>
                <w:szCs w:val="20"/>
              </w:rPr>
            </w:pPr>
            <w:r w:rsidRPr="00316A1B">
              <w:rPr>
                <w:b/>
                <w:color w:val="auto"/>
                <w:sz w:val="20"/>
                <w:szCs w:val="20"/>
              </w:rPr>
              <w:t>0</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BF1286" w14:textId="77777777" w:rsidR="005C5004" w:rsidRPr="00316A1B" w:rsidRDefault="005C5004" w:rsidP="000D2356">
            <w:pPr>
              <w:jc w:val="center"/>
              <w:rPr>
                <w:b/>
                <w:color w:val="auto"/>
                <w:sz w:val="20"/>
                <w:szCs w:val="20"/>
              </w:rPr>
            </w:pPr>
            <w:r w:rsidRPr="00316A1B">
              <w:rPr>
                <w:b/>
                <w:color w:val="auto"/>
                <w:sz w:val="20"/>
                <w:szCs w:val="20"/>
              </w:rPr>
              <w:t>0</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3660D8" w14:textId="77777777" w:rsidR="005C5004" w:rsidRPr="00316A1B" w:rsidRDefault="005C5004" w:rsidP="000D2356">
            <w:pPr>
              <w:jc w:val="center"/>
              <w:rPr>
                <w:b/>
                <w:color w:val="auto"/>
                <w:sz w:val="20"/>
                <w:szCs w:val="20"/>
              </w:rPr>
            </w:pPr>
            <w:r w:rsidRPr="00316A1B">
              <w:rPr>
                <w:b/>
                <w:color w:val="auto"/>
                <w:sz w:val="20"/>
                <w:szCs w:val="20"/>
              </w:rPr>
              <w:t>0</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2E00DA" w14:textId="77777777" w:rsidR="005C5004" w:rsidRPr="00316A1B" w:rsidRDefault="005C5004" w:rsidP="000D2356">
            <w:pPr>
              <w:jc w:val="center"/>
              <w:rPr>
                <w:b/>
                <w:color w:val="auto"/>
                <w:sz w:val="20"/>
                <w:szCs w:val="20"/>
              </w:rPr>
            </w:pPr>
            <w:r w:rsidRPr="00316A1B">
              <w:rPr>
                <w:b/>
                <w:color w:val="auto"/>
                <w:sz w:val="20"/>
                <w:szCs w:val="20"/>
              </w:rPr>
              <w:t>-39 143</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E3A8D9" w14:textId="77777777" w:rsidR="005C5004" w:rsidRPr="00316A1B" w:rsidRDefault="005C5004" w:rsidP="000D2356">
            <w:pPr>
              <w:jc w:val="center"/>
              <w:rPr>
                <w:b/>
                <w:color w:val="auto"/>
                <w:sz w:val="20"/>
                <w:szCs w:val="20"/>
              </w:rPr>
            </w:pPr>
            <w:r w:rsidRPr="00316A1B">
              <w:rPr>
                <w:b/>
                <w:color w:val="auto"/>
                <w:sz w:val="20"/>
                <w:szCs w:val="20"/>
              </w:rPr>
              <w:t>0</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D17E33" w14:textId="77777777" w:rsidR="005C5004" w:rsidRPr="00316A1B" w:rsidRDefault="005C5004" w:rsidP="000D2356">
            <w:pPr>
              <w:jc w:val="center"/>
              <w:rPr>
                <w:b/>
                <w:color w:val="auto"/>
                <w:sz w:val="20"/>
                <w:szCs w:val="20"/>
              </w:rPr>
            </w:pPr>
            <w:r w:rsidRPr="00316A1B">
              <w:rPr>
                <w:b/>
                <w:color w:val="auto"/>
                <w:sz w:val="20"/>
                <w:szCs w:val="20"/>
              </w:rPr>
              <w:t>-39 143</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E33D8C" w14:textId="77777777" w:rsidR="005C5004" w:rsidRPr="00316A1B" w:rsidRDefault="005C5004" w:rsidP="000D2356">
            <w:pPr>
              <w:jc w:val="center"/>
              <w:rPr>
                <w:b/>
                <w:color w:val="auto"/>
                <w:sz w:val="20"/>
                <w:szCs w:val="20"/>
              </w:rPr>
            </w:pPr>
            <w:r w:rsidRPr="00316A1B">
              <w:rPr>
                <w:b/>
                <w:color w:val="auto"/>
                <w:sz w:val="20"/>
                <w:szCs w:val="20"/>
              </w:rPr>
              <w:t>-39 143</w:t>
            </w:r>
          </w:p>
        </w:tc>
      </w:tr>
      <w:tr w:rsidR="005C5004" w:rsidRPr="004836A6" w14:paraId="56ABD1A1"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6D8FCB3" w14:textId="77777777" w:rsidR="005C5004" w:rsidRPr="004836A6" w:rsidRDefault="005C5004" w:rsidP="000D2356">
            <w:pPr>
              <w:rPr>
                <w:color w:val="auto"/>
                <w:sz w:val="25"/>
                <w:szCs w:val="25"/>
              </w:rPr>
            </w:pPr>
            <w:r w:rsidRPr="004836A6">
              <w:rPr>
                <w:color w:val="auto"/>
                <w:sz w:val="25"/>
                <w:szCs w:val="25"/>
              </w:rPr>
              <w:lastRenderedPageBreak/>
              <w:t>3.1. valsts pamatbudžets</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635EDB" w14:textId="77777777" w:rsidR="005C5004" w:rsidRPr="00316A1B" w:rsidRDefault="005C5004" w:rsidP="000D2356">
            <w:pPr>
              <w:jc w:val="center"/>
              <w:rPr>
                <w:color w:val="auto"/>
                <w:sz w:val="20"/>
                <w:szCs w:val="20"/>
              </w:rPr>
            </w:pPr>
            <w:r w:rsidRPr="00316A1B">
              <w:rPr>
                <w:color w:val="auto"/>
                <w:sz w:val="20"/>
                <w:szCs w:val="20"/>
              </w:rPr>
              <w:t xml:space="preserve">0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3ACCC0" w14:textId="77777777" w:rsidR="005C5004" w:rsidRPr="00316A1B" w:rsidRDefault="005C5004" w:rsidP="000D2356">
            <w:pPr>
              <w:jc w:val="center"/>
              <w:rPr>
                <w:color w:val="auto"/>
                <w:sz w:val="20"/>
                <w:szCs w:val="20"/>
              </w:rPr>
            </w:pPr>
            <w:r w:rsidRPr="00316A1B">
              <w:rPr>
                <w:color w:val="auto"/>
                <w:sz w:val="20"/>
                <w:szCs w:val="20"/>
              </w:rPr>
              <w:t>0</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CDCFBE" w14:textId="77777777" w:rsidR="005C5004" w:rsidRPr="00316A1B" w:rsidRDefault="005C5004" w:rsidP="000D2356">
            <w:pPr>
              <w:jc w:val="center"/>
              <w:rPr>
                <w:color w:val="auto"/>
                <w:sz w:val="20"/>
                <w:szCs w:val="20"/>
              </w:rPr>
            </w:pPr>
            <w:r w:rsidRPr="00316A1B">
              <w:rPr>
                <w:color w:val="auto"/>
                <w:sz w:val="20"/>
                <w:szCs w:val="20"/>
              </w:rPr>
              <w:t>0</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A79EBE" w14:textId="77777777" w:rsidR="005C5004" w:rsidRPr="00316A1B" w:rsidRDefault="005C5004" w:rsidP="000D2356">
            <w:pPr>
              <w:jc w:val="center"/>
              <w:rPr>
                <w:color w:val="auto"/>
                <w:sz w:val="20"/>
                <w:szCs w:val="20"/>
              </w:rPr>
            </w:pPr>
            <w:r w:rsidRPr="00316A1B">
              <w:rPr>
                <w:color w:val="auto"/>
                <w:sz w:val="20"/>
                <w:szCs w:val="20"/>
              </w:rPr>
              <w:t>-39 143</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819606" w14:textId="77777777" w:rsidR="005C5004" w:rsidRPr="00316A1B" w:rsidRDefault="005C5004" w:rsidP="000D2356">
            <w:pPr>
              <w:jc w:val="center"/>
              <w:rPr>
                <w:color w:val="auto"/>
                <w:sz w:val="20"/>
                <w:szCs w:val="20"/>
              </w:rPr>
            </w:pPr>
            <w:r w:rsidRPr="00316A1B">
              <w:rPr>
                <w:color w:val="auto"/>
                <w:sz w:val="20"/>
                <w:szCs w:val="20"/>
              </w:rPr>
              <w:t>0</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652418" w14:textId="77777777" w:rsidR="005C5004" w:rsidRPr="00316A1B" w:rsidRDefault="005C5004" w:rsidP="000D2356">
            <w:pPr>
              <w:jc w:val="center"/>
              <w:rPr>
                <w:color w:val="auto"/>
                <w:sz w:val="20"/>
                <w:szCs w:val="20"/>
              </w:rPr>
            </w:pPr>
            <w:r w:rsidRPr="00316A1B">
              <w:rPr>
                <w:color w:val="auto"/>
                <w:sz w:val="20"/>
                <w:szCs w:val="20"/>
              </w:rPr>
              <w:t>-39 143</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26843C" w14:textId="77777777" w:rsidR="005C5004" w:rsidRPr="00316A1B" w:rsidRDefault="005C5004" w:rsidP="000D2356">
            <w:pPr>
              <w:jc w:val="center"/>
              <w:rPr>
                <w:color w:val="auto"/>
                <w:sz w:val="20"/>
                <w:szCs w:val="20"/>
              </w:rPr>
            </w:pPr>
            <w:r w:rsidRPr="00316A1B">
              <w:rPr>
                <w:color w:val="auto"/>
                <w:sz w:val="20"/>
                <w:szCs w:val="20"/>
              </w:rPr>
              <w:t>-39 143</w:t>
            </w:r>
          </w:p>
        </w:tc>
      </w:tr>
      <w:tr w:rsidR="005C5004" w:rsidRPr="004836A6" w14:paraId="13375719"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1895F39E" w14:textId="77777777" w:rsidR="005C5004" w:rsidRPr="004836A6" w:rsidRDefault="005C5004" w:rsidP="000D2356">
            <w:pPr>
              <w:rPr>
                <w:color w:val="auto"/>
                <w:sz w:val="25"/>
                <w:szCs w:val="25"/>
              </w:rPr>
            </w:pPr>
            <w:r w:rsidRPr="004836A6">
              <w:rPr>
                <w:color w:val="auto"/>
                <w:sz w:val="25"/>
                <w:szCs w:val="25"/>
              </w:rPr>
              <w:t>3.2. speciālais budžets</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FBDFA"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807E6" w14:textId="77777777" w:rsidR="005C5004" w:rsidRPr="00316A1B" w:rsidRDefault="005C5004" w:rsidP="000D2356">
            <w:pPr>
              <w:rPr>
                <w:color w:val="auto"/>
                <w:sz w:val="20"/>
                <w:szCs w:val="20"/>
              </w:rPr>
            </w:pPr>
            <w:r w:rsidRPr="00316A1B">
              <w:rPr>
                <w:color w:val="auto"/>
                <w:sz w:val="20"/>
                <w:szCs w:val="20"/>
              </w:rPr>
              <w:t> </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3C17F"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2EECB" w14:textId="77777777" w:rsidR="005C5004" w:rsidRPr="00316A1B" w:rsidRDefault="005C5004" w:rsidP="000D2356">
            <w:pPr>
              <w:rPr>
                <w:color w:val="auto"/>
                <w:sz w:val="20"/>
                <w:szCs w:val="20"/>
              </w:rPr>
            </w:pPr>
            <w:r w:rsidRPr="00316A1B">
              <w:rPr>
                <w:color w:val="auto"/>
                <w:sz w:val="20"/>
                <w:szCs w:val="20"/>
              </w:rPr>
              <w:t> </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FAA6E"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9F8C7" w14:textId="77777777" w:rsidR="005C5004" w:rsidRPr="00316A1B" w:rsidRDefault="005C5004" w:rsidP="000D2356">
            <w:pPr>
              <w:rPr>
                <w:color w:val="auto"/>
                <w:sz w:val="20"/>
                <w:szCs w:val="20"/>
              </w:rPr>
            </w:pPr>
            <w:r w:rsidRPr="00316A1B">
              <w:rPr>
                <w:color w:val="auto"/>
                <w:sz w:val="20"/>
                <w:szCs w:val="20"/>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9DAAF" w14:textId="77777777" w:rsidR="005C5004" w:rsidRPr="00316A1B" w:rsidRDefault="005C5004" w:rsidP="000D2356">
            <w:pPr>
              <w:rPr>
                <w:color w:val="auto"/>
                <w:sz w:val="20"/>
                <w:szCs w:val="20"/>
              </w:rPr>
            </w:pPr>
            <w:r w:rsidRPr="00316A1B">
              <w:rPr>
                <w:color w:val="auto"/>
                <w:sz w:val="20"/>
                <w:szCs w:val="20"/>
              </w:rPr>
              <w:t> </w:t>
            </w:r>
          </w:p>
        </w:tc>
      </w:tr>
      <w:tr w:rsidR="005C5004" w:rsidRPr="004836A6" w14:paraId="1B9F09C8"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4D1526A9" w14:textId="77777777" w:rsidR="005C5004" w:rsidRPr="004836A6" w:rsidRDefault="005C5004" w:rsidP="000D2356">
            <w:pPr>
              <w:rPr>
                <w:color w:val="auto"/>
                <w:sz w:val="25"/>
                <w:szCs w:val="25"/>
              </w:rPr>
            </w:pPr>
            <w:r w:rsidRPr="004836A6">
              <w:rPr>
                <w:color w:val="auto"/>
                <w:sz w:val="25"/>
                <w:szCs w:val="25"/>
              </w:rPr>
              <w:t>3.3. pašvaldību budžets</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8ED4C"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345687" w14:textId="77777777" w:rsidR="005C5004" w:rsidRPr="00316A1B" w:rsidRDefault="005C5004" w:rsidP="000D2356">
            <w:pPr>
              <w:rPr>
                <w:color w:val="auto"/>
                <w:sz w:val="20"/>
                <w:szCs w:val="20"/>
              </w:rPr>
            </w:pPr>
            <w:r w:rsidRPr="00316A1B">
              <w:rPr>
                <w:color w:val="auto"/>
                <w:sz w:val="20"/>
                <w:szCs w:val="20"/>
              </w:rPr>
              <w:t> </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82B51"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D2BE0F" w14:textId="77777777" w:rsidR="005C5004" w:rsidRPr="00316A1B" w:rsidRDefault="005C5004" w:rsidP="000D2356">
            <w:pPr>
              <w:rPr>
                <w:color w:val="auto"/>
                <w:sz w:val="20"/>
                <w:szCs w:val="20"/>
              </w:rPr>
            </w:pPr>
            <w:r w:rsidRPr="00316A1B">
              <w:rPr>
                <w:color w:val="auto"/>
                <w:sz w:val="20"/>
                <w:szCs w:val="20"/>
              </w:rPr>
              <w:t> </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21432" w14:textId="77777777" w:rsidR="005C5004" w:rsidRPr="00316A1B" w:rsidRDefault="005C5004" w:rsidP="000D2356">
            <w:pPr>
              <w:rPr>
                <w:color w:val="auto"/>
                <w:sz w:val="20"/>
                <w:szCs w:val="20"/>
              </w:rPr>
            </w:pPr>
            <w:r w:rsidRPr="00316A1B">
              <w:rPr>
                <w:color w:val="auto"/>
                <w:sz w:val="20"/>
                <w:szCs w:val="20"/>
              </w:rPr>
              <w:t> </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DBEB2" w14:textId="77777777" w:rsidR="005C5004" w:rsidRPr="00316A1B" w:rsidRDefault="005C5004" w:rsidP="000D2356">
            <w:pPr>
              <w:rPr>
                <w:color w:val="auto"/>
                <w:sz w:val="20"/>
                <w:szCs w:val="20"/>
              </w:rPr>
            </w:pPr>
            <w:r w:rsidRPr="00316A1B">
              <w:rPr>
                <w:color w:val="auto"/>
                <w:sz w:val="20"/>
                <w:szCs w:val="20"/>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884E" w14:textId="77777777" w:rsidR="005C5004" w:rsidRPr="00316A1B" w:rsidRDefault="005C5004" w:rsidP="000D2356">
            <w:pPr>
              <w:rPr>
                <w:color w:val="auto"/>
                <w:sz w:val="20"/>
                <w:szCs w:val="20"/>
              </w:rPr>
            </w:pPr>
            <w:r w:rsidRPr="00316A1B">
              <w:rPr>
                <w:color w:val="auto"/>
                <w:sz w:val="20"/>
                <w:szCs w:val="20"/>
              </w:rPr>
              <w:t> </w:t>
            </w:r>
          </w:p>
        </w:tc>
      </w:tr>
      <w:tr w:rsidR="005C5004" w:rsidRPr="004836A6" w14:paraId="6962B1FF"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3F46F16F" w14:textId="77777777" w:rsidR="005C5004" w:rsidRPr="004836A6" w:rsidRDefault="005C5004" w:rsidP="000D2356">
            <w:pPr>
              <w:rPr>
                <w:color w:val="auto"/>
                <w:sz w:val="25"/>
                <w:szCs w:val="25"/>
              </w:rPr>
            </w:pPr>
            <w:r w:rsidRPr="004836A6">
              <w:rPr>
                <w:color w:val="auto"/>
                <w:sz w:val="25"/>
                <w:szCs w:val="25"/>
              </w:rPr>
              <w:t>4. Finanšu līdzekļi papildu izdevumu finansēšanai (kompensējošu izdevumu samazinājumu norāda ar "+" zīmi)</w:t>
            </w:r>
          </w:p>
        </w:tc>
        <w:tc>
          <w:tcPr>
            <w:tcW w:w="15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A8F682" w14:textId="77777777" w:rsidR="005C5004" w:rsidRPr="00316A1B" w:rsidRDefault="005C5004" w:rsidP="000D2356">
            <w:pPr>
              <w:jc w:val="center"/>
              <w:rPr>
                <w:color w:val="auto"/>
                <w:sz w:val="20"/>
                <w:szCs w:val="20"/>
              </w:rPr>
            </w:pPr>
            <w:r w:rsidRPr="00316A1B">
              <w:rPr>
                <w:color w:val="auto"/>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05A222" w14:textId="77777777" w:rsidR="005C5004" w:rsidRPr="00316A1B" w:rsidRDefault="005C5004" w:rsidP="000D2356">
            <w:pPr>
              <w:jc w:val="center"/>
              <w:rPr>
                <w:color w:val="auto"/>
                <w:sz w:val="20"/>
                <w:szCs w:val="20"/>
              </w:rPr>
            </w:pP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9C213" w14:textId="77777777" w:rsidR="005C5004" w:rsidRPr="00316A1B" w:rsidRDefault="005C5004" w:rsidP="000D2356">
            <w:pPr>
              <w:jc w:val="center"/>
              <w:rPr>
                <w:color w:val="auto"/>
                <w:sz w:val="20"/>
                <w:szCs w:val="20"/>
              </w:rPr>
            </w:pPr>
            <w:r w:rsidRPr="00316A1B">
              <w:rPr>
                <w:color w:val="auto"/>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0736EE" w14:textId="77777777" w:rsidR="005C5004" w:rsidRPr="00316A1B" w:rsidRDefault="005C5004" w:rsidP="000D2356">
            <w:pPr>
              <w:jc w:val="center"/>
              <w:rPr>
                <w:color w:val="auto"/>
                <w:sz w:val="20"/>
                <w:szCs w:val="20"/>
              </w:rPr>
            </w:pPr>
            <w:r w:rsidRPr="00316A1B">
              <w:rPr>
                <w:color w:val="auto"/>
                <w:sz w:val="20"/>
                <w:szCs w:val="20"/>
              </w:rPr>
              <w:t>+39 143</w:t>
            </w:r>
          </w:p>
        </w:tc>
        <w:tc>
          <w:tcPr>
            <w:tcW w:w="4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D3351C" w14:textId="77777777" w:rsidR="005C5004" w:rsidRPr="00316A1B" w:rsidRDefault="005C5004" w:rsidP="000D2356">
            <w:pPr>
              <w:jc w:val="center"/>
              <w:rPr>
                <w:color w:val="auto"/>
                <w:sz w:val="20"/>
                <w:szCs w:val="20"/>
              </w:rPr>
            </w:pPr>
            <w:r w:rsidRPr="00316A1B">
              <w:rPr>
                <w:color w:val="auto"/>
                <w:sz w:val="20"/>
                <w:szCs w:val="20"/>
              </w:rPr>
              <w:t>x</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A9352F" w14:textId="77777777" w:rsidR="005C5004" w:rsidRPr="00316A1B" w:rsidRDefault="005C5004" w:rsidP="000D2356">
            <w:pPr>
              <w:jc w:val="center"/>
              <w:rPr>
                <w:color w:val="auto"/>
                <w:sz w:val="20"/>
                <w:szCs w:val="20"/>
              </w:rPr>
            </w:pPr>
            <w:r w:rsidRPr="00316A1B">
              <w:rPr>
                <w:color w:val="auto"/>
                <w:sz w:val="20"/>
                <w:szCs w:val="20"/>
              </w:rPr>
              <w:t>+39 143</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6A26E4" w14:textId="77777777" w:rsidR="005C5004" w:rsidRPr="00316A1B" w:rsidRDefault="005C5004" w:rsidP="000D2356">
            <w:pPr>
              <w:jc w:val="center"/>
              <w:rPr>
                <w:color w:val="auto"/>
                <w:sz w:val="20"/>
                <w:szCs w:val="20"/>
              </w:rPr>
            </w:pPr>
            <w:r w:rsidRPr="00316A1B">
              <w:rPr>
                <w:color w:val="auto"/>
                <w:sz w:val="20"/>
                <w:szCs w:val="20"/>
              </w:rPr>
              <w:t>+ 39 143</w:t>
            </w:r>
          </w:p>
        </w:tc>
      </w:tr>
      <w:tr w:rsidR="005C5004" w:rsidRPr="004836A6" w14:paraId="09302C36"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0A53742F" w14:textId="77777777" w:rsidR="005C5004" w:rsidRPr="004836A6" w:rsidRDefault="005C5004" w:rsidP="000D2356">
            <w:pPr>
              <w:rPr>
                <w:color w:val="auto"/>
                <w:sz w:val="25"/>
                <w:szCs w:val="25"/>
              </w:rPr>
            </w:pPr>
            <w:r w:rsidRPr="004836A6">
              <w:rPr>
                <w:color w:val="auto"/>
                <w:sz w:val="25"/>
                <w:szCs w:val="25"/>
              </w:rPr>
              <w:t>5. Precizēta finansiālā ietekme</w:t>
            </w:r>
          </w:p>
        </w:tc>
        <w:tc>
          <w:tcPr>
            <w:tcW w:w="152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CDBCF" w14:textId="77777777" w:rsidR="005C5004" w:rsidRPr="004836A6" w:rsidRDefault="005C5004" w:rsidP="000D2356">
            <w:pPr>
              <w:jc w:val="center"/>
              <w:rPr>
                <w:color w:val="auto"/>
                <w:sz w:val="25"/>
                <w:szCs w:val="25"/>
              </w:rPr>
            </w:pPr>
          </w:p>
          <w:p w14:paraId="22A95889" w14:textId="77777777" w:rsidR="005C5004" w:rsidRPr="004836A6" w:rsidRDefault="005C5004" w:rsidP="000D2356">
            <w:pPr>
              <w:jc w:val="center"/>
              <w:rPr>
                <w:color w:val="auto"/>
                <w:sz w:val="25"/>
                <w:szCs w:val="25"/>
              </w:rPr>
            </w:pPr>
          </w:p>
          <w:p w14:paraId="55B64C6C" w14:textId="77777777" w:rsidR="005C5004" w:rsidRPr="004836A6" w:rsidRDefault="005C5004" w:rsidP="000D2356">
            <w:pPr>
              <w:jc w:val="center"/>
              <w:rPr>
                <w:color w:val="auto"/>
                <w:sz w:val="25"/>
                <w:szCs w:val="25"/>
              </w:rPr>
            </w:pPr>
          </w:p>
          <w:p w14:paraId="4D9E9E1B" w14:textId="77777777" w:rsidR="005C5004" w:rsidRPr="004836A6" w:rsidRDefault="005C5004" w:rsidP="000D2356">
            <w:pPr>
              <w:jc w:val="center"/>
              <w:rPr>
                <w:color w:val="auto"/>
                <w:sz w:val="25"/>
                <w:szCs w:val="25"/>
              </w:rPr>
            </w:pPr>
          </w:p>
          <w:p w14:paraId="5924479A" w14:textId="77777777" w:rsidR="005C5004" w:rsidRPr="004836A6" w:rsidRDefault="005C5004" w:rsidP="000D2356">
            <w:pPr>
              <w:jc w:val="center"/>
              <w:rPr>
                <w:color w:val="auto"/>
                <w:sz w:val="25"/>
                <w:szCs w:val="25"/>
              </w:rPr>
            </w:pPr>
          </w:p>
          <w:p w14:paraId="5FDBB7F5" w14:textId="77777777" w:rsidR="005C5004" w:rsidRPr="004836A6" w:rsidRDefault="005C5004" w:rsidP="000D2356">
            <w:pPr>
              <w:jc w:val="center"/>
              <w:rPr>
                <w:color w:val="auto"/>
                <w:sz w:val="25"/>
                <w:szCs w:val="25"/>
              </w:rPr>
            </w:pPr>
          </w:p>
          <w:p w14:paraId="0B2D2A1E" w14:textId="77777777" w:rsidR="005C5004" w:rsidRPr="004836A6" w:rsidRDefault="005C5004" w:rsidP="000D2356">
            <w:pPr>
              <w:jc w:val="center"/>
              <w:rPr>
                <w:color w:val="auto"/>
                <w:sz w:val="25"/>
                <w:szCs w:val="25"/>
              </w:rPr>
            </w:pPr>
          </w:p>
          <w:p w14:paraId="5EB57AE4" w14:textId="77777777" w:rsidR="005C5004" w:rsidRPr="004836A6" w:rsidRDefault="005C5004" w:rsidP="000D2356">
            <w:pPr>
              <w:jc w:val="center"/>
              <w:rPr>
                <w:color w:val="auto"/>
                <w:sz w:val="25"/>
                <w:szCs w:val="25"/>
              </w:rPr>
            </w:pPr>
            <w:r w:rsidRPr="004836A6">
              <w:rPr>
                <w:color w:val="auto"/>
                <w:sz w:val="25"/>
                <w:szCs w:val="25"/>
              </w:rPr>
              <w:t>x</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86D4B" w14:textId="77777777" w:rsidR="005C5004" w:rsidRPr="004836A6" w:rsidRDefault="005C5004" w:rsidP="000D2356">
            <w:pPr>
              <w:rPr>
                <w:color w:val="auto"/>
                <w:sz w:val="25"/>
                <w:szCs w:val="25"/>
              </w:rPr>
            </w:pPr>
            <w:r w:rsidRPr="004836A6">
              <w:rPr>
                <w:color w:val="auto"/>
                <w:sz w:val="25"/>
                <w:szCs w:val="25"/>
              </w:rPr>
              <w:t> </w:t>
            </w:r>
          </w:p>
        </w:tc>
        <w:tc>
          <w:tcPr>
            <w:tcW w:w="48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5C8BC" w14:textId="77777777" w:rsidR="005C5004" w:rsidRPr="004836A6" w:rsidRDefault="005C5004" w:rsidP="000D2356">
            <w:pPr>
              <w:jc w:val="center"/>
              <w:rPr>
                <w:color w:val="auto"/>
                <w:sz w:val="25"/>
                <w:szCs w:val="25"/>
              </w:rPr>
            </w:pPr>
          </w:p>
          <w:p w14:paraId="7CB2C31D" w14:textId="77777777" w:rsidR="005C5004" w:rsidRPr="004836A6" w:rsidRDefault="005C5004" w:rsidP="000D2356">
            <w:pPr>
              <w:jc w:val="center"/>
              <w:rPr>
                <w:color w:val="auto"/>
                <w:sz w:val="25"/>
                <w:szCs w:val="25"/>
              </w:rPr>
            </w:pPr>
          </w:p>
          <w:p w14:paraId="70F4222C" w14:textId="77777777" w:rsidR="005C5004" w:rsidRPr="004836A6" w:rsidRDefault="005C5004" w:rsidP="000D2356">
            <w:pPr>
              <w:jc w:val="center"/>
              <w:rPr>
                <w:color w:val="auto"/>
                <w:sz w:val="25"/>
                <w:szCs w:val="25"/>
              </w:rPr>
            </w:pPr>
          </w:p>
          <w:p w14:paraId="60CFEEE3" w14:textId="77777777" w:rsidR="005C5004" w:rsidRPr="004836A6" w:rsidRDefault="005C5004" w:rsidP="000D2356">
            <w:pPr>
              <w:jc w:val="center"/>
              <w:rPr>
                <w:color w:val="auto"/>
                <w:sz w:val="25"/>
                <w:szCs w:val="25"/>
              </w:rPr>
            </w:pPr>
          </w:p>
          <w:p w14:paraId="240C72E0" w14:textId="77777777" w:rsidR="005C5004" w:rsidRPr="004836A6" w:rsidRDefault="005C5004" w:rsidP="000D2356">
            <w:pPr>
              <w:jc w:val="center"/>
              <w:rPr>
                <w:color w:val="auto"/>
                <w:sz w:val="25"/>
                <w:szCs w:val="25"/>
              </w:rPr>
            </w:pPr>
          </w:p>
          <w:p w14:paraId="0C9FD13F" w14:textId="77777777" w:rsidR="005C5004" w:rsidRPr="004836A6" w:rsidRDefault="005C5004" w:rsidP="000D2356">
            <w:pPr>
              <w:jc w:val="center"/>
              <w:rPr>
                <w:color w:val="auto"/>
                <w:sz w:val="25"/>
                <w:szCs w:val="25"/>
              </w:rPr>
            </w:pPr>
          </w:p>
          <w:p w14:paraId="6A2B1781" w14:textId="77777777" w:rsidR="005C5004" w:rsidRPr="004836A6" w:rsidRDefault="005C5004" w:rsidP="000D2356">
            <w:pPr>
              <w:jc w:val="center"/>
              <w:rPr>
                <w:color w:val="auto"/>
                <w:sz w:val="25"/>
                <w:szCs w:val="25"/>
              </w:rPr>
            </w:pPr>
          </w:p>
          <w:p w14:paraId="1231A3DB" w14:textId="77777777" w:rsidR="005C5004" w:rsidRPr="004836A6" w:rsidRDefault="005C5004" w:rsidP="000D2356">
            <w:pPr>
              <w:jc w:val="center"/>
              <w:rPr>
                <w:color w:val="auto"/>
                <w:sz w:val="25"/>
                <w:szCs w:val="25"/>
              </w:rPr>
            </w:pPr>
            <w:r w:rsidRPr="004836A6">
              <w:rPr>
                <w:color w:val="auto"/>
                <w:sz w:val="25"/>
                <w:szCs w:val="25"/>
              </w:rPr>
              <w:t>x</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7C2EE" w14:textId="77777777" w:rsidR="005C5004" w:rsidRPr="004836A6" w:rsidRDefault="005C5004" w:rsidP="000D2356">
            <w:pPr>
              <w:rPr>
                <w:color w:val="auto"/>
                <w:sz w:val="25"/>
                <w:szCs w:val="25"/>
              </w:rPr>
            </w:pPr>
            <w:r w:rsidRPr="004836A6">
              <w:rPr>
                <w:color w:val="auto"/>
                <w:sz w:val="25"/>
                <w:szCs w:val="25"/>
              </w:rPr>
              <w:t> </w:t>
            </w:r>
          </w:p>
        </w:tc>
        <w:tc>
          <w:tcPr>
            <w:tcW w:w="48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DEB0B" w14:textId="77777777" w:rsidR="005C5004" w:rsidRPr="004836A6" w:rsidRDefault="005C5004" w:rsidP="000D2356">
            <w:pPr>
              <w:jc w:val="center"/>
              <w:rPr>
                <w:color w:val="auto"/>
                <w:sz w:val="25"/>
                <w:szCs w:val="25"/>
              </w:rPr>
            </w:pPr>
          </w:p>
          <w:p w14:paraId="531EE2E1" w14:textId="77777777" w:rsidR="005C5004" w:rsidRPr="004836A6" w:rsidRDefault="005C5004" w:rsidP="000D2356">
            <w:pPr>
              <w:jc w:val="center"/>
              <w:rPr>
                <w:color w:val="auto"/>
                <w:sz w:val="25"/>
                <w:szCs w:val="25"/>
              </w:rPr>
            </w:pPr>
          </w:p>
          <w:p w14:paraId="62F2C26E" w14:textId="77777777" w:rsidR="005C5004" w:rsidRPr="004836A6" w:rsidRDefault="005C5004" w:rsidP="000D2356">
            <w:pPr>
              <w:jc w:val="center"/>
              <w:rPr>
                <w:color w:val="auto"/>
                <w:sz w:val="25"/>
                <w:szCs w:val="25"/>
              </w:rPr>
            </w:pPr>
          </w:p>
          <w:p w14:paraId="1619D6FF" w14:textId="77777777" w:rsidR="005C5004" w:rsidRPr="004836A6" w:rsidRDefault="005C5004" w:rsidP="000D2356">
            <w:pPr>
              <w:jc w:val="center"/>
              <w:rPr>
                <w:color w:val="auto"/>
                <w:sz w:val="25"/>
                <w:szCs w:val="25"/>
              </w:rPr>
            </w:pPr>
          </w:p>
          <w:p w14:paraId="7859B0BA" w14:textId="77777777" w:rsidR="005C5004" w:rsidRPr="004836A6" w:rsidRDefault="005C5004" w:rsidP="000D2356">
            <w:pPr>
              <w:jc w:val="center"/>
              <w:rPr>
                <w:color w:val="auto"/>
                <w:sz w:val="25"/>
                <w:szCs w:val="25"/>
              </w:rPr>
            </w:pPr>
            <w:r w:rsidRPr="004836A6">
              <w:rPr>
                <w:color w:val="auto"/>
                <w:sz w:val="25"/>
                <w:szCs w:val="25"/>
              </w:rPr>
              <w:t xml:space="preserve">  </w:t>
            </w:r>
          </w:p>
          <w:p w14:paraId="23DDC356" w14:textId="77777777" w:rsidR="005C5004" w:rsidRPr="004836A6" w:rsidRDefault="005C5004" w:rsidP="000D2356">
            <w:pPr>
              <w:jc w:val="center"/>
              <w:rPr>
                <w:color w:val="auto"/>
                <w:sz w:val="25"/>
                <w:szCs w:val="25"/>
              </w:rPr>
            </w:pPr>
          </w:p>
          <w:p w14:paraId="0D9B8626" w14:textId="77777777" w:rsidR="005C5004" w:rsidRPr="004836A6" w:rsidRDefault="005C5004" w:rsidP="000D2356">
            <w:pPr>
              <w:jc w:val="center"/>
              <w:rPr>
                <w:color w:val="auto"/>
                <w:sz w:val="25"/>
                <w:szCs w:val="25"/>
              </w:rPr>
            </w:pPr>
          </w:p>
          <w:p w14:paraId="2276135C" w14:textId="77777777" w:rsidR="005C5004" w:rsidRPr="004836A6" w:rsidRDefault="005C5004" w:rsidP="000D2356">
            <w:pPr>
              <w:jc w:val="center"/>
              <w:rPr>
                <w:color w:val="auto"/>
                <w:sz w:val="25"/>
                <w:szCs w:val="25"/>
              </w:rPr>
            </w:pPr>
            <w:r w:rsidRPr="004836A6">
              <w:rPr>
                <w:color w:val="auto"/>
                <w:sz w:val="25"/>
                <w:szCs w:val="25"/>
              </w:rPr>
              <w:t>x</w:t>
            </w: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D162B3" w14:textId="77777777" w:rsidR="005C5004" w:rsidRPr="004836A6" w:rsidRDefault="005C5004" w:rsidP="000D2356">
            <w:pPr>
              <w:rPr>
                <w:color w:val="auto"/>
                <w:sz w:val="25"/>
                <w:szCs w:val="25"/>
              </w:rPr>
            </w:pPr>
            <w:r w:rsidRPr="004836A6">
              <w:rPr>
                <w:color w:val="auto"/>
                <w:sz w:val="25"/>
                <w:szCs w:val="25"/>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4424C" w14:textId="77777777" w:rsidR="005C5004" w:rsidRPr="004836A6" w:rsidRDefault="005C5004" w:rsidP="000D2356">
            <w:pPr>
              <w:rPr>
                <w:color w:val="auto"/>
                <w:sz w:val="25"/>
                <w:szCs w:val="25"/>
              </w:rPr>
            </w:pPr>
            <w:r w:rsidRPr="004836A6">
              <w:rPr>
                <w:color w:val="auto"/>
                <w:sz w:val="25"/>
                <w:szCs w:val="25"/>
              </w:rPr>
              <w:t> </w:t>
            </w:r>
          </w:p>
        </w:tc>
      </w:tr>
      <w:tr w:rsidR="005C5004" w:rsidRPr="004836A6" w14:paraId="5BFCE084"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181CDBDA" w14:textId="77777777" w:rsidR="005C5004" w:rsidRPr="004836A6" w:rsidRDefault="005C5004" w:rsidP="000D2356">
            <w:pPr>
              <w:rPr>
                <w:color w:val="auto"/>
                <w:sz w:val="25"/>
                <w:szCs w:val="25"/>
              </w:rPr>
            </w:pPr>
            <w:r w:rsidRPr="004836A6">
              <w:rPr>
                <w:color w:val="auto"/>
                <w:sz w:val="25"/>
                <w:szCs w:val="25"/>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2AF192" w14:textId="77777777" w:rsidR="005C5004" w:rsidRPr="004836A6" w:rsidRDefault="005C5004" w:rsidP="000D2356">
            <w:pPr>
              <w:rPr>
                <w:color w:val="auto"/>
                <w:sz w:val="25"/>
                <w:szCs w:val="25"/>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22A6E" w14:textId="77777777" w:rsidR="005C5004" w:rsidRPr="004836A6" w:rsidRDefault="005C5004" w:rsidP="000D2356">
            <w:pPr>
              <w:rPr>
                <w:color w:val="auto"/>
                <w:sz w:val="25"/>
                <w:szCs w:val="25"/>
              </w:rPr>
            </w:pPr>
            <w:r w:rsidRPr="004836A6">
              <w:rPr>
                <w:color w:val="auto"/>
                <w:sz w:val="25"/>
                <w:szCs w:val="25"/>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2A73D" w14:textId="77777777" w:rsidR="005C5004" w:rsidRPr="004836A6" w:rsidRDefault="005C5004" w:rsidP="000D2356">
            <w:pPr>
              <w:rPr>
                <w:color w:val="auto"/>
                <w:sz w:val="25"/>
                <w:szCs w:val="25"/>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68A81" w14:textId="77777777" w:rsidR="005C5004" w:rsidRPr="004836A6" w:rsidRDefault="005C5004" w:rsidP="000D2356">
            <w:pPr>
              <w:rPr>
                <w:color w:val="auto"/>
                <w:sz w:val="25"/>
                <w:szCs w:val="25"/>
              </w:rPr>
            </w:pPr>
            <w:r w:rsidRPr="004836A6">
              <w:rPr>
                <w:color w:val="auto"/>
                <w:sz w:val="25"/>
                <w:szCs w:val="25"/>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C4B4F" w14:textId="77777777" w:rsidR="005C5004" w:rsidRPr="004836A6" w:rsidRDefault="005C5004" w:rsidP="000D2356">
            <w:pPr>
              <w:rPr>
                <w:color w:val="auto"/>
                <w:sz w:val="25"/>
                <w:szCs w:val="25"/>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51E460" w14:textId="77777777" w:rsidR="005C5004" w:rsidRPr="004836A6" w:rsidRDefault="005C5004" w:rsidP="000D2356">
            <w:pPr>
              <w:rPr>
                <w:color w:val="auto"/>
                <w:sz w:val="25"/>
                <w:szCs w:val="25"/>
              </w:rPr>
            </w:pPr>
            <w:r w:rsidRPr="004836A6">
              <w:rPr>
                <w:color w:val="auto"/>
                <w:sz w:val="25"/>
                <w:szCs w:val="25"/>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30613" w14:textId="77777777" w:rsidR="005C5004" w:rsidRPr="004836A6" w:rsidRDefault="005C5004" w:rsidP="000D2356">
            <w:pPr>
              <w:rPr>
                <w:color w:val="auto"/>
                <w:sz w:val="25"/>
                <w:szCs w:val="25"/>
              </w:rPr>
            </w:pPr>
            <w:r w:rsidRPr="004836A6">
              <w:rPr>
                <w:color w:val="auto"/>
                <w:sz w:val="25"/>
                <w:szCs w:val="25"/>
              </w:rPr>
              <w:t> </w:t>
            </w:r>
          </w:p>
        </w:tc>
      </w:tr>
      <w:tr w:rsidR="005C5004" w:rsidRPr="004836A6" w14:paraId="571F7C06"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0F3E0B16" w14:textId="77777777" w:rsidR="005C5004" w:rsidRPr="004836A6" w:rsidRDefault="005C5004" w:rsidP="000D2356">
            <w:pPr>
              <w:rPr>
                <w:color w:val="auto"/>
                <w:sz w:val="25"/>
                <w:szCs w:val="25"/>
              </w:rPr>
            </w:pPr>
            <w:r w:rsidRPr="004836A6">
              <w:rPr>
                <w:color w:val="auto"/>
                <w:sz w:val="25"/>
                <w:szCs w:val="25"/>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C0A61" w14:textId="77777777" w:rsidR="005C5004" w:rsidRPr="004836A6" w:rsidRDefault="005C5004" w:rsidP="000D2356">
            <w:pPr>
              <w:rPr>
                <w:color w:val="auto"/>
                <w:sz w:val="25"/>
                <w:szCs w:val="25"/>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71EB4" w14:textId="77777777" w:rsidR="005C5004" w:rsidRPr="004836A6" w:rsidRDefault="005C5004" w:rsidP="000D2356">
            <w:pPr>
              <w:rPr>
                <w:color w:val="auto"/>
                <w:sz w:val="25"/>
                <w:szCs w:val="25"/>
              </w:rPr>
            </w:pPr>
            <w:r w:rsidRPr="004836A6">
              <w:rPr>
                <w:color w:val="auto"/>
                <w:sz w:val="25"/>
                <w:szCs w:val="25"/>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1B5B6" w14:textId="77777777" w:rsidR="005C5004" w:rsidRPr="004836A6" w:rsidRDefault="005C5004" w:rsidP="000D2356">
            <w:pPr>
              <w:rPr>
                <w:color w:val="auto"/>
                <w:sz w:val="25"/>
                <w:szCs w:val="25"/>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74C42F" w14:textId="77777777" w:rsidR="005C5004" w:rsidRPr="004836A6" w:rsidRDefault="005C5004" w:rsidP="000D2356">
            <w:pPr>
              <w:rPr>
                <w:color w:val="auto"/>
                <w:sz w:val="25"/>
                <w:szCs w:val="25"/>
              </w:rPr>
            </w:pPr>
            <w:r w:rsidRPr="004836A6">
              <w:rPr>
                <w:color w:val="auto"/>
                <w:sz w:val="25"/>
                <w:szCs w:val="25"/>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71A56" w14:textId="77777777" w:rsidR="005C5004" w:rsidRPr="004836A6" w:rsidRDefault="005C5004" w:rsidP="000D2356">
            <w:pPr>
              <w:rPr>
                <w:color w:val="auto"/>
                <w:sz w:val="25"/>
                <w:szCs w:val="25"/>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DA3839" w14:textId="77777777" w:rsidR="005C5004" w:rsidRPr="004836A6" w:rsidRDefault="005C5004" w:rsidP="000D2356">
            <w:pPr>
              <w:rPr>
                <w:color w:val="auto"/>
                <w:sz w:val="25"/>
                <w:szCs w:val="25"/>
              </w:rPr>
            </w:pPr>
            <w:r w:rsidRPr="004836A6">
              <w:rPr>
                <w:color w:val="auto"/>
                <w:sz w:val="25"/>
                <w:szCs w:val="25"/>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BBA87" w14:textId="77777777" w:rsidR="005C5004" w:rsidRPr="004836A6" w:rsidRDefault="005C5004" w:rsidP="000D2356">
            <w:pPr>
              <w:rPr>
                <w:color w:val="auto"/>
                <w:sz w:val="25"/>
                <w:szCs w:val="25"/>
              </w:rPr>
            </w:pPr>
            <w:r w:rsidRPr="004836A6">
              <w:rPr>
                <w:color w:val="auto"/>
                <w:sz w:val="25"/>
                <w:szCs w:val="25"/>
              </w:rPr>
              <w:t> </w:t>
            </w:r>
          </w:p>
        </w:tc>
      </w:tr>
      <w:tr w:rsidR="005C5004" w:rsidRPr="004836A6" w14:paraId="5E49FAA3"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6DE5C7BF" w14:textId="77777777" w:rsidR="005C5004" w:rsidRPr="004836A6" w:rsidRDefault="005C5004" w:rsidP="000D2356">
            <w:pPr>
              <w:rPr>
                <w:color w:val="auto"/>
                <w:sz w:val="25"/>
                <w:szCs w:val="25"/>
              </w:rPr>
            </w:pPr>
            <w:r w:rsidRPr="004836A6">
              <w:rPr>
                <w:color w:val="auto"/>
                <w:sz w:val="25"/>
                <w:szCs w:val="25"/>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2CE053" w14:textId="77777777" w:rsidR="005C5004" w:rsidRPr="004836A6" w:rsidRDefault="005C5004" w:rsidP="000D2356">
            <w:pPr>
              <w:rPr>
                <w:color w:val="auto"/>
                <w:sz w:val="25"/>
                <w:szCs w:val="25"/>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6A666" w14:textId="77777777" w:rsidR="005C5004" w:rsidRPr="004836A6" w:rsidRDefault="005C5004" w:rsidP="000D2356">
            <w:pPr>
              <w:rPr>
                <w:color w:val="auto"/>
                <w:sz w:val="25"/>
                <w:szCs w:val="25"/>
              </w:rPr>
            </w:pPr>
            <w:r w:rsidRPr="004836A6">
              <w:rPr>
                <w:color w:val="auto"/>
                <w:sz w:val="25"/>
                <w:szCs w:val="25"/>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A4D28" w14:textId="77777777" w:rsidR="005C5004" w:rsidRPr="004836A6" w:rsidRDefault="005C5004" w:rsidP="000D2356">
            <w:pPr>
              <w:rPr>
                <w:color w:val="auto"/>
                <w:sz w:val="25"/>
                <w:szCs w:val="25"/>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EB08E" w14:textId="77777777" w:rsidR="005C5004" w:rsidRPr="004836A6" w:rsidRDefault="005C5004" w:rsidP="000D2356">
            <w:pPr>
              <w:rPr>
                <w:color w:val="auto"/>
                <w:sz w:val="25"/>
                <w:szCs w:val="25"/>
              </w:rPr>
            </w:pPr>
            <w:r w:rsidRPr="004836A6">
              <w:rPr>
                <w:color w:val="auto"/>
                <w:sz w:val="25"/>
                <w:szCs w:val="25"/>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47F3D4" w14:textId="77777777" w:rsidR="005C5004" w:rsidRPr="004836A6" w:rsidRDefault="005C5004" w:rsidP="000D2356">
            <w:pPr>
              <w:rPr>
                <w:color w:val="auto"/>
                <w:sz w:val="25"/>
                <w:szCs w:val="25"/>
              </w:rPr>
            </w:pPr>
          </w:p>
        </w:tc>
        <w:tc>
          <w:tcPr>
            <w:tcW w:w="4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61E75B" w14:textId="77777777" w:rsidR="005C5004" w:rsidRPr="004836A6" w:rsidRDefault="005C5004" w:rsidP="000D2356">
            <w:pPr>
              <w:rPr>
                <w:color w:val="auto"/>
                <w:sz w:val="25"/>
                <w:szCs w:val="25"/>
              </w:rPr>
            </w:pPr>
            <w:r w:rsidRPr="004836A6">
              <w:rPr>
                <w:color w:val="auto"/>
                <w:sz w:val="25"/>
                <w:szCs w:val="25"/>
              </w:rPr>
              <w:t> </w:t>
            </w:r>
          </w:p>
        </w:tc>
        <w:tc>
          <w:tcPr>
            <w:tcW w:w="47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551A6" w14:textId="77777777" w:rsidR="005C5004" w:rsidRPr="004836A6" w:rsidRDefault="005C5004" w:rsidP="000D2356">
            <w:pPr>
              <w:rPr>
                <w:color w:val="auto"/>
                <w:sz w:val="25"/>
                <w:szCs w:val="25"/>
              </w:rPr>
            </w:pPr>
            <w:r w:rsidRPr="004836A6">
              <w:rPr>
                <w:color w:val="auto"/>
                <w:sz w:val="25"/>
                <w:szCs w:val="25"/>
              </w:rPr>
              <w:t> </w:t>
            </w:r>
          </w:p>
        </w:tc>
      </w:tr>
      <w:tr w:rsidR="005C5004" w:rsidRPr="004836A6" w14:paraId="3888169B" w14:textId="77777777" w:rsidTr="00316A1B">
        <w:trPr>
          <w:trHeight w:val="3493"/>
        </w:trPr>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57212BEE" w14:textId="77777777" w:rsidR="005C5004" w:rsidRPr="004836A6" w:rsidRDefault="005C5004" w:rsidP="000D2356">
            <w:pPr>
              <w:rPr>
                <w:color w:val="auto"/>
                <w:sz w:val="25"/>
                <w:szCs w:val="25"/>
              </w:rPr>
            </w:pPr>
            <w:r w:rsidRPr="004836A6">
              <w:rPr>
                <w:color w:val="auto"/>
                <w:sz w:val="25"/>
                <w:szCs w:val="25"/>
              </w:rPr>
              <w:t>6. Detalizēts ieņēmumu un izdevumu aprēķins (ja nepieciešams, detalizētu ieņēmumu un izdevumu aprēķinu var pievienot anotācijas pielikumā)</w:t>
            </w:r>
          </w:p>
        </w:tc>
        <w:tc>
          <w:tcPr>
            <w:tcW w:w="4421" w:type="pct"/>
            <w:gridSpan w:val="7"/>
            <w:vMerge w:val="restart"/>
            <w:tcBorders>
              <w:top w:val="outset" w:sz="6" w:space="0" w:color="414142"/>
              <w:left w:val="outset" w:sz="6" w:space="0" w:color="414142"/>
              <w:right w:val="outset" w:sz="6" w:space="0" w:color="414142"/>
            </w:tcBorders>
            <w:shd w:val="clear" w:color="auto" w:fill="FFFFFF"/>
            <w:vAlign w:val="center"/>
            <w:hideMark/>
          </w:tcPr>
          <w:p w14:paraId="2E9F25B3" w14:textId="77777777" w:rsidR="005C5004" w:rsidRPr="004836A6" w:rsidRDefault="005C5004" w:rsidP="000D2356">
            <w:pPr>
              <w:ind w:right="136"/>
              <w:jc w:val="both"/>
              <w:rPr>
                <w:rFonts w:eastAsiaTheme="minorEastAsia"/>
                <w:color w:val="auto"/>
                <w:sz w:val="25"/>
                <w:szCs w:val="25"/>
              </w:rPr>
            </w:pPr>
            <w:r w:rsidRPr="004836A6">
              <w:rPr>
                <w:color w:val="auto"/>
                <w:sz w:val="25"/>
                <w:szCs w:val="25"/>
              </w:rPr>
              <w:t> </w:t>
            </w:r>
            <w:r w:rsidRPr="004836A6">
              <w:rPr>
                <w:rFonts w:eastAsiaTheme="minorEastAsia"/>
                <w:color w:val="auto"/>
                <w:sz w:val="25"/>
                <w:szCs w:val="25"/>
              </w:rPr>
              <w:t xml:space="preserve">Finansējums 2019. gadam atbilstoši likumam „Par valsts budžetu 2019. gadam”: </w:t>
            </w:r>
          </w:p>
          <w:p w14:paraId="2A760E82" w14:textId="77777777" w:rsidR="005C5004" w:rsidRPr="004836A6" w:rsidRDefault="005C5004" w:rsidP="000D2356">
            <w:pPr>
              <w:widowControl w:val="0"/>
              <w:jc w:val="both"/>
              <w:rPr>
                <w:noProof/>
                <w:color w:val="auto"/>
                <w:sz w:val="25"/>
                <w:szCs w:val="25"/>
              </w:rPr>
            </w:pPr>
            <w:r w:rsidRPr="004836A6">
              <w:rPr>
                <w:noProof/>
                <w:color w:val="auto"/>
                <w:sz w:val="25"/>
                <w:szCs w:val="25"/>
              </w:rPr>
              <w:t>Veselības ministrijas (NVD) budžeta programmas 33.00.00 “Veselības aprūpes nodrošināšana”:</w:t>
            </w:r>
          </w:p>
          <w:p w14:paraId="0E1759D6" w14:textId="77777777" w:rsidR="005C5004" w:rsidRPr="004836A6" w:rsidRDefault="005C5004" w:rsidP="000D2356">
            <w:pPr>
              <w:widowControl w:val="0"/>
              <w:jc w:val="both"/>
              <w:rPr>
                <w:noProof/>
                <w:color w:val="auto"/>
                <w:sz w:val="25"/>
                <w:szCs w:val="25"/>
              </w:rPr>
            </w:pPr>
            <w:r w:rsidRPr="004836A6">
              <w:rPr>
                <w:noProof/>
                <w:color w:val="auto"/>
                <w:sz w:val="25"/>
                <w:szCs w:val="25"/>
              </w:rPr>
              <w:t xml:space="preserve">   apakšprogrammā 33.15.00 “Laboratorisko izmeklējumu nodrošināšana ambulatorajā aprūpē”:</w:t>
            </w:r>
          </w:p>
          <w:p w14:paraId="30DE1A98"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Resursi izdevumu segšanai 36 376 569 </w:t>
            </w:r>
            <w:proofErr w:type="spellStart"/>
            <w:r w:rsidRPr="004836A6">
              <w:rPr>
                <w:rFonts w:eastAsiaTheme="minorEastAsia"/>
                <w:i/>
                <w:color w:val="auto"/>
                <w:sz w:val="25"/>
                <w:szCs w:val="25"/>
              </w:rPr>
              <w:t>euro</w:t>
            </w:r>
            <w:proofErr w:type="spellEnd"/>
            <w:r w:rsidRPr="004836A6">
              <w:rPr>
                <w:rFonts w:eastAsiaTheme="minorEastAsia"/>
                <w:color w:val="auto"/>
                <w:sz w:val="25"/>
                <w:szCs w:val="25"/>
              </w:rPr>
              <w:t xml:space="preserve"> </w:t>
            </w:r>
          </w:p>
          <w:p w14:paraId="53AF075E"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  Dotācija no vispārējiem ieņēmumiem 36 376 569 </w:t>
            </w:r>
            <w:proofErr w:type="spellStart"/>
            <w:r w:rsidRPr="004836A6">
              <w:rPr>
                <w:rFonts w:eastAsiaTheme="minorEastAsia"/>
                <w:i/>
                <w:color w:val="auto"/>
                <w:sz w:val="25"/>
                <w:szCs w:val="25"/>
              </w:rPr>
              <w:t>euro</w:t>
            </w:r>
            <w:proofErr w:type="spellEnd"/>
          </w:p>
          <w:p w14:paraId="7CBA8C4B"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Izdevumi 36 376 569 </w:t>
            </w:r>
            <w:proofErr w:type="spellStart"/>
            <w:r w:rsidRPr="004836A6">
              <w:rPr>
                <w:rFonts w:eastAsiaTheme="minorEastAsia"/>
                <w:i/>
                <w:color w:val="auto"/>
                <w:sz w:val="25"/>
                <w:szCs w:val="25"/>
              </w:rPr>
              <w:t>euro</w:t>
            </w:r>
            <w:proofErr w:type="spellEnd"/>
            <w:r w:rsidRPr="004836A6">
              <w:rPr>
                <w:rFonts w:eastAsiaTheme="minorEastAsia"/>
                <w:i/>
                <w:color w:val="auto"/>
                <w:sz w:val="25"/>
                <w:szCs w:val="25"/>
              </w:rPr>
              <w:t xml:space="preserve"> </w:t>
            </w:r>
          </w:p>
          <w:p w14:paraId="1BA50FB6" w14:textId="77777777" w:rsidR="005C5004" w:rsidRPr="004836A6" w:rsidRDefault="005C5004" w:rsidP="000D2356">
            <w:pPr>
              <w:rPr>
                <w:i/>
                <w:noProof/>
                <w:color w:val="auto"/>
                <w:sz w:val="25"/>
                <w:szCs w:val="25"/>
              </w:rPr>
            </w:pPr>
            <w:r w:rsidRPr="004836A6">
              <w:rPr>
                <w:noProof/>
                <w:color w:val="auto"/>
                <w:sz w:val="25"/>
                <w:szCs w:val="25"/>
              </w:rPr>
              <w:t xml:space="preserve">  Subsīdijas, dotācijas un sociālie pabalsti </w:t>
            </w:r>
            <w:r w:rsidRPr="004836A6">
              <w:rPr>
                <w:color w:val="auto"/>
                <w:sz w:val="25"/>
                <w:szCs w:val="25"/>
                <w:shd w:val="clear" w:color="auto" w:fill="FFFFFF"/>
                <w:lang w:bidi="lv-LV"/>
              </w:rPr>
              <w:t xml:space="preserve">36 362 968 </w:t>
            </w:r>
            <w:r w:rsidRPr="004836A6">
              <w:rPr>
                <w:i/>
                <w:noProof/>
                <w:color w:val="auto"/>
                <w:sz w:val="25"/>
                <w:szCs w:val="25"/>
              </w:rPr>
              <w:t>euro</w:t>
            </w:r>
          </w:p>
          <w:p w14:paraId="26587357" w14:textId="77777777" w:rsidR="005C5004" w:rsidRPr="004836A6" w:rsidRDefault="005C5004" w:rsidP="000D2356">
            <w:pPr>
              <w:rPr>
                <w:i/>
                <w:noProof/>
                <w:color w:val="auto"/>
                <w:sz w:val="25"/>
                <w:szCs w:val="25"/>
              </w:rPr>
            </w:pPr>
            <w:r w:rsidRPr="004836A6">
              <w:rPr>
                <w:noProof/>
                <w:color w:val="auto"/>
                <w:sz w:val="25"/>
                <w:szCs w:val="25"/>
              </w:rPr>
              <w:t xml:space="preserve">  Uzturēšanas izdevumu transferti 13 601 </w:t>
            </w:r>
            <w:r w:rsidRPr="004836A6">
              <w:rPr>
                <w:i/>
                <w:noProof/>
                <w:color w:val="auto"/>
                <w:sz w:val="25"/>
                <w:szCs w:val="25"/>
              </w:rPr>
              <w:t xml:space="preserve">euro  </w:t>
            </w:r>
          </w:p>
          <w:p w14:paraId="2A4D8941" w14:textId="77777777" w:rsidR="005C5004" w:rsidRPr="004836A6" w:rsidRDefault="005C5004" w:rsidP="000D2356">
            <w:pPr>
              <w:rPr>
                <w:i/>
                <w:noProof/>
                <w:color w:val="auto"/>
                <w:sz w:val="25"/>
                <w:szCs w:val="25"/>
              </w:rPr>
            </w:pPr>
          </w:p>
          <w:p w14:paraId="7B974260" w14:textId="77777777" w:rsidR="005C5004" w:rsidRPr="004836A6" w:rsidRDefault="005C5004" w:rsidP="000D2356">
            <w:pPr>
              <w:widowControl w:val="0"/>
              <w:jc w:val="both"/>
              <w:rPr>
                <w:noProof/>
                <w:color w:val="auto"/>
                <w:sz w:val="25"/>
                <w:szCs w:val="25"/>
              </w:rPr>
            </w:pPr>
            <w:r w:rsidRPr="004836A6">
              <w:rPr>
                <w:noProof/>
                <w:color w:val="auto"/>
                <w:sz w:val="25"/>
                <w:szCs w:val="25"/>
              </w:rPr>
              <w:t xml:space="preserve">  apakšprogrammā 33.16.00 “Pārējo ambulatoro veselības aprūpes pakalpojumu nodrošināšana”:</w:t>
            </w:r>
          </w:p>
          <w:p w14:paraId="74DA4CD1"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lastRenderedPageBreak/>
              <w:t xml:space="preserve">Resursi izdevumu segšanai 225 528 291 </w:t>
            </w:r>
            <w:proofErr w:type="spellStart"/>
            <w:r w:rsidRPr="004836A6">
              <w:rPr>
                <w:rFonts w:eastAsiaTheme="minorEastAsia"/>
                <w:i/>
                <w:color w:val="auto"/>
                <w:sz w:val="25"/>
                <w:szCs w:val="25"/>
              </w:rPr>
              <w:t>euro</w:t>
            </w:r>
            <w:proofErr w:type="spellEnd"/>
            <w:r w:rsidRPr="004836A6">
              <w:rPr>
                <w:rFonts w:eastAsiaTheme="minorEastAsia"/>
                <w:color w:val="auto"/>
                <w:sz w:val="25"/>
                <w:szCs w:val="25"/>
              </w:rPr>
              <w:t xml:space="preserve"> </w:t>
            </w:r>
          </w:p>
          <w:p w14:paraId="75C1D626"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  Ieņēmumi no maksas pakalpojumiem 25 052 </w:t>
            </w:r>
            <w:proofErr w:type="spellStart"/>
            <w:r w:rsidRPr="004836A6">
              <w:rPr>
                <w:rFonts w:eastAsiaTheme="minorEastAsia"/>
                <w:i/>
                <w:color w:val="auto"/>
                <w:sz w:val="25"/>
                <w:szCs w:val="25"/>
              </w:rPr>
              <w:t>euro</w:t>
            </w:r>
            <w:proofErr w:type="spellEnd"/>
          </w:p>
          <w:p w14:paraId="2841631F"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  Dotācija no vispārējiem ieņēmumiem 225 503 239 </w:t>
            </w:r>
            <w:proofErr w:type="spellStart"/>
            <w:r w:rsidRPr="004836A6">
              <w:rPr>
                <w:rFonts w:eastAsiaTheme="minorEastAsia"/>
                <w:i/>
                <w:color w:val="auto"/>
                <w:sz w:val="25"/>
                <w:szCs w:val="25"/>
              </w:rPr>
              <w:t>euro</w:t>
            </w:r>
            <w:proofErr w:type="spellEnd"/>
          </w:p>
          <w:p w14:paraId="6F8464B7"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Izdevumi 225 528 291 </w:t>
            </w:r>
            <w:proofErr w:type="spellStart"/>
            <w:r w:rsidRPr="004836A6">
              <w:rPr>
                <w:rFonts w:eastAsiaTheme="minorEastAsia"/>
                <w:i/>
                <w:color w:val="auto"/>
                <w:sz w:val="25"/>
                <w:szCs w:val="25"/>
              </w:rPr>
              <w:t>euro</w:t>
            </w:r>
            <w:proofErr w:type="spellEnd"/>
            <w:r w:rsidRPr="004836A6">
              <w:rPr>
                <w:rFonts w:eastAsiaTheme="minorEastAsia"/>
                <w:i/>
                <w:color w:val="auto"/>
                <w:sz w:val="25"/>
                <w:szCs w:val="25"/>
              </w:rPr>
              <w:t xml:space="preserve"> </w:t>
            </w:r>
          </w:p>
          <w:p w14:paraId="4518B31F" w14:textId="77777777" w:rsidR="005C5004" w:rsidRPr="004836A6" w:rsidRDefault="005C5004" w:rsidP="000D2356">
            <w:pPr>
              <w:rPr>
                <w:i/>
                <w:noProof/>
                <w:color w:val="auto"/>
                <w:sz w:val="25"/>
                <w:szCs w:val="25"/>
              </w:rPr>
            </w:pPr>
            <w:r w:rsidRPr="004836A6">
              <w:rPr>
                <w:noProof/>
                <w:color w:val="auto"/>
                <w:sz w:val="25"/>
                <w:szCs w:val="25"/>
              </w:rPr>
              <w:t xml:space="preserve">  Subsīdijas, dotācijas un sociālie pabalsti 224 848 079</w:t>
            </w:r>
            <w:r w:rsidRPr="004836A6">
              <w:rPr>
                <w:color w:val="auto"/>
                <w:sz w:val="25"/>
                <w:szCs w:val="25"/>
                <w:shd w:val="clear" w:color="auto" w:fill="FFFFFF"/>
                <w:lang w:bidi="lv-LV"/>
              </w:rPr>
              <w:t xml:space="preserve"> </w:t>
            </w:r>
            <w:r w:rsidRPr="004836A6">
              <w:rPr>
                <w:i/>
                <w:noProof/>
                <w:color w:val="auto"/>
                <w:sz w:val="25"/>
                <w:szCs w:val="25"/>
              </w:rPr>
              <w:t>euro</w:t>
            </w:r>
          </w:p>
          <w:p w14:paraId="5F9C82CD" w14:textId="77777777" w:rsidR="005C5004" w:rsidRPr="004836A6" w:rsidRDefault="005C5004" w:rsidP="000D2356">
            <w:pPr>
              <w:rPr>
                <w:i/>
                <w:noProof/>
                <w:color w:val="auto"/>
                <w:sz w:val="25"/>
                <w:szCs w:val="25"/>
              </w:rPr>
            </w:pPr>
            <w:r w:rsidRPr="004836A6">
              <w:rPr>
                <w:noProof/>
                <w:color w:val="auto"/>
                <w:sz w:val="25"/>
                <w:szCs w:val="25"/>
              </w:rPr>
              <w:t xml:space="preserve">  Uzturēšanas izdevumu transferti 680 212 </w:t>
            </w:r>
            <w:r w:rsidRPr="004836A6">
              <w:rPr>
                <w:i/>
                <w:noProof/>
                <w:color w:val="auto"/>
                <w:sz w:val="25"/>
                <w:szCs w:val="25"/>
              </w:rPr>
              <w:t xml:space="preserve">euro  </w:t>
            </w:r>
          </w:p>
          <w:p w14:paraId="1252EAD0" w14:textId="77777777" w:rsidR="005C5004" w:rsidRPr="004836A6" w:rsidRDefault="005C5004" w:rsidP="000D2356">
            <w:pPr>
              <w:tabs>
                <w:tab w:val="left" w:pos="512"/>
              </w:tabs>
              <w:ind w:right="136"/>
              <w:jc w:val="both"/>
              <w:rPr>
                <w:rFonts w:eastAsiaTheme="minorEastAsia"/>
                <w:color w:val="auto"/>
                <w:sz w:val="25"/>
                <w:szCs w:val="25"/>
                <w:highlight w:val="yellow"/>
              </w:rPr>
            </w:pPr>
          </w:p>
          <w:p w14:paraId="1206D61A" w14:textId="77777777" w:rsidR="005C5004" w:rsidRPr="004836A6" w:rsidRDefault="005C5004" w:rsidP="000D2356">
            <w:pPr>
              <w:tabs>
                <w:tab w:val="left" w:pos="512"/>
              </w:tabs>
              <w:ind w:right="136"/>
              <w:jc w:val="both"/>
              <w:rPr>
                <w:rFonts w:eastAsiaTheme="minorEastAsia"/>
                <w:color w:val="auto"/>
                <w:sz w:val="25"/>
                <w:szCs w:val="25"/>
                <w:highlight w:val="yellow"/>
              </w:rPr>
            </w:pPr>
            <w:r w:rsidRPr="004836A6">
              <w:rPr>
                <w:color w:val="000000"/>
                <w:sz w:val="25"/>
                <w:szCs w:val="25"/>
                <w:shd w:val="clear" w:color="auto" w:fill="FFFFFF"/>
              </w:rPr>
              <w:t xml:space="preserve">2020.gadam maksimāli pieļaujamais valsts pamatbudžeta izdevumu apjoms Veselības ministrijas (NVD) budžeta programmas </w:t>
            </w:r>
            <w:r w:rsidRPr="004836A6">
              <w:rPr>
                <w:noProof/>
                <w:color w:val="auto"/>
                <w:sz w:val="25"/>
                <w:szCs w:val="25"/>
              </w:rPr>
              <w:t>33.00.00 “Veselības aprūpes nodrošināšana”:</w:t>
            </w:r>
          </w:p>
          <w:p w14:paraId="2B506130" w14:textId="77777777" w:rsidR="005C5004" w:rsidRPr="004836A6" w:rsidRDefault="005C5004" w:rsidP="000D2356">
            <w:pPr>
              <w:widowControl w:val="0"/>
              <w:jc w:val="both"/>
              <w:rPr>
                <w:noProof/>
                <w:color w:val="auto"/>
                <w:sz w:val="25"/>
                <w:szCs w:val="25"/>
              </w:rPr>
            </w:pPr>
            <w:r w:rsidRPr="004836A6">
              <w:rPr>
                <w:noProof/>
                <w:color w:val="auto"/>
                <w:sz w:val="25"/>
                <w:szCs w:val="25"/>
              </w:rPr>
              <w:t>apakšprogrammā 33.15.00 “Laboratorisko izmeklējumu nodrošināšana ambulatorajā aprūpē”:</w:t>
            </w:r>
          </w:p>
          <w:p w14:paraId="45AD3BB0"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Resursi izdevumu segšanai 33 403 557 </w:t>
            </w:r>
            <w:proofErr w:type="spellStart"/>
            <w:r w:rsidRPr="004836A6">
              <w:rPr>
                <w:rFonts w:eastAsiaTheme="minorEastAsia"/>
                <w:i/>
                <w:color w:val="auto"/>
                <w:sz w:val="25"/>
                <w:szCs w:val="25"/>
              </w:rPr>
              <w:t>euro</w:t>
            </w:r>
            <w:proofErr w:type="spellEnd"/>
            <w:r w:rsidRPr="004836A6">
              <w:rPr>
                <w:rFonts w:eastAsiaTheme="minorEastAsia"/>
                <w:color w:val="auto"/>
                <w:sz w:val="25"/>
                <w:szCs w:val="25"/>
              </w:rPr>
              <w:t xml:space="preserve"> </w:t>
            </w:r>
          </w:p>
          <w:p w14:paraId="21D7B332"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  Dotācija no vispārējiem ieņēmumiem 33 403 557 </w:t>
            </w:r>
            <w:proofErr w:type="spellStart"/>
            <w:r w:rsidRPr="004836A6">
              <w:rPr>
                <w:rFonts w:eastAsiaTheme="minorEastAsia"/>
                <w:i/>
                <w:color w:val="auto"/>
                <w:sz w:val="25"/>
                <w:szCs w:val="25"/>
              </w:rPr>
              <w:t>euro</w:t>
            </w:r>
            <w:proofErr w:type="spellEnd"/>
          </w:p>
          <w:p w14:paraId="6B0239FC"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Izdevumi 33 403 557 </w:t>
            </w:r>
            <w:proofErr w:type="spellStart"/>
            <w:r w:rsidRPr="004836A6">
              <w:rPr>
                <w:rFonts w:eastAsiaTheme="minorEastAsia"/>
                <w:i/>
                <w:color w:val="auto"/>
                <w:sz w:val="25"/>
                <w:szCs w:val="25"/>
              </w:rPr>
              <w:t>euro</w:t>
            </w:r>
            <w:proofErr w:type="spellEnd"/>
            <w:r w:rsidRPr="004836A6">
              <w:rPr>
                <w:rFonts w:eastAsiaTheme="minorEastAsia"/>
                <w:i/>
                <w:color w:val="auto"/>
                <w:sz w:val="25"/>
                <w:szCs w:val="25"/>
              </w:rPr>
              <w:t xml:space="preserve"> </w:t>
            </w:r>
          </w:p>
          <w:p w14:paraId="4F777AEC" w14:textId="77777777" w:rsidR="005C5004" w:rsidRPr="004836A6" w:rsidRDefault="005C5004" w:rsidP="000D2356">
            <w:pPr>
              <w:rPr>
                <w:i/>
                <w:noProof/>
                <w:color w:val="auto"/>
                <w:sz w:val="25"/>
                <w:szCs w:val="25"/>
              </w:rPr>
            </w:pPr>
            <w:r w:rsidRPr="004836A6">
              <w:rPr>
                <w:noProof/>
                <w:color w:val="auto"/>
                <w:sz w:val="25"/>
                <w:szCs w:val="25"/>
              </w:rPr>
              <w:t xml:space="preserve">  Subsīdijas, dotācijas un sociālie pabalsti 33 397 998</w:t>
            </w:r>
            <w:r w:rsidRPr="004836A6">
              <w:rPr>
                <w:color w:val="auto"/>
                <w:sz w:val="25"/>
                <w:szCs w:val="25"/>
                <w:shd w:val="clear" w:color="auto" w:fill="FFFFFF"/>
                <w:lang w:bidi="lv-LV"/>
              </w:rPr>
              <w:t xml:space="preserve"> </w:t>
            </w:r>
            <w:r w:rsidRPr="004836A6">
              <w:rPr>
                <w:i/>
                <w:noProof/>
                <w:color w:val="auto"/>
                <w:sz w:val="25"/>
                <w:szCs w:val="25"/>
              </w:rPr>
              <w:t>euro</w:t>
            </w:r>
          </w:p>
          <w:p w14:paraId="35B38BAC" w14:textId="77777777" w:rsidR="005C5004" w:rsidRPr="004836A6" w:rsidRDefault="005C5004" w:rsidP="000D2356">
            <w:pPr>
              <w:rPr>
                <w:i/>
                <w:noProof/>
                <w:color w:val="auto"/>
                <w:sz w:val="25"/>
                <w:szCs w:val="25"/>
              </w:rPr>
            </w:pPr>
            <w:r w:rsidRPr="004836A6">
              <w:rPr>
                <w:noProof/>
                <w:color w:val="auto"/>
                <w:sz w:val="25"/>
                <w:szCs w:val="25"/>
              </w:rPr>
              <w:t xml:space="preserve">  Transferti viena budžeta veida ietvaros un uzturēšanas izdevumu transferti starp budžeta veidiem 5 559 </w:t>
            </w:r>
            <w:r w:rsidRPr="004836A6">
              <w:rPr>
                <w:i/>
                <w:noProof/>
                <w:color w:val="auto"/>
                <w:sz w:val="25"/>
                <w:szCs w:val="25"/>
              </w:rPr>
              <w:t xml:space="preserve">euro  </w:t>
            </w:r>
          </w:p>
          <w:p w14:paraId="44021A74" w14:textId="77777777" w:rsidR="005C5004" w:rsidRPr="004836A6" w:rsidRDefault="005C5004" w:rsidP="000D2356">
            <w:pPr>
              <w:rPr>
                <w:i/>
                <w:noProof/>
                <w:color w:val="auto"/>
                <w:sz w:val="25"/>
                <w:szCs w:val="25"/>
              </w:rPr>
            </w:pPr>
          </w:p>
          <w:p w14:paraId="1FBDAD3C" w14:textId="77777777" w:rsidR="005C5004" w:rsidRPr="004836A6" w:rsidRDefault="005C5004" w:rsidP="000D2356">
            <w:pPr>
              <w:widowControl w:val="0"/>
              <w:jc w:val="both"/>
              <w:rPr>
                <w:noProof/>
                <w:color w:val="auto"/>
                <w:sz w:val="25"/>
                <w:szCs w:val="25"/>
              </w:rPr>
            </w:pPr>
            <w:r w:rsidRPr="004836A6">
              <w:rPr>
                <w:noProof/>
                <w:color w:val="auto"/>
                <w:sz w:val="25"/>
                <w:szCs w:val="25"/>
              </w:rPr>
              <w:t xml:space="preserve">  apakšprogrammā 33.16.00 “Pārējo ambulatoro veselības aprūpes pakalpojumu nodrošināšana”:</w:t>
            </w:r>
          </w:p>
          <w:p w14:paraId="4AAB8926"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Resursi izdevumu segšanai 157 809 329 </w:t>
            </w:r>
            <w:proofErr w:type="spellStart"/>
            <w:r w:rsidRPr="004836A6">
              <w:rPr>
                <w:rFonts w:eastAsiaTheme="minorEastAsia"/>
                <w:i/>
                <w:color w:val="auto"/>
                <w:sz w:val="25"/>
                <w:szCs w:val="25"/>
              </w:rPr>
              <w:t>euro</w:t>
            </w:r>
            <w:proofErr w:type="spellEnd"/>
            <w:r w:rsidRPr="004836A6">
              <w:rPr>
                <w:rFonts w:eastAsiaTheme="minorEastAsia"/>
                <w:color w:val="auto"/>
                <w:sz w:val="25"/>
                <w:szCs w:val="25"/>
              </w:rPr>
              <w:t xml:space="preserve"> </w:t>
            </w:r>
          </w:p>
          <w:p w14:paraId="31B9530B"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  Ieņēmumi no maksas pakalpojumiem 25 052 </w:t>
            </w:r>
            <w:proofErr w:type="spellStart"/>
            <w:r w:rsidRPr="004836A6">
              <w:rPr>
                <w:rFonts w:eastAsiaTheme="minorEastAsia"/>
                <w:i/>
                <w:color w:val="auto"/>
                <w:sz w:val="25"/>
                <w:szCs w:val="25"/>
              </w:rPr>
              <w:t>euro</w:t>
            </w:r>
            <w:proofErr w:type="spellEnd"/>
          </w:p>
          <w:p w14:paraId="2DB3977A"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  Dotācija no vispārējiem ieņēmumiem 175 784 277 </w:t>
            </w:r>
            <w:proofErr w:type="spellStart"/>
            <w:r w:rsidRPr="004836A6">
              <w:rPr>
                <w:rFonts w:eastAsiaTheme="minorEastAsia"/>
                <w:i/>
                <w:color w:val="auto"/>
                <w:sz w:val="25"/>
                <w:szCs w:val="25"/>
              </w:rPr>
              <w:t>euro</w:t>
            </w:r>
            <w:proofErr w:type="spellEnd"/>
          </w:p>
          <w:p w14:paraId="5DC6EBED"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Izdevumi  157 809 329 </w:t>
            </w:r>
            <w:proofErr w:type="spellStart"/>
            <w:r w:rsidRPr="004836A6">
              <w:rPr>
                <w:rFonts w:eastAsiaTheme="minorEastAsia"/>
                <w:i/>
                <w:color w:val="auto"/>
                <w:sz w:val="25"/>
                <w:szCs w:val="25"/>
              </w:rPr>
              <w:t>euro</w:t>
            </w:r>
            <w:proofErr w:type="spellEnd"/>
            <w:r w:rsidRPr="004836A6">
              <w:rPr>
                <w:rFonts w:eastAsiaTheme="minorEastAsia"/>
                <w:i/>
                <w:color w:val="auto"/>
                <w:sz w:val="25"/>
                <w:szCs w:val="25"/>
              </w:rPr>
              <w:t xml:space="preserve"> </w:t>
            </w:r>
          </w:p>
          <w:p w14:paraId="3355BD50" w14:textId="77777777" w:rsidR="005C5004" w:rsidRPr="004836A6" w:rsidRDefault="005C5004" w:rsidP="000D2356">
            <w:pPr>
              <w:rPr>
                <w:i/>
                <w:noProof/>
                <w:color w:val="auto"/>
                <w:sz w:val="25"/>
                <w:szCs w:val="25"/>
              </w:rPr>
            </w:pPr>
            <w:r w:rsidRPr="004836A6">
              <w:rPr>
                <w:noProof/>
                <w:color w:val="auto"/>
                <w:sz w:val="25"/>
                <w:szCs w:val="25"/>
              </w:rPr>
              <w:t xml:space="preserve">  Subsīdijas, dotācijas un sociālie pabalsti 157 129 117</w:t>
            </w:r>
            <w:r w:rsidRPr="004836A6">
              <w:rPr>
                <w:color w:val="auto"/>
                <w:sz w:val="25"/>
                <w:szCs w:val="25"/>
                <w:shd w:val="clear" w:color="auto" w:fill="FFFFFF"/>
                <w:lang w:bidi="lv-LV"/>
              </w:rPr>
              <w:t xml:space="preserve"> </w:t>
            </w:r>
            <w:r w:rsidRPr="004836A6">
              <w:rPr>
                <w:i/>
                <w:noProof/>
                <w:color w:val="auto"/>
                <w:sz w:val="25"/>
                <w:szCs w:val="25"/>
              </w:rPr>
              <w:t>euro</w:t>
            </w:r>
          </w:p>
          <w:p w14:paraId="7B4C7436" w14:textId="77777777" w:rsidR="005C5004" w:rsidRPr="004836A6" w:rsidRDefault="005C5004" w:rsidP="000D2356">
            <w:pPr>
              <w:rPr>
                <w:i/>
                <w:noProof/>
                <w:color w:val="auto"/>
                <w:sz w:val="25"/>
                <w:szCs w:val="25"/>
              </w:rPr>
            </w:pPr>
            <w:r w:rsidRPr="004836A6">
              <w:rPr>
                <w:noProof/>
                <w:color w:val="auto"/>
                <w:sz w:val="25"/>
                <w:szCs w:val="25"/>
              </w:rPr>
              <w:t xml:space="preserve">  Transferti viena budžeta veida ietvaros un uzturēšanas izdevumu transferti starp budžeta veidiem 680 212 </w:t>
            </w:r>
            <w:r w:rsidRPr="004836A6">
              <w:rPr>
                <w:i/>
                <w:noProof/>
                <w:color w:val="auto"/>
                <w:sz w:val="25"/>
                <w:szCs w:val="25"/>
              </w:rPr>
              <w:t xml:space="preserve">euro  </w:t>
            </w:r>
          </w:p>
          <w:p w14:paraId="3F1326C4" w14:textId="77777777" w:rsidR="005C5004" w:rsidRPr="004836A6" w:rsidRDefault="005C5004" w:rsidP="000D2356">
            <w:pPr>
              <w:jc w:val="both"/>
              <w:rPr>
                <w:noProof/>
                <w:color w:val="auto"/>
                <w:sz w:val="25"/>
                <w:szCs w:val="25"/>
              </w:rPr>
            </w:pPr>
          </w:p>
          <w:p w14:paraId="5CC2FD73" w14:textId="77777777" w:rsidR="005C5004" w:rsidRPr="004836A6" w:rsidRDefault="005C5004" w:rsidP="000D2356">
            <w:pPr>
              <w:tabs>
                <w:tab w:val="left" w:pos="512"/>
              </w:tabs>
              <w:ind w:right="136"/>
              <w:jc w:val="both"/>
              <w:rPr>
                <w:rFonts w:eastAsiaTheme="minorEastAsia"/>
                <w:color w:val="auto"/>
                <w:sz w:val="25"/>
                <w:szCs w:val="25"/>
                <w:highlight w:val="yellow"/>
              </w:rPr>
            </w:pPr>
            <w:r w:rsidRPr="004836A6">
              <w:rPr>
                <w:color w:val="000000"/>
                <w:sz w:val="25"/>
                <w:szCs w:val="25"/>
                <w:shd w:val="clear" w:color="auto" w:fill="FFFFFF"/>
              </w:rPr>
              <w:t xml:space="preserve">2021.gadam maksimāli pieļaujamais valsts pamatbudžeta izdevumu apjoms Veselības ministrijas (NVD) budžeta programmas </w:t>
            </w:r>
            <w:r w:rsidRPr="004836A6">
              <w:rPr>
                <w:noProof/>
                <w:color w:val="auto"/>
                <w:sz w:val="25"/>
                <w:szCs w:val="25"/>
              </w:rPr>
              <w:t>33.00.00 “Veselības aprūpes nodrošināšana”:</w:t>
            </w:r>
          </w:p>
          <w:p w14:paraId="3F821339" w14:textId="77777777" w:rsidR="005C5004" w:rsidRPr="004836A6" w:rsidRDefault="005C5004" w:rsidP="000D2356">
            <w:pPr>
              <w:widowControl w:val="0"/>
              <w:jc w:val="both"/>
              <w:rPr>
                <w:noProof/>
                <w:color w:val="auto"/>
                <w:sz w:val="25"/>
                <w:szCs w:val="25"/>
              </w:rPr>
            </w:pPr>
            <w:r w:rsidRPr="004836A6">
              <w:rPr>
                <w:noProof/>
                <w:color w:val="auto"/>
                <w:sz w:val="25"/>
                <w:szCs w:val="25"/>
              </w:rPr>
              <w:t>apakšprogrammā 33.15.00 “Laboratorisko izmeklējumu nodrošināšana ambulatorajā aprūpē”:</w:t>
            </w:r>
          </w:p>
          <w:p w14:paraId="7C284181"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Resursi izdevumu segšanai 33 403 557 </w:t>
            </w:r>
            <w:proofErr w:type="spellStart"/>
            <w:r w:rsidRPr="004836A6">
              <w:rPr>
                <w:rFonts w:eastAsiaTheme="minorEastAsia"/>
                <w:i/>
                <w:color w:val="auto"/>
                <w:sz w:val="25"/>
                <w:szCs w:val="25"/>
              </w:rPr>
              <w:t>euro</w:t>
            </w:r>
            <w:proofErr w:type="spellEnd"/>
            <w:r w:rsidRPr="004836A6">
              <w:rPr>
                <w:rFonts w:eastAsiaTheme="minorEastAsia"/>
                <w:color w:val="auto"/>
                <w:sz w:val="25"/>
                <w:szCs w:val="25"/>
              </w:rPr>
              <w:t xml:space="preserve"> </w:t>
            </w:r>
          </w:p>
          <w:p w14:paraId="2F65DCDD"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  Dotācija no vispārējiem ieņēmumiem 33 403 557 </w:t>
            </w:r>
            <w:proofErr w:type="spellStart"/>
            <w:r w:rsidRPr="004836A6">
              <w:rPr>
                <w:rFonts w:eastAsiaTheme="minorEastAsia"/>
                <w:i/>
                <w:color w:val="auto"/>
                <w:sz w:val="25"/>
                <w:szCs w:val="25"/>
              </w:rPr>
              <w:t>euro</w:t>
            </w:r>
            <w:proofErr w:type="spellEnd"/>
          </w:p>
          <w:p w14:paraId="71D6CC72"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Izdevumi 33 403 557 </w:t>
            </w:r>
            <w:proofErr w:type="spellStart"/>
            <w:r w:rsidRPr="004836A6">
              <w:rPr>
                <w:rFonts w:eastAsiaTheme="minorEastAsia"/>
                <w:i/>
                <w:color w:val="auto"/>
                <w:sz w:val="25"/>
                <w:szCs w:val="25"/>
              </w:rPr>
              <w:t>euro</w:t>
            </w:r>
            <w:proofErr w:type="spellEnd"/>
            <w:r w:rsidRPr="004836A6">
              <w:rPr>
                <w:rFonts w:eastAsiaTheme="minorEastAsia"/>
                <w:i/>
                <w:color w:val="auto"/>
                <w:sz w:val="25"/>
                <w:szCs w:val="25"/>
              </w:rPr>
              <w:t xml:space="preserve"> </w:t>
            </w:r>
          </w:p>
          <w:p w14:paraId="586E1A2A" w14:textId="77777777" w:rsidR="005C5004" w:rsidRPr="004836A6" w:rsidRDefault="005C5004" w:rsidP="000D2356">
            <w:pPr>
              <w:rPr>
                <w:i/>
                <w:noProof/>
                <w:color w:val="auto"/>
                <w:sz w:val="25"/>
                <w:szCs w:val="25"/>
              </w:rPr>
            </w:pPr>
            <w:r w:rsidRPr="004836A6">
              <w:rPr>
                <w:noProof/>
                <w:color w:val="auto"/>
                <w:sz w:val="25"/>
                <w:szCs w:val="25"/>
              </w:rPr>
              <w:t xml:space="preserve">  Subsīdijas, dotācijas un sociālie pabalsti 33 397 998</w:t>
            </w:r>
            <w:r w:rsidRPr="004836A6">
              <w:rPr>
                <w:color w:val="auto"/>
                <w:sz w:val="25"/>
                <w:szCs w:val="25"/>
                <w:shd w:val="clear" w:color="auto" w:fill="FFFFFF"/>
                <w:lang w:bidi="lv-LV"/>
              </w:rPr>
              <w:t xml:space="preserve"> </w:t>
            </w:r>
            <w:r w:rsidRPr="004836A6">
              <w:rPr>
                <w:i/>
                <w:noProof/>
                <w:color w:val="auto"/>
                <w:sz w:val="25"/>
                <w:szCs w:val="25"/>
              </w:rPr>
              <w:t>euro</w:t>
            </w:r>
          </w:p>
          <w:p w14:paraId="12EE94B4" w14:textId="77777777" w:rsidR="005C5004" w:rsidRPr="004836A6" w:rsidRDefault="005C5004" w:rsidP="000D2356">
            <w:pPr>
              <w:rPr>
                <w:i/>
                <w:noProof/>
                <w:color w:val="auto"/>
                <w:sz w:val="25"/>
                <w:szCs w:val="25"/>
              </w:rPr>
            </w:pPr>
            <w:r w:rsidRPr="004836A6">
              <w:rPr>
                <w:noProof/>
                <w:color w:val="auto"/>
                <w:sz w:val="25"/>
                <w:szCs w:val="25"/>
              </w:rPr>
              <w:t xml:space="preserve">  Transferti viena budžeta veida ietvaros un uzturēšanas izdevumu transferti starp budžeta veidiem 5 559 </w:t>
            </w:r>
            <w:r w:rsidRPr="004836A6">
              <w:rPr>
                <w:i/>
                <w:noProof/>
                <w:color w:val="auto"/>
                <w:sz w:val="25"/>
                <w:szCs w:val="25"/>
              </w:rPr>
              <w:t xml:space="preserve">euro  </w:t>
            </w:r>
          </w:p>
          <w:p w14:paraId="65CB6FE4" w14:textId="77777777" w:rsidR="005C5004" w:rsidRPr="004836A6" w:rsidRDefault="005C5004" w:rsidP="000D2356">
            <w:pPr>
              <w:rPr>
                <w:i/>
                <w:noProof/>
                <w:color w:val="auto"/>
                <w:sz w:val="25"/>
                <w:szCs w:val="25"/>
              </w:rPr>
            </w:pPr>
          </w:p>
          <w:p w14:paraId="48906800" w14:textId="77777777" w:rsidR="005C5004" w:rsidRPr="004836A6" w:rsidRDefault="005C5004" w:rsidP="000D2356">
            <w:pPr>
              <w:widowControl w:val="0"/>
              <w:jc w:val="both"/>
              <w:rPr>
                <w:noProof/>
                <w:color w:val="auto"/>
                <w:sz w:val="25"/>
                <w:szCs w:val="25"/>
              </w:rPr>
            </w:pPr>
            <w:r w:rsidRPr="004836A6">
              <w:rPr>
                <w:noProof/>
                <w:color w:val="auto"/>
                <w:sz w:val="25"/>
                <w:szCs w:val="25"/>
              </w:rPr>
              <w:t xml:space="preserve">  apakšprogrammā 33.16.00 “Pārējo ambulatoro veselības aprūpes pakalpojumu nodrošināšana”:</w:t>
            </w:r>
          </w:p>
          <w:p w14:paraId="66F2B099"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Resursi izdevumu segšanai 157 862 930 </w:t>
            </w:r>
            <w:proofErr w:type="spellStart"/>
            <w:r w:rsidRPr="004836A6">
              <w:rPr>
                <w:rFonts w:eastAsiaTheme="minorEastAsia"/>
                <w:i/>
                <w:color w:val="auto"/>
                <w:sz w:val="25"/>
                <w:szCs w:val="25"/>
              </w:rPr>
              <w:t>euro</w:t>
            </w:r>
            <w:proofErr w:type="spellEnd"/>
            <w:r w:rsidRPr="004836A6">
              <w:rPr>
                <w:rFonts w:eastAsiaTheme="minorEastAsia"/>
                <w:color w:val="auto"/>
                <w:sz w:val="25"/>
                <w:szCs w:val="25"/>
              </w:rPr>
              <w:t xml:space="preserve"> </w:t>
            </w:r>
          </w:p>
          <w:p w14:paraId="076DCD4E"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  Ieņēmumi no maksas pakalpojumiem 25 052 </w:t>
            </w:r>
            <w:proofErr w:type="spellStart"/>
            <w:r w:rsidRPr="004836A6">
              <w:rPr>
                <w:rFonts w:eastAsiaTheme="minorEastAsia"/>
                <w:i/>
                <w:color w:val="auto"/>
                <w:sz w:val="25"/>
                <w:szCs w:val="25"/>
              </w:rPr>
              <w:t>euro</w:t>
            </w:r>
            <w:proofErr w:type="spellEnd"/>
          </w:p>
          <w:p w14:paraId="1A69D625"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  Dotācija no vispārējiem ieņēmumiem 175 837 878 </w:t>
            </w:r>
            <w:proofErr w:type="spellStart"/>
            <w:r w:rsidRPr="004836A6">
              <w:rPr>
                <w:rFonts w:eastAsiaTheme="minorEastAsia"/>
                <w:i/>
                <w:color w:val="auto"/>
                <w:sz w:val="25"/>
                <w:szCs w:val="25"/>
              </w:rPr>
              <w:t>euro</w:t>
            </w:r>
            <w:proofErr w:type="spellEnd"/>
          </w:p>
          <w:p w14:paraId="694914BE" w14:textId="77777777" w:rsidR="005C5004" w:rsidRPr="004836A6" w:rsidRDefault="005C5004" w:rsidP="000D2356">
            <w:pPr>
              <w:ind w:right="135"/>
              <w:jc w:val="both"/>
              <w:rPr>
                <w:rFonts w:eastAsiaTheme="minorEastAsia"/>
                <w:color w:val="auto"/>
                <w:sz w:val="25"/>
                <w:szCs w:val="25"/>
              </w:rPr>
            </w:pPr>
            <w:r w:rsidRPr="004836A6">
              <w:rPr>
                <w:rFonts w:eastAsiaTheme="minorEastAsia"/>
                <w:color w:val="auto"/>
                <w:sz w:val="25"/>
                <w:szCs w:val="25"/>
              </w:rPr>
              <w:t xml:space="preserve">Izdevumi  157 862 930 </w:t>
            </w:r>
            <w:proofErr w:type="spellStart"/>
            <w:r w:rsidRPr="004836A6">
              <w:rPr>
                <w:rFonts w:eastAsiaTheme="minorEastAsia"/>
                <w:i/>
                <w:color w:val="auto"/>
                <w:sz w:val="25"/>
                <w:szCs w:val="25"/>
              </w:rPr>
              <w:t>euro</w:t>
            </w:r>
            <w:proofErr w:type="spellEnd"/>
            <w:r w:rsidRPr="004836A6">
              <w:rPr>
                <w:rFonts w:eastAsiaTheme="minorEastAsia"/>
                <w:i/>
                <w:color w:val="auto"/>
                <w:sz w:val="25"/>
                <w:szCs w:val="25"/>
              </w:rPr>
              <w:t xml:space="preserve"> </w:t>
            </w:r>
          </w:p>
          <w:p w14:paraId="33ADABEB" w14:textId="77777777" w:rsidR="005C5004" w:rsidRPr="004836A6" w:rsidRDefault="005C5004" w:rsidP="000D2356">
            <w:pPr>
              <w:rPr>
                <w:i/>
                <w:noProof/>
                <w:color w:val="auto"/>
                <w:sz w:val="25"/>
                <w:szCs w:val="25"/>
              </w:rPr>
            </w:pPr>
            <w:r w:rsidRPr="004836A6">
              <w:rPr>
                <w:noProof/>
                <w:color w:val="auto"/>
                <w:sz w:val="25"/>
                <w:szCs w:val="25"/>
              </w:rPr>
              <w:t xml:space="preserve">  Subsīdijas, dotācijas un sociālie pabalsti 157 182 718</w:t>
            </w:r>
            <w:r w:rsidRPr="004836A6">
              <w:rPr>
                <w:color w:val="auto"/>
                <w:sz w:val="25"/>
                <w:szCs w:val="25"/>
                <w:shd w:val="clear" w:color="auto" w:fill="FFFFFF"/>
                <w:lang w:bidi="lv-LV"/>
              </w:rPr>
              <w:t xml:space="preserve"> </w:t>
            </w:r>
            <w:r w:rsidRPr="004836A6">
              <w:rPr>
                <w:i/>
                <w:noProof/>
                <w:color w:val="auto"/>
                <w:sz w:val="25"/>
                <w:szCs w:val="25"/>
              </w:rPr>
              <w:t>euro</w:t>
            </w:r>
          </w:p>
          <w:p w14:paraId="28A9299E" w14:textId="77777777" w:rsidR="005C5004" w:rsidRPr="004836A6" w:rsidRDefault="005C5004" w:rsidP="000D2356">
            <w:pPr>
              <w:rPr>
                <w:i/>
                <w:noProof/>
                <w:color w:val="auto"/>
                <w:sz w:val="25"/>
                <w:szCs w:val="25"/>
              </w:rPr>
            </w:pPr>
            <w:r w:rsidRPr="004836A6">
              <w:rPr>
                <w:noProof/>
                <w:color w:val="auto"/>
                <w:sz w:val="25"/>
                <w:szCs w:val="25"/>
              </w:rPr>
              <w:lastRenderedPageBreak/>
              <w:t xml:space="preserve">  Transferti viena budžeta veida ietvaros un uzturēšanas izdevumu transferti starp budžeta veidiem 680 212 </w:t>
            </w:r>
            <w:r w:rsidRPr="004836A6">
              <w:rPr>
                <w:i/>
                <w:noProof/>
                <w:color w:val="auto"/>
                <w:sz w:val="25"/>
                <w:szCs w:val="25"/>
              </w:rPr>
              <w:t xml:space="preserve">euro  </w:t>
            </w:r>
          </w:p>
          <w:p w14:paraId="7CAE64AB" w14:textId="77777777" w:rsidR="005C5004" w:rsidRPr="004836A6" w:rsidRDefault="005C5004" w:rsidP="000D2356">
            <w:pPr>
              <w:jc w:val="both"/>
              <w:rPr>
                <w:noProof/>
                <w:color w:val="auto"/>
                <w:sz w:val="25"/>
                <w:szCs w:val="25"/>
              </w:rPr>
            </w:pPr>
          </w:p>
          <w:p w14:paraId="4958DEE5" w14:textId="77777777" w:rsidR="005C5004" w:rsidRPr="004836A6" w:rsidRDefault="005C5004" w:rsidP="000D2356">
            <w:pPr>
              <w:ind w:right="100"/>
              <w:jc w:val="both"/>
              <w:rPr>
                <w:rFonts w:eastAsia="Calibri"/>
                <w:bCs/>
                <w:color w:val="auto"/>
                <w:sz w:val="25"/>
                <w:szCs w:val="25"/>
              </w:rPr>
            </w:pPr>
            <w:r w:rsidRPr="004836A6">
              <w:rPr>
                <w:color w:val="auto"/>
                <w:sz w:val="25"/>
                <w:szCs w:val="25"/>
              </w:rPr>
              <w:t xml:space="preserve">Atbilstoši Ministru kabineta 2019.gada 8.janvāra sēdes protokola Nr.1 </w:t>
            </w:r>
            <w:r w:rsidRPr="004836A6">
              <w:rPr>
                <w:rFonts w:eastAsia="Calibri"/>
                <w:bCs/>
                <w:color w:val="auto"/>
                <w:sz w:val="25"/>
                <w:szCs w:val="25"/>
              </w:rPr>
              <w:t xml:space="preserve">33. §, Finanšu ministrijas 2019.gada 29.janvāra rīkojumam “Par apropriācijas pārdali” Veselības ministrijai no budžeta resora “74. Gadskārtējā valsts budžeta izpildes procesā pārdalāmais finansējums” 08.00.00 programmā “Veselības aprūpes sistēmas reformas ieviešanas finansējums” tika pārdalīts finansējums veselības aprūpes sistēmas reformas pasākumu īstenošanai 2019.gadam 154 205 000 </w:t>
            </w:r>
            <w:proofErr w:type="spellStart"/>
            <w:r w:rsidRPr="004836A6">
              <w:rPr>
                <w:rFonts w:eastAsia="Calibri"/>
                <w:bCs/>
                <w:color w:val="auto"/>
                <w:sz w:val="25"/>
                <w:szCs w:val="25"/>
              </w:rPr>
              <w:t>euro</w:t>
            </w:r>
            <w:proofErr w:type="spellEnd"/>
            <w:r w:rsidRPr="004836A6">
              <w:rPr>
                <w:rFonts w:eastAsia="Calibri"/>
                <w:bCs/>
                <w:color w:val="auto"/>
                <w:sz w:val="25"/>
                <w:szCs w:val="25"/>
              </w:rPr>
              <w:t xml:space="preserve"> apmērā.</w:t>
            </w:r>
          </w:p>
          <w:p w14:paraId="716BCAE2" w14:textId="77777777" w:rsidR="005C5004" w:rsidRPr="004836A6" w:rsidRDefault="005C5004" w:rsidP="000D2356">
            <w:pPr>
              <w:rPr>
                <w:i/>
                <w:noProof/>
                <w:color w:val="auto"/>
                <w:sz w:val="25"/>
                <w:szCs w:val="25"/>
              </w:rPr>
            </w:pPr>
          </w:p>
          <w:p w14:paraId="4F533C2F" w14:textId="77777777" w:rsidR="005C5004" w:rsidRPr="004836A6" w:rsidRDefault="005C5004" w:rsidP="000D2356">
            <w:pPr>
              <w:rPr>
                <w:rFonts w:eastAsiaTheme="minorEastAsia"/>
                <w:b/>
                <w:i/>
                <w:noProof/>
                <w:color w:val="auto"/>
                <w:sz w:val="25"/>
                <w:szCs w:val="25"/>
              </w:rPr>
            </w:pPr>
            <w:r w:rsidRPr="004836A6">
              <w:rPr>
                <w:rFonts w:eastAsiaTheme="minorEastAsia"/>
                <w:b/>
                <w:i/>
                <w:noProof/>
                <w:color w:val="auto"/>
                <w:sz w:val="25"/>
                <w:szCs w:val="25"/>
              </w:rPr>
              <w:t>Ietekme 2019. gadam</w:t>
            </w:r>
          </w:p>
          <w:p w14:paraId="4738A91F" w14:textId="77777777" w:rsidR="005C5004" w:rsidRPr="004836A6" w:rsidRDefault="005C5004" w:rsidP="000D2356">
            <w:pPr>
              <w:rPr>
                <w:bCs/>
                <w:iCs/>
                <w:color w:val="auto"/>
                <w:sz w:val="25"/>
                <w:szCs w:val="25"/>
                <w:highlight w:val="yellow"/>
                <w:lang w:val="en-US"/>
              </w:rPr>
            </w:pPr>
          </w:p>
          <w:p w14:paraId="63BCE021" w14:textId="77777777" w:rsidR="005C5004" w:rsidRPr="004836A6" w:rsidRDefault="005C5004" w:rsidP="000D2356">
            <w:pPr>
              <w:ind w:left="39" w:right="100"/>
              <w:jc w:val="both"/>
              <w:rPr>
                <w:rFonts w:eastAsia="Calibri"/>
                <w:bCs/>
                <w:color w:val="auto"/>
                <w:sz w:val="25"/>
                <w:szCs w:val="25"/>
              </w:rPr>
            </w:pPr>
            <w:r w:rsidRPr="004836A6">
              <w:rPr>
                <w:bCs/>
                <w:iCs/>
                <w:color w:val="auto"/>
                <w:sz w:val="25"/>
                <w:szCs w:val="25"/>
                <w:lang w:val="en-US"/>
              </w:rPr>
              <w:t>1.</w:t>
            </w:r>
            <w:r w:rsidRPr="004836A6">
              <w:rPr>
                <w:color w:val="auto"/>
                <w:sz w:val="25"/>
                <w:szCs w:val="25"/>
              </w:rPr>
              <w:t xml:space="preserve"> Atbilstoši Ministru kabineta 2019.gada </w:t>
            </w:r>
            <w:proofErr w:type="gramStart"/>
            <w:r w:rsidRPr="004836A6">
              <w:rPr>
                <w:color w:val="auto"/>
                <w:sz w:val="25"/>
                <w:szCs w:val="25"/>
              </w:rPr>
              <w:t>8.janvāra</w:t>
            </w:r>
            <w:proofErr w:type="gramEnd"/>
            <w:r w:rsidRPr="004836A6">
              <w:rPr>
                <w:color w:val="auto"/>
                <w:sz w:val="25"/>
                <w:szCs w:val="25"/>
              </w:rPr>
              <w:t xml:space="preserve"> sēdes protokola Nr.1 </w:t>
            </w:r>
            <w:r w:rsidRPr="004836A6">
              <w:rPr>
                <w:rFonts w:eastAsia="Calibri"/>
                <w:bCs/>
                <w:color w:val="auto"/>
                <w:sz w:val="25"/>
                <w:szCs w:val="25"/>
              </w:rPr>
              <w:t xml:space="preserve">33. §, Informatīvais ziņojums “Par veselības reformas pasākumu īstenošanu 2019.gadā” 3.1.2.1.apakšpunktam  15 770 911 </w:t>
            </w:r>
            <w:proofErr w:type="spellStart"/>
            <w:r w:rsidRPr="004836A6">
              <w:rPr>
                <w:rFonts w:eastAsia="Calibri"/>
                <w:bCs/>
                <w:i/>
                <w:color w:val="auto"/>
                <w:sz w:val="25"/>
                <w:szCs w:val="25"/>
              </w:rPr>
              <w:t>euro</w:t>
            </w:r>
            <w:proofErr w:type="spellEnd"/>
            <w:r w:rsidRPr="004836A6">
              <w:rPr>
                <w:rFonts w:eastAsia="Calibri"/>
                <w:bCs/>
                <w:color w:val="auto"/>
                <w:sz w:val="25"/>
                <w:szCs w:val="25"/>
              </w:rPr>
              <w:t xml:space="preserve"> tika novirzīti, lai nodrošinātu ambulatoro izmeklējumu un terapijas pieejamību, pārdalot iepriekšminēto finansējumu uz apakšprogrammu 33.16.00 “</w:t>
            </w:r>
            <w:r w:rsidRPr="004836A6">
              <w:rPr>
                <w:noProof/>
                <w:color w:val="auto"/>
                <w:sz w:val="25"/>
                <w:szCs w:val="25"/>
              </w:rPr>
              <w:t>Pārējo ambulatoro veselības aprūpes pakalpojumu nodrošināšana</w:t>
            </w:r>
            <w:r w:rsidRPr="004836A6">
              <w:rPr>
                <w:rFonts w:eastAsia="Calibri"/>
                <w:bCs/>
                <w:color w:val="auto"/>
                <w:sz w:val="25"/>
                <w:szCs w:val="25"/>
              </w:rPr>
              <w:t>”:</w:t>
            </w:r>
          </w:p>
          <w:p w14:paraId="5FEF31F8" w14:textId="77777777" w:rsidR="005C5004" w:rsidRPr="004836A6" w:rsidRDefault="005C5004" w:rsidP="000D2356">
            <w:pPr>
              <w:ind w:left="39" w:right="100"/>
              <w:jc w:val="both"/>
              <w:rPr>
                <w:rFonts w:eastAsia="Calibri"/>
                <w:bCs/>
                <w:color w:val="auto"/>
                <w:sz w:val="25"/>
                <w:szCs w:val="25"/>
              </w:rPr>
            </w:pPr>
            <w:r w:rsidRPr="004836A6">
              <w:rPr>
                <w:rFonts w:eastAsia="Calibri"/>
                <w:bCs/>
                <w:color w:val="auto"/>
                <w:sz w:val="25"/>
                <w:szCs w:val="25"/>
              </w:rPr>
              <w:t xml:space="preserve">-t.sk. no 2019.gada 1.septembra  pasākumam “Uzlabot grūtnieču ultrasonogrāfisko izmeklējumu kvalitāti” bija ieplānoti 12 386 </w:t>
            </w:r>
            <w:proofErr w:type="spellStart"/>
            <w:r w:rsidRPr="004836A6">
              <w:rPr>
                <w:rFonts w:eastAsia="Calibri"/>
                <w:bCs/>
                <w:i/>
                <w:color w:val="auto"/>
                <w:sz w:val="25"/>
                <w:szCs w:val="25"/>
              </w:rPr>
              <w:t>euro</w:t>
            </w:r>
            <w:proofErr w:type="spellEnd"/>
            <w:r w:rsidRPr="004836A6">
              <w:rPr>
                <w:rFonts w:eastAsia="Calibri"/>
                <w:bCs/>
                <w:color w:val="auto"/>
                <w:sz w:val="25"/>
                <w:szCs w:val="25"/>
              </w:rPr>
              <w:t>.</w:t>
            </w:r>
          </w:p>
          <w:p w14:paraId="765CEB14" w14:textId="77777777" w:rsidR="005C5004" w:rsidRPr="004836A6" w:rsidRDefault="005C5004" w:rsidP="000D2356">
            <w:pPr>
              <w:ind w:left="39" w:right="100"/>
              <w:jc w:val="both"/>
              <w:rPr>
                <w:bCs/>
                <w:iCs/>
                <w:color w:val="auto"/>
                <w:sz w:val="25"/>
                <w:szCs w:val="25"/>
              </w:rPr>
            </w:pPr>
            <w:r w:rsidRPr="004836A6">
              <w:rPr>
                <w:bCs/>
                <w:iCs/>
                <w:color w:val="auto"/>
                <w:sz w:val="25"/>
                <w:szCs w:val="25"/>
              </w:rPr>
              <w:t>Noteikumu projekta 1.2.punkts (1.pielikuma tabulas 1.punkts) paredz uzlabot grūtnieču  ultrasonogrāfisko izmeklējumu kvalitāti, ņ</w:t>
            </w:r>
            <w:r w:rsidRPr="004836A6">
              <w:rPr>
                <w:color w:val="auto"/>
                <w:sz w:val="25"/>
                <w:szCs w:val="25"/>
                <w:shd w:val="clear" w:color="auto" w:fill="FFFFFF"/>
              </w:rPr>
              <w:t xml:space="preserve">emot vērā, ka sievietes vecums ir viens iedzimtu patoloģiju riskiem, jāizvērtē iespējas visām grūtniecēm, vecākām par 35 gadiem, veikt augļa padziļinātu  ultrasonogrāfijas izmeklēšanu ar </w:t>
            </w:r>
            <w:proofErr w:type="spellStart"/>
            <w:r w:rsidRPr="004836A6">
              <w:rPr>
                <w:color w:val="auto"/>
                <w:sz w:val="25"/>
                <w:szCs w:val="25"/>
                <w:shd w:val="clear" w:color="auto" w:fill="FFFFFF"/>
              </w:rPr>
              <w:t>dopleru</w:t>
            </w:r>
            <w:proofErr w:type="spellEnd"/>
            <w:r w:rsidRPr="004836A6">
              <w:rPr>
                <w:color w:val="auto"/>
                <w:sz w:val="25"/>
                <w:szCs w:val="25"/>
                <w:shd w:val="clear" w:color="auto" w:fill="FFFFFF"/>
              </w:rPr>
              <w:t>, izvērtējot pirmā trimestra ultrasonogrāfijas marķierus -augļa deguna kaula, venozā vada (</w:t>
            </w:r>
            <w:proofErr w:type="spellStart"/>
            <w:r w:rsidRPr="004836A6">
              <w:rPr>
                <w:i/>
                <w:iCs/>
                <w:color w:val="auto"/>
                <w:sz w:val="25"/>
                <w:szCs w:val="25"/>
                <w:shd w:val="clear" w:color="auto" w:fill="FFFFFF"/>
              </w:rPr>
              <w:t>ductus</w:t>
            </w:r>
            <w:proofErr w:type="spellEnd"/>
            <w:r w:rsidRPr="004836A6">
              <w:rPr>
                <w:i/>
                <w:iCs/>
                <w:color w:val="auto"/>
                <w:sz w:val="25"/>
                <w:szCs w:val="25"/>
                <w:shd w:val="clear" w:color="auto" w:fill="FFFFFF"/>
              </w:rPr>
              <w:t xml:space="preserve"> </w:t>
            </w:r>
            <w:proofErr w:type="spellStart"/>
            <w:r w:rsidRPr="004836A6">
              <w:rPr>
                <w:i/>
                <w:iCs/>
                <w:color w:val="auto"/>
                <w:sz w:val="25"/>
                <w:szCs w:val="25"/>
                <w:shd w:val="clear" w:color="auto" w:fill="FFFFFF"/>
              </w:rPr>
              <w:t>venosus</w:t>
            </w:r>
            <w:proofErr w:type="spellEnd"/>
            <w:r w:rsidRPr="004836A6">
              <w:rPr>
                <w:color w:val="auto"/>
                <w:sz w:val="25"/>
                <w:szCs w:val="25"/>
                <w:shd w:val="clear" w:color="auto" w:fill="FFFFFF"/>
              </w:rPr>
              <w:t>) plūsma un trīsviru vārstuļu plūsma (grūtniecības 11.-13.</w:t>
            </w:r>
            <w:r w:rsidRPr="004836A6">
              <w:rPr>
                <w:color w:val="auto"/>
                <w:sz w:val="25"/>
                <w:szCs w:val="25"/>
                <w:shd w:val="clear" w:color="auto" w:fill="FFFFFF"/>
                <w:vertAlign w:val="superscript"/>
              </w:rPr>
              <w:t>+6</w:t>
            </w:r>
            <w:r w:rsidRPr="004836A6">
              <w:rPr>
                <w:color w:val="auto"/>
                <w:sz w:val="25"/>
                <w:szCs w:val="25"/>
                <w:shd w:val="clear" w:color="auto" w:fill="FFFFFF"/>
              </w:rPr>
              <w:t>)</w:t>
            </w:r>
            <w:r w:rsidRPr="004836A6">
              <w:rPr>
                <w:color w:val="auto"/>
                <w:sz w:val="25"/>
                <w:szCs w:val="25"/>
              </w:rPr>
              <w:t xml:space="preserve">, kopā radot ietekmi no 2019.gada 1.septembra </w:t>
            </w:r>
            <w:r w:rsidRPr="004836A6">
              <w:rPr>
                <w:b/>
                <w:color w:val="auto"/>
                <w:sz w:val="25"/>
                <w:szCs w:val="25"/>
              </w:rPr>
              <w:t xml:space="preserve">12 386 </w:t>
            </w:r>
            <w:proofErr w:type="spellStart"/>
            <w:r w:rsidRPr="004836A6">
              <w:rPr>
                <w:b/>
                <w:i/>
                <w:color w:val="auto"/>
                <w:sz w:val="25"/>
                <w:szCs w:val="25"/>
              </w:rPr>
              <w:t>euro</w:t>
            </w:r>
            <w:proofErr w:type="spellEnd"/>
            <w:r w:rsidRPr="004836A6">
              <w:rPr>
                <w:b/>
                <w:color w:val="auto"/>
                <w:sz w:val="25"/>
                <w:szCs w:val="25"/>
              </w:rPr>
              <w:t xml:space="preserve"> </w:t>
            </w:r>
            <w:r w:rsidRPr="004836A6">
              <w:rPr>
                <w:color w:val="auto"/>
                <w:sz w:val="25"/>
                <w:szCs w:val="25"/>
              </w:rPr>
              <w:t xml:space="preserve">((37 158 </w:t>
            </w:r>
            <w:proofErr w:type="spellStart"/>
            <w:r w:rsidRPr="004836A6">
              <w:rPr>
                <w:i/>
                <w:color w:val="auto"/>
                <w:sz w:val="25"/>
                <w:szCs w:val="25"/>
              </w:rPr>
              <w:t>euro</w:t>
            </w:r>
            <w:proofErr w:type="spellEnd"/>
            <w:r w:rsidRPr="004836A6">
              <w:rPr>
                <w:color w:val="auto"/>
                <w:sz w:val="25"/>
                <w:szCs w:val="25"/>
              </w:rPr>
              <w:t xml:space="preserve"> (finansējums gadam)/ 12 (gadam) = 3096,5 </w:t>
            </w:r>
            <w:proofErr w:type="spellStart"/>
            <w:r w:rsidRPr="004836A6">
              <w:rPr>
                <w:i/>
                <w:color w:val="auto"/>
                <w:sz w:val="25"/>
                <w:szCs w:val="25"/>
              </w:rPr>
              <w:t>euro</w:t>
            </w:r>
            <w:proofErr w:type="spellEnd"/>
            <w:r w:rsidRPr="004836A6">
              <w:rPr>
                <w:color w:val="auto"/>
                <w:sz w:val="25"/>
                <w:szCs w:val="25"/>
              </w:rPr>
              <w:t xml:space="preserve">); 3096,5 </w:t>
            </w:r>
            <w:proofErr w:type="spellStart"/>
            <w:r w:rsidRPr="004836A6">
              <w:rPr>
                <w:i/>
                <w:color w:val="auto"/>
                <w:sz w:val="25"/>
                <w:szCs w:val="25"/>
              </w:rPr>
              <w:t>euro</w:t>
            </w:r>
            <w:proofErr w:type="spellEnd"/>
            <w:r w:rsidRPr="004836A6">
              <w:rPr>
                <w:color w:val="auto"/>
                <w:sz w:val="25"/>
                <w:szCs w:val="25"/>
              </w:rPr>
              <w:t xml:space="preserve"> x 4 (mēneši) = 12 386 </w:t>
            </w:r>
            <w:proofErr w:type="spellStart"/>
            <w:r w:rsidRPr="004836A6">
              <w:rPr>
                <w:i/>
                <w:color w:val="auto"/>
                <w:sz w:val="25"/>
                <w:szCs w:val="25"/>
              </w:rPr>
              <w:t>euro</w:t>
            </w:r>
            <w:proofErr w:type="spellEnd"/>
            <w:r w:rsidRPr="004836A6">
              <w:rPr>
                <w:color w:val="auto"/>
                <w:sz w:val="25"/>
                <w:szCs w:val="25"/>
              </w:rPr>
              <w:t xml:space="preserve">)), skat., tabulu Nr.1. </w:t>
            </w:r>
            <w:r w:rsidRPr="004836A6">
              <w:rPr>
                <w:i/>
                <w:color w:val="auto"/>
                <w:sz w:val="25"/>
                <w:szCs w:val="25"/>
                <w:shd w:val="clear" w:color="auto" w:fill="FFFFFF"/>
                <w:lang w:bidi="lv-LV"/>
              </w:rPr>
              <w:t>Iepriekšminētais</w:t>
            </w:r>
            <w:r w:rsidRPr="004836A6">
              <w:rPr>
                <w:color w:val="auto"/>
                <w:sz w:val="25"/>
                <w:szCs w:val="25"/>
                <w:shd w:val="clear" w:color="auto" w:fill="FFFFFF"/>
                <w:lang w:bidi="lv-LV"/>
              </w:rPr>
              <w:t xml:space="preserve"> </w:t>
            </w:r>
            <w:r w:rsidRPr="004836A6">
              <w:rPr>
                <w:i/>
                <w:color w:val="auto"/>
                <w:sz w:val="25"/>
                <w:szCs w:val="25"/>
                <w:shd w:val="clear" w:color="auto" w:fill="FFFFFF"/>
                <w:lang w:bidi="lv-LV"/>
              </w:rPr>
              <w:t xml:space="preserve">pasākums tiks īstenots apakšprogrammas 33.16.00 “Pārējo ambulatoro veselības aprūpes pakalpojumu nodrošināšana” </w:t>
            </w:r>
            <w:r w:rsidRPr="004836A6">
              <w:rPr>
                <w:rFonts w:eastAsia="Calibri"/>
                <w:bCs/>
                <w:i/>
                <w:color w:val="auto"/>
                <w:sz w:val="25"/>
                <w:szCs w:val="25"/>
              </w:rPr>
              <w:t xml:space="preserve">ietvaros no </w:t>
            </w:r>
            <w:r w:rsidRPr="004836A6">
              <w:rPr>
                <w:rFonts w:eastAsia="Calibri"/>
                <w:bCs/>
                <w:color w:val="auto"/>
                <w:sz w:val="25"/>
                <w:szCs w:val="25"/>
              </w:rPr>
              <w:t xml:space="preserve">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14:paraId="65B3655C" w14:textId="77777777" w:rsidR="005C5004" w:rsidRPr="004836A6" w:rsidRDefault="005C5004" w:rsidP="000D2356">
            <w:pPr>
              <w:ind w:left="39"/>
              <w:jc w:val="right"/>
              <w:rPr>
                <w:rFonts w:eastAsia="Calibri"/>
                <w:bCs/>
                <w:i/>
                <w:color w:val="auto"/>
                <w:sz w:val="25"/>
                <w:szCs w:val="25"/>
                <w:lang w:val="en-US"/>
              </w:rPr>
            </w:pPr>
            <w:r w:rsidRPr="004836A6">
              <w:rPr>
                <w:rFonts w:eastAsia="Calibri"/>
                <w:bCs/>
                <w:i/>
                <w:color w:val="auto"/>
                <w:sz w:val="25"/>
                <w:szCs w:val="25"/>
                <w:lang w:val="en-US"/>
              </w:rPr>
              <w:t>Tabula Nr.1</w:t>
            </w:r>
          </w:p>
          <w:tbl>
            <w:tblPr>
              <w:tblW w:w="7801" w:type="dxa"/>
              <w:tblLook w:val="04A0" w:firstRow="1" w:lastRow="0" w:firstColumn="1" w:lastColumn="0" w:noHBand="0" w:noVBand="1"/>
            </w:tblPr>
            <w:tblGrid>
              <w:gridCol w:w="1160"/>
              <w:gridCol w:w="2479"/>
              <w:gridCol w:w="1034"/>
              <w:gridCol w:w="1673"/>
              <w:gridCol w:w="1262"/>
            </w:tblGrid>
            <w:tr w:rsidR="005C5004" w:rsidRPr="004836A6" w14:paraId="0F4C1316" w14:textId="77777777" w:rsidTr="000D2356">
              <w:trPr>
                <w:trHeight w:val="960"/>
              </w:trPr>
              <w:tc>
                <w:tcPr>
                  <w:tcW w:w="106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E446772" w14:textId="77777777" w:rsidR="005C5004" w:rsidRPr="00252B6E" w:rsidRDefault="005C5004" w:rsidP="000D2356">
                  <w:pPr>
                    <w:jc w:val="center"/>
                    <w:rPr>
                      <w:color w:val="auto"/>
                      <w:sz w:val="18"/>
                      <w:szCs w:val="18"/>
                    </w:rPr>
                  </w:pPr>
                  <w:r w:rsidRPr="00252B6E">
                    <w:rPr>
                      <w:color w:val="auto"/>
                      <w:sz w:val="18"/>
                      <w:szCs w:val="18"/>
                    </w:rPr>
                    <w:t>Manipulācijas kods</w:t>
                  </w:r>
                </w:p>
              </w:tc>
              <w:tc>
                <w:tcPr>
                  <w:tcW w:w="2660" w:type="dxa"/>
                  <w:tcBorders>
                    <w:top w:val="single" w:sz="4" w:space="0" w:color="auto"/>
                    <w:left w:val="nil"/>
                    <w:bottom w:val="single" w:sz="4" w:space="0" w:color="auto"/>
                    <w:right w:val="single" w:sz="4" w:space="0" w:color="auto"/>
                  </w:tcBorders>
                  <w:shd w:val="clear" w:color="auto" w:fill="FFC000"/>
                  <w:vAlign w:val="center"/>
                  <w:hideMark/>
                </w:tcPr>
                <w:p w14:paraId="11413EE8" w14:textId="77777777" w:rsidR="005C5004" w:rsidRPr="00252B6E" w:rsidRDefault="005C5004" w:rsidP="000D2356">
                  <w:pPr>
                    <w:jc w:val="center"/>
                    <w:rPr>
                      <w:color w:val="auto"/>
                      <w:sz w:val="18"/>
                      <w:szCs w:val="18"/>
                    </w:rPr>
                  </w:pPr>
                  <w:r w:rsidRPr="00252B6E">
                    <w:rPr>
                      <w:color w:val="auto"/>
                      <w:sz w:val="18"/>
                      <w:szCs w:val="18"/>
                    </w:rPr>
                    <w:t>Manipulācijas nosaukums</w:t>
                  </w:r>
                </w:p>
              </w:tc>
              <w:tc>
                <w:tcPr>
                  <w:tcW w:w="1099" w:type="dxa"/>
                  <w:tcBorders>
                    <w:top w:val="single" w:sz="4" w:space="0" w:color="auto"/>
                    <w:left w:val="nil"/>
                    <w:bottom w:val="single" w:sz="4" w:space="0" w:color="auto"/>
                    <w:right w:val="single" w:sz="4" w:space="0" w:color="auto"/>
                  </w:tcBorders>
                  <w:shd w:val="clear" w:color="auto" w:fill="FFC000"/>
                  <w:vAlign w:val="center"/>
                  <w:hideMark/>
                </w:tcPr>
                <w:p w14:paraId="0F17107E" w14:textId="77777777" w:rsidR="005C5004" w:rsidRPr="00252B6E" w:rsidRDefault="005C5004" w:rsidP="000D2356">
                  <w:pPr>
                    <w:jc w:val="center"/>
                    <w:rPr>
                      <w:color w:val="auto"/>
                      <w:sz w:val="18"/>
                      <w:szCs w:val="18"/>
                    </w:rPr>
                  </w:pPr>
                  <w:r w:rsidRPr="00252B6E">
                    <w:rPr>
                      <w:color w:val="auto"/>
                      <w:sz w:val="18"/>
                      <w:szCs w:val="18"/>
                    </w:rPr>
                    <w:t xml:space="preserve">Tarifs, </w:t>
                  </w:r>
                  <w:proofErr w:type="spellStart"/>
                  <w:r w:rsidRPr="00252B6E">
                    <w:rPr>
                      <w:i/>
                      <w:iCs/>
                      <w:color w:val="auto"/>
                      <w:sz w:val="18"/>
                      <w:szCs w:val="18"/>
                    </w:rPr>
                    <w:t>euro</w:t>
                  </w:r>
                  <w:proofErr w:type="spellEnd"/>
                </w:p>
              </w:tc>
              <w:tc>
                <w:tcPr>
                  <w:tcW w:w="1790" w:type="dxa"/>
                  <w:tcBorders>
                    <w:top w:val="single" w:sz="4" w:space="0" w:color="auto"/>
                    <w:left w:val="nil"/>
                    <w:bottom w:val="single" w:sz="4" w:space="0" w:color="auto"/>
                    <w:right w:val="single" w:sz="4" w:space="0" w:color="auto"/>
                  </w:tcBorders>
                  <w:shd w:val="clear" w:color="auto" w:fill="FFC000"/>
                  <w:vAlign w:val="center"/>
                  <w:hideMark/>
                </w:tcPr>
                <w:p w14:paraId="02E06CD2" w14:textId="77777777" w:rsidR="005C5004" w:rsidRPr="00252B6E" w:rsidRDefault="005C5004" w:rsidP="000D2356">
                  <w:pPr>
                    <w:jc w:val="center"/>
                    <w:rPr>
                      <w:color w:val="auto"/>
                      <w:sz w:val="18"/>
                      <w:szCs w:val="18"/>
                    </w:rPr>
                  </w:pPr>
                  <w:r w:rsidRPr="00252B6E">
                    <w:rPr>
                      <w:color w:val="auto"/>
                      <w:sz w:val="18"/>
                      <w:szCs w:val="18"/>
                    </w:rPr>
                    <w:t>Grūtnieču skaits (dzemdību skaits 2018.gadā, ja mātes vecums 35 gadi un vairāk, SPKC), kam būs nepieciešams izmeklējums</w:t>
                  </w:r>
                </w:p>
              </w:tc>
              <w:tc>
                <w:tcPr>
                  <w:tcW w:w="1185" w:type="dxa"/>
                  <w:tcBorders>
                    <w:top w:val="single" w:sz="4" w:space="0" w:color="auto"/>
                    <w:left w:val="nil"/>
                    <w:bottom w:val="single" w:sz="4" w:space="0" w:color="auto"/>
                    <w:right w:val="single" w:sz="4" w:space="0" w:color="auto"/>
                  </w:tcBorders>
                  <w:shd w:val="clear" w:color="auto" w:fill="FFC000"/>
                  <w:vAlign w:val="center"/>
                  <w:hideMark/>
                </w:tcPr>
                <w:p w14:paraId="76BB6CDB" w14:textId="77777777" w:rsidR="005C5004" w:rsidRPr="00252B6E" w:rsidRDefault="005C5004" w:rsidP="000D2356">
                  <w:pPr>
                    <w:jc w:val="center"/>
                    <w:rPr>
                      <w:color w:val="auto"/>
                      <w:sz w:val="18"/>
                      <w:szCs w:val="18"/>
                    </w:rPr>
                  </w:pPr>
                  <w:r w:rsidRPr="00252B6E">
                    <w:rPr>
                      <w:color w:val="auto"/>
                      <w:sz w:val="18"/>
                      <w:szCs w:val="18"/>
                    </w:rPr>
                    <w:t xml:space="preserve">Nepieciešamais finansējums gadā, </w:t>
                  </w:r>
                  <w:proofErr w:type="spellStart"/>
                  <w:r w:rsidRPr="00252B6E">
                    <w:rPr>
                      <w:i/>
                      <w:iCs/>
                      <w:color w:val="auto"/>
                      <w:sz w:val="18"/>
                      <w:szCs w:val="18"/>
                    </w:rPr>
                    <w:t>euro</w:t>
                  </w:r>
                  <w:proofErr w:type="spellEnd"/>
                </w:p>
              </w:tc>
            </w:tr>
            <w:tr w:rsidR="005C5004" w:rsidRPr="004836A6" w14:paraId="3D879A70" w14:textId="77777777" w:rsidTr="000D2356">
              <w:trPr>
                <w:trHeight w:val="300"/>
              </w:trPr>
              <w:tc>
                <w:tcPr>
                  <w:tcW w:w="106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484F168" w14:textId="77777777" w:rsidR="005C5004" w:rsidRPr="00252B6E" w:rsidRDefault="005C5004" w:rsidP="000D2356">
                  <w:pPr>
                    <w:jc w:val="center"/>
                    <w:rPr>
                      <w:color w:val="auto"/>
                      <w:sz w:val="18"/>
                      <w:szCs w:val="18"/>
                    </w:rPr>
                  </w:pPr>
                  <w:r w:rsidRPr="00252B6E">
                    <w:rPr>
                      <w:color w:val="auto"/>
                      <w:sz w:val="18"/>
                      <w:szCs w:val="18"/>
                    </w:rPr>
                    <w:t>06042</w:t>
                  </w:r>
                </w:p>
              </w:tc>
              <w:tc>
                <w:tcPr>
                  <w:tcW w:w="2660" w:type="dxa"/>
                  <w:tcBorders>
                    <w:top w:val="nil"/>
                    <w:left w:val="nil"/>
                    <w:bottom w:val="single" w:sz="4" w:space="0" w:color="auto"/>
                    <w:right w:val="single" w:sz="4" w:space="0" w:color="auto"/>
                  </w:tcBorders>
                  <w:shd w:val="clear" w:color="auto" w:fill="FFFFFF" w:themeFill="background1"/>
                  <w:noWrap/>
                  <w:vAlign w:val="bottom"/>
                  <w:hideMark/>
                </w:tcPr>
                <w:p w14:paraId="2B2E0863" w14:textId="77777777" w:rsidR="005C5004" w:rsidRPr="00252B6E" w:rsidRDefault="005C5004" w:rsidP="000D2356">
                  <w:pPr>
                    <w:rPr>
                      <w:color w:val="auto"/>
                      <w:sz w:val="18"/>
                      <w:szCs w:val="18"/>
                    </w:rPr>
                  </w:pPr>
                  <w:proofErr w:type="spellStart"/>
                  <w:r w:rsidRPr="00252B6E">
                    <w:rPr>
                      <w:color w:val="auto"/>
                      <w:sz w:val="18"/>
                      <w:szCs w:val="18"/>
                    </w:rPr>
                    <w:t>Doplerogrāfiskās</w:t>
                  </w:r>
                  <w:proofErr w:type="spellEnd"/>
                  <w:r w:rsidRPr="00252B6E">
                    <w:rPr>
                      <w:color w:val="auto"/>
                      <w:sz w:val="18"/>
                      <w:szCs w:val="18"/>
                    </w:rPr>
                    <w:t xml:space="preserve"> manipulācijas grūtnieces un augļa izmeklēšanā</w:t>
                  </w:r>
                </w:p>
              </w:tc>
              <w:tc>
                <w:tcPr>
                  <w:tcW w:w="1099" w:type="dxa"/>
                  <w:tcBorders>
                    <w:top w:val="nil"/>
                    <w:left w:val="nil"/>
                    <w:bottom w:val="single" w:sz="4" w:space="0" w:color="auto"/>
                    <w:right w:val="single" w:sz="4" w:space="0" w:color="auto"/>
                  </w:tcBorders>
                  <w:shd w:val="clear" w:color="auto" w:fill="FFFFFF" w:themeFill="background1"/>
                  <w:noWrap/>
                  <w:vAlign w:val="bottom"/>
                  <w:hideMark/>
                </w:tcPr>
                <w:p w14:paraId="20047D22" w14:textId="77777777" w:rsidR="005C5004" w:rsidRPr="00252B6E" w:rsidRDefault="005C5004" w:rsidP="000D2356">
                  <w:pPr>
                    <w:jc w:val="center"/>
                    <w:rPr>
                      <w:color w:val="auto"/>
                      <w:sz w:val="18"/>
                      <w:szCs w:val="18"/>
                    </w:rPr>
                  </w:pPr>
                  <w:r w:rsidRPr="00252B6E">
                    <w:rPr>
                      <w:color w:val="auto"/>
                      <w:sz w:val="18"/>
                      <w:szCs w:val="18"/>
                    </w:rPr>
                    <w:t>10.42</w:t>
                  </w:r>
                </w:p>
              </w:tc>
              <w:tc>
                <w:tcPr>
                  <w:tcW w:w="1790" w:type="dxa"/>
                  <w:tcBorders>
                    <w:top w:val="nil"/>
                    <w:left w:val="nil"/>
                    <w:bottom w:val="single" w:sz="4" w:space="0" w:color="auto"/>
                    <w:right w:val="single" w:sz="4" w:space="0" w:color="auto"/>
                  </w:tcBorders>
                  <w:shd w:val="clear" w:color="auto" w:fill="FFFFFF" w:themeFill="background1"/>
                  <w:noWrap/>
                  <w:vAlign w:val="bottom"/>
                  <w:hideMark/>
                </w:tcPr>
                <w:p w14:paraId="6741398C" w14:textId="77777777" w:rsidR="005C5004" w:rsidRPr="00252B6E" w:rsidRDefault="005C5004" w:rsidP="000D2356">
                  <w:pPr>
                    <w:jc w:val="center"/>
                    <w:rPr>
                      <w:color w:val="auto"/>
                      <w:sz w:val="18"/>
                      <w:szCs w:val="18"/>
                    </w:rPr>
                  </w:pPr>
                  <w:r w:rsidRPr="00252B6E">
                    <w:rPr>
                      <w:color w:val="auto"/>
                      <w:sz w:val="18"/>
                      <w:szCs w:val="18"/>
                    </w:rPr>
                    <w:t>3 566</w:t>
                  </w:r>
                </w:p>
              </w:tc>
              <w:tc>
                <w:tcPr>
                  <w:tcW w:w="1185" w:type="dxa"/>
                  <w:tcBorders>
                    <w:top w:val="nil"/>
                    <w:left w:val="nil"/>
                    <w:bottom w:val="single" w:sz="4" w:space="0" w:color="auto"/>
                    <w:right w:val="single" w:sz="4" w:space="0" w:color="auto"/>
                  </w:tcBorders>
                  <w:shd w:val="clear" w:color="auto" w:fill="FFFFFF" w:themeFill="background1"/>
                  <w:noWrap/>
                  <w:vAlign w:val="bottom"/>
                  <w:hideMark/>
                </w:tcPr>
                <w:p w14:paraId="4C49928A" w14:textId="77777777" w:rsidR="005C5004" w:rsidRPr="00252B6E" w:rsidRDefault="005C5004" w:rsidP="000D2356">
                  <w:pPr>
                    <w:jc w:val="center"/>
                    <w:rPr>
                      <w:b/>
                      <w:bCs/>
                      <w:color w:val="auto"/>
                      <w:sz w:val="18"/>
                      <w:szCs w:val="18"/>
                    </w:rPr>
                  </w:pPr>
                  <w:r w:rsidRPr="00252B6E">
                    <w:rPr>
                      <w:b/>
                      <w:bCs/>
                      <w:color w:val="auto"/>
                      <w:sz w:val="18"/>
                      <w:szCs w:val="18"/>
                    </w:rPr>
                    <w:t>37 158</w:t>
                  </w:r>
                </w:p>
              </w:tc>
            </w:tr>
          </w:tbl>
          <w:p w14:paraId="163CA085" w14:textId="77777777" w:rsidR="005C5004" w:rsidRPr="004836A6" w:rsidRDefault="005C5004" w:rsidP="000D2356">
            <w:pPr>
              <w:jc w:val="both"/>
              <w:rPr>
                <w:i/>
                <w:color w:val="auto"/>
                <w:sz w:val="25"/>
                <w:szCs w:val="25"/>
              </w:rPr>
            </w:pPr>
          </w:p>
          <w:p w14:paraId="2EE6BC06" w14:textId="77777777" w:rsidR="005C5004" w:rsidRPr="004836A6" w:rsidRDefault="005C5004" w:rsidP="000D2356">
            <w:pPr>
              <w:ind w:right="100"/>
              <w:jc w:val="both"/>
              <w:rPr>
                <w:i/>
                <w:color w:val="auto"/>
                <w:sz w:val="25"/>
                <w:szCs w:val="25"/>
              </w:rPr>
            </w:pPr>
            <w:r w:rsidRPr="004836A6">
              <w:rPr>
                <w:i/>
                <w:color w:val="auto"/>
                <w:sz w:val="25"/>
                <w:szCs w:val="25"/>
              </w:rPr>
              <w:lastRenderedPageBreak/>
              <w:t xml:space="preserve">Kopumā iepriekšminētā pasākuma īstenošanai no 2019.gada 1.septembra  nepieciešami </w:t>
            </w:r>
            <w:r w:rsidRPr="004836A6">
              <w:rPr>
                <w:b/>
                <w:i/>
                <w:color w:val="auto"/>
                <w:sz w:val="25"/>
                <w:szCs w:val="25"/>
              </w:rPr>
              <w:t xml:space="preserve">12 386 </w:t>
            </w:r>
            <w:proofErr w:type="spellStart"/>
            <w:r w:rsidRPr="004836A6">
              <w:rPr>
                <w:b/>
                <w:i/>
                <w:color w:val="auto"/>
                <w:sz w:val="25"/>
                <w:szCs w:val="25"/>
              </w:rPr>
              <w:t>euro</w:t>
            </w:r>
            <w:proofErr w:type="spellEnd"/>
            <w:r w:rsidRPr="004836A6">
              <w:rPr>
                <w:b/>
                <w:i/>
                <w:color w:val="auto"/>
                <w:sz w:val="25"/>
                <w:szCs w:val="25"/>
              </w:rPr>
              <w:t xml:space="preserve"> </w:t>
            </w:r>
            <w:r w:rsidRPr="004836A6">
              <w:rPr>
                <w:i/>
                <w:color w:val="auto"/>
                <w:sz w:val="25"/>
                <w:szCs w:val="25"/>
              </w:rPr>
              <w:t xml:space="preserve">(gadam nepieciešamais finansējums – </w:t>
            </w:r>
            <w:r w:rsidRPr="004836A6">
              <w:rPr>
                <w:b/>
                <w:i/>
                <w:color w:val="auto"/>
                <w:sz w:val="25"/>
                <w:szCs w:val="25"/>
              </w:rPr>
              <w:t xml:space="preserve">37 158 </w:t>
            </w:r>
            <w:proofErr w:type="spellStart"/>
            <w:r w:rsidRPr="004836A6">
              <w:rPr>
                <w:b/>
                <w:i/>
                <w:color w:val="auto"/>
                <w:sz w:val="25"/>
                <w:szCs w:val="25"/>
              </w:rPr>
              <w:t>euro</w:t>
            </w:r>
            <w:proofErr w:type="spellEnd"/>
            <w:r w:rsidRPr="004836A6">
              <w:rPr>
                <w:b/>
                <w:i/>
                <w:color w:val="auto"/>
                <w:sz w:val="25"/>
                <w:szCs w:val="25"/>
              </w:rPr>
              <w:t>)</w:t>
            </w:r>
            <w:r w:rsidRPr="004836A6">
              <w:rPr>
                <w:i/>
                <w:color w:val="auto"/>
                <w:sz w:val="25"/>
                <w:szCs w:val="25"/>
              </w:rPr>
              <w:t>.</w:t>
            </w:r>
          </w:p>
          <w:p w14:paraId="64C80460" w14:textId="77777777" w:rsidR="005C5004" w:rsidRPr="004836A6" w:rsidRDefault="005C5004" w:rsidP="000D2356">
            <w:pPr>
              <w:ind w:right="100"/>
              <w:jc w:val="both"/>
              <w:rPr>
                <w:bCs/>
                <w:iCs/>
                <w:color w:val="auto"/>
                <w:sz w:val="25"/>
                <w:szCs w:val="25"/>
              </w:rPr>
            </w:pPr>
          </w:p>
          <w:p w14:paraId="685CBAAD" w14:textId="77777777" w:rsidR="005C5004" w:rsidRPr="004836A6" w:rsidRDefault="005C5004" w:rsidP="000D2356">
            <w:pPr>
              <w:ind w:left="39" w:right="100"/>
              <w:jc w:val="both"/>
              <w:rPr>
                <w:rFonts w:eastAsia="Calibri"/>
                <w:bCs/>
                <w:color w:val="auto"/>
                <w:sz w:val="25"/>
                <w:szCs w:val="25"/>
              </w:rPr>
            </w:pPr>
            <w:r w:rsidRPr="004836A6">
              <w:rPr>
                <w:bCs/>
                <w:iCs/>
                <w:color w:val="auto"/>
                <w:sz w:val="25"/>
                <w:szCs w:val="25"/>
                <w:lang w:val="en-US"/>
              </w:rPr>
              <w:t>2.</w:t>
            </w:r>
            <w:r w:rsidRPr="004836A6">
              <w:rPr>
                <w:color w:val="auto"/>
                <w:sz w:val="25"/>
                <w:szCs w:val="25"/>
              </w:rPr>
              <w:t xml:space="preserve"> Atbilstoši Ministru kabineta 2019.gada </w:t>
            </w:r>
            <w:proofErr w:type="gramStart"/>
            <w:r w:rsidRPr="004836A6">
              <w:rPr>
                <w:color w:val="auto"/>
                <w:sz w:val="25"/>
                <w:szCs w:val="25"/>
              </w:rPr>
              <w:t>8.janvāra</w:t>
            </w:r>
            <w:proofErr w:type="gramEnd"/>
            <w:r w:rsidRPr="004836A6">
              <w:rPr>
                <w:color w:val="auto"/>
                <w:sz w:val="25"/>
                <w:szCs w:val="25"/>
              </w:rPr>
              <w:t xml:space="preserve"> sēdes protokola Nr.1 </w:t>
            </w:r>
            <w:r w:rsidRPr="004836A6">
              <w:rPr>
                <w:rFonts w:eastAsia="Calibri"/>
                <w:bCs/>
                <w:color w:val="auto"/>
                <w:sz w:val="25"/>
                <w:szCs w:val="25"/>
              </w:rPr>
              <w:t xml:space="preserve">33. §, Informatīvais ziņojums “Par veselības reformas pasākumu īstenošanu 2019.gadā” 4.1.1.apakšpunktam  2 282 051 </w:t>
            </w:r>
            <w:proofErr w:type="spellStart"/>
            <w:r w:rsidRPr="004836A6">
              <w:rPr>
                <w:rFonts w:eastAsia="Calibri"/>
                <w:bCs/>
                <w:i/>
                <w:color w:val="auto"/>
                <w:sz w:val="25"/>
                <w:szCs w:val="25"/>
              </w:rPr>
              <w:t>euro</w:t>
            </w:r>
            <w:proofErr w:type="spellEnd"/>
            <w:r w:rsidRPr="004836A6">
              <w:rPr>
                <w:rFonts w:eastAsia="Calibri"/>
                <w:bCs/>
                <w:color w:val="auto"/>
                <w:sz w:val="25"/>
                <w:szCs w:val="25"/>
              </w:rPr>
              <w:t xml:space="preserve"> tika novirzīti, lai nodrošinātu ambulatoro izmeklējumu un terapijas pieejamību, pārdalot iepriekšminēto finansējumu uz apakšprogrammu 33.15.00 “</w:t>
            </w:r>
            <w:r w:rsidRPr="004836A6">
              <w:rPr>
                <w:noProof/>
                <w:color w:val="auto"/>
                <w:sz w:val="25"/>
                <w:szCs w:val="25"/>
              </w:rPr>
              <w:t>Laboratorisko izmeklējumu nodrošināšana ambulatorajā aprūpē</w:t>
            </w:r>
            <w:r w:rsidRPr="004836A6">
              <w:rPr>
                <w:rFonts w:eastAsia="Calibri"/>
                <w:bCs/>
                <w:color w:val="auto"/>
                <w:sz w:val="25"/>
                <w:szCs w:val="25"/>
              </w:rPr>
              <w:t>”:</w:t>
            </w:r>
          </w:p>
          <w:p w14:paraId="48727CF4" w14:textId="77777777" w:rsidR="005C5004" w:rsidRPr="004836A6" w:rsidRDefault="005C5004" w:rsidP="000D2356">
            <w:pPr>
              <w:ind w:left="39" w:right="100"/>
              <w:jc w:val="both"/>
              <w:rPr>
                <w:rFonts w:eastAsia="Calibri"/>
                <w:bCs/>
                <w:color w:val="auto"/>
                <w:sz w:val="25"/>
                <w:szCs w:val="25"/>
              </w:rPr>
            </w:pPr>
            <w:r w:rsidRPr="004836A6">
              <w:rPr>
                <w:rFonts w:eastAsia="Calibri"/>
                <w:bCs/>
                <w:color w:val="auto"/>
                <w:sz w:val="25"/>
                <w:szCs w:val="25"/>
              </w:rPr>
              <w:t xml:space="preserve">-t.sk. no 2019.gada 1.septembra pasākumam “Amonjaka līmeņa noteikšana riska grupas jaundzimušajiem” bija ieplānoti 509 </w:t>
            </w:r>
            <w:proofErr w:type="spellStart"/>
            <w:r w:rsidRPr="004836A6">
              <w:rPr>
                <w:rFonts w:eastAsia="Calibri"/>
                <w:bCs/>
                <w:i/>
                <w:color w:val="auto"/>
                <w:sz w:val="25"/>
                <w:szCs w:val="25"/>
              </w:rPr>
              <w:t>euro</w:t>
            </w:r>
            <w:proofErr w:type="spellEnd"/>
            <w:r w:rsidRPr="004836A6">
              <w:rPr>
                <w:rFonts w:eastAsia="Calibri"/>
                <w:bCs/>
                <w:color w:val="auto"/>
                <w:sz w:val="25"/>
                <w:szCs w:val="25"/>
              </w:rPr>
              <w:t>.</w:t>
            </w:r>
          </w:p>
          <w:p w14:paraId="6B306B03" w14:textId="77777777" w:rsidR="005C5004" w:rsidRPr="004836A6" w:rsidRDefault="005C5004" w:rsidP="000D2356">
            <w:pPr>
              <w:ind w:left="39" w:right="100"/>
              <w:jc w:val="both"/>
              <w:rPr>
                <w:rFonts w:eastAsia="Calibri"/>
                <w:bCs/>
                <w:color w:val="auto"/>
                <w:sz w:val="25"/>
                <w:szCs w:val="25"/>
              </w:rPr>
            </w:pPr>
            <w:r w:rsidRPr="004836A6">
              <w:rPr>
                <w:bCs/>
                <w:iCs/>
                <w:color w:val="auto"/>
                <w:sz w:val="25"/>
                <w:szCs w:val="25"/>
              </w:rPr>
              <w:t xml:space="preserve">Noteikumu projekta 1.6.punkts (1.pielikuma tabulas 13.punkts) paredz nodrošināt amonjaka līmeņa noteikšanu riska grupas jaundzimušajiem, kopā radot ietekmi no 2019.gada 1.septembra </w:t>
            </w:r>
            <w:r w:rsidRPr="004836A6">
              <w:rPr>
                <w:b/>
                <w:bCs/>
                <w:iCs/>
                <w:color w:val="auto"/>
                <w:sz w:val="25"/>
                <w:szCs w:val="25"/>
              </w:rPr>
              <w:t xml:space="preserve">509 </w:t>
            </w:r>
            <w:proofErr w:type="spellStart"/>
            <w:r w:rsidRPr="004836A6">
              <w:rPr>
                <w:b/>
                <w:bCs/>
                <w:i/>
                <w:iCs/>
                <w:color w:val="auto"/>
                <w:sz w:val="25"/>
                <w:szCs w:val="25"/>
              </w:rPr>
              <w:t>euro</w:t>
            </w:r>
            <w:proofErr w:type="spellEnd"/>
            <w:r w:rsidRPr="004836A6">
              <w:rPr>
                <w:color w:val="auto"/>
                <w:sz w:val="25"/>
                <w:szCs w:val="25"/>
              </w:rPr>
              <w:t xml:space="preserve">, skat., tabulu Nr.2. </w:t>
            </w:r>
            <w:r w:rsidRPr="004836A6">
              <w:rPr>
                <w:i/>
                <w:color w:val="auto"/>
                <w:sz w:val="25"/>
                <w:szCs w:val="25"/>
                <w:shd w:val="clear" w:color="auto" w:fill="FFFFFF"/>
                <w:lang w:bidi="lv-LV"/>
              </w:rPr>
              <w:t>Iepriekšminētais</w:t>
            </w:r>
            <w:r w:rsidRPr="004836A6">
              <w:rPr>
                <w:color w:val="auto"/>
                <w:sz w:val="25"/>
                <w:szCs w:val="25"/>
                <w:shd w:val="clear" w:color="auto" w:fill="FFFFFF"/>
                <w:lang w:bidi="lv-LV"/>
              </w:rPr>
              <w:t xml:space="preserve"> </w:t>
            </w:r>
            <w:r w:rsidRPr="004836A6">
              <w:rPr>
                <w:i/>
                <w:color w:val="auto"/>
                <w:sz w:val="25"/>
                <w:szCs w:val="25"/>
                <w:shd w:val="clear" w:color="auto" w:fill="FFFFFF"/>
                <w:lang w:bidi="lv-LV"/>
              </w:rPr>
              <w:t>pasākums tiks īstenots apakšprogrammas 33.15.00 “</w:t>
            </w:r>
            <w:r w:rsidRPr="004836A6">
              <w:rPr>
                <w:noProof/>
                <w:color w:val="auto"/>
                <w:sz w:val="25"/>
                <w:szCs w:val="25"/>
              </w:rPr>
              <w:t>Laboratorisko izmeklējumu nodrošināšana ambulatorajā aprūpē</w:t>
            </w:r>
            <w:r w:rsidRPr="004836A6">
              <w:rPr>
                <w:i/>
                <w:color w:val="auto"/>
                <w:sz w:val="25"/>
                <w:szCs w:val="25"/>
                <w:shd w:val="clear" w:color="auto" w:fill="FFFFFF"/>
                <w:lang w:bidi="lv-LV"/>
              </w:rPr>
              <w:t xml:space="preserve">” </w:t>
            </w:r>
            <w:r w:rsidRPr="004836A6">
              <w:rPr>
                <w:rFonts w:eastAsia="Calibri"/>
                <w:bCs/>
                <w:i/>
                <w:color w:val="auto"/>
                <w:sz w:val="25"/>
                <w:szCs w:val="25"/>
              </w:rPr>
              <w:t xml:space="preserve">ietvaros no </w:t>
            </w:r>
            <w:r w:rsidRPr="004836A6">
              <w:rPr>
                <w:rFonts w:eastAsia="Calibri"/>
                <w:bCs/>
                <w:color w:val="auto"/>
                <w:sz w:val="25"/>
                <w:szCs w:val="25"/>
              </w:rPr>
              <w:t xml:space="preserve">budžeta resora “74. Gadskārtējā valsts budžeta izpildes procesā pārdalāmais finansējums” 08.00.00 programmā “Veselības aprūpes sistēmas reformas ieviešanas finansējums” pārdalītā finansējuma veselības aprūpes sistēmas reformas pasākumu īstenošanai 2019.gadam. </w:t>
            </w:r>
          </w:p>
          <w:p w14:paraId="3B865225" w14:textId="77777777" w:rsidR="005C5004" w:rsidRPr="004836A6" w:rsidRDefault="005C5004" w:rsidP="000D2356">
            <w:pPr>
              <w:ind w:left="39"/>
              <w:jc w:val="right"/>
              <w:rPr>
                <w:bCs/>
                <w:i/>
                <w:iCs/>
                <w:color w:val="auto"/>
                <w:sz w:val="25"/>
                <w:szCs w:val="25"/>
                <w:lang w:val="en-US"/>
              </w:rPr>
            </w:pPr>
            <w:proofErr w:type="gramStart"/>
            <w:r w:rsidRPr="004836A6">
              <w:rPr>
                <w:bCs/>
                <w:i/>
                <w:iCs/>
                <w:color w:val="auto"/>
                <w:sz w:val="25"/>
                <w:szCs w:val="25"/>
                <w:lang w:val="en-US"/>
              </w:rPr>
              <w:t>Tabula  Nr</w:t>
            </w:r>
            <w:proofErr w:type="gramEnd"/>
            <w:r w:rsidRPr="004836A6">
              <w:rPr>
                <w:bCs/>
                <w:i/>
                <w:iCs/>
                <w:color w:val="auto"/>
                <w:sz w:val="25"/>
                <w:szCs w:val="25"/>
                <w:lang w:val="en-US"/>
              </w:rPr>
              <w:t>.2</w:t>
            </w:r>
          </w:p>
          <w:tbl>
            <w:tblPr>
              <w:tblW w:w="7478" w:type="dxa"/>
              <w:tblLook w:val="04A0" w:firstRow="1" w:lastRow="0" w:firstColumn="1" w:lastColumn="0" w:noHBand="0" w:noVBand="1"/>
            </w:tblPr>
            <w:tblGrid>
              <w:gridCol w:w="1090"/>
              <w:gridCol w:w="974"/>
              <w:gridCol w:w="996"/>
              <w:gridCol w:w="996"/>
              <w:gridCol w:w="1184"/>
              <w:gridCol w:w="1184"/>
              <w:gridCol w:w="1184"/>
            </w:tblGrid>
            <w:tr w:rsidR="005C5004" w:rsidRPr="004836A6" w14:paraId="7E5CAEFE" w14:textId="77777777" w:rsidTr="000D2356">
              <w:trPr>
                <w:trHeight w:val="2640"/>
              </w:trPr>
              <w:tc>
                <w:tcPr>
                  <w:tcW w:w="109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B0A1941" w14:textId="77777777" w:rsidR="005C5004" w:rsidRPr="00252B6E" w:rsidRDefault="005C5004" w:rsidP="000D2356">
                  <w:pPr>
                    <w:jc w:val="center"/>
                    <w:rPr>
                      <w:color w:val="000000"/>
                      <w:sz w:val="18"/>
                      <w:szCs w:val="18"/>
                    </w:rPr>
                  </w:pPr>
                  <w:r w:rsidRPr="00252B6E">
                    <w:rPr>
                      <w:color w:val="000000"/>
                      <w:sz w:val="18"/>
                      <w:szCs w:val="18"/>
                    </w:rPr>
                    <w:t>Manipulācijas nosaukums</w:t>
                  </w:r>
                </w:p>
              </w:tc>
              <w:tc>
                <w:tcPr>
                  <w:tcW w:w="980" w:type="dxa"/>
                  <w:tcBorders>
                    <w:top w:val="single" w:sz="4" w:space="0" w:color="auto"/>
                    <w:left w:val="nil"/>
                    <w:bottom w:val="single" w:sz="4" w:space="0" w:color="auto"/>
                    <w:right w:val="single" w:sz="4" w:space="0" w:color="auto"/>
                  </w:tcBorders>
                  <w:shd w:val="clear" w:color="auto" w:fill="FFC000"/>
                  <w:vAlign w:val="center"/>
                  <w:hideMark/>
                </w:tcPr>
                <w:p w14:paraId="3D7794DA" w14:textId="77777777" w:rsidR="005C5004" w:rsidRPr="00252B6E" w:rsidRDefault="005C5004" w:rsidP="000D2356">
                  <w:pPr>
                    <w:jc w:val="center"/>
                    <w:rPr>
                      <w:color w:val="000000"/>
                      <w:sz w:val="18"/>
                      <w:szCs w:val="18"/>
                    </w:rPr>
                  </w:pPr>
                  <w:r w:rsidRPr="00252B6E">
                    <w:rPr>
                      <w:color w:val="000000"/>
                      <w:sz w:val="18"/>
                      <w:szCs w:val="18"/>
                    </w:rPr>
                    <w:t xml:space="preserve">Pašizmaksa, </w:t>
                  </w:r>
                  <w:proofErr w:type="spellStart"/>
                  <w:r w:rsidRPr="00252B6E">
                    <w:rPr>
                      <w:i/>
                      <w:iCs/>
                      <w:color w:val="000000"/>
                      <w:sz w:val="18"/>
                      <w:szCs w:val="18"/>
                    </w:rPr>
                    <w:t>euro</w:t>
                  </w:r>
                  <w:proofErr w:type="spellEnd"/>
                </w:p>
              </w:tc>
              <w:tc>
                <w:tcPr>
                  <w:tcW w:w="1003" w:type="dxa"/>
                  <w:tcBorders>
                    <w:top w:val="single" w:sz="4" w:space="0" w:color="auto"/>
                    <w:left w:val="nil"/>
                    <w:bottom w:val="single" w:sz="4" w:space="0" w:color="auto"/>
                    <w:right w:val="single" w:sz="4" w:space="0" w:color="auto"/>
                  </w:tcBorders>
                  <w:shd w:val="clear" w:color="auto" w:fill="FFC000"/>
                  <w:vAlign w:val="center"/>
                  <w:hideMark/>
                </w:tcPr>
                <w:p w14:paraId="2F96388D" w14:textId="77777777" w:rsidR="005C5004" w:rsidRPr="00252B6E" w:rsidRDefault="005C5004" w:rsidP="000D2356">
                  <w:pPr>
                    <w:jc w:val="center"/>
                    <w:rPr>
                      <w:color w:val="000000"/>
                      <w:sz w:val="18"/>
                      <w:szCs w:val="18"/>
                    </w:rPr>
                  </w:pPr>
                  <w:r w:rsidRPr="00252B6E">
                    <w:rPr>
                      <w:color w:val="000000"/>
                      <w:sz w:val="18"/>
                      <w:szCs w:val="18"/>
                    </w:rPr>
                    <w:t>Paredzamais pacientu skaits gadā</w:t>
                  </w:r>
                </w:p>
              </w:tc>
              <w:tc>
                <w:tcPr>
                  <w:tcW w:w="1003" w:type="dxa"/>
                  <w:tcBorders>
                    <w:top w:val="single" w:sz="4" w:space="0" w:color="auto"/>
                    <w:left w:val="nil"/>
                    <w:bottom w:val="single" w:sz="4" w:space="0" w:color="auto"/>
                    <w:right w:val="single" w:sz="4" w:space="0" w:color="auto"/>
                  </w:tcBorders>
                  <w:shd w:val="clear" w:color="auto" w:fill="FFC000"/>
                  <w:vAlign w:val="center"/>
                  <w:hideMark/>
                </w:tcPr>
                <w:p w14:paraId="31044C65" w14:textId="77777777" w:rsidR="005C5004" w:rsidRPr="00252B6E" w:rsidRDefault="005C5004" w:rsidP="000D2356">
                  <w:pPr>
                    <w:jc w:val="center"/>
                    <w:rPr>
                      <w:color w:val="000000"/>
                      <w:sz w:val="18"/>
                      <w:szCs w:val="18"/>
                    </w:rPr>
                  </w:pPr>
                  <w:r w:rsidRPr="00252B6E">
                    <w:rPr>
                      <w:color w:val="000000"/>
                      <w:sz w:val="18"/>
                      <w:szCs w:val="18"/>
                    </w:rPr>
                    <w:t>Paredzamais pacientu skaits četros mēnešos</w:t>
                  </w:r>
                </w:p>
              </w:tc>
              <w:tc>
                <w:tcPr>
                  <w:tcW w:w="1193" w:type="dxa"/>
                  <w:tcBorders>
                    <w:top w:val="single" w:sz="4" w:space="0" w:color="auto"/>
                    <w:left w:val="nil"/>
                    <w:bottom w:val="single" w:sz="4" w:space="0" w:color="auto"/>
                    <w:right w:val="single" w:sz="4" w:space="0" w:color="auto"/>
                  </w:tcBorders>
                  <w:shd w:val="clear" w:color="auto" w:fill="FFC000"/>
                  <w:vAlign w:val="center"/>
                  <w:hideMark/>
                </w:tcPr>
                <w:p w14:paraId="0CF389FF" w14:textId="77777777" w:rsidR="005C5004" w:rsidRPr="00252B6E" w:rsidRDefault="005C5004" w:rsidP="000D2356">
                  <w:pPr>
                    <w:jc w:val="center"/>
                    <w:rPr>
                      <w:color w:val="000000"/>
                      <w:sz w:val="18"/>
                      <w:szCs w:val="18"/>
                    </w:rPr>
                  </w:pPr>
                  <w:r w:rsidRPr="00252B6E">
                    <w:rPr>
                      <w:color w:val="000000"/>
                      <w:sz w:val="18"/>
                      <w:szCs w:val="18"/>
                    </w:rPr>
                    <w:t xml:space="preserve">Nepieciešamais finansējums, </w:t>
                  </w:r>
                  <w:proofErr w:type="spellStart"/>
                  <w:r w:rsidRPr="00252B6E">
                    <w:rPr>
                      <w:i/>
                      <w:iCs/>
                      <w:color w:val="000000"/>
                      <w:sz w:val="18"/>
                      <w:szCs w:val="18"/>
                    </w:rPr>
                    <w:t>euro</w:t>
                  </w:r>
                  <w:proofErr w:type="spellEnd"/>
                  <w:r w:rsidRPr="00252B6E">
                    <w:rPr>
                      <w:color w:val="000000"/>
                      <w:sz w:val="18"/>
                      <w:szCs w:val="18"/>
                    </w:rPr>
                    <w:t xml:space="preserve"> 2019. gadā (visam gadam)</w:t>
                  </w:r>
                </w:p>
              </w:tc>
              <w:tc>
                <w:tcPr>
                  <w:tcW w:w="1009" w:type="dxa"/>
                  <w:tcBorders>
                    <w:top w:val="single" w:sz="4" w:space="0" w:color="auto"/>
                    <w:left w:val="nil"/>
                    <w:bottom w:val="single" w:sz="4" w:space="0" w:color="auto"/>
                    <w:right w:val="single" w:sz="4" w:space="0" w:color="auto"/>
                  </w:tcBorders>
                  <w:shd w:val="clear" w:color="auto" w:fill="FFC000"/>
                  <w:vAlign w:val="center"/>
                  <w:hideMark/>
                </w:tcPr>
                <w:p w14:paraId="7601C42A" w14:textId="77777777" w:rsidR="005C5004" w:rsidRPr="00252B6E" w:rsidRDefault="005C5004" w:rsidP="000D2356">
                  <w:pPr>
                    <w:jc w:val="center"/>
                    <w:rPr>
                      <w:color w:val="000000"/>
                      <w:sz w:val="18"/>
                      <w:szCs w:val="18"/>
                    </w:rPr>
                  </w:pPr>
                  <w:r w:rsidRPr="00252B6E">
                    <w:rPr>
                      <w:color w:val="000000"/>
                      <w:sz w:val="18"/>
                      <w:szCs w:val="18"/>
                    </w:rPr>
                    <w:t xml:space="preserve">Nepieciešamais finansējums, </w:t>
                  </w:r>
                  <w:proofErr w:type="spellStart"/>
                  <w:r w:rsidRPr="00252B6E">
                    <w:rPr>
                      <w:i/>
                      <w:iCs/>
                      <w:color w:val="000000"/>
                      <w:sz w:val="18"/>
                      <w:szCs w:val="18"/>
                    </w:rPr>
                    <w:t>euro</w:t>
                  </w:r>
                  <w:proofErr w:type="spellEnd"/>
                  <w:r w:rsidRPr="00252B6E">
                    <w:rPr>
                      <w:color w:val="000000"/>
                      <w:sz w:val="18"/>
                      <w:szCs w:val="18"/>
                    </w:rPr>
                    <w:t xml:space="preserve"> 2019. gadā no 1.septembra</w:t>
                  </w:r>
                </w:p>
              </w:tc>
              <w:tc>
                <w:tcPr>
                  <w:tcW w:w="1193" w:type="dxa"/>
                  <w:tcBorders>
                    <w:top w:val="single" w:sz="4" w:space="0" w:color="auto"/>
                    <w:left w:val="nil"/>
                    <w:bottom w:val="single" w:sz="4" w:space="0" w:color="auto"/>
                    <w:right w:val="single" w:sz="4" w:space="0" w:color="auto"/>
                  </w:tcBorders>
                  <w:shd w:val="clear" w:color="auto" w:fill="FFC000"/>
                  <w:vAlign w:val="center"/>
                  <w:hideMark/>
                </w:tcPr>
                <w:p w14:paraId="3CCF78DE" w14:textId="77777777" w:rsidR="005C5004" w:rsidRPr="00252B6E" w:rsidRDefault="005C5004" w:rsidP="000D2356">
                  <w:pPr>
                    <w:jc w:val="center"/>
                    <w:rPr>
                      <w:color w:val="000000"/>
                      <w:sz w:val="18"/>
                      <w:szCs w:val="18"/>
                    </w:rPr>
                  </w:pPr>
                  <w:r w:rsidRPr="00252B6E">
                    <w:rPr>
                      <w:color w:val="000000"/>
                      <w:sz w:val="18"/>
                      <w:szCs w:val="18"/>
                    </w:rPr>
                    <w:t>Nepieciešamais finansējums,</w:t>
                  </w:r>
                  <w:r w:rsidRPr="00252B6E">
                    <w:rPr>
                      <w:i/>
                      <w:iCs/>
                      <w:color w:val="000000"/>
                      <w:sz w:val="18"/>
                      <w:szCs w:val="18"/>
                    </w:rPr>
                    <w:t xml:space="preserve"> </w:t>
                  </w:r>
                  <w:proofErr w:type="spellStart"/>
                  <w:r w:rsidRPr="00252B6E">
                    <w:rPr>
                      <w:i/>
                      <w:iCs/>
                      <w:color w:val="000000"/>
                      <w:sz w:val="18"/>
                      <w:szCs w:val="18"/>
                    </w:rPr>
                    <w:t>euro</w:t>
                  </w:r>
                  <w:proofErr w:type="spellEnd"/>
                  <w:r w:rsidRPr="00252B6E">
                    <w:rPr>
                      <w:color w:val="000000"/>
                      <w:sz w:val="18"/>
                      <w:szCs w:val="18"/>
                    </w:rPr>
                    <w:t xml:space="preserve"> 2020. gadā un turpmāk (30% pieaugums no iepriekšējā gada)</w:t>
                  </w:r>
                </w:p>
              </w:tc>
            </w:tr>
            <w:tr w:rsidR="005C5004" w:rsidRPr="004836A6" w14:paraId="26AA9D70" w14:textId="77777777" w:rsidTr="000D2356">
              <w:trPr>
                <w:trHeight w:val="111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4B23804" w14:textId="77777777" w:rsidR="005C5004" w:rsidRPr="00252B6E" w:rsidRDefault="005C5004" w:rsidP="000D2356">
                  <w:pPr>
                    <w:rPr>
                      <w:color w:val="000000"/>
                      <w:sz w:val="18"/>
                      <w:szCs w:val="18"/>
                    </w:rPr>
                  </w:pPr>
                  <w:r w:rsidRPr="00252B6E">
                    <w:rPr>
                      <w:color w:val="000000"/>
                      <w:sz w:val="18"/>
                      <w:szCs w:val="18"/>
                    </w:rPr>
                    <w:t xml:space="preserve">Amonjaka līmeņa noteikšana </w:t>
                  </w:r>
                  <w:proofErr w:type="spellStart"/>
                  <w:r w:rsidRPr="00252B6E">
                    <w:rPr>
                      <w:color w:val="000000"/>
                      <w:sz w:val="18"/>
                      <w:szCs w:val="18"/>
                    </w:rPr>
                    <w:t>metabolo</w:t>
                  </w:r>
                  <w:proofErr w:type="spellEnd"/>
                  <w:r w:rsidRPr="00252B6E">
                    <w:rPr>
                      <w:color w:val="000000"/>
                      <w:sz w:val="18"/>
                      <w:szCs w:val="18"/>
                    </w:rPr>
                    <w:t xml:space="preserve"> slimību diagnostikas un slimības dinamikas izvērtēšanai ambulatorā pacientu aprūpes etapā.</w:t>
                  </w:r>
                </w:p>
              </w:tc>
              <w:tc>
                <w:tcPr>
                  <w:tcW w:w="980" w:type="dxa"/>
                  <w:tcBorders>
                    <w:top w:val="nil"/>
                    <w:left w:val="nil"/>
                    <w:bottom w:val="single" w:sz="4" w:space="0" w:color="auto"/>
                    <w:right w:val="single" w:sz="4" w:space="0" w:color="auto"/>
                  </w:tcBorders>
                  <w:shd w:val="clear" w:color="auto" w:fill="auto"/>
                  <w:vAlign w:val="center"/>
                  <w:hideMark/>
                </w:tcPr>
                <w:p w14:paraId="041BC11B" w14:textId="77777777" w:rsidR="005C5004" w:rsidRPr="00252B6E" w:rsidRDefault="005C5004" w:rsidP="000D2356">
                  <w:pPr>
                    <w:jc w:val="center"/>
                    <w:rPr>
                      <w:color w:val="000000"/>
                      <w:sz w:val="18"/>
                      <w:szCs w:val="18"/>
                    </w:rPr>
                  </w:pPr>
                  <w:r w:rsidRPr="00252B6E">
                    <w:rPr>
                      <w:color w:val="000000"/>
                      <w:sz w:val="18"/>
                      <w:szCs w:val="18"/>
                    </w:rPr>
                    <w:t>10.18</w:t>
                  </w:r>
                </w:p>
              </w:tc>
              <w:tc>
                <w:tcPr>
                  <w:tcW w:w="1003" w:type="dxa"/>
                  <w:tcBorders>
                    <w:top w:val="nil"/>
                    <w:left w:val="nil"/>
                    <w:bottom w:val="single" w:sz="4" w:space="0" w:color="auto"/>
                    <w:right w:val="single" w:sz="4" w:space="0" w:color="auto"/>
                  </w:tcBorders>
                  <w:shd w:val="clear" w:color="auto" w:fill="auto"/>
                  <w:vAlign w:val="center"/>
                  <w:hideMark/>
                </w:tcPr>
                <w:p w14:paraId="37CBDF82" w14:textId="77777777" w:rsidR="005C5004" w:rsidRPr="00252B6E" w:rsidRDefault="005C5004" w:rsidP="000D2356">
                  <w:pPr>
                    <w:jc w:val="center"/>
                    <w:rPr>
                      <w:color w:val="000000"/>
                      <w:sz w:val="18"/>
                      <w:szCs w:val="18"/>
                    </w:rPr>
                  </w:pPr>
                  <w:r w:rsidRPr="00252B6E">
                    <w:rPr>
                      <w:color w:val="000000"/>
                      <w:sz w:val="18"/>
                      <w:szCs w:val="18"/>
                    </w:rPr>
                    <w:t>150</w:t>
                  </w:r>
                </w:p>
              </w:tc>
              <w:tc>
                <w:tcPr>
                  <w:tcW w:w="1003" w:type="dxa"/>
                  <w:tcBorders>
                    <w:top w:val="nil"/>
                    <w:left w:val="nil"/>
                    <w:bottom w:val="single" w:sz="4" w:space="0" w:color="auto"/>
                    <w:right w:val="single" w:sz="4" w:space="0" w:color="auto"/>
                  </w:tcBorders>
                  <w:shd w:val="clear" w:color="auto" w:fill="auto"/>
                  <w:vAlign w:val="center"/>
                  <w:hideMark/>
                </w:tcPr>
                <w:p w14:paraId="234A48A2" w14:textId="77777777" w:rsidR="005C5004" w:rsidRPr="00252B6E" w:rsidRDefault="005C5004" w:rsidP="000D2356">
                  <w:pPr>
                    <w:jc w:val="center"/>
                    <w:rPr>
                      <w:color w:val="000000"/>
                      <w:sz w:val="18"/>
                      <w:szCs w:val="18"/>
                    </w:rPr>
                  </w:pPr>
                  <w:r w:rsidRPr="00252B6E">
                    <w:rPr>
                      <w:color w:val="000000"/>
                      <w:sz w:val="18"/>
                      <w:szCs w:val="18"/>
                    </w:rPr>
                    <w:t>50</w:t>
                  </w:r>
                </w:p>
              </w:tc>
              <w:tc>
                <w:tcPr>
                  <w:tcW w:w="1193" w:type="dxa"/>
                  <w:tcBorders>
                    <w:top w:val="nil"/>
                    <w:left w:val="nil"/>
                    <w:bottom w:val="single" w:sz="4" w:space="0" w:color="auto"/>
                    <w:right w:val="single" w:sz="4" w:space="0" w:color="auto"/>
                  </w:tcBorders>
                  <w:shd w:val="clear" w:color="auto" w:fill="auto"/>
                  <w:vAlign w:val="center"/>
                  <w:hideMark/>
                </w:tcPr>
                <w:p w14:paraId="73D1307C" w14:textId="77777777" w:rsidR="005C5004" w:rsidRPr="00252B6E" w:rsidRDefault="005C5004" w:rsidP="000D2356">
                  <w:pPr>
                    <w:jc w:val="center"/>
                    <w:rPr>
                      <w:bCs/>
                      <w:color w:val="000000"/>
                      <w:sz w:val="18"/>
                      <w:szCs w:val="18"/>
                    </w:rPr>
                  </w:pPr>
                  <w:r w:rsidRPr="00252B6E">
                    <w:rPr>
                      <w:bCs/>
                      <w:color w:val="000000"/>
                      <w:sz w:val="18"/>
                      <w:szCs w:val="18"/>
                    </w:rPr>
                    <w:t>1527</w:t>
                  </w:r>
                </w:p>
              </w:tc>
              <w:tc>
                <w:tcPr>
                  <w:tcW w:w="1009" w:type="dxa"/>
                  <w:tcBorders>
                    <w:top w:val="nil"/>
                    <w:left w:val="nil"/>
                    <w:bottom w:val="single" w:sz="4" w:space="0" w:color="auto"/>
                    <w:right w:val="single" w:sz="4" w:space="0" w:color="auto"/>
                  </w:tcBorders>
                  <w:shd w:val="clear" w:color="auto" w:fill="auto"/>
                  <w:vAlign w:val="center"/>
                  <w:hideMark/>
                </w:tcPr>
                <w:p w14:paraId="3B3E09BF" w14:textId="77777777" w:rsidR="005C5004" w:rsidRPr="00252B6E" w:rsidRDefault="005C5004" w:rsidP="000D2356">
                  <w:pPr>
                    <w:jc w:val="center"/>
                    <w:rPr>
                      <w:b/>
                      <w:bCs/>
                      <w:color w:val="000000"/>
                      <w:sz w:val="18"/>
                      <w:szCs w:val="18"/>
                    </w:rPr>
                  </w:pPr>
                  <w:r w:rsidRPr="00252B6E">
                    <w:rPr>
                      <w:b/>
                      <w:bCs/>
                      <w:color w:val="000000"/>
                      <w:sz w:val="18"/>
                      <w:szCs w:val="18"/>
                    </w:rPr>
                    <w:t>509</w:t>
                  </w:r>
                </w:p>
              </w:tc>
              <w:tc>
                <w:tcPr>
                  <w:tcW w:w="1193" w:type="dxa"/>
                  <w:tcBorders>
                    <w:top w:val="nil"/>
                    <w:left w:val="nil"/>
                    <w:bottom w:val="single" w:sz="4" w:space="0" w:color="auto"/>
                    <w:right w:val="single" w:sz="4" w:space="0" w:color="auto"/>
                  </w:tcBorders>
                  <w:shd w:val="clear" w:color="auto" w:fill="auto"/>
                  <w:noWrap/>
                  <w:vAlign w:val="center"/>
                  <w:hideMark/>
                </w:tcPr>
                <w:p w14:paraId="5608B23C" w14:textId="77777777" w:rsidR="005C5004" w:rsidRPr="00252B6E" w:rsidRDefault="005C5004" w:rsidP="000D2356">
                  <w:pPr>
                    <w:jc w:val="center"/>
                    <w:rPr>
                      <w:b/>
                      <w:bCs/>
                      <w:color w:val="000000"/>
                      <w:sz w:val="18"/>
                      <w:szCs w:val="18"/>
                    </w:rPr>
                  </w:pPr>
                  <w:r w:rsidRPr="00252B6E">
                    <w:rPr>
                      <w:b/>
                      <w:bCs/>
                      <w:color w:val="000000"/>
                      <w:sz w:val="18"/>
                      <w:szCs w:val="18"/>
                    </w:rPr>
                    <w:t>1985</w:t>
                  </w:r>
                </w:p>
              </w:tc>
            </w:tr>
          </w:tbl>
          <w:p w14:paraId="7A668BE7" w14:textId="77777777" w:rsidR="005C5004" w:rsidRPr="004836A6" w:rsidRDefault="005C5004" w:rsidP="000D2356">
            <w:pPr>
              <w:ind w:left="39" w:right="100"/>
              <w:jc w:val="both"/>
              <w:rPr>
                <w:rFonts w:eastAsia="Calibri"/>
                <w:bCs/>
                <w:color w:val="auto"/>
                <w:sz w:val="25"/>
                <w:szCs w:val="25"/>
              </w:rPr>
            </w:pPr>
          </w:p>
          <w:p w14:paraId="11BA5703" w14:textId="77777777" w:rsidR="005C5004" w:rsidRPr="004836A6" w:rsidRDefault="005C5004" w:rsidP="000D2356">
            <w:pPr>
              <w:ind w:right="100"/>
              <w:jc w:val="both"/>
              <w:rPr>
                <w:i/>
                <w:color w:val="auto"/>
                <w:sz w:val="25"/>
                <w:szCs w:val="25"/>
              </w:rPr>
            </w:pPr>
            <w:r w:rsidRPr="004836A6">
              <w:rPr>
                <w:i/>
                <w:color w:val="auto"/>
                <w:sz w:val="25"/>
                <w:szCs w:val="25"/>
              </w:rPr>
              <w:t xml:space="preserve">Kopumā iepriekšminētā pasākuma īstenošanai no 2019.gada 1.septembra  nepieciešami </w:t>
            </w:r>
            <w:r w:rsidRPr="004836A6">
              <w:rPr>
                <w:b/>
                <w:i/>
                <w:color w:val="auto"/>
                <w:sz w:val="25"/>
                <w:szCs w:val="25"/>
              </w:rPr>
              <w:t xml:space="preserve">509 </w:t>
            </w:r>
            <w:proofErr w:type="spellStart"/>
            <w:r w:rsidRPr="004836A6">
              <w:rPr>
                <w:b/>
                <w:i/>
                <w:color w:val="auto"/>
                <w:sz w:val="25"/>
                <w:szCs w:val="25"/>
              </w:rPr>
              <w:t>euro</w:t>
            </w:r>
            <w:proofErr w:type="spellEnd"/>
            <w:r w:rsidRPr="004836A6">
              <w:rPr>
                <w:b/>
                <w:i/>
                <w:color w:val="auto"/>
                <w:sz w:val="25"/>
                <w:szCs w:val="25"/>
              </w:rPr>
              <w:t xml:space="preserve"> </w:t>
            </w:r>
            <w:r w:rsidRPr="004836A6">
              <w:rPr>
                <w:i/>
                <w:color w:val="auto"/>
                <w:sz w:val="25"/>
                <w:szCs w:val="25"/>
              </w:rPr>
              <w:t xml:space="preserve">(2020.gadam un turpmāk  nepieciešamais finansējums – </w:t>
            </w:r>
            <w:r w:rsidRPr="004836A6">
              <w:rPr>
                <w:b/>
                <w:i/>
                <w:color w:val="auto"/>
                <w:sz w:val="25"/>
                <w:szCs w:val="25"/>
              </w:rPr>
              <w:t xml:space="preserve">1 985 </w:t>
            </w:r>
            <w:proofErr w:type="spellStart"/>
            <w:r w:rsidRPr="004836A6">
              <w:rPr>
                <w:b/>
                <w:i/>
                <w:color w:val="auto"/>
                <w:sz w:val="25"/>
                <w:szCs w:val="25"/>
              </w:rPr>
              <w:t>euro</w:t>
            </w:r>
            <w:proofErr w:type="spellEnd"/>
            <w:r w:rsidRPr="004836A6">
              <w:rPr>
                <w:b/>
                <w:i/>
                <w:color w:val="auto"/>
                <w:sz w:val="25"/>
                <w:szCs w:val="25"/>
              </w:rPr>
              <w:t>)</w:t>
            </w:r>
            <w:r w:rsidRPr="004836A6">
              <w:rPr>
                <w:i/>
                <w:color w:val="auto"/>
                <w:sz w:val="25"/>
                <w:szCs w:val="25"/>
              </w:rPr>
              <w:t>.</w:t>
            </w:r>
          </w:p>
          <w:p w14:paraId="051F1A21" w14:textId="77777777" w:rsidR="00316A1B" w:rsidRDefault="00316A1B" w:rsidP="000D2356">
            <w:pPr>
              <w:ind w:right="100"/>
              <w:jc w:val="both"/>
              <w:rPr>
                <w:color w:val="auto"/>
                <w:sz w:val="25"/>
                <w:szCs w:val="25"/>
              </w:rPr>
            </w:pPr>
          </w:p>
          <w:p w14:paraId="4C66A332" w14:textId="74AF5364" w:rsidR="005C5004" w:rsidRPr="004836A6" w:rsidRDefault="005C5004" w:rsidP="000D2356">
            <w:pPr>
              <w:ind w:right="100"/>
              <w:jc w:val="both"/>
              <w:rPr>
                <w:color w:val="auto"/>
                <w:sz w:val="25"/>
                <w:szCs w:val="25"/>
              </w:rPr>
            </w:pPr>
            <w:r w:rsidRPr="004836A6">
              <w:rPr>
                <w:color w:val="auto"/>
                <w:sz w:val="25"/>
                <w:szCs w:val="25"/>
              </w:rPr>
              <w:t xml:space="preserve">Iepriekš minētos pasākumus bija plānots uzsākt no 2019.gada 1.jūlija, un ņemot vērā to, ka pasākumi tiks uzsākti no 2019.gada 1.septembra, līdz ar </w:t>
            </w:r>
            <w:r w:rsidRPr="004836A6">
              <w:rPr>
                <w:color w:val="auto"/>
                <w:sz w:val="25"/>
                <w:szCs w:val="25"/>
              </w:rPr>
              <w:lastRenderedPageBreak/>
              <w:t xml:space="preserve">to veidojas līdzekļu ekonomija 7 211 </w:t>
            </w:r>
            <w:proofErr w:type="spellStart"/>
            <w:r w:rsidRPr="004836A6">
              <w:rPr>
                <w:i/>
                <w:color w:val="auto"/>
                <w:sz w:val="25"/>
                <w:szCs w:val="25"/>
              </w:rPr>
              <w:t>euro</w:t>
            </w:r>
            <w:proofErr w:type="spellEnd"/>
            <w:r w:rsidRPr="004836A6">
              <w:rPr>
                <w:color w:val="auto"/>
                <w:sz w:val="25"/>
                <w:szCs w:val="25"/>
              </w:rPr>
              <w:t xml:space="preserve"> (6 193 </w:t>
            </w:r>
            <w:proofErr w:type="spellStart"/>
            <w:r w:rsidRPr="004836A6">
              <w:rPr>
                <w:i/>
                <w:color w:val="auto"/>
                <w:sz w:val="25"/>
                <w:szCs w:val="25"/>
              </w:rPr>
              <w:t>euro</w:t>
            </w:r>
            <w:proofErr w:type="spellEnd"/>
            <w:r w:rsidRPr="004836A6">
              <w:rPr>
                <w:i/>
                <w:color w:val="auto"/>
                <w:sz w:val="25"/>
                <w:szCs w:val="25"/>
              </w:rPr>
              <w:t xml:space="preserve"> </w:t>
            </w:r>
            <w:r w:rsidRPr="004836A6">
              <w:rPr>
                <w:color w:val="auto"/>
                <w:sz w:val="25"/>
                <w:szCs w:val="25"/>
              </w:rPr>
              <w:t xml:space="preserve">+ 1 018 </w:t>
            </w:r>
            <w:proofErr w:type="spellStart"/>
            <w:r w:rsidRPr="004836A6">
              <w:rPr>
                <w:i/>
                <w:color w:val="auto"/>
                <w:sz w:val="25"/>
                <w:szCs w:val="25"/>
              </w:rPr>
              <w:t>euro</w:t>
            </w:r>
            <w:proofErr w:type="spellEnd"/>
            <w:r w:rsidRPr="004836A6">
              <w:rPr>
                <w:color w:val="auto"/>
                <w:sz w:val="25"/>
                <w:szCs w:val="25"/>
              </w:rPr>
              <w:t xml:space="preserve"> = 7 211 </w:t>
            </w:r>
            <w:proofErr w:type="spellStart"/>
            <w:r w:rsidRPr="004836A6">
              <w:rPr>
                <w:i/>
                <w:color w:val="auto"/>
                <w:sz w:val="25"/>
                <w:szCs w:val="25"/>
              </w:rPr>
              <w:t>euro</w:t>
            </w:r>
            <w:proofErr w:type="spellEnd"/>
            <w:r w:rsidRPr="004836A6">
              <w:rPr>
                <w:color w:val="auto"/>
                <w:sz w:val="25"/>
                <w:szCs w:val="25"/>
              </w:rPr>
              <w:t xml:space="preserve">) apmērā (pasākums “Grūtnieču izmeklējumu kvalitātes uzlabošana” (18 579 </w:t>
            </w:r>
            <w:proofErr w:type="spellStart"/>
            <w:r w:rsidRPr="004836A6">
              <w:rPr>
                <w:color w:val="auto"/>
                <w:sz w:val="25"/>
                <w:szCs w:val="25"/>
              </w:rPr>
              <w:t>euro</w:t>
            </w:r>
            <w:proofErr w:type="spellEnd"/>
            <w:r w:rsidRPr="004836A6">
              <w:rPr>
                <w:color w:val="auto"/>
                <w:sz w:val="25"/>
                <w:szCs w:val="25"/>
              </w:rPr>
              <w:t xml:space="preserve"> (aprēķins no 1.jūlija) – 12 386 </w:t>
            </w:r>
            <w:proofErr w:type="spellStart"/>
            <w:r w:rsidRPr="004836A6">
              <w:rPr>
                <w:color w:val="auto"/>
                <w:sz w:val="25"/>
                <w:szCs w:val="25"/>
              </w:rPr>
              <w:t>euro</w:t>
            </w:r>
            <w:proofErr w:type="spellEnd"/>
            <w:r w:rsidRPr="004836A6">
              <w:rPr>
                <w:color w:val="auto"/>
                <w:sz w:val="25"/>
                <w:szCs w:val="25"/>
              </w:rPr>
              <w:t xml:space="preserve"> (aprēķins no 1.septembra) = 6 193 </w:t>
            </w:r>
            <w:proofErr w:type="spellStart"/>
            <w:r w:rsidRPr="004836A6">
              <w:rPr>
                <w:color w:val="auto"/>
                <w:sz w:val="25"/>
                <w:szCs w:val="25"/>
              </w:rPr>
              <w:t>euro</w:t>
            </w:r>
            <w:proofErr w:type="spellEnd"/>
            <w:r w:rsidRPr="004836A6">
              <w:rPr>
                <w:color w:val="auto"/>
                <w:sz w:val="25"/>
                <w:szCs w:val="25"/>
              </w:rPr>
              <w:t xml:space="preserve">; pasākums “Amonjaka līmeņa noteikšana” 1 527 </w:t>
            </w:r>
            <w:proofErr w:type="spellStart"/>
            <w:r w:rsidRPr="004836A6">
              <w:rPr>
                <w:color w:val="auto"/>
                <w:sz w:val="25"/>
                <w:szCs w:val="25"/>
              </w:rPr>
              <w:t>euro</w:t>
            </w:r>
            <w:proofErr w:type="spellEnd"/>
            <w:r w:rsidRPr="004836A6">
              <w:rPr>
                <w:color w:val="auto"/>
                <w:sz w:val="25"/>
                <w:szCs w:val="25"/>
              </w:rPr>
              <w:t xml:space="preserve"> (aprēķins no 1.jūlija) - 509 </w:t>
            </w:r>
            <w:proofErr w:type="spellStart"/>
            <w:r w:rsidRPr="004836A6">
              <w:rPr>
                <w:color w:val="auto"/>
                <w:sz w:val="25"/>
                <w:szCs w:val="25"/>
              </w:rPr>
              <w:t>euro</w:t>
            </w:r>
            <w:proofErr w:type="spellEnd"/>
            <w:r w:rsidRPr="004836A6">
              <w:rPr>
                <w:color w:val="auto"/>
                <w:sz w:val="25"/>
                <w:szCs w:val="25"/>
              </w:rPr>
              <w:t xml:space="preserve"> (aprēķins no 1.septembra) = 1 018 </w:t>
            </w:r>
            <w:proofErr w:type="spellStart"/>
            <w:r w:rsidRPr="004836A6">
              <w:rPr>
                <w:color w:val="auto"/>
                <w:sz w:val="25"/>
                <w:szCs w:val="25"/>
              </w:rPr>
              <w:t>euro</w:t>
            </w:r>
            <w:proofErr w:type="spellEnd"/>
            <w:r w:rsidRPr="004836A6">
              <w:rPr>
                <w:color w:val="auto"/>
                <w:sz w:val="25"/>
                <w:szCs w:val="25"/>
              </w:rPr>
              <w:t xml:space="preserve">). Sadalījumā pa </w:t>
            </w:r>
            <w:proofErr w:type="spellStart"/>
            <w:r w:rsidRPr="004836A6">
              <w:rPr>
                <w:color w:val="auto"/>
                <w:sz w:val="25"/>
                <w:szCs w:val="25"/>
              </w:rPr>
              <w:t>apkšprogrammām</w:t>
            </w:r>
            <w:proofErr w:type="spellEnd"/>
            <w:r w:rsidRPr="004836A6">
              <w:rPr>
                <w:color w:val="auto"/>
                <w:sz w:val="25"/>
                <w:szCs w:val="25"/>
              </w:rPr>
              <w:t>: 33.16.00 “</w:t>
            </w:r>
            <w:r w:rsidRPr="004836A6">
              <w:rPr>
                <w:noProof/>
                <w:color w:val="auto"/>
                <w:sz w:val="25"/>
                <w:szCs w:val="25"/>
              </w:rPr>
              <w:t>Pārējo ambulatoro veselības aprūpes pakalpojumu nodrošināšana</w:t>
            </w:r>
            <w:r w:rsidRPr="004836A6">
              <w:rPr>
                <w:color w:val="auto"/>
                <w:sz w:val="25"/>
                <w:szCs w:val="25"/>
              </w:rPr>
              <w:t xml:space="preserve">” 6 193 </w:t>
            </w:r>
            <w:proofErr w:type="spellStart"/>
            <w:r w:rsidRPr="004836A6">
              <w:rPr>
                <w:i/>
                <w:color w:val="auto"/>
                <w:sz w:val="25"/>
                <w:szCs w:val="25"/>
              </w:rPr>
              <w:t>euro</w:t>
            </w:r>
            <w:proofErr w:type="spellEnd"/>
            <w:r w:rsidRPr="004836A6">
              <w:rPr>
                <w:color w:val="auto"/>
                <w:sz w:val="25"/>
                <w:szCs w:val="25"/>
              </w:rPr>
              <w:t xml:space="preserve"> un 33.15.00 “</w:t>
            </w:r>
            <w:r w:rsidRPr="004836A6">
              <w:rPr>
                <w:noProof/>
                <w:color w:val="auto"/>
                <w:sz w:val="25"/>
                <w:szCs w:val="25"/>
              </w:rPr>
              <w:t>Laboratorisko izmeklējumu nodrošināšana ambulatorajā aprūpē</w:t>
            </w:r>
            <w:r w:rsidRPr="004836A6">
              <w:rPr>
                <w:color w:val="auto"/>
                <w:sz w:val="25"/>
                <w:szCs w:val="25"/>
              </w:rPr>
              <w:t xml:space="preserve">” 1 018 </w:t>
            </w:r>
            <w:proofErr w:type="spellStart"/>
            <w:r w:rsidRPr="004836A6">
              <w:rPr>
                <w:i/>
                <w:color w:val="auto"/>
                <w:sz w:val="25"/>
                <w:szCs w:val="25"/>
              </w:rPr>
              <w:t>euro</w:t>
            </w:r>
            <w:proofErr w:type="spellEnd"/>
            <w:r w:rsidRPr="004836A6">
              <w:rPr>
                <w:color w:val="auto"/>
                <w:sz w:val="25"/>
                <w:szCs w:val="25"/>
              </w:rPr>
              <w:t xml:space="preserve">. </w:t>
            </w:r>
          </w:p>
          <w:p w14:paraId="188F9A78" w14:textId="77777777" w:rsidR="005C5004" w:rsidRPr="004836A6" w:rsidRDefault="005C5004" w:rsidP="000D2356">
            <w:pPr>
              <w:ind w:right="100"/>
              <w:jc w:val="both"/>
              <w:rPr>
                <w:color w:val="auto"/>
                <w:sz w:val="25"/>
                <w:szCs w:val="25"/>
              </w:rPr>
            </w:pPr>
            <w:r w:rsidRPr="004836A6">
              <w:rPr>
                <w:color w:val="auto"/>
                <w:sz w:val="25"/>
                <w:szCs w:val="25"/>
              </w:rPr>
              <w:t xml:space="preserve">Ņemot vērā to, ka palielinās grūtnieču skaits vecuma posmā no 35 gadiem un vairāk, līdz ar to izveidojušos līdzekļu ekonomiju 6 193 </w:t>
            </w:r>
            <w:proofErr w:type="spellStart"/>
            <w:r w:rsidRPr="004836A6">
              <w:rPr>
                <w:color w:val="auto"/>
                <w:sz w:val="25"/>
                <w:szCs w:val="25"/>
              </w:rPr>
              <w:t>euro</w:t>
            </w:r>
            <w:proofErr w:type="spellEnd"/>
            <w:r w:rsidRPr="004836A6">
              <w:rPr>
                <w:color w:val="auto"/>
                <w:sz w:val="25"/>
                <w:szCs w:val="25"/>
              </w:rPr>
              <w:t xml:space="preserve"> apmērā plānots novirzīt pasākumam “Grūtnieču izmeklējumu kvalitātes uzlabošana”. Kā ar tiek prognozēts, ka pieaugs pacientu skaits </w:t>
            </w:r>
            <w:r w:rsidRPr="004836A6">
              <w:rPr>
                <w:color w:val="000000"/>
                <w:sz w:val="25"/>
                <w:szCs w:val="25"/>
              </w:rPr>
              <w:t xml:space="preserve">amonjaka līmeņa noteikšanai </w:t>
            </w:r>
            <w:proofErr w:type="spellStart"/>
            <w:r w:rsidRPr="004836A6">
              <w:rPr>
                <w:color w:val="000000"/>
                <w:sz w:val="25"/>
                <w:szCs w:val="25"/>
              </w:rPr>
              <w:t>metabolo</w:t>
            </w:r>
            <w:proofErr w:type="spellEnd"/>
            <w:r w:rsidRPr="004836A6">
              <w:rPr>
                <w:color w:val="000000"/>
                <w:sz w:val="25"/>
                <w:szCs w:val="25"/>
              </w:rPr>
              <w:t xml:space="preserve"> slimību diagnostikas un slimības dinamikas izvērtēšanai ambulatorā pacientu aprūpes etapā, līdz ar to izveidojušos līdzekļu ekonomiju 1 018 </w:t>
            </w:r>
            <w:proofErr w:type="spellStart"/>
            <w:r w:rsidRPr="004836A6">
              <w:rPr>
                <w:color w:val="000000"/>
                <w:sz w:val="25"/>
                <w:szCs w:val="25"/>
              </w:rPr>
              <w:t>euro</w:t>
            </w:r>
            <w:proofErr w:type="spellEnd"/>
            <w:r w:rsidRPr="004836A6">
              <w:rPr>
                <w:color w:val="000000"/>
                <w:sz w:val="25"/>
                <w:szCs w:val="25"/>
              </w:rPr>
              <w:t xml:space="preserve"> apmērā plānots novirzīt pasākumam “Amonjaka līmeņa noteikšana”.</w:t>
            </w:r>
          </w:p>
          <w:p w14:paraId="5825B73F" w14:textId="77777777" w:rsidR="005C5004" w:rsidRPr="004836A6" w:rsidRDefault="005C5004" w:rsidP="000D2356">
            <w:pPr>
              <w:ind w:right="100"/>
              <w:jc w:val="both"/>
              <w:rPr>
                <w:color w:val="auto"/>
                <w:sz w:val="25"/>
                <w:szCs w:val="25"/>
              </w:rPr>
            </w:pPr>
          </w:p>
          <w:p w14:paraId="39F3DAEE" w14:textId="77777777" w:rsidR="005C5004" w:rsidRPr="004836A6" w:rsidRDefault="005C5004" w:rsidP="000D2356">
            <w:pPr>
              <w:ind w:right="100"/>
              <w:jc w:val="both"/>
              <w:rPr>
                <w:color w:val="auto"/>
                <w:sz w:val="25"/>
                <w:szCs w:val="25"/>
                <w:shd w:val="clear" w:color="auto" w:fill="FFFFFF"/>
                <w:lang w:bidi="lv-LV"/>
              </w:rPr>
            </w:pPr>
            <w:r w:rsidRPr="004836A6">
              <w:rPr>
                <w:color w:val="auto"/>
                <w:sz w:val="25"/>
                <w:szCs w:val="25"/>
              </w:rPr>
              <w:t xml:space="preserve">Kopumā iepriekšminēto pasākumu īstenošanai 2019.gadā pavisam kopā ir nepieciešamais finansējums ir </w:t>
            </w:r>
            <w:r w:rsidRPr="004836A6">
              <w:rPr>
                <w:b/>
                <w:color w:val="auto"/>
                <w:sz w:val="25"/>
                <w:szCs w:val="25"/>
              </w:rPr>
              <w:t xml:space="preserve">12 895 </w:t>
            </w:r>
            <w:proofErr w:type="spellStart"/>
            <w:r w:rsidRPr="004836A6">
              <w:rPr>
                <w:b/>
                <w:i/>
                <w:color w:val="auto"/>
                <w:sz w:val="25"/>
                <w:szCs w:val="25"/>
              </w:rPr>
              <w:t>euro</w:t>
            </w:r>
            <w:proofErr w:type="spellEnd"/>
            <w:r w:rsidRPr="004836A6">
              <w:rPr>
                <w:i/>
                <w:color w:val="auto"/>
                <w:sz w:val="25"/>
                <w:szCs w:val="25"/>
              </w:rPr>
              <w:t>.</w:t>
            </w:r>
            <w:r w:rsidRPr="004836A6">
              <w:rPr>
                <w:b/>
                <w:i/>
                <w:color w:val="auto"/>
                <w:sz w:val="25"/>
                <w:szCs w:val="25"/>
              </w:rPr>
              <w:t xml:space="preserve"> </w:t>
            </w:r>
          </w:p>
          <w:p w14:paraId="5B22BDA4" w14:textId="77777777" w:rsidR="005C5004" w:rsidRPr="004836A6" w:rsidRDefault="005C5004" w:rsidP="000D2356">
            <w:pPr>
              <w:ind w:left="39" w:right="100"/>
              <w:jc w:val="both"/>
              <w:rPr>
                <w:rFonts w:eastAsia="Calibri"/>
                <w:bCs/>
                <w:color w:val="auto"/>
                <w:sz w:val="25"/>
                <w:szCs w:val="25"/>
              </w:rPr>
            </w:pPr>
          </w:p>
          <w:p w14:paraId="5ED22CF8" w14:textId="77777777" w:rsidR="005C5004" w:rsidRPr="004836A6" w:rsidRDefault="005C5004" w:rsidP="000D2356">
            <w:pPr>
              <w:ind w:right="100"/>
              <w:jc w:val="both"/>
              <w:rPr>
                <w:b/>
                <w:i/>
                <w:color w:val="auto"/>
                <w:sz w:val="25"/>
                <w:szCs w:val="25"/>
                <w:shd w:val="clear" w:color="auto" w:fill="FFFFFF"/>
                <w:lang w:bidi="lv-LV"/>
              </w:rPr>
            </w:pPr>
            <w:r w:rsidRPr="004836A6">
              <w:rPr>
                <w:b/>
                <w:i/>
                <w:color w:val="auto"/>
                <w:sz w:val="25"/>
                <w:szCs w:val="25"/>
                <w:shd w:val="clear" w:color="auto" w:fill="FFFFFF"/>
                <w:lang w:bidi="lv-LV"/>
              </w:rPr>
              <w:t>Ietekme 2020.gadam un turpmāk</w:t>
            </w:r>
          </w:p>
          <w:p w14:paraId="4014119E" w14:textId="77777777" w:rsidR="005C5004" w:rsidRPr="004836A6" w:rsidRDefault="005C5004" w:rsidP="000D2356">
            <w:pPr>
              <w:ind w:right="100"/>
              <w:jc w:val="both"/>
              <w:rPr>
                <w:b/>
                <w:i/>
                <w:color w:val="auto"/>
                <w:sz w:val="25"/>
                <w:szCs w:val="25"/>
                <w:shd w:val="clear" w:color="auto" w:fill="FFFFFF"/>
                <w:lang w:bidi="lv-LV"/>
              </w:rPr>
            </w:pPr>
          </w:p>
          <w:p w14:paraId="5CF4A6F9" w14:textId="77777777" w:rsidR="005C5004" w:rsidRPr="004836A6" w:rsidRDefault="005C5004" w:rsidP="000D2356">
            <w:pPr>
              <w:keepLines/>
              <w:autoSpaceDE w:val="0"/>
              <w:autoSpaceDN w:val="0"/>
              <w:adjustRightInd w:val="0"/>
              <w:ind w:left="13" w:right="100"/>
              <w:contextualSpacing/>
              <w:jc w:val="both"/>
              <w:rPr>
                <w:color w:val="auto"/>
                <w:sz w:val="25"/>
                <w:szCs w:val="25"/>
                <w:shd w:val="clear" w:color="auto" w:fill="FFFFFF"/>
                <w:lang w:bidi="lv-LV"/>
              </w:rPr>
            </w:pPr>
            <w:r w:rsidRPr="004836A6">
              <w:rPr>
                <w:rFonts w:eastAsiaTheme="minorHAnsi"/>
                <w:bCs/>
                <w:iCs/>
                <w:color w:val="auto"/>
                <w:sz w:val="25"/>
                <w:szCs w:val="25"/>
                <w:lang w:eastAsia="en-US"/>
              </w:rPr>
              <w:t>1.Noteikumu projekta 1.2.punkts (1.pielikuma tabulas 1.punkts) paredz uzlabot grūtnieču  ultrasonogrāfisko izmeklējumu kvalitāti, ņ</w:t>
            </w:r>
            <w:r w:rsidRPr="004836A6">
              <w:rPr>
                <w:rFonts w:eastAsiaTheme="minorHAnsi"/>
                <w:color w:val="auto"/>
                <w:sz w:val="25"/>
                <w:szCs w:val="25"/>
                <w:shd w:val="clear" w:color="auto" w:fill="FFFFFF"/>
                <w:lang w:eastAsia="en-US"/>
              </w:rPr>
              <w:t xml:space="preserve">emot vērā, ka sievietes vecums ir viens iedzimtu patoloģiju riskiem, jāizvērtē iespējas visām grūtniecēm, vecākām par 35 gadiem, veikt augļa padziļinātu  ultrasonogrāfijas izmeklēšanu ar </w:t>
            </w:r>
            <w:proofErr w:type="spellStart"/>
            <w:r w:rsidRPr="004836A6">
              <w:rPr>
                <w:rFonts w:eastAsiaTheme="minorHAnsi"/>
                <w:color w:val="auto"/>
                <w:sz w:val="25"/>
                <w:szCs w:val="25"/>
                <w:shd w:val="clear" w:color="auto" w:fill="FFFFFF"/>
                <w:lang w:eastAsia="en-US"/>
              </w:rPr>
              <w:t>dopleru</w:t>
            </w:r>
            <w:proofErr w:type="spellEnd"/>
            <w:r w:rsidRPr="004836A6">
              <w:rPr>
                <w:rFonts w:eastAsiaTheme="minorHAnsi"/>
                <w:color w:val="auto"/>
                <w:sz w:val="25"/>
                <w:szCs w:val="25"/>
                <w:shd w:val="clear" w:color="auto" w:fill="FFFFFF"/>
                <w:lang w:eastAsia="en-US"/>
              </w:rPr>
              <w:t>, izvērtējot pirmā trimestra ultrasonogrāfijas marķierus -augļa deguna kaula, venozā vada (</w:t>
            </w:r>
            <w:proofErr w:type="spellStart"/>
            <w:r w:rsidRPr="004836A6">
              <w:rPr>
                <w:rFonts w:eastAsiaTheme="minorHAnsi"/>
                <w:i/>
                <w:iCs/>
                <w:color w:val="auto"/>
                <w:sz w:val="25"/>
                <w:szCs w:val="25"/>
                <w:shd w:val="clear" w:color="auto" w:fill="FFFFFF"/>
                <w:lang w:eastAsia="en-US"/>
              </w:rPr>
              <w:t>ductus</w:t>
            </w:r>
            <w:proofErr w:type="spellEnd"/>
            <w:r w:rsidRPr="004836A6">
              <w:rPr>
                <w:rFonts w:eastAsiaTheme="minorHAnsi"/>
                <w:i/>
                <w:iCs/>
                <w:color w:val="auto"/>
                <w:sz w:val="25"/>
                <w:szCs w:val="25"/>
                <w:shd w:val="clear" w:color="auto" w:fill="FFFFFF"/>
                <w:lang w:eastAsia="en-US"/>
              </w:rPr>
              <w:t xml:space="preserve"> </w:t>
            </w:r>
            <w:proofErr w:type="spellStart"/>
            <w:r w:rsidRPr="004836A6">
              <w:rPr>
                <w:rFonts w:eastAsiaTheme="minorHAnsi"/>
                <w:i/>
                <w:iCs/>
                <w:color w:val="auto"/>
                <w:sz w:val="25"/>
                <w:szCs w:val="25"/>
                <w:shd w:val="clear" w:color="auto" w:fill="FFFFFF"/>
                <w:lang w:eastAsia="en-US"/>
              </w:rPr>
              <w:t>venosus</w:t>
            </w:r>
            <w:proofErr w:type="spellEnd"/>
            <w:r w:rsidRPr="004836A6">
              <w:rPr>
                <w:rFonts w:eastAsiaTheme="minorHAnsi"/>
                <w:color w:val="auto"/>
                <w:sz w:val="25"/>
                <w:szCs w:val="25"/>
                <w:shd w:val="clear" w:color="auto" w:fill="FFFFFF"/>
                <w:lang w:eastAsia="en-US"/>
              </w:rPr>
              <w:t>) plūsma un trīsviru vārstuļu plūsma (grūtniecības 11.-13.</w:t>
            </w:r>
            <w:r w:rsidRPr="004836A6">
              <w:rPr>
                <w:rFonts w:eastAsiaTheme="minorHAnsi"/>
                <w:color w:val="auto"/>
                <w:sz w:val="25"/>
                <w:szCs w:val="25"/>
                <w:shd w:val="clear" w:color="auto" w:fill="FFFFFF"/>
                <w:vertAlign w:val="superscript"/>
                <w:lang w:eastAsia="en-US"/>
              </w:rPr>
              <w:t>+6</w:t>
            </w:r>
            <w:r w:rsidRPr="004836A6">
              <w:rPr>
                <w:rFonts w:eastAsiaTheme="minorHAnsi"/>
                <w:color w:val="auto"/>
                <w:sz w:val="25"/>
                <w:szCs w:val="25"/>
                <w:shd w:val="clear" w:color="auto" w:fill="FFFFFF"/>
                <w:lang w:eastAsia="en-US"/>
              </w:rPr>
              <w:t>)</w:t>
            </w:r>
            <w:r w:rsidRPr="004836A6">
              <w:rPr>
                <w:rFonts w:eastAsiaTheme="minorHAnsi"/>
                <w:color w:val="auto"/>
                <w:sz w:val="25"/>
                <w:szCs w:val="25"/>
                <w:lang w:eastAsia="en-US"/>
              </w:rPr>
              <w:t xml:space="preserve">, kopā radot ietekmi </w:t>
            </w:r>
            <w:r w:rsidRPr="004836A6">
              <w:rPr>
                <w:rFonts w:eastAsiaTheme="minorHAnsi"/>
                <w:b/>
                <w:color w:val="auto"/>
                <w:sz w:val="25"/>
                <w:szCs w:val="25"/>
                <w:lang w:eastAsia="en-US"/>
              </w:rPr>
              <w:t xml:space="preserve">37 158 </w:t>
            </w:r>
            <w:proofErr w:type="spellStart"/>
            <w:r w:rsidRPr="004836A6">
              <w:rPr>
                <w:rFonts w:eastAsiaTheme="minorHAnsi"/>
                <w:b/>
                <w:i/>
                <w:color w:val="auto"/>
                <w:sz w:val="25"/>
                <w:szCs w:val="25"/>
                <w:lang w:eastAsia="en-US"/>
              </w:rPr>
              <w:t>euro</w:t>
            </w:r>
            <w:proofErr w:type="spellEnd"/>
            <w:r w:rsidRPr="004836A6">
              <w:rPr>
                <w:rFonts w:eastAsiaTheme="minorHAnsi"/>
                <w:b/>
                <w:color w:val="auto"/>
                <w:sz w:val="25"/>
                <w:szCs w:val="25"/>
                <w:lang w:eastAsia="en-US"/>
              </w:rPr>
              <w:t xml:space="preserve"> </w:t>
            </w:r>
            <w:r w:rsidRPr="004836A6">
              <w:rPr>
                <w:rFonts w:eastAsiaTheme="minorHAnsi"/>
                <w:color w:val="auto"/>
                <w:sz w:val="25"/>
                <w:szCs w:val="25"/>
                <w:lang w:eastAsia="en-US"/>
              </w:rPr>
              <w:t xml:space="preserve">(skat., tabulu Nr.1 pie 2019.gada ietekmes). </w:t>
            </w:r>
            <w:r w:rsidRPr="004836A6">
              <w:rPr>
                <w:i/>
                <w:color w:val="auto"/>
                <w:sz w:val="25"/>
                <w:szCs w:val="25"/>
                <w:shd w:val="clear" w:color="auto" w:fill="FFFFFF"/>
                <w:lang w:bidi="lv-LV"/>
              </w:rPr>
              <w:t>Iepriekšminētais pasākums tiks īstenots apakšprogrammas 33.16.00 “Plānveida stacionāro veselības aprūpes pakalpojumu nodrošināšana” ietvaros.</w:t>
            </w:r>
            <w:r w:rsidRPr="004836A6">
              <w:rPr>
                <w:color w:val="auto"/>
                <w:sz w:val="25"/>
                <w:szCs w:val="25"/>
                <w:shd w:val="clear" w:color="auto" w:fill="FFFFFF"/>
                <w:lang w:bidi="lv-LV"/>
              </w:rPr>
              <w:t xml:space="preserve"> </w:t>
            </w:r>
            <w:r w:rsidRPr="004836A6">
              <w:rPr>
                <w:rFonts w:eastAsiaTheme="minorHAnsi"/>
                <w:color w:val="auto"/>
                <w:sz w:val="25"/>
                <w:szCs w:val="25"/>
                <w:lang w:eastAsia="en-US"/>
              </w:rPr>
              <w:t xml:space="preserve">Finansējums 2020.gadam 37 158 </w:t>
            </w:r>
            <w:proofErr w:type="spellStart"/>
            <w:r w:rsidRPr="004836A6">
              <w:rPr>
                <w:rFonts w:eastAsiaTheme="minorHAnsi"/>
                <w:i/>
                <w:color w:val="auto"/>
                <w:sz w:val="25"/>
                <w:szCs w:val="25"/>
                <w:lang w:eastAsia="en-US"/>
              </w:rPr>
              <w:t>euro</w:t>
            </w:r>
            <w:proofErr w:type="spellEnd"/>
            <w:r w:rsidRPr="004836A6">
              <w:rPr>
                <w:rFonts w:eastAsiaTheme="minorHAnsi"/>
                <w:color w:val="auto"/>
                <w:sz w:val="25"/>
                <w:szCs w:val="25"/>
                <w:lang w:eastAsia="en-US"/>
              </w:rPr>
              <w:t xml:space="preserve"> </w:t>
            </w:r>
            <w:r w:rsidRPr="004836A6">
              <w:rPr>
                <w:rFonts w:eastAsia="Calibri"/>
                <w:bCs/>
                <w:color w:val="auto"/>
                <w:sz w:val="25"/>
                <w:szCs w:val="25"/>
                <w:lang w:eastAsia="en-US"/>
              </w:rPr>
              <w:t>apmērā</w:t>
            </w:r>
            <w:r w:rsidRPr="004836A6">
              <w:rPr>
                <w:rFonts w:eastAsiaTheme="minorHAnsi"/>
                <w:color w:val="auto"/>
                <w:sz w:val="25"/>
                <w:szCs w:val="25"/>
                <w:lang w:eastAsia="en-US"/>
              </w:rPr>
              <w:t xml:space="preserve"> tiks nodrošināts no budžeta resora </w:t>
            </w:r>
            <w:r w:rsidRPr="004836A6">
              <w:rPr>
                <w:rFonts w:eastAsia="Calibri"/>
                <w:bCs/>
                <w:color w:val="auto"/>
                <w:sz w:val="25"/>
                <w:szCs w:val="25"/>
                <w:lang w:eastAsia="en-US"/>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14:paraId="30B690B9" w14:textId="77777777" w:rsidR="005C5004" w:rsidRPr="004836A6" w:rsidRDefault="005C5004" w:rsidP="000D2356">
            <w:pPr>
              <w:ind w:right="100"/>
              <w:jc w:val="both"/>
              <w:rPr>
                <w:color w:val="auto"/>
                <w:sz w:val="25"/>
                <w:szCs w:val="25"/>
              </w:rPr>
            </w:pPr>
          </w:p>
          <w:p w14:paraId="66DAE31E" w14:textId="77777777" w:rsidR="005C5004" w:rsidRPr="004836A6" w:rsidRDefault="005C5004" w:rsidP="000D2356">
            <w:pPr>
              <w:keepLines/>
              <w:autoSpaceDE w:val="0"/>
              <w:autoSpaceDN w:val="0"/>
              <w:adjustRightInd w:val="0"/>
              <w:ind w:left="13" w:right="100"/>
              <w:contextualSpacing/>
              <w:jc w:val="both"/>
              <w:rPr>
                <w:color w:val="auto"/>
                <w:sz w:val="25"/>
                <w:szCs w:val="25"/>
                <w:shd w:val="clear" w:color="auto" w:fill="FFFFFF"/>
                <w:lang w:bidi="lv-LV"/>
              </w:rPr>
            </w:pPr>
            <w:r w:rsidRPr="004836A6">
              <w:rPr>
                <w:rFonts w:eastAsiaTheme="minorHAnsi"/>
                <w:bCs/>
                <w:iCs/>
                <w:color w:val="auto"/>
                <w:sz w:val="25"/>
                <w:szCs w:val="25"/>
                <w:lang w:eastAsia="en-US"/>
              </w:rPr>
              <w:t xml:space="preserve">2.Noteikumu projekta 1.6.punkts (1.pielikuma tabulas 13.punkts) paredz nodrošināt amonjaka līmeņa noteikšanu riska grupas jaundzimušajiem, kopā radot ietekmi </w:t>
            </w:r>
            <w:r w:rsidRPr="004836A6">
              <w:rPr>
                <w:rFonts w:eastAsiaTheme="minorHAnsi"/>
                <w:b/>
                <w:bCs/>
                <w:iCs/>
                <w:color w:val="auto"/>
                <w:sz w:val="25"/>
                <w:szCs w:val="25"/>
                <w:lang w:eastAsia="en-US"/>
              </w:rPr>
              <w:t xml:space="preserve">1 985 </w:t>
            </w:r>
            <w:proofErr w:type="spellStart"/>
            <w:r w:rsidRPr="004836A6">
              <w:rPr>
                <w:rFonts w:eastAsiaTheme="minorHAnsi"/>
                <w:b/>
                <w:bCs/>
                <w:i/>
                <w:iCs/>
                <w:color w:val="auto"/>
                <w:sz w:val="25"/>
                <w:szCs w:val="25"/>
                <w:lang w:eastAsia="en-US"/>
              </w:rPr>
              <w:t>euro</w:t>
            </w:r>
            <w:proofErr w:type="spellEnd"/>
            <w:r w:rsidRPr="004836A6">
              <w:rPr>
                <w:rFonts w:eastAsiaTheme="minorHAnsi"/>
                <w:b/>
                <w:bCs/>
                <w:i/>
                <w:iCs/>
                <w:color w:val="auto"/>
                <w:sz w:val="25"/>
                <w:szCs w:val="25"/>
                <w:lang w:eastAsia="en-US"/>
              </w:rPr>
              <w:t xml:space="preserve"> </w:t>
            </w:r>
            <w:r w:rsidRPr="004836A6">
              <w:rPr>
                <w:rFonts w:eastAsiaTheme="minorHAnsi"/>
                <w:color w:val="auto"/>
                <w:sz w:val="25"/>
                <w:szCs w:val="25"/>
                <w:lang w:eastAsia="en-US"/>
              </w:rPr>
              <w:t xml:space="preserve">(skat., tabulu Nr.2 pie 2019.gada ietekmes). </w:t>
            </w:r>
            <w:r w:rsidRPr="004836A6">
              <w:rPr>
                <w:rFonts w:eastAsiaTheme="minorHAnsi"/>
                <w:i/>
                <w:color w:val="auto"/>
                <w:sz w:val="25"/>
                <w:szCs w:val="25"/>
                <w:shd w:val="clear" w:color="auto" w:fill="FFFFFF"/>
                <w:lang w:eastAsia="en-US" w:bidi="lv-LV"/>
              </w:rPr>
              <w:t>Iepriekšminētais</w:t>
            </w:r>
            <w:r w:rsidRPr="004836A6">
              <w:rPr>
                <w:rFonts w:eastAsiaTheme="minorHAnsi"/>
                <w:color w:val="auto"/>
                <w:sz w:val="25"/>
                <w:szCs w:val="25"/>
                <w:shd w:val="clear" w:color="auto" w:fill="FFFFFF"/>
                <w:lang w:eastAsia="en-US" w:bidi="lv-LV"/>
              </w:rPr>
              <w:t xml:space="preserve"> </w:t>
            </w:r>
            <w:r w:rsidRPr="004836A6">
              <w:rPr>
                <w:rFonts w:eastAsiaTheme="minorHAnsi"/>
                <w:i/>
                <w:color w:val="auto"/>
                <w:sz w:val="25"/>
                <w:szCs w:val="25"/>
                <w:shd w:val="clear" w:color="auto" w:fill="FFFFFF"/>
                <w:lang w:eastAsia="en-US" w:bidi="lv-LV"/>
              </w:rPr>
              <w:t>pasākums tiks īstenots apakšprogrammas 33.15.00 “</w:t>
            </w:r>
            <w:r w:rsidRPr="004836A6">
              <w:rPr>
                <w:rFonts w:eastAsiaTheme="minorHAnsi"/>
                <w:noProof/>
                <w:color w:val="auto"/>
                <w:sz w:val="25"/>
                <w:szCs w:val="25"/>
                <w:lang w:eastAsia="en-US"/>
              </w:rPr>
              <w:t>Laboratorisko izmeklējumu nodrošināšana ambulatorajā aprūpē</w:t>
            </w:r>
            <w:r w:rsidRPr="004836A6">
              <w:rPr>
                <w:rFonts w:eastAsiaTheme="minorHAnsi"/>
                <w:i/>
                <w:color w:val="auto"/>
                <w:sz w:val="25"/>
                <w:szCs w:val="25"/>
                <w:shd w:val="clear" w:color="auto" w:fill="FFFFFF"/>
                <w:lang w:eastAsia="en-US" w:bidi="lv-LV"/>
              </w:rPr>
              <w:t xml:space="preserve">” </w:t>
            </w:r>
            <w:r w:rsidRPr="004836A6">
              <w:rPr>
                <w:rFonts w:eastAsia="Calibri"/>
                <w:bCs/>
                <w:i/>
                <w:color w:val="auto"/>
                <w:sz w:val="25"/>
                <w:szCs w:val="25"/>
                <w:lang w:eastAsia="en-US"/>
              </w:rPr>
              <w:t>ietvaros.</w:t>
            </w:r>
            <w:r w:rsidRPr="004836A6">
              <w:rPr>
                <w:rFonts w:eastAsiaTheme="minorHAnsi"/>
                <w:color w:val="auto"/>
                <w:sz w:val="25"/>
                <w:szCs w:val="25"/>
                <w:lang w:eastAsia="en-US"/>
              </w:rPr>
              <w:t xml:space="preserve"> Finansējums 2020.gadam 1 985 </w:t>
            </w:r>
            <w:proofErr w:type="spellStart"/>
            <w:r w:rsidRPr="004836A6">
              <w:rPr>
                <w:rFonts w:eastAsiaTheme="minorHAnsi"/>
                <w:i/>
                <w:color w:val="auto"/>
                <w:sz w:val="25"/>
                <w:szCs w:val="25"/>
                <w:lang w:eastAsia="en-US"/>
              </w:rPr>
              <w:t>euro</w:t>
            </w:r>
            <w:proofErr w:type="spellEnd"/>
            <w:r w:rsidRPr="004836A6">
              <w:rPr>
                <w:rFonts w:eastAsiaTheme="minorHAnsi"/>
                <w:color w:val="auto"/>
                <w:sz w:val="25"/>
                <w:szCs w:val="25"/>
                <w:lang w:eastAsia="en-US"/>
              </w:rPr>
              <w:t xml:space="preserve"> </w:t>
            </w:r>
            <w:r w:rsidRPr="004836A6">
              <w:rPr>
                <w:rFonts w:eastAsia="Calibri"/>
                <w:bCs/>
                <w:color w:val="auto"/>
                <w:sz w:val="25"/>
                <w:szCs w:val="25"/>
                <w:lang w:eastAsia="en-US"/>
              </w:rPr>
              <w:t>apmērā</w:t>
            </w:r>
            <w:r w:rsidRPr="004836A6">
              <w:rPr>
                <w:rFonts w:eastAsiaTheme="minorHAnsi"/>
                <w:color w:val="auto"/>
                <w:sz w:val="25"/>
                <w:szCs w:val="25"/>
                <w:lang w:eastAsia="en-US"/>
              </w:rPr>
              <w:t xml:space="preserve"> tiks nodrošināts no budžeta resora </w:t>
            </w:r>
            <w:r w:rsidRPr="004836A6">
              <w:rPr>
                <w:rFonts w:eastAsia="Calibri"/>
                <w:bCs/>
                <w:color w:val="auto"/>
                <w:sz w:val="25"/>
                <w:szCs w:val="25"/>
                <w:lang w:eastAsia="en-US"/>
              </w:rPr>
              <w:t xml:space="preserve">"74. Gadskārtējā valsts budžeta izpildes procesā pārdalāmais finansējums" 08.00.00 programmas "Veselības aprūpes sistēmas reformas ieviešanas finansējums" Veselības ministrijai veselības finansējuma nodrošināšanai rezervētajiem līdzekļiem.       </w:t>
            </w:r>
          </w:p>
          <w:p w14:paraId="7647F4E6" w14:textId="77777777" w:rsidR="005C5004" w:rsidRPr="004836A6" w:rsidRDefault="005C5004" w:rsidP="000D2356">
            <w:pPr>
              <w:ind w:left="39" w:right="100"/>
              <w:jc w:val="both"/>
              <w:rPr>
                <w:rFonts w:eastAsia="Calibri"/>
                <w:bCs/>
                <w:i/>
                <w:color w:val="auto"/>
                <w:sz w:val="25"/>
                <w:szCs w:val="25"/>
              </w:rPr>
            </w:pPr>
          </w:p>
          <w:p w14:paraId="418B1730" w14:textId="77777777" w:rsidR="005C5004" w:rsidRPr="004836A6" w:rsidRDefault="005C5004" w:rsidP="000D2356">
            <w:pPr>
              <w:ind w:right="100"/>
              <w:jc w:val="both"/>
              <w:rPr>
                <w:b/>
                <w:i/>
                <w:color w:val="auto"/>
                <w:sz w:val="25"/>
                <w:szCs w:val="25"/>
              </w:rPr>
            </w:pPr>
            <w:r w:rsidRPr="004836A6">
              <w:rPr>
                <w:color w:val="auto"/>
                <w:sz w:val="25"/>
                <w:szCs w:val="25"/>
              </w:rPr>
              <w:t xml:space="preserve">Kopumā iepriekšminēto pasākumu īstenošanai 2020.gadā un turpmāk ik gadu pavisam kopā ir nepieciešamais finansējums ir </w:t>
            </w:r>
            <w:r w:rsidRPr="004836A6">
              <w:rPr>
                <w:b/>
                <w:color w:val="auto"/>
                <w:sz w:val="25"/>
                <w:szCs w:val="25"/>
              </w:rPr>
              <w:t xml:space="preserve">39 143 </w:t>
            </w:r>
            <w:proofErr w:type="spellStart"/>
            <w:r w:rsidRPr="004836A6">
              <w:rPr>
                <w:b/>
                <w:i/>
                <w:color w:val="auto"/>
                <w:sz w:val="25"/>
                <w:szCs w:val="25"/>
              </w:rPr>
              <w:t>euro</w:t>
            </w:r>
            <w:proofErr w:type="spellEnd"/>
            <w:r w:rsidRPr="004836A6">
              <w:rPr>
                <w:i/>
                <w:color w:val="auto"/>
                <w:sz w:val="25"/>
                <w:szCs w:val="25"/>
              </w:rPr>
              <w:t>.</w:t>
            </w:r>
            <w:r w:rsidRPr="004836A6">
              <w:rPr>
                <w:b/>
                <w:i/>
                <w:color w:val="auto"/>
                <w:sz w:val="25"/>
                <w:szCs w:val="25"/>
              </w:rPr>
              <w:t xml:space="preserve"> </w:t>
            </w:r>
          </w:p>
          <w:p w14:paraId="10055B31" w14:textId="77777777" w:rsidR="005C5004" w:rsidRPr="004836A6" w:rsidRDefault="005C5004" w:rsidP="000D2356">
            <w:pPr>
              <w:rPr>
                <w:noProof/>
                <w:color w:val="auto"/>
                <w:sz w:val="25"/>
                <w:szCs w:val="25"/>
              </w:rPr>
            </w:pPr>
          </w:p>
        </w:tc>
      </w:tr>
      <w:tr w:rsidR="005C5004" w:rsidRPr="004836A6" w14:paraId="2046DD0E"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57D80DCD" w14:textId="77777777" w:rsidR="005C5004" w:rsidRPr="004836A6" w:rsidRDefault="005C5004" w:rsidP="000D2356">
            <w:pPr>
              <w:rPr>
                <w:color w:val="auto"/>
                <w:sz w:val="25"/>
                <w:szCs w:val="25"/>
              </w:rPr>
            </w:pPr>
            <w:r w:rsidRPr="004836A6">
              <w:rPr>
                <w:color w:val="auto"/>
                <w:sz w:val="25"/>
                <w:szCs w:val="25"/>
              </w:rPr>
              <w:t xml:space="preserve">6.1. detalizēts </w:t>
            </w:r>
            <w:r w:rsidRPr="004836A6">
              <w:rPr>
                <w:color w:val="auto"/>
                <w:sz w:val="25"/>
                <w:szCs w:val="25"/>
              </w:rPr>
              <w:lastRenderedPageBreak/>
              <w:t>ieņēmumu aprēķins</w:t>
            </w:r>
          </w:p>
        </w:tc>
        <w:tc>
          <w:tcPr>
            <w:tcW w:w="4421" w:type="pct"/>
            <w:gridSpan w:val="7"/>
            <w:vMerge/>
            <w:tcBorders>
              <w:left w:val="outset" w:sz="6" w:space="0" w:color="414142"/>
              <w:right w:val="outset" w:sz="6" w:space="0" w:color="414142"/>
            </w:tcBorders>
            <w:shd w:val="clear" w:color="auto" w:fill="FFFFFF"/>
            <w:vAlign w:val="center"/>
            <w:hideMark/>
          </w:tcPr>
          <w:p w14:paraId="169654FB" w14:textId="77777777" w:rsidR="005C5004" w:rsidRPr="004836A6" w:rsidRDefault="005C5004" w:rsidP="000D2356">
            <w:pPr>
              <w:rPr>
                <w:color w:val="auto"/>
                <w:sz w:val="25"/>
                <w:szCs w:val="25"/>
              </w:rPr>
            </w:pPr>
          </w:p>
        </w:tc>
      </w:tr>
      <w:tr w:rsidR="005C5004" w:rsidRPr="004836A6" w14:paraId="7261819C"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599B1A95" w14:textId="77777777" w:rsidR="005C5004" w:rsidRPr="004836A6" w:rsidRDefault="005C5004" w:rsidP="000D2356">
            <w:pPr>
              <w:rPr>
                <w:color w:val="auto"/>
                <w:sz w:val="25"/>
                <w:szCs w:val="25"/>
              </w:rPr>
            </w:pPr>
            <w:r w:rsidRPr="004836A6">
              <w:rPr>
                <w:color w:val="auto"/>
                <w:sz w:val="25"/>
                <w:szCs w:val="25"/>
              </w:rPr>
              <w:t>6.2. detalizēts izdevumu aprēķins</w:t>
            </w:r>
          </w:p>
        </w:tc>
        <w:tc>
          <w:tcPr>
            <w:tcW w:w="4421" w:type="pct"/>
            <w:gridSpan w:val="7"/>
            <w:vMerge/>
            <w:tcBorders>
              <w:left w:val="outset" w:sz="6" w:space="0" w:color="414142"/>
              <w:bottom w:val="outset" w:sz="6" w:space="0" w:color="414142"/>
              <w:right w:val="outset" w:sz="6" w:space="0" w:color="414142"/>
            </w:tcBorders>
            <w:shd w:val="clear" w:color="auto" w:fill="FFFFFF"/>
            <w:vAlign w:val="center"/>
            <w:hideMark/>
          </w:tcPr>
          <w:p w14:paraId="2E579E52" w14:textId="77777777" w:rsidR="005C5004" w:rsidRPr="004836A6" w:rsidRDefault="005C5004" w:rsidP="000D2356">
            <w:pPr>
              <w:rPr>
                <w:color w:val="auto"/>
                <w:sz w:val="25"/>
                <w:szCs w:val="25"/>
              </w:rPr>
            </w:pPr>
          </w:p>
        </w:tc>
      </w:tr>
      <w:tr w:rsidR="005C5004" w:rsidRPr="004836A6" w14:paraId="606B0DEB"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21B62500" w14:textId="77777777" w:rsidR="005C5004" w:rsidRPr="004836A6" w:rsidRDefault="005C5004" w:rsidP="000D2356">
            <w:pPr>
              <w:rPr>
                <w:color w:val="auto"/>
                <w:sz w:val="25"/>
                <w:szCs w:val="25"/>
              </w:rPr>
            </w:pPr>
            <w:r w:rsidRPr="004836A6">
              <w:rPr>
                <w:color w:val="auto"/>
                <w:sz w:val="25"/>
                <w:szCs w:val="25"/>
              </w:rPr>
              <w:lastRenderedPageBreak/>
              <w:t>7. Amata vietu skaita izmaiņas</w:t>
            </w:r>
          </w:p>
        </w:tc>
        <w:tc>
          <w:tcPr>
            <w:tcW w:w="442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3B6370E" w14:textId="77777777" w:rsidR="005C5004" w:rsidRPr="004836A6" w:rsidRDefault="005C5004" w:rsidP="000D2356">
            <w:pPr>
              <w:rPr>
                <w:color w:val="auto"/>
                <w:sz w:val="25"/>
                <w:szCs w:val="25"/>
              </w:rPr>
            </w:pPr>
            <w:r w:rsidRPr="004836A6">
              <w:rPr>
                <w:color w:val="auto"/>
                <w:sz w:val="25"/>
                <w:szCs w:val="25"/>
              </w:rPr>
              <w:t>Projekts šo jomu neskar.</w:t>
            </w:r>
          </w:p>
        </w:tc>
      </w:tr>
      <w:tr w:rsidR="005C5004" w:rsidRPr="004836A6" w14:paraId="78C5CFCF" w14:textId="77777777" w:rsidTr="00316A1B">
        <w:tc>
          <w:tcPr>
            <w:tcW w:w="579" w:type="pct"/>
            <w:tcBorders>
              <w:top w:val="outset" w:sz="6" w:space="0" w:color="414142"/>
              <w:left w:val="outset" w:sz="6" w:space="0" w:color="414142"/>
              <w:bottom w:val="outset" w:sz="6" w:space="0" w:color="414142"/>
              <w:right w:val="outset" w:sz="6" w:space="0" w:color="414142"/>
            </w:tcBorders>
            <w:shd w:val="clear" w:color="auto" w:fill="FFFFFF"/>
            <w:hideMark/>
          </w:tcPr>
          <w:p w14:paraId="0601D78D" w14:textId="77777777" w:rsidR="005C5004" w:rsidRPr="004836A6" w:rsidRDefault="005C5004" w:rsidP="000D2356">
            <w:pPr>
              <w:rPr>
                <w:color w:val="auto"/>
                <w:sz w:val="25"/>
                <w:szCs w:val="25"/>
              </w:rPr>
            </w:pPr>
            <w:r w:rsidRPr="004836A6">
              <w:rPr>
                <w:color w:val="auto"/>
                <w:sz w:val="25"/>
                <w:szCs w:val="25"/>
              </w:rPr>
              <w:t>8. Cita informācija</w:t>
            </w:r>
          </w:p>
        </w:tc>
        <w:tc>
          <w:tcPr>
            <w:tcW w:w="4421" w:type="pct"/>
            <w:gridSpan w:val="7"/>
            <w:tcBorders>
              <w:top w:val="outset" w:sz="6" w:space="0" w:color="414142"/>
              <w:left w:val="outset" w:sz="6" w:space="0" w:color="414142"/>
              <w:bottom w:val="outset" w:sz="6" w:space="0" w:color="414142"/>
              <w:right w:val="outset" w:sz="6" w:space="0" w:color="414142"/>
            </w:tcBorders>
            <w:shd w:val="clear" w:color="auto" w:fill="FFFFFF"/>
          </w:tcPr>
          <w:p w14:paraId="0FB6F446" w14:textId="77777777" w:rsidR="005C5004" w:rsidRPr="004836A6" w:rsidRDefault="005C5004" w:rsidP="000D2356">
            <w:pPr>
              <w:jc w:val="both"/>
              <w:rPr>
                <w:color w:val="auto"/>
                <w:sz w:val="25"/>
                <w:szCs w:val="25"/>
              </w:rPr>
            </w:pPr>
            <w:r w:rsidRPr="004836A6">
              <w:rPr>
                <w:color w:val="auto"/>
                <w:sz w:val="25"/>
                <w:szCs w:val="25"/>
              </w:rPr>
              <w:t xml:space="preserve">Noteikumu projekta 1.pielikuma 13. un 14.punkts paredz nodrošināt paplašināto jaundzimušo skrīningu, norādām, ka iepriekšminētā pasākuma detalizēti izdevumu aprēķini ir  iekļauti Ministru kabineta noteikumu projekta “Grozījumi Ministru kabineta 2018.gada 28.augusta noteikumos Nr.555 “Veselības aprūpes pakalpojumu organizēšanas un samaksas kārtība””  anotācijā.       </w:t>
            </w:r>
          </w:p>
        </w:tc>
      </w:tr>
    </w:tbl>
    <w:p w14:paraId="45B0130F" w14:textId="2D6DC74C" w:rsidR="005C5004" w:rsidRPr="004836A6" w:rsidRDefault="005C5004">
      <w:pPr>
        <w:rPr>
          <w:color w:val="auto"/>
          <w:sz w:val="25"/>
          <w:szCs w:val="25"/>
        </w:rPr>
      </w:pPr>
    </w:p>
    <w:tbl>
      <w:tblPr>
        <w:tblStyle w:val="TableGrid"/>
        <w:tblW w:w="0" w:type="auto"/>
        <w:tblLook w:val="04A0" w:firstRow="1" w:lastRow="0" w:firstColumn="1" w:lastColumn="0" w:noHBand="0" w:noVBand="1"/>
      </w:tblPr>
      <w:tblGrid>
        <w:gridCol w:w="9061"/>
      </w:tblGrid>
      <w:tr w:rsidR="009B71B9" w:rsidRPr="004836A6" w14:paraId="49A94845" w14:textId="77777777" w:rsidTr="00C00B7A">
        <w:tc>
          <w:tcPr>
            <w:tcW w:w="9061" w:type="dxa"/>
          </w:tcPr>
          <w:p w14:paraId="2327D1D3" w14:textId="77777777" w:rsidR="009B71B9" w:rsidRPr="004836A6" w:rsidRDefault="009B71B9" w:rsidP="009B71B9">
            <w:pPr>
              <w:jc w:val="center"/>
              <w:rPr>
                <w:b/>
                <w:color w:val="auto"/>
                <w:sz w:val="25"/>
                <w:szCs w:val="25"/>
              </w:rPr>
            </w:pPr>
            <w:r w:rsidRPr="004836A6">
              <w:rPr>
                <w:b/>
                <w:bCs/>
                <w:color w:val="auto"/>
                <w:sz w:val="25"/>
                <w:szCs w:val="25"/>
              </w:rPr>
              <w:t>IV. Tiesību akta projekta ietekme uz spēkā esošo tiesību normu sistēmu</w:t>
            </w:r>
          </w:p>
        </w:tc>
      </w:tr>
      <w:tr w:rsidR="009B71B9" w:rsidRPr="004836A6" w14:paraId="6B7FF171" w14:textId="77777777" w:rsidTr="00C00B7A">
        <w:tc>
          <w:tcPr>
            <w:tcW w:w="9061" w:type="dxa"/>
          </w:tcPr>
          <w:p w14:paraId="7E4656E1" w14:textId="77777777" w:rsidR="009B71B9" w:rsidRPr="004836A6" w:rsidRDefault="009B71B9" w:rsidP="009B71B9">
            <w:pPr>
              <w:jc w:val="center"/>
              <w:rPr>
                <w:color w:val="auto"/>
                <w:sz w:val="25"/>
                <w:szCs w:val="25"/>
              </w:rPr>
            </w:pPr>
            <w:r w:rsidRPr="004836A6">
              <w:rPr>
                <w:color w:val="auto"/>
                <w:sz w:val="25"/>
                <w:szCs w:val="25"/>
              </w:rPr>
              <w:t>Projekts šo jomu neskar</w:t>
            </w:r>
          </w:p>
        </w:tc>
      </w:tr>
    </w:tbl>
    <w:p w14:paraId="265E780F" w14:textId="3A252BD3" w:rsidR="009B71B9" w:rsidRPr="004836A6" w:rsidRDefault="009B71B9" w:rsidP="009B71B9">
      <w:pPr>
        <w:spacing w:line="276" w:lineRule="auto"/>
        <w:rPr>
          <w:rFonts w:eastAsiaTheme="minorEastAsia"/>
          <w:b/>
          <w:bCs/>
          <w:color w:val="414142"/>
          <w:sz w:val="25"/>
          <w:szCs w:val="25"/>
        </w:rPr>
      </w:pPr>
    </w:p>
    <w:tbl>
      <w:tblPr>
        <w:tblStyle w:val="TableGrid"/>
        <w:tblW w:w="0" w:type="auto"/>
        <w:tblLook w:val="04A0" w:firstRow="1" w:lastRow="0" w:firstColumn="1" w:lastColumn="0" w:noHBand="0" w:noVBand="1"/>
      </w:tblPr>
      <w:tblGrid>
        <w:gridCol w:w="9061"/>
      </w:tblGrid>
      <w:tr w:rsidR="009B71B9" w:rsidRPr="004836A6" w14:paraId="11DACEE8" w14:textId="77777777" w:rsidTr="00C00B7A">
        <w:tc>
          <w:tcPr>
            <w:tcW w:w="9061" w:type="dxa"/>
          </w:tcPr>
          <w:p w14:paraId="1130A29B" w14:textId="77777777" w:rsidR="009B71B9" w:rsidRPr="004836A6" w:rsidRDefault="009B71B9" w:rsidP="009B71B9">
            <w:pPr>
              <w:jc w:val="center"/>
              <w:rPr>
                <w:b/>
                <w:color w:val="auto"/>
                <w:sz w:val="25"/>
                <w:szCs w:val="25"/>
              </w:rPr>
            </w:pPr>
            <w:bookmarkStart w:id="6" w:name="_Hlk509396482"/>
            <w:r w:rsidRPr="004836A6">
              <w:rPr>
                <w:b/>
                <w:color w:val="auto"/>
                <w:sz w:val="25"/>
                <w:szCs w:val="25"/>
              </w:rPr>
              <w:t>V. Tiesību akta projekta atbilstība Latvijas Republikas starptautiskajām saistībām</w:t>
            </w:r>
          </w:p>
        </w:tc>
      </w:tr>
      <w:tr w:rsidR="009B71B9" w:rsidRPr="004836A6" w14:paraId="48331A4E" w14:textId="77777777" w:rsidTr="00C00B7A">
        <w:tc>
          <w:tcPr>
            <w:tcW w:w="9061" w:type="dxa"/>
          </w:tcPr>
          <w:p w14:paraId="12404F69" w14:textId="77777777" w:rsidR="009B71B9" w:rsidRPr="004836A6" w:rsidRDefault="009B71B9" w:rsidP="009B71B9">
            <w:pPr>
              <w:jc w:val="center"/>
              <w:rPr>
                <w:color w:val="auto"/>
                <w:sz w:val="25"/>
                <w:szCs w:val="25"/>
              </w:rPr>
            </w:pPr>
            <w:r w:rsidRPr="004836A6">
              <w:rPr>
                <w:color w:val="auto"/>
                <w:sz w:val="25"/>
                <w:szCs w:val="25"/>
              </w:rPr>
              <w:t>Projekts šo jomu neskar</w:t>
            </w:r>
          </w:p>
        </w:tc>
      </w:tr>
      <w:bookmarkEnd w:id="6"/>
    </w:tbl>
    <w:p w14:paraId="65A334D9" w14:textId="65041A0B" w:rsidR="009B71B9" w:rsidRPr="004836A6" w:rsidRDefault="009B71B9">
      <w:pPr>
        <w:rPr>
          <w:color w:val="auto"/>
          <w:sz w:val="25"/>
          <w:szCs w:val="25"/>
        </w:rPr>
      </w:pPr>
    </w:p>
    <w:tbl>
      <w:tblPr>
        <w:tblW w:w="5006"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714"/>
        <w:gridCol w:w="3016"/>
        <w:gridCol w:w="5342"/>
      </w:tblGrid>
      <w:tr w:rsidR="000F5BBD" w:rsidRPr="004836A6" w14:paraId="50A9E94A" w14:textId="77777777" w:rsidTr="00F17734">
        <w:tc>
          <w:tcPr>
            <w:tcW w:w="714" w:type="dxa"/>
            <w:tcBorders>
              <w:top w:val="single" w:sz="4" w:space="0" w:color="00000A"/>
              <w:left w:val="single" w:sz="4" w:space="0" w:color="00000A"/>
              <w:bottom w:val="single" w:sz="4" w:space="0" w:color="00000A"/>
              <w:right w:val="single" w:sz="4" w:space="0" w:color="00000A"/>
            </w:tcBorders>
          </w:tcPr>
          <w:p w14:paraId="2B0A75D1" w14:textId="77777777" w:rsidR="000F5BBD" w:rsidRPr="004836A6" w:rsidRDefault="000F5BBD">
            <w:pPr>
              <w:jc w:val="center"/>
              <w:rPr>
                <w:b/>
                <w:bCs/>
                <w:color w:val="auto"/>
                <w:sz w:val="25"/>
                <w:szCs w:val="25"/>
              </w:rPr>
            </w:pPr>
          </w:p>
        </w:tc>
        <w:tc>
          <w:tcPr>
            <w:tcW w:w="835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2F5A59" w14:textId="4EA8567A" w:rsidR="000F5BBD" w:rsidRPr="004836A6" w:rsidRDefault="000F5BBD">
            <w:pPr>
              <w:jc w:val="center"/>
              <w:rPr>
                <w:color w:val="auto"/>
                <w:sz w:val="25"/>
                <w:szCs w:val="25"/>
              </w:rPr>
            </w:pPr>
            <w:r w:rsidRPr="004836A6">
              <w:rPr>
                <w:b/>
                <w:bCs/>
                <w:color w:val="auto"/>
                <w:sz w:val="25"/>
                <w:szCs w:val="25"/>
              </w:rPr>
              <w:t>VI. Sabiedrības līdzdalība un komunikācijas aktivitātes</w:t>
            </w:r>
          </w:p>
        </w:tc>
      </w:tr>
      <w:tr w:rsidR="000F5BBD" w:rsidRPr="004836A6" w14:paraId="55C6C9B9" w14:textId="77777777" w:rsidTr="00F17734">
        <w:tc>
          <w:tcPr>
            <w:tcW w:w="714" w:type="dxa"/>
            <w:tcBorders>
              <w:top w:val="single" w:sz="4" w:space="0" w:color="00000A"/>
              <w:left w:val="single" w:sz="4" w:space="0" w:color="00000A"/>
              <w:bottom w:val="single" w:sz="4" w:space="0" w:color="00000A"/>
              <w:right w:val="single" w:sz="4" w:space="0" w:color="00000A"/>
            </w:tcBorders>
          </w:tcPr>
          <w:p w14:paraId="530CDC77" w14:textId="50AF0EF1" w:rsidR="000F5BBD" w:rsidRPr="004836A6" w:rsidRDefault="000B2892">
            <w:pPr>
              <w:rPr>
                <w:color w:val="auto"/>
                <w:sz w:val="25"/>
                <w:szCs w:val="25"/>
              </w:rPr>
            </w:pPr>
            <w:r w:rsidRPr="004836A6">
              <w:rPr>
                <w:color w:val="auto"/>
                <w:sz w:val="25"/>
                <w:szCs w:val="25"/>
              </w:rPr>
              <w:t>1.</w:t>
            </w:r>
          </w:p>
        </w:tc>
        <w:tc>
          <w:tcPr>
            <w:tcW w:w="3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67975F" w14:textId="4B569131" w:rsidR="000F5BBD" w:rsidRPr="004836A6" w:rsidRDefault="000F5BBD">
            <w:pPr>
              <w:rPr>
                <w:color w:val="auto"/>
                <w:sz w:val="25"/>
                <w:szCs w:val="25"/>
              </w:rPr>
            </w:pPr>
            <w:r w:rsidRPr="004836A6">
              <w:rPr>
                <w:color w:val="auto"/>
                <w:sz w:val="25"/>
                <w:szCs w:val="25"/>
              </w:rPr>
              <w:t>Plānotās sabiedrības līdzdalības un komunikācijas aktivitātes saistībā ar projektu</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26E909" w14:textId="32C3C471" w:rsidR="000F5BBD" w:rsidRPr="004836A6" w:rsidRDefault="000F5BBD">
            <w:pPr>
              <w:jc w:val="both"/>
              <w:rPr>
                <w:color w:val="auto"/>
                <w:sz w:val="25"/>
                <w:szCs w:val="25"/>
              </w:rPr>
            </w:pPr>
            <w:r w:rsidRPr="004836A6">
              <w:rPr>
                <w:color w:val="auto"/>
                <w:sz w:val="25"/>
                <w:szCs w:val="25"/>
              </w:rPr>
              <w:t xml:space="preserve">24.05.2019. </w:t>
            </w:r>
            <w:r w:rsidR="005A1D3E" w:rsidRPr="004836A6">
              <w:rPr>
                <w:color w:val="auto"/>
                <w:sz w:val="25"/>
                <w:szCs w:val="25"/>
              </w:rPr>
              <w:t xml:space="preserve">Veselības ministrijā </w:t>
            </w:r>
            <w:r w:rsidRPr="004836A6">
              <w:rPr>
                <w:color w:val="auto"/>
                <w:sz w:val="25"/>
                <w:szCs w:val="25"/>
              </w:rPr>
              <w:t>norisinājās sabiedriskā apspriede.</w:t>
            </w:r>
          </w:p>
        </w:tc>
      </w:tr>
      <w:tr w:rsidR="000F5BBD" w:rsidRPr="004836A6" w14:paraId="51BD2D37" w14:textId="77777777" w:rsidTr="00F17734">
        <w:tc>
          <w:tcPr>
            <w:tcW w:w="714" w:type="dxa"/>
            <w:tcBorders>
              <w:top w:val="single" w:sz="4" w:space="0" w:color="00000A"/>
              <w:left w:val="single" w:sz="4" w:space="0" w:color="00000A"/>
              <w:bottom w:val="single" w:sz="4" w:space="0" w:color="00000A"/>
              <w:right w:val="single" w:sz="4" w:space="0" w:color="00000A"/>
            </w:tcBorders>
          </w:tcPr>
          <w:p w14:paraId="5DB070CF" w14:textId="4CFDBCF8" w:rsidR="000F5BBD" w:rsidRPr="004836A6" w:rsidRDefault="000B2892">
            <w:pPr>
              <w:rPr>
                <w:color w:val="auto"/>
                <w:sz w:val="25"/>
                <w:szCs w:val="25"/>
              </w:rPr>
            </w:pPr>
            <w:r w:rsidRPr="004836A6">
              <w:rPr>
                <w:color w:val="auto"/>
                <w:sz w:val="25"/>
                <w:szCs w:val="25"/>
              </w:rPr>
              <w:t>2.</w:t>
            </w:r>
          </w:p>
        </w:tc>
        <w:tc>
          <w:tcPr>
            <w:tcW w:w="3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3594AD" w14:textId="2F72AF00" w:rsidR="000F5BBD" w:rsidRPr="004836A6" w:rsidRDefault="000F5BBD">
            <w:pPr>
              <w:rPr>
                <w:color w:val="auto"/>
                <w:sz w:val="25"/>
                <w:szCs w:val="25"/>
              </w:rPr>
            </w:pPr>
            <w:r w:rsidRPr="004836A6">
              <w:rPr>
                <w:color w:val="auto"/>
                <w:sz w:val="25"/>
                <w:szCs w:val="25"/>
              </w:rPr>
              <w:t>Sabiedrības līdzdalība projekta izstrādē</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957BDB" w14:textId="4FA3010B" w:rsidR="000F5BBD" w:rsidRPr="004836A6" w:rsidRDefault="000F1057">
            <w:pPr>
              <w:jc w:val="both"/>
              <w:rPr>
                <w:color w:val="auto"/>
                <w:sz w:val="25"/>
                <w:szCs w:val="25"/>
              </w:rPr>
            </w:pPr>
            <w:r w:rsidRPr="004836A6">
              <w:rPr>
                <w:color w:val="auto"/>
                <w:sz w:val="25"/>
                <w:szCs w:val="25"/>
              </w:rPr>
              <w:t xml:space="preserve">Projekta izstrādes procesā, komunicējot telefoniski, elektroniski, kā arī klātienē, notika sadarbība ar Latvijas Ginekologu un dzemdību speciālistu asociāciju, Latvijas </w:t>
            </w:r>
            <w:proofErr w:type="spellStart"/>
            <w:r w:rsidRPr="004836A6">
              <w:rPr>
                <w:color w:val="auto"/>
                <w:sz w:val="25"/>
                <w:szCs w:val="25"/>
              </w:rPr>
              <w:t>Neonatologu</w:t>
            </w:r>
            <w:proofErr w:type="spellEnd"/>
            <w:r w:rsidRPr="004836A6">
              <w:rPr>
                <w:color w:val="auto"/>
                <w:sz w:val="25"/>
                <w:szCs w:val="25"/>
              </w:rPr>
              <w:t xml:space="preserve"> biedrību, BKUS speciālistiem. Projekts, kā arī informācija par plānoto sabiedrisko apspriedi tika ievietota Veselības ministrijas tīmekļa vietnē </w:t>
            </w:r>
            <w:hyperlink r:id="rId7" w:history="1">
              <w:r w:rsidRPr="004836A6">
                <w:rPr>
                  <w:color w:val="auto"/>
                  <w:sz w:val="25"/>
                  <w:szCs w:val="25"/>
                  <w:u w:val="single"/>
                </w:rPr>
                <w:t>www.vm.gov.lv</w:t>
              </w:r>
            </w:hyperlink>
            <w:r w:rsidRPr="004836A6">
              <w:rPr>
                <w:color w:val="auto"/>
                <w:sz w:val="25"/>
                <w:szCs w:val="25"/>
              </w:rPr>
              <w:t xml:space="preserve"> 2019. gada </w:t>
            </w:r>
            <w:r w:rsidR="00357764" w:rsidRPr="004836A6">
              <w:rPr>
                <w:color w:val="auto"/>
                <w:sz w:val="25"/>
                <w:szCs w:val="25"/>
              </w:rPr>
              <w:t>9</w:t>
            </w:r>
            <w:r w:rsidRPr="004836A6">
              <w:rPr>
                <w:color w:val="auto"/>
                <w:sz w:val="25"/>
                <w:szCs w:val="25"/>
              </w:rPr>
              <w:t xml:space="preserve">. </w:t>
            </w:r>
            <w:r w:rsidR="00357764" w:rsidRPr="004836A6">
              <w:rPr>
                <w:color w:val="auto"/>
                <w:sz w:val="25"/>
                <w:szCs w:val="25"/>
              </w:rPr>
              <w:t>maijā</w:t>
            </w:r>
            <w:r w:rsidRPr="004836A6">
              <w:rPr>
                <w:color w:val="auto"/>
                <w:sz w:val="25"/>
                <w:szCs w:val="25"/>
              </w:rPr>
              <w:t xml:space="preserve">. </w:t>
            </w:r>
            <w:r w:rsidR="000F5BBD" w:rsidRPr="004836A6">
              <w:rPr>
                <w:color w:val="auto"/>
                <w:sz w:val="25"/>
                <w:szCs w:val="25"/>
              </w:rPr>
              <w:t xml:space="preserve">Sabiedriskās apspriedes ietvaros savu viedokli pauda Latvijas </w:t>
            </w:r>
            <w:proofErr w:type="spellStart"/>
            <w:r w:rsidR="000F5BBD" w:rsidRPr="004836A6">
              <w:rPr>
                <w:color w:val="auto"/>
                <w:sz w:val="25"/>
                <w:szCs w:val="25"/>
              </w:rPr>
              <w:t>Neonatologu</w:t>
            </w:r>
            <w:proofErr w:type="spellEnd"/>
            <w:r w:rsidR="000F5BBD" w:rsidRPr="004836A6">
              <w:rPr>
                <w:color w:val="auto"/>
                <w:sz w:val="25"/>
                <w:szCs w:val="25"/>
              </w:rPr>
              <w:t xml:space="preserve"> biedrības </w:t>
            </w:r>
            <w:r w:rsidR="00357764" w:rsidRPr="004836A6">
              <w:rPr>
                <w:color w:val="auto"/>
                <w:sz w:val="25"/>
                <w:szCs w:val="25"/>
              </w:rPr>
              <w:t>speciālisti</w:t>
            </w:r>
            <w:r w:rsidR="000F5BBD" w:rsidRPr="004836A6">
              <w:rPr>
                <w:color w:val="auto"/>
                <w:sz w:val="25"/>
                <w:szCs w:val="25"/>
              </w:rPr>
              <w:t>.</w:t>
            </w:r>
          </w:p>
        </w:tc>
      </w:tr>
      <w:tr w:rsidR="000F5BBD" w:rsidRPr="004836A6" w14:paraId="62D0C553" w14:textId="77777777" w:rsidTr="00F17734">
        <w:tc>
          <w:tcPr>
            <w:tcW w:w="714" w:type="dxa"/>
            <w:tcBorders>
              <w:top w:val="single" w:sz="4" w:space="0" w:color="00000A"/>
              <w:left w:val="single" w:sz="4" w:space="0" w:color="00000A"/>
              <w:bottom w:val="single" w:sz="4" w:space="0" w:color="00000A"/>
              <w:right w:val="single" w:sz="4" w:space="0" w:color="00000A"/>
            </w:tcBorders>
          </w:tcPr>
          <w:p w14:paraId="61B1A8E3" w14:textId="74427073" w:rsidR="000F5BBD" w:rsidRPr="004836A6" w:rsidRDefault="000B2892">
            <w:pPr>
              <w:rPr>
                <w:color w:val="auto"/>
                <w:sz w:val="25"/>
                <w:szCs w:val="25"/>
              </w:rPr>
            </w:pPr>
            <w:r w:rsidRPr="004836A6">
              <w:rPr>
                <w:color w:val="auto"/>
                <w:sz w:val="25"/>
                <w:szCs w:val="25"/>
              </w:rPr>
              <w:t>3.</w:t>
            </w:r>
          </w:p>
        </w:tc>
        <w:tc>
          <w:tcPr>
            <w:tcW w:w="3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7C7AB5" w14:textId="54E49EEC" w:rsidR="000F5BBD" w:rsidRPr="004836A6" w:rsidRDefault="000F5BBD">
            <w:pPr>
              <w:rPr>
                <w:color w:val="auto"/>
                <w:sz w:val="25"/>
                <w:szCs w:val="25"/>
              </w:rPr>
            </w:pPr>
            <w:r w:rsidRPr="004836A6">
              <w:rPr>
                <w:color w:val="auto"/>
                <w:sz w:val="25"/>
                <w:szCs w:val="25"/>
              </w:rPr>
              <w:t>Sabiedrības līdzdalības rezultāti</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1B1A0" w14:textId="77777777" w:rsidR="000F5BBD" w:rsidRPr="004836A6" w:rsidRDefault="000F5BBD">
            <w:pPr>
              <w:jc w:val="both"/>
              <w:rPr>
                <w:color w:val="auto"/>
                <w:sz w:val="25"/>
                <w:szCs w:val="25"/>
              </w:rPr>
            </w:pPr>
            <w:r w:rsidRPr="004836A6">
              <w:rPr>
                <w:color w:val="auto"/>
                <w:sz w:val="25"/>
                <w:szCs w:val="25"/>
              </w:rPr>
              <w:t xml:space="preserve">Sabiedriskās apspriedes ietvaros tika izskatīti un daļēji ņemti vērā Latvijas </w:t>
            </w:r>
            <w:proofErr w:type="spellStart"/>
            <w:r w:rsidRPr="004836A6">
              <w:rPr>
                <w:color w:val="auto"/>
                <w:sz w:val="25"/>
                <w:szCs w:val="25"/>
              </w:rPr>
              <w:t>Neonatologu</w:t>
            </w:r>
            <w:proofErr w:type="spellEnd"/>
            <w:r w:rsidRPr="004836A6">
              <w:rPr>
                <w:color w:val="auto"/>
                <w:sz w:val="25"/>
                <w:szCs w:val="25"/>
              </w:rPr>
              <w:t xml:space="preserve"> biedrības priekšlikumi.</w:t>
            </w:r>
          </w:p>
          <w:p w14:paraId="78ADC1CE" w14:textId="77777777" w:rsidR="00357764" w:rsidRPr="004836A6" w:rsidRDefault="00357764">
            <w:pPr>
              <w:jc w:val="both"/>
              <w:rPr>
                <w:color w:val="auto"/>
                <w:sz w:val="25"/>
                <w:szCs w:val="25"/>
              </w:rPr>
            </w:pPr>
            <w:r w:rsidRPr="004836A6">
              <w:rPr>
                <w:color w:val="auto"/>
                <w:sz w:val="25"/>
                <w:szCs w:val="25"/>
              </w:rPr>
              <w:t xml:space="preserve">Papildus pēc Projekta izsludināšanas Valsts sekretāru sanāksmē 2019. gada 6. jūnijā, tika saņemts Latvijas Ģimenes ārstu asociācijas atzinums, kurā minētie </w:t>
            </w:r>
            <w:r w:rsidR="00D43BDA" w:rsidRPr="004836A6">
              <w:rPr>
                <w:color w:val="auto"/>
                <w:sz w:val="25"/>
                <w:szCs w:val="25"/>
              </w:rPr>
              <w:t>priekšlikumi</w:t>
            </w:r>
            <w:r w:rsidRPr="004836A6">
              <w:rPr>
                <w:color w:val="auto"/>
                <w:sz w:val="25"/>
                <w:szCs w:val="25"/>
              </w:rPr>
              <w:t xml:space="preserve"> tika izskatīti un daļēji ņemti vērā.</w:t>
            </w:r>
          </w:p>
          <w:p w14:paraId="7F7C68E3" w14:textId="38A92E8F" w:rsidR="00D43BDA" w:rsidRPr="004836A6" w:rsidRDefault="00D43BDA">
            <w:pPr>
              <w:jc w:val="both"/>
              <w:rPr>
                <w:color w:val="auto"/>
                <w:sz w:val="25"/>
                <w:szCs w:val="25"/>
              </w:rPr>
            </w:pPr>
            <w:r w:rsidRPr="004836A6">
              <w:rPr>
                <w:color w:val="auto"/>
                <w:sz w:val="25"/>
                <w:szCs w:val="25"/>
              </w:rPr>
              <w:t xml:space="preserve">Netika akceptēti Latvijas </w:t>
            </w:r>
            <w:proofErr w:type="spellStart"/>
            <w:r w:rsidRPr="004836A6">
              <w:rPr>
                <w:color w:val="auto"/>
                <w:sz w:val="25"/>
                <w:szCs w:val="25"/>
              </w:rPr>
              <w:t>Neonatologu</w:t>
            </w:r>
            <w:proofErr w:type="spellEnd"/>
            <w:r w:rsidRPr="004836A6">
              <w:rPr>
                <w:color w:val="auto"/>
                <w:sz w:val="25"/>
                <w:szCs w:val="25"/>
              </w:rPr>
              <w:t xml:space="preserve"> biedrības un Latvijas Ģimenes ārstu asociācijas priekšlikumi paredzēt Projektā </w:t>
            </w:r>
            <w:r w:rsidR="005A1D3E" w:rsidRPr="004836A6">
              <w:rPr>
                <w:color w:val="auto"/>
                <w:sz w:val="25"/>
                <w:szCs w:val="25"/>
              </w:rPr>
              <w:t xml:space="preserve">medicīniska rakstura </w:t>
            </w:r>
            <w:r w:rsidRPr="004836A6">
              <w:rPr>
                <w:color w:val="auto"/>
                <w:sz w:val="25"/>
                <w:szCs w:val="25"/>
              </w:rPr>
              <w:t xml:space="preserve">informāciju, kura, Veselības ministrijas ieskatā, ir pārāk </w:t>
            </w:r>
            <w:r w:rsidRPr="004836A6">
              <w:rPr>
                <w:color w:val="auto"/>
                <w:sz w:val="25"/>
                <w:szCs w:val="25"/>
              </w:rPr>
              <w:lastRenderedPageBreak/>
              <w:t>detalizēta un būtu iekļaujama ārstniecības personu darbā izman</w:t>
            </w:r>
            <w:r w:rsidR="00D3001E">
              <w:rPr>
                <w:color w:val="auto"/>
                <w:sz w:val="25"/>
                <w:szCs w:val="25"/>
              </w:rPr>
              <w:t>t</w:t>
            </w:r>
            <w:r w:rsidRPr="004836A6">
              <w:rPr>
                <w:color w:val="auto"/>
                <w:sz w:val="25"/>
                <w:szCs w:val="25"/>
              </w:rPr>
              <w:t>ojamajās klīniskajās vadlīnijās.</w:t>
            </w:r>
          </w:p>
        </w:tc>
      </w:tr>
      <w:tr w:rsidR="000F5BBD" w:rsidRPr="004836A6" w14:paraId="442788F6" w14:textId="77777777" w:rsidTr="00F17734">
        <w:tc>
          <w:tcPr>
            <w:tcW w:w="714" w:type="dxa"/>
            <w:tcBorders>
              <w:top w:val="single" w:sz="4" w:space="0" w:color="00000A"/>
              <w:left w:val="single" w:sz="4" w:space="0" w:color="00000A"/>
              <w:bottom w:val="single" w:sz="4" w:space="0" w:color="00000A"/>
              <w:right w:val="single" w:sz="4" w:space="0" w:color="00000A"/>
            </w:tcBorders>
          </w:tcPr>
          <w:p w14:paraId="26D441C9" w14:textId="55A1BB2D" w:rsidR="000F5BBD" w:rsidRPr="004836A6" w:rsidRDefault="000B2892">
            <w:pPr>
              <w:rPr>
                <w:color w:val="auto"/>
                <w:sz w:val="25"/>
                <w:szCs w:val="25"/>
              </w:rPr>
            </w:pPr>
            <w:r w:rsidRPr="004836A6">
              <w:rPr>
                <w:color w:val="auto"/>
                <w:sz w:val="25"/>
                <w:szCs w:val="25"/>
              </w:rPr>
              <w:lastRenderedPageBreak/>
              <w:t>4.</w:t>
            </w:r>
          </w:p>
        </w:tc>
        <w:tc>
          <w:tcPr>
            <w:tcW w:w="3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EDA8A" w14:textId="77A8EE8B" w:rsidR="000F5BBD" w:rsidRPr="004836A6" w:rsidRDefault="000F5BBD">
            <w:pPr>
              <w:rPr>
                <w:color w:val="auto"/>
                <w:sz w:val="25"/>
                <w:szCs w:val="25"/>
              </w:rPr>
            </w:pPr>
            <w:r w:rsidRPr="004836A6">
              <w:rPr>
                <w:color w:val="auto"/>
                <w:sz w:val="25"/>
                <w:szCs w:val="25"/>
              </w:rPr>
              <w:t>Cita informācija</w:t>
            </w:r>
          </w:p>
        </w:tc>
        <w:tc>
          <w:tcPr>
            <w:tcW w:w="53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82D4B8" w14:textId="1A37A19C" w:rsidR="000F5BBD" w:rsidRPr="004836A6" w:rsidRDefault="00357764">
            <w:pPr>
              <w:rPr>
                <w:color w:val="auto"/>
                <w:sz w:val="25"/>
                <w:szCs w:val="25"/>
              </w:rPr>
            </w:pPr>
            <w:r w:rsidRPr="004836A6">
              <w:rPr>
                <w:color w:val="auto"/>
                <w:sz w:val="25"/>
                <w:szCs w:val="25"/>
              </w:rPr>
              <w:t>Nav.</w:t>
            </w:r>
          </w:p>
        </w:tc>
      </w:tr>
    </w:tbl>
    <w:p w14:paraId="3BBE1158" w14:textId="58211989" w:rsidR="00C06509" w:rsidRPr="004836A6" w:rsidRDefault="00C06509">
      <w:pPr>
        <w:rPr>
          <w:color w:val="auto"/>
          <w:sz w:val="25"/>
          <w:szCs w:val="25"/>
        </w:rPr>
      </w:pP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6" w:type="dxa"/>
          <w:bottom w:w="30" w:type="dxa"/>
          <w:right w:w="30" w:type="dxa"/>
        </w:tblCellMar>
        <w:tblLook w:val="04A0" w:firstRow="1" w:lastRow="0" w:firstColumn="1" w:lastColumn="0" w:noHBand="0" w:noVBand="1"/>
      </w:tblPr>
      <w:tblGrid>
        <w:gridCol w:w="560"/>
        <w:gridCol w:w="2803"/>
        <w:gridCol w:w="5692"/>
      </w:tblGrid>
      <w:tr w:rsidR="00BE0152" w:rsidRPr="004836A6" w14:paraId="3BCDA8B7" w14:textId="77777777" w:rsidTr="00316A1B">
        <w:trPr>
          <w:trHeight w:val="375"/>
          <w:jc w:val="center"/>
        </w:trPr>
        <w:tc>
          <w:tcPr>
            <w:tcW w:w="9055" w:type="dxa"/>
            <w:gridSpan w:val="3"/>
            <w:tcBorders>
              <w:top w:val="outset" w:sz="6" w:space="0" w:color="00000A"/>
              <w:left w:val="outset" w:sz="6" w:space="0" w:color="00000A"/>
              <w:bottom w:val="outset" w:sz="6" w:space="0" w:color="00000A"/>
              <w:right w:val="outset" w:sz="6" w:space="0" w:color="00000A"/>
            </w:tcBorders>
            <w:shd w:val="clear" w:color="auto" w:fill="auto"/>
            <w:tcMar>
              <w:left w:w="6" w:type="dxa"/>
            </w:tcMar>
            <w:vAlign w:val="center"/>
          </w:tcPr>
          <w:p w14:paraId="05AC3DDB" w14:textId="77777777" w:rsidR="00C06509" w:rsidRPr="004836A6" w:rsidRDefault="00C123BF">
            <w:pPr>
              <w:spacing w:before="75" w:after="75"/>
              <w:rPr>
                <w:color w:val="auto"/>
                <w:sz w:val="25"/>
                <w:szCs w:val="25"/>
              </w:rPr>
            </w:pPr>
            <w:r w:rsidRPr="004836A6">
              <w:rPr>
                <w:b/>
                <w:bCs/>
                <w:color w:val="auto"/>
                <w:sz w:val="25"/>
                <w:szCs w:val="25"/>
              </w:rPr>
              <w:t>VII. Tiesību akta projekta izpildes nodrošināšana un tās ietekme uz institūcijām</w:t>
            </w:r>
          </w:p>
        </w:tc>
      </w:tr>
      <w:tr w:rsidR="00BE0152" w:rsidRPr="004836A6" w14:paraId="7B4947D8" w14:textId="77777777" w:rsidTr="00316A1B">
        <w:trPr>
          <w:trHeight w:val="420"/>
          <w:jc w:val="center"/>
        </w:trPr>
        <w:tc>
          <w:tcPr>
            <w:tcW w:w="560"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5BCE4A1F" w14:textId="77777777" w:rsidR="00C06509" w:rsidRPr="004836A6" w:rsidRDefault="00C123BF">
            <w:pPr>
              <w:rPr>
                <w:color w:val="auto"/>
                <w:sz w:val="25"/>
                <w:szCs w:val="25"/>
              </w:rPr>
            </w:pPr>
            <w:r w:rsidRPr="004836A6">
              <w:rPr>
                <w:color w:val="auto"/>
                <w:sz w:val="25"/>
                <w:szCs w:val="25"/>
              </w:rPr>
              <w:t>1.</w:t>
            </w:r>
          </w:p>
        </w:tc>
        <w:tc>
          <w:tcPr>
            <w:tcW w:w="280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13FE78B5" w14:textId="77777777" w:rsidR="00C06509" w:rsidRPr="004836A6" w:rsidRDefault="00C123BF">
            <w:pPr>
              <w:rPr>
                <w:color w:val="auto"/>
                <w:sz w:val="25"/>
                <w:szCs w:val="25"/>
              </w:rPr>
            </w:pPr>
            <w:r w:rsidRPr="004836A6">
              <w:rPr>
                <w:color w:val="auto"/>
                <w:sz w:val="25"/>
                <w:szCs w:val="25"/>
              </w:rPr>
              <w:t>Projekta izpildē iesaistītās institūcijas</w:t>
            </w:r>
          </w:p>
        </w:tc>
        <w:tc>
          <w:tcPr>
            <w:tcW w:w="569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24696B62" w14:textId="77777777" w:rsidR="00C06509" w:rsidRPr="004836A6" w:rsidRDefault="00C123BF">
            <w:pPr>
              <w:jc w:val="both"/>
              <w:rPr>
                <w:color w:val="auto"/>
                <w:sz w:val="25"/>
                <w:szCs w:val="25"/>
              </w:rPr>
            </w:pPr>
            <w:r w:rsidRPr="004836A6">
              <w:rPr>
                <w:color w:val="auto"/>
                <w:sz w:val="25"/>
                <w:szCs w:val="25"/>
              </w:rPr>
              <w:t xml:space="preserve">Ārstniecības iestādes, kuras nodrošina grūtnieces aprūpi un dzemdību palīdzību, BKUS.  </w:t>
            </w:r>
          </w:p>
        </w:tc>
      </w:tr>
      <w:tr w:rsidR="00BE0152" w:rsidRPr="004836A6" w14:paraId="145B4186" w14:textId="77777777" w:rsidTr="00316A1B">
        <w:trPr>
          <w:trHeight w:val="450"/>
          <w:jc w:val="center"/>
        </w:trPr>
        <w:tc>
          <w:tcPr>
            <w:tcW w:w="560"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455620FB" w14:textId="77777777" w:rsidR="00C06509" w:rsidRPr="004836A6" w:rsidRDefault="00C123BF">
            <w:pPr>
              <w:rPr>
                <w:color w:val="auto"/>
                <w:sz w:val="25"/>
                <w:szCs w:val="25"/>
              </w:rPr>
            </w:pPr>
            <w:r w:rsidRPr="004836A6">
              <w:rPr>
                <w:color w:val="auto"/>
                <w:sz w:val="25"/>
                <w:szCs w:val="25"/>
              </w:rPr>
              <w:t>2.</w:t>
            </w:r>
          </w:p>
        </w:tc>
        <w:tc>
          <w:tcPr>
            <w:tcW w:w="280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143C0C3C" w14:textId="77777777" w:rsidR="00C06509" w:rsidRPr="004836A6" w:rsidRDefault="00C123BF">
            <w:pPr>
              <w:rPr>
                <w:color w:val="auto"/>
                <w:sz w:val="25"/>
                <w:szCs w:val="25"/>
              </w:rPr>
            </w:pPr>
            <w:r w:rsidRPr="004836A6">
              <w:rPr>
                <w:color w:val="auto"/>
                <w:sz w:val="25"/>
                <w:szCs w:val="25"/>
              </w:rPr>
              <w:t xml:space="preserve">Projekta izpildes ietekme uz pārvaldes funkcijām un institucionālo struktūru. </w:t>
            </w:r>
          </w:p>
          <w:p w14:paraId="5EAE2579" w14:textId="77777777" w:rsidR="00C06509" w:rsidRPr="004836A6" w:rsidRDefault="00C123BF">
            <w:pPr>
              <w:spacing w:before="75" w:after="75"/>
              <w:rPr>
                <w:color w:val="auto"/>
                <w:sz w:val="25"/>
                <w:szCs w:val="25"/>
              </w:rPr>
            </w:pPr>
            <w:r w:rsidRPr="004836A6">
              <w:rPr>
                <w:color w:val="auto"/>
                <w:sz w:val="25"/>
                <w:szCs w:val="25"/>
              </w:rPr>
              <w:t>Jaunu institūciju izveide, esošu institūciju likvidācija vai reorganizācija, to ietekme uz institūcijas cilvēkresursiem</w:t>
            </w:r>
          </w:p>
        </w:tc>
        <w:tc>
          <w:tcPr>
            <w:tcW w:w="569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59E07E54" w14:textId="77777777" w:rsidR="00C06509" w:rsidRPr="004836A6" w:rsidRDefault="00C123BF">
            <w:pPr>
              <w:spacing w:before="75" w:after="75"/>
              <w:rPr>
                <w:color w:val="auto"/>
                <w:sz w:val="25"/>
                <w:szCs w:val="25"/>
              </w:rPr>
            </w:pPr>
            <w:r w:rsidRPr="004836A6">
              <w:rPr>
                <w:color w:val="auto"/>
                <w:sz w:val="25"/>
                <w:szCs w:val="25"/>
              </w:rPr>
              <w:t>Projekts šo jomu neskar.</w:t>
            </w:r>
          </w:p>
        </w:tc>
      </w:tr>
      <w:tr w:rsidR="00C06509" w:rsidRPr="004836A6" w14:paraId="4E27A5F8" w14:textId="77777777" w:rsidTr="00316A1B">
        <w:trPr>
          <w:trHeight w:val="300"/>
          <w:jc w:val="center"/>
        </w:trPr>
        <w:tc>
          <w:tcPr>
            <w:tcW w:w="560"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0BED5F77" w14:textId="77777777" w:rsidR="00C06509" w:rsidRPr="004836A6" w:rsidRDefault="00C123BF">
            <w:pPr>
              <w:rPr>
                <w:color w:val="auto"/>
                <w:sz w:val="25"/>
                <w:szCs w:val="25"/>
              </w:rPr>
            </w:pPr>
            <w:r w:rsidRPr="004836A6">
              <w:rPr>
                <w:color w:val="auto"/>
                <w:sz w:val="25"/>
                <w:szCs w:val="25"/>
              </w:rPr>
              <w:t>3.</w:t>
            </w:r>
          </w:p>
        </w:tc>
        <w:tc>
          <w:tcPr>
            <w:tcW w:w="2803"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2C740B09" w14:textId="77777777" w:rsidR="00C06509" w:rsidRPr="004836A6" w:rsidRDefault="00C123BF">
            <w:pPr>
              <w:rPr>
                <w:color w:val="auto"/>
                <w:sz w:val="25"/>
                <w:szCs w:val="25"/>
              </w:rPr>
            </w:pPr>
            <w:r w:rsidRPr="004836A6">
              <w:rPr>
                <w:color w:val="auto"/>
                <w:sz w:val="25"/>
                <w:szCs w:val="25"/>
              </w:rPr>
              <w:t>Cita informācija</w:t>
            </w:r>
          </w:p>
        </w:tc>
        <w:tc>
          <w:tcPr>
            <w:tcW w:w="5692" w:type="dxa"/>
            <w:tcBorders>
              <w:top w:val="outset" w:sz="6" w:space="0" w:color="00000A"/>
              <w:left w:val="outset" w:sz="6" w:space="0" w:color="00000A"/>
              <w:bottom w:val="outset" w:sz="6" w:space="0" w:color="00000A"/>
              <w:right w:val="outset" w:sz="6" w:space="0" w:color="00000A"/>
            </w:tcBorders>
            <w:shd w:val="clear" w:color="auto" w:fill="auto"/>
            <w:tcMar>
              <w:left w:w="6" w:type="dxa"/>
            </w:tcMar>
          </w:tcPr>
          <w:p w14:paraId="7AD81196" w14:textId="77777777" w:rsidR="00C06509" w:rsidRPr="004836A6" w:rsidRDefault="00C123BF">
            <w:pPr>
              <w:spacing w:before="75" w:after="75"/>
              <w:rPr>
                <w:color w:val="auto"/>
                <w:sz w:val="25"/>
                <w:szCs w:val="25"/>
              </w:rPr>
            </w:pPr>
            <w:r w:rsidRPr="004836A6">
              <w:rPr>
                <w:color w:val="auto"/>
                <w:sz w:val="25"/>
                <w:szCs w:val="25"/>
              </w:rPr>
              <w:t>Nav.</w:t>
            </w:r>
          </w:p>
        </w:tc>
      </w:tr>
    </w:tbl>
    <w:p w14:paraId="62170C4F" w14:textId="77777777" w:rsidR="00C06509" w:rsidRPr="00FC70C8" w:rsidRDefault="00C06509">
      <w:pPr>
        <w:spacing w:after="480"/>
        <w:contextualSpacing/>
        <w:rPr>
          <w:color w:val="auto"/>
          <w:sz w:val="26"/>
          <w:szCs w:val="26"/>
        </w:rPr>
      </w:pPr>
    </w:p>
    <w:p w14:paraId="29401E26" w14:textId="77777777" w:rsidR="00C06509" w:rsidRPr="00FC70C8" w:rsidRDefault="00C06509">
      <w:pPr>
        <w:spacing w:after="480"/>
        <w:contextualSpacing/>
        <w:rPr>
          <w:color w:val="auto"/>
          <w:sz w:val="26"/>
          <w:szCs w:val="26"/>
        </w:rPr>
      </w:pPr>
    </w:p>
    <w:p w14:paraId="1BD15D6A" w14:textId="77777777" w:rsidR="009B71B9" w:rsidRPr="00FC70C8" w:rsidRDefault="009B71B9">
      <w:pPr>
        <w:spacing w:after="480"/>
        <w:contextualSpacing/>
        <w:rPr>
          <w:color w:val="auto"/>
          <w:sz w:val="26"/>
          <w:szCs w:val="26"/>
        </w:rPr>
      </w:pPr>
    </w:p>
    <w:p w14:paraId="49F97B88" w14:textId="23DA9CDB" w:rsidR="00C06509" w:rsidRPr="00FC70C8" w:rsidRDefault="00C123BF">
      <w:pPr>
        <w:rPr>
          <w:color w:val="auto"/>
          <w:sz w:val="28"/>
          <w:szCs w:val="28"/>
        </w:rPr>
      </w:pPr>
      <w:bookmarkStart w:id="7" w:name="_Hlk503344232"/>
      <w:r w:rsidRPr="00FC70C8">
        <w:rPr>
          <w:color w:val="auto"/>
          <w:sz w:val="28"/>
          <w:szCs w:val="28"/>
        </w:rPr>
        <w:t>Veselības ministre </w:t>
      </w:r>
      <w:bookmarkEnd w:id="7"/>
      <w:r w:rsidRPr="00FC70C8">
        <w:rPr>
          <w:color w:val="auto"/>
          <w:sz w:val="28"/>
          <w:szCs w:val="28"/>
        </w:rPr>
        <w:t xml:space="preserve">                                   </w:t>
      </w:r>
      <w:r w:rsidRPr="00FC70C8">
        <w:rPr>
          <w:color w:val="auto"/>
          <w:sz w:val="28"/>
          <w:szCs w:val="28"/>
        </w:rPr>
        <w:tab/>
        <w:t xml:space="preserve">          I</w:t>
      </w:r>
      <w:r w:rsidR="00C27999">
        <w:rPr>
          <w:color w:val="auto"/>
          <w:sz w:val="28"/>
          <w:szCs w:val="28"/>
        </w:rPr>
        <w:t>.</w:t>
      </w:r>
      <w:r w:rsidRPr="00FC70C8">
        <w:rPr>
          <w:color w:val="auto"/>
          <w:sz w:val="28"/>
          <w:szCs w:val="28"/>
        </w:rPr>
        <w:t xml:space="preserve"> Viņķele</w:t>
      </w:r>
    </w:p>
    <w:p w14:paraId="0304E9F3" w14:textId="77777777" w:rsidR="00C06509" w:rsidRPr="00FC70C8" w:rsidRDefault="00C06509">
      <w:pPr>
        <w:rPr>
          <w:color w:val="auto"/>
          <w:sz w:val="28"/>
          <w:szCs w:val="28"/>
        </w:rPr>
      </w:pPr>
    </w:p>
    <w:p w14:paraId="6E8FC513" w14:textId="77777777" w:rsidR="00C06509" w:rsidRPr="00FC70C8" w:rsidRDefault="00C06509">
      <w:pPr>
        <w:rPr>
          <w:color w:val="auto"/>
          <w:sz w:val="28"/>
          <w:szCs w:val="28"/>
        </w:rPr>
      </w:pPr>
    </w:p>
    <w:p w14:paraId="68D01424" w14:textId="2D7C088E" w:rsidR="005C5004" w:rsidRDefault="00C123BF" w:rsidP="005C5004">
      <w:pPr>
        <w:tabs>
          <w:tab w:val="left" w:pos="7230"/>
        </w:tabs>
        <w:spacing w:after="720"/>
        <w:rPr>
          <w:rFonts w:eastAsia="Calibri"/>
          <w:color w:val="auto"/>
          <w:sz w:val="28"/>
          <w:szCs w:val="28"/>
        </w:rPr>
      </w:pPr>
      <w:r w:rsidRPr="00FC70C8">
        <w:rPr>
          <w:rFonts w:eastAsia="Calibri"/>
          <w:color w:val="auto"/>
          <w:sz w:val="28"/>
          <w:szCs w:val="28"/>
        </w:rPr>
        <w:t>Vīza: valsts sekretāre                                                D</w:t>
      </w:r>
      <w:r w:rsidR="00C27999">
        <w:rPr>
          <w:rFonts w:eastAsia="Calibri"/>
          <w:color w:val="auto"/>
          <w:sz w:val="28"/>
          <w:szCs w:val="28"/>
        </w:rPr>
        <w:t>.</w:t>
      </w:r>
      <w:r w:rsidRPr="00FC70C8">
        <w:rPr>
          <w:rFonts w:eastAsia="Calibri"/>
          <w:color w:val="auto"/>
          <w:sz w:val="28"/>
          <w:szCs w:val="28"/>
        </w:rPr>
        <w:t xml:space="preserve"> Mūrmane-Umbraško</w:t>
      </w:r>
    </w:p>
    <w:p w14:paraId="34EC03A2" w14:textId="77777777" w:rsidR="005C5004" w:rsidRDefault="00C123BF" w:rsidP="005C5004">
      <w:pPr>
        <w:tabs>
          <w:tab w:val="left" w:pos="7230"/>
        </w:tabs>
        <w:rPr>
          <w:rFonts w:eastAsia="Calibri"/>
          <w:color w:val="auto"/>
          <w:sz w:val="28"/>
          <w:szCs w:val="28"/>
        </w:rPr>
      </w:pPr>
      <w:proofErr w:type="spellStart"/>
      <w:r w:rsidRPr="00BE0152">
        <w:rPr>
          <w:rFonts w:eastAsia="Calibri"/>
          <w:color w:val="auto"/>
        </w:rPr>
        <w:t>Korņenkova</w:t>
      </w:r>
      <w:proofErr w:type="spellEnd"/>
      <w:r w:rsidRPr="00BE0152">
        <w:rPr>
          <w:rFonts w:eastAsia="Calibri"/>
          <w:color w:val="auto"/>
        </w:rPr>
        <w:t xml:space="preserve"> </w:t>
      </w:r>
      <w:bookmarkStart w:id="8" w:name="OLE_LINK5"/>
      <w:r w:rsidRPr="00BE0152">
        <w:rPr>
          <w:color w:val="auto"/>
        </w:rPr>
        <w:t>67876098</w:t>
      </w:r>
    </w:p>
    <w:bookmarkEnd w:id="8"/>
    <w:p w14:paraId="648D4607" w14:textId="7E8D2EDB" w:rsidR="00C06509" w:rsidRPr="005C5004" w:rsidRDefault="005C5004" w:rsidP="005C5004">
      <w:pPr>
        <w:tabs>
          <w:tab w:val="left" w:pos="7230"/>
        </w:tabs>
        <w:rPr>
          <w:rStyle w:val="InternetLink"/>
          <w:rFonts w:eastAsia="Calibri"/>
          <w:color w:val="auto"/>
          <w:sz w:val="28"/>
          <w:szCs w:val="28"/>
          <w:u w:val="none"/>
        </w:rPr>
      </w:pPr>
      <w:r>
        <w:rPr>
          <w:rStyle w:val="InternetLink"/>
          <w:color w:val="auto"/>
        </w:rPr>
        <w:fldChar w:fldCharType="begin"/>
      </w:r>
      <w:r>
        <w:rPr>
          <w:rStyle w:val="InternetLink"/>
          <w:color w:val="auto"/>
        </w:rPr>
        <w:instrText xml:space="preserve"> HYPERLINK "mailto:</w:instrText>
      </w:r>
      <w:r w:rsidRPr="00BE0152">
        <w:rPr>
          <w:rStyle w:val="InternetLink"/>
          <w:color w:val="auto"/>
        </w:rPr>
        <w:instrText>Viktorija.Kornenkova@vm.gov.lv</w:instrText>
      </w:r>
      <w:r>
        <w:rPr>
          <w:rStyle w:val="InternetLink"/>
          <w:color w:val="auto"/>
        </w:rPr>
        <w:instrText xml:space="preserve">" </w:instrText>
      </w:r>
      <w:r>
        <w:rPr>
          <w:rStyle w:val="InternetLink"/>
          <w:color w:val="auto"/>
        </w:rPr>
        <w:fldChar w:fldCharType="separate"/>
      </w:r>
      <w:r w:rsidRPr="002132FC">
        <w:rPr>
          <w:rStyle w:val="Hyperlink"/>
        </w:rPr>
        <w:t>Viktorija.Kornenkova@vm.gov.lv</w:t>
      </w:r>
      <w:r>
        <w:rPr>
          <w:rStyle w:val="InternetLink"/>
          <w:color w:val="auto"/>
        </w:rPr>
        <w:fldChar w:fldCharType="end"/>
      </w:r>
    </w:p>
    <w:p w14:paraId="1AC4682A" w14:textId="77777777" w:rsidR="00091635" w:rsidRPr="00BE0152" w:rsidRDefault="00091635">
      <w:pPr>
        <w:tabs>
          <w:tab w:val="left" w:pos="4890"/>
        </w:tabs>
        <w:contextualSpacing/>
        <w:rPr>
          <w:color w:val="auto"/>
        </w:rPr>
      </w:pPr>
    </w:p>
    <w:p w14:paraId="7BDCE321" w14:textId="77777777" w:rsidR="00091635" w:rsidRPr="00BE0152" w:rsidRDefault="00091635">
      <w:pPr>
        <w:tabs>
          <w:tab w:val="left" w:pos="4890"/>
        </w:tabs>
        <w:contextualSpacing/>
        <w:rPr>
          <w:color w:val="auto"/>
        </w:rPr>
      </w:pPr>
      <w:r w:rsidRPr="00BE0152">
        <w:rPr>
          <w:color w:val="auto"/>
        </w:rPr>
        <w:t>Lazdiņa 67876169</w:t>
      </w:r>
    </w:p>
    <w:p w14:paraId="64025AF4" w14:textId="77777777" w:rsidR="00091635" w:rsidRPr="00BE0152" w:rsidRDefault="00EC5401">
      <w:pPr>
        <w:tabs>
          <w:tab w:val="left" w:pos="4890"/>
        </w:tabs>
        <w:contextualSpacing/>
        <w:rPr>
          <w:color w:val="auto"/>
        </w:rPr>
      </w:pPr>
      <w:hyperlink r:id="rId8" w:history="1">
        <w:r w:rsidR="00091635" w:rsidRPr="00BE0152">
          <w:rPr>
            <w:rStyle w:val="Hyperlink"/>
            <w:color w:val="auto"/>
          </w:rPr>
          <w:t>Ivita.lazdina@vm.gov.lv</w:t>
        </w:r>
      </w:hyperlink>
      <w:r w:rsidR="00091635" w:rsidRPr="00BE0152">
        <w:rPr>
          <w:color w:val="auto"/>
        </w:rPr>
        <w:t xml:space="preserve"> </w:t>
      </w:r>
    </w:p>
    <w:sectPr w:rsidR="00091635" w:rsidRPr="00BE0152">
      <w:headerReference w:type="default" r:id="rId9"/>
      <w:footerReference w:type="default" r:id="rId10"/>
      <w:footerReference w:type="first" r:id="rId11"/>
      <w:pgSz w:w="11906" w:h="16838"/>
      <w:pgMar w:top="1418" w:right="1134" w:bottom="1134" w:left="1701" w:header="567" w:footer="397"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7D72" w14:textId="77777777" w:rsidR="00EC5401" w:rsidRDefault="00EC5401">
      <w:r>
        <w:separator/>
      </w:r>
    </w:p>
  </w:endnote>
  <w:endnote w:type="continuationSeparator" w:id="0">
    <w:p w14:paraId="3FE61532" w14:textId="77777777" w:rsidR="00EC5401" w:rsidRDefault="00EC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Droid Sans Fallback">
    <w:charset w:val="00"/>
    <w:family w:val="auto"/>
    <w:pitch w:val="variable"/>
  </w:font>
  <w:font w:name="FreeSans">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Droid Sans Devanagari">
    <w:altName w:val="Segoe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ABE5" w14:textId="5A2B6A92" w:rsidR="00C00B7A" w:rsidRPr="00C27999" w:rsidRDefault="00C00B7A">
    <w:pPr>
      <w:pStyle w:val="Footer"/>
      <w:jc w:val="both"/>
      <w:rPr>
        <w:rFonts w:ascii="Times New Roman" w:hAnsi="Times New Roman" w:cs="Times New Roman"/>
        <w:sz w:val="20"/>
        <w:szCs w:val="20"/>
      </w:rPr>
    </w:pPr>
    <w:r w:rsidRPr="00C27999">
      <w:rPr>
        <w:rFonts w:ascii="Times New Roman" w:hAnsi="Times New Roman" w:cs="Times New Roman"/>
        <w:sz w:val="20"/>
        <w:szCs w:val="20"/>
      </w:rPr>
      <w:t>VManot_</w:t>
    </w:r>
    <w:r w:rsidR="00F05FD6" w:rsidRPr="00C27999">
      <w:rPr>
        <w:rFonts w:ascii="Times New Roman" w:hAnsi="Times New Roman" w:cs="Times New Roman"/>
        <w:sz w:val="20"/>
        <w:szCs w:val="20"/>
      </w:rPr>
      <w:t>2</w:t>
    </w:r>
    <w:r w:rsidR="00AE3DA0" w:rsidRPr="00C27999">
      <w:rPr>
        <w:rFonts w:ascii="Times New Roman" w:hAnsi="Times New Roman" w:cs="Times New Roman"/>
        <w:sz w:val="20"/>
        <w:szCs w:val="20"/>
      </w:rPr>
      <w:t>3</w:t>
    </w:r>
    <w:r w:rsidR="00217D7F" w:rsidRPr="00C27999">
      <w:rPr>
        <w:rFonts w:ascii="Times New Roman" w:hAnsi="Times New Roman" w:cs="Times New Roman"/>
        <w:sz w:val="20"/>
        <w:szCs w:val="20"/>
      </w:rPr>
      <w:t>08</w:t>
    </w:r>
    <w:r w:rsidRPr="00C27999">
      <w:rPr>
        <w:rFonts w:ascii="Times New Roman" w:hAnsi="Times New Roman" w:cs="Times New Roman"/>
        <w:sz w:val="20"/>
        <w:szCs w:val="20"/>
      </w:rPr>
      <w:t>19_611</w:t>
    </w:r>
  </w:p>
  <w:p w14:paraId="15405666" w14:textId="77777777" w:rsidR="00C00B7A" w:rsidRDefault="00C00B7A">
    <w:pPr>
      <w:pStyle w:val="Footer"/>
      <w:jc w:val="both"/>
      <w:rPr>
        <w:rFonts w:ascii="Times New Roman" w:hAnsi="Times New Roman" w:cs="Times New Roman"/>
        <w:sz w:val="24"/>
        <w:szCs w:val="24"/>
      </w:rPr>
    </w:pPr>
  </w:p>
  <w:p w14:paraId="603F313D" w14:textId="77777777" w:rsidR="00C00B7A" w:rsidRDefault="00C00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9F36" w14:textId="095CE685" w:rsidR="00C00B7A" w:rsidRDefault="00C00B7A">
    <w:pPr>
      <w:pStyle w:val="Footer"/>
      <w:jc w:val="both"/>
      <w:rPr>
        <w:rFonts w:ascii="Times New Roman" w:hAnsi="Times New Roman" w:cs="Times New Roman"/>
        <w:sz w:val="24"/>
        <w:szCs w:val="24"/>
      </w:rPr>
    </w:pPr>
    <w:bookmarkStart w:id="9" w:name="_Hlk534892060"/>
    <w:bookmarkEnd w:id="9"/>
    <w:r w:rsidRPr="00C27999">
      <w:rPr>
        <w:rFonts w:ascii="Times New Roman" w:hAnsi="Times New Roman" w:cs="Times New Roman"/>
        <w:sz w:val="20"/>
        <w:szCs w:val="24"/>
      </w:rPr>
      <w:t>VManot_</w:t>
    </w:r>
    <w:r w:rsidR="00F05FD6" w:rsidRPr="00C27999">
      <w:rPr>
        <w:rFonts w:ascii="Times New Roman" w:hAnsi="Times New Roman" w:cs="Times New Roman"/>
        <w:sz w:val="20"/>
        <w:szCs w:val="24"/>
      </w:rPr>
      <w:t>2</w:t>
    </w:r>
    <w:r w:rsidR="00AE3DA0" w:rsidRPr="00C27999">
      <w:rPr>
        <w:rFonts w:ascii="Times New Roman" w:hAnsi="Times New Roman" w:cs="Times New Roman"/>
        <w:sz w:val="20"/>
        <w:szCs w:val="24"/>
      </w:rPr>
      <w:t>3</w:t>
    </w:r>
    <w:r w:rsidR="00217D7F" w:rsidRPr="00C27999">
      <w:rPr>
        <w:rFonts w:ascii="Times New Roman" w:hAnsi="Times New Roman" w:cs="Times New Roman"/>
        <w:sz w:val="20"/>
        <w:szCs w:val="24"/>
      </w:rPr>
      <w:t>08</w:t>
    </w:r>
    <w:r w:rsidRPr="00C27999">
      <w:rPr>
        <w:rFonts w:ascii="Times New Roman" w:hAnsi="Times New Roman" w:cs="Times New Roman"/>
        <w:sz w:val="20"/>
        <w:szCs w:val="24"/>
      </w:rPr>
      <w:t>19_611</w:t>
    </w:r>
  </w:p>
  <w:p w14:paraId="2244C731" w14:textId="77777777" w:rsidR="00C00B7A" w:rsidRDefault="00C00B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65BB" w14:textId="77777777" w:rsidR="00EC5401" w:rsidRDefault="00EC5401">
      <w:r>
        <w:separator/>
      </w:r>
    </w:p>
  </w:footnote>
  <w:footnote w:type="continuationSeparator" w:id="0">
    <w:p w14:paraId="19AFC8A3" w14:textId="77777777" w:rsidR="00EC5401" w:rsidRDefault="00EC5401">
      <w:r>
        <w:continuationSeparator/>
      </w:r>
    </w:p>
  </w:footnote>
  <w:footnote w:id="1">
    <w:p w14:paraId="0DBBE679" w14:textId="77777777" w:rsidR="00C00B7A" w:rsidRDefault="00C00B7A">
      <w:pPr>
        <w:pStyle w:val="NoSpacing"/>
        <w:rPr>
          <w:sz w:val="20"/>
          <w:szCs w:val="20"/>
          <w:lang w:val="en-GB"/>
        </w:rPr>
      </w:pPr>
      <w:r>
        <w:rPr>
          <w:rStyle w:val="FootnoteReference"/>
          <w:sz w:val="20"/>
          <w:szCs w:val="20"/>
          <w:lang w:val="en-GB"/>
        </w:rPr>
        <w:footnoteRef/>
      </w:r>
      <w:r>
        <w:rPr>
          <w:rStyle w:val="FootnoteReference"/>
          <w:sz w:val="20"/>
          <w:szCs w:val="20"/>
          <w:lang w:val="en-GB"/>
        </w:rPr>
        <w:tab/>
      </w:r>
      <w:r>
        <w:rPr>
          <w:sz w:val="20"/>
          <w:szCs w:val="20"/>
          <w:lang w:val="en-GB"/>
        </w:rPr>
        <w:t xml:space="preserve"> Häberle J, Boddaert N, Burlina A, Chakrapani A. et al.,Suggested guidelines for the diagnosis and management of urea cycle disorders Orphanet J Rare Dis. 2012 May 29;7:32;</w:t>
      </w:r>
    </w:p>
    <w:p w14:paraId="7C8557AA" w14:textId="77777777" w:rsidR="00C00B7A" w:rsidRDefault="00C00B7A">
      <w:pPr>
        <w:pStyle w:val="NoSpacing"/>
        <w:jc w:val="both"/>
        <w:rPr>
          <w:sz w:val="20"/>
          <w:szCs w:val="20"/>
          <w:highlight w:val="white"/>
          <w:lang w:val="en-GB"/>
        </w:rPr>
      </w:pPr>
      <w:r>
        <w:rPr>
          <w:sz w:val="20"/>
          <w:szCs w:val="20"/>
          <w:lang w:val="en-GB"/>
        </w:rPr>
        <w:tab/>
        <w:t>UK National Metabolic Biochemistry Network Guidelines for the Investigation of Hyperammonaemia for Inherited Metabolic Disorders http://www.metbio.net/docs/metbio-guideline-rude248229-25-05-2009.pdf;</w:t>
      </w:r>
    </w:p>
    <w:p w14:paraId="22811F4D" w14:textId="77777777" w:rsidR="00C00B7A" w:rsidRDefault="00C00B7A">
      <w:pPr>
        <w:pStyle w:val="NoSpacing"/>
        <w:spacing w:after="120"/>
        <w:jc w:val="both"/>
      </w:pPr>
      <w:r>
        <w:rPr>
          <w:sz w:val="20"/>
          <w:szCs w:val="20"/>
          <w:shd w:val="clear" w:color="auto" w:fill="FFFFFF"/>
          <w:lang w:val="en-GB"/>
        </w:rPr>
        <w:tab/>
        <w:t>Baumgartner MR, Hörster F, Dionisi-Vici C, Haliloglu G</w:t>
      </w:r>
      <w:r>
        <w:rPr>
          <w:sz w:val="20"/>
          <w:szCs w:val="20"/>
          <w:lang w:val="en-GB"/>
        </w:rPr>
        <w:t xml:space="preserve"> et al., Proposed </w:t>
      </w:r>
      <w:r>
        <w:rPr>
          <w:iCs/>
          <w:sz w:val="20"/>
          <w:szCs w:val="20"/>
          <w:lang w:val="en-GB"/>
        </w:rPr>
        <w:t>guidelines</w:t>
      </w:r>
      <w:r>
        <w:rPr>
          <w:sz w:val="20"/>
          <w:szCs w:val="20"/>
          <w:lang w:val="en-GB"/>
        </w:rPr>
        <w:t> for the diagnosis and management of methylmalonic and propionic acidemia.</w:t>
      </w:r>
      <w:r>
        <w:rPr>
          <w:sz w:val="20"/>
          <w:szCs w:val="20"/>
          <w:shd w:val="clear" w:color="auto" w:fill="FFFFFF"/>
          <w:lang w:val="en-GB"/>
        </w:rPr>
        <w:t xml:space="preserve"> Orphanet J Rare Dis. 2014 Sep 2;9:130</w:t>
      </w:r>
      <w:r>
        <w:rPr>
          <w:bCs/>
          <w:sz w:val="20"/>
          <w:szCs w:val="20"/>
          <w:shd w:val="clear" w:color="auto" w:fill="FFFFFF"/>
          <w:lang w:val="en-GB"/>
        </w:rPr>
        <w:t>;</w:t>
      </w:r>
      <w:r>
        <w:rPr>
          <w:lang w:val="en-GB"/>
        </w:rPr>
        <w:t xml:space="preserve"> </w:t>
      </w:r>
    </w:p>
  </w:footnote>
  <w:footnote w:id="2">
    <w:p w14:paraId="4E9AA144" w14:textId="77777777" w:rsidR="00C00B7A" w:rsidRDefault="00C00B7A">
      <w:pPr>
        <w:widowControl w:val="0"/>
        <w:tabs>
          <w:tab w:val="left" w:pos="947"/>
        </w:tabs>
        <w:suppressAutoHyphens/>
        <w:ind w:right="26"/>
        <w:jc w:val="both"/>
        <w:rPr>
          <w:iCs/>
          <w:sz w:val="20"/>
          <w:szCs w:val="20"/>
        </w:rPr>
      </w:pPr>
      <w:r>
        <w:rPr>
          <w:rStyle w:val="FootnoteReference"/>
          <w:sz w:val="20"/>
          <w:szCs w:val="20"/>
        </w:rPr>
        <w:footnoteRef/>
      </w:r>
      <w:r>
        <w:rPr>
          <w:rStyle w:val="FootnoteReference"/>
          <w:sz w:val="20"/>
          <w:szCs w:val="20"/>
        </w:rPr>
        <w:tab/>
      </w:r>
      <w:r>
        <w:rPr>
          <w:sz w:val="20"/>
          <w:szCs w:val="20"/>
        </w:rPr>
        <w:t xml:space="preserve"> </w:t>
      </w:r>
      <w:r>
        <w:rPr>
          <w:iCs/>
          <w:sz w:val="20"/>
          <w:szCs w:val="20"/>
        </w:rPr>
        <w:t>Ferec C, Verlingue C, Parent P, Morin JF, et al. 1995. Neonatal screening for cystic fibrosis: Result of a pilot study using both immunoreactive trypsinogen and cystic fibrosis gene mutation analysis. Hum. Genet. 96, 542-8;</w:t>
      </w:r>
    </w:p>
    <w:p w14:paraId="1D2994CF" w14:textId="77777777" w:rsidR="00C00B7A" w:rsidRDefault="00C00B7A">
      <w:pPr>
        <w:widowControl w:val="0"/>
        <w:tabs>
          <w:tab w:val="left" w:pos="947"/>
        </w:tabs>
        <w:suppressAutoHyphens/>
        <w:ind w:right="26"/>
        <w:jc w:val="both"/>
        <w:rPr>
          <w:iCs/>
          <w:sz w:val="20"/>
          <w:szCs w:val="20"/>
        </w:rPr>
      </w:pPr>
      <w:r>
        <w:rPr>
          <w:iCs/>
          <w:sz w:val="20"/>
          <w:szCs w:val="20"/>
        </w:rPr>
        <w:tab/>
        <w:t>Wilcken B, Wiley V, Sherry G and Bayliss U. 1995. Neonatal screening for cystic fibrosis: A comparison of two strategies for case detection in 1.2 milloin babies. J. Pediatr. 127, 965-970;</w:t>
      </w:r>
    </w:p>
    <w:p w14:paraId="5F3E7A47" w14:textId="77777777" w:rsidR="00C00B7A" w:rsidRDefault="00C00B7A">
      <w:pPr>
        <w:jc w:val="both"/>
        <w:rPr>
          <w:rFonts w:eastAsia="Arial Unicode MS"/>
          <w:sz w:val="20"/>
          <w:szCs w:val="20"/>
          <w:u w:color="000000"/>
        </w:rPr>
      </w:pPr>
      <w:r>
        <w:rPr>
          <w:iCs/>
          <w:sz w:val="20"/>
          <w:szCs w:val="20"/>
        </w:rPr>
        <w:tab/>
        <w:t>Farrell PM, Kosorok MR, Laxova A, Shen G, Koscik RE, Bruns WT, et al. 1997. Nutritional benefits of neonatal screening for cystic fibrosis. NEJM 337, 963-999.</w:t>
      </w:r>
    </w:p>
    <w:p w14:paraId="7AE5CEA8" w14:textId="77777777" w:rsidR="00C00B7A" w:rsidRDefault="00C00B7A">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403045"/>
      <w:docPartObj>
        <w:docPartGallery w:val="Page Numbers (Top of Page)"/>
        <w:docPartUnique/>
      </w:docPartObj>
    </w:sdtPr>
    <w:sdtEndPr/>
    <w:sdtContent>
      <w:p w14:paraId="3351B03E" w14:textId="77777777" w:rsidR="00C00B7A" w:rsidRPr="005D7D26" w:rsidRDefault="00C00B7A">
        <w:pPr>
          <w:pStyle w:val="Header"/>
          <w:jc w:val="center"/>
          <w:rPr>
            <w:rFonts w:ascii="Times New Roman" w:hAnsi="Times New Roman" w:cs="Times New Roman"/>
            <w:sz w:val="24"/>
            <w:szCs w:val="24"/>
          </w:rPr>
        </w:pPr>
        <w:r w:rsidRPr="005D7D26">
          <w:rPr>
            <w:rFonts w:ascii="Times New Roman" w:hAnsi="Times New Roman" w:cs="Times New Roman"/>
            <w:sz w:val="24"/>
            <w:szCs w:val="24"/>
          </w:rPr>
          <w:fldChar w:fldCharType="begin"/>
        </w:r>
        <w:r w:rsidRPr="005D7D26">
          <w:rPr>
            <w:rFonts w:ascii="Times New Roman" w:hAnsi="Times New Roman" w:cs="Times New Roman"/>
            <w:sz w:val="24"/>
            <w:szCs w:val="24"/>
          </w:rPr>
          <w:instrText>PAGE</w:instrText>
        </w:r>
        <w:r w:rsidRPr="005D7D26">
          <w:rPr>
            <w:rFonts w:ascii="Times New Roman" w:hAnsi="Times New Roman" w:cs="Times New Roman"/>
            <w:sz w:val="24"/>
            <w:szCs w:val="24"/>
          </w:rPr>
          <w:fldChar w:fldCharType="separate"/>
        </w:r>
        <w:r w:rsidRPr="005D7D26">
          <w:rPr>
            <w:rFonts w:ascii="Times New Roman" w:hAnsi="Times New Roman" w:cs="Times New Roman"/>
            <w:noProof/>
            <w:sz w:val="24"/>
            <w:szCs w:val="24"/>
          </w:rPr>
          <w:t>4</w:t>
        </w:r>
        <w:r w:rsidRPr="005D7D26">
          <w:rPr>
            <w:rFonts w:ascii="Times New Roman" w:hAnsi="Times New Roman" w:cs="Times New Roman"/>
            <w:sz w:val="24"/>
            <w:szCs w:val="24"/>
          </w:rPr>
          <w:fldChar w:fldCharType="end"/>
        </w:r>
      </w:p>
      <w:p w14:paraId="5FE31928" w14:textId="77777777" w:rsidR="00C00B7A" w:rsidRDefault="00EC5401">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09"/>
    <w:rsid w:val="00057A98"/>
    <w:rsid w:val="0006324D"/>
    <w:rsid w:val="00066130"/>
    <w:rsid w:val="000672F3"/>
    <w:rsid w:val="000732B4"/>
    <w:rsid w:val="00077644"/>
    <w:rsid w:val="00091635"/>
    <w:rsid w:val="000A1496"/>
    <w:rsid w:val="000A2CC2"/>
    <w:rsid w:val="000A6783"/>
    <w:rsid w:val="000B1172"/>
    <w:rsid w:val="000B2892"/>
    <w:rsid w:val="000F1057"/>
    <w:rsid w:val="000F5BBD"/>
    <w:rsid w:val="0011255C"/>
    <w:rsid w:val="00113B22"/>
    <w:rsid w:val="00120825"/>
    <w:rsid w:val="00123443"/>
    <w:rsid w:val="00152C3F"/>
    <w:rsid w:val="00176C21"/>
    <w:rsid w:val="001B0A04"/>
    <w:rsid w:val="001D3D52"/>
    <w:rsid w:val="00217D7F"/>
    <w:rsid w:val="00221FFF"/>
    <w:rsid w:val="00252B6E"/>
    <w:rsid w:val="002548EE"/>
    <w:rsid w:val="00254A89"/>
    <w:rsid w:val="0027103C"/>
    <w:rsid w:val="00281524"/>
    <w:rsid w:val="0029181B"/>
    <w:rsid w:val="002A50EB"/>
    <w:rsid w:val="002E315B"/>
    <w:rsid w:val="002F6597"/>
    <w:rsid w:val="003048C9"/>
    <w:rsid w:val="00313587"/>
    <w:rsid w:val="00313CCB"/>
    <w:rsid w:val="00316A1B"/>
    <w:rsid w:val="00334738"/>
    <w:rsid w:val="00354484"/>
    <w:rsid w:val="00357764"/>
    <w:rsid w:val="00380338"/>
    <w:rsid w:val="003A5025"/>
    <w:rsid w:val="003E7612"/>
    <w:rsid w:val="003F11F2"/>
    <w:rsid w:val="003F5A66"/>
    <w:rsid w:val="003F70E9"/>
    <w:rsid w:val="0041546E"/>
    <w:rsid w:val="00432F3B"/>
    <w:rsid w:val="00436B36"/>
    <w:rsid w:val="004516E0"/>
    <w:rsid w:val="0047433F"/>
    <w:rsid w:val="004836A6"/>
    <w:rsid w:val="004954DF"/>
    <w:rsid w:val="004A5FA6"/>
    <w:rsid w:val="004D63FC"/>
    <w:rsid w:val="004E03BC"/>
    <w:rsid w:val="004E65C8"/>
    <w:rsid w:val="00530F55"/>
    <w:rsid w:val="00535340"/>
    <w:rsid w:val="00545610"/>
    <w:rsid w:val="00551D33"/>
    <w:rsid w:val="005543F1"/>
    <w:rsid w:val="00584D63"/>
    <w:rsid w:val="0059014A"/>
    <w:rsid w:val="00596770"/>
    <w:rsid w:val="005A1D3E"/>
    <w:rsid w:val="005A68A4"/>
    <w:rsid w:val="005C5004"/>
    <w:rsid w:val="005D7D26"/>
    <w:rsid w:val="005E319A"/>
    <w:rsid w:val="005E4103"/>
    <w:rsid w:val="005F7709"/>
    <w:rsid w:val="006364B2"/>
    <w:rsid w:val="006625ED"/>
    <w:rsid w:val="006660AA"/>
    <w:rsid w:val="00670D24"/>
    <w:rsid w:val="0067166E"/>
    <w:rsid w:val="00680968"/>
    <w:rsid w:val="006818A7"/>
    <w:rsid w:val="00683438"/>
    <w:rsid w:val="00685106"/>
    <w:rsid w:val="006B4336"/>
    <w:rsid w:val="006C6280"/>
    <w:rsid w:val="006D5AC2"/>
    <w:rsid w:val="006F209D"/>
    <w:rsid w:val="007009A2"/>
    <w:rsid w:val="007113FE"/>
    <w:rsid w:val="00716217"/>
    <w:rsid w:val="00723841"/>
    <w:rsid w:val="00726367"/>
    <w:rsid w:val="00736011"/>
    <w:rsid w:val="00745E94"/>
    <w:rsid w:val="00750370"/>
    <w:rsid w:val="00752CFE"/>
    <w:rsid w:val="00777170"/>
    <w:rsid w:val="007849B9"/>
    <w:rsid w:val="007A06E0"/>
    <w:rsid w:val="007E43F6"/>
    <w:rsid w:val="007F15F3"/>
    <w:rsid w:val="008109DD"/>
    <w:rsid w:val="008132AF"/>
    <w:rsid w:val="0083696E"/>
    <w:rsid w:val="00853063"/>
    <w:rsid w:val="0086177F"/>
    <w:rsid w:val="0086372F"/>
    <w:rsid w:val="008922A2"/>
    <w:rsid w:val="008970CC"/>
    <w:rsid w:val="008E55A3"/>
    <w:rsid w:val="008F51B7"/>
    <w:rsid w:val="00902C7E"/>
    <w:rsid w:val="00902D06"/>
    <w:rsid w:val="009141CE"/>
    <w:rsid w:val="009147B9"/>
    <w:rsid w:val="00917463"/>
    <w:rsid w:val="00934627"/>
    <w:rsid w:val="00985263"/>
    <w:rsid w:val="009B71B9"/>
    <w:rsid w:val="009C7358"/>
    <w:rsid w:val="009D5BFC"/>
    <w:rsid w:val="00A139C1"/>
    <w:rsid w:val="00A34A64"/>
    <w:rsid w:val="00A542DE"/>
    <w:rsid w:val="00A62D36"/>
    <w:rsid w:val="00A7399F"/>
    <w:rsid w:val="00A9427C"/>
    <w:rsid w:val="00A96488"/>
    <w:rsid w:val="00AA2EE8"/>
    <w:rsid w:val="00AB6C9D"/>
    <w:rsid w:val="00AB7441"/>
    <w:rsid w:val="00AD3DAE"/>
    <w:rsid w:val="00AE3DA0"/>
    <w:rsid w:val="00AE7C54"/>
    <w:rsid w:val="00AF0777"/>
    <w:rsid w:val="00AF6FDA"/>
    <w:rsid w:val="00B27D7C"/>
    <w:rsid w:val="00B41F04"/>
    <w:rsid w:val="00B845F1"/>
    <w:rsid w:val="00BA19B0"/>
    <w:rsid w:val="00BA3644"/>
    <w:rsid w:val="00BA39F6"/>
    <w:rsid w:val="00BC4966"/>
    <w:rsid w:val="00BE0152"/>
    <w:rsid w:val="00C00B7A"/>
    <w:rsid w:val="00C01E2E"/>
    <w:rsid w:val="00C028D5"/>
    <w:rsid w:val="00C06509"/>
    <w:rsid w:val="00C123BF"/>
    <w:rsid w:val="00C13289"/>
    <w:rsid w:val="00C27999"/>
    <w:rsid w:val="00C73C0D"/>
    <w:rsid w:val="00CA5359"/>
    <w:rsid w:val="00D13592"/>
    <w:rsid w:val="00D1463B"/>
    <w:rsid w:val="00D21492"/>
    <w:rsid w:val="00D3001E"/>
    <w:rsid w:val="00D3006B"/>
    <w:rsid w:val="00D32728"/>
    <w:rsid w:val="00D32D7B"/>
    <w:rsid w:val="00D43BDA"/>
    <w:rsid w:val="00D44FBE"/>
    <w:rsid w:val="00D665DE"/>
    <w:rsid w:val="00D72924"/>
    <w:rsid w:val="00D80D92"/>
    <w:rsid w:val="00D84D58"/>
    <w:rsid w:val="00DC2B03"/>
    <w:rsid w:val="00DE53DF"/>
    <w:rsid w:val="00DF0D4E"/>
    <w:rsid w:val="00E01C5C"/>
    <w:rsid w:val="00E22394"/>
    <w:rsid w:val="00E319F5"/>
    <w:rsid w:val="00E535EF"/>
    <w:rsid w:val="00E73FB4"/>
    <w:rsid w:val="00E74BE4"/>
    <w:rsid w:val="00E90BD0"/>
    <w:rsid w:val="00E94390"/>
    <w:rsid w:val="00EA73BD"/>
    <w:rsid w:val="00EC5401"/>
    <w:rsid w:val="00ED1042"/>
    <w:rsid w:val="00F05FD6"/>
    <w:rsid w:val="00F17734"/>
    <w:rsid w:val="00F208CE"/>
    <w:rsid w:val="00F2126A"/>
    <w:rsid w:val="00F46030"/>
    <w:rsid w:val="00F56CCB"/>
    <w:rsid w:val="00F80403"/>
    <w:rsid w:val="00F81B69"/>
    <w:rsid w:val="00F861DB"/>
    <w:rsid w:val="00F87200"/>
    <w:rsid w:val="00F925C3"/>
    <w:rsid w:val="00FA6BBB"/>
    <w:rsid w:val="00FC70C8"/>
    <w:rsid w:val="00FC7BD4"/>
    <w:rsid w:val="00FE2CA3"/>
    <w:rsid w:val="00FF61EA"/>
  </w:rsids>
  <m:mathPr>
    <m:mathFont m:val="Cambria Math"/>
    <m:brkBin m:val="before"/>
    <m:brkBinSub m:val="--"/>
    <m:smallFrac m:val="0"/>
    <m:dispDef/>
    <m:lMargin m:val="0"/>
    <m:rMargin m:val="0"/>
    <m:defJc m:val="centerGroup"/>
    <m:wrapIndent m:val="1440"/>
    <m:intLim m:val="subSup"/>
    <m:naryLim m:val="undOvr"/>
  </m:mathPr>
  <w:themeFontLang w:val="lv-LV" w:eastAsia=""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9A6FF"/>
  <w15:docId w15:val="{76F07854-A706-49ED-80F9-1C17C977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E7"/>
    <w:pPr>
      <w:spacing w:line="240" w:lineRule="auto"/>
    </w:pPr>
    <w:rPr>
      <w:rFonts w:ascii="Times New Roman" w:eastAsia="Times New Roman" w:hAnsi="Times New Roman" w:cs="Times New Roman"/>
      <w:color w:val="00000A"/>
      <w:sz w:val="24"/>
      <w:szCs w:val="24"/>
      <w:lang w:eastAsia="lv-LV"/>
    </w:rPr>
  </w:style>
  <w:style w:type="paragraph" w:styleId="Heading3">
    <w:name w:val="heading 3"/>
    <w:basedOn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93C26"/>
  </w:style>
  <w:style w:type="character" w:customStyle="1" w:styleId="FooterChar">
    <w:name w:val="Footer Char"/>
    <w:basedOn w:val="DefaultParagraphFont"/>
    <w:link w:val="Footer"/>
    <w:uiPriority w:val="99"/>
    <w:qFormat/>
    <w:rsid w:val="00993C26"/>
  </w:style>
  <w:style w:type="character" w:customStyle="1" w:styleId="NoSpacingChar">
    <w:name w:val="No Spacing Char"/>
    <w:basedOn w:val="DefaultParagraphFont"/>
    <w:link w:val="NoSpacing"/>
    <w:uiPriority w:val="1"/>
    <w:qFormat/>
    <w:rsid w:val="00DC27EA"/>
    <w:rPr>
      <w:rFonts w:ascii="Times New Roman" w:eastAsia="Times New Roman" w:hAnsi="Times New Roman" w:cs="Times New Roman"/>
      <w:sz w:val="24"/>
      <w:szCs w:val="24"/>
    </w:rPr>
  </w:style>
  <w:style w:type="character" w:customStyle="1" w:styleId="InternetLink">
    <w:name w:val="Internet Link"/>
    <w:basedOn w:val="DefaultParagraphFont"/>
    <w:unhideWhenUsed/>
    <w:rsid w:val="00DC27EA"/>
    <w:rPr>
      <w:color w:val="0000FF" w:themeColor="hyperlink"/>
      <w:u w:val="single"/>
    </w:rPr>
  </w:style>
  <w:style w:type="character" w:styleId="CommentReference">
    <w:name w:val="annotation reference"/>
    <w:basedOn w:val="DefaultParagraphFont"/>
    <w:uiPriority w:val="99"/>
    <w:semiHidden/>
    <w:unhideWhenUsed/>
    <w:qFormat/>
    <w:rsid w:val="002D28E5"/>
    <w:rPr>
      <w:sz w:val="16"/>
      <w:szCs w:val="16"/>
    </w:rPr>
  </w:style>
  <w:style w:type="character" w:customStyle="1" w:styleId="CommentTextChar">
    <w:name w:val="Comment Text Char"/>
    <w:basedOn w:val="DefaultParagraphFont"/>
    <w:link w:val="CommentText"/>
    <w:uiPriority w:val="99"/>
    <w:qFormat/>
    <w:rsid w:val="002D28E5"/>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sid w:val="002D28E5"/>
    <w:rPr>
      <w:rFonts w:ascii="Times New Roman" w:hAnsi="Times New Roman"/>
      <w:b/>
      <w:bCs/>
      <w:sz w:val="20"/>
      <w:szCs w:val="20"/>
    </w:rPr>
  </w:style>
  <w:style w:type="character" w:customStyle="1" w:styleId="BalloonTextChar">
    <w:name w:val="Balloon Text Char"/>
    <w:basedOn w:val="DefaultParagraphFont"/>
    <w:link w:val="BalloonText"/>
    <w:uiPriority w:val="99"/>
    <w:semiHidden/>
    <w:qFormat/>
    <w:rsid w:val="002D28E5"/>
    <w:rPr>
      <w:rFonts w:ascii="Tahoma" w:hAnsi="Tahoma" w:cs="Tahoma"/>
      <w:sz w:val="16"/>
      <w:szCs w:val="16"/>
    </w:rPr>
  </w:style>
  <w:style w:type="character" w:customStyle="1" w:styleId="Heading3Char">
    <w:name w:val="Heading 3 Char"/>
    <w:basedOn w:val="DefaultParagraphFont"/>
    <w:link w:val="Heading3"/>
    <w:uiPriority w:val="9"/>
    <w:semiHidden/>
    <w:qFormat/>
    <w:rsid w:val="001909AE"/>
    <w:rPr>
      <w:rFonts w:asciiTheme="majorHAnsi" w:eastAsiaTheme="majorEastAsia" w:hAnsiTheme="majorHAnsi" w:cstheme="majorBidi"/>
      <w:b/>
      <w:bCs/>
      <w:color w:val="4F81BD" w:themeColor="accent1"/>
      <w:sz w:val="24"/>
    </w:rPr>
  </w:style>
  <w:style w:type="character" w:customStyle="1" w:styleId="FootnoteTextChar">
    <w:name w:val="Footnote Text Char"/>
    <w:basedOn w:val="DefaultParagraphFont"/>
    <w:link w:val="FootnoteText"/>
    <w:uiPriority w:val="99"/>
    <w:qFormat/>
    <w:rsid w:val="007F39C6"/>
    <w:rPr>
      <w:sz w:val="20"/>
      <w:szCs w:val="20"/>
    </w:rPr>
  </w:style>
  <w:style w:type="character" w:styleId="FootnoteReference">
    <w:name w:val="footnote reference"/>
    <w:basedOn w:val="DefaultParagraphFont"/>
    <w:uiPriority w:val="99"/>
    <w:unhideWhenUsed/>
    <w:qFormat/>
    <w:rsid w:val="007F39C6"/>
    <w:rPr>
      <w:vertAlign w:val="superscript"/>
    </w:rPr>
  </w:style>
  <w:style w:type="character" w:customStyle="1" w:styleId="apple-converted-space">
    <w:name w:val="apple-converted-space"/>
    <w:basedOn w:val="DefaultParagraphFont"/>
    <w:qFormat/>
    <w:rsid w:val="00DE6791"/>
  </w:style>
  <w:style w:type="character" w:customStyle="1" w:styleId="Mention1">
    <w:name w:val="Mention1"/>
    <w:basedOn w:val="DefaultParagraphFont"/>
    <w:uiPriority w:val="99"/>
    <w:semiHidden/>
    <w:unhideWhenUsed/>
    <w:qFormat/>
    <w:rsid w:val="0073173B"/>
    <w:rPr>
      <w:color w:val="2B579A"/>
      <w:shd w:val="clear" w:color="auto" w:fill="E6E6E6"/>
    </w:rPr>
  </w:style>
  <w:style w:type="character" w:customStyle="1" w:styleId="UnresolvedMention1">
    <w:name w:val="Unresolved Mention1"/>
    <w:basedOn w:val="DefaultParagraphFont"/>
    <w:uiPriority w:val="99"/>
    <w:semiHidden/>
    <w:unhideWhenUsed/>
    <w:qFormat/>
    <w:rsid w:val="00DB0AA2"/>
    <w:rPr>
      <w:color w:val="808080"/>
      <w:shd w:val="clear" w:color="auto" w:fill="E6E6E6"/>
    </w:rPr>
  </w:style>
  <w:style w:type="character" w:styleId="Strong">
    <w:name w:val="Strong"/>
    <w:uiPriority w:val="22"/>
    <w:qFormat/>
    <w:rsid w:val="00FA17E4"/>
    <w:rPr>
      <w:b/>
      <w:bCs/>
    </w:rPr>
  </w:style>
  <w:style w:type="character" w:customStyle="1" w:styleId="Neatrisintapieminana1">
    <w:name w:val="Neatrisināta pieminēšana1"/>
    <w:basedOn w:val="DefaultParagraphFont"/>
    <w:uiPriority w:val="99"/>
    <w:qFormat/>
    <w:rsid w:val="005707B2"/>
    <w:rPr>
      <w:color w:val="605E5C"/>
      <w:shd w:val="clear" w:color="auto" w:fill="E1DFDD"/>
    </w:rPr>
  </w:style>
  <w:style w:type="character" w:customStyle="1" w:styleId="ListLabel1">
    <w:name w:val="ListLabel 1"/>
    <w:qFormat/>
    <w:rPr>
      <w:color w:val="00000A"/>
    </w:rPr>
  </w:style>
  <w:style w:type="character" w:customStyle="1" w:styleId="ListLabel2">
    <w:name w:val="ListLabel 2"/>
    <w:qFormat/>
  </w:style>
  <w:style w:type="character" w:customStyle="1" w:styleId="ListLabel3">
    <w:name w:val="ListLabel 3"/>
    <w:qFormat/>
    <w:rPr>
      <w:rFonts w:eastAsia="Times New Roman" w:cs="Times New Roman"/>
      <w:color w:val="00000A"/>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eastAsia="Droid Sans Fallback"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93C26"/>
    <w:pPr>
      <w:tabs>
        <w:tab w:val="center" w:pos="4153"/>
        <w:tab w:val="right" w:pos="8306"/>
      </w:tabs>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993C26"/>
    <w:pPr>
      <w:spacing w:before="75" w:after="75"/>
    </w:pPr>
  </w:style>
  <w:style w:type="paragraph" w:styleId="NoSpacing">
    <w:name w:val="No Spacing"/>
    <w:link w:val="NoSpacingChar"/>
    <w:uiPriority w:val="1"/>
    <w:qFormat/>
    <w:rsid w:val="00DC27EA"/>
    <w:pPr>
      <w:spacing w:line="240" w:lineRule="auto"/>
    </w:pPr>
    <w:rPr>
      <w:rFonts w:ascii="Times New Roman" w:eastAsia="Times New Roman" w:hAnsi="Times New Roman" w:cs="Times New Roman"/>
      <w:color w:val="00000A"/>
      <w:sz w:val="24"/>
      <w:szCs w:val="24"/>
    </w:rPr>
  </w:style>
  <w:style w:type="paragraph" w:customStyle="1" w:styleId="naisf">
    <w:name w:val="naisf"/>
    <w:basedOn w:val="Normal"/>
    <w:qFormat/>
    <w:rsid w:val="004325FC"/>
    <w:pPr>
      <w:spacing w:before="75" w:after="75"/>
      <w:ind w:firstLine="375"/>
      <w:jc w:val="both"/>
    </w:pPr>
  </w:style>
  <w:style w:type="paragraph" w:styleId="CommentText">
    <w:name w:val="annotation text"/>
    <w:basedOn w:val="Normal"/>
    <w:link w:val="CommentTextChar"/>
    <w:uiPriority w:val="99"/>
    <w:unhideWhenUsed/>
    <w:qFormat/>
    <w:rsid w:val="002D28E5"/>
    <w:rPr>
      <w:sz w:val="20"/>
      <w:szCs w:val="20"/>
    </w:rPr>
  </w:style>
  <w:style w:type="paragraph" w:styleId="CommentSubject">
    <w:name w:val="annotation subject"/>
    <w:basedOn w:val="CommentText"/>
    <w:link w:val="CommentSubjectChar"/>
    <w:uiPriority w:val="99"/>
    <w:semiHidden/>
    <w:unhideWhenUsed/>
    <w:qFormat/>
    <w:rsid w:val="002D28E5"/>
    <w:rPr>
      <w:b/>
      <w:bCs/>
    </w:rPr>
  </w:style>
  <w:style w:type="paragraph" w:styleId="BalloonText">
    <w:name w:val="Balloon Text"/>
    <w:basedOn w:val="Normal"/>
    <w:link w:val="BalloonTextChar"/>
    <w:uiPriority w:val="99"/>
    <w:semiHidden/>
    <w:unhideWhenUsed/>
    <w:qFormat/>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rPr>
      <w:rFonts w:eastAsiaTheme="minorHAnsi" w:cstheme="minorBidi"/>
      <w:szCs w:val="22"/>
      <w:lang w:eastAsia="en-US"/>
    </w:rPr>
  </w:style>
  <w:style w:type="paragraph" w:styleId="FootnoteText">
    <w:name w:val="footnote text"/>
    <w:basedOn w:val="Normal"/>
    <w:link w:val="FootnoteTextChar"/>
    <w:uiPriority w:val="99"/>
    <w:unhideWhenUsed/>
    <w:qFormat/>
    <w:rsid w:val="007F39C6"/>
    <w:rPr>
      <w:rFonts w:asciiTheme="minorHAnsi" w:eastAsiaTheme="minorHAnsi" w:hAnsiTheme="minorHAnsi" w:cstheme="minorBidi"/>
      <w:sz w:val="20"/>
      <w:szCs w:val="20"/>
      <w:lang w:eastAsia="en-US"/>
    </w:rPr>
  </w:style>
  <w:style w:type="paragraph" w:styleId="Revision">
    <w:name w:val="Revision"/>
    <w:uiPriority w:val="99"/>
    <w:semiHidden/>
    <w:qFormat/>
    <w:rsid w:val="007F39C6"/>
    <w:pPr>
      <w:spacing w:line="240" w:lineRule="auto"/>
    </w:pPr>
    <w:rPr>
      <w:rFonts w:ascii="Times New Roman" w:hAnsi="Times New Roman"/>
      <w:color w:val="00000A"/>
      <w:sz w:val="24"/>
    </w:rPr>
  </w:style>
  <w:style w:type="paragraph" w:customStyle="1" w:styleId="title-doc-first">
    <w:name w:val="title-doc-first"/>
    <w:basedOn w:val="Normal"/>
    <w:qFormat/>
    <w:rsid w:val="008676D7"/>
    <w:pPr>
      <w:spacing w:beforeAutospacing="1" w:afterAutospacing="1"/>
    </w:pPr>
    <w:rPr>
      <w:rFonts w:eastAsiaTheme="minorEastAsia"/>
    </w:rPr>
  </w:style>
  <w:style w:type="paragraph" w:customStyle="1" w:styleId="naisc">
    <w:name w:val="naisc"/>
    <w:basedOn w:val="Normal"/>
    <w:qFormat/>
    <w:rsid w:val="0044358F"/>
    <w:pPr>
      <w:spacing w:before="75" w:after="75"/>
      <w:jc w:val="center"/>
    </w:pPr>
  </w:style>
  <w:style w:type="paragraph" w:customStyle="1" w:styleId="Footnote">
    <w:name w:val="Footnote"/>
    <w:basedOn w:val="Normal"/>
  </w:style>
  <w:style w:type="paragraph" w:customStyle="1" w:styleId="Standard">
    <w:name w:val="Standard"/>
    <w:rsid w:val="00D1463B"/>
    <w:pPr>
      <w:widowControl w:val="0"/>
      <w:suppressAutoHyphens/>
      <w:autoSpaceDN w:val="0"/>
      <w:spacing w:line="240" w:lineRule="auto"/>
      <w:textAlignment w:val="baseline"/>
    </w:pPr>
    <w:rPr>
      <w:rFonts w:ascii="Arial" w:eastAsia="Droid Sans Fallback" w:hAnsi="Arial" w:cs="Droid Sans Devanagari"/>
      <w:kern w:val="3"/>
      <w:sz w:val="24"/>
      <w:szCs w:val="24"/>
      <w:lang w:eastAsia="zh-CN" w:bidi="hi-IN"/>
    </w:rPr>
  </w:style>
  <w:style w:type="character" w:customStyle="1" w:styleId="StrongEmphasis">
    <w:name w:val="Strong Emphasis"/>
    <w:rsid w:val="00D1463B"/>
    <w:rPr>
      <w:b/>
      <w:bCs/>
    </w:rPr>
  </w:style>
  <w:style w:type="character" w:styleId="Hyperlink">
    <w:name w:val="Hyperlink"/>
    <w:basedOn w:val="DefaultParagraphFont"/>
    <w:unhideWhenUsed/>
    <w:rsid w:val="00091635"/>
    <w:rPr>
      <w:color w:val="0000FF" w:themeColor="hyperlink"/>
      <w:u w:val="single"/>
    </w:rPr>
  </w:style>
  <w:style w:type="character" w:styleId="UnresolvedMention">
    <w:name w:val="Unresolved Mention"/>
    <w:basedOn w:val="DefaultParagraphFont"/>
    <w:uiPriority w:val="99"/>
    <w:semiHidden/>
    <w:unhideWhenUsed/>
    <w:rsid w:val="00091635"/>
    <w:rPr>
      <w:color w:val="605E5C"/>
      <w:shd w:val="clear" w:color="auto" w:fill="E1DFDD"/>
    </w:rPr>
  </w:style>
  <w:style w:type="table" w:styleId="TableGrid">
    <w:name w:val="Table Grid"/>
    <w:basedOn w:val="TableNormal"/>
    <w:uiPriority w:val="39"/>
    <w:rsid w:val="009B71B9"/>
    <w:pPr>
      <w:spacing w:line="240" w:lineRule="auto"/>
    </w:pPr>
    <w:rPr>
      <w:rFonts w:eastAsiaTheme="minorEastAsia"/>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1398">
      <w:bodyDiv w:val="1"/>
      <w:marLeft w:val="0"/>
      <w:marRight w:val="0"/>
      <w:marTop w:val="0"/>
      <w:marBottom w:val="0"/>
      <w:divBdr>
        <w:top w:val="none" w:sz="0" w:space="0" w:color="auto"/>
        <w:left w:val="none" w:sz="0" w:space="0" w:color="auto"/>
        <w:bottom w:val="none" w:sz="0" w:space="0" w:color="auto"/>
        <w:right w:val="none" w:sz="0" w:space="0" w:color="auto"/>
      </w:divBdr>
    </w:div>
    <w:div w:id="177709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1CD0B-8030-4750-9DA2-406C2C6B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23297</Words>
  <Characters>13280</Characters>
  <Application>Microsoft Office Word</Application>
  <DocSecurity>0</DocSecurity>
  <Lines>110</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 gada 25. jūlija noteikumos Nr. 611 "Dzemdību palīdzības nodrošināšanas kārtība"" sākotnējās ietekmes novērtēšana (anotācija)</vt:lpstr>
      <vt:lpstr>Ministru kabineta noteikumu projekta ”Grozījumi Ministru kabineta 2006. gada 25. jūlija noteikumos Nr. 611 "Dzemdību palīdzības nodrošināšanas kārtība"" sākotnējās ietekmes novērtēšana (anotācija)</vt:lpstr>
    </vt:vector>
  </TitlesOfParts>
  <Company>Veselības ministrija</Company>
  <LinksUpToDate>false</LinksUpToDate>
  <CharactersWithSpaces>36504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25. jūlija noteikumos Nr. 611 "Dzemdību palīdzības nodrošināšanas kārtība"" sākotnējās ietekmes novērtēšana (anotācija)</dc:title>
  <dc:subject>Anotācija</dc:subject>
  <dc:creator>Viktorija Korņenkova</dc:creator>
  <dc:description>Korņenkova 67876098_x000d_
viktorija.kornenkova@vm.gov.lv</dc:description>
  <cp:lastModifiedBy>Laimdota Adlere</cp:lastModifiedBy>
  <cp:revision>7</cp:revision>
  <cp:lastPrinted>2019-07-11T07:11:00Z</cp:lastPrinted>
  <dcterms:created xsi:type="dcterms:W3CDTF">2019-08-23T07:03:00Z</dcterms:created>
  <dcterms:modified xsi:type="dcterms:W3CDTF">2019-08-29T09:06:00Z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Veselības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