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30C"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40FEDDAF"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0D70D461" w:rsidR="007116C7" w:rsidRPr="0004446D" w:rsidRDefault="002735B1" w:rsidP="008E429C">
            <w:pPr>
              <w:ind w:firstLine="720"/>
              <w:jc w:val="center"/>
              <w:rPr>
                <w:b/>
              </w:rPr>
            </w:pPr>
            <w:r>
              <w:rPr>
                <w:b/>
              </w:rPr>
              <w:t>p</w:t>
            </w:r>
            <w:r w:rsidR="0004446D" w:rsidRPr="0004446D">
              <w:rPr>
                <w:b/>
              </w:rPr>
              <w:t xml:space="preserve">ar </w:t>
            </w:r>
            <w:r w:rsidR="001F25C5">
              <w:rPr>
                <w:b/>
              </w:rPr>
              <w:t xml:space="preserve">rīkojuma </w:t>
            </w:r>
            <w:r w:rsidR="00793365">
              <w:rPr>
                <w:b/>
              </w:rPr>
              <w:t>“</w:t>
            </w:r>
            <w:r w:rsidR="001F25C5" w:rsidRPr="001F25C5">
              <w:rPr>
                <w:b/>
                <w:lang w:eastAsia="en-US"/>
              </w:rPr>
              <w:t>Par sabiedrības ar ierobežotu atbildību “</w:t>
            </w:r>
            <w:r w:rsidR="00DC562E">
              <w:rPr>
                <w:b/>
                <w:lang w:eastAsia="en-US"/>
              </w:rPr>
              <w:t xml:space="preserve">Rīgas </w:t>
            </w:r>
            <w:r w:rsidR="00247B92">
              <w:rPr>
                <w:b/>
                <w:lang w:eastAsia="en-US"/>
              </w:rPr>
              <w:t>Austrumu klīniskā universitātes slimnīca</w:t>
            </w:r>
            <w:r w:rsidR="001F25C5" w:rsidRPr="001F25C5">
              <w:rPr>
                <w:b/>
                <w:lang w:eastAsia="en-US"/>
              </w:rPr>
              <w:t>” stratēģisko mērķi</w:t>
            </w:r>
            <w:r w:rsidR="0004446D" w:rsidRPr="0004446D">
              <w:rPr>
                <w:b/>
              </w:rPr>
              <w:t>” projektu</w:t>
            </w:r>
          </w:p>
        </w:tc>
      </w:tr>
    </w:tbl>
    <w:p w14:paraId="06150235" w14:textId="77777777" w:rsidR="007116C7" w:rsidRPr="00712B66" w:rsidRDefault="007116C7" w:rsidP="009623BC">
      <w:pPr>
        <w:pStyle w:val="naisc"/>
        <w:spacing w:before="0" w:after="0"/>
        <w:ind w:firstLine="1080"/>
      </w:pPr>
      <w:r w:rsidRPr="00712B66">
        <w:t>(dokumenta veids un nosaukums)</w:t>
      </w:r>
    </w:p>
    <w:p w14:paraId="6F026F83" w14:textId="77777777" w:rsidR="007B4C0F" w:rsidRPr="00712B66" w:rsidRDefault="007B4C0F" w:rsidP="00DB7395">
      <w:pPr>
        <w:pStyle w:val="naisf"/>
        <w:spacing w:before="0" w:after="0"/>
        <w:ind w:firstLine="720"/>
      </w:pPr>
    </w:p>
    <w:p w14:paraId="4B7CE0A3"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DB739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436"/>
        <w:gridCol w:w="2410"/>
        <w:gridCol w:w="2409"/>
      </w:tblGrid>
      <w:tr w:rsidR="005F4BFD" w:rsidRPr="00712B66" w14:paraId="0240E254" w14:textId="77777777" w:rsidTr="006342D2">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436"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364BB6">
            <w:pPr>
              <w:jc w:val="center"/>
            </w:pPr>
            <w:r w:rsidRPr="00712B66">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364BB6">
            <w:pPr>
              <w:jc w:val="center"/>
            </w:pPr>
            <w:r w:rsidRPr="00712B66">
              <w:t>Projekta attiecīgā punkta (panta) galīgā redakcija</w:t>
            </w:r>
          </w:p>
        </w:tc>
      </w:tr>
      <w:tr w:rsidR="005F4BFD" w:rsidRPr="008A36C9" w14:paraId="187D505B" w14:textId="77777777" w:rsidTr="006342D2">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436"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8A36C9">
            <w:pPr>
              <w:jc w:val="center"/>
              <w:rPr>
                <w:sz w:val="20"/>
                <w:szCs w:val="20"/>
              </w:rPr>
            </w:pPr>
            <w:r w:rsidRPr="008A36C9">
              <w:rPr>
                <w:sz w:val="20"/>
                <w:szCs w:val="20"/>
              </w:rPr>
              <w:t>5</w:t>
            </w:r>
          </w:p>
        </w:tc>
        <w:tc>
          <w:tcPr>
            <w:tcW w:w="2409" w:type="dxa"/>
            <w:tcBorders>
              <w:top w:val="single" w:sz="4" w:space="0" w:color="auto"/>
              <w:left w:val="single" w:sz="4" w:space="0" w:color="auto"/>
              <w:bottom w:val="single" w:sz="4" w:space="0" w:color="auto"/>
            </w:tcBorders>
          </w:tcPr>
          <w:p w14:paraId="6558BDFC" w14:textId="77777777" w:rsidR="005F4BFD" w:rsidRPr="008A36C9" w:rsidRDefault="008A36C9" w:rsidP="008A36C9">
            <w:pPr>
              <w:jc w:val="center"/>
              <w:rPr>
                <w:sz w:val="20"/>
                <w:szCs w:val="20"/>
              </w:rPr>
            </w:pPr>
            <w:r w:rsidRPr="008A36C9">
              <w:rPr>
                <w:sz w:val="20"/>
                <w:szCs w:val="20"/>
              </w:rPr>
              <w:t>6</w:t>
            </w:r>
          </w:p>
        </w:tc>
      </w:tr>
      <w:tr w:rsidR="00BE7D8E" w:rsidRPr="00712B66" w14:paraId="25E5F3CD" w14:textId="77777777" w:rsidTr="00D344AF">
        <w:tc>
          <w:tcPr>
            <w:tcW w:w="708" w:type="dxa"/>
            <w:tcBorders>
              <w:left w:val="single" w:sz="6" w:space="0" w:color="000000"/>
              <w:bottom w:val="single" w:sz="4" w:space="0" w:color="auto"/>
              <w:right w:val="single" w:sz="6" w:space="0" w:color="000000"/>
            </w:tcBorders>
          </w:tcPr>
          <w:p w14:paraId="1A806470" w14:textId="77777777" w:rsidR="00BE7D8E" w:rsidRDefault="00BE7D8E" w:rsidP="00BE7D8E">
            <w:pPr>
              <w:pStyle w:val="naisc"/>
              <w:spacing w:before="0" w:after="0"/>
              <w:ind w:firstLine="720"/>
            </w:pPr>
          </w:p>
          <w:p w14:paraId="4A99EB10" w14:textId="77777777" w:rsidR="00BE7D8E" w:rsidRPr="00F055A0" w:rsidRDefault="00BE7D8E" w:rsidP="00BE7D8E">
            <w:pPr>
              <w:jc w:val="center"/>
            </w:pPr>
            <w:r>
              <w:t>1.</w:t>
            </w:r>
          </w:p>
        </w:tc>
        <w:tc>
          <w:tcPr>
            <w:tcW w:w="3086" w:type="dxa"/>
            <w:tcBorders>
              <w:left w:val="single" w:sz="6" w:space="0" w:color="000000"/>
              <w:bottom w:val="single" w:sz="4" w:space="0" w:color="auto"/>
              <w:right w:val="single" w:sz="6" w:space="0" w:color="000000"/>
            </w:tcBorders>
          </w:tcPr>
          <w:p w14:paraId="0DDB9E81" w14:textId="77777777" w:rsidR="00BE7D8E" w:rsidRPr="00712B66" w:rsidRDefault="00BE7D8E" w:rsidP="00BE7D8E">
            <w:pPr>
              <w:pStyle w:val="naisc"/>
              <w:spacing w:before="0" w:after="0"/>
              <w:jc w:val="both"/>
            </w:pPr>
          </w:p>
        </w:tc>
        <w:tc>
          <w:tcPr>
            <w:tcW w:w="3118" w:type="dxa"/>
            <w:tcBorders>
              <w:left w:val="single" w:sz="6" w:space="0" w:color="000000"/>
              <w:bottom w:val="single" w:sz="4" w:space="0" w:color="auto"/>
              <w:right w:val="single" w:sz="6" w:space="0" w:color="000000"/>
            </w:tcBorders>
          </w:tcPr>
          <w:p w14:paraId="3D5C7E99" w14:textId="2324619E" w:rsidR="00BE7D8E" w:rsidRPr="00B5253B" w:rsidRDefault="00BE7D8E" w:rsidP="00BE7D8E">
            <w:pPr>
              <w:pStyle w:val="BodyText"/>
              <w:rPr>
                <w:rFonts w:ascii="Times New Roman" w:hAnsi="Times New Roman"/>
                <w:sz w:val="24"/>
                <w:szCs w:val="24"/>
              </w:rPr>
            </w:pPr>
          </w:p>
        </w:tc>
        <w:tc>
          <w:tcPr>
            <w:tcW w:w="2436" w:type="dxa"/>
            <w:tcBorders>
              <w:left w:val="single" w:sz="6" w:space="0" w:color="000000"/>
              <w:bottom w:val="single" w:sz="4" w:space="0" w:color="auto"/>
              <w:right w:val="single" w:sz="6" w:space="0" w:color="000000"/>
            </w:tcBorders>
          </w:tcPr>
          <w:p w14:paraId="20719537" w14:textId="0CE40870" w:rsidR="00BE7D8E" w:rsidRPr="00542116" w:rsidRDefault="00BE7D8E" w:rsidP="00BE7D8E">
            <w:pPr>
              <w:jc w:val="both"/>
            </w:pPr>
          </w:p>
        </w:tc>
        <w:tc>
          <w:tcPr>
            <w:tcW w:w="2410" w:type="dxa"/>
            <w:tcBorders>
              <w:top w:val="single" w:sz="4" w:space="0" w:color="auto"/>
              <w:left w:val="single" w:sz="4" w:space="0" w:color="auto"/>
              <w:bottom w:val="single" w:sz="4" w:space="0" w:color="auto"/>
              <w:right w:val="single" w:sz="4" w:space="0" w:color="auto"/>
            </w:tcBorders>
          </w:tcPr>
          <w:p w14:paraId="40762C75" w14:textId="77777777" w:rsidR="00BE7D8E" w:rsidRPr="00712B66" w:rsidRDefault="00BE7D8E" w:rsidP="00BE7D8E"/>
        </w:tc>
        <w:tc>
          <w:tcPr>
            <w:tcW w:w="2409" w:type="dxa"/>
            <w:tcBorders>
              <w:top w:val="single" w:sz="4" w:space="0" w:color="auto"/>
              <w:left w:val="single" w:sz="4" w:space="0" w:color="auto"/>
              <w:bottom w:val="single" w:sz="4" w:space="0" w:color="auto"/>
            </w:tcBorders>
          </w:tcPr>
          <w:p w14:paraId="1094574E" w14:textId="77777777" w:rsidR="00BE7D8E" w:rsidRPr="00712B66" w:rsidRDefault="00BE7D8E" w:rsidP="00BE7D8E"/>
        </w:tc>
      </w:tr>
    </w:tbl>
    <w:p w14:paraId="01C6B640" w14:textId="77777777" w:rsidR="007B4C0F" w:rsidRPr="00712B66" w:rsidRDefault="007B4C0F" w:rsidP="007B4C0F">
      <w:pPr>
        <w:pStyle w:val="naisf"/>
        <w:spacing w:before="0" w:after="0"/>
        <w:ind w:firstLine="0"/>
      </w:pPr>
    </w:p>
    <w:p w14:paraId="3F4A6042"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35BA7DC" w14:textId="77777777" w:rsidR="005D67F7" w:rsidRPr="00712B66" w:rsidRDefault="005A0685" w:rsidP="005A0685">
      <w:pPr>
        <w:pStyle w:val="naisf"/>
        <w:tabs>
          <w:tab w:val="left" w:pos="13080"/>
        </w:tabs>
        <w:spacing w:before="0" w:after="0"/>
        <w:ind w:firstLine="0"/>
        <w:rPr>
          <w:b/>
        </w:rPr>
      </w:pPr>
      <w:r>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1B45A9" w:rsidRDefault="005D67F7" w:rsidP="005D67F7">
            <w:pPr>
              <w:pStyle w:val="naisf"/>
              <w:spacing w:before="0" w:after="0"/>
              <w:ind w:firstLine="0"/>
            </w:pPr>
            <w:r w:rsidRPr="001B45A9">
              <w:t>D</w:t>
            </w:r>
            <w:r w:rsidR="007B4C0F" w:rsidRPr="001B45A9">
              <w:t>atums</w:t>
            </w:r>
          </w:p>
        </w:tc>
        <w:tc>
          <w:tcPr>
            <w:tcW w:w="6237" w:type="dxa"/>
            <w:gridSpan w:val="3"/>
            <w:tcBorders>
              <w:bottom w:val="single" w:sz="4" w:space="0" w:color="auto"/>
            </w:tcBorders>
          </w:tcPr>
          <w:p w14:paraId="08A332CF" w14:textId="7D5DFE29" w:rsidR="004054F8" w:rsidRDefault="00DD3ABB" w:rsidP="00B5253B">
            <w:pPr>
              <w:pStyle w:val="NormalWeb"/>
              <w:spacing w:before="0" w:beforeAutospacing="0" w:after="0" w:afterAutospacing="0"/>
            </w:pPr>
            <w:r>
              <w:t>14</w:t>
            </w:r>
            <w:r w:rsidR="00DC562E" w:rsidRPr="001B45A9">
              <w:t>.0</w:t>
            </w:r>
            <w:r w:rsidR="001B45A9" w:rsidRPr="001B45A9">
              <w:t>5</w:t>
            </w:r>
            <w:r w:rsidR="00DC562E" w:rsidRPr="001B45A9">
              <w:t>.2019.</w:t>
            </w:r>
            <w:r w:rsidR="00150C4C">
              <w:t xml:space="preserve">; </w:t>
            </w:r>
          </w:p>
          <w:p w14:paraId="4C83A89E" w14:textId="557BD7CF" w:rsidR="00327303" w:rsidRPr="001B45A9" w:rsidRDefault="00F41110" w:rsidP="00B5253B">
            <w:pPr>
              <w:pStyle w:val="NormalWeb"/>
              <w:spacing w:before="0" w:beforeAutospacing="0" w:after="0" w:afterAutospacing="0"/>
            </w:pPr>
            <w:r>
              <w:t xml:space="preserve">15.07.2019.- </w:t>
            </w:r>
            <w:proofErr w:type="spellStart"/>
            <w:r w:rsidR="00327303">
              <w:t>S</w:t>
            </w:r>
            <w:r w:rsidR="00327303" w:rsidRPr="00327303">
              <w:t>tarpministriju</w:t>
            </w:r>
            <w:proofErr w:type="spellEnd"/>
            <w:r w:rsidR="00327303" w:rsidRPr="00327303">
              <w:t xml:space="preserve"> (starpinstitūciju) sanāksm</w:t>
            </w:r>
            <w:r w:rsidR="00327303">
              <w:t>e</w:t>
            </w:r>
          </w:p>
        </w:tc>
      </w:tr>
      <w:tr w:rsidR="003C27A2" w:rsidRPr="00712B66" w14:paraId="591312A2" w14:textId="77777777">
        <w:tc>
          <w:tcPr>
            <w:tcW w:w="6345" w:type="dxa"/>
          </w:tcPr>
          <w:p w14:paraId="01F42707"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36160E">
            <w:pPr>
              <w:pStyle w:val="NormalWeb"/>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71A1E837" w14:textId="77777777" w:rsidR="007B4C0F" w:rsidRDefault="00711FC3" w:rsidP="005A0685">
            <w:pPr>
              <w:pStyle w:val="NormalWeb"/>
              <w:spacing w:before="0" w:beforeAutospacing="0" w:after="0" w:afterAutospacing="0"/>
            </w:pPr>
            <w:r>
              <w:t>Finanšu ministrija</w:t>
            </w:r>
            <w:r w:rsidR="0045261C">
              <w:t xml:space="preserve">, Tieslietu ministrija, Pārresoru </w:t>
            </w:r>
            <w:r w:rsidR="005A0685">
              <w:t>k</w:t>
            </w:r>
            <w:r w:rsidR="0045261C">
              <w:t>oordinācijas centrs</w:t>
            </w:r>
            <w:r w:rsidR="00AD7A4D">
              <w:t>, Latvijas Brīvo arodbiedrību savienība</w:t>
            </w:r>
            <w:r w:rsidR="00247B92">
              <w:t>, Latvijas Pašvaldību savienība</w:t>
            </w:r>
          </w:p>
          <w:p w14:paraId="6C597D76" w14:textId="5241DBEC" w:rsidR="00F41110" w:rsidRPr="00712B66" w:rsidRDefault="00F41110" w:rsidP="005A0685">
            <w:pPr>
              <w:pStyle w:val="NormalWeb"/>
              <w:spacing w:before="0" w:beforeAutospacing="0" w:after="0" w:afterAutospacing="0"/>
            </w:pPr>
            <w:proofErr w:type="spellStart"/>
            <w:r>
              <w:t>S</w:t>
            </w:r>
            <w:r w:rsidRPr="00327303">
              <w:t>tarpministriju</w:t>
            </w:r>
            <w:proofErr w:type="spellEnd"/>
            <w:r w:rsidRPr="00327303">
              <w:t xml:space="preserve"> (starpinstitūciju) sanāksm</w:t>
            </w:r>
            <w:r>
              <w:t>e - Latvijas Pašvaldību savienība</w:t>
            </w:r>
          </w:p>
        </w:tc>
      </w:tr>
      <w:tr w:rsidR="000D0AED" w:rsidRPr="00712B66" w14:paraId="50E6B493" w14:textId="77777777" w:rsidTr="00BA11CD">
        <w:trPr>
          <w:trHeight w:val="285"/>
        </w:trPr>
        <w:tc>
          <w:tcPr>
            <w:tcW w:w="6345" w:type="dxa"/>
          </w:tcPr>
          <w:p w14:paraId="417EDFC4" w14:textId="77777777" w:rsidR="000D0AED" w:rsidRPr="00712B66" w:rsidRDefault="000D0AED" w:rsidP="000D0AED">
            <w:pPr>
              <w:pStyle w:val="naiskr"/>
              <w:spacing w:before="0" w:after="0"/>
            </w:pPr>
          </w:p>
        </w:tc>
        <w:tc>
          <w:tcPr>
            <w:tcW w:w="1203" w:type="dxa"/>
            <w:gridSpan w:val="2"/>
          </w:tcPr>
          <w:p w14:paraId="3B5B3EBD" w14:textId="77777777" w:rsidR="000D0AED" w:rsidRPr="00712B66" w:rsidRDefault="000D0AED" w:rsidP="0036160E">
            <w:pPr>
              <w:pStyle w:val="naiskr"/>
              <w:spacing w:before="0" w:after="0"/>
              <w:ind w:firstLine="720"/>
            </w:pPr>
          </w:p>
        </w:tc>
        <w:tc>
          <w:tcPr>
            <w:tcW w:w="5034" w:type="dxa"/>
          </w:tcPr>
          <w:p w14:paraId="3682BF03" w14:textId="77777777" w:rsidR="000D0AED" w:rsidRPr="00712B66" w:rsidRDefault="000D0AED" w:rsidP="0036160E">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36160E">
            <w:pPr>
              <w:pStyle w:val="naiskr"/>
              <w:spacing w:before="0" w:after="0"/>
              <w:ind w:firstLine="720"/>
            </w:pPr>
          </w:p>
        </w:tc>
        <w:tc>
          <w:tcPr>
            <w:tcW w:w="5034" w:type="dxa"/>
            <w:tcBorders>
              <w:bottom w:val="single" w:sz="4" w:space="0" w:color="auto"/>
            </w:tcBorders>
            <w:vAlign w:val="bottom"/>
          </w:tcPr>
          <w:p w14:paraId="213A08C2" w14:textId="77777777" w:rsidR="007B4C0F" w:rsidRDefault="00E156A1" w:rsidP="00BA11CD">
            <w:pPr>
              <w:pStyle w:val="naiskr"/>
              <w:spacing w:before="0" w:after="0"/>
              <w:ind w:firstLine="12"/>
            </w:pPr>
            <w:r>
              <w:t>Pārresoru koordinācijas centrs</w:t>
            </w:r>
            <w:r w:rsidR="00247B92">
              <w:t>, Latvijas Pašvaldību savienība</w:t>
            </w:r>
          </w:p>
          <w:p w14:paraId="19C607D3" w14:textId="4E7D4063" w:rsidR="00150C4C" w:rsidRPr="00712B66" w:rsidRDefault="00150C4C" w:rsidP="00BA11CD">
            <w:pPr>
              <w:pStyle w:val="naiskr"/>
              <w:spacing w:before="0" w:after="0"/>
              <w:ind w:firstLine="12"/>
            </w:pPr>
            <w:r>
              <w:lastRenderedPageBreak/>
              <w:t>Atkārtotā saskaņošanā - Latvijas Pašvaldību savienība</w:t>
            </w:r>
          </w:p>
        </w:tc>
      </w:tr>
      <w:tr w:rsidR="007B4C0F" w:rsidRPr="00712B66" w14:paraId="5EF82010" w14:textId="77777777">
        <w:trPr>
          <w:trHeight w:val="465"/>
        </w:trPr>
        <w:tc>
          <w:tcPr>
            <w:tcW w:w="12582" w:type="dxa"/>
            <w:gridSpan w:val="4"/>
          </w:tcPr>
          <w:p w14:paraId="36A7D08A" w14:textId="7DDCE9A0" w:rsidR="00247B92" w:rsidRDefault="00247B92" w:rsidP="00CB21E7">
            <w:pPr>
              <w:pStyle w:val="naisc"/>
              <w:spacing w:before="0" w:after="0"/>
              <w:jc w:val="left"/>
            </w:pPr>
          </w:p>
          <w:p w14:paraId="410D5E45" w14:textId="77777777" w:rsidR="00247B92" w:rsidRPr="00247B92" w:rsidRDefault="00247B92" w:rsidP="00247B92"/>
          <w:p w14:paraId="1EFB87BA" w14:textId="136B54E6" w:rsidR="001B45A9" w:rsidRDefault="00247B92" w:rsidP="00247B92">
            <w:pPr>
              <w:tabs>
                <w:tab w:val="left" w:pos="1712"/>
              </w:tabs>
            </w:pPr>
            <w:r>
              <w:tab/>
            </w:r>
          </w:p>
          <w:p w14:paraId="17A4ABEC" w14:textId="77777777" w:rsidR="007B4C0F" w:rsidRPr="001B45A9" w:rsidRDefault="007B4C0F" w:rsidP="001B45A9">
            <w:pPr>
              <w:ind w:firstLine="720"/>
            </w:pPr>
          </w:p>
        </w:tc>
      </w:tr>
      <w:tr w:rsidR="007B4C0F" w:rsidRPr="00712B66" w14:paraId="562D1170" w14:textId="77777777">
        <w:tc>
          <w:tcPr>
            <w:tcW w:w="6708" w:type="dxa"/>
            <w:gridSpan w:val="2"/>
          </w:tcPr>
          <w:p w14:paraId="6FF2EF29"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712B66" w:rsidRDefault="007B4C0F" w:rsidP="0036160E">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36160E">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36160E">
            <w:pPr>
              <w:pStyle w:val="naiskr"/>
              <w:spacing w:before="0" w:after="0"/>
              <w:ind w:firstLine="720"/>
            </w:pPr>
          </w:p>
        </w:tc>
      </w:tr>
    </w:tbl>
    <w:p w14:paraId="55D81824" w14:textId="5A3EBCEA"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DB7395">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428"/>
        <w:gridCol w:w="4394"/>
        <w:gridCol w:w="1357"/>
        <w:gridCol w:w="1337"/>
        <w:gridCol w:w="3402"/>
      </w:tblGrid>
      <w:tr w:rsidR="00134188" w:rsidRPr="00712B66" w14:paraId="7DCA43D0" w14:textId="77777777" w:rsidTr="001B45A9">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9623BC">
            <w:pPr>
              <w:pStyle w:val="naisc"/>
              <w:spacing w:before="0" w:after="0"/>
            </w:pPr>
            <w:r w:rsidRPr="00712B66">
              <w:t>Nr. p.k.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9623BC">
            <w:pPr>
              <w:jc w:val="center"/>
            </w:pPr>
            <w:r w:rsidRPr="00712B66">
              <w:t>Projekta attiecīgā punkta (panta) galīgā redakcija</w:t>
            </w:r>
          </w:p>
        </w:tc>
      </w:tr>
      <w:tr w:rsidR="00134188" w:rsidRPr="003B71E0" w14:paraId="1C06ABDC" w14:textId="77777777" w:rsidTr="001B45A9">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3B71E0">
            <w:pPr>
              <w:pStyle w:val="naisc"/>
              <w:spacing w:before="0" w:after="0"/>
              <w:rPr>
                <w:sz w:val="20"/>
                <w:szCs w:val="20"/>
              </w:rPr>
            </w:pPr>
            <w:r w:rsidRPr="003B71E0">
              <w:rPr>
                <w:sz w:val="20"/>
                <w:szCs w:val="20"/>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2694"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402" w:type="dxa"/>
            <w:tcBorders>
              <w:top w:val="single" w:sz="4" w:space="0" w:color="auto"/>
              <w:left w:val="single" w:sz="4" w:space="0" w:color="auto"/>
              <w:bottom w:val="single" w:sz="4" w:space="0" w:color="auto"/>
            </w:tcBorders>
          </w:tcPr>
          <w:p w14:paraId="1F6C625F" w14:textId="77777777" w:rsidR="00134188" w:rsidRPr="003B71E0" w:rsidRDefault="003B71E0" w:rsidP="003B71E0">
            <w:pPr>
              <w:jc w:val="center"/>
              <w:rPr>
                <w:sz w:val="20"/>
                <w:szCs w:val="20"/>
              </w:rPr>
            </w:pPr>
            <w:r w:rsidRPr="003B71E0">
              <w:rPr>
                <w:sz w:val="20"/>
                <w:szCs w:val="20"/>
              </w:rPr>
              <w:t>5</w:t>
            </w:r>
          </w:p>
        </w:tc>
      </w:tr>
      <w:tr w:rsidR="00E90B59" w:rsidRPr="003B71E0" w14:paraId="3E385DFD" w14:textId="77777777" w:rsidTr="001B45A9">
        <w:tc>
          <w:tcPr>
            <w:tcW w:w="701" w:type="dxa"/>
            <w:tcBorders>
              <w:top w:val="single" w:sz="6" w:space="0" w:color="000000"/>
              <w:left w:val="single" w:sz="6" w:space="0" w:color="000000"/>
              <w:bottom w:val="single" w:sz="6" w:space="0" w:color="000000"/>
              <w:right w:val="single" w:sz="6" w:space="0" w:color="000000"/>
            </w:tcBorders>
          </w:tcPr>
          <w:p w14:paraId="46FBC620" w14:textId="77777777" w:rsidR="00E90B59" w:rsidRPr="0062572A" w:rsidRDefault="00D740B3" w:rsidP="00E90B59">
            <w:pPr>
              <w:pStyle w:val="naisc"/>
              <w:spacing w:before="0" w:after="0"/>
            </w:pPr>
            <w:r w:rsidRPr="0062572A">
              <w:t>1.</w:t>
            </w:r>
          </w:p>
        </w:tc>
        <w:tc>
          <w:tcPr>
            <w:tcW w:w="2835" w:type="dxa"/>
            <w:gridSpan w:val="2"/>
            <w:tcBorders>
              <w:top w:val="single" w:sz="6" w:space="0" w:color="000000"/>
              <w:left w:val="single" w:sz="6" w:space="0" w:color="000000"/>
              <w:bottom w:val="single" w:sz="6" w:space="0" w:color="000000"/>
              <w:right w:val="single" w:sz="6" w:space="0" w:color="000000"/>
            </w:tcBorders>
          </w:tcPr>
          <w:p w14:paraId="43ECA419" w14:textId="3441D9DF" w:rsidR="00E90B59" w:rsidRPr="00D740B3" w:rsidRDefault="00E90B59" w:rsidP="00DC562E">
            <w:pPr>
              <w:pStyle w:val="naisc"/>
              <w:numPr>
                <w:ilvl w:val="0"/>
                <w:numId w:val="14"/>
              </w:numPr>
              <w:spacing w:before="0" w:after="0"/>
              <w:ind w:left="0" w:firstLine="0"/>
              <w:jc w:val="both"/>
            </w:pPr>
          </w:p>
        </w:tc>
        <w:tc>
          <w:tcPr>
            <w:tcW w:w="4394" w:type="dxa"/>
            <w:tcBorders>
              <w:left w:val="single" w:sz="6" w:space="0" w:color="000000"/>
              <w:bottom w:val="single" w:sz="4" w:space="0" w:color="auto"/>
              <w:right w:val="single" w:sz="6" w:space="0" w:color="000000"/>
            </w:tcBorders>
          </w:tcPr>
          <w:p w14:paraId="653463D9" w14:textId="7133CE6F" w:rsidR="00247B92" w:rsidRDefault="00247B92" w:rsidP="00247B92">
            <w:pPr>
              <w:jc w:val="both"/>
              <w:rPr>
                <w:iCs/>
              </w:rPr>
            </w:pPr>
            <w:r>
              <w:rPr>
                <w:b/>
              </w:rPr>
              <w:t>Pārresoru koordinācijas centrs.</w:t>
            </w:r>
          </w:p>
          <w:p w14:paraId="5B1C812B" w14:textId="73A65C2C" w:rsidR="00247B92" w:rsidRPr="00247B92" w:rsidRDefault="00247B92" w:rsidP="00247B92">
            <w:pPr>
              <w:jc w:val="both"/>
              <w:rPr>
                <w:iCs/>
              </w:rPr>
            </w:pPr>
            <w:r>
              <w:rPr>
                <w:iCs/>
              </w:rPr>
              <w:t xml:space="preserve">1. </w:t>
            </w:r>
            <w:r w:rsidRPr="00247B92">
              <w:rPr>
                <w:iCs/>
              </w:rPr>
              <w:t xml:space="preserve">Atbilstoši konceptuālajam ziņojumam “Par veselības aprūpes sistēmas reformu”, kas apstiprināts ar Ministru kabineta 2017.gada 7.augusta rīkojumu Nr.394 (turpmāk – ziņojums), sabiedrība ar ierobežotu atbildību “Rīgas Austrumu klīniskā universitātes slimnīca” (turpmāk – RAKUS) kopā ar vēl 5 slimnīcām (VSIA “Paula Stradiņa klīniskā universitātes slimnīca”, VSIA “Bērnu klīniskā universitātes slimnīca”, VSIA </w:t>
            </w:r>
            <w:r w:rsidRPr="00247B92">
              <w:rPr>
                <w:iCs/>
              </w:rPr>
              <w:lastRenderedPageBreak/>
              <w:t xml:space="preserve">“Traumatoloģijas un ortopēdijas slimnīca”, SIA “Rīgas Dzemdību nams”, VSIA “Nacionālais rehabilitācijas centrs “Vaivari””) ir iekļauta IV līmenī atbilstoši ziņojumā noteiktajam (19.lpp.) stacionāro ārstniecības iestāžu dalījumam pa pakalpojumu līmeņiem. Ziņojuma 103.punkts noteic, ka IV līmeņa slimnīcās tiks nodrošināta darbība 22 obligātajos profilos un atbilstoši katras slimnīcas specializācijai papildu profili (piemēram, infekciju profils, grūtniecības un dzemdību profils u.c.), kā arī IV līmeņa slimnīcās tiks nodrošināti terciārā līmeņa veselības aprūpes pakalpojumi. No šobrīd piedāvātā RAKUS vispārējā stratēģiskā mērķa formulējuma nevar skaidri izsecināt, ar kādiem papildu profiliem RAKUS atšķirsies no citām IV līmeņa slimnīcām. </w:t>
            </w:r>
          </w:p>
          <w:p w14:paraId="4D4C0409" w14:textId="21CFC951" w:rsidR="00E90B59" w:rsidRPr="00B5253B" w:rsidRDefault="00247B92" w:rsidP="00247B92">
            <w:pPr>
              <w:pStyle w:val="BodyText"/>
              <w:rPr>
                <w:rFonts w:ascii="Times New Roman" w:hAnsi="Times New Roman"/>
                <w:sz w:val="24"/>
                <w:szCs w:val="24"/>
              </w:rPr>
            </w:pPr>
            <w:r>
              <w:rPr>
                <w:rFonts w:ascii="Times New Roman" w:hAnsi="Times New Roman"/>
                <w:iCs/>
                <w:sz w:val="24"/>
                <w:szCs w:val="24"/>
              </w:rPr>
              <w:t xml:space="preserve">Ņemot vērā, ka </w:t>
            </w:r>
            <w:r w:rsidRPr="00D850C2">
              <w:rPr>
                <w:rFonts w:ascii="Times New Roman" w:hAnsi="Times New Roman"/>
                <w:iCs/>
                <w:sz w:val="24"/>
                <w:szCs w:val="24"/>
              </w:rPr>
              <w:t xml:space="preserve">vispārējais stratēģiskais mērķis iezīmē katras kapitālsabiedrības specializāciju, ar kuru tā atšķiras no citām kapitālsabiedrībām, piemēram, ar ko </w:t>
            </w:r>
            <w:r>
              <w:rPr>
                <w:rFonts w:ascii="Times New Roman" w:hAnsi="Times New Roman"/>
                <w:iCs/>
                <w:sz w:val="24"/>
                <w:szCs w:val="24"/>
              </w:rPr>
              <w:t>RAKUS</w:t>
            </w:r>
            <w:r w:rsidRPr="00D850C2">
              <w:rPr>
                <w:rFonts w:ascii="Times New Roman" w:hAnsi="Times New Roman"/>
                <w:iCs/>
                <w:sz w:val="24"/>
                <w:szCs w:val="24"/>
              </w:rPr>
              <w:t xml:space="preserve"> atšķiras no citām </w:t>
            </w:r>
            <w:r>
              <w:rPr>
                <w:rFonts w:ascii="Times New Roman" w:hAnsi="Times New Roman"/>
                <w:iCs/>
                <w:sz w:val="24"/>
                <w:szCs w:val="24"/>
              </w:rPr>
              <w:t>IV līmeņa slimnīcām, lūdzam anotācijā pievienot papildu informāciju par RAKUS specializāciju, kā arī akcentēt šo specializāciju RAKUS vispārējā stratēģiskajā mērķī.</w:t>
            </w:r>
          </w:p>
        </w:tc>
        <w:tc>
          <w:tcPr>
            <w:tcW w:w="2694" w:type="dxa"/>
            <w:gridSpan w:val="2"/>
            <w:tcBorders>
              <w:top w:val="single" w:sz="6" w:space="0" w:color="000000"/>
              <w:left w:val="single" w:sz="6" w:space="0" w:color="000000"/>
              <w:bottom w:val="single" w:sz="6" w:space="0" w:color="000000"/>
              <w:right w:val="single" w:sz="6" w:space="0" w:color="000000"/>
            </w:tcBorders>
          </w:tcPr>
          <w:p w14:paraId="7843A1EF" w14:textId="77777777" w:rsidR="00E90B59" w:rsidRPr="00D740B3" w:rsidRDefault="00D740B3" w:rsidP="00D740B3">
            <w:pPr>
              <w:pStyle w:val="naisc"/>
              <w:spacing w:before="0" w:after="0"/>
              <w:jc w:val="both"/>
              <w:rPr>
                <w:b/>
              </w:rPr>
            </w:pPr>
            <w:r w:rsidRPr="00D740B3">
              <w:rPr>
                <w:b/>
              </w:rPr>
              <w:lastRenderedPageBreak/>
              <w:t>Ņemts vērā.</w:t>
            </w:r>
          </w:p>
          <w:p w14:paraId="5DBD7108" w14:textId="77777777" w:rsidR="002E16EE" w:rsidRDefault="001B45A9" w:rsidP="00D740B3">
            <w:pPr>
              <w:pStyle w:val="naisc"/>
              <w:spacing w:before="0" w:after="0"/>
              <w:jc w:val="both"/>
            </w:pPr>
            <w:r>
              <w:t>Skatīt papildinātu Anotāciju.</w:t>
            </w:r>
          </w:p>
          <w:p w14:paraId="363BE37A" w14:textId="19761C3B" w:rsidR="004C05DB" w:rsidRPr="004C05DB" w:rsidRDefault="004C05DB" w:rsidP="00D740B3">
            <w:pPr>
              <w:pStyle w:val="naisc"/>
              <w:spacing w:before="0" w:after="0"/>
              <w:jc w:val="both"/>
            </w:pPr>
            <w:r>
              <w:rPr>
                <w:color w:val="000000"/>
                <w:shd w:val="clear" w:color="auto" w:fill="FFFFFF"/>
              </w:rPr>
              <w:t>Veselības ministrija, a</w:t>
            </w:r>
            <w:r w:rsidRPr="004C05DB">
              <w:rPr>
                <w:color w:val="000000"/>
                <w:shd w:val="clear" w:color="auto" w:fill="FFFFFF"/>
              </w:rPr>
              <w:t xml:space="preserve">tbildot uz PKC iebildumu par vispārējā stratēģiskā mērķa formulējumu, informē, ka vienāda līmeņa slimnīcām ir nosakāmi vienādi vispārējie stratēģiskie mērķi </w:t>
            </w:r>
            <w:r w:rsidRPr="004C05DB">
              <w:rPr>
                <w:color w:val="000000"/>
                <w:shd w:val="clear" w:color="auto" w:fill="FFFFFF"/>
              </w:rPr>
              <w:lastRenderedPageBreak/>
              <w:t xml:space="preserve">saskaņā ar veselības aprūpes nozares stratēģiju, savukārt katras ārstniecības iestādes specifiski attīstāmās lietas norādāmas caur </w:t>
            </w:r>
            <w:proofErr w:type="spellStart"/>
            <w:r w:rsidRPr="004C05DB">
              <w:rPr>
                <w:color w:val="000000"/>
                <w:shd w:val="clear" w:color="auto" w:fill="FFFFFF"/>
              </w:rPr>
              <w:t>nefinanšu</w:t>
            </w:r>
            <w:proofErr w:type="spellEnd"/>
            <w:r w:rsidRPr="004C05DB">
              <w:rPr>
                <w:color w:val="000000"/>
                <w:shd w:val="clear" w:color="auto" w:fill="FFFFFF"/>
              </w:rPr>
              <w:t xml:space="preserve"> mērķiem, tai skaitā ārstniecības pakalpojumu attīstības virzieni.</w:t>
            </w:r>
          </w:p>
        </w:tc>
        <w:tc>
          <w:tcPr>
            <w:tcW w:w="3402" w:type="dxa"/>
            <w:tcBorders>
              <w:top w:val="single" w:sz="4" w:space="0" w:color="auto"/>
              <w:left w:val="single" w:sz="4" w:space="0" w:color="auto"/>
              <w:bottom w:val="single" w:sz="4" w:space="0" w:color="auto"/>
            </w:tcBorders>
          </w:tcPr>
          <w:p w14:paraId="009642DF" w14:textId="77777777" w:rsidR="001B45A9" w:rsidRDefault="001B45A9" w:rsidP="001B45A9">
            <w:pPr>
              <w:jc w:val="both"/>
            </w:pPr>
          </w:p>
          <w:p w14:paraId="54254349" w14:textId="2AE7257F" w:rsidR="001B45A9" w:rsidRDefault="001B45A9" w:rsidP="001B45A9">
            <w:pPr>
              <w:jc w:val="both"/>
            </w:pPr>
            <w:r>
              <w:t xml:space="preserve">Kapitālsabiedrība ir daudzprofilu slimnīca, kas darbojas atbilstoši ārstniecības likuma 54. pantam par Universitātes slimnīcu. Savā darbībā tā sniedz sekundāros un terciāros veselības aprūpes pakalpojumus, piedalās bakalaura, maģistra, rezidentu un doktora studiju un rezidentūras programmas īstenošanā, veic zinātnisko un pētniecisko darbu </w:t>
            </w:r>
            <w:r>
              <w:lastRenderedPageBreak/>
              <w:t>ārstniecības jomā un veicina jaunu ārstniecības metožu un medicīnas tehnoloģiju ieviešanu.</w:t>
            </w:r>
          </w:p>
          <w:p w14:paraId="349328DA" w14:textId="77777777" w:rsidR="001B45A9" w:rsidRDefault="001B45A9" w:rsidP="001B45A9">
            <w:pPr>
              <w:jc w:val="both"/>
            </w:pPr>
            <w:r>
              <w:t>Šobrīd kapitālsabiedrībā darbojas valstiski svarīgi medicīnas aprūpes centri, lielākā daļa no tiem ir vienīgie valstī:</w:t>
            </w:r>
          </w:p>
          <w:p w14:paraId="0C930B2A" w14:textId="77777777" w:rsidR="001B45A9" w:rsidRDefault="001B45A9" w:rsidP="001B45A9">
            <w:pPr>
              <w:jc w:val="both"/>
            </w:pPr>
            <w:r>
              <w:t>1.</w:t>
            </w:r>
            <w:r>
              <w:tab/>
              <w:t>Neatliekamās medicīnas centrs;</w:t>
            </w:r>
          </w:p>
          <w:p w14:paraId="0020072E" w14:textId="77777777" w:rsidR="001B45A9" w:rsidRDefault="001B45A9" w:rsidP="001B45A9">
            <w:pPr>
              <w:jc w:val="both"/>
            </w:pPr>
            <w:r>
              <w:t>2.</w:t>
            </w:r>
            <w:r>
              <w:tab/>
              <w:t>Latvijas Onkoloģijas centrs;</w:t>
            </w:r>
          </w:p>
          <w:p w14:paraId="67C016AC" w14:textId="77777777" w:rsidR="001B45A9" w:rsidRDefault="001B45A9" w:rsidP="001B45A9">
            <w:pPr>
              <w:jc w:val="both"/>
            </w:pPr>
            <w:r>
              <w:t>3.</w:t>
            </w:r>
            <w:r>
              <w:tab/>
              <w:t>Patoloģijas centrs;</w:t>
            </w:r>
          </w:p>
          <w:p w14:paraId="4F32AFB5" w14:textId="77777777" w:rsidR="001B45A9" w:rsidRDefault="001B45A9" w:rsidP="001B45A9">
            <w:pPr>
              <w:jc w:val="both"/>
            </w:pPr>
            <w:r>
              <w:t>4.</w:t>
            </w:r>
            <w:r>
              <w:tab/>
              <w:t>Terapeitiskās radioloģijas un nukleārās medicīnas klīnika;</w:t>
            </w:r>
          </w:p>
          <w:p w14:paraId="668B9834" w14:textId="77777777" w:rsidR="001B45A9" w:rsidRDefault="001B45A9" w:rsidP="001B45A9">
            <w:pPr>
              <w:jc w:val="both"/>
            </w:pPr>
            <w:r>
              <w:t>5.</w:t>
            </w:r>
            <w:r>
              <w:tab/>
              <w:t>Latvijas Infektoloģijas centrs;</w:t>
            </w:r>
          </w:p>
          <w:p w14:paraId="145B00D9" w14:textId="736522B0" w:rsidR="001B45A9" w:rsidRDefault="001B45A9" w:rsidP="001B45A9">
            <w:pPr>
              <w:jc w:val="both"/>
            </w:pPr>
            <w:r>
              <w:t>6.</w:t>
            </w:r>
            <w:r>
              <w:tab/>
              <w:t xml:space="preserve">Tuberkulozes un plaušu slimību centrs (t.sk. PVO sadarbības centrs </w:t>
            </w:r>
            <w:proofErr w:type="spellStart"/>
            <w:r>
              <w:t>multirezistentas</w:t>
            </w:r>
            <w:proofErr w:type="spellEnd"/>
            <w:r>
              <w:t xml:space="preserve"> tuberkulozes ārstēšanas pētniecībā un izglītībā);</w:t>
            </w:r>
          </w:p>
          <w:p w14:paraId="023C4546" w14:textId="77777777" w:rsidR="001B45A9" w:rsidRDefault="001B45A9" w:rsidP="001B45A9">
            <w:pPr>
              <w:jc w:val="both"/>
            </w:pPr>
            <w:r>
              <w:t>7.</w:t>
            </w:r>
            <w:r>
              <w:tab/>
              <w:t>Valsts Apdegumu centrs;</w:t>
            </w:r>
          </w:p>
          <w:p w14:paraId="5D3A49FF" w14:textId="77777777" w:rsidR="001B45A9" w:rsidRDefault="001B45A9" w:rsidP="001B45A9">
            <w:pPr>
              <w:jc w:val="both"/>
            </w:pPr>
            <w:r>
              <w:t>8.</w:t>
            </w:r>
            <w:r>
              <w:tab/>
              <w:t>Gerontoloģijas centrs;</w:t>
            </w:r>
          </w:p>
          <w:p w14:paraId="2035A4FE" w14:textId="77777777" w:rsidR="001B45A9" w:rsidRDefault="001B45A9" w:rsidP="001B45A9">
            <w:pPr>
              <w:jc w:val="both"/>
            </w:pPr>
            <w:r>
              <w:t>9.</w:t>
            </w:r>
            <w:r>
              <w:tab/>
              <w:t>Latvijas Bērnu dzirdes centrs;</w:t>
            </w:r>
          </w:p>
          <w:p w14:paraId="4507573A" w14:textId="77777777" w:rsidR="001B45A9" w:rsidRDefault="001B45A9" w:rsidP="001B45A9">
            <w:pPr>
              <w:jc w:val="both"/>
            </w:pPr>
            <w:r>
              <w:t>10.</w:t>
            </w:r>
            <w:r>
              <w:tab/>
              <w:t xml:space="preserve">Toksikoloģijas un sepses klīnika nodrošina augsti kvalificētu un specializētu ārstniecību akūtiem toksikoloģiskajiem un sepses pacientiem (vienīgā šāda veida </w:t>
            </w:r>
            <w:r>
              <w:lastRenderedPageBreak/>
              <w:t xml:space="preserve">klīniskā struktūrvienība valstī) ar sastāvā esošo </w:t>
            </w:r>
            <w:proofErr w:type="spellStart"/>
            <w:r>
              <w:t>hiperbārās</w:t>
            </w:r>
            <w:proofErr w:type="spellEnd"/>
            <w:r>
              <w:t xml:space="preserve"> </w:t>
            </w:r>
            <w:proofErr w:type="spellStart"/>
            <w:r>
              <w:t>oksigenācijas</w:t>
            </w:r>
            <w:proofErr w:type="spellEnd"/>
            <w:r>
              <w:t xml:space="preserve"> kabinetu un saindēšanās informācijas centru;</w:t>
            </w:r>
          </w:p>
          <w:p w14:paraId="45AA1354" w14:textId="77777777" w:rsidR="001B45A9" w:rsidRDefault="001B45A9" w:rsidP="001B45A9">
            <w:pPr>
              <w:jc w:val="both"/>
            </w:pPr>
            <w:r>
              <w:t>11.</w:t>
            </w:r>
            <w:r>
              <w:tab/>
              <w:t>Ķirurģiskās infekcijas (strutainās ķirurģijas) klīnika;</w:t>
            </w:r>
          </w:p>
          <w:p w14:paraId="28B44D64" w14:textId="77777777" w:rsidR="001B45A9" w:rsidRDefault="001B45A9" w:rsidP="001B45A9">
            <w:pPr>
              <w:jc w:val="both"/>
            </w:pPr>
            <w:r>
              <w:t>12.</w:t>
            </w:r>
            <w:r>
              <w:tab/>
              <w:t xml:space="preserve">Latvijas plastiskās, </w:t>
            </w:r>
            <w:proofErr w:type="spellStart"/>
            <w:r>
              <w:t>rekonstruktīvās</w:t>
            </w:r>
            <w:proofErr w:type="spellEnd"/>
            <w:r>
              <w:t xml:space="preserve"> un mikroķirurģijas centrs;</w:t>
            </w:r>
          </w:p>
          <w:p w14:paraId="2809C0EF" w14:textId="77777777" w:rsidR="001B45A9" w:rsidRDefault="001B45A9" w:rsidP="001B45A9">
            <w:pPr>
              <w:jc w:val="both"/>
            </w:pPr>
            <w:r>
              <w:t>13.</w:t>
            </w:r>
            <w:r>
              <w:tab/>
              <w:t xml:space="preserve">Ķīmijterapijas un hematoloģijas klīnika (hemostāzes un </w:t>
            </w:r>
            <w:proofErr w:type="spellStart"/>
            <w:r>
              <w:t>koaguloģijas</w:t>
            </w:r>
            <w:proofErr w:type="spellEnd"/>
            <w:r>
              <w:t xml:space="preserve"> centrs);</w:t>
            </w:r>
          </w:p>
          <w:p w14:paraId="193B4EDE" w14:textId="77777777" w:rsidR="001B45A9" w:rsidRDefault="001B45A9" w:rsidP="001B45A9">
            <w:pPr>
              <w:jc w:val="both"/>
            </w:pPr>
            <w:r>
              <w:t>14.</w:t>
            </w:r>
            <w:r>
              <w:tab/>
            </w:r>
            <w:proofErr w:type="spellStart"/>
            <w:r>
              <w:t>Politraumu</w:t>
            </w:r>
            <w:proofErr w:type="spellEnd"/>
            <w:r>
              <w:t xml:space="preserve"> centrs;</w:t>
            </w:r>
          </w:p>
          <w:p w14:paraId="134D5D6A" w14:textId="77777777" w:rsidR="001B45A9" w:rsidRDefault="001B45A9" w:rsidP="001B45A9">
            <w:pPr>
              <w:jc w:val="both"/>
            </w:pPr>
            <w:r>
              <w:t>15.</w:t>
            </w:r>
            <w:r>
              <w:tab/>
              <w:t>Nacionālā references laboratorija;</w:t>
            </w:r>
          </w:p>
          <w:p w14:paraId="1A0558EB" w14:textId="77777777" w:rsidR="001B45A9" w:rsidRDefault="001B45A9" w:rsidP="001B45A9">
            <w:pPr>
              <w:jc w:val="both"/>
            </w:pPr>
            <w:r>
              <w:t>16.</w:t>
            </w:r>
            <w:r>
              <w:tab/>
              <w:t>Insulta vienība;</w:t>
            </w:r>
          </w:p>
          <w:p w14:paraId="5A30E5B1" w14:textId="77777777" w:rsidR="001B45A9" w:rsidRDefault="001B45A9" w:rsidP="001B45A9">
            <w:pPr>
              <w:jc w:val="both"/>
            </w:pPr>
            <w:r>
              <w:t>17.</w:t>
            </w:r>
            <w:r>
              <w:tab/>
            </w:r>
            <w:proofErr w:type="spellStart"/>
            <w:r>
              <w:t>Radioloģiskās</w:t>
            </w:r>
            <w:proofErr w:type="spellEnd"/>
            <w:r>
              <w:t xml:space="preserve"> diagnostikas centrs;</w:t>
            </w:r>
          </w:p>
          <w:p w14:paraId="20E8AB97" w14:textId="77777777" w:rsidR="001B45A9" w:rsidRDefault="001B45A9" w:rsidP="001B45A9">
            <w:pPr>
              <w:jc w:val="both"/>
            </w:pPr>
            <w:r>
              <w:t>18.</w:t>
            </w:r>
            <w:r>
              <w:tab/>
            </w:r>
            <w:proofErr w:type="spellStart"/>
            <w:r>
              <w:t>Torakālās</w:t>
            </w:r>
            <w:proofErr w:type="spellEnd"/>
            <w:r>
              <w:t xml:space="preserve"> ķirurģijas un </w:t>
            </w:r>
            <w:proofErr w:type="spellStart"/>
            <w:r>
              <w:t>invazīvās</w:t>
            </w:r>
            <w:proofErr w:type="spellEnd"/>
            <w:r>
              <w:t xml:space="preserve"> </w:t>
            </w:r>
            <w:proofErr w:type="spellStart"/>
            <w:r>
              <w:t>pneimonoloģijas</w:t>
            </w:r>
            <w:proofErr w:type="spellEnd"/>
            <w:r>
              <w:t xml:space="preserve"> klīnika;</w:t>
            </w:r>
          </w:p>
          <w:p w14:paraId="190B961A" w14:textId="77777777" w:rsidR="001B45A9" w:rsidRDefault="001B45A9" w:rsidP="001B45A9">
            <w:pPr>
              <w:jc w:val="both"/>
            </w:pPr>
            <w:r>
              <w:t>19.</w:t>
            </w:r>
            <w:r>
              <w:tab/>
            </w:r>
            <w:proofErr w:type="spellStart"/>
            <w:r>
              <w:t>Kolposkopijas</w:t>
            </w:r>
            <w:proofErr w:type="spellEnd"/>
            <w:r>
              <w:t xml:space="preserve"> references centrs (tas RAKUS gan nav definēts kā vienība, bet tas ir viens no trīs centriem Latvija, vēl ir Liepājā un Daugavpilī);</w:t>
            </w:r>
          </w:p>
          <w:p w14:paraId="6C8A198B" w14:textId="77777777" w:rsidR="001B45A9" w:rsidRDefault="001B45A9" w:rsidP="001B45A9">
            <w:pPr>
              <w:jc w:val="both"/>
            </w:pPr>
            <w:r>
              <w:t>20.</w:t>
            </w:r>
            <w:r>
              <w:tab/>
              <w:t>Krūts centrs;</w:t>
            </w:r>
          </w:p>
          <w:p w14:paraId="0902C8E2" w14:textId="77777777" w:rsidR="001B45A9" w:rsidRDefault="001B45A9" w:rsidP="001B45A9">
            <w:pPr>
              <w:jc w:val="both"/>
            </w:pPr>
            <w:r>
              <w:t>21.</w:t>
            </w:r>
            <w:r>
              <w:tab/>
            </w:r>
            <w:proofErr w:type="spellStart"/>
            <w:r>
              <w:t>Hepato-pankreato-biliārās</w:t>
            </w:r>
            <w:proofErr w:type="spellEnd"/>
            <w:r>
              <w:t xml:space="preserve"> ķirurģijas vienība.</w:t>
            </w:r>
          </w:p>
          <w:p w14:paraId="4AE1426B" w14:textId="77777777" w:rsidR="001B45A9" w:rsidRDefault="001B45A9" w:rsidP="001B45A9">
            <w:pPr>
              <w:jc w:val="both"/>
            </w:pPr>
            <w:r>
              <w:t xml:space="preserve">Savu medicīnisko un zinātnisko potenciālu kapitālsabiedrība </w:t>
            </w:r>
            <w:r>
              <w:lastRenderedPageBreak/>
              <w:t>realizē un nākotnē ir spējīga nodrošināt sekojošos uzdevumos:</w:t>
            </w:r>
          </w:p>
          <w:p w14:paraId="3EBDE52D" w14:textId="77777777" w:rsidR="001B45A9" w:rsidRDefault="001B45A9" w:rsidP="001B45A9">
            <w:pPr>
              <w:jc w:val="both"/>
            </w:pPr>
            <w:r>
              <w:t>1.</w:t>
            </w:r>
            <w:r>
              <w:tab/>
              <w:t>Augsti kvalificētas daudzprofilu neatliekamās medicīniskās palīdzības sniegšana t.sk. arī militārajā medicīnā. Jau šobrīd notiek aktīva sadarbība ar Latvijas armiju un Latvijā izvietotiem ārvalstu NATO spēkiem.</w:t>
            </w:r>
          </w:p>
          <w:p w14:paraId="160DD52E" w14:textId="77777777" w:rsidR="001B45A9" w:rsidRDefault="001B45A9" w:rsidP="001B45A9">
            <w:pPr>
              <w:jc w:val="both"/>
            </w:pPr>
            <w:r>
              <w:t>2.</w:t>
            </w:r>
            <w:r>
              <w:tab/>
              <w:t>Augsta līmeņa, plaša profila veselības aprūpes pakalpojumu sniegšana terciārā aprūpē (specializētās klīnikās), dienas stacionāros un īpaši perspektīvi - ambulatorajās nodaļās.</w:t>
            </w:r>
          </w:p>
          <w:p w14:paraId="2BB7F36B" w14:textId="77777777" w:rsidR="001B45A9" w:rsidRDefault="001B45A9" w:rsidP="001B45A9">
            <w:pPr>
              <w:jc w:val="both"/>
            </w:pPr>
            <w:r>
              <w:t>3.</w:t>
            </w:r>
            <w:r>
              <w:tab/>
              <w:t>Sistemātiska, plānveidīga jauno tehnoloģiju lietojuma precīza izstrāde, ieviešana praksē, pilnvērtīga noslogošana un profesionāla izmantošana.</w:t>
            </w:r>
          </w:p>
          <w:p w14:paraId="4B022211" w14:textId="7D0CE975" w:rsidR="001B45A9" w:rsidRDefault="001B45A9" w:rsidP="001B45A9">
            <w:pPr>
              <w:jc w:val="both"/>
            </w:pPr>
            <w:r>
              <w:t>4.</w:t>
            </w:r>
            <w:r>
              <w:tab/>
              <w:t>Aktīv</w:t>
            </w:r>
            <w:r w:rsidR="00F129CE">
              <w:t>ā</w:t>
            </w:r>
            <w:r>
              <w:t xml:space="preserve"> sadarbīb</w:t>
            </w:r>
            <w:r w:rsidR="00F129CE">
              <w:t>ā</w:t>
            </w:r>
            <w:r>
              <w:t xml:space="preserve"> ar medicīnas izglītības iestādēm (uz līgumu pamata). </w:t>
            </w:r>
          </w:p>
          <w:p w14:paraId="2BE1C9FB" w14:textId="77777777" w:rsidR="001B45A9" w:rsidRDefault="001B45A9" w:rsidP="001B45A9">
            <w:pPr>
              <w:jc w:val="both"/>
            </w:pPr>
            <w:r>
              <w:t>5.</w:t>
            </w:r>
            <w:r>
              <w:tab/>
              <w:t>Sadarbībā ar citām zinātniskajām institūcijām t.sk. ar medicīnas augstskolām.</w:t>
            </w:r>
          </w:p>
          <w:p w14:paraId="100E79EE" w14:textId="77777777" w:rsidR="001B45A9" w:rsidRDefault="001B45A9" w:rsidP="001B45A9">
            <w:pPr>
              <w:jc w:val="both"/>
            </w:pPr>
            <w:r>
              <w:t>6.</w:t>
            </w:r>
            <w:r>
              <w:tab/>
              <w:t xml:space="preserve">Turpināt darbību klīniski orientētos zinātniskajos </w:t>
            </w:r>
            <w:r>
              <w:lastRenderedPageBreak/>
              <w:t>pētījumos gan Latvijā, gan ārpus tās.</w:t>
            </w:r>
          </w:p>
          <w:p w14:paraId="1668477A" w14:textId="77777777" w:rsidR="001B45A9" w:rsidRDefault="001B45A9" w:rsidP="001B45A9">
            <w:pPr>
              <w:jc w:val="both"/>
            </w:pPr>
            <w:r>
              <w:t>7.</w:t>
            </w:r>
            <w:r>
              <w:tab/>
              <w:t xml:space="preserve">Atbalsts </w:t>
            </w:r>
            <w:proofErr w:type="spellStart"/>
            <w:r>
              <w:t>pirmsdiploma</w:t>
            </w:r>
            <w:proofErr w:type="spellEnd"/>
            <w:r>
              <w:t>, rezidentu un doktorantu zinātniski-pētniecisko darbu izstrādāšanā.</w:t>
            </w:r>
          </w:p>
          <w:p w14:paraId="398AC6A6" w14:textId="1CE48806" w:rsidR="001B45A9" w:rsidRDefault="001B45A9" w:rsidP="001B45A9">
            <w:pPr>
              <w:jc w:val="both"/>
            </w:pPr>
            <w:r>
              <w:t>8.</w:t>
            </w:r>
            <w:r>
              <w:tab/>
              <w:t>Nākotnē būtu izveidojami</w:t>
            </w:r>
            <w:r w:rsidR="00F129CE">
              <w:t xml:space="preserve"> šādi centri</w:t>
            </w:r>
            <w:r>
              <w:t xml:space="preserve"> (liela daļa no centriem jau ir attīstības stadijā):</w:t>
            </w:r>
          </w:p>
          <w:p w14:paraId="1BF3920B" w14:textId="77777777" w:rsidR="001B45A9" w:rsidRDefault="001B45A9" w:rsidP="001B45A9">
            <w:pPr>
              <w:jc w:val="both"/>
            </w:pPr>
            <w:r>
              <w:t>a.</w:t>
            </w:r>
            <w:r>
              <w:tab/>
            </w:r>
            <w:proofErr w:type="spellStart"/>
            <w:r>
              <w:t>Metabolo</w:t>
            </w:r>
            <w:proofErr w:type="spellEnd"/>
            <w:r>
              <w:t xml:space="preserve"> slimību un cukura diabēta aprūpes un apmācības centrs;</w:t>
            </w:r>
          </w:p>
          <w:p w14:paraId="6A366B43" w14:textId="77777777" w:rsidR="001B45A9" w:rsidRDefault="001B45A9" w:rsidP="001B45A9">
            <w:pPr>
              <w:jc w:val="both"/>
            </w:pPr>
            <w:r>
              <w:t>b.</w:t>
            </w:r>
            <w:r>
              <w:tab/>
              <w:t>Izsētās sklerozes centrs;</w:t>
            </w:r>
          </w:p>
          <w:p w14:paraId="44BDDD2E" w14:textId="77777777" w:rsidR="001B45A9" w:rsidRDefault="001B45A9" w:rsidP="001B45A9">
            <w:pPr>
              <w:jc w:val="both"/>
            </w:pPr>
            <w:r>
              <w:t>c.</w:t>
            </w:r>
            <w:r>
              <w:tab/>
            </w:r>
            <w:proofErr w:type="spellStart"/>
            <w:r>
              <w:t>Invazīvās</w:t>
            </w:r>
            <w:proofErr w:type="spellEnd"/>
            <w:r>
              <w:t xml:space="preserve"> kardioloģijas un aritmoloģijas centrs;</w:t>
            </w:r>
          </w:p>
          <w:p w14:paraId="42DB0082" w14:textId="77777777" w:rsidR="001B45A9" w:rsidRDefault="001B45A9" w:rsidP="001B45A9">
            <w:pPr>
              <w:jc w:val="both"/>
            </w:pPr>
            <w:r>
              <w:t>d.</w:t>
            </w:r>
            <w:r>
              <w:tab/>
            </w:r>
            <w:proofErr w:type="spellStart"/>
            <w:r>
              <w:t>Neiro</w:t>
            </w:r>
            <w:proofErr w:type="spellEnd"/>
            <w:r>
              <w:t xml:space="preserve"> endokrīno audzēju vienība (praktiski darbojas);</w:t>
            </w:r>
          </w:p>
          <w:p w14:paraId="66AF4A0D" w14:textId="77777777" w:rsidR="001B45A9" w:rsidRDefault="001B45A9" w:rsidP="001B45A9">
            <w:pPr>
              <w:jc w:val="both"/>
            </w:pPr>
            <w:r>
              <w:t>e.</w:t>
            </w:r>
            <w:r>
              <w:tab/>
            </w:r>
            <w:proofErr w:type="spellStart"/>
            <w:r>
              <w:t>Torokālās</w:t>
            </w:r>
            <w:proofErr w:type="spellEnd"/>
            <w:r>
              <w:t xml:space="preserve"> ķirurģijas centrs;</w:t>
            </w:r>
          </w:p>
          <w:p w14:paraId="6DB8B1DB" w14:textId="77777777" w:rsidR="001B45A9" w:rsidRDefault="001B45A9" w:rsidP="001B45A9">
            <w:pPr>
              <w:jc w:val="both"/>
            </w:pPr>
            <w:r>
              <w:t>f.</w:t>
            </w:r>
            <w:r>
              <w:tab/>
              <w:t>Agrīnās kognitīvo traucējumu centrs;</w:t>
            </w:r>
          </w:p>
          <w:p w14:paraId="618C164B" w14:textId="77777777" w:rsidR="001B45A9" w:rsidRDefault="001B45A9" w:rsidP="001B45A9">
            <w:pPr>
              <w:jc w:val="both"/>
            </w:pPr>
            <w:r>
              <w:t>g.</w:t>
            </w:r>
            <w:r>
              <w:tab/>
              <w:t>Rokas terapijas centrs;</w:t>
            </w:r>
          </w:p>
          <w:p w14:paraId="56401F46" w14:textId="77777777" w:rsidR="001B45A9" w:rsidRDefault="001B45A9" w:rsidP="001B45A9">
            <w:pPr>
              <w:jc w:val="both"/>
            </w:pPr>
            <w:r>
              <w:t>h.</w:t>
            </w:r>
            <w:r>
              <w:tab/>
              <w:t>Onkoloģiskās rehabilitācijas centrs;</w:t>
            </w:r>
          </w:p>
          <w:p w14:paraId="74FCAD13" w14:textId="77777777" w:rsidR="001B45A9" w:rsidRDefault="001B45A9" w:rsidP="001B45A9">
            <w:pPr>
              <w:jc w:val="both"/>
            </w:pPr>
            <w:r>
              <w:t>i.</w:t>
            </w:r>
            <w:r>
              <w:tab/>
              <w:t>Reto slimību koordinācijas centrs;</w:t>
            </w:r>
          </w:p>
          <w:p w14:paraId="1C889A48" w14:textId="77777777" w:rsidR="001B45A9" w:rsidRDefault="001B45A9" w:rsidP="001B45A9">
            <w:pPr>
              <w:jc w:val="both"/>
            </w:pPr>
            <w:r>
              <w:t>j.</w:t>
            </w:r>
            <w:r>
              <w:tab/>
              <w:t>Ambulatorās ķirurģijas centrs.</w:t>
            </w:r>
          </w:p>
          <w:p w14:paraId="3F9370AE" w14:textId="77777777" w:rsidR="001B45A9" w:rsidRDefault="001B45A9" w:rsidP="001B45A9">
            <w:pPr>
              <w:jc w:val="both"/>
            </w:pPr>
            <w:r>
              <w:t xml:space="preserve">Kapitālsabiedrības pacientu plūsma un speciālistu kompetences ļauj realizēt izglītības un pētniecības </w:t>
            </w:r>
            <w:r>
              <w:lastRenderedPageBreak/>
              <w:t xml:space="preserve">aktivitātes atbilstoši kapitālsabiedrības specializācijas jomām un pacientu plūsmai. Jo īpaši tas attiecināms uz tādām nozarēm, kā onkoloģija un </w:t>
            </w:r>
            <w:proofErr w:type="spellStart"/>
            <w:r>
              <w:t>onkohematoloģija</w:t>
            </w:r>
            <w:proofErr w:type="spellEnd"/>
            <w:r>
              <w:t>, infekciju slimības, t.sk. tuberkuloze un HIV, neatliekamā medicīna, t.sk. sepse, kā arī apdegumu un brūču ārstēšana.</w:t>
            </w:r>
          </w:p>
          <w:p w14:paraId="3292A107" w14:textId="1656A9B7" w:rsidR="00E90B59" w:rsidRPr="00D740B3" w:rsidRDefault="001B45A9" w:rsidP="001B45A9">
            <w:pPr>
              <w:jc w:val="both"/>
            </w:pPr>
            <w:r>
              <w:t xml:space="preserve">Kapitālsabiedrība ir reģistrēta Izglītības un zinātnes ministrijas uzturētajā Zinātnisko institūciju reģistrā, tai ir izstrādāta Zinātniskā darba attīstības stratēģija laika posmam līdz 2020. gadam. Atbilstoši iepriekšējā (2012.gada) zinātnes vērtējumā saņemtajam starptautisko ekspertu ziņojumam, kapitālsabiedrības valde atbalstījusi ciešāku sadarbību ar augstskolām un citām pētniecības organizācijām, tai skaitā iekšējos normatīvajos aktos (Nolikums) paredzot finansējuma piesaisti no šīm organizācijām projektiem, kas tiek realizēti uz kapitālsabiedrības bāzes. Ar kapitālsabiedrības vadošo pētnieku būtisku iesaisti uz </w:t>
            </w:r>
            <w:r>
              <w:lastRenderedPageBreak/>
              <w:t>kapitālsabiedrības bāzes izveidots Latvijas Universitātes Klīniskās un profilaktiskās medicīnas institūts. Ar minētā institūta iesaisti plānots piesaistīt papildus Latvijas un Eiropas projektu līdzekļus uz kapitālsabiedrības bāzes realizētiem pētījumiem.</w:t>
            </w:r>
          </w:p>
        </w:tc>
      </w:tr>
      <w:tr w:rsidR="0062572A" w:rsidRPr="00376117" w14:paraId="75255BCA" w14:textId="77777777" w:rsidTr="001B45A9">
        <w:tc>
          <w:tcPr>
            <w:tcW w:w="701" w:type="dxa"/>
            <w:tcBorders>
              <w:top w:val="single" w:sz="6" w:space="0" w:color="000000"/>
              <w:left w:val="single" w:sz="6" w:space="0" w:color="000000"/>
              <w:bottom w:val="single" w:sz="6" w:space="0" w:color="000000"/>
              <w:right w:val="single" w:sz="6" w:space="0" w:color="000000"/>
            </w:tcBorders>
          </w:tcPr>
          <w:p w14:paraId="137A8197" w14:textId="623171E5" w:rsidR="0062572A" w:rsidRPr="0062572A" w:rsidRDefault="00247B92" w:rsidP="00E90B59">
            <w:pPr>
              <w:pStyle w:val="naisc"/>
              <w:spacing w:before="0" w:after="0"/>
            </w:pPr>
            <w:r>
              <w:lastRenderedPageBreak/>
              <w:t>2.</w:t>
            </w:r>
          </w:p>
        </w:tc>
        <w:tc>
          <w:tcPr>
            <w:tcW w:w="2835" w:type="dxa"/>
            <w:gridSpan w:val="2"/>
            <w:tcBorders>
              <w:top w:val="single" w:sz="6" w:space="0" w:color="000000"/>
              <w:left w:val="single" w:sz="6" w:space="0" w:color="000000"/>
              <w:bottom w:val="single" w:sz="6" w:space="0" w:color="000000"/>
              <w:right w:val="single" w:sz="6" w:space="0" w:color="000000"/>
            </w:tcBorders>
          </w:tcPr>
          <w:p w14:paraId="051982F8" w14:textId="77777777" w:rsidR="001B45A9" w:rsidRDefault="001B45A9" w:rsidP="007C60D5">
            <w:pPr>
              <w:jc w:val="both"/>
              <w:rPr>
                <w:iCs/>
              </w:rPr>
            </w:pPr>
          </w:p>
          <w:p w14:paraId="5E901ED1" w14:textId="330C976A" w:rsidR="007C60D5" w:rsidRPr="001C4FFD" w:rsidRDefault="007C60D5" w:rsidP="007C60D5">
            <w:pPr>
              <w:jc w:val="both"/>
              <w:rPr>
                <w:iCs/>
              </w:rPr>
            </w:pPr>
            <w:r>
              <w:rPr>
                <w:iCs/>
              </w:rPr>
              <w:t xml:space="preserve">2. </w:t>
            </w:r>
            <w:r w:rsidRPr="001C4FFD">
              <w:rPr>
                <w:iCs/>
              </w:rPr>
              <w:t xml:space="preserve">Lai sasniegtu stratēģisko mērķi kapitālsabiedrībai ir izvirzīti trīs </w:t>
            </w:r>
            <w:proofErr w:type="spellStart"/>
            <w:r w:rsidRPr="001C4FFD">
              <w:rPr>
                <w:iCs/>
              </w:rPr>
              <w:t>nefinanšu</w:t>
            </w:r>
            <w:proofErr w:type="spellEnd"/>
            <w:r w:rsidRPr="001C4FFD">
              <w:rPr>
                <w:iCs/>
              </w:rPr>
              <w:t xml:space="preserve"> mērķi:</w:t>
            </w:r>
          </w:p>
          <w:p w14:paraId="59FB1968" w14:textId="77777777" w:rsidR="007C60D5" w:rsidRPr="001C4FFD" w:rsidRDefault="007C60D5" w:rsidP="007C60D5">
            <w:pPr>
              <w:jc w:val="both"/>
              <w:rPr>
                <w:iCs/>
              </w:rPr>
            </w:pPr>
            <w:r w:rsidRPr="001C4FFD">
              <w:rPr>
                <w:iCs/>
              </w:rPr>
              <w:t>- uzlabot veselības aprūpes pakalpojumu pieejamību;</w:t>
            </w:r>
          </w:p>
          <w:p w14:paraId="110A90B0" w14:textId="77777777" w:rsidR="007C60D5" w:rsidRPr="001C4FFD" w:rsidRDefault="007C60D5" w:rsidP="007C60D5">
            <w:pPr>
              <w:jc w:val="both"/>
              <w:rPr>
                <w:iCs/>
              </w:rPr>
            </w:pPr>
            <w:r w:rsidRPr="001C4FFD">
              <w:rPr>
                <w:iCs/>
              </w:rPr>
              <w:t>- nodrošināt efektivitāti veselības aprūpes pakalpojumu plānošanā un sniegšanā;</w:t>
            </w:r>
          </w:p>
          <w:p w14:paraId="5D5D649C" w14:textId="77777777" w:rsidR="007C60D5" w:rsidRPr="001C4FFD" w:rsidRDefault="007C60D5" w:rsidP="007C60D5">
            <w:pPr>
              <w:jc w:val="both"/>
              <w:rPr>
                <w:iCs/>
              </w:rPr>
            </w:pPr>
            <w:r w:rsidRPr="001C4FFD">
              <w:rPr>
                <w:iCs/>
              </w:rPr>
              <w:t>- nodrošināt kvalitatīvu veselības aprūpes pakalpojumu sniegšanu</w:t>
            </w:r>
            <w:r>
              <w:rPr>
                <w:iCs/>
              </w:rPr>
              <w:t>;</w:t>
            </w:r>
          </w:p>
          <w:p w14:paraId="5DCA26B1" w14:textId="62E9A91C" w:rsidR="0062572A" w:rsidRPr="00D740B3" w:rsidRDefault="007C60D5" w:rsidP="007C60D5">
            <w:pPr>
              <w:pStyle w:val="naisc"/>
              <w:spacing w:before="0" w:after="0"/>
              <w:jc w:val="both"/>
            </w:pPr>
            <w:r w:rsidRPr="001C4FFD">
              <w:rPr>
                <w:iCs/>
              </w:rPr>
              <w:t>un viens finanšu mērķis - nodrošināt finansiāli stabilu uzņēmuma darbību.</w:t>
            </w:r>
          </w:p>
        </w:tc>
        <w:tc>
          <w:tcPr>
            <w:tcW w:w="4394" w:type="dxa"/>
            <w:tcBorders>
              <w:left w:val="single" w:sz="6" w:space="0" w:color="000000"/>
              <w:bottom w:val="single" w:sz="4" w:space="0" w:color="auto"/>
              <w:right w:val="single" w:sz="6" w:space="0" w:color="000000"/>
            </w:tcBorders>
          </w:tcPr>
          <w:p w14:paraId="2F3B2DEB" w14:textId="77777777" w:rsidR="0062572A" w:rsidRPr="0062572A" w:rsidRDefault="0062572A" w:rsidP="00E90B59">
            <w:pPr>
              <w:pStyle w:val="BodyText"/>
              <w:rPr>
                <w:rFonts w:ascii="Times New Roman" w:hAnsi="Times New Roman"/>
                <w:b/>
                <w:sz w:val="24"/>
                <w:szCs w:val="24"/>
              </w:rPr>
            </w:pPr>
            <w:r>
              <w:rPr>
                <w:rFonts w:ascii="Times New Roman" w:hAnsi="Times New Roman"/>
                <w:b/>
                <w:sz w:val="24"/>
                <w:szCs w:val="24"/>
              </w:rPr>
              <w:t>Pārresoru koordinācijas centrs.</w:t>
            </w:r>
          </w:p>
          <w:p w14:paraId="0C5D4D24" w14:textId="5176EBCF" w:rsidR="0062572A" w:rsidRPr="0062572A" w:rsidRDefault="00247B92" w:rsidP="00247B92">
            <w:pPr>
              <w:pStyle w:val="BodyText"/>
              <w:rPr>
                <w:rFonts w:ascii="Times New Roman" w:hAnsi="Times New Roman"/>
                <w:sz w:val="24"/>
                <w:szCs w:val="24"/>
              </w:rPr>
            </w:pPr>
            <w:r>
              <w:rPr>
                <w:rFonts w:ascii="Times New Roman" w:hAnsi="Times New Roman"/>
                <w:iCs/>
                <w:sz w:val="24"/>
                <w:szCs w:val="24"/>
              </w:rPr>
              <w:t xml:space="preserve">2. Anotācijā ir izvirzīti RAKUS finanšu un </w:t>
            </w:r>
            <w:proofErr w:type="spellStart"/>
            <w:r>
              <w:rPr>
                <w:rFonts w:ascii="Times New Roman" w:hAnsi="Times New Roman"/>
                <w:iCs/>
                <w:sz w:val="24"/>
                <w:szCs w:val="24"/>
              </w:rPr>
              <w:t>nefinanšu</w:t>
            </w:r>
            <w:proofErr w:type="spellEnd"/>
            <w:r>
              <w:rPr>
                <w:rFonts w:ascii="Times New Roman" w:hAnsi="Times New Roman"/>
                <w:iCs/>
                <w:sz w:val="24"/>
                <w:szCs w:val="24"/>
              </w:rPr>
              <w:t xml:space="preserve"> mērķi, kas sekmētu vispārējā stratēģiskā mērķa sasniegšanu, taču nav izvirzīts </w:t>
            </w:r>
            <w:proofErr w:type="spellStart"/>
            <w:r>
              <w:rPr>
                <w:rFonts w:ascii="Times New Roman" w:hAnsi="Times New Roman"/>
                <w:iCs/>
                <w:sz w:val="24"/>
                <w:szCs w:val="24"/>
              </w:rPr>
              <w:t>nefinanšu</w:t>
            </w:r>
            <w:proofErr w:type="spellEnd"/>
            <w:r>
              <w:rPr>
                <w:rFonts w:ascii="Times New Roman" w:hAnsi="Times New Roman"/>
                <w:iCs/>
                <w:sz w:val="24"/>
                <w:szCs w:val="24"/>
              </w:rPr>
              <w:t xml:space="preserve"> mērķis, kas raksturo RAKUS sasniedzamos rezultātus zinātnes un pētniecības attīstībā. Vēršam uzmanību, ka finanšu un </w:t>
            </w:r>
            <w:proofErr w:type="spellStart"/>
            <w:r>
              <w:rPr>
                <w:rFonts w:ascii="Times New Roman" w:hAnsi="Times New Roman"/>
                <w:iCs/>
                <w:sz w:val="24"/>
                <w:szCs w:val="24"/>
              </w:rPr>
              <w:t>nefinanšu</w:t>
            </w:r>
            <w:proofErr w:type="spellEnd"/>
            <w:r>
              <w:rPr>
                <w:rFonts w:ascii="Times New Roman" w:hAnsi="Times New Roman"/>
                <w:iCs/>
                <w:sz w:val="24"/>
                <w:szCs w:val="24"/>
              </w:rPr>
              <w:t xml:space="preserve"> mērķus izvirza kapitālsabiedrības vidēja termiņa darbības stratēģijas izstrādes gaitā un tie ir izteikti ar konkrētiem izmērāmiem rādītājiem, kas ir </w:t>
            </w:r>
            <w:r w:rsidRPr="00C07F8C">
              <w:rPr>
                <w:rFonts w:ascii="Times New Roman" w:hAnsi="Times New Roman"/>
                <w:iCs/>
                <w:sz w:val="24"/>
                <w:szCs w:val="24"/>
              </w:rPr>
              <w:t>saistīti un raksturo attiecīgās kapitālsabiedrības darbības specifiku un finanšu stāvokli. Saskaņā ar Kapitālsabiedrību pārvaldības likuma 1.pant</w:t>
            </w:r>
            <w:r>
              <w:rPr>
                <w:rFonts w:ascii="Times New Roman" w:hAnsi="Times New Roman"/>
                <w:iCs/>
                <w:sz w:val="24"/>
                <w:szCs w:val="24"/>
              </w:rPr>
              <w:t>a pirmās daļas</w:t>
            </w:r>
            <w:r w:rsidRPr="00C07F8C">
              <w:rPr>
                <w:rFonts w:ascii="Times New Roman" w:hAnsi="Times New Roman"/>
                <w:iCs/>
                <w:sz w:val="24"/>
                <w:szCs w:val="24"/>
              </w:rPr>
              <w:t xml:space="preserve"> 16.punktu </w:t>
            </w:r>
            <w:proofErr w:type="spellStart"/>
            <w:r w:rsidRPr="00C07F8C">
              <w:rPr>
                <w:rFonts w:ascii="Times New Roman" w:hAnsi="Times New Roman"/>
                <w:iCs/>
                <w:sz w:val="24"/>
                <w:szCs w:val="24"/>
              </w:rPr>
              <w:t>n</w:t>
            </w:r>
            <w:r w:rsidRPr="0045692C">
              <w:rPr>
                <w:rFonts w:ascii="Times New Roman" w:hAnsi="Times New Roman"/>
                <w:sz w:val="24"/>
                <w:szCs w:val="24"/>
              </w:rPr>
              <w:t>efinanšu</w:t>
            </w:r>
            <w:proofErr w:type="spellEnd"/>
            <w:r w:rsidRPr="0045692C">
              <w:rPr>
                <w:rFonts w:ascii="Times New Roman" w:hAnsi="Times New Roman"/>
                <w:sz w:val="24"/>
                <w:szCs w:val="24"/>
              </w:rPr>
              <w:t xml:space="preserve"> mērķi ir kapitālsabiedrības mērķi, kas izriet no kapitālsabiedrībai noteiktā vispārējā stratēģiskā mērķa, tiesību aktiem un politikas plānošanas dokumentiem un ir saistīti ar publiskai personai noteikto funkciju izpildes nodrošināšanu. </w:t>
            </w:r>
            <w:r w:rsidRPr="00C07F8C">
              <w:rPr>
                <w:rFonts w:ascii="Times New Roman" w:hAnsi="Times New Roman"/>
                <w:iCs/>
                <w:sz w:val="24"/>
                <w:szCs w:val="24"/>
              </w:rPr>
              <w:t>Savukārt</w:t>
            </w:r>
            <w:r>
              <w:rPr>
                <w:rFonts w:ascii="Times New Roman" w:hAnsi="Times New Roman"/>
                <w:iCs/>
                <w:sz w:val="24"/>
                <w:szCs w:val="24"/>
              </w:rPr>
              <w:t xml:space="preserve"> atbilstoši Kapitālsabiedrību pārvaldības </w:t>
            </w:r>
            <w:r>
              <w:rPr>
                <w:rFonts w:ascii="Times New Roman" w:hAnsi="Times New Roman"/>
                <w:iCs/>
                <w:sz w:val="24"/>
                <w:szCs w:val="24"/>
              </w:rPr>
              <w:lastRenderedPageBreak/>
              <w:t xml:space="preserve">likuma 1.panta pirmās daļas 17.punktam finanšu mērķi ir </w:t>
            </w:r>
            <w:r w:rsidRPr="00CC7672">
              <w:rPr>
                <w:rFonts w:ascii="Times New Roman" w:hAnsi="Times New Roman"/>
                <w:iCs/>
                <w:sz w:val="24"/>
                <w:szCs w:val="24"/>
              </w:rPr>
              <w:t>kapitālsabiedrības mērķi, kas saistīti ar tās finanšu darbības stāvokli (tai skaitā rentabilitāte, kapitāla struktūra, apgrozījums, dividendes un peļņa</w:t>
            </w:r>
            <w:r>
              <w:rPr>
                <w:rFonts w:ascii="Times New Roman" w:hAnsi="Times New Roman"/>
                <w:iCs/>
                <w:sz w:val="24"/>
                <w:szCs w:val="24"/>
              </w:rPr>
              <w:t xml:space="preserve">). PKC ieskatā nav nepieciešamības anotācijā izvirzīt kapitālsabiedrības finanšu un </w:t>
            </w:r>
            <w:proofErr w:type="spellStart"/>
            <w:r>
              <w:rPr>
                <w:rFonts w:ascii="Times New Roman" w:hAnsi="Times New Roman"/>
                <w:iCs/>
                <w:sz w:val="24"/>
                <w:szCs w:val="24"/>
              </w:rPr>
              <w:t>nefinanšu</w:t>
            </w:r>
            <w:proofErr w:type="spellEnd"/>
            <w:r>
              <w:rPr>
                <w:rFonts w:ascii="Times New Roman" w:hAnsi="Times New Roman"/>
                <w:iCs/>
                <w:sz w:val="24"/>
                <w:szCs w:val="24"/>
              </w:rPr>
              <w:t xml:space="preserve"> mērķus, jo tos var noteikt arī RAKUS vidēja termiņa darbības stratēģijas izstrādes gaitā, ņemot vērā iepriekš minēto</w:t>
            </w:r>
            <w:r w:rsidR="0062572A" w:rsidRPr="0062572A">
              <w:rPr>
                <w:rFonts w:ascii="Times New Roman" w:hAnsi="Times New Roman"/>
                <w:sz w:val="24"/>
                <w:szCs w:val="24"/>
              </w:rPr>
              <w:t>.</w:t>
            </w:r>
          </w:p>
        </w:tc>
        <w:tc>
          <w:tcPr>
            <w:tcW w:w="2694" w:type="dxa"/>
            <w:gridSpan w:val="2"/>
            <w:tcBorders>
              <w:top w:val="single" w:sz="6" w:space="0" w:color="000000"/>
              <w:left w:val="single" w:sz="6" w:space="0" w:color="000000"/>
              <w:bottom w:val="single" w:sz="6" w:space="0" w:color="000000"/>
              <w:right w:val="single" w:sz="6" w:space="0" w:color="000000"/>
            </w:tcBorders>
          </w:tcPr>
          <w:p w14:paraId="72651D77" w14:textId="1CC13473" w:rsidR="0062572A" w:rsidRDefault="0062572A" w:rsidP="00E2786B">
            <w:pPr>
              <w:pStyle w:val="naisc"/>
              <w:spacing w:before="0" w:after="0"/>
              <w:jc w:val="both"/>
              <w:rPr>
                <w:b/>
              </w:rPr>
            </w:pPr>
            <w:r w:rsidRPr="00376117">
              <w:rPr>
                <w:b/>
              </w:rPr>
              <w:lastRenderedPageBreak/>
              <w:t>Ņemts vērā.</w:t>
            </w:r>
          </w:p>
          <w:p w14:paraId="3B05E310" w14:textId="12E70ED0" w:rsidR="00A04B9C" w:rsidRPr="00A04B9C" w:rsidRDefault="00A04B9C" w:rsidP="00E2786B">
            <w:pPr>
              <w:pStyle w:val="naisc"/>
              <w:spacing w:before="0" w:after="0"/>
              <w:jc w:val="both"/>
            </w:pPr>
            <w:r w:rsidRPr="00A04B9C">
              <w:t xml:space="preserve">Anotācijā </w:t>
            </w:r>
            <w:r>
              <w:t xml:space="preserve">dzēsta informācija par </w:t>
            </w:r>
            <w:r>
              <w:rPr>
                <w:iCs/>
              </w:rPr>
              <w:t xml:space="preserve">kapitālsabiedrības finanšu un </w:t>
            </w:r>
            <w:proofErr w:type="spellStart"/>
            <w:r>
              <w:rPr>
                <w:iCs/>
              </w:rPr>
              <w:t>nefinanšu</w:t>
            </w:r>
            <w:proofErr w:type="spellEnd"/>
            <w:r>
              <w:rPr>
                <w:iCs/>
              </w:rPr>
              <w:t xml:space="preserve"> mērķiem. Attiecīgā informācija tiks iekļauta kapitālsabiedrības vidēja termiņa darbības stratēģijā 2019.-2021.gadam. </w:t>
            </w:r>
          </w:p>
          <w:p w14:paraId="3450337C" w14:textId="1405B3A8" w:rsidR="00E2786B" w:rsidRPr="00376117" w:rsidRDefault="00E2786B" w:rsidP="00E2786B">
            <w:pPr>
              <w:jc w:val="both"/>
            </w:pPr>
          </w:p>
        </w:tc>
        <w:tc>
          <w:tcPr>
            <w:tcW w:w="3402" w:type="dxa"/>
            <w:tcBorders>
              <w:top w:val="single" w:sz="4" w:space="0" w:color="auto"/>
              <w:left w:val="single" w:sz="4" w:space="0" w:color="auto"/>
              <w:bottom w:val="single" w:sz="4" w:space="0" w:color="auto"/>
            </w:tcBorders>
          </w:tcPr>
          <w:p w14:paraId="7EBCFB96" w14:textId="77777777" w:rsidR="001B45A9" w:rsidRDefault="001B45A9" w:rsidP="00376117">
            <w:pPr>
              <w:jc w:val="both"/>
            </w:pPr>
          </w:p>
          <w:p w14:paraId="03D3F331" w14:textId="5354FEBA" w:rsidR="0062572A" w:rsidRPr="00376117" w:rsidRDefault="001B45A9" w:rsidP="00376117">
            <w:pPr>
              <w:jc w:val="both"/>
            </w:pPr>
            <w:r>
              <w:t>Dzēsts.</w:t>
            </w:r>
          </w:p>
        </w:tc>
      </w:tr>
      <w:tr w:rsidR="002772A1" w:rsidRPr="00376117" w14:paraId="09E7B81C" w14:textId="77777777" w:rsidTr="001B45A9">
        <w:tc>
          <w:tcPr>
            <w:tcW w:w="701" w:type="dxa"/>
            <w:tcBorders>
              <w:top w:val="single" w:sz="6" w:space="0" w:color="000000"/>
              <w:left w:val="single" w:sz="6" w:space="0" w:color="000000"/>
              <w:bottom w:val="single" w:sz="6" w:space="0" w:color="000000"/>
              <w:right w:val="single" w:sz="6" w:space="0" w:color="000000"/>
            </w:tcBorders>
          </w:tcPr>
          <w:p w14:paraId="745EE24E" w14:textId="77777777" w:rsidR="002772A1" w:rsidRDefault="002772A1" w:rsidP="002772A1">
            <w:pPr>
              <w:pStyle w:val="naisc"/>
              <w:spacing w:before="0" w:after="0"/>
            </w:pPr>
          </w:p>
        </w:tc>
        <w:tc>
          <w:tcPr>
            <w:tcW w:w="2835" w:type="dxa"/>
            <w:gridSpan w:val="2"/>
            <w:tcBorders>
              <w:top w:val="single" w:sz="6" w:space="0" w:color="000000"/>
              <w:left w:val="single" w:sz="6" w:space="0" w:color="000000"/>
              <w:bottom w:val="single" w:sz="6" w:space="0" w:color="000000"/>
              <w:right w:val="single" w:sz="6" w:space="0" w:color="000000"/>
            </w:tcBorders>
          </w:tcPr>
          <w:p w14:paraId="771CBF4C" w14:textId="77777777" w:rsidR="002772A1" w:rsidRDefault="002772A1" w:rsidP="002772A1">
            <w:pPr>
              <w:jc w:val="both"/>
              <w:rPr>
                <w:iCs/>
              </w:rPr>
            </w:pPr>
          </w:p>
        </w:tc>
        <w:tc>
          <w:tcPr>
            <w:tcW w:w="4394" w:type="dxa"/>
            <w:tcBorders>
              <w:left w:val="single" w:sz="6" w:space="0" w:color="000000"/>
              <w:bottom w:val="single" w:sz="4" w:space="0" w:color="auto"/>
              <w:right w:val="single" w:sz="6" w:space="0" w:color="000000"/>
            </w:tcBorders>
          </w:tcPr>
          <w:p w14:paraId="5A369700" w14:textId="0A9F5988" w:rsidR="002772A1" w:rsidRDefault="002772A1" w:rsidP="002772A1">
            <w:pPr>
              <w:pStyle w:val="BodyText"/>
              <w:rPr>
                <w:rFonts w:ascii="Times New Roman" w:hAnsi="Times New Roman"/>
                <w:b/>
                <w:sz w:val="24"/>
                <w:szCs w:val="24"/>
              </w:rPr>
            </w:pPr>
            <w:r>
              <w:rPr>
                <w:rFonts w:ascii="Times New Roman" w:hAnsi="Times New Roman"/>
                <w:b/>
                <w:sz w:val="24"/>
                <w:szCs w:val="24"/>
              </w:rPr>
              <w:t xml:space="preserve">Atkārtota saskaņošana. </w:t>
            </w:r>
          </w:p>
          <w:p w14:paraId="28936423" w14:textId="77777777" w:rsidR="002772A1" w:rsidRDefault="002772A1" w:rsidP="002772A1">
            <w:pPr>
              <w:pStyle w:val="BodyText"/>
              <w:rPr>
                <w:rFonts w:ascii="Times New Roman" w:hAnsi="Times New Roman"/>
                <w:b/>
                <w:sz w:val="24"/>
                <w:szCs w:val="24"/>
              </w:rPr>
            </w:pPr>
            <w:r>
              <w:rPr>
                <w:rFonts w:ascii="Times New Roman" w:hAnsi="Times New Roman"/>
                <w:b/>
                <w:sz w:val="24"/>
                <w:szCs w:val="24"/>
              </w:rPr>
              <w:t>Latvijas Pašvaldību savienība.</w:t>
            </w:r>
          </w:p>
          <w:p w14:paraId="39755DB8" w14:textId="77777777" w:rsidR="002772A1" w:rsidRPr="00247B92" w:rsidRDefault="002772A1" w:rsidP="002772A1">
            <w:pPr>
              <w:pStyle w:val="BodyText"/>
              <w:rPr>
                <w:rFonts w:ascii="Times New Roman" w:hAnsi="Times New Roman"/>
                <w:sz w:val="24"/>
                <w:szCs w:val="24"/>
              </w:rPr>
            </w:pPr>
            <w:r>
              <w:rPr>
                <w:rFonts w:ascii="Times New Roman" w:hAnsi="Times New Roman"/>
                <w:sz w:val="24"/>
                <w:szCs w:val="24"/>
              </w:rPr>
              <w:t xml:space="preserve">1. </w:t>
            </w:r>
            <w:r w:rsidRPr="00247B92">
              <w:rPr>
                <w:rFonts w:ascii="Times New Roman" w:hAnsi="Times New Roman"/>
                <w:sz w:val="24"/>
                <w:szCs w:val="24"/>
              </w:rPr>
              <w:t xml:space="preserve">Stratēģiskais mērķis neietver </w:t>
            </w:r>
            <w:proofErr w:type="spellStart"/>
            <w:r w:rsidRPr="00247B92">
              <w:rPr>
                <w:rFonts w:ascii="Times New Roman" w:hAnsi="Times New Roman"/>
                <w:sz w:val="24"/>
                <w:szCs w:val="24"/>
              </w:rPr>
              <w:t>nefinanšu</w:t>
            </w:r>
            <w:proofErr w:type="spellEnd"/>
            <w:r w:rsidRPr="00247B92">
              <w:rPr>
                <w:rFonts w:ascii="Times New Roman" w:hAnsi="Times New Roman"/>
                <w:sz w:val="24"/>
                <w:szCs w:val="24"/>
              </w:rPr>
              <w:t xml:space="preserve"> mērķi uzlabot reģionālo slimnīcu veiktspēju, kas pēc būtības atbilst universitātes klīnikas iespējām. Latvijā ir notikusi pārmērīga pakalpojumu koncentrācija. Ierosinām papildināt stratēģisko mērķi ar:</w:t>
            </w:r>
          </w:p>
          <w:p w14:paraId="0E5D33A8" w14:textId="66992EDD" w:rsidR="002772A1" w:rsidRDefault="002772A1" w:rsidP="002772A1">
            <w:pPr>
              <w:pStyle w:val="BodyText"/>
              <w:rPr>
                <w:rFonts w:ascii="Times New Roman" w:hAnsi="Times New Roman"/>
                <w:b/>
                <w:sz w:val="24"/>
                <w:szCs w:val="24"/>
              </w:rPr>
            </w:pPr>
            <w:r w:rsidRPr="00247B92">
              <w:rPr>
                <w:rFonts w:ascii="Times New Roman" w:hAnsi="Times New Roman"/>
                <w:sz w:val="24"/>
                <w:szCs w:val="24"/>
              </w:rPr>
              <w:t>“veicināt tehnoloģiju un prasmju pārnesi uz slimnīcām Latvijas reģionos”.</w:t>
            </w:r>
          </w:p>
          <w:p w14:paraId="2F604D1E" w14:textId="77777777" w:rsidR="002772A1" w:rsidRPr="00D344AF" w:rsidRDefault="002772A1" w:rsidP="002772A1">
            <w:pPr>
              <w:pStyle w:val="BodyText"/>
              <w:rPr>
                <w:rFonts w:ascii="Times New Roman" w:hAnsi="Times New Roman"/>
                <w:sz w:val="24"/>
                <w:szCs w:val="24"/>
              </w:rPr>
            </w:pPr>
            <w:r>
              <w:rPr>
                <w:rFonts w:ascii="Times New Roman" w:hAnsi="Times New Roman"/>
                <w:sz w:val="24"/>
                <w:szCs w:val="24"/>
              </w:rPr>
              <w:t xml:space="preserve">2. </w:t>
            </w:r>
            <w:r w:rsidRPr="00D344AF">
              <w:rPr>
                <w:rFonts w:ascii="Times New Roman" w:hAnsi="Times New Roman"/>
                <w:sz w:val="24"/>
                <w:szCs w:val="24"/>
              </w:rPr>
              <w:t>Latvijas Pašvaldību savienība (LPS) ir izvērtējusi un nesaskaņo  ministrijas viedokli par mūsu priekšlikumu. Uzskatām, ka nepieciešams papildināt slimnīcas stratēģisko mērķi mūsu piedāvātajā redakcijā.</w:t>
            </w:r>
          </w:p>
          <w:p w14:paraId="1C7B362B" w14:textId="77777777" w:rsidR="002772A1" w:rsidRPr="00D344AF" w:rsidRDefault="002772A1" w:rsidP="002772A1">
            <w:pPr>
              <w:pStyle w:val="BodyText"/>
              <w:rPr>
                <w:rFonts w:ascii="Times New Roman" w:hAnsi="Times New Roman"/>
                <w:sz w:val="24"/>
                <w:szCs w:val="24"/>
              </w:rPr>
            </w:pPr>
            <w:r w:rsidRPr="00D344AF">
              <w:rPr>
                <w:rFonts w:ascii="Times New Roman" w:hAnsi="Times New Roman"/>
                <w:sz w:val="24"/>
                <w:szCs w:val="24"/>
              </w:rPr>
              <w:t xml:space="preserve">Katrai publiskai SIA, arī Austrumu klīniskajai slimnīcai, tiek noteikti gan finanšu, gan </w:t>
            </w:r>
            <w:proofErr w:type="spellStart"/>
            <w:r w:rsidRPr="00D344AF">
              <w:rPr>
                <w:rFonts w:ascii="Times New Roman" w:hAnsi="Times New Roman"/>
                <w:sz w:val="24"/>
                <w:szCs w:val="24"/>
              </w:rPr>
              <w:t>nefinanšu</w:t>
            </w:r>
            <w:proofErr w:type="spellEnd"/>
            <w:r w:rsidRPr="00D344AF">
              <w:rPr>
                <w:rFonts w:ascii="Times New Roman" w:hAnsi="Times New Roman"/>
                <w:sz w:val="24"/>
                <w:szCs w:val="24"/>
              </w:rPr>
              <w:t xml:space="preserve"> mērķi. Šai gadījumā svarīgi iekļaut paša uzņēmuma </w:t>
            </w:r>
            <w:proofErr w:type="spellStart"/>
            <w:r w:rsidRPr="00D344AF">
              <w:rPr>
                <w:rFonts w:ascii="Times New Roman" w:hAnsi="Times New Roman"/>
                <w:sz w:val="24"/>
                <w:szCs w:val="24"/>
              </w:rPr>
              <w:t>nefinanšu</w:t>
            </w:r>
            <w:proofErr w:type="spellEnd"/>
            <w:r w:rsidRPr="00D344AF">
              <w:rPr>
                <w:rFonts w:ascii="Times New Roman" w:hAnsi="Times New Roman"/>
                <w:sz w:val="24"/>
                <w:szCs w:val="24"/>
              </w:rPr>
              <w:t xml:space="preserve"> mērķos sabiedriski nozīmīgu mērķi, tādu kas nevairo paša uzņēmuma peļņu, bet uzlabo </w:t>
            </w:r>
            <w:r w:rsidRPr="00D344AF">
              <w:rPr>
                <w:rFonts w:ascii="Times New Roman" w:hAnsi="Times New Roman"/>
                <w:sz w:val="24"/>
                <w:szCs w:val="24"/>
              </w:rPr>
              <w:lastRenderedPageBreak/>
              <w:t>kvalitatīvu veselības pakalpojumu pieejamību reģionos.</w:t>
            </w:r>
          </w:p>
          <w:p w14:paraId="24E3B548" w14:textId="65CB0B81" w:rsidR="002772A1" w:rsidRPr="002772A1" w:rsidRDefault="002772A1" w:rsidP="002772A1">
            <w:pPr>
              <w:pStyle w:val="BodyText"/>
              <w:rPr>
                <w:rFonts w:ascii="Times New Roman" w:hAnsi="Times New Roman"/>
                <w:sz w:val="24"/>
                <w:szCs w:val="24"/>
              </w:rPr>
            </w:pPr>
            <w:r w:rsidRPr="00D344AF">
              <w:rPr>
                <w:rFonts w:ascii="Times New Roman" w:hAnsi="Times New Roman"/>
                <w:sz w:val="24"/>
                <w:szCs w:val="24"/>
              </w:rPr>
              <w:t>Ministrijas atzinumā norādīts uz administratīvo pieeju, ministrijas organizētu procesu. Nosakot mērķi pašam uzņēmumam, tas nonāk paša uzņēmuma atbildībā. Jāveicina procesu, lai universitātes klīniskajā slimnīcā  apgūtais un sasniegtais izplatītos uz reģioniem</w:t>
            </w:r>
            <w:r>
              <w:rPr>
                <w:rFonts w:ascii="Times New Roman" w:hAnsi="Times New Roman"/>
                <w:sz w:val="24"/>
                <w:szCs w:val="24"/>
              </w:rPr>
              <w:t>.</w:t>
            </w:r>
          </w:p>
        </w:tc>
        <w:tc>
          <w:tcPr>
            <w:tcW w:w="2694" w:type="dxa"/>
            <w:gridSpan w:val="2"/>
            <w:tcBorders>
              <w:top w:val="single" w:sz="6" w:space="0" w:color="000000"/>
              <w:left w:val="single" w:sz="6" w:space="0" w:color="000000"/>
              <w:bottom w:val="single" w:sz="6" w:space="0" w:color="000000"/>
              <w:right w:val="single" w:sz="6" w:space="0" w:color="000000"/>
            </w:tcBorders>
          </w:tcPr>
          <w:p w14:paraId="7D9470ED" w14:textId="4D9D7291" w:rsidR="002772A1" w:rsidRDefault="002772A1" w:rsidP="002772A1">
            <w:pPr>
              <w:pStyle w:val="naisc"/>
              <w:spacing w:before="0" w:after="0"/>
              <w:jc w:val="both"/>
              <w:rPr>
                <w:b/>
              </w:rPr>
            </w:pPr>
            <w:r w:rsidRPr="00821750">
              <w:rPr>
                <w:b/>
              </w:rPr>
              <w:lastRenderedPageBreak/>
              <w:t>Nav ņemts vērā.</w:t>
            </w:r>
          </w:p>
          <w:p w14:paraId="4092A512" w14:textId="33AB1922" w:rsidR="002E704A" w:rsidRDefault="00F41935" w:rsidP="002772A1">
            <w:pPr>
              <w:pStyle w:val="naisc"/>
              <w:spacing w:before="0" w:after="0"/>
              <w:jc w:val="both"/>
              <w:rPr>
                <w:b/>
              </w:rPr>
            </w:pPr>
            <w:r>
              <w:rPr>
                <w:b/>
              </w:rPr>
              <w:t xml:space="preserve">Panākta vienošanās </w:t>
            </w:r>
            <w:proofErr w:type="spellStart"/>
            <w:r w:rsidRPr="002772A1">
              <w:rPr>
                <w:b/>
              </w:rPr>
              <w:t>Starpministriju</w:t>
            </w:r>
            <w:proofErr w:type="spellEnd"/>
            <w:r w:rsidRPr="002772A1">
              <w:rPr>
                <w:b/>
              </w:rPr>
              <w:t xml:space="preserve"> (starpinstitūciju) sanāksm</w:t>
            </w:r>
            <w:r w:rsidR="002E704A">
              <w:rPr>
                <w:b/>
              </w:rPr>
              <w:t>ē.</w:t>
            </w:r>
          </w:p>
          <w:p w14:paraId="45EFF1E9" w14:textId="37477912" w:rsidR="002E704A" w:rsidRPr="00821750" w:rsidRDefault="002E704A" w:rsidP="002772A1">
            <w:pPr>
              <w:pStyle w:val="naisc"/>
              <w:spacing w:before="0" w:after="0"/>
              <w:jc w:val="both"/>
              <w:rPr>
                <w:b/>
              </w:rPr>
            </w:pPr>
            <w:r>
              <w:t>Precizēta rīkojuma projekta redakcija un Anotācijas I sadaļas 2.punkts (2.lpp.) pirm</w:t>
            </w:r>
            <w:r>
              <w:t>aj</w:t>
            </w:r>
            <w:r>
              <w:t>ā rindkop</w:t>
            </w:r>
            <w:r>
              <w:t xml:space="preserve">ā stratēģiskā mērķa redakcija un </w:t>
            </w:r>
            <w:r w:rsidR="00725C5C">
              <w:t>(4.-5.lpp</w:t>
            </w:r>
            <w:r>
              <w:t>.</w:t>
            </w:r>
            <w:r w:rsidR="00725C5C">
              <w:t>) pēdējā rindkopa.</w:t>
            </w:r>
          </w:p>
          <w:p w14:paraId="4EAE4992" w14:textId="70872F39" w:rsidR="002772A1" w:rsidRPr="00376117" w:rsidRDefault="002772A1" w:rsidP="002772A1">
            <w:pPr>
              <w:pStyle w:val="naisc"/>
              <w:spacing w:before="0" w:after="0"/>
              <w:jc w:val="both"/>
              <w:rPr>
                <w:b/>
              </w:rPr>
            </w:pPr>
          </w:p>
        </w:tc>
        <w:tc>
          <w:tcPr>
            <w:tcW w:w="3402" w:type="dxa"/>
            <w:tcBorders>
              <w:top w:val="single" w:sz="4" w:space="0" w:color="auto"/>
              <w:left w:val="single" w:sz="4" w:space="0" w:color="auto"/>
              <w:bottom w:val="single" w:sz="4" w:space="0" w:color="auto"/>
            </w:tcBorders>
          </w:tcPr>
          <w:p w14:paraId="0E5EE5FB" w14:textId="77777777" w:rsidR="002772A1" w:rsidRDefault="002772A1" w:rsidP="002772A1">
            <w:pPr>
              <w:jc w:val="both"/>
            </w:pPr>
          </w:p>
          <w:p w14:paraId="284FF184" w14:textId="77777777" w:rsidR="00725C5C" w:rsidRDefault="00725C5C" w:rsidP="00725C5C"/>
          <w:p w14:paraId="0F494BA5" w14:textId="5B5296D4" w:rsidR="00725C5C" w:rsidRPr="00725C5C" w:rsidRDefault="00725C5C" w:rsidP="00725C5C">
            <w:r>
              <w:t xml:space="preserve">Skatīt precizētu rīkojuma projektu un precizētu Anotācijas 2.lpp. </w:t>
            </w:r>
            <w:r>
              <w:t>pirm</w:t>
            </w:r>
            <w:r>
              <w:t xml:space="preserve">o </w:t>
            </w:r>
            <w:r>
              <w:t>rindkop</w:t>
            </w:r>
            <w:r>
              <w:t xml:space="preserve">u un 4.-5.lpp. </w:t>
            </w:r>
            <w:r>
              <w:t>pēdēj</w:t>
            </w:r>
            <w:r>
              <w:t>o</w:t>
            </w:r>
            <w:r>
              <w:t xml:space="preserve"> rindkop</w:t>
            </w:r>
            <w:r>
              <w:t>u</w:t>
            </w:r>
            <w:r>
              <w:t>.</w:t>
            </w:r>
          </w:p>
        </w:tc>
      </w:tr>
      <w:tr w:rsidR="002772A1" w:rsidRPr="00712B66"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7C099389" w14:textId="08CF0F77" w:rsidR="002772A1" w:rsidRDefault="002772A1" w:rsidP="002772A1">
            <w:pPr>
              <w:pStyle w:val="naiskr"/>
              <w:spacing w:before="0" w:after="0"/>
            </w:pPr>
          </w:p>
          <w:p w14:paraId="0A90F3FE" w14:textId="77777777" w:rsidR="002772A1" w:rsidRPr="00712B66" w:rsidRDefault="002772A1" w:rsidP="002772A1">
            <w:pPr>
              <w:pStyle w:val="naiskr"/>
              <w:spacing w:before="0" w:after="0"/>
            </w:pPr>
          </w:p>
          <w:p w14:paraId="166DE8AE" w14:textId="77777777" w:rsidR="002772A1" w:rsidRPr="00712B66" w:rsidRDefault="002772A1" w:rsidP="002772A1">
            <w:pPr>
              <w:pStyle w:val="naiskr"/>
              <w:spacing w:before="0" w:after="0"/>
            </w:pPr>
            <w:r w:rsidRPr="00712B66">
              <w:t>Atbildīgā amatpersona</w:t>
            </w:r>
          </w:p>
        </w:tc>
        <w:tc>
          <w:tcPr>
            <w:tcW w:w="6179" w:type="dxa"/>
            <w:gridSpan w:val="3"/>
          </w:tcPr>
          <w:p w14:paraId="11842312" w14:textId="77777777" w:rsidR="002772A1" w:rsidRPr="00712B66" w:rsidRDefault="002772A1" w:rsidP="002772A1">
            <w:pPr>
              <w:pStyle w:val="naiskr"/>
              <w:spacing w:before="0" w:after="0"/>
              <w:ind w:firstLine="720"/>
            </w:pPr>
            <w:r w:rsidRPr="00712B66">
              <w:t>  </w:t>
            </w:r>
          </w:p>
        </w:tc>
      </w:tr>
      <w:tr w:rsidR="002772A1" w:rsidRPr="00712B66"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257C8753" w14:textId="77777777" w:rsidR="002772A1" w:rsidRPr="00712B66" w:rsidRDefault="002772A1" w:rsidP="002772A1">
            <w:pPr>
              <w:pStyle w:val="naiskr"/>
              <w:spacing w:before="0" w:after="0"/>
              <w:ind w:firstLine="720"/>
            </w:pPr>
          </w:p>
        </w:tc>
        <w:tc>
          <w:tcPr>
            <w:tcW w:w="6179" w:type="dxa"/>
            <w:gridSpan w:val="3"/>
            <w:tcBorders>
              <w:top w:val="single" w:sz="6" w:space="0" w:color="000000"/>
            </w:tcBorders>
          </w:tcPr>
          <w:p w14:paraId="35603C31" w14:textId="77777777" w:rsidR="002772A1" w:rsidRPr="00712B66" w:rsidRDefault="002772A1" w:rsidP="002772A1">
            <w:pPr>
              <w:pStyle w:val="naisc"/>
              <w:spacing w:before="0" w:after="0"/>
              <w:ind w:firstLine="720"/>
            </w:pPr>
            <w:r w:rsidRPr="00712B66">
              <w:t>(paraksts)*</w:t>
            </w:r>
          </w:p>
        </w:tc>
      </w:tr>
    </w:tbl>
    <w:p w14:paraId="27ADE47F" w14:textId="77777777" w:rsidR="00317DC7"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77777777" w:rsidR="00567786" w:rsidRPr="00712B66" w:rsidRDefault="00567786" w:rsidP="00DB7395">
      <w:pPr>
        <w:pStyle w:val="naisf"/>
        <w:spacing w:before="0" w:after="0"/>
        <w:ind w:firstLine="720"/>
      </w:pPr>
      <w:r>
        <w:t>Ligita Roze</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184479">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39C9E4BC" w:rsidR="008655A2" w:rsidRPr="00712B66" w:rsidRDefault="00567786" w:rsidP="00567786">
            <w:r>
              <w:t>Veselības ministrijas Kapitālsabiedrību un investīciju uzraudzības nodaļas vecākā referente</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184479">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77777777" w:rsidR="008655A2" w:rsidRPr="00712B66" w:rsidRDefault="008E35EB" w:rsidP="0036160E">
            <w:r>
              <w:t>Tālrunis 67876157</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184479">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77777777" w:rsidR="008655A2" w:rsidRPr="00712B66" w:rsidRDefault="00567786" w:rsidP="0036160E">
            <w:r>
              <w:t>Ligita.Roze@vm.gov.lv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184479">
            <w:pPr>
              <w:jc w:val="center"/>
            </w:pPr>
            <w:r>
              <w:t>(</w:t>
            </w:r>
            <w:r w:rsidR="008655A2" w:rsidRPr="00712B66">
              <w:t>e-pasta adrese</w:t>
            </w:r>
            <w:r>
              <w:t>)</w:t>
            </w:r>
          </w:p>
        </w:tc>
      </w:tr>
    </w:tbl>
    <w:p w14:paraId="10968170" w14:textId="77777777" w:rsidR="003B71E0" w:rsidRPr="003B71E0" w:rsidRDefault="003B71E0" w:rsidP="00E74517">
      <w:pPr>
        <w:pStyle w:val="naisf"/>
        <w:spacing w:before="0" w:after="0"/>
        <w:ind w:firstLine="0"/>
        <w:jc w:val="left"/>
        <w:rPr>
          <w:sz w:val="28"/>
          <w:szCs w:val="28"/>
        </w:rPr>
      </w:pPr>
      <w:bookmarkStart w:id="0" w:name="_GoBack"/>
      <w:bookmarkEnd w:id="0"/>
    </w:p>
    <w:sectPr w:rsidR="003B71E0" w:rsidRPr="003B71E0" w:rsidSect="00112F87">
      <w:headerReference w:type="even" r:id="rId7"/>
      <w:headerReference w:type="default" r:id="rId8"/>
      <w:footerReference w:type="default" r:id="rId9"/>
      <w:footerReference w:type="first" r:id="rId10"/>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D51" w14:textId="77777777" w:rsidR="0087364B" w:rsidRDefault="0087364B">
      <w:r>
        <w:separator/>
      </w:r>
    </w:p>
  </w:endnote>
  <w:endnote w:type="continuationSeparator" w:id="0">
    <w:p w14:paraId="5ED7CB21"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400F" w14:textId="4B2A212C" w:rsidR="00247B92" w:rsidRPr="002735B1" w:rsidRDefault="00247B92" w:rsidP="00247B92">
    <w:pPr>
      <w:pStyle w:val="Footer"/>
      <w:rPr>
        <w:sz w:val="20"/>
        <w:szCs w:val="20"/>
      </w:rPr>
    </w:pPr>
    <w:r w:rsidRPr="002735B1">
      <w:rPr>
        <w:sz w:val="20"/>
        <w:szCs w:val="20"/>
      </w:rPr>
      <w:t>VMizz_</w:t>
    </w:r>
    <w:r w:rsidR="002E704A">
      <w:rPr>
        <w:sz w:val="20"/>
        <w:szCs w:val="20"/>
      </w:rPr>
      <w:t>30</w:t>
    </w:r>
    <w:r>
      <w:rPr>
        <w:sz w:val="20"/>
        <w:szCs w:val="20"/>
      </w:rPr>
      <w:t>0</w:t>
    </w:r>
    <w:r w:rsidR="00D344AF">
      <w:rPr>
        <w:sz w:val="20"/>
        <w:szCs w:val="20"/>
      </w:rPr>
      <w:t>7</w:t>
    </w:r>
    <w:r>
      <w:rPr>
        <w:sz w:val="20"/>
        <w:szCs w:val="20"/>
      </w:rPr>
      <w:t>19_RAKUS_stmer</w:t>
    </w:r>
  </w:p>
  <w:p w14:paraId="63404AA5" w14:textId="77777777" w:rsidR="0087364B" w:rsidRPr="006C312B" w:rsidRDefault="0087364B" w:rsidP="006C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EA7C" w14:textId="3F0A657B" w:rsidR="00D344AF" w:rsidRPr="002735B1" w:rsidRDefault="00D344AF" w:rsidP="00D344AF">
    <w:pPr>
      <w:pStyle w:val="Footer"/>
      <w:rPr>
        <w:sz w:val="20"/>
        <w:szCs w:val="20"/>
      </w:rPr>
    </w:pPr>
    <w:r w:rsidRPr="002735B1">
      <w:rPr>
        <w:sz w:val="20"/>
        <w:szCs w:val="20"/>
      </w:rPr>
      <w:t>VMizz_</w:t>
    </w:r>
    <w:r w:rsidR="002E704A">
      <w:rPr>
        <w:sz w:val="20"/>
        <w:szCs w:val="20"/>
      </w:rPr>
      <w:t>30</w:t>
    </w:r>
    <w:r>
      <w:rPr>
        <w:sz w:val="20"/>
        <w:szCs w:val="20"/>
      </w:rPr>
      <w:t>0719_RAKUS_stmer</w:t>
    </w:r>
  </w:p>
  <w:p w14:paraId="279F55BC" w14:textId="3D6A3E74" w:rsidR="0087364B" w:rsidRPr="00DC562E" w:rsidRDefault="0087364B" w:rsidP="00DC5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5AC0" w14:textId="77777777" w:rsidR="0087364B" w:rsidRDefault="0087364B">
      <w:r>
        <w:separator/>
      </w:r>
    </w:p>
  </w:footnote>
  <w:footnote w:type="continuationSeparator" w:id="0">
    <w:p w14:paraId="62BE7D03" w14:textId="77777777" w:rsidR="0087364B" w:rsidRDefault="0087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553"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AD27B"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15F"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22</w:t>
    </w:r>
    <w:r>
      <w:rPr>
        <w:rStyle w:val="PageNumber"/>
      </w:rPr>
      <w:fldChar w:fldCharType="end"/>
    </w:r>
  </w:p>
  <w:p w14:paraId="4602F6D6"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87748D"/>
    <w:multiLevelType w:val="hybridMultilevel"/>
    <w:tmpl w:val="CC9E7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9F4F10"/>
    <w:multiLevelType w:val="hybridMultilevel"/>
    <w:tmpl w:val="135E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9"/>
  </w:num>
  <w:num w:numId="4">
    <w:abstractNumId w:val="7"/>
  </w:num>
  <w:num w:numId="5">
    <w:abstractNumId w:val="5"/>
  </w:num>
  <w:num w:numId="6">
    <w:abstractNumId w:val="14"/>
  </w:num>
  <w:num w:numId="7">
    <w:abstractNumId w:val="3"/>
  </w:num>
  <w:num w:numId="8">
    <w:abstractNumId w:val="10"/>
  </w:num>
  <w:num w:numId="9">
    <w:abstractNumId w:val="4"/>
  </w:num>
  <w:num w:numId="10">
    <w:abstractNumId w:val="15"/>
  </w:num>
  <w:num w:numId="11">
    <w:abstractNumId w:val="13"/>
  </w:num>
  <w:num w:numId="12">
    <w:abstractNumId w:val="12"/>
  </w:num>
  <w:num w:numId="13">
    <w:abstractNumId w:val="2"/>
  </w:num>
  <w:num w:numId="14">
    <w:abstractNumId w:val="8"/>
  </w:num>
  <w:num w:numId="15">
    <w:abstractNumId w:val="1"/>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971"/>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0C4C"/>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3BB"/>
    <w:rsid w:val="001B45A9"/>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6F96"/>
    <w:rsid w:val="0021774C"/>
    <w:rsid w:val="00217FF6"/>
    <w:rsid w:val="00222386"/>
    <w:rsid w:val="00222F51"/>
    <w:rsid w:val="002230E1"/>
    <w:rsid w:val="00223361"/>
    <w:rsid w:val="00223EE0"/>
    <w:rsid w:val="002244BA"/>
    <w:rsid w:val="002247AA"/>
    <w:rsid w:val="00224DA7"/>
    <w:rsid w:val="002256D1"/>
    <w:rsid w:val="002261CB"/>
    <w:rsid w:val="002268BF"/>
    <w:rsid w:val="0022787F"/>
    <w:rsid w:val="00227BDE"/>
    <w:rsid w:val="00230045"/>
    <w:rsid w:val="0023014E"/>
    <w:rsid w:val="002308FA"/>
    <w:rsid w:val="00230D3B"/>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47B92"/>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772A1"/>
    <w:rsid w:val="002815D0"/>
    <w:rsid w:val="002820A7"/>
    <w:rsid w:val="00283B82"/>
    <w:rsid w:val="00283E13"/>
    <w:rsid w:val="00285162"/>
    <w:rsid w:val="00286478"/>
    <w:rsid w:val="00287EDD"/>
    <w:rsid w:val="0029141B"/>
    <w:rsid w:val="002927B7"/>
    <w:rsid w:val="002927D3"/>
    <w:rsid w:val="00294BDE"/>
    <w:rsid w:val="00295DB6"/>
    <w:rsid w:val="002962C7"/>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04A"/>
    <w:rsid w:val="002E7360"/>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303"/>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353"/>
    <w:rsid w:val="0037736B"/>
    <w:rsid w:val="00381F57"/>
    <w:rsid w:val="0038216E"/>
    <w:rsid w:val="003822E5"/>
    <w:rsid w:val="003830B8"/>
    <w:rsid w:val="00383262"/>
    <w:rsid w:val="0038397D"/>
    <w:rsid w:val="003943BA"/>
    <w:rsid w:val="00394886"/>
    <w:rsid w:val="00395EF0"/>
    <w:rsid w:val="003A157A"/>
    <w:rsid w:val="003A283F"/>
    <w:rsid w:val="003A2A16"/>
    <w:rsid w:val="003A2FDD"/>
    <w:rsid w:val="003A3C43"/>
    <w:rsid w:val="003A5CCC"/>
    <w:rsid w:val="003A70FF"/>
    <w:rsid w:val="003A73BB"/>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05DB"/>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2CD"/>
    <w:rsid w:val="004F0468"/>
    <w:rsid w:val="004F0C51"/>
    <w:rsid w:val="004F263C"/>
    <w:rsid w:val="004F2BB1"/>
    <w:rsid w:val="004F2EC7"/>
    <w:rsid w:val="004F39D8"/>
    <w:rsid w:val="004F3CE8"/>
    <w:rsid w:val="004F6BFB"/>
    <w:rsid w:val="004F6D60"/>
    <w:rsid w:val="004F7E4A"/>
    <w:rsid w:val="004F7EEB"/>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5C5C"/>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5FE6"/>
    <w:rsid w:val="007F7022"/>
    <w:rsid w:val="007F7690"/>
    <w:rsid w:val="008011CC"/>
    <w:rsid w:val="00801404"/>
    <w:rsid w:val="008017AA"/>
    <w:rsid w:val="00801CBA"/>
    <w:rsid w:val="00801D5C"/>
    <w:rsid w:val="00801D92"/>
    <w:rsid w:val="00804BCF"/>
    <w:rsid w:val="00804FA4"/>
    <w:rsid w:val="00805275"/>
    <w:rsid w:val="00806A62"/>
    <w:rsid w:val="00806BBE"/>
    <w:rsid w:val="00806E55"/>
    <w:rsid w:val="008075CE"/>
    <w:rsid w:val="00812179"/>
    <w:rsid w:val="008124E2"/>
    <w:rsid w:val="00813928"/>
    <w:rsid w:val="00815321"/>
    <w:rsid w:val="008166DB"/>
    <w:rsid w:val="008173E0"/>
    <w:rsid w:val="008175C1"/>
    <w:rsid w:val="008200D4"/>
    <w:rsid w:val="00820370"/>
    <w:rsid w:val="00820CC6"/>
    <w:rsid w:val="00821750"/>
    <w:rsid w:val="00822B27"/>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82C"/>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87B"/>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4B9C"/>
    <w:rsid w:val="00A05628"/>
    <w:rsid w:val="00A07DCF"/>
    <w:rsid w:val="00A12979"/>
    <w:rsid w:val="00A131A9"/>
    <w:rsid w:val="00A1496E"/>
    <w:rsid w:val="00A14F8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05EE"/>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E7D8E"/>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44AF"/>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9CF"/>
    <w:rsid w:val="00DB7E2C"/>
    <w:rsid w:val="00DC027B"/>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3ABB"/>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5A0"/>
    <w:rsid w:val="00F10033"/>
    <w:rsid w:val="00F10848"/>
    <w:rsid w:val="00F10B68"/>
    <w:rsid w:val="00F11F55"/>
    <w:rsid w:val="00F129CE"/>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110"/>
    <w:rsid w:val="00F41746"/>
    <w:rsid w:val="00F41935"/>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BB984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styleId="UnresolvedMention">
    <w:name w:val="Unresolved Mention"/>
    <w:basedOn w:val="DefaultParagraphFont"/>
    <w:uiPriority w:val="99"/>
    <w:semiHidden/>
    <w:unhideWhenUsed/>
    <w:rsid w:val="0041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5898310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805738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1465</Words>
  <Characters>11039</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Par par rīkojuma “Par sabiedrības ar ierobežotu atbildību “Rīgas Austrumu klīniskā universitātes slimnīca” stratēģisko mērķi” projektu</vt:lpstr>
    </vt:vector>
  </TitlesOfParts>
  <Company>Veselības ministrija</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 rīkojuma “Par sabiedrības ar ierobežotu atbildību “Rīgas Austrumu klīniskā universitātes slimnīca” stratēģisko mērķi” projektu</dc:title>
  <dc:subject>Izziņa par atzinumos sniegtajiem iebildumiem</dc:subject>
  <dc:creator>Ligita Roze</dc:creator>
  <dc:description>Roze 67876157_x000d_
ligita.roze@vm.gov.lv</dc:description>
  <cp:lastModifiedBy>Ligita Roze</cp:lastModifiedBy>
  <cp:revision>6</cp:revision>
  <cp:lastPrinted>2019-05-07T07:52:00Z</cp:lastPrinted>
  <dcterms:created xsi:type="dcterms:W3CDTF">2019-07-05T08:08:00Z</dcterms:created>
  <dcterms:modified xsi:type="dcterms:W3CDTF">2019-07-30T08:48:00Z</dcterms:modified>
</cp:coreProperties>
</file>