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9F43" w14:textId="77777777" w:rsidR="00FB65D8" w:rsidRPr="00003586" w:rsidRDefault="00FB65D8" w:rsidP="0029687B">
      <w:pPr>
        <w:pStyle w:val="Bezatstarpm"/>
        <w:jc w:val="center"/>
        <w:rPr>
          <w:b/>
          <w:bCs/>
          <w:sz w:val="28"/>
        </w:rPr>
      </w:pPr>
      <w:r w:rsidRPr="00003586">
        <w:rPr>
          <w:b/>
          <w:sz w:val="28"/>
        </w:rPr>
        <w:t>Ministru kabineta noteikumu projekt</w:t>
      </w:r>
      <w:r w:rsidR="00672E96">
        <w:rPr>
          <w:b/>
          <w:sz w:val="28"/>
        </w:rPr>
        <w:t>a</w:t>
      </w:r>
      <w:r w:rsidRPr="00003586">
        <w:rPr>
          <w:b/>
          <w:sz w:val="28"/>
        </w:rPr>
        <w:t xml:space="preserve"> „</w:t>
      </w:r>
      <w:r w:rsidR="0029687B" w:rsidRPr="0029687B">
        <w:rPr>
          <w:b/>
          <w:sz w:val="28"/>
        </w:rPr>
        <w:t>Grozījumi Ministru kabineta 2012.</w:t>
      </w:r>
      <w:r w:rsidR="004D6B90">
        <w:rPr>
          <w:b/>
          <w:sz w:val="28"/>
        </w:rPr>
        <w:t> </w:t>
      </w:r>
      <w:r w:rsidR="0029687B" w:rsidRPr="0029687B">
        <w:rPr>
          <w:b/>
          <w:sz w:val="28"/>
        </w:rPr>
        <w:t>gada 17. aprīļa noteikumos Nr. 275</w:t>
      </w:r>
      <w:r w:rsidR="00442C9C">
        <w:rPr>
          <w:b/>
          <w:sz w:val="28"/>
        </w:rPr>
        <w:t xml:space="preserve"> </w:t>
      </w:r>
      <w:r w:rsidR="0029687B" w:rsidRPr="0029687B">
        <w:rPr>
          <w:b/>
          <w:sz w:val="28"/>
        </w:rPr>
        <w:t>„Prasības tādu dzīvnieku izcelsmes blakusproduktu un atvasinātu produktu apritei, kas nav paredzēti cilvēku patēriņam”</w:t>
      </w:r>
      <w:r w:rsidRPr="00003586">
        <w:rPr>
          <w:b/>
          <w:sz w:val="28"/>
        </w:rPr>
        <w:t>”</w:t>
      </w:r>
    </w:p>
    <w:p w14:paraId="012B7A4D" w14:textId="77777777" w:rsidR="00FB65D8" w:rsidRPr="00003586" w:rsidRDefault="00FB65D8" w:rsidP="00FB65D8">
      <w:pPr>
        <w:pStyle w:val="Bezatstarpm"/>
        <w:jc w:val="center"/>
        <w:rPr>
          <w:b/>
          <w:bCs/>
          <w:sz w:val="28"/>
        </w:rPr>
      </w:pPr>
      <w:r w:rsidRPr="00003586">
        <w:rPr>
          <w:b/>
          <w:bCs/>
          <w:sz w:val="28"/>
        </w:rPr>
        <w:t>sākotnējās ietekmes novērtējuma ziņojums (anotācija)</w:t>
      </w:r>
    </w:p>
    <w:p w14:paraId="7BFF8ED9" w14:textId="77777777" w:rsidR="00A035B4" w:rsidRPr="000A242C" w:rsidRDefault="00A035B4" w:rsidP="00FB65D8">
      <w:pPr>
        <w:pStyle w:val="Bezatstarpm"/>
        <w:jc w:val="center"/>
        <w:rPr>
          <w:bCs/>
        </w:rPr>
      </w:pPr>
    </w:p>
    <w:tbl>
      <w:tblPr>
        <w:tblStyle w:val="Reatabula"/>
        <w:tblW w:w="4785" w:type="pct"/>
        <w:tblLayout w:type="fixed"/>
        <w:tblLook w:val="04A0" w:firstRow="1" w:lastRow="0" w:firstColumn="1" w:lastColumn="0" w:noHBand="0" w:noVBand="1"/>
      </w:tblPr>
      <w:tblGrid>
        <w:gridCol w:w="562"/>
        <w:gridCol w:w="1843"/>
        <w:gridCol w:w="6266"/>
      </w:tblGrid>
      <w:tr w:rsidR="00A035B4" w:rsidRPr="00D46E60" w14:paraId="33B6EB4D" w14:textId="77777777" w:rsidTr="00461EE3">
        <w:tc>
          <w:tcPr>
            <w:tcW w:w="5000" w:type="pct"/>
            <w:gridSpan w:val="3"/>
          </w:tcPr>
          <w:p w14:paraId="16180CFC" w14:textId="77777777" w:rsidR="00A035B4" w:rsidRPr="00A035B4" w:rsidRDefault="00A035B4" w:rsidP="00236DC9">
            <w:pPr>
              <w:jc w:val="center"/>
              <w:rPr>
                <w:rFonts w:ascii="Times New Roman" w:hAnsi="Times New Roman" w:cs="Times New Roman"/>
                <w:b/>
                <w:bCs/>
                <w:sz w:val="24"/>
                <w:szCs w:val="24"/>
                <w:lang w:eastAsia="lv-LV"/>
              </w:rPr>
            </w:pPr>
            <w:r w:rsidRPr="00A035B4">
              <w:rPr>
                <w:rFonts w:ascii="Times New Roman" w:hAnsi="Times New Roman" w:cs="Times New Roman"/>
                <w:b/>
                <w:bCs/>
                <w:sz w:val="24"/>
                <w:szCs w:val="24"/>
                <w:lang w:eastAsia="lv-LV"/>
              </w:rPr>
              <w:t>Tiesību akta projekta anotācijas kopsavilkums</w:t>
            </w:r>
          </w:p>
        </w:tc>
      </w:tr>
      <w:tr w:rsidR="00A035B4" w:rsidRPr="00D46E60" w14:paraId="7483B5DF" w14:textId="77777777" w:rsidTr="00671CF0">
        <w:tc>
          <w:tcPr>
            <w:tcW w:w="1387" w:type="pct"/>
            <w:gridSpan w:val="2"/>
          </w:tcPr>
          <w:p w14:paraId="0B6DB4F4" w14:textId="77777777" w:rsidR="00A035B4" w:rsidRPr="00A035B4" w:rsidRDefault="00A035B4" w:rsidP="00236DC9">
            <w:pPr>
              <w:jc w:val="both"/>
              <w:rPr>
                <w:rFonts w:ascii="Times New Roman" w:hAnsi="Times New Roman" w:cs="Times New Roman"/>
                <w:sz w:val="24"/>
                <w:szCs w:val="24"/>
                <w:highlight w:val="yellow"/>
                <w:lang w:eastAsia="lv-LV"/>
              </w:rPr>
            </w:pPr>
            <w:r w:rsidRPr="00A035B4">
              <w:rPr>
                <w:rFonts w:ascii="Times New Roman" w:hAnsi="Times New Roman" w:cs="Times New Roman"/>
                <w:sz w:val="24"/>
                <w:szCs w:val="24"/>
              </w:rPr>
              <w:t>Mērķis, risinājums un projekta spēkā stāšanās laiks (500 zīmes bez atstarpēm)</w:t>
            </w:r>
          </w:p>
        </w:tc>
        <w:tc>
          <w:tcPr>
            <w:tcW w:w="3613" w:type="pct"/>
          </w:tcPr>
          <w:p w14:paraId="0AC3AF2A" w14:textId="77777777" w:rsidR="0049366E" w:rsidRPr="0049366E" w:rsidRDefault="0049366E" w:rsidP="0049366E">
            <w:pPr>
              <w:jc w:val="both"/>
              <w:rPr>
                <w:rFonts w:ascii="Times New Roman" w:hAnsi="Times New Roman" w:cs="Times New Roman"/>
                <w:sz w:val="24"/>
              </w:rPr>
            </w:pPr>
            <w:r w:rsidRPr="0049366E">
              <w:rPr>
                <w:rFonts w:ascii="Times New Roman" w:hAnsi="Times New Roman" w:cs="Times New Roman"/>
                <w:sz w:val="24"/>
              </w:rPr>
              <w:t>Sagatavotais MK noteikumu projekts paredz, ka:</w:t>
            </w:r>
          </w:p>
          <w:p w14:paraId="10238C6B" w14:textId="252843B9" w:rsidR="0049366E" w:rsidRPr="0049366E" w:rsidRDefault="0049366E" w:rsidP="0049366E">
            <w:pPr>
              <w:jc w:val="both"/>
              <w:rPr>
                <w:rFonts w:ascii="Times New Roman" w:hAnsi="Times New Roman" w:cs="Times New Roman"/>
                <w:sz w:val="24"/>
              </w:rPr>
            </w:pPr>
            <w:r w:rsidRPr="0049366E">
              <w:rPr>
                <w:rFonts w:ascii="Times New Roman" w:hAnsi="Times New Roman" w:cs="Times New Roman"/>
                <w:sz w:val="24"/>
              </w:rPr>
              <w:t xml:space="preserve">1) Valsts vides dienests ir </w:t>
            </w:r>
            <w:r w:rsidR="00EF3D55" w:rsidRPr="00EF3D55">
              <w:rPr>
                <w:rFonts w:ascii="Times New Roman" w:hAnsi="Times New Roman" w:cs="Times New Roman"/>
                <w:sz w:val="24"/>
                <w:szCs w:val="24"/>
              </w:rPr>
              <w:t xml:space="preserve">Eiropas Komisijas 2011. gada 25. februāra Regulas (ES) Nr.142/2011, ar kuru īsteno Eiropas Parlamenta un Padomes Regulu (EK) Nr.1069/2009, ar ko nosaka veselības aizsardzības noteikumus attiecībā uz dzīvnieku izcelsmes blakusproduktiem un atvasinātajiem produktiem, </w:t>
            </w:r>
            <w:proofErr w:type="gramStart"/>
            <w:r w:rsidR="00EF3D55" w:rsidRPr="00EF3D55">
              <w:rPr>
                <w:rFonts w:ascii="Times New Roman" w:hAnsi="Times New Roman" w:cs="Times New Roman"/>
                <w:sz w:val="24"/>
                <w:szCs w:val="24"/>
              </w:rPr>
              <w:t>kuri nav</w:t>
            </w:r>
            <w:proofErr w:type="gramEnd"/>
            <w:r w:rsidR="00EF3D55" w:rsidRPr="00EF3D55">
              <w:rPr>
                <w:rFonts w:ascii="Times New Roman" w:hAnsi="Times New Roman" w:cs="Times New Roman"/>
                <w:sz w:val="24"/>
                <w:szCs w:val="24"/>
              </w:rPr>
              <w:t xml:space="preserve"> paredzēti cilvēku patēriņam, un īsteno Padomes Direktīvu 97/78/EK attiecībā uz dažiem paraugiem un precēm, kam uz robežas neveic veterinārās pārbaudes atbilstīgi minētajai direktīvai, (turpmāk – R</w:t>
            </w:r>
            <w:r w:rsidR="00EF3D55">
              <w:rPr>
                <w:rFonts w:ascii="Times New Roman" w:hAnsi="Times New Roman" w:cs="Times New Roman"/>
                <w:sz w:val="24"/>
                <w:szCs w:val="24"/>
              </w:rPr>
              <w:t>egula Nr. 142/2011)</w:t>
            </w:r>
            <w:r w:rsidR="00EF3D55" w:rsidRPr="00EF3D55">
              <w:rPr>
                <w:rFonts w:ascii="Times New Roman" w:hAnsi="Times New Roman" w:cs="Times New Roman"/>
                <w:sz w:val="24"/>
                <w:szCs w:val="24"/>
              </w:rPr>
              <w:t xml:space="preserve"> </w:t>
            </w:r>
            <w:r w:rsidRPr="0049366E">
              <w:rPr>
                <w:rFonts w:ascii="Times New Roman" w:hAnsi="Times New Roman" w:cs="Times New Roman"/>
                <w:sz w:val="24"/>
              </w:rPr>
              <w:t>6. panta 8. punktā minētā par vides jautājumiem atbildīgā kompetentā iestāde, kas sniedz apstiprinājumu par atbilstību regulā 2017/1262 noteiktām prasībām iekārtai, kurā par kurināmo izmanto lauksaimniecības dzīvnieku kūtsmēslus;</w:t>
            </w:r>
          </w:p>
          <w:p w14:paraId="3ECE9427" w14:textId="14BAE0E8" w:rsidR="0049366E" w:rsidRPr="0049366E" w:rsidRDefault="0049366E" w:rsidP="0049366E">
            <w:pPr>
              <w:jc w:val="both"/>
              <w:rPr>
                <w:rFonts w:ascii="Times New Roman" w:hAnsi="Times New Roman" w:cs="Times New Roman"/>
                <w:sz w:val="24"/>
              </w:rPr>
            </w:pPr>
            <w:r w:rsidRPr="0049366E">
              <w:rPr>
                <w:rFonts w:ascii="Times New Roman" w:hAnsi="Times New Roman" w:cs="Times New Roman"/>
                <w:sz w:val="24"/>
              </w:rPr>
              <w:t xml:space="preserve">2) blakusproduktu apritē iesaistītā persona Latvijas teritorijā un uz Eiropas Savienības dalībvalstīm transportējamiem blakusproduktiem nodrošina tirdzniecības dokumentu atbilstoši Regulas </w:t>
            </w:r>
            <w:r w:rsidR="00EF3D55">
              <w:rPr>
                <w:rFonts w:ascii="Times New Roman" w:hAnsi="Times New Roman" w:cs="Times New Roman"/>
                <w:sz w:val="24"/>
              </w:rPr>
              <w:t xml:space="preserve">Nr. </w:t>
            </w:r>
            <w:r w:rsidRPr="0049366E">
              <w:rPr>
                <w:rFonts w:ascii="Times New Roman" w:hAnsi="Times New Roman" w:cs="Times New Roman"/>
                <w:sz w:val="24"/>
              </w:rPr>
              <w:t>142/2011 17. pantā noteiktajām prasībām, tāpēc ir svītrojams noteikumu 20.punkts un 1.pielikums</w:t>
            </w:r>
            <w:r>
              <w:rPr>
                <w:rFonts w:ascii="Times New Roman" w:hAnsi="Times New Roman" w:cs="Times New Roman"/>
                <w:sz w:val="24"/>
              </w:rPr>
              <w:t>. Prasība</w:t>
            </w:r>
            <w:r>
              <w:t xml:space="preserve"> </w:t>
            </w:r>
            <w:r w:rsidRPr="0049366E">
              <w:rPr>
                <w:rFonts w:ascii="Times New Roman" w:hAnsi="Times New Roman" w:cs="Times New Roman"/>
                <w:sz w:val="24"/>
              </w:rPr>
              <w:t>stā</w:t>
            </w:r>
            <w:r>
              <w:rPr>
                <w:rFonts w:ascii="Times New Roman" w:hAnsi="Times New Roman" w:cs="Times New Roman"/>
                <w:sz w:val="24"/>
              </w:rPr>
              <w:t>sies</w:t>
            </w:r>
            <w:r w:rsidRPr="0049366E">
              <w:rPr>
                <w:rFonts w:ascii="Times New Roman" w:hAnsi="Times New Roman" w:cs="Times New Roman"/>
                <w:sz w:val="24"/>
              </w:rPr>
              <w:t xml:space="preserve"> spēkā 2019. gada 31. decembrī;</w:t>
            </w:r>
          </w:p>
          <w:p w14:paraId="16166740" w14:textId="49DA9258" w:rsidR="00A035B4" w:rsidRPr="00741B80" w:rsidRDefault="0049366E" w:rsidP="0049366E">
            <w:pPr>
              <w:jc w:val="both"/>
              <w:rPr>
                <w:rFonts w:ascii="Times New Roman" w:hAnsi="Times New Roman" w:cs="Times New Roman"/>
                <w:sz w:val="24"/>
                <w:szCs w:val="24"/>
                <w:lang w:eastAsia="lv-LV"/>
              </w:rPr>
            </w:pPr>
            <w:r w:rsidRPr="0049366E">
              <w:rPr>
                <w:rFonts w:ascii="Times New Roman" w:hAnsi="Times New Roman" w:cs="Times New Roman"/>
                <w:sz w:val="24"/>
              </w:rPr>
              <w:t xml:space="preserve">3) </w:t>
            </w:r>
            <w:r w:rsidR="00EF3D55">
              <w:rPr>
                <w:rFonts w:ascii="Times New Roman" w:hAnsi="Times New Roman" w:cs="Times New Roman"/>
                <w:sz w:val="24"/>
              </w:rPr>
              <w:t xml:space="preserve">izdarāmi </w:t>
            </w:r>
            <w:r w:rsidRPr="0049366E">
              <w:rPr>
                <w:rFonts w:ascii="Times New Roman" w:hAnsi="Times New Roman" w:cs="Times New Roman"/>
                <w:sz w:val="24"/>
              </w:rPr>
              <w:t>redakcionāli precizējumi (svītrots 20. punktu un 1.pielikums jāpapildina ar nosacījumiem par fizisko personu datu apstrādi).</w:t>
            </w:r>
          </w:p>
        </w:tc>
      </w:tr>
      <w:tr w:rsidR="00FB65D8" w:rsidRPr="000A242C" w14:paraId="22BB61B2" w14:textId="77777777" w:rsidTr="00461EE3">
        <w:tc>
          <w:tcPr>
            <w:tcW w:w="5000" w:type="pct"/>
            <w:gridSpan w:val="3"/>
          </w:tcPr>
          <w:p w14:paraId="7BE531FB" w14:textId="77777777" w:rsidR="00FB65D8" w:rsidRPr="00A035B4" w:rsidRDefault="00FB65D8" w:rsidP="00F62526">
            <w:pPr>
              <w:pStyle w:val="Bezatstarpm"/>
              <w:jc w:val="center"/>
              <w:rPr>
                <w:b/>
              </w:rPr>
            </w:pPr>
            <w:r w:rsidRPr="00A035B4">
              <w:rPr>
                <w:b/>
              </w:rPr>
              <w:t>I. Tiesību akta projekta izstrādes nepieciešamība</w:t>
            </w:r>
          </w:p>
        </w:tc>
      </w:tr>
      <w:tr w:rsidR="00FB65D8" w:rsidRPr="000A242C" w14:paraId="2B6EB7EC" w14:textId="77777777" w:rsidTr="00671CF0">
        <w:tc>
          <w:tcPr>
            <w:tcW w:w="324" w:type="pct"/>
          </w:tcPr>
          <w:p w14:paraId="099FB8B8" w14:textId="77777777" w:rsidR="00FB65D8" w:rsidRPr="000A242C" w:rsidRDefault="00FB65D8" w:rsidP="00F62526">
            <w:pPr>
              <w:pStyle w:val="Bezatstarpm"/>
            </w:pPr>
            <w:r w:rsidRPr="000A242C">
              <w:t>1.</w:t>
            </w:r>
          </w:p>
        </w:tc>
        <w:tc>
          <w:tcPr>
            <w:tcW w:w="1063" w:type="pct"/>
          </w:tcPr>
          <w:p w14:paraId="4F7E1028" w14:textId="77777777" w:rsidR="00FB65D8" w:rsidRPr="000A242C" w:rsidRDefault="00FB65D8" w:rsidP="00F62526">
            <w:pPr>
              <w:pStyle w:val="Bezatstarpm"/>
            </w:pPr>
            <w:r w:rsidRPr="000A242C">
              <w:t>Pamatojums</w:t>
            </w:r>
          </w:p>
        </w:tc>
        <w:tc>
          <w:tcPr>
            <w:tcW w:w="3613" w:type="pct"/>
          </w:tcPr>
          <w:p w14:paraId="323EB9E8" w14:textId="77777777" w:rsidR="00FB65D8" w:rsidRPr="000A242C" w:rsidRDefault="0022273A" w:rsidP="00040EA9">
            <w:pPr>
              <w:pStyle w:val="Bezatstarpm"/>
              <w:jc w:val="both"/>
            </w:pPr>
            <w:r w:rsidRPr="0022273A">
              <w:t xml:space="preserve">Veterinārmedicīnas likuma </w:t>
            </w:r>
            <w:r w:rsidR="00040EA9" w:rsidRPr="00040EA9">
              <w:t>42.</w:t>
            </w:r>
            <w:r w:rsidR="00040EA9" w:rsidRPr="00040EA9">
              <w:rPr>
                <w:vertAlign w:val="superscript"/>
              </w:rPr>
              <w:t>1</w:t>
            </w:r>
            <w:r w:rsidR="00040EA9">
              <w:t xml:space="preserve"> panta otr</w:t>
            </w:r>
            <w:r w:rsidR="004D6B90">
              <w:t>ā</w:t>
            </w:r>
            <w:r w:rsidR="00040EA9">
              <w:t xml:space="preserve"> daļa</w:t>
            </w:r>
          </w:p>
        </w:tc>
      </w:tr>
      <w:tr w:rsidR="00FB65D8" w:rsidRPr="00A25835" w14:paraId="3D7CC2CE" w14:textId="77777777" w:rsidTr="00671CF0">
        <w:tc>
          <w:tcPr>
            <w:tcW w:w="324" w:type="pct"/>
          </w:tcPr>
          <w:p w14:paraId="5192ACE1" w14:textId="77777777" w:rsidR="00FB65D8" w:rsidRPr="000A242C" w:rsidRDefault="00FB65D8" w:rsidP="00F62526">
            <w:pPr>
              <w:pStyle w:val="Bezatstarpm"/>
            </w:pPr>
            <w:r w:rsidRPr="000A242C">
              <w:t>2.</w:t>
            </w:r>
          </w:p>
        </w:tc>
        <w:tc>
          <w:tcPr>
            <w:tcW w:w="1063" w:type="pct"/>
          </w:tcPr>
          <w:p w14:paraId="02FF0CE8" w14:textId="77777777" w:rsidR="00823C7D" w:rsidRDefault="00FB65D8" w:rsidP="00F62526">
            <w:pPr>
              <w:pStyle w:val="Bezatstarpm"/>
              <w:jc w:val="both"/>
            </w:pPr>
            <w:r w:rsidRPr="000A242C">
              <w:t>Pašreizējā situācija un problēmas, kuru risināšanai tiesību akta projekts izstrādāts, tiesiskā regulējuma mērķis un būtība</w:t>
            </w:r>
          </w:p>
          <w:p w14:paraId="0D9ED99B" w14:textId="77777777" w:rsidR="00823C7D" w:rsidRPr="00823C7D" w:rsidRDefault="00823C7D" w:rsidP="00823C7D">
            <w:pPr>
              <w:rPr>
                <w:lang w:eastAsia="lv-LV"/>
              </w:rPr>
            </w:pPr>
          </w:p>
          <w:p w14:paraId="220EC111" w14:textId="77777777" w:rsidR="00823C7D" w:rsidRPr="00823C7D" w:rsidRDefault="00823C7D" w:rsidP="00823C7D">
            <w:pPr>
              <w:rPr>
                <w:lang w:eastAsia="lv-LV"/>
              </w:rPr>
            </w:pPr>
          </w:p>
          <w:p w14:paraId="2B1164AC" w14:textId="77777777" w:rsidR="00823C7D" w:rsidRPr="00823C7D" w:rsidRDefault="00823C7D" w:rsidP="00823C7D">
            <w:pPr>
              <w:rPr>
                <w:lang w:eastAsia="lv-LV"/>
              </w:rPr>
            </w:pPr>
          </w:p>
          <w:p w14:paraId="554FD680" w14:textId="77777777" w:rsidR="00823C7D" w:rsidRPr="00823C7D" w:rsidRDefault="00823C7D" w:rsidP="00823C7D">
            <w:pPr>
              <w:rPr>
                <w:lang w:eastAsia="lv-LV"/>
              </w:rPr>
            </w:pPr>
          </w:p>
          <w:p w14:paraId="72E4D94B" w14:textId="77777777" w:rsidR="00823C7D" w:rsidRPr="00823C7D" w:rsidRDefault="00823C7D" w:rsidP="00823C7D">
            <w:pPr>
              <w:rPr>
                <w:lang w:eastAsia="lv-LV"/>
              </w:rPr>
            </w:pPr>
          </w:p>
          <w:p w14:paraId="5071088F" w14:textId="77777777" w:rsidR="00823C7D" w:rsidRPr="00823C7D" w:rsidRDefault="00823C7D" w:rsidP="00823C7D">
            <w:pPr>
              <w:rPr>
                <w:lang w:eastAsia="lv-LV"/>
              </w:rPr>
            </w:pPr>
          </w:p>
          <w:p w14:paraId="1B622899" w14:textId="77777777" w:rsidR="00823C7D" w:rsidRPr="00823C7D" w:rsidRDefault="00823C7D" w:rsidP="00823C7D">
            <w:pPr>
              <w:rPr>
                <w:lang w:eastAsia="lv-LV"/>
              </w:rPr>
            </w:pPr>
          </w:p>
          <w:p w14:paraId="1FBC3679" w14:textId="77777777" w:rsidR="00823C7D" w:rsidRPr="00823C7D" w:rsidRDefault="00823C7D" w:rsidP="00823C7D">
            <w:pPr>
              <w:rPr>
                <w:lang w:eastAsia="lv-LV"/>
              </w:rPr>
            </w:pPr>
          </w:p>
          <w:p w14:paraId="12827EFA" w14:textId="77777777" w:rsidR="00823C7D" w:rsidRPr="00823C7D" w:rsidRDefault="00823C7D" w:rsidP="00823C7D">
            <w:pPr>
              <w:rPr>
                <w:lang w:eastAsia="lv-LV"/>
              </w:rPr>
            </w:pPr>
          </w:p>
          <w:p w14:paraId="334DE715" w14:textId="77777777" w:rsidR="00823C7D" w:rsidRPr="00823C7D" w:rsidRDefault="00823C7D" w:rsidP="00823C7D">
            <w:pPr>
              <w:rPr>
                <w:lang w:eastAsia="lv-LV"/>
              </w:rPr>
            </w:pPr>
          </w:p>
          <w:p w14:paraId="4EA6D530" w14:textId="77777777" w:rsidR="00823C7D" w:rsidRPr="00823C7D" w:rsidRDefault="00823C7D" w:rsidP="00823C7D">
            <w:pPr>
              <w:rPr>
                <w:lang w:eastAsia="lv-LV"/>
              </w:rPr>
            </w:pPr>
          </w:p>
          <w:p w14:paraId="714D73FE" w14:textId="77777777" w:rsidR="00823C7D" w:rsidRPr="00823C7D" w:rsidRDefault="00823C7D" w:rsidP="00823C7D">
            <w:pPr>
              <w:rPr>
                <w:lang w:eastAsia="lv-LV"/>
              </w:rPr>
            </w:pPr>
          </w:p>
          <w:p w14:paraId="4367C425" w14:textId="77777777" w:rsidR="00823C7D" w:rsidRPr="00823C7D" w:rsidRDefault="00823C7D" w:rsidP="00823C7D">
            <w:pPr>
              <w:rPr>
                <w:lang w:eastAsia="lv-LV"/>
              </w:rPr>
            </w:pPr>
          </w:p>
          <w:p w14:paraId="7EDC966E" w14:textId="77777777" w:rsidR="00823C7D" w:rsidRPr="00823C7D" w:rsidRDefault="00823C7D" w:rsidP="00823C7D">
            <w:pPr>
              <w:rPr>
                <w:lang w:eastAsia="lv-LV"/>
              </w:rPr>
            </w:pPr>
          </w:p>
          <w:p w14:paraId="6F83F5BD" w14:textId="77777777" w:rsidR="00823C7D" w:rsidRPr="00823C7D" w:rsidRDefault="00823C7D" w:rsidP="00823C7D">
            <w:pPr>
              <w:rPr>
                <w:lang w:eastAsia="lv-LV"/>
              </w:rPr>
            </w:pPr>
          </w:p>
          <w:p w14:paraId="34775690" w14:textId="77777777" w:rsidR="00823C7D" w:rsidRPr="00823C7D" w:rsidRDefault="00823C7D" w:rsidP="00823C7D">
            <w:pPr>
              <w:rPr>
                <w:lang w:eastAsia="lv-LV"/>
              </w:rPr>
            </w:pPr>
          </w:p>
          <w:p w14:paraId="61409260" w14:textId="77777777" w:rsidR="00823C7D" w:rsidRDefault="00823C7D" w:rsidP="00823C7D">
            <w:pPr>
              <w:rPr>
                <w:lang w:eastAsia="lv-LV"/>
              </w:rPr>
            </w:pPr>
          </w:p>
          <w:p w14:paraId="053C5255" w14:textId="77777777" w:rsidR="00823C7D" w:rsidRPr="00823C7D" w:rsidRDefault="00823C7D" w:rsidP="00823C7D">
            <w:pPr>
              <w:rPr>
                <w:lang w:eastAsia="lv-LV"/>
              </w:rPr>
            </w:pPr>
          </w:p>
          <w:p w14:paraId="762F381B" w14:textId="77777777" w:rsidR="00823C7D" w:rsidRPr="00823C7D" w:rsidRDefault="00823C7D" w:rsidP="00823C7D">
            <w:pPr>
              <w:rPr>
                <w:lang w:eastAsia="lv-LV"/>
              </w:rPr>
            </w:pPr>
          </w:p>
          <w:p w14:paraId="0C884A9D" w14:textId="77777777" w:rsidR="00823C7D" w:rsidRPr="00823C7D" w:rsidRDefault="00823C7D" w:rsidP="00823C7D">
            <w:pPr>
              <w:rPr>
                <w:lang w:eastAsia="lv-LV"/>
              </w:rPr>
            </w:pPr>
          </w:p>
          <w:p w14:paraId="63A3249A" w14:textId="77777777" w:rsidR="00823C7D" w:rsidRPr="00823C7D" w:rsidRDefault="00823C7D" w:rsidP="00823C7D">
            <w:pPr>
              <w:rPr>
                <w:lang w:eastAsia="lv-LV"/>
              </w:rPr>
            </w:pPr>
          </w:p>
          <w:p w14:paraId="04C0114C" w14:textId="77777777" w:rsidR="00823C7D" w:rsidRPr="00823C7D" w:rsidRDefault="00823C7D" w:rsidP="00823C7D">
            <w:pPr>
              <w:rPr>
                <w:lang w:eastAsia="lv-LV"/>
              </w:rPr>
            </w:pPr>
          </w:p>
          <w:p w14:paraId="576452EB" w14:textId="77777777" w:rsidR="00823C7D" w:rsidRPr="00823C7D" w:rsidRDefault="00823C7D" w:rsidP="00823C7D">
            <w:pPr>
              <w:rPr>
                <w:lang w:eastAsia="lv-LV"/>
              </w:rPr>
            </w:pPr>
          </w:p>
          <w:p w14:paraId="3ECDF80F" w14:textId="77777777" w:rsidR="00823C7D" w:rsidRDefault="00823C7D" w:rsidP="00823C7D">
            <w:pPr>
              <w:rPr>
                <w:lang w:eastAsia="lv-LV"/>
              </w:rPr>
            </w:pPr>
          </w:p>
          <w:p w14:paraId="7EB2267F" w14:textId="77777777" w:rsidR="00823C7D" w:rsidRPr="00823C7D" w:rsidRDefault="00823C7D" w:rsidP="00823C7D">
            <w:pPr>
              <w:rPr>
                <w:lang w:eastAsia="lv-LV"/>
              </w:rPr>
            </w:pPr>
          </w:p>
          <w:p w14:paraId="137BC82E" w14:textId="77777777" w:rsidR="00823C7D" w:rsidRPr="00823C7D" w:rsidRDefault="00823C7D" w:rsidP="00823C7D">
            <w:pPr>
              <w:rPr>
                <w:lang w:eastAsia="lv-LV"/>
              </w:rPr>
            </w:pPr>
          </w:p>
          <w:p w14:paraId="0EBB51E0" w14:textId="77777777" w:rsidR="00B52F8B" w:rsidRDefault="00C664C1" w:rsidP="00C664C1">
            <w:pPr>
              <w:tabs>
                <w:tab w:val="left" w:pos="315"/>
              </w:tabs>
              <w:rPr>
                <w:lang w:eastAsia="lv-LV"/>
              </w:rPr>
            </w:pPr>
            <w:r>
              <w:rPr>
                <w:lang w:eastAsia="lv-LV"/>
              </w:rPr>
              <w:tab/>
            </w:r>
          </w:p>
          <w:p w14:paraId="4340A497" w14:textId="77777777" w:rsidR="00FB65D8" w:rsidRPr="00B52F8B" w:rsidRDefault="00FB65D8" w:rsidP="00B52F8B">
            <w:pPr>
              <w:rPr>
                <w:lang w:eastAsia="lv-LV"/>
              </w:rPr>
            </w:pPr>
          </w:p>
        </w:tc>
        <w:tc>
          <w:tcPr>
            <w:tcW w:w="3613" w:type="pct"/>
          </w:tcPr>
          <w:p w14:paraId="21F700C3" w14:textId="77777777" w:rsidR="00040EA9" w:rsidRPr="009243C4" w:rsidRDefault="00040EA9" w:rsidP="00BB27F7">
            <w:pPr>
              <w:pStyle w:val="Bezatstarpm"/>
              <w:jc w:val="both"/>
            </w:pPr>
            <w:r w:rsidRPr="009243C4">
              <w:lastRenderedPageBreak/>
              <w:t>Patlaban spēkā ir</w:t>
            </w:r>
            <w:r w:rsidR="003A52E7" w:rsidRPr="009243C4">
              <w:t xml:space="preserve"> </w:t>
            </w:r>
            <w:r w:rsidRPr="009243C4">
              <w:t>Ministru kabineta 2012.</w:t>
            </w:r>
            <w:r w:rsidR="00C04A4F" w:rsidRPr="009243C4">
              <w:t xml:space="preserve"> </w:t>
            </w:r>
            <w:r w:rsidRPr="009243C4">
              <w:t>gada 17.</w:t>
            </w:r>
            <w:r w:rsidR="00C04A4F" w:rsidRPr="009243C4">
              <w:t xml:space="preserve"> </w:t>
            </w:r>
            <w:r w:rsidRPr="009243C4">
              <w:t>aprīļa noteikumi Nr.275 „Prasības tādu dzīvnieku izcelsmes blakusproduktu un atvasinātu produktu apritei, kas nav paredzēti cilvēku patēriņam”” (turpmāk – noteikumi Nr.275)</w:t>
            </w:r>
            <w:r w:rsidR="003A52E7" w:rsidRPr="009243C4">
              <w:t>.</w:t>
            </w:r>
          </w:p>
          <w:p w14:paraId="1BE4EC65" w14:textId="77777777" w:rsidR="00040EA9" w:rsidRPr="009243C4" w:rsidRDefault="00C04A4F" w:rsidP="00BB27F7">
            <w:pPr>
              <w:pStyle w:val="Bezatstarpm"/>
              <w:jc w:val="both"/>
            </w:pPr>
            <w:r w:rsidRPr="009243C4">
              <w:t xml:space="preserve">Komisijas 2017. gada 12. jūlija Regula </w:t>
            </w:r>
            <w:r w:rsidR="00040EA9" w:rsidRPr="009243C4">
              <w:t>(ES) 2017/1262, ar ko Regulu (ES) Nr. 142/2011 groza attiecībā uz lauksaimniecības dzīvnieku kūtsmēsliem, kurus izmanto par kurināmo dedzināšanas iekārtās</w:t>
            </w:r>
            <w:r w:rsidR="004D6B90" w:rsidRPr="009243C4">
              <w:t>,</w:t>
            </w:r>
            <w:r w:rsidRPr="009243C4">
              <w:t xml:space="preserve"> (turpmāk – Regula 2017/1262) reglamentē visu veidu lauksaimniecības dzīvnieku kūtsmēslu izmantošanu par kurināmo. Lauksaimniecības dzīvnieku kūtsmēsli </w:t>
            </w:r>
            <w:r w:rsidR="0029687B" w:rsidRPr="009243C4">
              <w:t>ir</w:t>
            </w:r>
            <w:r w:rsidRPr="009243C4">
              <w:t xml:space="preserve"> ilgtspējīgs dedzināšanas iekārtu kurināmā avots, </w:t>
            </w:r>
            <w:r w:rsidR="004D6B90" w:rsidRPr="009243C4">
              <w:t>ja vien</w:t>
            </w:r>
            <w:r w:rsidRPr="009243C4">
              <w:t xml:space="preserve"> dedzināšanas process atbilst konkrētām prasībām, kuru mērķis ir efektīvi samazināt nelabvēlīgo ietekmi uz dzīvnieku un cilvēku veselību un vidi, kādu rada kūtsmēslu izmantošana par kurināmo.</w:t>
            </w:r>
          </w:p>
          <w:p w14:paraId="384D90F8" w14:textId="44DEB32E" w:rsidR="00706E53" w:rsidRPr="009243C4" w:rsidRDefault="008D56DD" w:rsidP="00BB27F7">
            <w:pPr>
              <w:pStyle w:val="Bezatstarpm"/>
              <w:jc w:val="both"/>
            </w:pPr>
            <w:r w:rsidRPr="009243C4">
              <w:t>A</w:t>
            </w:r>
            <w:r w:rsidR="00A4202F" w:rsidRPr="009243C4">
              <w:t>r Regul</w:t>
            </w:r>
            <w:r w:rsidRPr="009243C4">
              <w:t>as</w:t>
            </w:r>
            <w:r w:rsidR="00A4202F" w:rsidRPr="009243C4">
              <w:t xml:space="preserve"> 2017/1262 </w:t>
            </w:r>
            <w:r w:rsidRPr="009243C4">
              <w:t xml:space="preserve">1. pantu </w:t>
            </w:r>
            <w:r w:rsidR="00671CF0" w:rsidRPr="009243C4">
              <w:t>R</w:t>
            </w:r>
            <w:r w:rsidR="00380304" w:rsidRPr="009243C4">
              <w:t>egula</w:t>
            </w:r>
            <w:r w:rsidR="00EF3D55">
              <w:t>s</w:t>
            </w:r>
            <w:r w:rsidR="00380304" w:rsidRPr="009243C4">
              <w:t xml:space="preserve"> </w:t>
            </w:r>
            <w:r w:rsidR="00EF3D55">
              <w:t xml:space="preserve">Nr. </w:t>
            </w:r>
            <w:r w:rsidR="00380304" w:rsidRPr="009243C4">
              <w:t>142/2011 6. panta 8.</w:t>
            </w:r>
            <w:r w:rsidR="004D6B90" w:rsidRPr="009243C4">
              <w:t> </w:t>
            </w:r>
            <w:r w:rsidR="00380304" w:rsidRPr="009243C4">
              <w:t xml:space="preserve">punkts </w:t>
            </w:r>
            <w:r w:rsidRPr="009243C4">
              <w:t>izteikts jaunā redakcijā</w:t>
            </w:r>
            <w:r w:rsidR="00A4202F" w:rsidRPr="009243C4">
              <w:t xml:space="preserve">. </w:t>
            </w:r>
          </w:p>
          <w:p w14:paraId="12BF4F5E" w14:textId="30531D57" w:rsidR="00CB008C" w:rsidRPr="00875364" w:rsidRDefault="007875BC" w:rsidP="007875BC">
            <w:pPr>
              <w:pStyle w:val="Bezatstarpm"/>
              <w:jc w:val="both"/>
            </w:pPr>
            <w:r w:rsidRPr="00875364">
              <w:lastRenderedPageBreak/>
              <w:t>Noteikum</w:t>
            </w:r>
            <w:r w:rsidR="00AF728B" w:rsidRPr="00875364">
              <w:t>i</w:t>
            </w:r>
            <w:r w:rsidRPr="00875364">
              <w:t xml:space="preserve"> </w:t>
            </w:r>
            <w:r w:rsidR="00AF728B" w:rsidRPr="00875364">
              <w:t xml:space="preserve">Nr.275 </w:t>
            </w:r>
            <w:bookmarkStart w:id="0" w:name="_GoBack"/>
            <w:bookmarkEnd w:id="0"/>
            <w:r w:rsidRPr="00875364">
              <w:t>izdot</w:t>
            </w:r>
            <w:r w:rsidR="00AF728B" w:rsidRPr="00875364">
              <w:t>i</w:t>
            </w:r>
            <w:r w:rsidRPr="00875364">
              <w:t>, pamatojoties uz Veterinārmedicīnas likumā noteikto, tāpēc noteikumu projektā tiek l</w:t>
            </w:r>
            <w:r w:rsidR="006640F4">
              <w:t>ietots Veterinārmedicīnas likuma</w:t>
            </w:r>
            <w:r w:rsidRPr="00875364">
              <w:t xml:space="preserve"> termins </w:t>
            </w:r>
            <w:r w:rsidR="006640F4">
              <w:t>“</w:t>
            </w:r>
            <w:r w:rsidRPr="00875364">
              <w:t>dzīvnieku izcelsmes blakusproduktu apritē iesaistītā persona</w:t>
            </w:r>
            <w:r w:rsidR="006640F4">
              <w:t>”</w:t>
            </w:r>
            <w:r w:rsidRPr="00875364">
              <w:t xml:space="preserve">. Blakusproduktu apritē iesaistītā persona ir fiziska vai juridiska persona, kuras darbību </w:t>
            </w:r>
            <w:r w:rsidR="006640F4" w:rsidRPr="00875364">
              <w:t xml:space="preserve">atzinis vai reģistrējis </w:t>
            </w:r>
            <w:r w:rsidR="00CB008C" w:rsidRPr="00875364">
              <w:t>Pārtikas un veterinārais dienests (turpmāk – PVD)</w:t>
            </w:r>
            <w:r w:rsidRPr="00875364">
              <w:t xml:space="preserve"> saskaņā ar prasībām, kas noteiktas </w:t>
            </w:r>
            <w:r w:rsidR="001430A6" w:rsidRPr="001430A6">
              <w:t>Eiropas Parlamenta un Padomes 2009.</w:t>
            </w:r>
            <w:r w:rsidR="001430A6">
              <w:t xml:space="preserve"> </w:t>
            </w:r>
            <w:r w:rsidR="001430A6" w:rsidRPr="001430A6">
              <w:t>gada 21.</w:t>
            </w:r>
            <w:r w:rsidR="001430A6">
              <w:t xml:space="preserve"> </w:t>
            </w:r>
            <w:r w:rsidR="001430A6" w:rsidRPr="001430A6">
              <w:t>oktobra Regul</w:t>
            </w:r>
            <w:r w:rsidR="001430A6">
              <w:t>ā</w:t>
            </w:r>
            <w:r w:rsidR="001430A6" w:rsidRPr="001430A6">
              <w:t xml:space="preserve"> Nr. 1069/2009, ar ko nosaka veselības aizsardzības noteikumus attiecībā uz dzīvnieku izcelsmes blakusproduktiem un atvasinātajiem produktiem, kuri nav paredzēti cilvēku patēriņam, un ar ko atceļ Regulu (EK) Nr. 1774/2002 (turpmāk – regula Nr. 1069/2009)</w:t>
            </w:r>
            <w:r w:rsidR="001430A6">
              <w:t xml:space="preserve"> </w:t>
            </w:r>
            <w:r w:rsidRPr="00875364">
              <w:t xml:space="preserve">un </w:t>
            </w:r>
            <w:r w:rsidR="00EF3D55">
              <w:t>Regulā Nr. </w:t>
            </w:r>
            <w:r w:rsidRPr="00875364">
              <w:t xml:space="preserve">142/2011. Regulas </w:t>
            </w:r>
            <w:r w:rsidR="00EF3D55">
              <w:t xml:space="preserve">Nr. </w:t>
            </w:r>
            <w:r w:rsidRPr="00875364">
              <w:t>1069/2009 3.</w:t>
            </w:r>
            <w:r w:rsidR="00EF3D55">
              <w:t> </w:t>
            </w:r>
            <w:r w:rsidRPr="00875364">
              <w:t>pantā minētās definīcijas “uzņēmējs” (angļu valodā “operator”) apraksts atbilst Veterinārmedicīnas likumā lietotajam terminam</w:t>
            </w:r>
            <w:r w:rsidR="00AF728B" w:rsidRPr="00875364">
              <w:t>.</w:t>
            </w:r>
            <w:r w:rsidR="00CB008C" w:rsidRPr="00875364">
              <w:t xml:space="preserve"> </w:t>
            </w:r>
          </w:p>
          <w:p w14:paraId="50547162" w14:textId="3064FD6D" w:rsidR="00706E53" w:rsidRDefault="00CB008C" w:rsidP="00BB27F7">
            <w:pPr>
              <w:pStyle w:val="Bezatstarpm"/>
              <w:jc w:val="both"/>
            </w:pPr>
            <w:r w:rsidRPr="00875364">
              <w:t>Noteikumu Nr.275 3.punkt</w:t>
            </w:r>
            <w:r w:rsidR="006640F4">
              <w:t>ā</w:t>
            </w:r>
            <w:r w:rsidRPr="00875364">
              <w:t xml:space="preserve"> no</w:t>
            </w:r>
            <w:r w:rsidR="006640F4">
              <w:t>teikts</w:t>
            </w:r>
            <w:r w:rsidRPr="00875364">
              <w:t>, ka PVD veic Regulā</w:t>
            </w:r>
            <w:r w:rsidR="00EF3D55">
              <w:t>s</w:t>
            </w:r>
            <w:r w:rsidRPr="00875364">
              <w:t xml:space="preserve"> </w:t>
            </w:r>
            <w:r w:rsidR="00EF3D55">
              <w:t>Nr.</w:t>
            </w:r>
            <w:r w:rsidR="006640F4">
              <w:t> </w:t>
            </w:r>
            <w:r w:rsidR="00706E53" w:rsidRPr="00875364">
              <w:t xml:space="preserve">1069/2009 un </w:t>
            </w:r>
            <w:r w:rsidR="00EF3D55">
              <w:t xml:space="preserve">Nr. </w:t>
            </w:r>
            <w:r w:rsidR="00706E53" w:rsidRPr="00875364">
              <w:t>142/2011 noteiktās kompetentās iestādes funkcijas</w:t>
            </w:r>
            <w:r w:rsidR="00A410A0" w:rsidRPr="00875364">
              <w:t xml:space="preserve"> un</w:t>
            </w:r>
            <w:r w:rsidR="00706E53" w:rsidRPr="00875364">
              <w:t xml:space="preserve"> šajās regulās noteiktās oficiālās kontroles</w:t>
            </w:r>
            <w:r w:rsidR="00873E03" w:rsidRPr="00875364">
              <w:t>, t</w:t>
            </w:r>
            <w:r w:rsidR="006640F4">
              <w:t>ostarp</w:t>
            </w:r>
            <w:r w:rsidR="00873E03" w:rsidRPr="00875364">
              <w:t xml:space="preserve"> </w:t>
            </w:r>
            <w:r w:rsidR="00BE74FC" w:rsidRPr="00875364">
              <w:t xml:space="preserve">oficiālās kontroles, monitoringa datu verifikāciju un monitoringa rezultātu uzraudzību </w:t>
            </w:r>
            <w:r w:rsidR="00873E03" w:rsidRPr="00875364">
              <w:t>dedzināšanas iekārt</w:t>
            </w:r>
            <w:r w:rsidR="00BE74FC" w:rsidRPr="00875364">
              <w:t>ās</w:t>
            </w:r>
            <w:r w:rsidR="00873E03" w:rsidRPr="00875364">
              <w:t>, kurā</w:t>
            </w:r>
            <w:r w:rsidRPr="00875364">
              <w:t>s</w:t>
            </w:r>
            <w:r w:rsidR="00873E03" w:rsidRPr="00875364">
              <w:t xml:space="preserve"> par kurināmo izmanto lauksaimniecības dzīvnieku kūtsmēslus</w:t>
            </w:r>
            <w:r w:rsidR="00706E53" w:rsidRPr="00875364">
              <w:t>.</w:t>
            </w:r>
            <w:r w:rsidR="00A410A0" w:rsidRPr="00875364">
              <w:t xml:space="preserve"> Ja šāda dedzināšanas iekārta neatbilst </w:t>
            </w:r>
            <w:r w:rsidR="00EF3D55">
              <w:t>R</w:t>
            </w:r>
            <w:r w:rsidR="00A410A0" w:rsidRPr="00875364">
              <w:t xml:space="preserve">egulas </w:t>
            </w:r>
            <w:r w:rsidR="00EF3D55">
              <w:t xml:space="preserve">Nr. </w:t>
            </w:r>
            <w:r w:rsidR="00A410A0" w:rsidRPr="00875364">
              <w:t xml:space="preserve">142/2011 prasībām, </w:t>
            </w:r>
            <w:r w:rsidR="006640F4">
              <w:t>kā arī</w:t>
            </w:r>
            <w:r w:rsidR="00A410A0" w:rsidRPr="00875364">
              <w:t xml:space="preserve"> netiek nodrošināta atbilstība regulā minētajām emisijas robežvērtībām, blakusproduktu apritē iesaistītā persona nekavējoties informē kompetento iestādi (PVD) un </w:t>
            </w:r>
            <w:r w:rsidR="006640F4">
              <w:t>īsteno</w:t>
            </w:r>
            <w:r w:rsidR="00A410A0" w:rsidRPr="00875364">
              <w:t xml:space="preserve"> vajadzīgos pasākumus, lai </w:t>
            </w:r>
            <w:r w:rsidR="006640F4" w:rsidRPr="00875364">
              <w:t xml:space="preserve">pēc iespējas īsākā laikā </w:t>
            </w:r>
            <w:r w:rsidR="00A410A0" w:rsidRPr="00875364">
              <w:t>nodrošinātu atbilstības atjaunošanu. Ja atbilstību nevar atjaunot, kompetentā iestāde (PVD) aptur iekārtas darbību un atsauc tās atzīšanu.</w:t>
            </w:r>
            <w:r w:rsidR="00706E53" w:rsidRPr="00873E03">
              <w:rPr>
                <w:b/>
              </w:rPr>
              <w:t xml:space="preserve"> </w:t>
            </w:r>
            <w:r w:rsidR="00C61988" w:rsidRPr="009243C4">
              <w:t xml:space="preserve">Regulas </w:t>
            </w:r>
            <w:r w:rsidR="00EF3D55">
              <w:t xml:space="preserve">Nr. </w:t>
            </w:r>
            <w:r w:rsidR="00C61988" w:rsidRPr="009243C4">
              <w:t>142/2011 XVI pielikuma 12. iedaļ</w:t>
            </w:r>
            <w:r w:rsidR="006640F4">
              <w:t>ā</w:t>
            </w:r>
            <w:r w:rsidR="00C61988" w:rsidRPr="009243C4">
              <w:t xml:space="preserve"> no</w:t>
            </w:r>
            <w:r w:rsidR="006640F4">
              <w:t>teikts</w:t>
            </w:r>
            <w:r w:rsidR="00C61988" w:rsidRPr="009243C4">
              <w:t>, ka kompetentā iestāde</w:t>
            </w:r>
            <w:r w:rsidR="00C12319">
              <w:t xml:space="preserve"> (PVD)</w:t>
            </w:r>
            <w:r w:rsidR="00C61988" w:rsidRPr="009243C4">
              <w:t xml:space="preserve"> veic dokumentu pārbaudes </w:t>
            </w:r>
            <w:r w:rsidR="006640F4">
              <w:t xml:space="preserve">par </w:t>
            </w:r>
            <w:r w:rsidR="006640F4" w:rsidRPr="009243C4">
              <w:t xml:space="preserve">III pielikuma V nodaļā </w:t>
            </w:r>
            <w:r w:rsidR="006640F4">
              <w:t>minētajām</w:t>
            </w:r>
            <w:r w:rsidR="006640F4" w:rsidRPr="009243C4">
              <w:t xml:space="preserve"> </w:t>
            </w:r>
            <w:r w:rsidR="00C61988" w:rsidRPr="009243C4">
              <w:t>apstiprināt</w:t>
            </w:r>
            <w:r w:rsidR="006640F4">
              <w:t>ajām</w:t>
            </w:r>
            <w:r w:rsidR="00C61988" w:rsidRPr="009243C4">
              <w:t xml:space="preserve"> iekārtā</w:t>
            </w:r>
            <w:r w:rsidR="006640F4">
              <w:t>m</w:t>
            </w:r>
            <w:r w:rsidR="00C61988" w:rsidRPr="009243C4">
              <w:t xml:space="preserve"> saskaņā ar 6. panta 7. un 8. punktā </w:t>
            </w:r>
            <w:r w:rsidR="006640F4">
              <w:t>paredzē</w:t>
            </w:r>
            <w:r w:rsidR="00C61988" w:rsidRPr="009243C4">
              <w:t xml:space="preserve">tajām procedūrām. </w:t>
            </w:r>
            <w:r w:rsidR="00706E53" w:rsidRPr="009243C4">
              <w:t>Attiecībā uz Valsts vides dienest</w:t>
            </w:r>
            <w:r>
              <w:t>u</w:t>
            </w:r>
            <w:r w:rsidR="00706E53" w:rsidRPr="009243C4">
              <w:t xml:space="preserve"> (turpmāk – VVD) noteikumu projekts nosaka, ka VVD ir </w:t>
            </w:r>
            <w:r w:rsidR="00EF3D55">
              <w:t>R</w:t>
            </w:r>
            <w:r w:rsidR="00706E53" w:rsidRPr="009243C4">
              <w:t xml:space="preserve">egulas </w:t>
            </w:r>
            <w:r w:rsidR="00EF3D55">
              <w:t xml:space="preserve">Nr. </w:t>
            </w:r>
            <w:r w:rsidR="00706E53" w:rsidRPr="009243C4">
              <w:t xml:space="preserve">142/2011 6. panta 8. punktā minētā par vides jautājumiem atbildīgā </w:t>
            </w:r>
            <w:r w:rsidR="00BC1A46" w:rsidRPr="009243C4">
              <w:t xml:space="preserve">kompetentā </w:t>
            </w:r>
            <w:r w:rsidR="00706E53" w:rsidRPr="009243C4">
              <w:t>iestāde, k</w:t>
            </w:r>
            <w:r w:rsidR="00EF3D55">
              <w:t>as</w:t>
            </w:r>
            <w:r w:rsidR="00706E53" w:rsidRPr="009243C4">
              <w:t xml:space="preserve"> sniedz blakusproduktu apritē iesaistītajai personai (operatoram) apstiprinājumu par atbilstību </w:t>
            </w:r>
            <w:r w:rsidR="006640F4" w:rsidRPr="009243C4">
              <w:t xml:space="preserve">Regulas </w:t>
            </w:r>
            <w:r w:rsidR="00EF3D55">
              <w:t xml:space="preserve">Nr. </w:t>
            </w:r>
            <w:r w:rsidR="006640F4" w:rsidRPr="009243C4">
              <w:t>142/2011 III</w:t>
            </w:r>
            <w:r w:rsidR="00EF3D55">
              <w:t> </w:t>
            </w:r>
            <w:r w:rsidR="006640F4" w:rsidRPr="009243C4">
              <w:t xml:space="preserve">pielikuma V nodaļas B daļas 3., 4. un 5. punktā </w:t>
            </w:r>
            <w:r w:rsidR="006640F4">
              <w:t>noteiktajām</w:t>
            </w:r>
            <w:r w:rsidR="006640F4" w:rsidRPr="009243C4">
              <w:t xml:space="preserve"> </w:t>
            </w:r>
            <w:r w:rsidR="00706E53" w:rsidRPr="009243C4">
              <w:t>prasībām un piemēros C daļas 4.punktā noteiktās atkāpes un pārejas periodu.</w:t>
            </w:r>
          </w:p>
          <w:p w14:paraId="528EAB32" w14:textId="63317AE2" w:rsidR="00706E53" w:rsidRPr="009243C4" w:rsidRDefault="00706E53" w:rsidP="00BB27F7">
            <w:pPr>
              <w:pStyle w:val="Bezatstarpm"/>
              <w:jc w:val="both"/>
            </w:pPr>
            <w:r w:rsidRPr="009243C4">
              <w:t xml:space="preserve">Regulas </w:t>
            </w:r>
            <w:r w:rsidR="00EF3D55">
              <w:t xml:space="preserve">Nr. </w:t>
            </w:r>
            <w:r w:rsidRPr="009243C4">
              <w:t>142/2011 6. panta 8. punkt</w:t>
            </w:r>
            <w:r w:rsidR="006640F4">
              <w:t>ā</w:t>
            </w:r>
            <w:r w:rsidRPr="009243C4">
              <w:t xml:space="preserve"> no</w:t>
            </w:r>
            <w:r w:rsidR="006640F4">
              <w:t>teikts</w:t>
            </w:r>
            <w:r w:rsidRPr="009243C4">
              <w:t xml:space="preserve">, ka papildus </w:t>
            </w:r>
            <w:r w:rsidR="006640F4" w:rsidRPr="009243C4">
              <w:t xml:space="preserve">šā panta 7. punktā </w:t>
            </w:r>
            <w:r w:rsidR="006640F4">
              <w:t>minētajiem</w:t>
            </w:r>
            <w:r w:rsidR="006640F4" w:rsidRPr="009243C4">
              <w:t xml:space="preserve"> </w:t>
            </w:r>
            <w:r w:rsidRPr="009243C4">
              <w:t>no</w:t>
            </w:r>
            <w:r w:rsidR="00CB008C">
              <w:t>sacīju</w:t>
            </w:r>
            <w:r w:rsidRPr="009243C4">
              <w:t xml:space="preserve">miem attiecas </w:t>
            </w:r>
            <w:r w:rsidR="006640F4">
              <w:t xml:space="preserve">vēl </w:t>
            </w:r>
            <w:r w:rsidRPr="009243C4">
              <w:t>šādi noteikumi:</w:t>
            </w:r>
          </w:p>
          <w:p w14:paraId="464A7AE6" w14:textId="7D9B988C" w:rsidR="00706E53" w:rsidRPr="009243C4" w:rsidRDefault="00706E53" w:rsidP="00BB27F7">
            <w:pPr>
              <w:pStyle w:val="Bezatstarpm"/>
              <w:jc w:val="both"/>
            </w:pPr>
            <w:r w:rsidRPr="009243C4">
              <w:t>a) pieteikum</w:t>
            </w:r>
            <w:r w:rsidR="006640F4">
              <w:t>ā</w:t>
            </w:r>
            <w:r w:rsidRPr="009243C4">
              <w:t xml:space="preserve">, ko </w:t>
            </w:r>
            <w:r w:rsidR="00F45A81">
              <w:t>b</w:t>
            </w:r>
            <w:r w:rsidR="00F45A81" w:rsidRPr="00F45A81">
              <w:t>lakusproduktu apritē iesaistīt</w:t>
            </w:r>
            <w:r w:rsidR="00F45A81">
              <w:t>ā</w:t>
            </w:r>
            <w:r w:rsidR="00F45A81" w:rsidRPr="00F45A81">
              <w:t xml:space="preserve"> persona</w:t>
            </w:r>
            <w:r w:rsidRPr="009243C4">
              <w:t xml:space="preserve"> ir iesnie</w:t>
            </w:r>
            <w:r w:rsidR="00F45A81">
              <w:t>gusi</w:t>
            </w:r>
            <w:r w:rsidRPr="009243C4">
              <w:t xml:space="preserve"> kompetentajai iestādei </w:t>
            </w:r>
            <w:r w:rsidR="00F45A81">
              <w:t>(</w:t>
            </w:r>
            <w:r w:rsidRPr="009243C4">
              <w:t>PVD</w:t>
            </w:r>
            <w:r w:rsidR="00F45A81">
              <w:t>)</w:t>
            </w:r>
            <w:r w:rsidRPr="009243C4">
              <w:t xml:space="preserve"> saskaņā ar Regulas 1069/2009 24. panta 1. punkta </w:t>
            </w:r>
            <w:r w:rsidR="006640F4">
              <w:t>“</w:t>
            </w:r>
            <w:r w:rsidRPr="009243C4">
              <w:t>d</w:t>
            </w:r>
            <w:r w:rsidR="006640F4">
              <w:t>”</w:t>
            </w:r>
            <w:r w:rsidRPr="009243C4">
              <w:t xml:space="preserve"> apakšpunktu, jāietver par vides jautājumiem atbildīgā</w:t>
            </w:r>
            <w:r w:rsidR="00EF3D55">
              <w:t>s</w:t>
            </w:r>
            <w:r w:rsidRPr="009243C4">
              <w:t xml:space="preserve"> </w:t>
            </w:r>
            <w:r w:rsidR="00BC1A46" w:rsidRPr="009243C4">
              <w:t>kompetentā</w:t>
            </w:r>
            <w:r w:rsidR="00EF3D55">
              <w:t>s</w:t>
            </w:r>
            <w:r w:rsidR="00BC1A46" w:rsidRPr="009243C4">
              <w:t xml:space="preserve"> </w:t>
            </w:r>
            <w:r w:rsidRPr="009243C4">
              <w:t>iestāde</w:t>
            </w:r>
            <w:r w:rsidR="00EF3D55">
              <w:t>s</w:t>
            </w:r>
            <w:r w:rsidRPr="009243C4">
              <w:t xml:space="preserve"> (VVD) vai dalībvalsts kompetento iestāžu pilnvarota</w:t>
            </w:r>
            <w:r w:rsidR="00EF3D55">
              <w:t>s</w:t>
            </w:r>
            <w:r w:rsidRPr="009243C4">
              <w:t xml:space="preserve"> profesionāla</w:t>
            </w:r>
            <w:r w:rsidR="00EF3D55">
              <w:t>s</w:t>
            </w:r>
            <w:r w:rsidRPr="009243C4">
              <w:t xml:space="preserve"> organizācija</w:t>
            </w:r>
            <w:r w:rsidR="00EF3D55">
              <w:t xml:space="preserve">s apstiprināti </w:t>
            </w:r>
            <w:r w:rsidR="00EF3D55" w:rsidRPr="009243C4">
              <w:t>pierādījumi</w:t>
            </w:r>
            <w:r w:rsidRPr="009243C4">
              <w:t xml:space="preserve"> </w:t>
            </w:r>
            <w:r w:rsidR="006640F4">
              <w:t xml:space="preserve">par to, </w:t>
            </w:r>
            <w:r w:rsidRPr="009243C4">
              <w:t xml:space="preserve">ka dedzināšanas </w:t>
            </w:r>
            <w:r w:rsidRPr="009243C4">
              <w:lastRenderedPageBreak/>
              <w:t xml:space="preserve">iekārta, kurā par kurināmo izmanto lauksaimniecības dzīvnieku kūtsmēslus, pilnībā atbilst prasībām, kas noteiktas šīs regulas III pielikuma V nodaļas B daļas 3., 4. un 5. punktā, un </w:t>
            </w:r>
            <w:r w:rsidR="00EF3D55">
              <w:t xml:space="preserve">jānorāda, vai </w:t>
            </w:r>
            <w:r w:rsidRPr="009243C4">
              <w:t>tiek vai netiek piešķirtas C daļas 4.punktā note</w:t>
            </w:r>
            <w:r w:rsidR="001D2FC8" w:rsidRPr="009243C4">
              <w:t>iktās atkāpes un pārejas periods</w:t>
            </w:r>
            <w:r w:rsidRPr="009243C4">
              <w:t xml:space="preserve">; </w:t>
            </w:r>
          </w:p>
          <w:p w14:paraId="3259AC50" w14:textId="77777777" w:rsidR="00706E53" w:rsidRDefault="00706E53" w:rsidP="00BB27F7">
            <w:pPr>
              <w:pStyle w:val="Bezatstarpm"/>
              <w:jc w:val="both"/>
            </w:pPr>
            <w:r w:rsidRPr="009243C4">
              <w:t xml:space="preserve">b) Regulas </w:t>
            </w:r>
            <w:r w:rsidR="00EF3D55">
              <w:t xml:space="preserve">Nr. </w:t>
            </w:r>
            <w:r w:rsidRPr="009243C4">
              <w:t>1069/2009 44. pantā paredzētā apstiprināšanas</w:t>
            </w:r>
            <w:r w:rsidR="00CE427F">
              <w:t xml:space="preserve"> (atzīšanas)</w:t>
            </w:r>
            <w:r w:rsidRPr="009243C4">
              <w:t xml:space="preserve"> procedūra (PVD kompetence) tiek pabeigta tikai tad, ja dedzināšanas iekārtas ekspluatācijas pirmo </w:t>
            </w:r>
            <w:r w:rsidR="006640F4">
              <w:t>sešu</w:t>
            </w:r>
            <w:r w:rsidRPr="009243C4">
              <w:t xml:space="preserve"> mēnešu laikā ir veiktas vismaz </w:t>
            </w:r>
            <w:r w:rsidR="006640F4">
              <w:t>divas</w:t>
            </w:r>
            <w:r w:rsidRPr="009243C4">
              <w:t xml:space="preserve"> secīgas pārbaudes, no kurām viena ir bez iepriekšēja paziņojuma un kurās ietilpst par vides jautājumiem atbildīgā</w:t>
            </w:r>
            <w:r w:rsidR="00756947" w:rsidRPr="009243C4">
              <w:t>s</w:t>
            </w:r>
            <w:r w:rsidRPr="009243C4">
              <w:t xml:space="preserve"> </w:t>
            </w:r>
            <w:r w:rsidR="00BC1A46" w:rsidRPr="009243C4">
              <w:t xml:space="preserve">kompetentās </w:t>
            </w:r>
            <w:r w:rsidRPr="009243C4">
              <w:t xml:space="preserve">iestādes </w:t>
            </w:r>
            <w:proofErr w:type="gramStart"/>
            <w:r w:rsidRPr="009243C4">
              <w:t>(</w:t>
            </w:r>
            <w:proofErr w:type="gramEnd"/>
            <w:r w:rsidRPr="009243C4">
              <w:t xml:space="preserve">VVD kompetence) nepieciešamie temperatūras un emisiju </w:t>
            </w:r>
            <w:r w:rsidR="00CE427F">
              <w:t>mērījumi. Pilnīgu apstiprinājum</w:t>
            </w:r>
            <w:r w:rsidR="00C12319">
              <w:t>u</w:t>
            </w:r>
            <w:r w:rsidR="00CE427F">
              <w:t xml:space="preserve"> (atzīšanu)</w:t>
            </w:r>
            <w:r w:rsidRPr="009243C4">
              <w:t xml:space="preserve"> var piešķirt </w:t>
            </w:r>
            <w:r w:rsidR="00CE427F" w:rsidRPr="009243C4">
              <w:t xml:space="preserve">(PVD kompetence) </w:t>
            </w:r>
            <w:r w:rsidRPr="009243C4">
              <w:t>tad, ja šo pārbaužu rezultāti liecina par atbilstību šīs regulas III pielikuma V nodaļas B daļas 3., 4. un 5. punkta prasībām un attiecīgos gadījumos minētās nodaļas C daļas 4.</w:t>
            </w:r>
            <w:r w:rsidR="006640F4">
              <w:t> </w:t>
            </w:r>
            <w:r w:rsidRPr="009243C4">
              <w:t>punkta prasībām.</w:t>
            </w:r>
          </w:p>
          <w:p w14:paraId="35343BF9" w14:textId="77777777" w:rsidR="00483A43" w:rsidRPr="00875364" w:rsidRDefault="00483A43" w:rsidP="00BB27F7">
            <w:pPr>
              <w:pStyle w:val="Bezatstarpm"/>
              <w:jc w:val="both"/>
            </w:pPr>
            <w:r w:rsidRPr="00875364">
              <w:t xml:space="preserve">Eiropas Parlamenta un Padomes </w:t>
            </w:r>
            <w:r w:rsidR="006640F4">
              <w:t>2015. gada 25. novembra</w:t>
            </w:r>
            <w:r w:rsidR="006640F4" w:rsidRPr="00875364">
              <w:t xml:space="preserve"> </w:t>
            </w:r>
            <w:r w:rsidRPr="00875364">
              <w:t xml:space="preserve">Direktīva (ES) 2015/2193 par ierobežojumiem attiecībā uz dažu piesārņojošu vielu emisiju gaisā no vidējas jaudas sadedzināšanas iekārtām (turpmāk </w:t>
            </w:r>
            <w:r w:rsidR="006640F4">
              <w:t>–</w:t>
            </w:r>
            <w:r w:rsidRPr="00875364">
              <w:t xml:space="preserve"> Direktīva 2015/2193)</w:t>
            </w:r>
            <w:r w:rsidR="00C12319" w:rsidRPr="00875364">
              <w:t xml:space="preserve"> un Ministru kabineta 2017. gada 12. decembra noteikumi Nr. 736 “Kārtība, kādā novērš, ierobežo un kontrolē gaisu piesārņojošo vielu emisiju no sadedzināšanas iekārtām” </w:t>
            </w:r>
            <w:r w:rsidRPr="00875364">
              <w:t xml:space="preserve">neparedz Valsts vides dienestam noteikt </w:t>
            </w:r>
            <w:r w:rsidR="006640F4">
              <w:t>citas</w:t>
            </w:r>
            <w:r w:rsidRPr="00875364">
              <w:t xml:space="preserve"> prasības, kas blakusproduktu apritē iesaistītai </w:t>
            </w:r>
            <w:r w:rsidR="00C12319" w:rsidRPr="00875364">
              <w:t>personai ir jāievēro</w:t>
            </w:r>
            <w:r w:rsidR="00CB008C" w:rsidRPr="00875364">
              <w:t>,</w:t>
            </w:r>
            <w:r w:rsidR="00C12319" w:rsidRPr="00875364">
              <w:t xml:space="preserve"> </w:t>
            </w:r>
            <w:r w:rsidR="006640F4" w:rsidRPr="00875364">
              <w:t xml:space="preserve">kā </w:t>
            </w:r>
            <w:r w:rsidR="00C12319" w:rsidRPr="00875364">
              <w:t xml:space="preserve">vien </w:t>
            </w:r>
            <w:r w:rsidR="006640F4" w:rsidRPr="00875364">
              <w:t>Regulā 2017/1262</w:t>
            </w:r>
            <w:r w:rsidR="006640F4">
              <w:t xml:space="preserve"> noteiktā</w:t>
            </w:r>
            <w:r w:rsidR="006640F4" w:rsidRPr="00875364">
              <w:t>s</w:t>
            </w:r>
            <w:r w:rsidR="00C12319" w:rsidRPr="00875364">
              <w:t>.</w:t>
            </w:r>
          </w:p>
          <w:p w14:paraId="2FEDA12A" w14:textId="77777777" w:rsidR="009D20C6" w:rsidRDefault="0014429E" w:rsidP="00BB27F7">
            <w:pPr>
              <w:pStyle w:val="Bezatstarpm"/>
              <w:jc w:val="both"/>
            </w:pPr>
            <w:r w:rsidRPr="009243C4">
              <w:t>B</w:t>
            </w:r>
            <w:r w:rsidR="00873472" w:rsidRPr="009243C4">
              <w:t>lakusproduktu apritē iesaistīt</w:t>
            </w:r>
            <w:r w:rsidRPr="009243C4">
              <w:t>ai</w:t>
            </w:r>
            <w:r w:rsidR="00873472" w:rsidRPr="009243C4">
              <w:t xml:space="preserve"> persona</w:t>
            </w:r>
            <w:r w:rsidRPr="009243C4">
              <w:t>i</w:t>
            </w:r>
            <w:r w:rsidR="00873472" w:rsidRPr="009243C4">
              <w:t>, kam</w:t>
            </w:r>
            <w:r w:rsidRPr="009243C4">
              <w:t xml:space="preserve"> pieder</w:t>
            </w:r>
            <w:r w:rsidR="00873472" w:rsidRPr="009243C4">
              <w:t xml:space="preserve"> </w:t>
            </w:r>
            <w:r w:rsidRPr="009243C4">
              <w:t xml:space="preserve">dedzināšanas iekārta, kurā par kurināmo izmanto lauksaimniecības dzīvnieku kūtsmēslus, ir jāsaņem </w:t>
            </w:r>
            <w:r w:rsidR="00706E53" w:rsidRPr="009243C4">
              <w:t>apstiprinājums</w:t>
            </w:r>
            <w:r w:rsidR="009606A5" w:rsidRPr="009243C4">
              <w:t xml:space="preserve"> </w:t>
            </w:r>
            <w:r w:rsidRPr="009243C4">
              <w:t xml:space="preserve">no </w:t>
            </w:r>
            <w:r w:rsidR="008D43F0" w:rsidRPr="009243C4">
              <w:t>VVD, jo Ministru kabineta 2004. gada 23. novembra noteikum</w:t>
            </w:r>
            <w:r w:rsidR="006640F4">
              <w:t>os</w:t>
            </w:r>
            <w:r w:rsidR="008D43F0" w:rsidRPr="009243C4">
              <w:t xml:space="preserve"> Nr.962 “Valsts vides dienesta nolikums” no</w:t>
            </w:r>
            <w:r w:rsidR="006640F4">
              <w:t>teikts</w:t>
            </w:r>
            <w:r w:rsidR="008D43F0" w:rsidRPr="009243C4">
              <w:t>, ka VVD darbības mērķis ir nodrošināt, lai tiktu ievērot</w:t>
            </w:r>
            <w:r w:rsidR="006640F4">
              <w:t>as</w:t>
            </w:r>
            <w:r w:rsidR="008D43F0" w:rsidRPr="009243C4">
              <w:t xml:space="preserve"> normatīv</w:t>
            </w:r>
            <w:r w:rsidR="006640F4">
              <w:t>o</w:t>
            </w:r>
            <w:r w:rsidR="008D43F0" w:rsidRPr="009243C4">
              <w:t xml:space="preserve"> akt</w:t>
            </w:r>
            <w:r w:rsidR="006640F4">
              <w:t>u prasības</w:t>
            </w:r>
            <w:r w:rsidR="008D43F0" w:rsidRPr="009243C4">
              <w:t xml:space="preserve"> vides aizsardzības jomā, un VVD veic vides aizsardzību regulējošajos normatīvajos aktos noteiktos uzdevumus, kā arī kontrolē normatīvajos aktos par dabas aizsardzību, piesārņojošo vielu emisiju vidē, noteikto prasību ievērošanu.</w:t>
            </w:r>
            <w:r w:rsidRPr="009243C4">
              <w:t xml:space="preserve"> </w:t>
            </w:r>
            <w:r w:rsidR="00EB691A" w:rsidRPr="009243C4">
              <w:t>Ņemot vērā minēto, noteikum</w:t>
            </w:r>
            <w:r w:rsidR="00890238">
              <w:t>os</w:t>
            </w:r>
            <w:r w:rsidR="00EB691A" w:rsidRPr="009243C4">
              <w:t xml:space="preserve"> Nr. 275 </w:t>
            </w:r>
            <w:r w:rsidR="009D20C6" w:rsidRPr="009243C4">
              <w:t>jānosaka</w:t>
            </w:r>
            <w:r w:rsidR="00B94241">
              <w:t>:</w:t>
            </w:r>
            <w:r w:rsidR="009D20C6" w:rsidRPr="009243C4">
              <w:t xml:space="preserve"> </w:t>
            </w:r>
          </w:p>
          <w:p w14:paraId="4A4C9CB4" w14:textId="77777777" w:rsidR="009D20C6" w:rsidRPr="00E468A6" w:rsidRDefault="009D20C6" w:rsidP="00BB27F7">
            <w:pPr>
              <w:pStyle w:val="Bezatstarpm"/>
              <w:jc w:val="both"/>
            </w:pPr>
            <w:r>
              <w:t xml:space="preserve">1) </w:t>
            </w:r>
            <w:r w:rsidR="00B94241" w:rsidRPr="009243C4">
              <w:t>ka</w:t>
            </w:r>
            <w:r w:rsidR="00B94241">
              <w:t xml:space="preserve"> </w:t>
            </w:r>
            <w:r w:rsidR="000C060D" w:rsidRPr="009243C4">
              <w:t>V</w:t>
            </w:r>
            <w:r>
              <w:t>VD</w:t>
            </w:r>
            <w:r w:rsidR="000C060D" w:rsidRPr="009243C4">
              <w:t xml:space="preserve"> sniedz </w:t>
            </w:r>
            <w:r w:rsidR="00706E53" w:rsidRPr="009243C4">
              <w:t>apstiprinājumu</w:t>
            </w:r>
            <w:r w:rsidR="000C060D" w:rsidRPr="009243C4">
              <w:t xml:space="preserve"> arī par tādu dedzināšanas iekārtu atbilstību, kurās par kurināmo izmanto </w:t>
            </w:r>
            <w:r w:rsidR="000C060D" w:rsidRPr="00E468A6">
              <w:t>lauksaimniecības dzīvnieku kūtsmēslus</w:t>
            </w:r>
            <w:r w:rsidRPr="00E468A6">
              <w:t xml:space="preserve"> (3.</w:t>
            </w:r>
            <w:r w:rsidRPr="00E468A6">
              <w:rPr>
                <w:vertAlign w:val="superscript"/>
              </w:rPr>
              <w:t>1</w:t>
            </w:r>
            <w:r w:rsidRPr="00E468A6">
              <w:t> punkts),</w:t>
            </w:r>
          </w:p>
          <w:p w14:paraId="78247410" w14:textId="020C6A92" w:rsidR="00890238" w:rsidRDefault="009D20C6" w:rsidP="00BB27F7">
            <w:pPr>
              <w:pStyle w:val="Bezatstarpm"/>
              <w:jc w:val="both"/>
            </w:pPr>
            <w:r w:rsidRPr="00E468A6">
              <w:t xml:space="preserve">2) </w:t>
            </w:r>
            <w:r w:rsidR="00B94241" w:rsidRPr="00E468A6">
              <w:t>p</w:t>
            </w:r>
            <w:r w:rsidRPr="00E468A6">
              <w:t>rasības attiecībā uz dedzināšanas iekārtām, kurās par kurināmo izmanto kūtsmēslus, un apstiprinājuma par atbilstību prasībām saņemšanas kārtība (VII nodaļa)</w:t>
            </w:r>
            <w:r w:rsidR="00890238" w:rsidRPr="00E468A6">
              <w:t>.</w:t>
            </w:r>
          </w:p>
          <w:p w14:paraId="29857F60" w14:textId="3796004D" w:rsidR="0019172F" w:rsidRDefault="0019172F" w:rsidP="00BB27F7">
            <w:pPr>
              <w:pStyle w:val="Bezatstarpm"/>
              <w:jc w:val="both"/>
            </w:pPr>
            <w:r w:rsidRPr="0019172F">
              <w:t>Noteikumu projektā (VII nodaļas 4</w:t>
            </w:r>
            <w:r>
              <w:t>1</w:t>
            </w:r>
            <w:r w:rsidRPr="0019172F">
              <w:t xml:space="preserve">. punktā) ir noteikts, ka </w:t>
            </w:r>
            <w:r>
              <w:t>i</w:t>
            </w:r>
            <w:r w:rsidRPr="0019172F">
              <w:t xml:space="preserve">zdevumus par regulas Nr. 142/2011 6. panta 8. punkta </w:t>
            </w:r>
            <w:r w:rsidR="00EF3D55">
              <w:t>“</w:t>
            </w:r>
            <w:r w:rsidRPr="0019172F">
              <w:t>b</w:t>
            </w:r>
            <w:r w:rsidR="00EF3D55">
              <w:t>”</w:t>
            </w:r>
            <w:r w:rsidRPr="0019172F">
              <w:t xml:space="preserve"> apakšpunktā minēto emisiju un temperatūras mērījum</w:t>
            </w:r>
            <w:r w:rsidR="00EF3D55">
              <w:t>iem</w:t>
            </w:r>
            <w:r w:rsidRPr="0019172F">
              <w:t xml:space="preserve"> sedz blakusproduktu apritē iesaistītā persona.</w:t>
            </w:r>
          </w:p>
          <w:p w14:paraId="01745F91" w14:textId="77777777" w:rsidR="00BB27F7" w:rsidRPr="00875364" w:rsidRDefault="00BB27F7" w:rsidP="00BB27F7">
            <w:pPr>
              <w:pStyle w:val="Bezatstarpm"/>
              <w:jc w:val="both"/>
            </w:pPr>
            <w:r w:rsidRPr="00875364">
              <w:t>Noteikumu projektā (VII nodaļas 42. punktā) ir noteikts, ka VVD pārbauda šo noteikumu 3.</w:t>
            </w:r>
            <w:r w:rsidRPr="00875364">
              <w:rPr>
                <w:vertAlign w:val="superscript"/>
              </w:rPr>
              <w:t>1</w:t>
            </w:r>
            <w:r w:rsidRPr="00875364">
              <w:t xml:space="preserve"> punktā minēto iekārtu </w:t>
            </w:r>
            <w:r w:rsidRPr="00875364">
              <w:lastRenderedPageBreak/>
              <w:t>atbilstību regulas 142/2011 III pielikuma V nodaļas B daļas 3., 4. un 5. punktā un C daļas 4.punktā noteiktajām prasībām un pieņem vienu no šādiem lēmumiem:</w:t>
            </w:r>
          </w:p>
          <w:p w14:paraId="68830169" w14:textId="77777777" w:rsidR="00BB27F7" w:rsidRPr="00875364" w:rsidRDefault="00BB27F7" w:rsidP="00BB27F7">
            <w:pPr>
              <w:pStyle w:val="Bezatstarpm"/>
              <w:jc w:val="both"/>
            </w:pPr>
            <w:r w:rsidRPr="00875364">
              <w:t>1</w:t>
            </w:r>
            <w:r w:rsidR="006640F4">
              <w:t>)</w:t>
            </w:r>
            <w:r w:rsidRPr="00875364">
              <w:t xml:space="preserve"> par apstiprinājuma izsniegšanu, ja šo noteikumu 3.</w:t>
            </w:r>
            <w:r w:rsidRPr="00B52F8B">
              <w:rPr>
                <w:vertAlign w:val="superscript"/>
              </w:rPr>
              <w:t>1</w:t>
            </w:r>
            <w:r w:rsidRPr="00875364">
              <w:t xml:space="preserve"> punktā minētā iekārta atbilst regulā Nr. 142/2011 III pielikuma V</w:t>
            </w:r>
            <w:r w:rsidR="004A253D">
              <w:t> </w:t>
            </w:r>
            <w:r w:rsidRPr="00875364">
              <w:t>nodaļas B daļas 3., 4. un 5. punktā un C daļas 4.</w:t>
            </w:r>
            <w:r w:rsidR="004A253D">
              <w:t xml:space="preserve"> </w:t>
            </w:r>
            <w:r w:rsidRPr="00875364">
              <w:t>punktā noteiktajām prasībām;</w:t>
            </w:r>
          </w:p>
          <w:p w14:paraId="04D9FAC8" w14:textId="77777777" w:rsidR="00BB27F7" w:rsidRPr="00875364" w:rsidRDefault="00BB27F7" w:rsidP="00BB27F7">
            <w:pPr>
              <w:pStyle w:val="Bezatstarpm"/>
              <w:jc w:val="both"/>
            </w:pPr>
            <w:r w:rsidRPr="00875364">
              <w:t>2</w:t>
            </w:r>
            <w:r w:rsidR="006640F4">
              <w:t>)</w:t>
            </w:r>
            <w:r w:rsidRPr="00875364">
              <w:t xml:space="preserve"> par att</w:t>
            </w:r>
            <w:r w:rsidR="006640F4">
              <w:t>ei</w:t>
            </w:r>
            <w:r w:rsidRPr="00875364">
              <w:t>kumu izsniegt apstiprinājumu, ja šo noteikumu 3.</w:t>
            </w:r>
            <w:r w:rsidRPr="00B52F8B">
              <w:rPr>
                <w:vertAlign w:val="superscript"/>
              </w:rPr>
              <w:t>1</w:t>
            </w:r>
            <w:r w:rsidR="004A253D">
              <w:t> </w:t>
            </w:r>
            <w:r w:rsidRPr="00875364">
              <w:t>punktā minētā iekārta neatbilst regulā Nr. 142/2011 III</w:t>
            </w:r>
            <w:r w:rsidR="004A253D">
              <w:t> </w:t>
            </w:r>
            <w:r w:rsidRPr="00875364">
              <w:t>pielikuma V nodaļas B daļas 3., 4. un 5. punktā un C daļas 4.punktā noteiktajām prasībām.</w:t>
            </w:r>
          </w:p>
          <w:p w14:paraId="39767D3C" w14:textId="77777777" w:rsidR="003076EC" w:rsidRPr="00875364" w:rsidRDefault="003076EC" w:rsidP="00BB27F7">
            <w:pPr>
              <w:pStyle w:val="Bezatstarpm"/>
              <w:jc w:val="both"/>
            </w:pPr>
            <w:r w:rsidRPr="00875364">
              <w:t>Lēmumā iekļautā apstiprinājuma tekstā norāda informāciju, ka noteikumu 3.</w:t>
            </w:r>
            <w:r w:rsidRPr="00875364">
              <w:rPr>
                <w:vertAlign w:val="superscript"/>
              </w:rPr>
              <w:t>1</w:t>
            </w:r>
            <w:r w:rsidRPr="00875364">
              <w:t xml:space="preserve"> punktā minētā iekārta atbilst regul</w:t>
            </w:r>
            <w:r w:rsidR="004A253D">
              <w:t>as</w:t>
            </w:r>
            <w:r w:rsidRPr="00875364">
              <w:t xml:space="preserve"> Nr.</w:t>
            </w:r>
            <w:r w:rsidR="004A253D">
              <w:t> </w:t>
            </w:r>
            <w:r w:rsidRPr="00875364">
              <w:t>142/2011 III pielikuma V nodaļas B daļas 3., 4. un 5. punktā un C daļas 4.punktā noteiktajām prasībām.</w:t>
            </w:r>
          </w:p>
          <w:p w14:paraId="11AF3194" w14:textId="77777777" w:rsidR="009A6652" w:rsidRDefault="00BB27F7" w:rsidP="009A6652">
            <w:pPr>
              <w:pStyle w:val="Bezatstarpm"/>
              <w:jc w:val="both"/>
            </w:pPr>
            <w:r w:rsidRPr="00875364">
              <w:t>Lēmums ir jāpaziņo blakusproduktu apritē iesaistītajai personai Administratīvā procesa likumā noteikt</w:t>
            </w:r>
            <w:r w:rsidR="004A253D">
              <w:t>ajā</w:t>
            </w:r>
            <w:r w:rsidRPr="00875364">
              <w:t xml:space="preserve"> kārtīb</w:t>
            </w:r>
            <w:r w:rsidR="004A253D">
              <w:t>ā</w:t>
            </w:r>
            <w:r w:rsidRPr="00875364">
              <w:t>.</w:t>
            </w:r>
            <w:r w:rsidR="000F6F2A" w:rsidRPr="00875364">
              <w:t xml:space="preserve"> </w:t>
            </w:r>
            <w:r w:rsidR="00C22873" w:rsidRPr="00875364">
              <w:t>Administratīvā akta apstrīdēšanas kārtība ir noteikta Administratīvā procesa likumā (77., 77.</w:t>
            </w:r>
            <w:r w:rsidR="00C22873" w:rsidRPr="00B52F8B">
              <w:rPr>
                <w:vertAlign w:val="superscript"/>
              </w:rPr>
              <w:t>1</w:t>
            </w:r>
            <w:r w:rsidR="00C22873" w:rsidRPr="00875364">
              <w:t>, 79. pants) un Ministru kabineta 2004. gada 23. novembra noteikumos Nr.962 “Valsts vides dienesta nolikums” (15., 16., 16.</w:t>
            </w:r>
            <w:r w:rsidR="00C22873" w:rsidRPr="00875364">
              <w:rPr>
                <w:vertAlign w:val="superscript"/>
              </w:rPr>
              <w:t>1</w:t>
            </w:r>
            <w:r w:rsidR="00C22873" w:rsidRPr="00875364">
              <w:t xml:space="preserve"> punkts).</w:t>
            </w:r>
            <w:r w:rsidR="009A6652">
              <w:t xml:space="preserve"> </w:t>
            </w:r>
          </w:p>
          <w:p w14:paraId="090DB8E3" w14:textId="77777777" w:rsidR="00BB27F7" w:rsidRPr="007A43DA" w:rsidRDefault="009A6652" w:rsidP="009A6652">
            <w:pPr>
              <w:pStyle w:val="Bezatstarpm"/>
              <w:jc w:val="both"/>
            </w:pPr>
            <w:r w:rsidRPr="007A43DA">
              <w:t xml:space="preserve">Informācija par EK dalībvalstīs apstiprinātiem (atzītiem) un reģistrētiem dzīvnieku izcelsmes blakusproduktu pārstrādes un likvidēšanas uzņēmumiem un iekārtām ir pieejama </w:t>
            </w:r>
            <w:hyperlink r:id="rId8" w:history="1">
              <w:r w:rsidRPr="007A43DA">
                <w:rPr>
                  <w:rStyle w:val="Hipersaite"/>
                </w:rPr>
                <w:t>https://ec.europa.eu/food/safety/animal-by-products/approved-establishments_en</w:t>
              </w:r>
            </w:hyperlink>
            <w:r w:rsidR="004A253D">
              <w:t>.</w:t>
            </w:r>
          </w:p>
          <w:p w14:paraId="6E7A7FD4" w14:textId="77777777" w:rsidR="009A6652" w:rsidRPr="007A43DA" w:rsidRDefault="00317555" w:rsidP="009A6652">
            <w:pPr>
              <w:pStyle w:val="Bezatstarpm"/>
              <w:jc w:val="both"/>
            </w:pPr>
            <w:r w:rsidRPr="007A43DA">
              <w:t xml:space="preserve">Zemkopības ministrija lūdza visām EK dalībvalstīm sniegt informāciju par </w:t>
            </w:r>
            <w:r w:rsidR="004A253D">
              <w:t>tajās</w:t>
            </w:r>
            <w:r w:rsidRPr="007A43DA">
              <w:t xml:space="preserve"> apstiprinātām (atzītām) dedzināšanas iekārtām</w:t>
            </w:r>
            <w:r w:rsidR="00B52F8B">
              <w:t xml:space="preserve">, kurās par kurināmo izmanto </w:t>
            </w:r>
            <w:r w:rsidR="00B52F8B" w:rsidRPr="007A43DA">
              <w:t>kūtsmēslu</w:t>
            </w:r>
            <w:r w:rsidR="00B52F8B">
              <w:t>s</w:t>
            </w:r>
            <w:r w:rsidRPr="007A43DA">
              <w:t xml:space="preserve">. EK dalībvalstis sniedza </w:t>
            </w:r>
            <w:r w:rsidR="004A253D">
              <w:t xml:space="preserve">šādu </w:t>
            </w:r>
            <w:r w:rsidRPr="007A43DA">
              <w:t>informāciju</w:t>
            </w:r>
            <w:r w:rsidR="004A253D">
              <w:t xml:space="preserve"> par</w:t>
            </w:r>
            <w:r w:rsidR="009A6652" w:rsidRPr="007A43DA">
              <w:t xml:space="preserve"> apstiprināta</w:t>
            </w:r>
            <w:r w:rsidR="004A253D">
              <w:t>jām</w:t>
            </w:r>
            <w:r w:rsidR="009A6652" w:rsidRPr="007A43DA">
              <w:t xml:space="preserve"> (atzīta</w:t>
            </w:r>
            <w:r w:rsidR="004A253D">
              <w:t>jām</w:t>
            </w:r>
            <w:r w:rsidR="009A6652" w:rsidRPr="007A43DA">
              <w:t xml:space="preserve">) dedzināšanas </w:t>
            </w:r>
            <w:r w:rsidRPr="007A43DA">
              <w:t>iekārt</w:t>
            </w:r>
            <w:r w:rsidR="004A253D">
              <w:t>ām</w:t>
            </w:r>
            <w:r w:rsidR="00B52F8B">
              <w:t xml:space="preserve">, </w:t>
            </w:r>
            <w:r w:rsidR="00B52F8B" w:rsidRPr="00B52F8B">
              <w:t>kurās par kurināmo izmanto kūtsmēslus</w:t>
            </w:r>
            <w:r w:rsidR="009A6652" w:rsidRPr="007A43DA">
              <w:t>:</w:t>
            </w:r>
          </w:p>
          <w:p w14:paraId="6C86DE06" w14:textId="77777777" w:rsidR="009A6652" w:rsidRPr="007A43DA" w:rsidRDefault="009A6652" w:rsidP="009A6652">
            <w:pPr>
              <w:pStyle w:val="Bezatstarpm"/>
              <w:jc w:val="both"/>
            </w:pPr>
            <w:r w:rsidRPr="007A43DA">
              <w:t>Horvātij</w:t>
            </w:r>
            <w:r w:rsidR="007E3DE3" w:rsidRPr="007A43DA">
              <w:t>ā</w:t>
            </w:r>
            <w:r w:rsidRPr="007A43DA">
              <w:t xml:space="preserve"> </w:t>
            </w:r>
            <w:r w:rsidR="004A253D">
              <w:t xml:space="preserve">– </w:t>
            </w:r>
            <w:r w:rsidRPr="007A43DA">
              <w:t>1 iekārta,</w:t>
            </w:r>
          </w:p>
          <w:p w14:paraId="0D008FAF" w14:textId="77777777" w:rsidR="009A6652" w:rsidRPr="007A43DA" w:rsidRDefault="009A6652" w:rsidP="009A6652">
            <w:pPr>
              <w:pStyle w:val="Bezatstarpm"/>
              <w:jc w:val="both"/>
            </w:pPr>
            <w:r w:rsidRPr="007A43DA">
              <w:t>Itālij</w:t>
            </w:r>
            <w:r w:rsidR="007E3DE3" w:rsidRPr="007A43DA">
              <w:t>ā</w:t>
            </w:r>
            <w:r w:rsidRPr="007A43DA">
              <w:t xml:space="preserve"> </w:t>
            </w:r>
            <w:r w:rsidR="004A253D">
              <w:t xml:space="preserve">– </w:t>
            </w:r>
            <w:r w:rsidRPr="007A43DA">
              <w:t>1 iekārta,</w:t>
            </w:r>
          </w:p>
          <w:p w14:paraId="6994D7A8" w14:textId="77777777" w:rsidR="009A6652" w:rsidRPr="007A43DA" w:rsidRDefault="009A6652" w:rsidP="009A6652">
            <w:pPr>
              <w:pStyle w:val="Bezatstarpm"/>
              <w:jc w:val="both"/>
            </w:pPr>
            <w:r w:rsidRPr="007A43DA">
              <w:t>Nīderland</w:t>
            </w:r>
            <w:r w:rsidR="007E3DE3" w:rsidRPr="007A43DA">
              <w:t>ē</w:t>
            </w:r>
            <w:r w:rsidRPr="007A43DA">
              <w:t xml:space="preserve"> </w:t>
            </w:r>
            <w:r w:rsidR="004A253D">
              <w:t xml:space="preserve">– </w:t>
            </w:r>
            <w:r w:rsidRPr="007A43DA">
              <w:t>1 iekārta,</w:t>
            </w:r>
          </w:p>
          <w:p w14:paraId="0E2232E2" w14:textId="77777777" w:rsidR="00317555" w:rsidRPr="007A43DA" w:rsidRDefault="00317555" w:rsidP="00317555">
            <w:pPr>
              <w:pStyle w:val="Bezatstarpm"/>
              <w:jc w:val="both"/>
            </w:pPr>
            <w:r w:rsidRPr="007A43DA">
              <w:t>Dānij</w:t>
            </w:r>
            <w:r w:rsidR="007E3DE3" w:rsidRPr="007A43DA">
              <w:t>ā</w:t>
            </w:r>
            <w:r w:rsidR="004A253D">
              <w:t xml:space="preserve"> – </w:t>
            </w:r>
            <w:r w:rsidRPr="007A43DA">
              <w:t>1 iekārta,</w:t>
            </w:r>
          </w:p>
          <w:p w14:paraId="5106BC53" w14:textId="77777777" w:rsidR="009A6652" w:rsidRPr="007A43DA" w:rsidRDefault="009A6652" w:rsidP="009A6652">
            <w:pPr>
              <w:pStyle w:val="Bezatstarpm"/>
              <w:jc w:val="both"/>
            </w:pPr>
            <w:r w:rsidRPr="007A43DA">
              <w:t>Rumānij</w:t>
            </w:r>
            <w:r w:rsidR="007E3DE3" w:rsidRPr="007A43DA">
              <w:t>ā</w:t>
            </w:r>
            <w:r w:rsidRPr="007A43DA">
              <w:t xml:space="preserve"> </w:t>
            </w:r>
            <w:r w:rsidR="004A253D">
              <w:t xml:space="preserve">– </w:t>
            </w:r>
            <w:r w:rsidRPr="007A43DA">
              <w:t>7 iekārtas,</w:t>
            </w:r>
          </w:p>
          <w:p w14:paraId="0A73AD26" w14:textId="77777777" w:rsidR="009A6652" w:rsidRPr="007A43DA" w:rsidRDefault="009A6652" w:rsidP="009A6652">
            <w:pPr>
              <w:pStyle w:val="Bezatstarpm"/>
              <w:jc w:val="both"/>
            </w:pPr>
            <w:r w:rsidRPr="007A43DA">
              <w:t>Slovākij</w:t>
            </w:r>
            <w:r w:rsidR="007E3DE3" w:rsidRPr="007A43DA">
              <w:t>ā</w:t>
            </w:r>
            <w:r w:rsidRPr="007A43DA">
              <w:t xml:space="preserve"> </w:t>
            </w:r>
            <w:r w:rsidR="004A253D">
              <w:t xml:space="preserve">– </w:t>
            </w:r>
            <w:r w:rsidRPr="007A43DA">
              <w:t>1 iekārta</w:t>
            </w:r>
            <w:r w:rsidR="00317555" w:rsidRPr="007A43DA">
              <w:t>,</w:t>
            </w:r>
          </w:p>
          <w:p w14:paraId="12C63AFD" w14:textId="77777777" w:rsidR="009A6652" w:rsidRPr="007A43DA" w:rsidRDefault="009A6652" w:rsidP="009A6652">
            <w:pPr>
              <w:pStyle w:val="Bezatstarpm"/>
              <w:jc w:val="both"/>
            </w:pPr>
            <w:r w:rsidRPr="007A43DA">
              <w:t>Lielbritānij</w:t>
            </w:r>
            <w:r w:rsidR="007E3DE3" w:rsidRPr="007A43DA">
              <w:t>ā</w:t>
            </w:r>
            <w:r w:rsidR="004A253D">
              <w:t xml:space="preserve"> – </w:t>
            </w:r>
            <w:r w:rsidRPr="007A43DA">
              <w:t>10</w:t>
            </w:r>
            <w:r w:rsidR="00317555" w:rsidRPr="007A43DA">
              <w:t xml:space="preserve"> iekārtas.</w:t>
            </w:r>
          </w:p>
          <w:p w14:paraId="59D1A784" w14:textId="77777777" w:rsidR="008D56DD" w:rsidRPr="009243C4" w:rsidRDefault="004E7388" w:rsidP="00BB27F7">
            <w:pPr>
              <w:pStyle w:val="Bezatstarpm"/>
              <w:jc w:val="both"/>
            </w:pPr>
            <w:r w:rsidRPr="009243C4">
              <w:t>Šobrīd blakusproduktu apritē iesaistītās personas</w:t>
            </w:r>
            <w:r w:rsidR="004A253D">
              <w:t>,</w:t>
            </w:r>
            <w:r w:rsidRPr="009243C4">
              <w:t xml:space="preserve"> </w:t>
            </w:r>
            <w:r w:rsidR="004A253D">
              <w:t>pārvadājot</w:t>
            </w:r>
            <w:r w:rsidR="004A253D" w:rsidRPr="009243C4">
              <w:t xml:space="preserve"> Latvijas teritorijā </w:t>
            </w:r>
            <w:r w:rsidR="004A253D">
              <w:t xml:space="preserve">transportējamus </w:t>
            </w:r>
            <w:r w:rsidRPr="009243C4">
              <w:t>blakusprodukt</w:t>
            </w:r>
            <w:r w:rsidR="00B52F8B">
              <w:t>us</w:t>
            </w:r>
            <w:r w:rsidRPr="009243C4">
              <w:t xml:space="preserve">, </w:t>
            </w:r>
            <w:r w:rsidR="004D6B90" w:rsidRPr="009243C4">
              <w:t xml:space="preserve">nodrošina </w:t>
            </w:r>
            <w:r w:rsidRPr="009243C4">
              <w:t xml:space="preserve">pievienotu dzīvnieku izcelsmes blakusproduktu un pārstrādātu produktu pavaddokumentu atbilstoši noteikumu Nr.275 19.2. apakšpunktā un 1.pielikumā noteiktajām prasībām </w:t>
            </w:r>
            <w:r w:rsidR="008D56DD" w:rsidRPr="009243C4">
              <w:t>(papīra formā vai elektronisku), bet blakusproduktiem, ko transportē no Latvijas teritorijas uz Eiropas Savienības dalībvalstīm</w:t>
            </w:r>
            <w:r w:rsidR="004D6B90" w:rsidRPr="009243C4">
              <w:t>,</w:t>
            </w:r>
            <w:r w:rsidR="008D56DD" w:rsidRPr="009243C4">
              <w:t xml:space="preserve"> </w:t>
            </w:r>
            <w:r w:rsidR="004A253D">
              <w:t>–</w:t>
            </w:r>
            <w:r w:rsidR="004A253D" w:rsidRPr="009243C4">
              <w:t xml:space="preserve"> </w:t>
            </w:r>
            <w:r w:rsidR="008D56DD" w:rsidRPr="009243C4">
              <w:t xml:space="preserve">tirdzniecības dokumentu atbilstoši </w:t>
            </w:r>
            <w:r w:rsidR="00671CF0" w:rsidRPr="009243C4">
              <w:t>R</w:t>
            </w:r>
            <w:r w:rsidR="008D56DD" w:rsidRPr="009243C4">
              <w:t xml:space="preserve">egulas 142/2011 17. pantā noteiktajām prasībām. Lai samazinātu administratīvo slogu un dažādu formu (ar atšķirīgām prasībām) dokumentu aizpildīšanu, nepieciešams noteikt, ka Latvijas teritorijā un no Latvijas teritorijas uz Eiropas Savienības dalībvalstīm </w:t>
            </w:r>
            <w:r w:rsidR="004D6B90" w:rsidRPr="009243C4">
              <w:lastRenderedPageBreak/>
              <w:t xml:space="preserve">transportējamu </w:t>
            </w:r>
            <w:r w:rsidR="008D56DD" w:rsidRPr="009243C4">
              <w:t xml:space="preserve">blakusproduktu apritē iesaistītā persona nodrošina tirdzniecības dokumentu atbilstoši </w:t>
            </w:r>
            <w:r w:rsidR="00671CF0" w:rsidRPr="009243C4">
              <w:t>R</w:t>
            </w:r>
            <w:r w:rsidR="008D56DD" w:rsidRPr="009243C4">
              <w:t>egulas 142/2011 17. pantā noteiktām prasībām</w:t>
            </w:r>
            <w:r w:rsidR="00A234F5" w:rsidRPr="009243C4">
              <w:t xml:space="preserve">. </w:t>
            </w:r>
            <w:r w:rsidR="00FB7D3D" w:rsidRPr="009243C4">
              <w:t>Šāda prasība stāsies spēkā 2019. gada 1. j</w:t>
            </w:r>
            <w:r w:rsidR="001F42CB">
              <w:t>ūlijā</w:t>
            </w:r>
            <w:r w:rsidR="00FB7D3D" w:rsidRPr="009243C4">
              <w:t>.</w:t>
            </w:r>
          </w:p>
          <w:p w14:paraId="5B146837" w14:textId="77777777" w:rsidR="00380304" w:rsidRPr="009243C4" w:rsidRDefault="004D6B90" w:rsidP="00BB27F7">
            <w:pPr>
              <w:pStyle w:val="Bezatstarpm"/>
              <w:jc w:val="both"/>
            </w:pPr>
            <w:r w:rsidRPr="009243C4">
              <w:t>Tā kā</w:t>
            </w:r>
            <w:r w:rsidR="00A234F5" w:rsidRPr="009243C4">
              <w:t xml:space="preserve"> bīstamo kravu apriti reglamentē Bīstamo kravu aprites likums un Eiropas valstu nolīgums par bīstamo kravu starptautiskajiem pārvadājumiem ar autotransportu (ADR)</w:t>
            </w:r>
            <w:r w:rsidR="00EA3B2C">
              <w:t xml:space="preserve"> un</w:t>
            </w:r>
            <w:r w:rsidR="00A234F5" w:rsidRPr="009243C4">
              <w:t xml:space="preserve"> </w:t>
            </w:r>
            <w:r w:rsidR="00EA3B2C">
              <w:t>taj</w:t>
            </w:r>
            <w:r w:rsidR="00A234F5" w:rsidRPr="009243C4">
              <w:t xml:space="preserve">os ir noteiktas prasības dzīvnieku izcelsmes infekciozo vielu saturošu kravu apritei, </w:t>
            </w:r>
            <w:r w:rsidR="00380304" w:rsidRPr="009243C4">
              <w:t xml:space="preserve">ir lietderīgi </w:t>
            </w:r>
            <w:r w:rsidR="00EA3B2C" w:rsidRPr="009243C4">
              <w:t xml:space="preserve">svītrot </w:t>
            </w:r>
            <w:r w:rsidR="00380304" w:rsidRPr="009243C4">
              <w:t>noteikumu Nr.275 20.</w:t>
            </w:r>
            <w:r w:rsidR="00EA3B2C">
              <w:t xml:space="preserve"> </w:t>
            </w:r>
            <w:r w:rsidR="00380304" w:rsidRPr="009243C4">
              <w:t xml:space="preserve">punktu, jo </w:t>
            </w:r>
            <w:r w:rsidR="00A234F5" w:rsidRPr="009243C4">
              <w:t>dzīvnieku izcelsmes blakusproduktu apriti reglamentē</w:t>
            </w:r>
            <w:r w:rsidR="00380304" w:rsidRPr="009243C4">
              <w:t>:</w:t>
            </w:r>
          </w:p>
          <w:p w14:paraId="38EEEA16" w14:textId="77777777" w:rsidR="00380304" w:rsidRPr="009243C4" w:rsidRDefault="00380304" w:rsidP="00BB27F7">
            <w:pPr>
              <w:pStyle w:val="Bezatstarpm"/>
              <w:jc w:val="both"/>
            </w:pPr>
            <w:r w:rsidRPr="009243C4">
              <w:t>1) Eiropas Parlamenta un Padomes 2009.</w:t>
            </w:r>
            <w:r w:rsidR="00623EDF" w:rsidRPr="009243C4">
              <w:t xml:space="preserve"> </w:t>
            </w:r>
            <w:r w:rsidRPr="009243C4">
              <w:t>gada 21.</w:t>
            </w:r>
            <w:r w:rsidR="00623EDF" w:rsidRPr="009243C4">
              <w:t xml:space="preserve"> </w:t>
            </w:r>
            <w:r w:rsidRPr="009243C4">
              <w:t xml:space="preserve">oktobra Regula (EK) Nr.1069/2009, ar ko nosaka veselības aizsardzības noteikumus attiecībā uz dzīvnieku izcelsmes blakusproduktiem un atvasinātajiem produktiem, </w:t>
            </w:r>
            <w:proofErr w:type="gramStart"/>
            <w:r w:rsidRPr="009243C4">
              <w:t>kuri nav</w:t>
            </w:r>
            <w:proofErr w:type="gramEnd"/>
            <w:r w:rsidRPr="009243C4">
              <w:t xml:space="preserve"> paredzēti cilvēku patēriņam, un ar ko atceļ Regulu (EK) Nr.1774/2002 (Dzīvnieku izcelsmes blakus</w:t>
            </w:r>
            <w:r w:rsidR="00623EDF" w:rsidRPr="009243C4">
              <w:t>produktu regula)</w:t>
            </w:r>
            <w:r w:rsidRPr="009243C4">
              <w:t>;</w:t>
            </w:r>
          </w:p>
          <w:p w14:paraId="40971B3E" w14:textId="77777777" w:rsidR="00A234F5" w:rsidRPr="009243C4" w:rsidRDefault="00380304" w:rsidP="00BB27F7">
            <w:pPr>
              <w:pStyle w:val="Bezatstarpm"/>
              <w:jc w:val="both"/>
            </w:pPr>
            <w:r w:rsidRPr="009243C4">
              <w:t xml:space="preserve">2) </w:t>
            </w:r>
            <w:r w:rsidR="00671CF0" w:rsidRPr="009243C4">
              <w:t>R</w:t>
            </w:r>
            <w:r w:rsidRPr="009243C4">
              <w:t>egula 142/2011.</w:t>
            </w:r>
          </w:p>
          <w:p w14:paraId="7FFCFDC6" w14:textId="77777777" w:rsidR="00AA464A" w:rsidRPr="009243C4" w:rsidRDefault="00AA464A" w:rsidP="00BB27F7">
            <w:pPr>
              <w:pStyle w:val="Bezatstarpm"/>
              <w:jc w:val="both"/>
            </w:pPr>
            <w:r w:rsidRPr="009243C4">
              <w:t xml:space="preserve">Saskaņā ar Ministru kabineta 2018. gada 6. marta sēdes protokollēmuma 3.punktu (prot. Nr. 14 40. § „Likumprojekts „Personas datu apstrādes likums””) noteikumi Nr.275 </w:t>
            </w:r>
            <w:r w:rsidR="00EA3B2C">
              <w:t xml:space="preserve">ir </w:t>
            </w:r>
            <w:r w:rsidRPr="009243C4">
              <w:t xml:space="preserve">jāpapildina ar nosacījumiem par fizisko personu datu apstrādi.  </w:t>
            </w:r>
          </w:p>
          <w:p w14:paraId="27A0967C" w14:textId="77777777" w:rsidR="004B5D20" w:rsidRPr="009243C4" w:rsidRDefault="00EA3B2C" w:rsidP="00BB27F7">
            <w:pPr>
              <w:pStyle w:val="Bezatstarpm"/>
              <w:jc w:val="both"/>
            </w:pPr>
            <w:r>
              <w:t>Ie</w:t>
            </w:r>
            <w:r w:rsidR="004B5D20" w:rsidRPr="009243C4">
              <w:t>vēr</w:t>
            </w:r>
            <w:r>
              <w:t>ojot</w:t>
            </w:r>
            <w:r w:rsidR="004B5D20" w:rsidRPr="009243C4">
              <w:t xml:space="preserve"> minēto, ir </w:t>
            </w:r>
            <w:r w:rsidR="004D6B90" w:rsidRPr="009243C4">
              <w:t>sagatavo</w:t>
            </w:r>
            <w:r w:rsidR="004B5D20" w:rsidRPr="009243C4">
              <w:t>ti Ministru ka</w:t>
            </w:r>
            <w:r w:rsidR="00665123" w:rsidRPr="009243C4">
              <w:t>b</w:t>
            </w:r>
            <w:r w:rsidR="004B5D20" w:rsidRPr="009243C4">
              <w:t>ineta noteikumi „</w:t>
            </w:r>
            <w:r w:rsidR="00442C9C" w:rsidRPr="009243C4">
              <w:t>Grozījumi Ministru kabineta 2012. gada 17. aprīļa noteikumos Nr. 275 „Prasības tādu dzīvnieku izcelsmes blakusproduktu un atvasinātu produktu apritei, kas nav paredzēti cilvēku patēriņam”</w:t>
            </w:r>
            <w:r w:rsidR="004B5D20" w:rsidRPr="009243C4">
              <w:t>”</w:t>
            </w:r>
            <w:r w:rsidR="00FF4060" w:rsidRPr="009243C4">
              <w:t xml:space="preserve"> (turpmāk – noteikumu projekts)</w:t>
            </w:r>
            <w:r w:rsidR="004B5D20" w:rsidRPr="009243C4">
              <w:t>, k</w:t>
            </w:r>
            <w:r w:rsidR="008617C7" w:rsidRPr="009243C4">
              <w:t>as</w:t>
            </w:r>
            <w:r w:rsidR="004B5D20" w:rsidRPr="009243C4">
              <w:t xml:space="preserve"> </w:t>
            </w:r>
            <w:r w:rsidR="004D6B90" w:rsidRPr="009243C4">
              <w:t>paredz</w:t>
            </w:r>
            <w:r w:rsidR="00442C9C" w:rsidRPr="009243C4">
              <w:t>, ka</w:t>
            </w:r>
            <w:r w:rsidR="004B5D20" w:rsidRPr="009243C4">
              <w:t>:</w:t>
            </w:r>
          </w:p>
          <w:p w14:paraId="56B9C8C5" w14:textId="73DDC8EA" w:rsidR="00FB6366" w:rsidRPr="009243C4" w:rsidRDefault="00FB6366" w:rsidP="00BB27F7">
            <w:pPr>
              <w:pStyle w:val="Bezatstarpm"/>
              <w:jc w:val="both"/>
            </w:pPr>
            <w:r w:rsidRPr="009243C4">
              <w:t xml:space="preserve">1) </w:t>
            </w:r>
            <w:r w:rsidR="00442C9C" w:rsidRPr="009243C4">
              <w:t xml:space="preserve">Valsts vides dienests ir </w:t>
            </w:r>
            <w:r w:rsidR="00671CF0" w:rsidRPr="009243C4">
              <w:t>R</w:t>
            </w:r>
            <w:r w:rsidR="00442C9C" w:rsidRPr="009243C4">
              <w:t xml:space="preserve">egulas </w:t>
            </w:r>
            <w:r w:rsidR="00393117">
              <w:t xml:space="preserve">Nr. </w:t>
            </w:r>
            <w:r w:rsidR="00442C9C" w:rsidRPr="009243C4">
              <w:t>142/2011 6. panta 8.</w:t>
            </w:r>
            <w:r w:rsidR="00393117">
              <w:t> </w:t>
            </w:r>
            <w:r w:rsidR="00442C9C" w:rsidRPr="009243C4">
              <w:t xml:space="preserve">punktā minētā </w:t>
            </w:r>
            <w:r w:rsidR="00756947" w:rsidRPr="009243C4">
              <w:t>par vides jautājumiem atbildīgā</w:t>
            </w:r>
            <w:r w:rsidR="00442C9C" w:rsidRPr="009243C4">
              <w:t xml:space="preserve"> </w:t>
            </w:r>
            <w:r w:rsidR="00BC1A46" w:rsidRPr="009243C4">
              <w:t xml:space="preserve">kompetentā </w:t>
            </w:r>
            <w:r w:rsidR="00442C9C" w:rsidRPr="009243C4">
              <w:t xml:space="preserve">iestāde, kas </w:t>
            </w:r>
            <w:r w:rsidR="00442C9C" w:rsidRPr="00E468A6">
              <w:t xml:space="preserve">sniedz </w:t>
            </w:r>
            <w:r w:rsidR="00D34116" w:rsidRPr="00E468A6">
              <w:t>apstiprinājumu</w:t>
            </w:r>
            <w:r w:rsidR="006E39B6" w:rsidRPr="00E468A6">
              <w:t xml:space="preserve"> par</w:t>
            </w:r>
            <w:r w:rsidR="006E39B6" w:rsidRPr="009243C4">
              <w:t xml:space="preserve"> atbilstību prasībām</w:t>
            </w:r>
            <w:r w:rsidR="00A15CFD" w:rsidRPr="009243C4">
              <w:t>;</w:t>
            </w:r>
          </w:p>
          <w:p w14:paraId="30581079" w14:textId="495AB602" w:rsidR="00DC6603" w:rsidRPr="009243C4" w:rsidRDefault="00FB6366">
            <w:pPr>
              <w:pStyle w:val="Bezatstarpm"/>
              <w:jc w:val="both"/>
            </w:pPr>
            <w:r w:rsidRPr="009243C4">
              <w:t xml:space="preserve">2) </w:t>
            </w:r>
            <w:r w:rsidR="006E39B6" w:rsidRPr="009243C4">
              <w:t xml:space="preserve">blakusproduktu apritē iesaistītā persona </w:t>
            </w:r>
            <w:r w:rsidR="00442C9C" w:rsidRPr="009243C4">
              <w:t xml:space="preserve">Latvijas teritorijā un uz Eiropas Savienības dalībvalstīm </w:t>
            </w:r>
            <w:r w:rsidR="004D6B90" w:rsidRPr="009243C4">
              <w:t xml:space="preserve">transportējamiem blakusproduktiem nodrošina </w:t>
            </w:r>
            <w:r w:rsidR="00442C9C" w:rsidRPr="009243C4">
              <w:t xml:space="preserve">tirdzniecības dokumentu atbilstoši </w:t>
            </w:r>
            <w:r w:rsidR="00671CF0" w:rsidRPr="009243C4">
              <w:t>R</w:t>
            </w:r>
            <w:r w:rsidR="00442C9C" w:rsidRPr="009243C4">
              <w:t xml:space="preserve">egulas </w:t>
            </w:r>
            <w:r w:rsidR="00393117">
              <w:t xml:space="preserve">Nr. </w:t>
            </w:r>
            <w:r w:rsidR="00442C9C" w:rsidRPr="009243C4">
              <w:t>142/2011 17. pantā noteikt</w:t>
            </w:r>
            <w:r w:rsidR="004D6B90" w:rsidRPr="009243C4">
              <w:t>aj</w:t>
            </w:r>
            <w:r w:rsidR="00442C9C" w:rsidRPr="009243C4">
              <w:t>ām prasībām</w:t>
            </w:r>
            <w:r w:rsidR="004D6B90" w:rsidRPr="009243C4">
              <w:t>, tāpēc</w:t>
            </w:r>
            <w:r w:rsidR="006E39B6" w:rsidRPr="009243C4">
              <w:t xml:space="preserve"> ir </w:t>
            </w:r>
            <w:r w:rsidR="00442C9C" w:rsidRPr="009243C4">
              <w:t>s</w:t>
            </w:r>
            <w:r w:rsidR="00442C9C" w:rsidRPr="009243C4">
              <w:rPr>
                <w:rFonts w:eastAsia="Calibri"/>
              </w:rPr>
              <w:t>vītrojams noteikumu 20.punkts</w:t>
            </w:r>
            <w:r w:rsidR="006E39B6" w:rsidRPr="009243C4">
              <w:rPr>
                <w:rFonts w:eastAsia="Calibri"/>
              </w:rPr>
              <w:t xml:space="preserve"> un 1.pielikums</w:t>
            </w:r>
            <w:r w:rsidR="00A15CFD" w:rsidRPr="009243C4">
              <w:t>.</w:t>
            </w:r>
          </w:p>
        </w:tc>
      </w:tr>
      <w:tr w:rsidR="00FB65D8" w:rsidRPr="000A242C" w14:paraId="6D53AFD5" w14:textId="77777777" w:rsidTr="00671CF0">
        <w:tc>
          <w:tcPr>
            <w:tcW w:w="324" w:type="pct"/>
          </w:tcPr>
          <w:p w14:paraId="764A324C" w14:textId="77777777" w:rsidR="00FB65D8" w:rsidRPr="000A242C" w:rsidRDefault="00FB65D8" w:rsidP="00F62526">
            <w:pPr>
              <w:pStyle w:val="Bezatstarpm"/>
            </w:pPr>
            <w:r w:rsidRPr="000A242C">
              <w:lastRenderedPageBreak/>
              <w:t>3.</w:t>
            </w:r>
          </w:p>
        </w:tc>
        <w:tc>
          <w:tcPr>
            <w:tcW w:w="1063" w:type="pct"/>
          </w:tcPr>
          <w:p w14:paraId="1778892B" w14:textId="77777777" w:rsidR="00FB65D8" w:rsidRPr="000A242C" w:rsidRDefault="00FB65D8" w:rsidP="00F62526">
            <w:pPr>
              <w:pStyle w:val="Bezatstarpm"/>
              <w:jc w:val="both"/>
            </w:pPr>
            <w:r w:rsidRPr="000A242C">
              <w:t>Projekta izstrādē iesaistītās institūcijas</w:t>
            </w:r>
            <w:r w:rsidR="00A035B4" w:rsidRPr="00EB5171">
              <w:t xml:space="preserve"> un publiskas personas kapitālsabiedrības</w:t>
            </w:r>
          </w:p>
        </w:tc>
        <w:tc>
          <w:tcPr>
            <w:tcW w:w="3613" w:type="pct"/>
          </w:tcPr>
          <w:p w14:paraId="0632FE55" w14:textId="77777777" w:rsidR="00FB65D8" w:rsidRPr="000A242C" w:rsidRDefault="00FB65D8" w:rsidP="00246BAC">
            <w:pPr>
              <w:pStyle w:val="Bezatstarpm"/>
            </w:pPr>
            <w:r>
              <w:t>Pārtikas un veterinārais dienests</w:t>
            </w:r>
            <w:r w:rsidR="008617C7">
              <w:t xml:space="preserve"> </w:t>
            </w:r>
          </w:p>
        </w:tc>
      </w:tr>
      <w:tr w:rsidR="00FB65D8" w:rsidRPr="000A242C" w14:paraId="3E8804C7" w14:textId="77777777" w:rsidTr="00671CF0">
        <w:tc>
          <w:tcPr>
            <w:tcW w:w="324" w:type="pct"/>
          </w:tcPr>
          <w:p w14:paraId="3E8D7DFB" w14:textId="77777777" w:rsidR="00FB65D8" w:rsidRPr="000A242C" w:rsidRDefault="00FB65D8" w:rsidP="00F62526">
            <w:pPr>
              <w:pStyle w:val="Bezatstarpm"/>
            </w:pPr>
            <w:r w:rsidRPr="000A242C">
              <w:t>4.</w:t>
            </w:r>
          </w:p>
        </w:tc>
        <w:tc>
          <w:tcPr>
            <w:tcW w:w="1063" w:type="pct"/>
          </w:tcPr>
          <w:p w14:paraId="5526ECE9" w14:textId="77777777" w:rsidR="00FB65D8" w:rsidRPr="000A242C" w:rsidRDefault="00FB65D8" w:rsidP="00F62526">
            <w:pPr>
              <w:pStyle w:val="Bezatstarpm"/>
            </w:pPr>
            <w:r w:rsidRPr="000A242C">
              <w:t>Cita informācija</w:t>
            </w:r>
          </w:p>
        </w:tc>
        <w:tc>
          <w:tcPr>
            <w:tcW w:w="3613" w:type="pct"/>
          </w:tcPr>
          <w:p w14:paraId="515B819B" w14:textId="77777777" w:rsidR="00FB65D8" w:rsidRPr="000A242C" w:rsidRDefault="00FB65D8" w:rsidP="00F62526">
            <w:pPr>
              <w:pStyle w:val="Bezatstarpm"/>
            </w:pPr>
            <w:r w:rsidRPr="000A242C">
              <w:t>Nav</w:t>
            </w:r>
            <w:r w:rsidR="004D6B90">
              <w:t>.</w:t>
            </w:r>
            <w:r w:rsidRPr="000A242C">
              <w:t xml:space="preserve"> </w:t>
            </w:r>
          </w:p>
        </w:tc>
      </w:tr>
      <w:tr w:rsidR="00FB65D8" w:rsidRPr="000A242C" w14:paraId="51045110" w14:textId="77777777" w:rsidTr="00461EE3">
        <w:tc>
          <w:tcPr>
            <w:tcW w:w="5000" w:type="pct"/>
            <w:gridSpan w:val="3"/>
          </w:tcPr>
          <w:p w14:paraId="032C2E99" w14:textId="77777777" w:rsidR="00FB65D8" w:rsidRPr="00891139" w:rsidRDefault="00FB65D8" w:rsidP="00F62526">
            <w:pPr>
              <w:pStyle w:val="Bezatstarpm"/>
              <w:jc w:val="center"/>
              <w:rPr>
                <w:b/>
              </w:rPr>
            </w:pPr>
            <w:r w:rsidRPr="00891139">
              <w:rPr>
                <w:b/>
              </w:rPr>
              <w:t>II. Tiesību akta projekta ietekme uz sabiedrību, tautsaimniecības attīstību un administratīvo slogu</w:t>
            </w:r>
          </w:p>
        </w:tc>
      </w:tr>
      <w:tr w:rsidR="00FB65D8" w:rsidRPr="00A25835" w14:paraId="017419F0" w14:textId="77777777" w:rsidTr="00671CF0">
        <w:tc>
          <w:tcPr>
            <w:tcW w:w="324" w:type="pct"/>
          </w:tcPr>
          <w:p w14:paraId="2DA6B679" w14:textId="77777777" w:rsidR="00FB65D8" w:rsidRPr="000A242C" w:rsidRDefault="00FB65D8" w:rsidP="00F62526">
            <w:pPr>
              <w:pStyle w:val="Bezatstarpm"/>
            </w:pPr>
            <w:r w:rsidRPr="000A242C">
              <w:t>1.</w:t>
            </w:r>
          </w:p>
        </w:tc>
        <w:tc>
          <w:tcPr>
            <w:tcW w:w="1063" w:type="pct"/>
          </w:tcPr>
          <w:p w14:paraId="6FB2FA66" w14:textId="77777777" w:rsidR="00FB65D8" w:rsidRPr="000A242C" w:rsidRDefault="00FB65D8" w:rsidP="00F62526">
            <w:pPr>
              <w:pStyle w:val="Bezatstarpm"/>
              <w:jc w:val="both"/>
            </w:pPr>
            <w:r w:rsidRPr="000A242C">
              <w:t>Sabiedrības mērķgrupas, kuras tiesiskais regulējums ietekmē vai varētu ietekmēt</w:t>
            </w:r>
          </w:p>
        </w:tc>
        <w:tc>
          <w:tcPr>
            <w:tcW w:w="3613" w:type="pct"/>
          </w:tcPr>
          <w:p w14:paraId="403D0EF8" w14:textId="77777777" w:rsidR="00FB65D8" w:rsidRPr="000A242C" w:rsidRDefault="00486708" w:rsidP="0019172F">
            <w:pPr>
              <w:pStyle w:val="Bezatstarpm"/>
              <w:jc w:val="both"/>
            </w:pPr>
            <w:r w:rsidRPr="00486708">
              <w:t xml:space="preserve">Noteikumu projekta tiesiskais regulējums attieksies uz </w:t>
            </w:r>
            <w:r w:rsidR="00450B9C" w:rsidRPr="00450B9C">
              <w:t>P</w:t>
            </w:r>
            <w:r w:rsidR="00450B9C">
              <w:t>ārtikas un veterinār</w:t>
            </w:r>
            <w:r w:rsidR="00EE65F6">
              <w:t>o</w:t>
            </w:r>
            <w:r w:rsidR="00450B9C">
              <w:t xml:space="preserve"> dienest</w:t>
            </w:r>
            <w:r w:rsidR="002F0B22">
              <w:t>u</w:t>
            </w:r>
            <w:r w:rsidR="00450B9C" w:rsidRPr="00450B9C">
              <w:t xml:space="preserve">, Valsts </w:t>
            </w:r>
            <w:r w:rsidR="00395E8B">
              <w:t>vides</w:t>
            </w:r>
            <w:r w:rsidR="00450B9C" w:rsidRPr="00450B9C">
              <w:t xml:space="preserve"> dienest</w:t>
            </w:r>
            <w:r w:rsidR="002F0B22">
              <w:t>u</w:t>
            </w:r>
            <w:r w:rsidR="00395E8B">
              <w:t xml:space="preserve"> un </w:t>
            </w:r>
            <w:r w:rsidR="00395E8B" w:rsidRPr="00395E8B">
              <w:t>blakusproduktu apritē iesaistītā</w:t>
            </w:r>
            <w:r w:rsidR="00395E8B">
              <w:t>m</w:t>
            </w:r>
            <w:r w:rsidR="00395E8B" w:rsidRPr="00395E8B">
              <w:t xml:space="preserve"> person</w:t>
            </w:r>
            <w:r w:rsidR="00395E8B">
              <w:t>ām</w:t>
            </w:r>
            <w:r w:rsidRPr="00486708">
              <w:t>. Latvijā 201</w:t>
            </w:r>
            <w:r w:rsidR="0019172F">
              <w:t>9</w:t>
            </w:r>
            <w:r w:rsidRPr="00486708">
              <w:t>.</w:t>
            </w:r>
            <w:r>
              <w:t xml:space="preserve"> </w:t>
            </w:r>
            <w:r w:rsidRPr="00486708">
              <w:t xml:space="preserve">gada </w:t>
            </w:r>
            <w:r w:rsidRPr="009C3649">
              <w:t xml:space="preserve">1. </w:t>
            </w:r>
            <w:r w:rsidR="00EE65F6" w:rsidRPr="009C3649">
              <w:t>j</w:t>
            </w:r>
            <w:r w:rsidR="008617C7">
              <w:t>an</w:t>
            </w:r>
            <w:r w:rsidR="00461EE3">
              <w:t>vārī</w:t>
            </w:r>
            <w:r w:rsidRPr="009C3649">
              <w:t xml:space="preserve"> </w:t>
            </w:r>
            <w:r w:rsidR="00246BAC" w:rsidRPr="00246BAC">
              <w:t xml:space="preserve">PVD </w:t>
            </w:r>
            <w:r w:rsidR="00562943">
              <w:t>bija</w:t>
            </w:r>
            <w:r w:rsidR="00562943" w:rsidRPr="009C3649">
              <w:t xml:space="preserve"> </w:t>
            </w:r>
            <w:r w:rsidR="00246BAC" w:rsidRPr="00246BAC">
              <w:t xml:space="preserve">reģistrētas vai atzītas </w:t>
            </w:r>
            <w:r w:rsidR="00246BAC">
              <w:t>642</w:t>
            </w:r>
            <w:r w:rsidR="00EE79E9">
              <w:t> </w:t>
            </w:r>
            <w:r w:rsidR="00395E8B" w:rsidRPr="00395E8B">
              <w:t>blakusproduktu apritē iesaistīt</w:t>
            </w:r>
            <w:r w:rsidR="00395E8B">
              <w:t>as</w:t>
            </w:r>
            <w:r w:rsidR="00395E8B" w:rsidRPr="00395E8B">
              <w:t xml:space="preserve"> person</w:t>
            </w:r>
            <w:r w:rsidR="00395E8B">
              <w:t>as</w:t>
            </w:r>
            <w:r w:rsidR="00116ADC">
              <w:t>,</w:t>
            </w:r>
            <w:r w:rsidR="00395E8B">
              <w:t xml:space="preserve"> </w:t>
            </w:r>
            <w:r w:rsidR="004D6B90">
              <w:t>bet nav reģistrētas vai atzītas</w:t>
            </w:r>
            <w:r w:rsidR="004D6B90" w:rsidRPr="00395E8B">
              <w:t xml:space="preserve"> </w:t>
            </w:r>
            <w:r w:rsidR="00395E8B" w:rsidRPr="00395E8B">
              <w:t>dedzināšanas iekārt</w:t>
            </w:r>
            <w:r w:rsidR="00395E8B">
              <w:t>as</w:t>
            </w:r>
            <w:r w:rsidR="00395E8B" w:rsidRPr="00395E8B">
              <w:t>, kurās par kurināmo izmanto kūtsmēslus</w:t>
            </w:r>
            <w:r w:rsidR="00395E8B">
              <w:t>.</w:t>
            </w:r>
          </w:p>
        </w:tc>
      </w:tr>
      <w:tr w:rsidR="00FB65D8" w:rsidRPr="000A242C" w14:paraId="25A47009" w14:textId="77777777" w:rsidTr="00671CF0">
        <w:tc>
          <w:tcPr>
            <w:tcW w:w="324" w:type="pct"/>
          </w:tcPr>
          <w:p w14:paraId="5E13B77F" w14:textId="77777777" w:rsidR="00FB65D8" w:rsidRPr="000A242C" w:rsidRDefault="00FB65D8" w:rsidP="00F62526">
            <w:pPr>
              <w:pStyle w:val="Bezatstarpm"/>
            </w:pPr>
            <w:r w:rsidRPr="000A242C">
              <w:lastRenderedPageBreak/>
              <w:t>2.</w:t>
            </w:r>
          </w:p>
        </w:tc>
        <w:tc>
          <w:tcPr>
            <w:tcW w:w="1063" w:type="pct"/>
          </w:tcPr>
          <w:p w14:paraId="35735C87" w14:textId="77777777" w:rsidR="00FB65D8" w:rsidRPr="000A242C" w:rsidRDefault="00FB65D8" w:rsidP="00F62526">
            <w:pPr>
              <w:pStyle w:val="Bezatstarpm"/>
              <w:jc w:val="both"/>
            </w:pPr>
            <w:r w:rsidRPr="000A242C">
              <w:t>Tiesiskā regulējuma ietekme uz tautsaimniecību un administratīvo slogu</w:t>
            </w:r>
          </w:p>
        </w:tc>
        <w:tc>
          <w:tcPr>
            <w:tcW w:w="3613" w:type="pct"/>
          </w:tcPr>
          <w:p w14:paraId="25B180BC" w14:textId="77777777" w:rsidR="00B65239" w:rsidRPr="009C3649" w:rsidRDefault="00212631" w:rsidP="00246BAC">
            <w:pPr>
              <w:pStyle w:val="Bezatstarpm"/>
              <w:jc w:val="both"/>
            </w:pPr>
            <w:r w:rsidRPr="00741B80">
              <w:t>Regulējums tieši un būtiski neietekmē uzņēmējdarbības vidi</w:t>
            </w:r>
            <w:r w:rsidR="008617C7">
              <w:t> –</w:t>
            </w:r>
            <w:r w:rsidRPr="00741B80">
              <w:t xml:space="preserve"> mazos</w:t>
            </w:r>
            <w:r w:rsidR="008617C7">
              <w:t xml:space="preserve"> un</w:t>
            </w:r>
            <w:r w:rsidRPr="00741B80">
              <w:t xml:space="preserve"> vidējos uzņēmumus, mikrouzņēmumus un </w:t>
            </w:r>
            <w:proofErr w:type="spellStart"/>
            <w:r w:rsidRPr="00741B80">
              <w:t>jaun</w:t>
            </w:r>
            <w:r w:rsidR="008617C7">
              <w:t>veidotus</w:t>
            </w:r>
            <w:proofErr w:type="spellEnd"/>
            <w:r w:rsidR="008617C7">
              <w:t xml:space="preserve"> </w:t>
            </w:r>
            <w:r w:rsidRPr="00741B80">
              <w:t xml:space="preserve">uzņēmumus, </w:t>
            </w:r>
            <w:r w:rsidR="008617C7">
              <w:t>ne</w:t>
            </w:r>
            <w:r w:rsidRPr="00741B80">
              <w:t xml:space="preserve"> arī konkurenci </w:t>
            </w:r>
            <w:r w:rsidR="00246BAC">
              <w:t>dzīvnieku izcelsmes blakusproduktu aprites</w:t>
            </w:r>
            <w:r w:rsidRPr="00741B80">
              <w:t xml:space="preserve"> jomā, vidi un nevalstisko organizāciju darbību</w:t>
            </w:r>
            <w:r w:rsidR="008617C7">
              <w:t>, tāpēc</w:t>
            </w:r>
            <w:r w:rsidRPr="00741B80">
              <w:t xml:space="preserve"> uz šīm jomām tas nav attiecināms. </w:t>
            </w:r>
          </w:p>
        </w:tc>
      </w:tr>
      <w:tr w:rsidR="00FB65D8" w:rsidRPr="000A242C" w14:paraId="0825B86C" w14:textId="77777777" w:rsidTr="00671CF0">
        <w:tc>
          <w:tcPr>
            <w:tcW w:w="324" w:type="pct"/>
          </w:tcPr>
          <w:p w14:paraId="306AC48A" w14:textId="77777777" w:rsidR="00FB65D8" w:rsidRPr="000A242C" w:rsidRDefault="00FB65D8" w:rsidP="00F62526">
            <w:pPr>
              <w:pStyle w:val="Bezatstarpm"/>
            </w:pPr>
            <w:r w:rsidRPr="000A242C">
              <w:t>3.</w:t>
            </w:r>
          </w:p>
        </w:tc>
        <w:tc>
          <w:tcPr>
            <w:tcW w:w="1063" w:type="pct"/>
          </w:tcPr>
          <w:p w14:paraId="0B02AF9D" w14:textId="77777777" w:rsidR="00FB65D8" w:rsidRPr="000A242C" w:rsidRDefault="00FB65D8" w:rsidP="00F62526">
            <w:pPr>
              <w:pStyle w:val="Bezatstarpm"/>
              <w:jc w:val="both"/>
            </w:pPr>
            <w:r w:rsidRPr="000A242C">
              <w:t>Administratīvo izmaksu monetārs novērtējums</w:t>
            </w:r>
          </w:p>
        </w:tc>
        <w:tc>
          <w:tcPr>
            <w:tcW w:w="3613" w:type="pct"/>
          </w:tcPr>
          <w:p w14:paraId="0117C679" w14:textId="77777777" w:rsidR="00822295" w:rsidRPr="007A43DA" w:rsidRDefault="00CA1E2C" w:rsidP="00A91086">
            <w:pPr>
              <w:pStyle w:val="Bezatstarpm"/>
              <w:jc w:val="both"/>
            </w:pPr>
            <w:r w:rsidRPr="00586762">
              <w:t xml:space="preserve">Projektā ietvertajam tiesiskajam regulējumam nav ietekmes uz administratīvajām izmaksām (naudas izteiksmē), un tas nerada papildu administratīvo slogu, jo administratīvās izmaksas (naudas izteiksmē) gada laikā mērķgrupai, ko veido fiziskas personas, nepārsniedz 200 </w:t>
            </w:r>
            <w:proofErr w:type="spellStart"/>
            <w:r w:rsidRPr="00561CF6">
              <w:rPr>
                <w:i/>
              </w:rPr>
              <w:t>euro</w:t>
            </w:r>
            <w:proofErr w:type="spellEnd"/>
            <w:r w:rsidRPr="00586762">
              <w:t xml:space="preserve">, bet mērķgrupai, ko veido juridiskas personas, – 2000 </w:t>
            </w:r>
            <w:proofErr w:type="spellStart"/>
            <w:r w:rsidRPr="00561CF6">
              <w:rPr>
                <w:i/>
              </w:rPr>
              <w:t>euro</w:t>
            </w:r>
            <w:proofErr w:type="spellEnd"/>
            <w:r w:rsidRPr="00586762">
              <w:t>.</w:t>
            </w:r>
            <w:r w:rsidR="008A7303" w:rsidRPr="00B65239">
              <w:t xml:space="preserve"> Sabiedrības mērķgrupām </w:t>
            </w:r>
            <w:r w:rsidR="008A7303">
              <w:t xml:space="preserve">noteikumu </w:t>
            </w:r>
            <w:r w:rsidR="008A7303" w:rsidRPr="00B65239">
              <w:t>projekta tiesiskais regulējums nemaina tiesības un pienākumus.</w:t>
            </w:r>
          </w:p>
        </w:tc>
      </w:tr>
      <w:tr w:rsidR="00465772" w:rsidRPr="000A242C" w14:paraId="57075854" w14:textId="77777777" w:rsidTr="00671CF0">
        <w:tc>
          <w:tcPr>
            <w:tcW w:w="324" w:type="pct"/>
          </w:tcPr>
          <w:p w14:paraId="2A20BE03" w14:textId="77777777" w:rsidR="00465772" w:rsidRPr="000A242C" w:rsidRDefault="00465772" w:rsidP="00465772">
            <w:pPr>
              <w:pStyle w:val="Bezatstarpm"/>
            </w:pPr>
            <w:r w:rsidRPr="00EB5171">
              <w:t>4.</w:t>
            </w:r>
          </w:p>
        </w:tc>
        <w:tc>
          <w:tcPr>
            <w:tcW w:w="1063" w:type="pct"/>
          </w:tcPr>
          <w:p w14:paraId="45262F9A" w14:textId="77777777" w:rsidR="00465772" w:rsidRPr="000A242C" w:rsidRDefault="00465772" w:rsidP="00465772">
            <w:pPr>
              <w:pStyle w:val="Bezatstarpm"/>
              <w:jc w:val="both"/>
            </w:pPr>
            <w:r w:rsidRPr="00EB5171">
              <w:t>Atbilstības izmaksu monetārs novērtējums</w:t>
            </w:r>
          </w:p>
        </w:tc>
        <w:tc>
          <w:tcPr>
            <w:tcW w:w="3613" w:type="pct"/>
          </w:tcPr>
          <w:p w14:paraId="64FCF31C" w14:textId="50459FB0" w:rsidR="00CA4039" w:rsidRPr="00A11EB4" w:rsidRDefault="00C74641">
            <w:pPr>
              <w:pStyle w:val="Bezatstarpm"/>
              <w:jc w:val="both"/>
            </w:pPr>
            <w:r>
              <w:t xml:space="preserve">Noteikumu projekts paredz </w:t>
            </w:r>
            <w:r w:rsidR="00A13598">
              <w:t xml:space="preserve">prasību </w:t>
            </w:r>
            <w:r w:rsidR="00A13598" w:rsidRPr="00A13598">
              <w:t>blakusproduktu apritē iesaistīt</w:t>
            </w:r>
            <w:r w:rsidR="004D6B90">
              <w:t>ai</w:t>
            </w:r>
            <w:r w:rsidR="00A13598" w:rsidRPr="00A13598">
              <w:t xml:space="preserve"> persona</w:t>
            </w:r>
            <w:r w:rsidR="00A13598">
              <w:t>i</w:t>
            </w:r>
            <w:r w:rsidR="00A13598" w:rsidRPr="00A13598">
              <w:t xml:space="preserve"> </w:t>
            </w:r>
            <w:r w:rsidR="00A13598">
              <w:t>b</w:t>
            </w:r>
            <w:r w:rsidR="00A13598" w:rsidRPr="00A13598">
              <w:t>lakusproduktiem, ko transportē Latvijas teritorijā un uz Eiropas Savienības dalībvalstīm</w:t>
            </w:r>
            <w:r w:rsidR="00A13598">
              <w:t>,</w:t>
            </w:r>
            <w:r w:rsidR="00A13598" w:rsidRPr="00A13598">
              <w:t xml:space="preserve"> </w:t>
            </w:r>
            <w:r w:rsidR="004D6B90" w:rsidRPr="00A13598">
              <w:t>nodrošin</w:t>
            </w:r>
            <w:r w:rsidR="004D6B90">
              <w:t>āt</w:t>
            </w:r>
            <w:r w:rsidR="004D6B90" w:rsidRPr="00A13598">
              <w:t xml:space="preserve"> </w:t>
            </w:r>
            <w:proofErr w:type="gramStart"/>
            <w:r w:rsidR="00A13598" w:rsidRPr="00A13598">
              <w:t xml:space="preserve">tirdzniecības dokumentu atbilstoši </w:t>
            </w:r>
            <w:r w:rsidR="00A13598">
              <w:t>R</w:t>
            </w:r>
            <w:r w:rsidR="00A13598" w:rsidRPr="00A13598">
              <w:t>egulas</w:t>
            </w:r>
            <w:proofErr w:type="gramEnd"/>
            <w:r w:rsidR="00A13598" w:rsidRPr="00A13598">
              <w:t xml:space="preserve"> </w:t>
            </w:r>
            <w:r w:rsidR="00393117">
              <w:t xml:space="preserve">Nr. </w:t>
            </w:r>
            <w:r w:rsidR="00A13598" w:rsidRPr="00A13598">
              <w:t>142/2011 17. pantā noteiktām prasībām</w:t>
            </w:r>
            <w:r w:rsidR="00A13598">
              <w:t xml:space="preserve">. </w:t>
            </w:r>
            <w:r w:rsidR="00E801FA" w:rsidRPr="00CA4039">
              <w:t xml:space="preserve">No noteikumu projektā ietvertā regulējuma jaunas </w:t>
            </w:r>
            <w:r w:rsidR="00E801FA">
              <w:t>atbilstības</w:t>
            </w:r>
            <w:r w:rsidR="00E801FA" w:rsidRPr="00CA4039">
              <w:t xml:space="preserve"> izmaksas neveidosies, bet saistībā ar noteikumu projektā paredzēto </w:t>
            </w:r>
            <w:r w:rsidR="00E801FA">
              <w:t xml:space="preserve">tikai vienas formas tirdzniecības dokumenta nodrošināšanu </w:t>
            </w:r>
            <w:r w:rsidR="00E801FA" w:rsidRPr="00CA4039">
              <w:t>administratīvās izmaksas varētu</w:t>
            </w:r>
            <w:r w:rsidR="00E801FA">
              <w:t xml:space="preserve"> pat </w:t>
            </w:r>
            <w:r w:rsidR="00E801FA" w:rsidRPr="00CA4039">
              <w:t>samazināties</w:t>
            </w:r>
            <w:r w:rsidR="00E801FA">
              <w:t xml:space="preserve">, </w:t>
            </w:r>
            <w:r w:rsidR="00E801FA" w:rsidRPr="00593140">
              <w:t>jo noteikumu projektā minētajam subje</w:t>
            </w:r>
            <w:r w:rsidR="00E801FA">
              <w:t>ktu lokam saskaņā ar spēkā esošo</w:t>
            </w:r>
            <w:r w:rsidR="008A7303">
              <w:t xml:space="preserve"> </w:t>
            </w:r>
            <w:r w:rsidR="00E801FA" w:rsidRPr="004E7388">
              <w:t>noteikum</w:t>
            </w:r>
            <w:r w:rsidR="00E801FA">
              <w:t>u</w:t>
            </w:r>
            <w:r w:rsidR="00E801FA" w:rsidRPr="004E7388">
              <w:t xml:space="preserve"> Nr.275 </w:t>
            </w:r>
            <w:r w:rsidR="00E801FA" w:rsidRPr="00593140">
              <w:t xml:space="preserve">prasībām arī pašlaik ir noteikts pienākums </w:t>
            </w:r>
            <w:r w:rsidR="008A7303">
              <w:t>blakusproduktiem, ko transportē no Latvijas teritorijas uz Eiropas Savienības dalībvalstīm</w:t>
            </w:r>
            <w:r w:rsidR="00A37192">
              <w:t>,</w:t>
            </w:r>
            <w:r w:rsidR="008A7303">
              <w:t xml:space="preserve"> </w:t>
            </w:r>
            <w:r w:rsidR="004D6B90">
              <w:t xml:space="preserve">nodrošināt </w:t>
            </w:r>
            <w:r w:rsidR="008A7303">
              <w:t xml:space="preserve">tirdzniecības dokumentu atbilstoši Regulas </w:t>
            </w:r>
            <w:r w:rsidR="00393117">
              <w:t xml:space="preserve">Nr. </w:t>
            </w:r>
            <w:r w:rsidR="008A7303">
              <w:t>142/2011 17. pantā noteiktajām  prasībām.</w:t>
            </w:r>
          </w:p>
        </w:tc>
      </w:tr>
      <w:tr w:rsidR="00FB65D8" w:rsidRPr="000A242C" w14:paraId="20310459" w14:textId="77777777" w:rsidTr="00671CF0">
        <w:tc>
          <w:tcPr>
            <w:tcW w:w="324" w:type="pct"/>
          </w:tcPr>
          <w:p w14:paraId="4FD48294" w14:textId="77777777" w:rsidR="00FB65D8" w:rsidRPr="000A242C" w:rsidRDefault="00B85AE0" w:rsidP="00B85AE0">
            <w:pPr>
              <w:pStyle w:val="Bezatstarpm"/>
            </w:pPr>
            <w:r>
              <w:t>5</w:t>
            </w:r>
            <w:r w:rsidR="00FB65D8" w:rsidRPr="000A242C">
              <w:t>.</w:t>
            </w:r>
          </w:p>
        </w:tc>
        <w:tc>
          <w:tcPr>
            <w:tcW w:w="1063" w:type="pct"/>
          </w:tcPr>
          <w:p w14:paraId="26A24F78" w14:textId="77777777" w:rsidR="00FB65D8" w:rsidRPr="000A242C" w:rsidRDefault="00FB65D8" w:rsidP="00F62526">
            <w:pPr>
              <w:pStyle w:val="Bezatstarpm"/>
            </w:pPr>
            <w:r w:rsidRPr="000A242C">
              <w:t>Cita informācija</w:t>
            </w:r>
          </w:p>
        </w:tc>
        <w:tc>
          <w:tcPr>
            <w:tcW w:w="3613" w:type="pct"/>
          </w:tcPr>
          <w:p w14:paraId="3BCF710E" w14:textId="77777777" w:rsidR="00FB65D8" w:rsidRPr="000A242C" w:rsidRDefault="00FB65D8" w:rsidP="00F62526">
            <w:pPr>
              <w:pStyle w:val="Bezatstarpm"/>
            </w:pPr>
            <w:r>
              <w:t>Nav</w:t>
            </w:r>
            <w:r w:rsidR="00CD43A3">
              <w:t>.</w:t>
            </w:r>
          </w:p>
        </w:tc>
      </w:tr>
    </w:tbl>
    <w:p w14:paraId="13809124" w14:textId="77777777" w:rsidR="00432EDD" w:rsidRDefault="00432EDD" w:rsidP="00432EDD">
      <w:pPr>
        <w:spacing w:after="0" w:line="240" w:lineRule="auto"/>
        <w:rPr>
          <w:rFonts w:ascii="Times New Roman" w:eastAsia="Times New Roman" w:hAnsi="Times New Roman" w:cs="Times New Roman"/>
          <w:sz w:val="24"/>
          <w:szCs w:val="24"/>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03613" w:rsidRPr="00432EDD" w14:paraId="0E00DF32" w14:textId="77777777" w:rsidTr="002F5013">
        <w:tc>
          <w:tcPr>
            <w:tcW w:w="9072" w:type="dxa"/>
          </w:tcPr>
          <w:p w14:paraId="464CDE81" w14:textId="77777777" w:rsidR="00403613" w:rsidRPr="00432EDD" w:rsidRDefault="00403613" w:rsidP="002F5013">
            <w:pPr>
              <w:spacing w:after="0" w:line="240" w:lineRule="auto"/>
              <w:jc w:val="center"/>
              <w:rPr>
                <w:rFonts w:ascii="Times New Roman" w:eastAsia="Times New Roman" w:hAnsi="Times New Roman" w:cs="Times New Roman"/>
                <w:b/>
                <w:sz w:val="24"/>
                <w:szCs w:val="24"/>
                <w:lang w:eastAsia="lv-LV"/>
              </w:rPr>
            </w:pPr>
            <w:r w:rsidRPr="00432EDD">
              <w:rPr>
                <w:rFonts w:ascii="Times New Roman" w:eastAsia="Times New Roman" w:hAnsi="Times New Roman" w:cs="Times New Roman"/>
                <w:b/>
                <w:sz w:val="24"/>
                <w:szCs w:val="24"/>
                <w:lang w:eastAsia="lv-LV"/>
              </w:rPr>
              <w:t>III. Tiesību akta projekta ietekme uz valsts budžetu un pašvaldību budžetiem</w:t>
            </w:r>
          </w:p>
        </w:tc>
      </w:tr>
      <w:tr w:rsidR="00403613" w:rsidRPr="00432EDD" w14:paraId="76525AE4" w14:textId="77777777" w:rsidTr="002F5013">
        <w:trPr>
          <w:trHeight w:val="269"/>
        </w:trPr>
        <w:tc>
          <w:tcPr>
            <w:tcW w:w="9072" w:type="dxa"/>
          </w:tcPr>
          <w:p w14:paraId="527F3CF5" w14:textId="77777777" w:rsidR="00403613" w:rsidRPr="00432EDD" w:rsidRDefault="00403613" w:rsidP="002F5013">
            <w:pPr>
              <w:spacing w:after="0" w:line="240" w:lineRule="auto"/>
              <w:jc w:val="center"/>
              <w:rPr>
                <w:rFonts w:ascii="Times New Roman" w:eastAsia="Times New Roman" w:hAnsi="Times New Roman" w:cs="Times New Roman"/>
                <w:sz w:val="24"/>
                <w:szCs w:val="24"/>
                <w:lang w:eastAsia="lv-LV"/>
              </w:rPr>
            </w:pPr>
            <w:r w:rsidRPr="00432EDD">
              <w:rPr>
                <w:rFonts w:ascii="Times New Roman" w:eastAsia="Times New Roman" w:hAnsi="Times New Roman" w:cs="Times New Roman"/>
                <w:sz w:val="24"/>
                <w:szCs w:val="24"/>
                <w:lang w:eastAsia="lv-LV"/>
              </w:rPr>
              <w:t>Projekts šo jomu neskar.</w:t>
            </w:r>
          </w:p>
        </w:tc>
      </w:tr>
    </w:tbl>
    <w:p w14:paraId="5075DF81" w14:textId="77777777" w:rsidR="00403613" w:rsidRDefault="00403613" w:rsidP="00432EDD">
      <w:pPr>
        <w:spacing w:after="0" w:line="240" w:lineRule="auto"/>
        <w:rPr>
          <w:rFonts w:ascii="Times New Roman" w:eastAsia="Times New Roman" w:hAnsi="Times New Roman" w:cs="Times New Roman"/>
          <w:sz w:val="24"/>
          <w:szCs w:val="24"/>
          <w:lang w:eastAsia="lv-LV"/>
        </w:rPr>
      </w:pPr>
    </w:p>
    <w:tbl>
      <w:tblPr>
        <w:tblStyle w:val="Reatabula2"/>
        <w:tblW w:w="8960" w:type="dxa"/>
        <w:tblInd w:w="-34" w:type="dxa"/>
        <w:tblLook w:val="04A0" w:firstRow="1" w:lastRow="0" w:firstColumn="1" w:lastColumn="0" w:noHBand="0" w:noVBand="1"/>
      </w:tblPr>
      <w:tblGrid>
        <w:gridCol w:w="8960"/>
      </w:tblGrid>
      <w:tr w:rsidR="00403613" w:rsidRPr="00723573" w14:paraId="4E99A68C" w14:textId="77777777" w:rsidTr="002F5013">
        <w:trPr>
          <w:trHeight w:val="227"/>
        </w:trPr>
        <w:tc>
          <w:tcPr>
            <w:tcW w:w="8960" w:type="dxa"/>
            <w:tcBorders>
              <w:top w:val="single" w:sz="4" w:space="0" w:color="auto"/>
              <w:left w:val="single" w:sz="4" w:space="0" w:color="auto"/>
              <w:bottom w:val="single" w:sz="4" w:space="0" w:color="auto"/>
              <w:right w:val="single" w:sz="4" w:space="0" w:color="auto"/>
            </w:tcBorders>
            <w:hideMark/>
          </w:tcPr>
          <w:p w14:paraId="550C294F" w14:textId="77777777" w:rsidR="00403613" w:rsidRPr="00723573" w:rsidRDefault="00403613" w:rsidP="002F5013">
            <w:pPr>
              <w:jc w:val="center"/>
              <w:rPr>
                <w:rFonts w:ascii="Times New Roman" w:eastAsia="Times New Roman" w:hAnsi="Times New Roman"/>
                <w:sz w:val="24"/>
                <w:szCs w:val="24"/>
              </w:rPr>
            </w:pPr>
            <w:r w:rsidRPr="00723573">
              <w:rPr>
                <w:rFonts w:ascii="Times New Roman" w:eastAsia="Times New Roman" w:hAnsi="Times New Roman"/>
                <w:sz w:val="24"/>
                <w:szCs w:val="24"/>
              </w:rPr>
              <w:t> </w:t>
            </w:r>
            <w:r w:rsidRPr="00723573">
              <w:rPr>
                <w:rFonts w:ascii="Times New Roman" w:eastAsia="Times New Roman" w:hAnsi="Times New Roman"/>
                <w:b/>
                <w:bCs/>
                <w:sz w:val="24"/>
                <w:szCs w:val="24"/>
              </w:rPr>
              <w:t>IV. Tiesību akta projekta ietekme uz spēkā esošo tiesību normu sistēmu</w:t>
            </w:r>
          </w:p>
        </w:tc>
      </w:tr>
      <w:tr w:rsidR="00403613" w:rsidRPr="00723573" w14:paraId="7C37BD67" w14:textId="77777777" w:rsidTr="002F5013">
        <w:trPr>
          <w:trHeight w:val="227"/>
        </w:trPr>
        <w:tc>
          <w:tcPr>
            <w:tcW w:w="8960" w:type="dxa"/>
            <w:tcBorders>
              <w:top w:val="single" w:sz="4" w:space="0" w:color="auto"/>
              <w:left w:val="single" w:sz="4" w:space="0" w:color="auto"/>
              <w:bottom w:val="single" w:sz="4" w:space="0" w:color="auto"/>
              <w:right w:val="single" w:sz="4" w:space="0" w:color="auto"/>
            </w:tcBorders>
            <w:hideMark/>
          </w:tcPr>
          <w:p w14:paraId="77972372" w14:textId="77777777" w:rsidR="00403613" w:rsidRPr="00723573" w:rsidRDefault="00403613" w:rsidP="002F5013">
            <w:pPr>
              <w:jc w:val="center"/>
              <w:rPr>
                <w:rFonts w:ascii="Times New Roman" w:eastAsia="Times New Roman" w:hAnsi="Times New Roman"/>
                <w:sz w:val="24"/>
                <w:szCs w:val="24"/>
              </w:rPr>
            </w:pPr>
            <w:r w:rsidRPr="00723573">
              <w:rPr>
                <w:rFonts w:ascii="Times New Roman" w:eastAsia="Times New Roman" w:hAnsi="Times New Roman"/>
                <w:bCs/>
                <w:sz w:val="24"/>
                <w:szCs w:val="24"/>
              </w:rPr>
              <w:t>Projekts šo jomu neskar.</w:t>
            </w:r>
          </w:p>
        </w:tc>
      </w:tr>
    </w:tbl>
    <w:p w14:paraId="016A1554" w14:textId="77777777" w:rsidR="00403613" w:rsidRDefault="00403613" w:rsidP="00432EDD">
      <w:pPr>
        <w:spacing w:after="0" w:line="240" w:lineRule="auto"/>
        <w:rPr>
          <w:rFonts w:ascii="Times New Roman" w:eastAsia="Times New Roman" w:hAnsi="Times New Roman" w:cs="Times New Roman"/>
          <w:sz w:val="24"/>
          <w:szCs w:val="24"/>
          <w:lang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1"/>
        <w:gridCol w:w="2400"/>
        <w:gridCol w:w="232"/>
        <w:gridCol w:w="1559"/>
        <w:gridCol w:w="1926"/>
        <w:gridCol w:w="2454"/>
        <w:gridCol w:w="15"/>
      </w:tblGrid>
      <w:tr w:rsidR="00132CC1" w:rsidRPr="00BF23C3" w14:paraId="4BD8F165" w14:textId="77777777" w:rsidTr="00403613">
        <w:trPr>
          <w:gridAfter w:val="1"/>
          <w:wAfter w:w="8" w:type="pct"/>
        </w:trPr>
        <w:tc>
          <w:tcPr>
            <w:tcW w:w="4992" w:type="pct"/>
            <w:gridSpan w:val="6"/>
            <w:tcBorders>
              <w:top w:val="single" w:sz="4" w:space="0" w:color="auto"/>
              <w:left w:val="single" w:sz="4" w:space="0" w:color="auto"/>
              <w:bottom w:val="outset" w:sz="6" w:space="0" w:color="000000"/>
              <w:right w:val="single" w:sz="4" w:space="0" w:color="auto"/>
            </w:tcBorders>
          </w:tcPr>
          <w:p w14:paraId="5DC0E333" w14:textId="77777777" w:rsidR="00132CC1" w:rsidRPr="00D41213" w:rsidRDefault="00132CC1" w:rsidP="00167702">
            <w:pPr>
              <w:pStyle w:val="Bezatstarpm"/>
              <w:jc w:val="center"/>
              <w:rPr>
                <w:b/>
                <w:bCs/>
              </w:rPr>
            </w:pPr>
            <w:r w:rsidRPr="00D41213">
              <w:rPr>
                <w:b/>
                <w:bCs/>
              </w:rPr>
              <w:t>V. Tiesību akta projekta atbilstība Latvijas Republikas starptautiskajām saistībām</w:t>
            </w:r>
          </w:p>
        </w:tc>
      </w:tr>
      <w:tr w:rsidR="00132CC1" w:rsidRPr="00D41213" w14:paraId="1B3CCAE9" w14:textId="77777777" w:rsidTr="00403613">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14:paraId="5CB19B23" w14:textId="77777777" w:rsidR="00132CC1" w:rsidRPr="00D41213" w:rsidRDefault="00132CC1" w:rsidP="00167702">
            <w:pPr>
              <w:pStyle w:val="Bezatstarpm"/>
              <w:jc w:val="both"/>
            </w:pPr>
            <w:r w:rsidRPr="00D41213">
              <w:t>1.</w:t>
            </w:r>
          </w:p>
        </w:tc>
        <w:tc>
          <w:tcPr>
            <w:tcW w:w="1450" w:type="pct"/>
            <w:gridSpan w:val="2"/>
            <w:tcBorders>
              <w:top w:val="outset" w:sz="6" w:space="0" w:color="000000"/>
              <w:left w:val="outset" w:sz="6" w:space="0" w:color="000000"/>
              <w:bottom w:val="outset" w:sz="6" w:space="0" w:color="000000"/>
              <w:right w:val="outset" w:sz="6" w:space="0" w:color="000000"/>
            </w:tcBorders>
          </w:tcPr>
          <w:p w14:paraId="249979B0" w14:textId="77777777" w:rsidR="00132CC1" w:rsidRPr="00D41213" w:rsidRDefault="00132CC1" w:rsidP="00167702">
            <w:pPr>
              <w:pStyle w:val="Bezatstarpm"/>
              <w:jc w:val="both"/>
            </w:pPr>
            <w:r w:rsidRPr="00D41213">
              <w:t>Saistības pret Eiropas Savienību</w:t>
            </w:r>
          </w:p>
        </w:tc>
        <w:tc>
          <w:tcPr>
            <w:tcW w:w="3271" w:type="pct"/>
            <w:gridSpan w:val="3"/>
            <w:tcBorders>
              <w:top w:val="outset" w:sz="6" w:space="0" w:color="000000"/>
              <w:left w:val="outset" w:sz="6" w:space="0" w:color="000000"/>
              <w:bottom w:val="outset" w:sz="6" w:space="0" w:color="000000"/>
              <w:right w:val="outset" w:sz="6" w:space="0" w:color="000000"/>
            </w:tcBorders>
          </w:tcPr>
          <w:p w14:paraId="2EDE24F6" w14:textId="3D35FED6" w:rsidR="00C45851" w:rsidRPr="00D41213" w:rsidRDefault="00F8658A">
            <w:pPr>
              <w:pStyle w:val="Bezatstarpm"/>
              <w:jc w:val="both"/>
            </w:pPr>
            <w:r>
              <w:t>K</w:t>
            </w:r>
            <w:r w:rsidRPr="00F8658A">
              <w:t>omisijas 2017. gada 12. jūlij</w:t>
            </w:r>
            <w:r>
              <w:t>a R</w:t>
            </w:r>
            <w:r w:rsidRPr="00F8658A">
              <w:t>egula (ES) 2017/1262, ar ko Regulu (ES) Nr. 142/2011 groza attiecībā uz lauksaimniecības dzīvnieku kūtsmēsliem, kurus izmanto par kurināmo dedzināšanas iekārtās</w:t>
            </w:r>
          </w:p>
        </w:tc>
      </w:tr>
      <w:tr w:rsidR="00132CC1" w:rsidRPr="00D41213" w14:paraId="31552A7E" w14:textId="77777777" w:rsidTr="00403613">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14:paraId="06410272" w14:textId="77777777" w:rsidR="00132CC1" w:rsidRPr="00D41213" w:rsidRDefault="00132CC1" w:rsidP="00167702">
            <w:pPr>
              <w:pStyle w:val="Bezatstarpm"/>
              <w:jc w:val="both"/>
            </w:pPr>
            <w:r w:rsidRPr="00D41213">
              <w:t>2.</w:t>
            </w:r>
          </w:p>
        </w:tc>
        <w:tc>
          <w:tcPr>
            <w:tcW w:w="1450" w:type="pct"/>
            <w:gridSpan w:val="2"/>
            <w:tcBorders>
              <w:top w:val="outset" w:sz="6" w:space="0" w:color="000000"/>
              <w:left w:val="outset" w:sz="6" w:space="0" w:color="000000"/>
              <w:bottom w:val="outset" w:sz="6" w:space="0" w:color="000000"/>
              <w:right w:val="outset" w:sz="6" w:space="0" w:color="000000"/>
            </w:tcBorders>
          </w:tcPr>
          <w:p w14:paraId="070792EE" w14:textId="77777777" w:rsidR="00132CC1" w:rsidRPr="00D41213" w:rsidRDefault="00132CC1" w:rsidP="00167702">
            <w:pPr>
              <w:pStyle w:val="Bezatstarpm"/>
              <w:jc w:val="both"/>
            </w:pPr>
            <w:r w:rsidRPr="00D41213">
              <w:t>Citas starptautiskās saistības</w:t>
            </w:r>
          </w:p>
        </w:tc>
        <w:tc>
          <w:tcPr>
            <w:tcW w:w="3271" w:type="pct"/>
            <w:gridSpan w:val="3"/>
            <w:tcBorders>
              <w:top w:val="outset" w:sz="6" w:space="0" w:color="000000"/>
              <w:left w:val="outset" w:sz="6" w:space="0" w:color="000000"/>
              <w:bottom w:val="outset" w:sz="6" w:space="0" w:color="000000"/>
              <w:right w:val="outset" w:sz="6" w:space="0" w:color="000000"/>
            </w:tcBorders>
          </w:tcPr>
          <w:p w14:paraId="489C5AD3" w14:textId="77777777" w:rsidR="00132CC1" w:rsidRPr="00D41213" w:rsidRDefault="00132CC1" w:rsidP="00167702">
            <w:pPr>
              <w:pStyle w:val="Bezatstarpm"/>
              <w:jc w:val="both"/>
            </w:pPr>
            <w:r w:rsidRPr="00D41213">
              <w:t>Projekts šo jomu neskar.</w:t>
            </w:r>
          </w:p>
        </w:tc>
      </w:tr>
      <w:tr w:rsidR="00132CC1" w:rsidRPr="00D41213" w14:paraId="09B4B192" w14:textId="77777777" w:rsidTr="00403613">
        <w:trPr>
          <w:gridAfter w:val="1"/>
          <w:wAfter w:w="8" w:type="pct"/>
        </w:trPr>
        <w:tc>
          <w:tcPr>
            <w:tcW w:w="270" w:type="pct"/>
            <w:tcBorders>
              <w:top w:val="outset" w:sz="6" w:space="0" w:color="000000"/>
              <w:left w:val="outset" w:sz="6" w:space="0" w:color="000000"/>
              <w:bottom w:val="outset" w:sz="6" w:space="0" w:color="000000"/>
              <w:right w:val="outset" w:sz="6" w:space="0" w:color="000000"/>
            </w:tcBorders>
          </w:tcPr>
          <w:p w14:paraId="2B4BF572" w14:textId="77777777" w:rsidR="00132CC1" w:rsidRPr="00D41213" w:rsidRDefault="00132CC1" w:rsidP="00167702">
            <w:pPr>
              <w:pStyle w:val="Bezatstarpm"/>
              <w:jc w:val="both"/>
            </w:pPr>
            <w:r w:rsidRPr="00D41213">
              <w:t>3.</w:t>
            </w:r>
          </w:p>
        </w:tc>
        <w:tc>
          <w:tcPr>
            <w:tcW w:w="1450" w:type="pct"/>
            <w:gridSpan w:val="2"/>
            <w:tcBorders>
              <w:top w:val="outset" w:sz="6" w:space="0" w:color="000000"/>
              <w:left w:val="outset" w:sz="6" w:space="0" w:color="000000"/>
              <w:bottom w:val="outset" w:sz="6" w:space="0" w:color="000000"/>
              <w:right w:val="outset" w:sz="6" w:space="0" w:color="000000"/>
            </w:tcBorders>
          </w:tcPr>
          <w:p w14:paraId="1C13EFCE" w14:textId="77777777" w:rsidR="00132CC1" w:rsidRPr="00D41213" w:rsidRDefault="00132CC1" w:rsidP="00167702">
            <w:pPr>
              <w:pStyle w:val="Bezatstarpm"/>
              <w:jc w:val="both"/>
            </w:pPr>
            <w:r w:rsidRPr="00D41213">
              <w:t>Cita informācija</w:t>
            </w:r>
          </w:p>
        </w:tc>
        <w:tc>
          <w:tcPr>
            <w:tcW w:w="3271" w:type="pct"/>
            <w:gridSpan w:val="3"/>
            <w:tcBorders>
              <w:top w:val="outset" w:sz="6" w:space="0" w:color="000000"/>
              <w:left w:val="outset" w:sz="6" w:space="0" w:color="000000"/>
              <w:bottom w:val="outset" w:sz="6" w:space="0" w:color="000000"/>
              <w:right w:val="outset" w:sz="6" w:space="0" w:color="000000"/>
            </w:tcBorders>
          </w:tcPr>
          <w:p w14:paraId="43E38010" w14:textId="77777777" w:rsidR="00132CC1" w:rsidRPr="00D41213" w:rsidRDefault="00132CC1" w:rsidP="00167702">
            <w:pPr>
              <w:pStyle w:val="Bezatstarpm"/>
              <w:jc w:val="both"/>
            </w:pPr>
            <w:r w:rsidRPr="00D41213">
              <w:t>Nav</w:t>
            </w:r>
            <w:r w:rsidR="00552CA5">
              <w:t>.</w:t>
            </w:r>
          </w:p>
        </w:tc>
      </w:tr>
      <w:tr w:rsidR="00132CC1" w:rsidRPr="00D41213" w14:paraId="1B098BD2"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7"/>
            <w:vAlign w:val="center"/>
          </w:tcPr>
          <w:p w14:paraId="740CD3A6" w14:textId="77777777" w:rsidR="00132CC1" w:rsidRPr="00D41213" w:rsidRDefault="00132CC1" w:rsidP="00167702">
            <w:pPr>
              <w:pStyle w:val="Bezatstarpm"/>
              <w:jc w:val="center"/>
              <w:rPr>
                <w:b/>
                <w:bCs/>
              </w:rPr>
            </w:pPr>
            <w:r w:rsidRPr="00D41213">
              <w:rPr>
                <w:b/>
                <w:bCs/>
              </w:rPr>
              <w:t>1.tabula</w:t>
            </w:r>
          </w:p>
          <w:p w14:paraId="2B208E8D" w14:textId="77777777" w:rsidR="00132CC1" w:rsidRPr="00D41213" w:rsidRDefault="00132CC1" w:rsidP="00167702">
            <w:pPr>
              <w:pStyle w:val="Bezatstarpm"/>
              <w:jc w:val="center"/>
              <w:rPr>
                <w:b/>
                <w:bCs/>
                <w:i/>
              </w:rPr>
            </w:pPr>
            <w:r w:rsidRPr="00D41213">
              <w:rPr>
                <w:b/>
                <w:bCs/>
              </w:rPr>
              <w:t>Tiesību akta projekta atbilstība ES tiesību aktiem</w:t>
            </w:r>
          </w:p>
        </w:tc>
      </w:tr>
      <w:tr w:rsidR="00132CC1" w:rsidRPr="00D41213" w14:paraId="668648EE"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1592" w:type="pct"/>
            <w:gridSpan w:val="2"/>
          </w:tcPr>
          <w:p w14:paraId="5845AD89" w14:textId="77777777" w:rsidR="00132CC1" w:rsidRPr="00D41213" w:rsidRDefault="00132CC1" w:rsidP="00167702">
            <w:pPr>
              <w:pStyle w:val="Bezatstarpm"/>
              <w:jc w:val="both"/>
            </w:pPr>
            <w:r w:rsidRPr="00D41213">
              <w:lastRenderedPageBreak/>
              <w:t>Attiecīgā ES tiesību akta datums, numurs un nosaukums</w:t>
            </w:r>
          </w:p>
        </w:tc>
        <w:tc>
          <w:tcPr>
            <w:tcW w:w="3408" w:type="pct"/>
            <w:gridSpan w:val="5"/>
          </w:tcPr>
          <w:p w14:paraId="041F4E18" w14:textId="77777777" w:rsidR="00132CC1" w:rsidRDefault="003D12C6" w:rsidP="00167702">
            <w:pPr>
              <w:pStyle w:val="Bezatstarpm"/>
              <w:jc w:val="both"/>
            </w:pPr>
            <w:r w:rsidRPr="003D12C6">
              <w:t xml:space="preserve">Regula </w:t>
            </w:r>
            <w:r w:rsidR="003A52E7" w:rsidRPr="003A52E7">
              <w:t>2017/1262</w:t>
            </w:r>
          </w:p>
          <w:p w14:paraId="4003A2B8" w14:textId="77777777" w:rsidR="003D12C6" w:rsidRPr="00D41213" w:rsidRDefault="003D12C6" w:rsidP="003D12C6">
            <w:pPr>
              <w:pStyle w:val="Bezatstarpm"/>
              <w:jc w:val="both"/>
            </w:pPr>
          </w:p>
        </w:tc>
      </w:tr>
      <w:tr w:rsidR="00132CC1" w:rsidRPr="00D41213" w14:paraId="5981C035"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vAlign w:val="center"/>
          </w:tcPr>
          <w:p w14:paraId="48A8B55E" w14:textId="77777777" w:rsidR="00132CC1" w:rsidRPr="00D41213" w:rsidRDefault="00132CC1" w:rsidP="00167702">
            <w:pPr>
              <w:pStyle w:val="Bezatstarpm"/>
              <w:jc w:val="center"/>
            </w:pPr>
            <w:r w:rsidRPr="00D41213">
              <w:t>A</w:t>
            </w:r>
          </w:p>
        </w:tc>
        <w:tc>
          <w:tcPr>
            <w:tcW w:w="987" w:type="pct"/>
            <w:gridSpan w:val="2"/>
            <w:vAlign w:val="center"/>
          </w:tcPr>
          <w:p w14:paraId="0B42A800" w14:textId="77777777" w:rsidR="00132CC1" w:rsidRPr="00D41213" w:rsidRDefault="00132CC1" w:rsidP="00167702">
            <w:pPr>
              <w:pStyle w:val="Bezatstarpm"/>
              <w:jc w:val="center"/>
            </w:pPr>
            <w:r w:rsidRPr="00D41213">
              <w:t>B</w:t>
            </w:r>
          </w:p>
        </w:tc>
        <w:tc>
          <w:tcPr>
            <w:tcW w:w="1061" w:type="pct"/>
            <w:vAlign w:val="center"/>
          </w:tcPr>
          <w:p w14:paraId="1733BB1B" w14:textId="77777777" w:rsidR="00132CC1" w:rsidRPr="00D41213" w:rsidRDefault="00132CC1" w:rsidP="00167702">
            <w:pPr>
              <w:pStyle w:val="Bezatstarpm"/>
              <w:jc w:val="center"/>
            </w:pPr>
            <w:r w:rsidRPr="00D41213">
              <w:t>C</w:t>
            </w:r>
          </w:p>
        </w:tc>
        <w:tc>
          <w:tcPr>
            <w:tcW w:w="1360" w:type="pct"/>
            <w:gridSpan w:val="2"/>
            <w:vAlign w:val="center"/>
          </w:tcPr>
          <w:p w14:paraId="369DA9A4" w14:textId="77777777" w:rsidR="00132CC1" w:rsidRPr="00D41213" w:rsidRDefault="00132CC1" w:rsidP="00167702">
            <w:pPr>
              <w:pStyle w:val="Bezatstarpm"/>
              <w:jc w:val="center"/>
            </w:pPr>
            <w:r w:rsidRPr="00D41213">
              <w:t>D</w:t>
            </w:r>
          </w:p>
        </w:tc>
      </w:tr>
      <w:tr w:rsidR="00132CC1" w:rsidRPr="00A25835" w14:paraId="1BA78366"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14:paraId="61B7A3F8" w14:textId="77777777" w:rsidR="00132CC1" w:rsidRPr="00D41213" w:rsidRDefault="00132CC1" w:rsidP="00167702">
            <w:pPr>
              <w:pStyle w:val="Bezatstarpm"/>
              <w:jc w:val="both"/>
            </w:pPr>
            <w:r w:rsidRPr="00D41213">
              <w:t>Attiecīgā ES tiesību akta panta numurs (uzskaitot katru tiesību akta vienību – pantu, daļu, punktu, apakšpunktu)</w:t>
            </w:r>
          </w:p>
        </w:tc>
        <w:tc>
          <w:tcPr>
            <w:tcW w:w="987" w:type="pct"/>
            <w:gridSpan w:val="2"/>
          </w:tcPr>
          <w:p w14:paraId="5D1A3E74" w14:textId="77777777" w:rsidR="00132CC1" w:rsidRPr="00D41213" w:rsidRDefault="00132CC1" w:rsidP="00167702">
            <w:pPr>
              <w:pStyle w:val="Bezatstarpm"/>
              <w:jc w:val="both"/>
            </w:pPr>
            <w:r w:rsidRPr="00D41213">
              <w:t>Projekta vienība, kas pārņem vai ievieš katru šīs tabulas A ailē minēto ES tiesību akta vienību, vai tiesību akts, kur attiecīgā ES tiesību akta vienība pārņemta vai ieviesta</w:t>
            </w:r>
          </w:p>
        </w:tc>
        <w:tc>
          <w:tcPr>
            <w:tcW w:w="1061" w:type="pct"/>
          </w:tcPr>
          <w:p w14:paraId="52DACE6B" w14:textId="77777777" w:rsidR="00132CC1" w:rsidRPr="00D41213" w:rsidRDefault="00132CC1" w:rsidP="00167702">
            <w:pPr>
              <w:pStyle w:val="Bezatstarpm"/>
              <w:jc w:val="both"/>
            </w:pPr>
            <w:r w:rsidRPr="00D41213">
              <w:t>Informācija par to, vai šīs tabulas A ailē minētās ES tiesību akta vienības tiek pārņemtas vai ieviestas pilnībā vai daļēji.</w:t>
            </w:r>
          </w:p>
          <w:p w14:paraId="2F2DB664" w14:textId="77777777" w:rsidR="00132CC1" w:rsidRPr="00D41213" w:rsidRDefault="00132CC1" w:rsidP="00167702">
            <w:pPr>
              <w:pStyle w:val="Bezatstarpm"/>
              <w:jc w:val="both"/>
            </w:pPr>
            <w:r w:rsidRPr="00D41213">
              <w:t>Ja attiecīgā ES tiesību akta vienība tiek pārņemta vai ieviesta daļēji, sniedz attiecīgu skaidrojumu, kā arī precīzi norāda, kad un kādā veidā ES tiesību akta vienība tiks pārņemta vai ieviesta pilnībā.</w:t>
            </w:r>
          </w:p>
          <w:p w14:paraId="07BAD3CD" w14:textId="77777777" w:rsidR="00132CC1" w:rsidRPr="00D41213" w:rsidRDefault="00132CC1" w:rsidP="00167702">
            <w:pPr>
              <w:pStyle w:val="Bezatstarpm"/>
              <w:jc w:val="both"/>
            </w:pPr>
            <w:r w:rsidRPr="00D41213">
              <w:t>Norāda institūciju, kas ir atbildīga par šo saistību izpildi pilnībā</w:t>
            </w:r>
          </w:p>
        </w:tc>
        <w:tc>
          <w:tcPr>
            <w:tcW w:w="1360" w:type="pct"/>
            <w:gridSpan w:val="2"/>
          </w:tcPr>
          <w:p w14:paraId="255C1F2A" w14:textId="77777777" w:rsidR="00132CC1" w:rsidRPr="00D41213" w:rsidRDefault="00132CC1" w:rsidP="00167702">
            <w:pPr>
              <w:pStyle w:val="Bezatstarpm"/>
              <w:jc w:val="both"/>
            </w:pPr>
            <w:r w:rsidRPr="00D41213">
              <w:t>Informācija par to, vai šīs tabulas B ailē minētās projekta vienības paredz stingrākas prasības nekā šīs tabulas A ailē minētās ES tiesību akta vienības.</w:t>
            </w:r>
          </w:p>
          <w:p w14:paraId="5A2450DE" w14:textId="77777777" w:rsidR="00132CC1" w:rsidRPr="00D41213" w:rsidRDefault="00132CC1" w:rsidP="00167702">
            <w:pPr>
              <w:pStyle w:val="Bezatstarpm"/>
              <w:jc w:val="both"/>
            </w:pPr>
            <w:r w:rsidRPr="00D41213">
              <w:t>Ja projekts satur stingrākas prasības nekā attiecīgais ES tiesību akts, norāda pamatojumu un samērīgumu.</w:t>
            </w:r>
          </w:p>
          <w:p w14:paraId="3E3F40D8" w14:textId="77777777" w:rsidR="00132CC1" w:rsidRPr="00D41213" w:rsidRDefault="00132CC1" w:rsidP="00167702">
            <w:pPr>
              <w:pStyle w:val="Bezatstarpm"/>
              <w:jc w:val="both"/>
            </w:pPr>
            <w:r w:rsidRPr="00D41213">
              <w:t>Norāda iespējamās alternatīvas (t.sk. alternatīvas, kas neparedz tiesiskā regulējuma izstrādi) – kādos gadījumos būtu iespējams izvairīties no stingrāku prasību noteikšanas, nekā paredzēts attiecīgajos ES tiesību aktos</w:t>
            </w:r>
          </w:p>
        </w:tc>
      </w:tr>
      <w:tr w:rsidR="00132CC1" w:rsidRPr="00A25835" w14:paraId="2391085F"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92" w:type="pct"/>
            <w:gridSpan w:val="2"/>
          </w:tcPr>
          <w:p w14:paraId="0468AD3C" w14:textId="77777777" w:rsidR="00132CC1" w:rsidRPr="004A5ECD" w:rsidRDefault="00FF4199" w:rsidP="00671CF0">
            <w:pPr>
              <w:pStyle w:val="Bezatstarpm"/>
              <w:jc w:val="both"/>
            </w:pPr>
            <w:r w:rsidRPr="004A5ECD">
              <w:t>Regula</w:t>
            </w:r>
            <w:r w:rsidR="00D64091">
              <w:t>s</w:t>
            </w:r>
            <w:r w:rsidR="00EE79E9">
              <w:t> </w:t>
            </w:r>
            <w:r w:rsidR="003A52E7" w:rsidRPr="003A52E7">
              <w:t>2017/1262 1. pants</w:t>
            </w:r>
          </w:p>
        </w:tc>
        <w:tc>
          <w:tcPr>
            <w:tcW w:w="987" w:type="pct"/>
            <w:gridSpan w:val="2"/>
          </w:tcPr>
          <w:p w14:paraId="3ECA8DB8" w14:textId="77777777" w:rsidR="00132CC1" w:rsidRPr="00D41213" w:rsidRDefault="003353DA" w:rsidP="00561CF6">
            <w:pPr>
              <w:pStyle w:val="Bezatstarpm"/>
              <w:jc w:val="both"/>
            </w:pPr>
            <w:r>
              <w:t>1. </w:t>
            </w:r>
            <w:r w:rsidR="004A5ECD" w:rsidRPr="004A5ECD">
              <w:t>punkt</w:t>
            </w:r>
            <w:r w:rsidR="004A5ECD">
              <w:t>s</w:t>
            </w:r>
          </w:p>
        </w:tc>
        <w:tc>
          <w:tcPr>
            <w:tcW w:w="1061" w:type="pct"/>
          </w:tcPr>
          <w:p w14:paraId="7BABAB26" w14:textId="77777777" w:rsidR="00132CC1" w:rsidRPr="004A5ECD" w:rsidRDefault="00132CC1" w:rsidP="003A52E7">
            <w:pPr>
              <w:pStyle w:val="Bezatstarpm"/>
              <w:jc w:val="both"/>
            </w:pPr>
            <w:r w:rsidRPr="004A5ECD">
              <w:t>ES tiesību akta vienība tiek ieviesta pilnībā.</w:t>
            </w:r>
            <w:r w:rsidR="0066321B" w:rsidRPr="004A5ECD">
              <w:t xml:space="preserve"> </w:t>
            </w:r>
          </w:p>
        </w:tc>
        <w:tc>
          <w:tcPr>
            <w:tcW w:w="1360" w:type="pct"/>
            <w:gridSpan w:val="2"/>
          </w:tcPr>
          <w:p w14:paraId="03D1D2CF" w14:textId="77777777" w:rsidR="00132CC1" w:rsidRPr="004A5ECD" w:rsidRDefault="00132CC1" w:rsidP="00167702">
            <w:pPr>
              <w:pStyle w:val="Bezatstarpm"/>
              <w:jc w:val="both"/>
            </w:pPr>
            <w:r w:rsidRPr="004A5ECD">
              <w:t>Attiecīgais noteikumu projekta punkts neparedz stingrākas prasības kā ES tiesību aktā.</w:t>
            </w:r>
            <w:r w:rsidR="0066321B" w:rsidRPr="004A5ECD">
              <w:t xml:space="preserve"> </w:t>
            </w:r>
          </w:p>
        </w:tc>
      </w:tr>
      <w:tr w:rsidR="00132CC1" w:rsidRPr="00D41213" w14:paraId="1D584064"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92" w:type="pct"/>
            <w:gridSpan w:val="2"/>
            <w:vAlign w:val="center"/>
          </w:tcPr>
          <w:p w14:paraId="0DFAEEB2" w14:textId="77777777" w:rsidR="00132CC1" w:rsidRPr="00D41213" w:rsidRDefault="00132CC1" w:rsidP="00167702">
            <w:pPr>
              <w:pStyle w:val="Bezatstarpm"/>
              <w:jc w:val="both"/>
            </w:pPr>
            <w:proofErr w:type="gramStart"/>
            <w:r w:rsidRPr="00D41213">
              <w:t>Kā</w:t>
            </w:r>
            <w:proofErr w:type="gramEnd"/>
            <w:r w:rsidRPr="00D41213">
              <w:t xml:space="preserve"> ir izmantota ES tiesību aktā paredzētā rīcības brīvība dalībvalstij pārņemt vai ieviest noteiktas ES tiesību akta normas. Kādēļ?</w:t>
            </w:r>
          </w:p>
        </w:tc>
        <w:tc>
          <w:tcPr>
            <w:tcW w:w="3408" w:type="pct"/>
            <w:gridSpan w:val="5"/>
          </w:tcPr>
          <w:p w14:paraId="6EA3CF65" w14:textId="77777777" w:rsidR="00132CC1" w:rsidRPr="00D41213" w:rsidRDefault="00132CC1" w:rsidP="00167702">
            <w:pPr>
              <w:pStyle w:val="Bezatstarpm"/>
              <w:jc w:val="both"/>
            </w:pPr>
            <w:r>
              <w:t>Projekts šo jomu neskar.</w:t>
            </w:r>
          </w:p>
        </w:tc>
      </w:tr>
      <w:tr w:rsidR="00132CC1" w:rsidRPr="00D41213" w14:paraId="4132E6E1"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92" w:type="pct"/>
            <w:gridSpan w:val="2"/>
            <w:vAlign w:val="center"/>
          </w:tcPr>
          <w:p w14:paraId="5DAB08FA" w14:textId="77777777" w:rsidR="00132CC1" w:rsidRPr="00D41213" w:rsidRDefault="00132CC1" w:rsidP="00167702">
            <w:pPr>
              <w:pStyle w:val="Bezatstarpm"/>
              <w:jc w:val="both"/>
              <w:rPr>
                <w:i/>
              </w:rPr>
            </w:pPr>
            <w:r w:rsidRPr="00D4121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08" w:type="pct"/>
            <w:gridSpan w:val="5"/>
          </w:tcPr>
          <w:p w14:paraId="0584580F" w14:textId="77777777" w:rsidR="00132CC1" w:rsidRPr="00D41213" w:rsidRDefault="00132CC1" w:rsidP="00167702">
            <w:pPr>
              <w:pStyle w:val="Bezatstarpm"/>
              <w:jc w:val="both"/>
            </w:pPr>
            <w:r>
              <w:t>P</w:t>
            </w:r>
            <w:r w:rsidRPr="00D41213">
              <w:t>rojekts šo jomu neskar.</w:t>
            </w:r>
          </w:p>
        </w:tc>
      </w:tr>
      <w:tr w:rsidR="00132CC1" w:rsidRPr="00D41213" w14:paraId="6EF30F47" w14:textId="77777777" w:rsidTr="0040361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92" w:type="pct"/>
            <w:gridSpan w:val="2"/>
          </w:tcPr>
          <w:p w14:paraId="58D01EC0" w14:textId="77777777" w:rsidR="00132CC1" w:rsidRPr="00D41213" w:rsidRDefault="00132CC1" w:rsidP="00167702">
            <w:pPr>
              <w:pStyle w:val="Bezatstarpm"/>
              <w:jc w:val="both"/>
            </w:pPr>
            <w:r w:rsidRPr="00D41213">
              <w:t>Cita informācija</w:t>
            </w:r>
          </w:p>
        </w:tc>
        <w:tc>
          <w:tcPr>
            <w:tcW w:w="3408" w:type="pct"/>
            <w:gridSpan w:val="5"/>
          </w:tcPr>
          <w:p w14:paraId="4338A3DC" w14:textId="77777777" w:rsidR="00132CC1" w:rsidRPr="00D41213" w:rsidRDefault="00132CC1" w:rsidP="00167702">
            <w:pPr>
              <w:pStyle w:val="Bezatstarpm"/>
              <w:jc w:val="both"/>
            </w:pPr>
            <w:r w:rsidRPr="00D41213">
              <w:t>Nav.</w:t>
            </w:r>
          </w:p>
        </w:tc>
      </w:tr>
    </w:tbl>
    <w:p w14:paraId="7D9E0742" w14:textId="77777777" w:rsidR="00FB65D8" w:rsidRDefault="00FB65D8" w:rsidP="00FB65D8">
      <w:pPr>
        <w:pStyle w:val="Bezatstarpm"/>
        <w:rPr>
          <w:i/>
        </w:rPr>
      </w:pPr>
    </w:p>
    <w:tbl>
      <w:tblPr>
        <w:tblStyle w:val="Reatabula"/>
        <w:tblW w:w="8926" w:type="dxa"/>
        <w:tblLook w:val="04A0" w:firstRow="1" w:lastRow="0" w:firstColumn="1" w:lastColumn="0" w:noHBand="0" w:noVBand="1"/>
      </w:tblPr>
      <w:tblGrid>
        <w:gridCol w:w="562"/>
        <w:gridCol w:w="4111"/>
        <w:gridCol w:w="4253"/>
      </w:tblGrid>
      <w:tr w:rsidR="00FB65D8" w:rsidRPr="00A25835" w14:paraId="5B6FE0FE" w14:textId="77777777" w:rsidTr="00461EE3">
        <w:tc>
          <w:tcPr>
            <w:tcW w:w="8926" w:type="dxa"/>
            <w:gridSpan w:val="3"/>
          </w:tcPr>
          <w:p w14:paraId="3289618B" w14:textId="77777777" w:rsidR="00FB65D8" w:rsidRPr="00891139" w:rsidRDefault="00FB65D8" w:rsidP="00F62526">
            <w:pPr>
              <w:pStyle w:val="Bezatstarpm"/>
              <w:jc w:val="center"/>
              <w:rPr>
                <w:b/>
              </w:rPr>
            </w:pPr>
            <w:r>
              <w:rPr>
                <w:b/>
              </w:rPr>
              <w:lastRenderedPageBreak/>
              <w:t>VI</w:t>
            </w:r>
            <w:r w:rsidRPr="00891139">
              <w:rPr>
                <w:b/>
              </w:rPr>
              <w:t xml:space="preserve">. </w:t>
            </w:r>
            <w:r>
              <w:rPr>
                <w:b/>
              </w:rPr>
              <w:t>Sabiedrības līdzdalība un komunikācijas aktivitātes</w:t>
            </w:r>
          </w:p>
        </w:tc>
      </w:tr>
      <w:tr w:rsidR="00FB65D8" w:rsidRPr="00352F64" w14:paraId="6171D0DB" w14:textId="77777777" w:rsidTr="00461EE3">
        <w:tc>
          <w:tcPr>
            <w:tcW w:w="562" w:type="dxa"/>
          </w:tcPr>
          <w:p w14:paraId="6E1765C2" w14:textId="77777777" w:rsidR="00FB65D8" w:rsidRPr="000A242C" w:rsidRDefault="00FB65D8" w:rsidP="00F62526">
            <w:pPr>
              <w:pStyle w:val="Bezatstarpm"/>
            </w:pPr>
            <w:r w:rsidRPr="000A242C">
              <w:t>1.</w:t>
            </w:r>
          </w:p>
        </w:tc>
        <w:tc>
          <w:tcPr>
            <w:tcW w:w="4111" w:type="dxa"/>
          </w:tcPr>
          <w:p w14:paraId="12A7BC7D" w14:textId="77777777" w:rsidR="00FB65D8" w:rsidRPr="000A242C" w:rsidRDefault="00FB65D8" w:rsidP="00F62526">
            <w:pPr>
              <w:pStyle w:val="Bezatstarpm"/>
              <w:jc w:val="both"/>
            </w:pPr>
            <w:r>
              <w:t>Plānotās sabiedrības līdzdalības un komunikācijas aktivitātes saistībā ar projektu</w:t>
            </w:r>
          </w:p>
        </w:tc>
        <w:tc>
          <w:tcPr>
            <w:tcW w:w="4253" w:type="dxa"/>
          </w:tcPr>
          <w:p w14:paraId="47F6C85F" w14:textId="77777777" w:rsidR="00FB65D8" w:rsidRPr="00245083" w:rsidRDefault="005C54FF" w:rsidP="00151855">
            <w:pPr>
              <w:jc w:val="both"/>
              <w:rPr>
                <w:rFonts w:ascii="Times New Roman" w:eastAsia="Times New Roman" w:hAnsi="Times New Roman" w:cs="Times New Roman"/>
                <w:sz w:val="24"/>
                <w:szCs w:val="24"/>
              </w:rPr>
            </w:pPr>
            <w:r w:rsidRPr="00245083">
              <w:rPr>
                <w:rFonts w:ascii="Times New Roman" w:hAnsi="Times New Roman" w:cs="Times New Roman"/>
                <w:sz w:val="24"/>
                <w:szCs w:val="24"/>
              </w:rPr>
              <w:t xml:space="preserve">Noteikumu projekts </w:t>
            </w:r>
            <w:r w:rsidR="003A52E7">
              <w:rPr>
                <w:rFonts w:ascii="Times New Roman" w:hAnsi="Times New Roman" w:cs="Times New Roman"/>
                <w:sz w:val="24"/>
                <w:szCs w:val="24"/>
              </w:rPr>
              <w:t>tik</w:t>
            </w:r>
            <w:r w:rsidR="00151855">
              <w:rPr>
                <w:rFonts w:ascii="Times New Roman" w:hAnsi="Times New Roman" w:cs="Times New Roman"/>
                <w:sz w:val="24"/>
                <w:szCs w:val="24"/>
              </w:rPr>
              <w:t>a</w:t>
            </w:r>
            <w:r w:rsidRPr="00245083">
              <w:rPr>
                <w:rFonts w:ascii="Times New Roman" w:hAnsi="Times New Roman" w:cs="Times New Roman"/>
                <w:sz w:val="24"/>
                <w:szCs w:val="24"/>
              </w:rPr>
              <w:t xml:space="preserve"> </w:t>
            </w:r>
            <w:r w:rsidR="00245083" w:rsidRPr="00245083">
              <w:rPr>
                <w:rFonts w:ascii="Times New Roman" w:eastAsia="Times New Roman" w:hAnsi="Times New Roman" w:cs="Times New Roman"/>
                <w:sz w:val="24"/>
                <w:szCs w:val="24"/>
              </w:rPr>
              <w:t xml:space="preserve">ievietots Zemkopības ministrijas tīmekļa vietnē </w:t>
            </w:r>
            <w:hyperlink r:id="rId9" w:history="1">
              <w:r w:rsidR="00245083" w:rsidRPr="00245083">
                <w:rPr>
                  <w:rStyle w:val="Hipersaite"/>
                  <w:rFonts w:ascii="Times New Roman" w:eastAsia="Times New Roman" w:hAnsi="Times New Roman" w:cs="Times New Roman"/>
                  <w:sz w:val="24"/>
                  <w:szCs w:val="24"/>
                </w:rPr>
                <w:t>www.zm.gov.lv</w:t>
              </w:r>
            </w:hyperlink>
            <w:r w:rsidR="00245083" w:rsidRPr="00245083">
              <w:rPr>
                <w:rStyle w:val="Hipersaite"/>
                <w:rFonts w:ascii="Times New Roman" w:eastAsia="Times New Roman" w:hAnsi="Times New Roman" w:cs="Times New Roman"/>
                <w:sz w:val="24"/>
                <w:szCs w:val="24"/>
              </w:rPr>
              <w:t xml:space="preserve">. </w:t>
            </w:r>
          </w:p>
        </w:tc>
      </w:tr>
      <w:tr w:rsidR="00FB65D8" w:rsidRPr="00A25835" w14:paraId="3F36B864" w14:textId="77777777" w:rsidTr="00461EE3">
        <w:tc>
          <w:tcPr>
            <w:tcW w:w="562" w:type="dxa"/>
          </w:tcPr>
          <w:p w14:paraId="6666546C" w14:textId="77777777" w:rsidR="00FB65D8" w:rsidRPr="00C2213E" w:rsidRDefault="00FB65D8" w:rsidP="00F62526">
            <w:pPr>
              <w:pStyle w:val="Bezatstarpm"/>
            </w:pPr>
            <w:r w:rsidRPr="00C2213E">
              <w:t>2.</w:t>
            </w:r>
          </w:p>
        </w:tc>
        <w:tc>
          <w:tcPr>
            <w:tcW w:w="4111" w:type="dxa"/>
          </w:tcPr>
          <w:p w14:paraId="7EC19E87" w14:textId="77777777" w:rsidR="00FB65D8" w:rsidRPr="00C2213E" w:rsidRDefault="00FB65D8" w:rsidP="00F62526">
            <w:pPr>
              <w:pStyle w:val="Bezatstarpm"/>
              <w:jc w:val="both"/>
            </w:pPr>
            <w:r>
              <w:t>Sabiedrības līdzdalība projekta izstrādē</w:t>
            </w:r>
          </w:p>
        </w:tc>
        <w:tc>
          <w:tcPr>
            <w:tcW w:w="4253" w:type="dxa"/>
          </w:tcPr>
          <w:p w14:paraId="64EBA570" w14:textId="77777777" w:rsidR="00FB65D8" w:rsidRPr="00C2213E" w:rsidRDefault="00047F67" w:rsidP="00151855">
            <w:pPr>
              <w:pStyle w:val="Bezatstarpm"/>
              <w:jc w:val="both"/>
            </w:pPr>
            <w:r w:rsidRPr="00245083">
              <w:rPr>
                <w:rFonts w:ascii="TimesNewRomanPSMT" w:hAnsi="TimesNewRomanPSMT" w:cs="TimesNewRomanPSMT"/>
              </w:rPr>
              <w:t>Noteikumu projekts elektroniski tik</w:t>
            </w:r>
            <w:r w:rsidR="00151855">
              <w:rPr>
                <w:rFonts w:ascii="TimesNewRomanPSMT" w:hAnsi="TimesNewRomanPSMT" w:cs="TimesNewRomanPSMT"/>
              </w:rPr>
              <w:t>a</w:t>
            </w:r>
            <w:r w:rsidRPr="00245083">
              <w:rPr>
                <w:rFonts w:ascii="TimesNewRomanPSMT" w:hAnsi="TimesNewRomanPSMT" w:cs="TimesNewRomanPSMT"/>
              </w:rPr>
              <w:t xml:space="preserve"> nosūtīts saskaņošanai biedrīb</w:t>
            </w:r>
            <w:r w:rsidR="00552CA5">
              <w:rPr>
                <w:rFonts w:ascii="TimesNewRomanPSMT" w:hAnsi="TimesNewRomanPSMT" w:cs="TimesNewRomanPSMT"/>
              </w:rPr>
              <w:t>ām</w:t>
            </w:r>
            <w:r w:rsidRPr="00245083">
              <w:rPr>
                <w:rFonts w:ascii="TimesNewRomanPSMT" w:hAnsi="TimesNewRomanPSMT" w:cs="TimesNewRomanPSMT"/>
              </w:rPr>
              <w:t xml:space="preserve"> </w:t>
            </w:r>
            <w:r w:rsidRPr="00A32986">
              <w:rPr>
                <w:rFonts w:ascii="TimesNewRomanPSMT" w:hAnsi="TimesNewRomanPSMT" w:cs="TimesNewRomanPSMT"/>
              </w:rPr>
              <w:t>„Lauksaimnieku organizāciju sadarbības padome”</w:t>
            </w:r>
            <w:r w:rsidR="003A52E7">
              <w:rPr>
                <w:rFonts w:ascii="TimesNewRomanPSMT" w:hAnsi="TimesNewRomanPSMT" w:cs="TimesNewRomanPSMT"/>
              </w:rPr>
              <w:t xml:space="preserve"> un</w:t>
            </w:r>
            <w:r w:rsidRPr="00A32986">
              <w:rPr>
                <w:rFonts w:ascii="TimesNewRomanPSMT" w:hAnsi="TimesNewRomanPSMT" w:cs="TimesNewRomanPSMT"/>
              </w:rPr>
              <w:t xml:space="preserve"> “Zemnieku Saeima”</w:t>
            </w:r>
            <w:r>
              <w:rPr>
                <w:rFonts w:ascii="TimesNewRomanPSMT" w:hAnsi="TimesNewRomanPSMT" w:cs="TimesNewRomanPSMT"/>
              </w:rPr>
              <w:t xml:space="preserve">. </w:t>
            </w:r>
            <w:r w:rsidR="001A3D26" w:rsidRPr="00151855">
              <w:rPr>
                <w:rFonts w:ascii="TimesNewRomanPSMT" w:hAnsi="TimesNewRomanPSMT" w:cs="TimesNewRomanPSMT"/>
              </w:rPr>
              <w:t xml:space="preserve">Sabiedrībai bija iespēja iepazīties ar noteikumu projektu Zemkopības ministrijas tīmekļa vietnē </w:t>
            </w:r>
            <w:hyperlink r:id="rId10" w:history="1">
              <w:r w:rsidR="001A3D26" w:rsidRPr="00F47A70">
                <w:rPr>
                  <w:rStyle w:val="Hipersaite"/>
                  <w:rFonts w:ascii="TimesNewRomanPSMT" w:hAnsi="TimesNewRomanPSMT" w:cs="TimesNewRomanPSMT"/>
                </w:rPr>
                <w:t>www.zm.gov.lv</w:t>
              </w:r>
            </w:hyperlink>
            <w:proofErr w:type="gramStart"/>
            <w:r w:rsidR="001A3D26">
              <w:rPr>
                <w:rFonts w:ascii="TimesNewRomanPSMT" w:hAnsi="TimesNewRomanPSMT" w:cs="TimesNewRomanPSMT"/>
              </w:rPr>
              <w:t xml:space="preserve"> </w:t>
            </w:r>
            <w:r w:rsidR="001A3D26" w:rsidRPr="00151855">
              <w:rPr>
                <w:rFonts w:ascii="TimesNewRomanPSMT" w:hAnsi="TimesNewRomanPSMT" w:cs="TimesNewRomanPSMT"/>
              </w:rPr>
              <w:t xml:space="preserve"> </w:t>
            </w:r>
            <w:proofErr w:type="gramEnd"/>
            <w:r w:rsidR="001A3D26" w:rsidRPr="00151855">
              <w:rPr>
                <w:rFonts w:ascii="TimesNewRomanPSMT" w:hAnsi="TimesNewRomanPSMT" w:cs="TimesNewRomanPSMT"/>
              </w:rPr>
              <w:t>un rakstiski paust viedokli.</w:t>
            </w:r>
          </w:p>
        </w:tc>
      </w:tr>
      <w:tr w:rsidR="00FB65D8" w:rsidRPr="00A25835" w14:paraId="28844308" w14:textId="77777777" w:rsidTr="00461EE3">
        <w:tc>
          <w:tcPr>
            <w:tcW w:w="562" w:type="dxa"/>
          </w:tcPr>
          <w:p w14:paraId="314CB416" w14:textId="77777777" w:rsidR="00FB65D8" w:rsidRPr="00C2213E" w:rsidRDefault="00FB65D8" w:rsidP="00F62526">
            <w:pPr>
              <w:pStyle w:val="Bezatstarpm"/>
            </w:pPr>
            <w:r w:rsidRPr="00C2213E">
              <w:t>3.</w:t>
            </w:r>
          </w:p>
        </w:tc>
        <w:tc>
          <w:tcPr>
            <w:tcW w:w="4111" w:type="dxa"/>
          </w:tcPr>
          <w:p w14:paraId="66A58F13" w14:textId="77777777" w:rsidR="00FB65D8" w:rsidRPr="00C2213E" w:rsidRDefault="00FB65D8" w:rsidP="00F62526">
            <w:pPr>
              <w:pStyle w:val="Bezatstarpm"/>
              <w:jc w:val="both"/>
            </w:pPr>
            <w:r>
              <w:t>Sabiedrības līdzdalības rezultāti</w:t>
            </w:r>
          </w:p>
        </w:tc>
        <w:tc>
          <w:tcPr>
            <w:tcW w:w="4253" w:type="dxa"/>
          </w:tcPr>
          <w:p w14:paraId="786EB8FF" w14:textId="77777777" w:rsidR="001A3D26" w:rsidRDefault="001A3D26" w:rsidP="001A3D26">
            <w:pPr>
              <w:pStyle w:val="Bezatstarpm"/>
              <w:jc w:val="both"/>
            </w:pPr>
            <w:r>
              <w:t>Noteikum</w:t>
            </w:r>
            <w:r w:rsidR="004D6B90">
              <w:t>u</w:t>
            </w:r>
            <w:r>
              <w:t xml:space="preserve"> projekts ir</w:t>
            </w:r>
            <w:proofErr w:type="gramStart"/>
            <w:r>
              <w:t xml:space="preserve"> saskaņots ar biedrību</w:t>
            </w:r>
            <w:proofErr w:type="gramEnd"/>
            <w:r>
              <w:t xml:space="preserve"> „Lauksaimnieku organizāciju sadarbības padome” un “Zemnieku Saeima”, un tās atbalsta tā tālāko virzību. </w:t>
            </w:r>
          </w:p>
          <w:p w14:paraId="4ABBFA75" w14:textId="77777777" w:rsidR="00FB65D8" w:rsidRPr="00245083" w:rsidRDefault="001A3D26" w:rsidP="001A3D26">
            <w:pPr>
              <w:pStyle w:val="Bezatstarpm"/>
              <w:jc w:val="both"/>
              <w:rPr>
                <w:rFonts w:ascii="TimesNewRomanPSMT" w:hAnsi="TimesNewRomanPSMT" w:cs="TimesNewRomanPSMT"/>
              </w:rPr>
            </w:pPr>
            <w:r>
              <w:t xml:space="preserve">Par tīmekļa vietnē </w:t>
            </w:r>
            <w:hyperlink r:id="rId11" w:history="1">
              <w:r w:rsidRPr="00F47A70">
                <w:rPr>
                  <w:rStyle w:val="Hipersaite"/>
                </w:rPr>
                <w:t>www.zm.gov.lv</w:t>
              </w:r>
            </w:hyperlink>
            <w:r>
              <w:t xml:space="preserve"> ievietoto noteikumu projektu iebildumi un priekšlikumi no sabiedrības netika saņemti.</w:t>
            </w:r>
          </w:p>
        </w:tc>
      </w:tr>
      <w:tr w:rsidR="00FB65D8" w:rsidRPr="00C2213E" w14:paraId="6F7A36CF" w14:textId="77777777" w:rsidTr="00461EE3">
        <w:tc>
          <w:tcPr>
            <w:tcW w:w="562" w:type="dxa"/>
          </w:tcPr>
          <w:p w14:paraId="750C4C4A" w14:textId="77777777" w:rsidR="00FB65D8" w:rsidRPr="00C2213E" w:rsidRDefault="00FB65D8" w:rsidP="00F62526">
            <w:pPr>
              <w:pStyle w:val="Bezatstarpm"/>
            </w:pPr>
            <w:r w:rsidRPr="00C2213E">
              <w:t>4.</w:t>
            </w:r>
          </w:p>
        </w:tc>
        <w:tc>
          <w:tcPr>
            <w:tcW w:w="4111" w:type="dxa"/>
          </w:tcPr>
          <w:p w14:paraId="73D7B089" w14:textId="77777777" w:rsidR="00FB65D8" w:rsidRPr="00C2213E" w:rsidRDefault="00FB65D8" w:rsidP="00F62526">
            <w:pPr>
              <w:pStyle w:val="Bezatstarpm"/>
              <w:jc w:val="both"/>
            </w:pPr>
            <w:r>
              <w:t>Cita informācija</w:t>
            </w:r>
          </w:p>
        </w:tc>
        <w:tc>
          <w:tcPr>
            <w:tcW w:w="4253" w:type="dxa"/>
          </w:tcPr>
          <w:p w14:paraId="349C6923" w14:textId="77777777" w:rsidR="00FB65D8" w:rsidRPr="00C2213E" w:rsidRDefault="001A3D26" w:rsidP="001A3D26">
            <w:pPr>
              <w:pStyle w:val="Bezatstarpm"/>
              <w:jc w:val="both"/>
            </w:pPr>
            <w:r>
              <w:t>Nav.</w:t>
            </w:r>
          </w:p>
        </w:tc>
      </w:tr>
    </w:tbl>
    <w:p w14:paraId="3E958DE6" w14:textId="77777777" w:rsidR="00FB65D8" w:rsidRPr="000A242C" w:rsidRDefault="00FB65D8" w:rsidP="00FB65D8">
      <w:pPr>
        <w:pStyle w:val="Bezatstarpm"/>
        <w:rPr>
          <w:i/>
        </w:rPr>
      </w:pPr>
    </w:p>
    <w:tbl>
      <w:tblPr>
        <w:tblStyle w:val="Reatabula"/>
        <w:tblW w:w="8926" w:type="dxa"/>
        <w:tblLook w:val="04A0" w:firstRow="1" w:lastRow="0" w:firstColumn="1" w:lastColumn="0" w:noHBand="0" w:noVBand="1"/>
      </w:tblPr>
      <w:tblGrid>
        <w:gridCol w:w="800"/>
        <w:gridCol w:w="3844"/>
        <w:gridCol w:w="4282"/>
      </w:tblGrid>
      <w:tr w:rsidR="00FB65D8" w:rsidRPr="00A25835" w14:paraId="3EDD2D20" w14:textId="77777777" w:rsidTr="00461EE3">
        <w:tc>
          <w:tcPr>
            <w:tcW w:w="8926" w:type="dxa"/>
            <w:gridSpan w:val="3"/>
          </w:tcPr>
          <w:p w14:paraId="0A717D36" w14:textId="77777777" w:rsidR="00FB65D8" w:rsidRPr="005B18E0" w:rsidRDefault="00FB65D8" w:rsidP="00F62526">
            <w:pPr>
              <w:pStyle w:val="Bezatstarpm"/>
              <w:rPr>
                <w:b/>
              </w:rPr>
            </w:pPr>
            <w:r w:rsidRPr="005B18E0">
              <w:rPr>
                <w:b/>
              </w:rPr>
              <w:t>VII. Tiesību akta projekta izpildes nodrošināšana un tās ietekme uz institūcijām</w:t>
            </w:r>
          </w:p>
        </w:tc>
      </w:tr>
      <w:tr w:rsidR="00FB65D8" w:rsidRPr="000A242C" w14:paraId="597340F9" w14:textId="77777777" w:rsidTr="00461EE3">
        <w:tc>
          <w:tcPr>
            <w:tcW w:w="800" w:type="dxa"/>
          </w:tcPr>
          <w:p w14:paraId="4618FA6B" w14:textId="77777777" w:rsidR="00FB65D8" w:rsidRPr="000A242C" w:rsidRDefault="00FB65D8" w:rsidP="00F62526">
            <w:pPr>
              <w:pStyle w:val="Bezatstarpm"/>
            </w:pPr>
            <w:r w:rsidRPr="000A242C">
              <w:t>1.</w:t>
            </w:r>
          </w:p>
        </w:tc>
        <w:tc>
          <w:tcPr>
            <w:tcW w:w="3844" w:type="dxa"/>
          </w:tcPr>
          <w:p w14:paraId="474BB3E3" w14:textId="77777777" w:rsidR="00FB65D8" w:rsidRPr="000A242C" w:rsidRDefault="00FB65D8" w:rsidP="00F62526">
            <w:pPr>
              <w:pStyle w:val="Bezatstarpm"/>
            </w:pPr>
            <w:r w:rsidRPr="000A242C">
              <w:t>Projekta izpildē iesaistītās institūcijas</w:t>
            </w:r>
          </w:p>
        </w:tc>
        <w:tc>
          <w:tcPr>
            <w:tcW w:w="4282" w:type="dxa"/>
          </w:tcPr>
          <w:p w14:paraId="3E40DD36" w14:textId="77777777" w:rsidR="00FB65D8" w:rsidRPr="000A242C" w:rsidRDefault="00FB65D8" w:rsidP="003A52E7">
            <w:pPr>
              <w:pStyle w:val="Bezatstarpm"/>
              <w:jc w:val="both"/>
            </w:pPr>
            <w:r>
              <w:t>Pārtikas un veterinārais dienests</w:t>
            </w:r>
            <w:r w:rsidR="002F0B22">
              <w:t xml:space="preserve"> un </w:t>
            </w:r>
            <w:r w:rsidR="002F0B22" w:rsidRPr="002F0B22">
              <w:t xml:space="preserve">Valsts </w:t>
            </w:r>
            <w:r w:rsidR="003A52E7">
              <w:t>vides</w:t>
            </w:r>
            <w:r w:rsidR="002F0B22" w:rsidRPr="002F0B22">
              <w:t xml:space="preserve"> dienest</w:t>
            </w:r>
            <w:r w:rsidR="002F0B22">
              <w:t>s</w:t>
            </w:r>
          </w:p>
        </w:tc>
      </w:tr>
      <w:tr w:rsidR="00FB65D8" w:rsidRPr="000A242C" w14:paraId="573DBC2E" w14:textId="77777777" w:rsidTr="00461EE3">
        <w:tc>
          <w:tcPr>
            <w:tcW w:w="800" w:type="dxa"/>
          </w:tcPr>
          <w:p w14:paraId="359080ED" w14:textId="77777777" w:rsidR="00FB65D8" w:rsidRPr="000A242C" w:rsidRDefault="00FB65D8" w:rsidP="00F62526">
            <w:pPr>
              <w:pStyle w:val="Bezatstarpm"/>
            </w:pPr>
            <w:r w:rsidRPr="000A242C">
              <w:t>2.</w:t>
            </w:r>
          </w:p>
        </w:tc>
        <w:tc>
          <w:tcPr>
            <w:tcW w:w="3844" w:type="dxa"/>
          </w:tcPr>
          <w:p w14:paraId="03AED03B" w14:textId="77777777" w:rsidR="00FB65D8" w:rsidRPr="000A242C" w:rsidRDefault="00FB65D8" w:rsidP="00F62526">
            <w:pPr>
              <w:pStyle w:val="Bezatstarpm"/>
              <w:jc w:val="both"/>
            </w:pPr>
            <w:r w:rsidRPr="000A242C">
              <w:t>Projekta izpildes ietekme uz pārvaldes funkcijām un institucionālo struktūru. Jaunu institūciju izveide, esošo institūciju likvidācija vai reorganizācija, to ietekme uz institūcijas cilvēkresursiem</w:t>
            </w:r>
          </w:p>
        </w:tc>
        <w:tc>
          <w:tcPr>
            <w:tcW w:w="4282" w:type="dxa"/>
          </w:tcPr>
          <w:p w14:paraId="64770986" w14:textId="77777777" w:rsidR="00D61240" w:rsidRDefault="00D61240" w:rsidP="00D61240">
            <w:pPr>
              <w:pStyle w:val="Bezatstarpm"/>
              <w:jc w:val="both"/>
            </w:pPr>
            <w:r w:rsidRPr="00D61240">
              <w:t xml:space="preserve">Noteikumu projekta izpildei nav nepieciešams paplašināt Pārtikas un veterinārā dienesta </w:t>
            </w:r>
            <w:r>
              <w:t xml:space="preserve">un </w:t>
            </w:r>
            <w:r w:rsidRPr="002F0B22">
              <w:t xml:space="preserve">Valsts </w:t>
            </w:r>
            <w:r>
              <w:t>vides</w:t>
            </w:r>
            <w:r w:rsidRPr="002F0B22">
              <w:t xml:space="preserve"> dienest</w:t>
            </w:r>
            <w:r>
              <w:t xml:space="preserve">a </w:t>
            </w:r>
            <w:r w:rsidRPr="00D61240">
              <w:t>funkcijas un uzdevumus.</w:t>
            </w:r>
          </w:p>
          <w:p w14:paraId="45B54C52" w14:textId="77777777" w:rsidR="006002EE" w:rsidRPr="00E71803" w:rsidRDefault="006002EE" w:rsidP="00432EDD">
            <w:pPr>
              <w:pStyle w:val="Bezatstarpm"/>
              <w:jc w:val="both"/>
              <w:rPr>
                <w:strike/>
              </w:rPr>
            </w:pPr>
          </w:p>
        </w:tc>
      </w:tr>
      <w:tr w:rsidR="00FB65D8" w:rsidRPr="000A242C" w14:paraId="5D93B509" w14:textId="77777777" w:rsidTr="00461EE3">
        <w:tc>
          <w:tcPr>
            <w:tcW w:w="800" w:type="dxa"/>
          </w:tcPr>
          <w:p w14:paraId="76691B1B" w14:textId="77777777" w:rsidR="00FB65D8" w:rsidRPr="000A242C" w:rsidRDefault="00FB65D8" w:rsidP="00F62526">
            <w:pPr>
              <w:pStyle w:val="Bezatstarpm"/>
            </w:pPr>
            <w:r w:rsidRPr="000A242C">
              <w:t>3.</w:t>
            </w:r>
          </w:p>
        </w:tc>
        <w:tc>
          <w:tcPr>
            <w:tcW w:w="3844" w:type="dxa"/>
          </w:tcPr>
          <w:p w14:paraId="3941D850" w14:textId="77777777" w:rsidR="00FB65D8" w:rsidRPr="000A242C" w:rsidRDefault="00FB65D8" w:rsidP="00F62526">
            <w:pPr>
              <w:pStyle w:val="Bezatstarpm"/>
            </w:pPr>
            <w:r w:rsidRPr="000A242C">
              <w:t>Cita informācija</w:t>
            </w:r>
          </w:p>
        </w:tc>
        <w:tc>
          <w:tcPr>
            <w:tcW w:w="4282" w:type="dxa"/>
          </w:tcPr>
          <w:p w14:paraId="2E14587E" w14:textId="77777777" w:rsidR="00FB65D8" w:rsidRPr="000A242C" w:rsidRDefault="00FB65D8" w:rsidP="00F62526">
            <w:pPr>
              <w:pStyle w:val="Bezatstarpm"/>
            </w:pPr>
            <w:r w:rsidRPr="000A242C">
              <w:t>Nav</w:t>
            </w:r>
            <w:r w:rsidR="00552CA5">
              <w:t>.</w:t>
            </w:r>
            <w:r w:rsidRPr="000A242C">
              <w:t xml:space="preserve"> </w:t>
            </w:r>
          </w:p>
        </w:tc>
      </w:tr>
    </w:tbl>
    <w:p w14:paraId="0694FD41" w14:textId="77777777" w:rsidR="00A82FA4" w:rsidRDefault="00A82FA4" w:rsidP="00FB65D8">
      <w:pPr>
        <w:pStyle w:val="Bezatstarpm"/>
        <w:rPr>
          <w:color w:val="000000"/>
          <w:sz w:val="28"/>
        </w:rPr>
      </w:pPr>
    </w:p>
    <w:p w14:paraId="1CC45812" w14:textId="77777777" w:rsidR="00D216A6" w:rsidRDefault="00D216A6" w:rsidP="00424FD4">
      <w:pPr>
        <w:pStyle w:val="Bezatstarpm"/>
        <w:ind w:firstLine="720"/>
        <w:rPr>
          <w:color w:val="000000"/>
          <w:sz w:val="28"/>
        </w:rPr>
      </w:pPr>
    </w:p>
    <w:p w14:paraId="33735985" w14:textId="77777777" w:rsidR="00D216A6" w:rsidRDefault="00D216A6" w:rsidP="00424FD4">
      <w:pPr>
        <w:pStyle w:val="Bezatstarpm"/>
        <w:ind w:firstLine="720"/>
        <w:rPr>
          <w:color w:val="000000"/>
          <w:sz w:val="28"/>
        </w:rPr>
      </w:pPr>
    </w:p>
    <w:p w14:paraId="6B3E18E2" w14:textId="73A08AAD" w:rsidR="00FB65D8" w:rsidRPr="00003586" w:rsidRDefault="008245CA" w:rsidP="008245CA">
      <w:pPr>
        <w:pStyle w:val="Bezatstarpm"/>
        <w:ind w:firstLine="720"/>
        <w:rPr>
          <w:color w:val="000000"/>
          <w:sz w:val="28"/>
        </w:rPr>
      </w:pPr>
      <w:r>
        <w:rPr>
          <w:color w:val="000000"/>
          <w:sz w:val="28"/>
        </w:rPr>
        <w:t>Zemkopības ministrs</w:t>
      </w:r>
      <w:r>
        <w:rPr>
          <w:color w:val="000000"/>
          <w:sz w:val="28"/>
        </w:rPr>
        <w:tab/>
      </w:r>
      <w:r>
        <w:rPr>
          <w:color w:val="000000"/>
          <w:sz w:val="28"/>
        </w:rPr>
        <w:tab/>
      </w:r>
      <w:r>
        <w:rPr>
          <w:color w:val="000000"/>
          <w:sz w:val="28"/>
        </w:rPr>
        <w:tab/>
        <w:t xml:space="preserve"> </w:t>
      </w:r>
      <w:r>
        <w:rPr>
          <w:color w:val="000000"/>
          <w:sz w:val="28"/>
        </w:rPr>
        <w:tab/>
      </w:r>
      <w:r>
        <w:rPr>
          <w:color w:val="000000"/>
          <w:sz w:val="28"/>
        </w:rPr>
        <w:tab/>
      </w:r>
      <w:r>
        <w:rPr>
          <w:color w:val="000000"/>
          <w:sz w:val="28"/>
        </w:rPr>
        <w:tab/>
        <w:t>K.</w:t>
      </w:r>
      <w:r w:rsidR="00D216A6">
        <w:rPr>
          <w:color w:val="000000"/>
          <w:sz w:val="28"/>
        </w:rPr>
        <w:t xml:space="preserve"> Gerhards</w:t>
      </w:r>
    </w:p>
    <w:p w14:paraId="484D8093" w14:textId="77777777" w:rsidR="0062195C" w:rsidRDefault="0062195C" w:rsidP="00424FD4">
      <w:pPr>
        <w:pStyle w:val="Bezatstarpm"/>
        <w:ind w:firstLine="720"/>
        <w:rPr>
          <w:color w:val="000000"/>
        </w:rPr>
      </w:pPr>
    </w:p>
    <w:p w14:paraId="604A6596" w14:textId="77777777" w:rsidR="00424FD4" w:rsidRDefault="00424FD4" w:rsidP="00424FD4">
      <w:pPr>
        <w:pStyle w:val="Bezatstarpm"/>
        <w:ind w:firstLine="720"/>
        <w:rPr>
          <w:color w:val="000000"/>
        </w:rPr>
      </w:pPr>
    </w:p>
    <w:p w14:paraId="212811B2" w14:textId="77777777" w:rsidR="009C3649" w:rsidRDefault="009C3649" w:rsidP="00FB65D8">
      <w:pPr>
        <w:pStyle w:val="Bezatstarpm"/>
        <w:rPr>
          <w:sz w:val="20"/>
        </w:rPr>
      </w:pPr>
    </w:p>
    <w:p w14:paraId="193BAA37" w14:textId="77777777" w:rsidR="009C3649" w:rsidRDefault="009C3649" w:rsidP="00FB65D8">
      <w:pPr>
        <w:pStyle w:val="Bezatstarpm"/>
        <w:rPr>
          <w:sz w:val="20"/>
        </w:rPr>
      </w:pPr>
    </w:p>
    <w:p w14:paraId="20FDBD93" w14:textId="77777777" w:rsidR="00FB65D8" w:rsidRPr="00424FD4" w:rsidRDefault="00A32986" w:rsidP="00FB65D8">
      <w:pPr>
        <w:pStyle w:val="Bezatstarpm"/>
      </w:pPr>
      <w:r w:rsidRPr="00424FD4">
        <w:t>Tora</w:t>
      </w:r>
      <w:r w:rsidR="00FB65D8" w:rsidRPr="00424FD4">
        <w:t xml:space="preserve"> 67027</w:t>
      </w:r>
      <w:r w:rsidRPr="00424FD4">
        <w:t>620</w:t>
      </w:r>
      <w:r w:rsidR="00FB65D8" w:rsidRPr="00424FD4">
        <w:t xml:space="preserve"> </w:t>
      </w:r>
    </w:p>
    <w:p w14:paraId="415E6FB8" w14:textId="77777777" w:rsidR="00FB65D8" w:rsidRPr="00424FD4" w:rsidRDefault="008245CA" w:rsidP="00FB65D8">
      <w:pPr>
        <w:pStyle w:val="Bezatstarpm"/>
      </w:pPr>
      <w:hyperlink r:id="rId12" w:history="1">
        <w:r w:rsidR="00A32986" w:rsidRPr="00424FD4">
          <w:rPr>
            <w:rStyle w:val="Hipersaite"/>
          </w:rPr>
          <w:t>Aija.tora@zm.gov.lv</w:t>
        </w:r>
      </w:hyperlink>
      <w:r w:rsidR="00A32986" w:rsidRPr="00424FD4">
        <w:t xml:space="preserve"> </w:t>
      </w:r>
    </w:p>
    <w:sectPr w:rsidR="00FB65D8" w:rsidRPr="00424FD4" w:rsidSect="00424FD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095A" w14:textId="77777777" w:rsidR="0005451F" w:rsidRDefault="0005451F" w:rsidP="00FB65D8">
      <w:pPr>
        <w:spacing w:after="0" w:line="240" w:lineRule="auto"/>
      </w:pPr>
      <w:r>
        <w:separator/>
      </w:r>
    </w:p>
  </w:endnote>
  <w:endnote w:type="continuationSeparator" w:id="0">
    <w:p w14:paraId="77258331" w14:textId="77777777" w:rsidR="0005451F" w:rsidRDefault="0005451F"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4039" w14:textId="429221DC" w:rsidR="006D68E8" w:rsidRPr="008245CA" w:rsidRDefault="008245CA" w:rsidP="008245CA">
    <w:pPr>
      <w:pStyle w:val="Kjene"/>
    </w:pPr>
    <w:r w:rsidRPr="008245CA">
      <w:rPr>
        <w:rFonts w:ascii="Times New Roman" w:eastAsia="Times New Roman" w:hAnsi="Times New Roman" w:cs="Times New Roman"/>
        <w:sz w:val="20"/>
        <w:szCs w:val="20"/>
        <w:lang w:eastAsia="lv-LV"/>
      </w:rPr>
      <w:t>ZMAnot_230719_abp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D792" w14:textId="46C902BD" w:rsidR="006D68E8" w:rsidRPr="008245CA" w:rsidRDefault="008245CA" w:rsidP="008245CA">
    <w:pPr>
      <w:pStyle w:val="Kjene"/>
    </w:pPr>
    <w:r w:rsidRPr="008245CA">
      <w:rPr>
        <w:rFonts w:ascii="Times New Roman" w:eastAsia="Times New Roman" w:hAnsi="Times New Roman" w:cs="Times New Roman"/>
        <w:sz w:val="20"/>
        <w:szCs w:val="20"/>
        <w:lang w:eastAsia="lv-LV"/>
      </w:rPr>
      <w:t>ZMAnot_230719_abp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7C2C" w14:textId="77777777" w:rsidR="0005451F" w:rsidRDefault="0005451F" w:rsidP="00FB65D8">
      <w:pPr>
        <w:spacing w:after="0" w:line="240" w:lineRule="auto"/>
      </w:pPr>
      <w:r>
        <w:separator/>
      </w:r>
    </w:p>
  </w:footnote>
  <w:footnote w:type="continuationSeparator" w:id="0">
    <w:p w14:paraId="7B57A9EF" w14:textId="77777777" w:rsidR="0005451F" w:rsidRDefault="0005451F" w:rsidP="00FB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15500"/>
      <w:docPartObj>
        <w:docPartGallery w:val="Page Numbers (Top of Page)"/>
        <w:docPartUnique/>
      </w:docPartObj>
    </w:sdtPr>
    <w:sdtEndPr/>
    <w:sdtContent>
      <w:p w14:paraId="6D98A2E3" w14:textId="143D1041" w:rsidR="006D68E8" w:rsidRDefault="00290A60" w:rsidP="00424FD4">
        <w:pPr>
          <w:pStyle w:val="Galvene"/>
          <w:jc w:val="center"/>
        </w:pPr>
        <w:r>
          <w:fldChar w:fldCharType="begin"/>
        </w:r>
        <w:r>
          <w:instrText>PAGE   \* MERGEFORMAT</w:instrText>
        </w:r>
        <w:r>
          <w:fldChar w:fldCharType="separate"/>
        </w:r>
        <w:r w:rsidR="008245CA">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315A4"/>
    <w:multiLevelType w:val="multilevel"/>
    <w:tmpl w:val="F1780B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D679E0"/>
    <w:multiLevelType w:val="hybridMultilevel"/>
    <w:tmpl w:val="D046C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7A602A"/>
    <w:multiLevelType w:val="hybridMultilevel"/>
    <w:tmpl w:val="972021B6"/>
    <w:lvl w:ilvl="0" w:tplc="B7E69524">
      <w:start w:val="1"/>
      <w:numFmt w:val="decimal"/>
      <w:lvlText w:val="%1."/>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7E6C4C83"/>
    <w:multiLevelType w:val="hybridMultilevel"/>
    <w:tmpl w:val="195A0B04"/>
    <w:lvl w:ilvl="0" w:tplc="514899E4">
      <w:start w:val="1"/>
      <w:numFmt w:val="decimal"/>
      <w:lvlText w:val="%1."/>
      <w:lvlJc w:val="left"/>
      <w:pPr>
        <w:ind w:left="1440" w:hanging="360"/>
      </w:pPr>
    </w:lvl>
    <w:lvl w:ilvl="1" w:tplc="25DE1F64" w:tentative="1">
      <w:start w:val="1"/>
      <w:numFmt w:val="lowerLetter"/>
      <w:lvlText w:val="%2."/>
      <w:lvlJc w:val="left"/>
      <w:pPr>
        <w:ind w:left="2160" w:hanging="360"/>
      </w:pPr>
    </w:lvl>
    <w:lvl w:ilvl="2" w:tplc="CB4240E0" w:tentative="1">
      <w:start w:val="1"/>
      <w:numFmt w:val="lowerRoman"/>
      <w:lvlText w:val="%3."/>
      <w:lvlJc w:val="right"/>
      <w:pPr>
        <w:ind w:left="2880" w:hanging="180"/>
      </w:pPr>
    </w:lvl>
    <w:lvl w:ilvl="3" w:tplc="36EAF620" w:tentative="1">
      <w:start w:val="1"/>
      <w:numFmt w:val="decimal"/>
      <w:lvlText w:val="%4."/>
      <w:lvlJc w:val="left"/>
      <w:pPr>
        <w:ind w:left="3600" w:hanging="360"/>
      </w:pPr>
    </w:lvl>
    <w:lvl w:ilvl="4" w:tplc="EE861B84" w:tentative="1">
      <w:start w:val="1"/>
      <w:numFmt w:val="lowerLetter"/>
      <w:lvlText w:val="%5."/>
      <w:lvlJc w:val="left"/>
      <w:pPr>
        <w:ind w:left="4320" w:hanging="360"/>
      </w:pPr>
    </w:lvl>
    <w:lvl w:ilvl="5" w:tplc="EFF2C92E" w:tentative="1">
      <w:start w:val="1"/>
      <w:numFmt w:val="lowerRoman"/>
      <w:lvlText w:val="%6."/>
      <w:lvlJc w:val="right"/>
      <w:pPr>
        <w:ind w:left="5040" w:hanging="180"/>
      </w:pPr>
    </w:lvl>
    <w:lvl w:ilvl="6" w:tplc="94C4C1EE" w:tentative="1">
      <w:start w:val="1"/>
      <w:numFmt w:val="decimal"/>
      <w:lvlText w:val="%7."/>
      <w:lvlJc w:val="left"/>
      <w:pPr>
        <w:ind w:left="5760" w:hanging="360"/>
      </w:pPr>
    </w:lvl>
    <w:lvl w:ilvl="7" w:tplc="7904325E" w:tentative="1">
      <w:start w:val="1"/>
      <w:numFmt w:val="lowerLetter"/>
      <w:lvlText w:val="%8."/>
      <w:lvlJc w:val="left"/>
      <w:pPr>
        <w:ind w:left="6480" w:hanging="360"/>
      </w:pPr>
    </w:lvl>
    <w:lvl w:ilvl="8" w:tplc="86B652AC"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D8"/>
    <w:rsid w:val="00001FB4"/>
    <w:rsid w:val="00003586"/>
    <w:rsid w:val="00011B01"/>
    <w:rsid w:val="00013CEC"/>
    <w:rsid w:val="00016FA1"/>
    <w:rsid w:val="000216D3"/>
    <w:rsid w:val="00030620"/>
    <w:rsid w:val="00032C16"/>
    <w:rsid w:val="000371C4"/>
    <w:rsid w:val="00040EA9"/>
    <w:rsid w:val="000477C5"/>
    <w:rsid w:val="00047F67"/>
    <w:rsid w:val="00051603"/>
    <w:rsid w:val="0005451F"/>
    <w:rsid w:val="000551F1"/>
    <w:rsid w:val="000603BD"/>
    <w:rsid w:val="00065A7D"/>
    <w:rsid w:val="00073C0C"/>
    <w:rsid w:val="00074775"/>
    <w:rsid w:val="000918FD"/>
    <w:rsid w:val="00095CB6"/>
    <w:rsid w:val="0009789C"/>
    <w:rsid w:val="000A4596"/>
    <w:rsid w:val="000A6A0D"/>
    <w:rsid w:val="000B0E7A"/>
    <w:rsid w:val="000B1AF3"/>
    <w:rsid w:val="000C060D"/>
    <w:rsid w:val="000C0C98"/>
    <w:rsid w:val="000C4AAD"/>
    <w:rsid w:val="000D085A"/>
    <w:rsid w:val="000D09E6"/>
    <w:rsid w:val="000D0F38"/>
    <w:rsid w:val="000D2C62"/>
    <w:rsid w:val="000D2C9C"/>
    <w:rsid w:val="000D3EF0"/>
    <w:rsid w:val="000D49F8"/>
    <w:rsid w:val="000D78A0"/>
    <w:rsid w:val="000E3CD8"/>
    <w:rsid w:val="000F4EB0"/>
    <w:rsid w:val="000F6F2A"/>
    <w:rsid w:val="00106A50"/>
    <w:rsid w:val="001114D1"/>
    <w:rsid w:val="00116ADC"/>
    <w:rsid w:val="00132CC1"/>
    <w:rsid w:val="001363B7"/>
    <w:rsid w:val="001368DE"/>
    <w:rsid w:val="001430A6"/>
    <w:rsid w:val="0014429E"/>
    <w:rsid w:val="0015088F"/>
    <w:rsid w:val="00151855"/>
    <w:rsid w:val="00154A4E"/>
    <w:rsid w:val="001619B1"/>
    <w:rsid w:val="00163524"/>
    <w:rsid w:val="00171FEE"/>
    <w:rsid w:val="0017225C"/>
    <w:rsid w:val="00172FE8"/>
    <w:rsid w:val="0019172F"/>
    <w:rsid w:val="00194AC2"/>
    <w:rsid w:val="001958BD"/>
    <w:rsid w:val="001A10EC"/>
    <w:rsid w:val="001A3D26"/>
    <w:rsid w:val="001A5230"/>
    <w:rsid w:val="001A6B58"/>
    <w:rsid w:val="001A7746"/>
    <w:rsid w:val="001B6FD8"/>
    <w:rsid w:val="001C0E09"/>
    <w:rsid w:val="001C61C0"/>
    <w:rsid w:val="001C76C0"/>
    <w:rsid w:val="001D27BA"/>
    <w:rsid w:val="001D2FC8"/>
    <w:rsid w:val="001D3E4D"/>
    <w:rsid w:val="001E1D17"/>
    <w:rsid w:val="001E74CD"/>
    <w:rsid w:val="001F39FC"/>
    <w:rsid w:val="001F42CB"/>
    <w:rsid w:val="00204158"/>
    <w:rsid w:val="00211130"/>
    <w:rsid w:val="00212631"/>
    <w:rsid w:val="00217A8B"/>
    <w:rsid w:val="002213CB"/>
    <w:rsid w:val="0022273A"/>
    <w:rsid w:val="00245083"/>
    <w:rsid w:val="00245A8E"/>
    <w:rsid w:val="00246BAC"/>
    <w:rsid w:val="00253307"/>
    <w:rsid w:val="0025694B"/>
    <w:rsid w:val="00256ACB"/>
    <w:rsid w:val="00256D43"/>
    <w:rsid w:val="00261FA6"/>
    <w:rsid w:val="002655F3"/>
    <w:rsid w:val="00266299"/>
    <w:rsid w:val="00270B6F"/>
    <w:rsid w:val="00274034"/>
    <w:rsid w:val="002836C7"/>
    <w:rsid w:val="00283FF3"/>
    <w:rsid w:val="00290A60"/>
    <w:rsid w:val="0029622D"/>
    <w:rsid w:val="0029687B"/>
    <w:rsid w:val="002A45F0"/>
    <w:rsid w:val="002E1258"/>
    <w:rsid w:val="002E1FE1"/>
    <w:rsid w:val="002E6EA2"/>
    <w:rsid w:val="002F0B22"/>
    <w:rsid w:val="003027C7"/>
    <w:rsid w:val="00302F2D"/>
    <w:rsid w:val="003076EC"/>
    <w:rsid w:val="00310E08"/>
    <w:rsid w:val="00312A6F"/>
    <w:rsid w:val="00313FF6"/>
    <w:rsid w:val="00317555"/>
    <w:rsid w:val="00320DD9"/>
    <w:rsid w:val="00325851"/>
    <w:rsid w:val="00331763"/>
    <w:rsid w:val="00334344"/>
    <w:rsid w:val="003353DA"/>
    <w:rsid w:val="00357855"/>
    <w:rsid w:val="00362742"/>
    <w:rsid w:val="00371A7A"/>
    <w:rsid w:val="003762FC"/>
    <w:rsid w:val="00376AE4"/>
    <w:rsid w:val="00376D48"/>
    <w:rsid w:val="00380304"/>
    <w:rsid w:val="00384DD0"/>
    <w:rsid w:val="00393117"/>
    <w:rsid w:val="00394561"/>
    <w:rsid w:val="00395E8B"/>
    <w:rsid w:val="003A52E7"/>
    <w:rsid w:val="003B7B86"/>
    <w:rsid w:val="003C10EB"/>
    <w:rsid w:val="003C2BC1"/>
    <w:rsid w:val="003D12C6"/>
    <w:rsid w:val="003E0D7E"/>
    <w:rsid w:val="003E45DE"/>
    <w:rsid w:val="003E755A"/>
    <w:rsid w:val="003F0E99"/>
    <w:rsid w:val="003F2305"/>
    <w:rsid w:val="003F6838"/>
    <w:rsid w:val="004028BF"/>
    <w:rsid w:val="00403613"/>
    <w:rsid w:val="004037D3"/>
    <w:rsid w:val="004042AE"/>
    <w:rsid w:val="00414B65"/>
    <w:rsid w:val="004215A9"/>
    <w:rsid w:val="00424FD4"/>
    <w:rsid w:val="00432EDD"/>
    <w:rsid w:val="00433E99"/>
    <w:rsid w:val="00434189"/>
    <w:rsid w:val="004350DC"/>
    <w:rsid w:val="00437A86"/>
    <w:rsid w:val="00442C9C"/>
    <w:rsid w:val="00450B9C"/>
    <w:rsid w:val="00461159"/>
    <w:rsid w:val="00461EE3"/>
    <w:rsid w:val="00465772"/>
    <w:rsid w:val="00467870"/>
    <w:rsid w:val="00471086"/>
    <w:rsid w:val="00476647"/>
    <w:rsid w:val="00483498"/>
    <w:rsid w:val="00483A43"/>
    <w:rsid w:val="0048434F"/>
    <w:rsid w:val="00484966"/>
    <w:rsid w:val="00486708"/>
    <w:rsid w:val="00486815"/>
    <w:rsid w:val="00487383"/>
    <w:rsid w:val="00487889"/>
    <w:rsid w:val="0049366E"/>
    <w:rsid w:val="004A253D"/>
    <w:rsid w:val="004A4D47"/>
    <w:rsid w:val="004A5ECD"/>
    <w:rsid w:val="004B5D20"/>
    <w:rsid w:val="004C08A9"/>
    <w:rsid w:val="004C0CCA"/>
    <w:rsid w:val="004C6553"/>
    <w:rsid w:val="004D0EE2"/>
    <w:rsid w:val="004D276D"/>
    <w:rsid w:val="004D37E4"/>
    <w:rsid w:val="004D6B90"/>
    <w:rsid w:val="004E7388"/>
    <w:rsid w:val="005112A2"/>
    <w:rsid w:val="0051187D"/>
    <w:rsid w:val="00512E13"/>
    <w:rsid w:val="00520801"/>
    <w:rsid w:val="00543E53"/>
    <w:rsid w:val="00552CA5"/>
    <w:rsid w:val="00555080"/>
    <w:rsid w:val="00555575"/>
    <w:rsid w:val="005556AA"/>
    <w:rsid w:val="00561345"/>
    <w:rsid w:val="00561CF6"/>
    <w:rsid w:val="00562943"/>
    <w:rsid w:val="0056437F"/>
    <w:rsid w:val="00570A31"/>
    <w:rsid w:val="00573209"/>
    <w:rsid w:val="00583887"/>
    <w:rsid w:val="00584B29"/>
    <w:rsid w:val="00585604"/>
    <w:rsid w:val="00586762"/>
    <w:rsid w:val="00593140"/>
    <w:rsid w:val="005A028B"/>
    <w:rsid w:val="005A047E"/>
    <w:rsid w:val="005A35A1"/>
    <w:rsid w:val="005C0536"/>
    <w:rsid w:val="005C082E"/>
    <w:rsid w:val="005C54FF"/>
    <w:rsid w:val="005C6FE4"/>
    <w:rsid w:val="005C7D2B"/>
    <w:rsid w:val="005D16CB"/>
    <w:rsid w:val="005E62B4"/>
    <w:rsid w:val="005F0153"/>
    <w:rsid w:val="005F13FF"/>
    <w:rsid w:val="005F35D5"/>
    <w:rsid w:val="005F365F"/>
    <w:rsid w:val="005F7AFA"/>
    <w:rsid w:val="006002EE"/>
    <w:rsid w:val="006024CC"/>
    <w:rsid w:val="00603D36"/>
    <w:rsid w:val="00604EE3"/>
    <w:rsid w:val="0062195C"/>
    <w:rsid w:val="00622EFE"/>
    <w:rsid w:val="00623CD2"/>
    <w:rsid w:val="00623EDF"/>
    <w:rsid w:val="006261D5"/>
    <w:rsid w:val="006347EA"/>
    <w:rsid w:val="00645E70"/>
    <w:rsid w:val="006464E5"/>
    <w:rsid w:val="006471BE"/>
    <w:rsid w:val="00660968"/>
    <w:rsid w:val="0066321B"/>
    <w:rsid w:val="006640F4"/>
    <w:rsid w:val="00665123"/>
    <w:rsid w:val="00670F11"/>
    <w:rsid w:val="00671CF0"/>
    <w:rsid w:val="00672E96"/>
    <w:rsid w:val="0067315F"/>
    <w:rsid w:val="006743B0"/>
    <w:rsid w:val="006746CE"/>
    <w:rsid w:val="0067727C"/>
    <w:rsid w:val="00682EAA"/>
    <w:rsid w:val="006A2DF3"/>
    <w:rsid w:val="006B7470"/>
    <w:rsid w:val="006C0532"/>
    <w:rsid w:val="006C3D6A"/>
    <w:rsid w:val="006C5956"/>
    <w:rsid w:val="006D0A66"/>
    <w:rsid w:val="006E39B6"/>
    <w:rsid w:val="006F04DC"/>
    <w:rsid w:val="006F1921"/>
    <w:rsid w:val="006F5AF7"/>
    <w:rsid w:val="00701E4C"/>
    <w:rsid w:val="00706E53"/>
    <w:rsid w:val="007223F1"/>
    <w:rsid w:val="0072353E"/>
    <w:rsid w:val="00723573"/>
    <w:rsid w:val="00741B80"/>
    <w:rsid w:val="00754E3E"/>
    <w:rsid w:val="00756947"/>
    <w:rsid w:val="00756F33"/>
    <w:rsid w:val="007573D6"/>
    <w:rsid w:val="00757590"/>
    <w:rsid w:val="007647CB"/>
    <w:rsid w:val="00765A8C"/>
    <w:rsid w:val="007811E9"/>
    <w:rsid w:val="007851B6"/>
    <w:rsid w:val="007875BC"/>
    <w:rsid w:val="00792BEA"/>
    <w:rsid w:val="007976FF"/>
    <w:rsid w:val="007A43DA"/>
    <w:rsid w:val="007A68AE"/>
    <w:rsid w:val="007B26BE"/>
    <w:rsid w:val="007B2BA8"/>
    <w:rsid w:val="007C6619"/>
    <w:rsid w:val="007D4C63"/>
    <w:rsid w:val="007D76BD"/>
    <w:rsid w:val="007E3DE3"/>
    <w:rsid w:val="008009EC"/>
    <w:rsid w:val="00801C08"/>
    <w:rsid w:val="008049BE"/>
    <w:rsid w:val="008120D5"/>
    <w:rsid w:val="0081255B"/>
    <w:rsid w:val="00820D42"/>
    <w:rsid w:val="00822279"/>
    <w:rsid w:val="00822295"/>
    <w:rsid w:val="00823C7D"/>
    <w:rsid w:val="008245CA"/>
    <w:rsid w:val="00825C42"/>
    <w:rsid w:val="00841E5B"/>
    <w:rsid w:val="00844B69"/>
    <w:rsid w:val="00851604"/>
    <w:rsid w:val="008567EC"/>
    <w:rsid w:val="0086116F"/>
    <w:rsid w:val="008617C7"/>
    <w:rsid w:val="00867D0E"/>
    <w:rsid w:val="00873472"/>
    <w:rsid w:val="00873E03"/>
    <w:rsid w:val="00875364"/>
    <w:rsid w:val="008772E2"/>
    <w:rsid w:val="008775F7"/>
    <w:rsid w:val="0088487F"/>
    <w:rsid w:val="00890238"/>
    <w:rsid w:val="008A2652"/>
    <w:rsid w:val="008A70AC"/>
    <w:rsid w:val="008A7303"/>
    <w:rsid w:val="008B1F91"/>
    <w:rsid w:val="008C1C00"/>
    <w:rsid w:val="008D43F0"/>
    <w:rsid w:val="008D56DD"/>
    <w:rsid w:val="008D7B31"/>
    <w:rsid w:val="00903B20"/>
    <w:rsid w:val="00904F02"/>
    <w:rsid w:val="00907092"/>
    <w:rsid w:val="009211DC"/>
    <w:rsid w:val="009243C4"/>
    <w:rsid w:val="00931623"/>
    <w:rsid w:val="009404D9"/>
    <w:rsid w:val="00954329"/>
    <w:rsid w:val="00956220"/>
    <w:rsid w:val="00956B29"/>
    <w:rsid w:val="009606A5"/>
    <w:rsid w:val="009821AF"/>
    <w:rsid w:val="00983425"/>
    <w:rsid w:val="009A0DDC"/>
    <w:rsid w:val="009A6652"/>
    <w:rsid w:val="009A6E21"/>
    <w:rsid w:val="009B03B1"/>
    <w:rsid w:val="009B4A81"/>
    <w:rsid w:val="009C3649"/>
    <w:rsid w:val="009C4E9E"/>
    <w:rsid w:val="009D1D20"/>
    <w:rsid w:val="009D20C6"/>
    <w:rsid w:val="009D23A8"/>
    <w:rsid w:val="009D3CD0"/>
    <w:rsid w:val="009D603E"/>
    <w:rsid w:val="009E7498"/>
    <w:rsid w:val="009F227E"/>
    <w:rsid w:val="009F2B1A"/>
    <w:rsid w:val="009F79E7"/>
    <w:rsid w:val="00A035B4"/>
    <w:rsid w:val="00A11EB4"/>
    <w:rsid w:val="00A12C64"/>
    <w:rsid w:val="00A13598"/>
    <w:rsid w:val="00A15CFD"/>
    <w:rsid w:val="00A177B3"/>
    <w:rsid w:val="00A216CA"/>
    <w:rsid w:val="00A234F5"/>
    <w:rsid w:val="00A270C0"/>
    <w:rsid w:val="00A31C3F"/>
    <w:rsid w:val="00A32986"/>
    <w:rsid w:val="00A37192"/>
    <w:rsid w:val="00A410A0"/>
    <w:rsid w:val="00A4202F"/>
    <w:rsid w:val="00A42964"/>
    <w:rsid w:val="00A52F09"/>
    <w:rsid w:val="00A60A6C"/>
    <w:rsid w:val="00A67F50"/>
    <w:rsid w:val="00A70470"/>
    <w:rsid w:val="00A81C65"/>
    <w:rsid w:val="00A82FA4"/>
    <w:rsid w:val="00A830BF"/>
    <w:rsid w:val="00A91086"/>
    <w:rsid w:val="00A97640"/>
    <w:rsid w:val="00AA2174"/>
    <w:rsid w:val="00AA2BB4"/>
    <w:rsid w:val="00AA3CBE"/>
    <w:rsid w:val="00AA464A"/>
    <w:rsid w:val="00AB0F74"/>
    <w:rsid w:val="00AB4282"/>
    <w:rsid w:val="00AB66C0"/>
    <w:rsid w:val="00AC3118"/>
    <w:rsid w:val="00AC356B"/>
    <w:rsid w:val="00AC6E06"/>
    <w:rsid w:val="00AE5842"/>
    <w:rsid w:val="00AF296C"/>
    <w:rsid w:val="00AF43BC"/>
    <w:rsid w:val="00AF728B"/>
    <w:rsid w:val="00B14446"/>
    <w:rsid w:val="00B20EC5"/>
    <w:rsid w:val="00B22FFE"/>
    <w:rsid w:val="00B2555B"/>
    <w:rsid w:val="00B37ACD"/>
    <w:rsid w:val="00B43671"/>
    <w:rsid w:val="00B520E0"/>
    <w:rsid w:val="00B52F8B"/>
    <w:rsid w:val="00B63308"/>
    <w:rsid w:val="00B65239"/>
    <w:rsid w:val="00B72451"/>
    <w:rsid w:val="00B77C0D"/>
    <w:rsid w:val="00B85741"/>
    <w:rsid w:val="00B85AE0"/>
    <w:rsid w:val="00B87043"/>
    <w:rsid w:val="00B92CED"/>
    <w:rsid w:val="00B94241"/>
    <w:rsid w:val="00BA0880"/>
    <w:rsid w:val="00BA5E87"/>
    <w:rsid w:val="00BA71AA"/>
    <w:rsid w:val="00BB27F7"/>
    <w:rsid w:val="00BB525C"/>
    <w:rsid w:val="00BC1A46"/>
    <w:rsid w:val="00BC28BC"/>
    <w:rsid w:val="00BD3F29"/>
    <w:rsid w:val="00BD5536"/>
    <w:rsid w:val="00BD58AA"/>
    <w:rsid w:val="00BD6234"/>
    <w:rsid w:val="00BE15B7"/>
    <w:rsid w:val="00BE746C"/>
    <w:rsid w:val="00BE74FC"/>
    <w:rsid w:val="00BF086C"/>
    <w:rsid w:val="00BF22D2"/>
    <w:rsid w:val="00BF62E4"/>
    <w:rsid w:val="00C00B22"/>
    <w:rsid w:val="00C024DE"/>
    <w:rsid w:val="00C04A4F"/>
    <w:rsid w:val="00C07185"/>
    <w:rsid w:val="00C108F4"/>
    <w:rsid w:val="00C1141E"/>
    <w:rsid w:val="00C12319"/>
    <w:rsid w:val="00C14268"/>
    <w:rsid w:val="00C14CF8"/>
    <w:rsid w:val="00C21D66"/>
    <w:rsid w:val="00C22873"/>
    <w:rsid w:val="00C25C9E"/>
    <w:rsid w:val="00C35ABB"/>
    <w:rsid w:val="00C37458"/>
    <w:rsid w:val="00C45851"/>
    <w:rsid w:val="00C45888"/>
    <w:rsid w:val="00C56F8A"/>
    <w:rsid w:val="00C602C8"/>
    <w:rsid w:val="00C61988"/>
    <w:rsid w:val="00C664C1"/>
    <w:rsid w:val="00C74641"/>
    <w:rsid w:val="00C80F4E"/>
    <w:rsid w:val="00C839F7"/>
    <w:rsid w:val="00C960D2"/>
    <w:rsid w:val="00C97778"/>
    <w:rsid w:val="00CA19A8"/>
    <w:rsid w:val="00CA1E2C"/>
    <w:rsid w:val="00CA3241"/>
    <w:rsid w:val="00CA4039"/>
    <w:rsid w:val="00CB008C"/>
    <w:rsid w:val="00CB4BCF"/>
    <w:rsid w:val="00CB5B53"/>
    <w:rsid w:val="00CC1956"/>
    <w:rsid w:val="00CC2F8C"/>
    <w:rsid w:val="00CD43A3"/>
    <w:rsid w:val="00CD76EE"/>
    <w:rsid w:val="00CE427F"/>
    <w:rsid w:val="00CE4FF8"/>
    <w:rsid w:val="00D14A14"/>
    <w:rsid w:val="00D216A6"/>
    <w:rsid w:val="00D27469"/>
    <w:rsid w:val="00D31CF4"/>
    <w:rsid w:val="00D34116"/>
    <w:rsid w:val="00D37045"/>
    <w:rsid w:val="00D423A9"/>
    <w:rsid w:val="00D43B7F"/>
    <w:rsid w:val="00D61240"/>
    <w:rsid w:val="00D64091"/>
    <w:rsid w:val="00D640BA"/>
    <w:rsid w:val="00D71407"/>
    <w:rsid w:val="00D750F2"/>
    <w:rsid w:val="00D814AC"/>
    <w:rsid w:val="00D942C8"/>
    <w:rsid w:val="00DA58D6"/>
    <w:rsid w:val="00DA6AE6"/>
    <w:rsid w:val="00DA764C"/>
    <w:rsid w:val="00DB08ED"/>
    <w:rsid w:val="00DB431D"/>
    <w:rsid w:val="00DB57E1"/>
    <w:rsid w:val="00DB7C3A"/>
    <w:rsid w:val="00DC6603"/>
    <w:rsid w:val="00DD70A6"/>
    <w:rsid w:val="00DF4843"/>
    <w:rsid w:val="00E0175D"/>
    <w:rsid w:val="00E019A3"/>
    <w:rsid w:val="00E12ED6"/>
    <w:rsid w:val="00E21CF3"/>
    <w:rsid w:val="00E27874"/>
    <w:rsid w:val="00E34263"/>
    <w:rsid w:val="00E41FC6"/>
    <w:rsid w:val="00E468A6"/>
    <w:rsid w:val="00E46B04"/>
    <w:rsid w:val="00E50220"/>
    <w:rsid w:val="00E529DF"/>
    <w:rsid w:val="00E71803"/>
    <w:rsid w:val="00E80099"/>
    <w:rsid w:val="00E801FA"/>
    <w:rsid w:val="00E82E5C"/>
    <w:rsid w:val="00E83A28"/>
    <w:rsid w:val="00E90308"/>
    <w:rsid w:val="00EA39E5"/>
    <w:rsid w:val="00EA3B2C"/>
    <w:rsid w:val="00EB691A"/>
    <w:rsid w:val="00EB7A94"/>
    <w:rsid w:val="00EC10C0"/>
    <w:rsid w:val="00EC668D"/>
    <w:rsid w:val="00EE0F67"/>
    <w:rsid w:val="00EE3C09"/>
    <w:rsid w:val="00EE65F6"/>
    <w:rsid w:val="00EE79E9"/>
    <w:rsid w:val="00EF0741"/>
    <w:rsid w:val="00EF2798"/>
    <w:rsid w:val="00EF3D55"/>
    <w:rsid w:val="00F3422F"/>
    <w:rsid w:val="00F36FBF"/>
    <w:rsid w:val="00F40D78"/>
    <w:rsid w:val="00F45750"/>
    <w:rsid w:val="00F45A81"/>
    <w:rsid w:val="00F47E4A"/>
    <w:rsid w:val="00F51AF1"/>
    <w:rsid w:val="00F62951"/>
    <w:rsid w:val="00F661BD"/>
    <w:rsid w:val="00F70849"/>
    <w:rsid w:val="00F71AD0"/>
    <w:rsid w:val="00F7604A"/>
    <w:rsid w:val="00F807CC"/>
    <w:rsid w:val="00F8658A"/>
    <w:rsid w:val="00F92653"/>
    <w:rsid w:val="00F9796F"/>
    <w:rsid w:val="00FA1B9C"/>
    <w:rsid w:val="00FA308B"/>
    <w:rsid w:val="00FB6366"/>
    <w:rsid w:val="00FB65D8"/>
    <w:rsid w:val="00FB7D3D"/>
    <w:rsid w:val="00FC4D66"/>
    <w:rsid w:val="00FD50F4"/>
    <w:rsid w:val="00FF1F17"/>
    <w:rsid w:val="00FF2498"/>
    <w:rsid w:val="00FF4060"/>
    <w:rsid w:val="00FF4199"/>
    <w:rsid w:val="00FF4581"/>
    <w:rsid w:val="00FF7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AEE0"/>
  <w15:docId w15:val="{67DACEA8-7AC2-4542-A295-949A53AC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B65D8"/>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B65D8"/>
    <w:pPr>
      <w:tabs>
        <w:tab w:val="center" w:pos="4513"/>
        <w:tab w:val="right" w:pos="902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B65D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B65D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B65D8"/>
  </w:style>
  <w:style w:type="paragraph" w:styleId="Balonteksts">
    <w:name w:val="Balloon Text"/>
    <w:basedOn w:val="Parasts"/>
    <w:link w:val="BalontekstsRakstz"/>
    <w:uiPriority w:val="99"/>
    <w:semiHidden/>
    <w:unhideWhenUsed/>
    <w:rsid w:val="00F979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96F"/>
    <w:rPr>
      <w:rFonts w:ascii="Segoe UI" w:hAnsi="Segoe UI" w:cs="Segoe UI"/>
      <w:sz w:val="18"/>
      <w:szCs w:val="18"/>
    </w:rPr>
  </w:style>
  <w:style w:type="character" w:styleId="Komentraatsauce">
    <w:name w:val="annotation reference"/>
    <w:basedOn w:val="Noklusjumarindkopasfonts"/>
    <w:uiPriority w:val="99"/>
    <w:semiHidden/>
    <w:unhideWhenUsed/>
    <w:rsid w:val="006D0A66"/>
    <w:rPr>
      <w:sz w:val="16"/>
      <w:szCs w:val="16"/>
    </w:rPr>
  </w:style>
  <w:style w:type="paragraph" w:styleId="Komentrateksts">
    <w:name w:val="annotation text"/>
    <w:basedOn w:val="Parasts"/>
    <w:link w:val="KomentratekstsRakstz"/>
    <w:uiPriority w:val="99"/>
    <w:semiHidden/>
    <w:unhideWhenUsed/>
    <w:rsid w:val="006D0A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D0A66"/>
    <w:rPr>
      <w:sz w:val="20"/>
      <w:szCs w:val="20"/>
    </w:rPr>
  </w:style>
  <w:style w:type="paragraph" w:styleId="Komentratma">
    <w:name w:val="annotation subject"/>
    <w:basedOn w:val="Komentrateksts"/>
    <w:next w:val="Komentrateksts"/>
    <w:link w:val="KomentratmaRakstz"/>
    <w:uiPriority w:val="99"/>
    <w:semiHidden/>
    <w:unhideWhenUsed/>
    <w:rsid w:val="006D0A66"/>
    <w:rPr>
      <w:b/>
      <w:bCs/>
    </w:rPr>
  </w:style>
  <w:style w:type="character" w:customStyle="1" w:styleId="KomentratmaRakstz">
    <w:name w:val="Komentāra tēma Rakstz."/>
    <w:basedOn w:val="KomentratekstsRakstz"/>
    <w:link w:val="Komentratma"/>
    <w:uiPriority w:val="99"/>
    <w:semiHidden/>
    <w:rsid w:val="006D0A66"/>
    <w:rPr>
      <w:b/>
      <w:bCs/>
      <w:sz w:val="20"/>
      <w:szCs w:val="20"/>
    </w:rPr>
  </w:style>
  <w:style w:type="character" w:styleId="Hipersaite">
    <w:name w:val="Hyperlink"/>
    <w:basedOn w:val="Noklusjumarindkopasfonts"/>
    <w:uiPriority w:val="99"/>
    <w:unhideWhenUsed/>
    <w:rsid w:val="00471086"/>
    <w:rPr>
      <w:color w:val="0563C1" w:themeColor="hyperlink"/>
      <w:u w:val="single"/>
    </w:rPr>
  </w:style>
  <w:style w:type="table" w:customStyle="1" w:styleId="Reatabula1">
    <w:name w:val="Režģa tabula1"/>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723573"/>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B9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19A3"/>
    <w:pPr>
      <w:widowControl w:val="0"/>
      <w:spacing w:after="200" w:line="276" w:lineRule="auto"/>
      <w:ind w:left="720"/>
      <w:contextualSpacing/>
    </w:pPr>
    <w:rPr>
      <w:rFonts w:ascii="Calibri" w:eastAsia="Calibri" w:hAnsi="Calibri" w:cs="Times New Roman"/>
    </w:rPr>
  </w:style>
  <w:style w:type="paragraph" w:styleId="Vresteksts">
    <w:name w:val="footnote text"/>
    <w:basedOn w:val="Parasts"/>
    <w:link w:val="VrestekstsRakstz"/>
    <w:uiPriority w:val="99"/>
    <w:semiHidden/>
    <w:unhideWhenUsed/>
    <w:rsid w:val="00C071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07185"/>
    <w:rPr>
      <w:sz w:val="20"/>
      <w:szCs w:val="20"/>
    </w:rPr>
  </w:style>
  <w:style w:type="character" w:styleId="Vresatsauce">
    <w:name w:val="footnote reference"/>
    <w:uiPriority w:val="99"/>
    <w:semiHidden/>
    <w:unhideWhenUsed/>
    <w:rsid w:val="00C07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3541">
      <w:bodyDiv w:val="1"/>
      <w:marLeft w:val="0"/>
      <w:marRight w:val="0"/>
      <w:marTop w:val="0"/>
      <w:marBottom w:val="0"/>
      <w:divBdr>
        <w:top w:val="none" w:sz="0" w:space="0" w:color="auto"/>
        <w:left w:val="none" w:sz="0" w:space="0" w:color="auto"/>
        <w:bottom w:val="none" w:sz="0" w:space="0" w:color="auto"/>
        <w:right w:val="none" w:sz="0" w:space="0" w:color="auto"/>
      </w:divBdr>
    </w:div>
    <w:div w:id="411052329">
      <w:bodyDiv w:val="1"/>
      <w:marLeft w:val="0"/>
      <w:marRight w:val="0"/>
      <w:marTop w:val="0"/>
      <w:marBottom w:val="0"/>
      <w:divBdr>
        <w:top w:val="none" w:sz="0" w:space="0" w:color="auto"/>
        <w:left w:val="none" w:sz="0" w:space="0" w:color="auto"/>
        <w:bottom w:val="none" w:sz="0" w:space="0" w:color="auto"/>
        <w:right w:val="none" w:sz="0" w:space="0" w:color="auto"/>
      </w:divBdr>
    </w:div>
    <w:div w:id="412698641">
      <w:bodyDiv w:val="1"/>
      <w:marLeft w:val="0"/>
      <w:marRight w:val="0"/>
      <w:marTop w:val="0"/>
      <w:marBottom w:val="0"/>
      <w:divBdr>
        <w:top w:val="none" w:sz="0" w:space="0" w:color="auto"/>
        <w:left w:val="none" w:sz="0" w:space="0" w:color="auto"/>
        <w:bottom w:val="none" w:sz="0" w:space="0" w:color="auto"/>
        <w:right w:val="none" w:sz="0" w:space="0" w:color="auto"/>
      </w:divBdr>
    </w:div>
    <w:div w:id="1073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afety/animal-by-products/approved-establishments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ja.tora@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A17C-DA1A-4E96-BD1E-BFE3C673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12568</Words>
  <Characters>7165</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biodrošības pasākumu kopumu medībās</vt:lpstr>
      <vt:lpstr>Noteikumi par biodrošības pasākumu kopumu medībās</vt:lpstr>
    </vt:vector>
  </TitlesOfParts>
  <Manager>Veterinārais un pārtikas departaments</Manager>
  <Company>Zemkopibas Ministrija</Company>
  <LinksUpToDate>false</LinksUpToDate>
  <CharactersWithSpaces>19694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biodrošības pasākumu kopumu medībās</dc:title>
  <dc:subject>anotācija</dc:subject>
  <dc:creator>Aija Tora</dc:creator>
  <dc:description>Tora 67027620 _x000d_
Aija.tora@zm.gov.lv</dc:description>
  <cp:lastModifiedBy>Kristiāna Sebre</cp:lastModifiedBy>
  <cp:revision>3</cp:revision>
  <cp:lastPrinted>2017-03-31T05:54:00Z</cp:lastPrinted>
  <dcterms:created xsi:type="dcterms:W3CDTF">2019-06-17T07:07:00Z</dcterms:created>
  <dcterms:modified xsi:type="dcterms:W3CDTF">2019-07-23T06:16:00Z</dcterms:modified>
</cp:coreProperties>
</file>