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E0431" w14:textId="0132AEF3" w:rsidR="00894C55" w:rsidRPr="00101BFD" w:rsidRDefault="00D03430" w:rsidP="0057175F">
      <w:pPr>
        <w:jc w:val="center"/>
        <w:rPr>
          <w:b/>
          <w:bCs/>
          <w:sz w:val="28"/>
          <w:szCs w:val="28"/>
        </w:rPr>
      </w:pPr>
      <w:r w:rsidRPr="00101BFD">
        <w:rPr>
          <w:b/>
          <w:bCs/>
          <w:sz w:val="28"/>
          <w:szCs w:val="28"/>
        </w:rPr>
        <w:t xml:space="preserve">Ministru kabineta noteikumu </w:t>
      </w:r>
      <w:r w:rsidR="00047126">
        <w:rPr>
          <w:b/>
          <w:bCs/>
          <w:sz w:val="28"/>
          <w:szCs w:val="28"/>
        </w:rPr>
        <w:t xml:space="preserve">projekta </w:t>
      </w:r>
      <w:r w:rsidR="00FB5748" w:rsidRPr="00101BFD">
        <w:rPr>
          <w:b/>
          <w:bCs/>
          <w:sz w:val="28"/>
          <w:szCs w:val="28"/>
        </w:rPr>
        <w:t>“Grozījum</w:t>
      </w:r>
      <w:r w:rsidR="007D153F">
        <w:rPr>
          <w:b/>
          <w:bCs/>
          <w:sz w:val="28"/>
          <w:szCs w:val="28"/>
        </w:rPr>
        <w:t>s</w:t>
      </w:r>
      <w:r w:rsidR="00FB5748" w:rsidRPr="00101BFD">
        <w:rPr>
          <w:b/>
          <w:bCs/>
          <w:sz w:val="28"/>
          <w:szCs w:val="28"/>
        </w:rPr>
        <w:t xml:space="preserve"> Ministru kabineta 2018. gada 21. novembra noteikumos Nr. 707 “Ārlietu ministrijas konsulārās atlīdzības cenrādis un kārtība, kādā tiek iekasēta konsulārā atlīdzība un valsts nodevas””</w:t>
      </w:r>
      <w:r w:rsidR="0057175F" w:rsidRPr="00101BFD">
        <w:rPr>
          <w:b/>
          <w:bCs/>
          <w:sz w:val="28"/>
          <w:szCs w:val="28"/>
        </w:rPr>
        <w:t xml:space="preserve"> </w:t>
      </w:r>
      <w:r w:rsidR="00894C55" w:rsidRPr="00101BFD">
        <w:rPr>
          <w:b/>
          <w:bCs/>
          <w:sz w:val="28"/>
          <w:szCs w:val="28"/>
        </w:rPr>
        <w:t>sākotnējās ietekmes novērtējuma ziņojums (anotācija)</w:t>
      </w:r>
    </w:p>
    <w:p w14:paraId="74F3A56A" w14:textId="77777777" w:rsidR="00E5323B" w:rsidRPr="00101BFD" w:rsidRDefault="00E5323B" w:rsidP="00894C55">
      <w:pPr>
        <w:shd w:val="clear" w:color="auto" w:fill="FFFFFF"/>
        <w:jc w:val="center"/>
        <w:rPr>
          <w:b/>
          <w:bCs/>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469AF" w:rsidRPr="00101BFD" w14:paraId="08F4710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1DB6A3" w14:textId="77777777" w:rsidR="0079587B" w:rsidRPr="00101BFD" w:rsidRDefault="00E5323B" w:rsidP="00E5323B">
            <w:pPr>
              <w:rPr>
                <w:b/>
                <w:bCs/>
                <w:iCs/>
              </w:rPr>
            </w:pPr>
            <w:r w:rsidRPr="00101BFD">
              <w:rPr>
                <w:b/>
                <w:bCs/>
                <w:iCs/>
              </w:rPr>
              <w:t>Tiesību akta projekta anotācijas kopsavilkums</w:t>
            </w:r>
          </w:p>
        </w:tc>
      </w:tr>
      <w:tr w:rsidR="005469AF" w:rsidRPr="00101BFD" w14:paraId="7422455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4A18711" w14:textId="77777777" w:rsidR="00E5323B" w:rsidRPr="00101BFD" w:rsidRDefault="00E5323B" w:rsidP="00E5323B">
            <w:pPr>
              <w:rPr>
                <w:iCs/>
              </w:rPr>
            </w:pPr>
            <w:r w:rsidRPr="00101BFD">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CFD5FD6" w14:textId="56E39515" w:rsidR="00A36EEE" w:rsidRPr="00101BFD" w:rsidRDefault="00643725" w:rsidP="00A36EEE">
            <w:pPr>
              <w:jc w:val="both"/>
              <w:rPr>
                <w:iCs/>
              </w:rPr>
            </w:pPr>
            <w:r w:rsidRPr="00101BFD">
              <w:rPr>
                <w:iCs/>
              </w:rPr>
              <w:t>Minist</w:t>
            </w:r>
            <w:r w:rsidR="00A80715" w:rsidRPr="00101BFD">
              <w:rPr>
                <w:iCs/>
              </w:rPr>
              <w:t>ru kabineta noteikumu projekta</w:t>
            </w:r>
            <w:r w:rsidR="00585D4B" w:rsidRPr="00101BFD">
              <w:rPr>
                <w:iCs/>
              </w:rPr>
              <w:t xml:space="preserve"> </w:t>
            </w:r>
            <w:r w:rsidR="007D153F">
              <w:rPr>
                <w:iCs/>
              </w:rPr>
              <w:t>“Grozījums</w:t>
            </w:r>
            <w:r w:rsidR="00FB5748" w:rsidRPr="00101BFD">
              <w:rPr>
                <w:iCs/>
              </w:rPr>
              <w:t xml:space="preserve"> Ministru kabineta 2018. gada 21. novembra noteikumos Nr. 707 “Ārlietu ministrijas konsulārās atlīdzības cenrādis un kārtība, kādā tiek iekasēta konsulārā atlīdzība un valsts nodevas”</w:t>
            </w:r>
            <w:r w:rsidR="003B5A94" w:rsidRPr="00101BFD">
              <w:rPr>
                <w:iCs/>
              </w:rPr>
              <w:t>”</w:t>
            </w:r>
            <w:r w:rsidR="00FB5748" w:rsidRPr="00101BFD">
              <w:rPr>
                <w:iCs/>
              </w:rPr>
              <w:t xml:space="preserve"> </w:t>
            </w:r>
            <w:r w:rsidRPr="00101BFD">
              <w:rPr>
                <w:iCs/>
              </w:rPr>
              <w:t>(turpmāk</w:t>
            </w:r>
            <w:r w:rsidR="00CC07AD" w:rsidRPr="00101BFD">
              <w:rPr>
                <w:iCs/>
              </w:rPr>
              <w:t xml:space="preserve"> – Noteikumu projekts</w:t>
            </w:r>
            <w:r w:rsidR="00A80715" w:rsidRPr="00101BFD">
              <w:rPr>
                <w:iCs/>
              </w:rPr>
              <w:t xml:space="preserve">) </w:t>
            </w:r>
            <w:r w:rsidR="00A36EEE" w:rsidRPr="00101BFD">
              <w:rPr>
                <w:iCs/>
              </w:rPr>
              <w:t xml:space="preserve">mērķis ir atvieglot </w:t>
            </w:r>
            <w:r w:rsidR="00C9049C">
              <w:rPr>
                <w:iCs/>
              </w:rPr>
              <w:t xml:space="preserve">Latvijas valstspiederīgajiem ārvalstīs </w:t>
            </w:r>
            <w:r w:rsidR="00A36EEE" w:rsidRPr="00101BFD">
              <w:rPr>
                <w:iCs/>
              </w:rPr>
              <w:t xml:space="preserve">būtisko konsulāro </w:t>
            </w:r>
            <w:r w:rsidR="000E41DA" w:rsidRPr="00101BFD">
              <w:rPr>
                <w:iCs/>
              </w:rPr>
              <w:t>funkciju</w:t>
            </w:r>
            <w:r w:rsidR="00A36EEE" w:rsidRPr="00101BFD">
              <w:rPr>
                <w:iCs/>
              </w:rPr>
              <w:t xml:space="preserve"> pieejamību un veicināt e-pakalpojumu izmantošanu, kā arī vienkāršot konsul</w:t>
            </w:r>
            <w:r w:rsidR="009773E0" w:rsidRPr="00101BFD">
              <w:rPr>
                <w:iCs/>
              </w:rPr>
              <w:t>ārās</w:t>
            </w:r>
            <w:r w:rsidR="00A36EEE" w:rsidRPr="00101BFD">
              <w:rPr>
                <w:iCs/>
              </w:rPr>
              <w:t xml:space="preserve"> </w:t>
            </w:r>
            <w:r w:rsidR="009773E0" w:rsidRPr="00101BFD">
              <w:rPr>
                <w:iCs/>
              </w:rPr>
              <w:t>atlīdzības</w:t>
            </w:r>
            <w:r w:rsidR="00A36EEE" w:rsidRPr="00101BFD">
              <w:rPr>
                <w:iCs/>
              </w:rPr>
              <w:t xml:space="preserve"> </w:t>
            </w:r>
            <w:r w:rsidR="000E41DA" w:rsidRPr="00101BFD">
              <w:rPr>
                <w:iCs/>
              </w:rPr>
              <w:t xml:space="preserve">maksas </w:t>
            </w:r>
            <w:r w:rsidR="00204773" w:rsidRPr="00101BFD">
              <w:rPr>
                <w:iCs/>
              </w:rPr>
              <w:t>aprēķināšanu</w:t>
            </w:r>
            <w:r w:rsidR="00C9049C">
              <w:rPr>
                <w:iCs/>
              </w:rPr>
              <w:t xml:space="preserve"> un samazināt administratīvo slogu</w:t>
            </w:r>
            <w:r w:rsidR="00195CBB" w:rsidRPr="00101BFD">
              <w:rPr>
                <w:iCs/>
              </w:rPr>
              <w:t>.</w:t>
            </w:r>
          </w:p>
          <w:p w14:paraId="63C7695F" w14:textId="3528532F" w:rsidR="000D4ACA" w:rsidRPr="00101BFD" w:rsidRDefault="00311D6C" w:rsidP="00E37305">
            <w:pPr>
              <w:jc w:val="both"/>
              <w:rPr>
                <w:iCs/>
              </w:rPr>
            </w:pPr>
            <w:r w:rsidRPr="00101BFD">
              <w:rPr>
                <w:iCs/>
              </w:rPr>
              <w:t>Noteikumu projekts noteic</w:t>
            </w:r>
            <w:r w:rsidRPr="00101BFD">
              <w:t xml:space="preserve"> </w:t>
            </w:r>
            <w:r w:rsidR="00096E21" w:rsidRPr="00101BFD">
              <w:rPr>
                <w:iCs/>
              </w:rPr>
              <w:t>vienādu</w:t>
            </w:r>
            <w:r w:rsidRPr="00101BFD">
              <w:rPr>
                <w:iCs/>
              </w:rPr>
              <w:t xml:space="preserve"> konsulārā</w:t>
            </w:r>
            <w:r w:rsidR="00FE58C4" w:rsidRPr="00101BFD">
              <w:rPr>
                <w:iCs/>
              </w:rPr>
              <w:t>s</w:t>
            </w:r>
            <w:r w:rsidRPr="00101BFD">
              <w:rPr>
                <w:iCs/>
              </w:rPr>
              <w:t xml:space="preserve"> </w:t>
            </w:r>
            <w:r w:rsidR="00FE58C4" w:rsidRPr="00101BFD">
              <w:rPr>
                <w:iCs/>
              </w:rPr>
              <w:t>atlīdzības</w:t>
            </w:r>
            <w:r w:rsidRPr="00101BFD">
              <w:rPr>
                <w:iCs/>
              </w:rPr>
              <w:t xml:space="preserve"> likmi</w:t>
            </w:r>
            <w:r w:rsidR="00880833" w:rsidRPr="00101BFD">
              <w:rPr>
                <w:iCs/>
              </w:rPr>
              <w:t xml:space="preserve"> vairumam konsulāro funkciju</w:t>
            </w:r>
            <w:r w:rsidR="000E41DA" w:rsidRPr="00101BFD">
              <w:rPr>
                <w:iCs/>
              </w:rPr>
              <w:t>, kas ir konsulārās atlīdzības objekts,</w:t>
            </w:r>
            <w:r w:rsidR="00F75501" w:rsidRPr="00101BFD">
              <w:rPr>
                <w:iCs/>
              </w:rPr>
              <w:t xml:space="preserve"> </w:t>
            </w:r>
            <w:r w:rsidRPr="00101BFD">
              <w:rPr>
                <w:iCs/>
              </w:rPr>
              <w:t>un konsolidē konsulāro maksājumu objektu sarakstu.</w:t>
            </w:r>
          </w:p>
        </w:tc>
      </w:tr>
    </w:tbl>
    <w:p w14:paraId="61CA0C2A" w14:textId="77777777" w:rsidR="00E5323B" w:rsidRPr="00101BFD" w:rsidRDefault="00E5323B" w:rsidP="00E5323B">
      <w:pPr>
        <w:rPr>
          <w:iCs/>
        </w:rPr>
      </w:pPr>
      <w:r w:rsidRPr="00101BFD">
        <w:rPr>
          <w:iCs/>
        </w:rPr>
        <w:t xml:space="preserve">  </w:t>
      </w:r>
    </w:p>
    <w:tbl>
      <w:tblPr>
        <w:tblW w:w="500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3"/>
        <w:gridCol w:w="3069"/>
        <w:gridCol w:w="5317"/>
      </w:tblGrid>
      <w:tr w:rsidR="005469AF" w:rsidRPr="00101BFD" w14:paraId="330D3F33" w14:textId="77777777" w:rsidTr="00D10CA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419C13" w14:textId="77777777" w:rsidR="0079587B" w:rsidRPr="00101BFD" w:rsidRDefault="00E5323B" w:rsidP="00E5323B">
            <w:pPr>
              <w:rPr>
                <w:b/>
                <w:bCs/>
                <w:iCs/>
              </w:rPr>
            </w:pPr>
            <w:r w:rsidRPr="00101BFD">
              <w:rPr>
                <w:b/>
                <w:bCs/>
                <w:iCs/>
              </w:rPr>
              <w:t>I. Tiesību akta projekta izstrādes nepieciešamība</w:t>
            </w:r>
          </w:p>
        </w:tc>
      </w:tr>
      <w:tr w:rsidR="005469AF" w:rsidRPr="00101BFD" w14:paraId="4F9AEB78" w14:textId="77777777" w:rsidTr="00D10CA9">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1E3E4725" w14:textId="77777777" w:rsidR="0079587B" w:rsidRPr="00101BFD" w:rsidRDefault="00E5323B" w:rsidP="00E5323B">
            <w:pPr>
              <w:rPr>
                <w:iCs/>
              </w:rPr>
            </w:pPr>
            <w:r w:rsidRPr="00101BFD">
              <w:rPr>
                <w:iCs/>
              </w:rPr>
              <w:t>1.</w:t>
            </w:r>
          </w:p>
        </w:tc>
        <w:tc>
          <w:tcPr>
            <w:tcW w:w="1678" w:type="pct"/>
            <w:tcBorders>
              <w:top w:val="outset" w:sz="6" w:space="0" w:color="auto"/>
              <w:left w:val="outset" w:sz="6" w:space="0" w:color="auto"/>
              <w:bottom w:val="outset" w:sz="6" w:space="0" w:color="auto"/>
              <w:right w:val="outset" w:sz="6" w:space="0" w:color="auto"/>
            </w:tcBorders>
            <w:hideMark/>
          </w:tcPr>
          <w:p w14:paraId="563C1215" w14:textId="77777777" w:rsidR="00E5323B" w:rsidRPr="00101BFD" w:rsidRDefault="00E5323B" w:rsidP="00E5323B">
            <w:pPr>
              <w:rPr>
                <w:iCs/>
              </w:rPr>
            </w:pPr>
            <w:r w:rsidRPr="00101BFD">
              <w:rPr>
                <w:iCs/>
              </w:rPr>
              <w:t>Pamatojums</w:t>
            </w:r>
          </w:p>
        </w:tc>
        <w:tc>
          <w:tcPr>
            <w:tcW w:w="2910" w:type="pct"/>
            <w:tcBorders>
              <w:top w:val="outset" w:sz="6" w:space="0" w:color="auto"/>
              <w:left w:val="outset" w:sz="6" w:space="0" w:color="auto"/>
              <w:bottom w:val="outset" w:sz="6" w:space="0" w:color="auto"/>
              <w:right w:val="outset" w:sz="6" w:space="0" w:color="auto"/>
            </w:tcBorders>
            <w:hideMark/>
          </w:tcPr>
          <w:p w14:paraId="598E9FF2" w14:textId="77777777" w:rsidR="00E5323B" w:rsidRPr="00101BFD" w:rsidRDefault="00B40D0F" w:rsidP="0061557B">
            <w:pPr>
              <w:jc w:val="both"/>
              <w:rPr>
                <w:iCs/>
              </w:rPr>
            </w:pPr>
            <w:r w:rsidRPr="00101BFD">
              <w:rPr>
                <w:iCs/>
              </w:rPr>
              <w:t>Konsulārās palīdzības un konsulāro pakalpojumu likuma 4. panta trešā daļa.</w:t>
            </w:r>
          </w:p>
        </w:tc>
      </w:tr>
      <w:tr w:rsidR="005469AF" w:rsidRPr="00101BFD" w14:paraId="6441C43E" w14:textId="77777777" w:rsidTr="00D10CA9">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05482B4C" w14:textId="77777777" w:rsidR="0079587B" w:rsidRPr="00101BFD" w:rsidRDefault="00E5323B" w:rsidP="00E5323B">
            <w:pPr>
              <w:rPr>
                <w:iCs/>
              </w:rPr>
            </w:pPr>
            <w:r w:rsidRPr="00101BFD">
              <w:rPr>
                <w:iCs/>
              </w:rPr>
              <w:t>2.</w:t>
            </w:r>
          </w:p>
        </w:tc>
        <w:tc>
          <w:tcPr>
            <w:tcW w:w="1678" w:type="pct"/>
            <w:tcBorders>
              <w:top w:val="outset" w:sz="6" w:space="0" w:color="auto"/>
              <w:left w:val="outset" w:sz="6" w:space="0" w:color="auto"/>
              <w:bottom w:val="outset" w:sz="6" w:space="0" w:color="auto"/>
              <w:right w:val="outset" w:sz="6" w:space="0" w:color="auto"/>
            </w:tcBorders>
            <w:hideMark/>
          </w:tcPr>
          <w:p w14:paraId="3CB1A7C6" w14:textId="77777777" w:rsidR="00E5323B" w:rsidRPr="00101BFD" w:rsidRDefault="00E5323B" w:rsidP="00E5323B">
            <w:pPr>
              <w:rPr>
                <w:iCs/>
              </w:rPr>
            </w:pPr>
            <w:r w:rsidRPr="00101BFD">
              <w:rPr>
                <w:iCs/>
              </w:rPr>
              <w:t>Pašreizējā situācija un problēmas, kuru risināšanai tiesību akta projekts izstrādāts, tiesiskā regulējuma mērķis un būtība</w:t>
            </w:r>
          </w:p>
        </w:tc>
        <w:tc>
          <w:tcPr>
            <w:tcW w:w="2910" w:type="pct"/>
            <w:tcBorders>
              <w:top w:val="outset" w:sz="6" w:space="0" w:color="auto"/>
              <w:left w:val="outset" w:sz="6" w:space="0" w:color="auto"/>
              <w:bottom w:val="outset" w:sz="6" w:space="0" w:color="auto"/>
              <w:right w:val="outset" w:sz="6" w:space="0" w:color="auto"/>
            </w:tcBorders>
            <w:hideMark/>
          </w:tcPr>
          <w:p w14:paraId="7F9A428E" w14:textId="3606090A" w:rsidR="00312E7D" w:rsidRPr="00101BFD" w:rsidRDefault="00204773" w:rsidP="00204773">
            <w:pPr>
              <w:jc w:val="both"/>
              <w:rPr>
                <w:iCs/>
              </w:rPr>
            </w:pPr>
            <w:r w:rsidRPr="00101BFD">
              <w:rPr>
                <w:iCs/>
              </w:rPr>
              <w:t>Ministru kabineta 2018. gada 21. novembra noteikumiem Nr. 707 “Ārlietu ministrijas konsulārās atlīdzības cenrādis un kārtība, kādā tiek iekasēta konsulārā atlīdzība un valsts nodevas”</w:t>
            </w:r>
            <w:r w:rsidR="00734CE6" w:rsidRPr="00101BFD">
              <w:rPr>
                <w:iCs/>
              </w:rPr>
              <w:t xml:space="preserve"> (turpmāk – Noteikumi Nr. 707)</w:t>
            </w:r>
            <w:r w:rsidR="00381672">
              <w:rPr>
                <w:iCs/>
              </w:rPr>
              <w:t xml:space="preserve"> ir pievienots </w:t>
            </w:r>
            <w:r w:rsidRPr="00101BFD">
              <w:rPr>
                <w:iCs/>
              </w:rPr>
              <w:t>pielikums “Ārlietu ministrijas konsulāro maksas pakal</w:t>
            </w:r>
            <w:r w:rsidR="00381672">
              <w:rPr>
                <w:iCs/>
              </w:rPr>
              <w:t>pojumu cenrādis” (turpmāk – Pielikums). P</w:t>
            </w:r>
            <w:r w:rsidRPr="00101BFD">
              <w:rPr>
                <w:iCs/>
              </w:rPr>
              <w:t>ielikums noteic konsulārās funkcijas, kas ir konsulārās atlīdzības objekti</w:t>
            </w:r>
            <w:r w:rsidR="00C9049C">
              <w:rPr>
                <w:iCs/>
              </w:rPr>
              <w:t xml:space="preserve"> (konsulārie pakalpojumi)</w:t>
            </w:r>
            <w:r w:rsidRPr="00101BFD">
              <w:rPr>
                <w:iCs/>
              </w:rPr>
              <w:t>, un konsulārās atlīdzības likmes par šo konsulāro funkciju veikšanu.</w:t>
            </w:r>
          </w:p>
          <w:p w14:paraId="767C3908" w14:textId="681841EB" w:rsidR="00DD61F0" w:rsidRPr="00101BFD" w:rsidRDefault="00EB4654" w:rsidP="00204773">
            <w:pPr>
              <w:jc w:val="both"/>
              <w:rPr>
                <w:iCs/>
              </w:rPr>
            </w:pPr>
            <w:r w:rsidRPr="00101BFD">
              <w:rPr>
                <w:iCs/>
              </w:rPr>
              <w:t xml:space="preserve">Šobrīd </w:t>
            </w:r>
            <w:r w:rsidR="00C9049C">
              <w:rPr>
                <w:iCs/>
              </w:rPr>
              <w:t>ir noteikti</w:t>
            </w:r>
            <w:r w:rsidR="00E21201" w:rsidRPr="00101BFD">
              <w:rPr>
                <w:iCs/>
              </w:rPr>
              <w:t xml:space="preserve"> 25</w:t>
            </w:r>
            <w:r w:rsidRPr="00101BFD">
              <w:rPr>
                <w:iCs/>
              </w:rPr>
              <w:t xml:space="preserve"> </w:t>
            </w:r>
            <w:r w:rsidR="00B20A38" w:rsidRPr="00101BFD">
              <w:rPr>
                <w:iCs/>
              </w:rPr>
              <w:t xml:space="preserve">konsulāro </w:t>
            </w:r>
            <w:r w:rsidR="00C9049C">
              <w:rPr>
                <w:iCs/>
              </w:rPr>
              <w:t>pakalpojumu</w:t>
            </w:r>
            <w:r w:rsidR="00B20A38" w:rsidRPr="00101BFD">
              <w:rPr>
                <w:iCs/>
              </w:rPr>
              <w:t xml:space="preserve"> veid</w:t>
            </w:r>
            <w:r w:rsidR="00C9049C">
              <w:rPr>
                <w:iCs/>
              </w:rPr>
              <w:t>i</w:t>
            </w:r>
            <w:r w:rsidR="00B20A38" w:rsidRPr="00101BFD">
              <w:rPr>
                <w:iCs/>
              </w:rPr>
              <w:t xml:space="preserve">, katram veidam </w:t>
            </w:r>
            <w:r w:rsidR="0077055A" w:rsidRPr="00101BFD">
              <w:rPr>
                <w:iCs/>
              </w:rPr>
              <w:t xml:space="preserve">nosakot </w:t>
            </w:r>
            <w:r w:rsidR="00B20A38" w:rsidRPr="00101BFD">
              <w:rPr>
                <w:iCs/>
              </w:rPr>
              <w:t>savu konsulārās atlīdzības likmi</w:t>
            </w:r>
            <w:r w:rsidR="008F1E0E">
              <w:rPr>
                <w:iCs/>
              </w:rPr>
              <w:t xml:space="preserve">, kā arī </w:t>
            </w:r>
            <w:r w:rsidR="00C9049C">
              <w:rPr>
                <w:iCs/>
              </w:rPr>
              <w:t xml:space="preserve">atšķirīgus </w:t>
            </w:r>
            <w:r w:rsidR="008F1E0E">
              <w:rPr>
                <w:iCs/>
              </w:rPr>
              <w:t>izpildes termiņus</w:t>
            </w:r>
            <w:r w:rsidR="00B20A38" w:rsidRPr="00101BFD">
              <w:rPr>
                <w:iCs/>
              </w:rPr>
              <w:t>.</w:t>
            </w:r>
            <w:r w:rsidRPr="00101BFD">
              <w:rPr>
                <w:iCs/>
              </w:rPr>
              <w:t xml:space="preserve"> </w:t>
            </w:r>
            <w:r w:rsidR="00236070" w:rsidRPr="00101BFD">
              <w:rPr>
                <w:iCs/>
              </w:rPr>
              <w:t>Šāds daudzums diferencētu likmju rada personām apgrūtinājumu maks</w:t>
            </w:r>
            <w:r w:rsidR="00657CAA" w:rsidRPr="00101BFD">
              <w:rPr>
                <w:iCs/>
              </w:rPr>
              <w:t>ājumu</w:t>
            </w:r>
            <w:r w:rsidR="00236070" w:rsidRPr="00101BFD">
              <w:rPr>
                <w:iCs/>
              </w:rPr>
              <w:t xml:space="preserve"> aprēķināšanā un </w:t>
            </w:r>
            <w:r w:rsidR="00527579" w:rsidRPr="00101BFD">
              <w:rPr>
                <w:iCs/>
              </w:rPr>
              <w:t xml:space="preserve">savu </w:t>
            </w:r>
            <w:r w:rsidR="00236070" w:rsidRPr="00101BFD">
              <w:rPr>
                <w:iCs/>
              </w:rPr>
              <w:t>izdevumu plānošanā, ko a</w:t>
            </w:r>
            <w:r w:rsidR="00657CAA" w:rsidRPr="00101BFD">
              <w:rPr>
                <w:iCs/>
              </w:rPr>
              <w:t xml:space="preserve">pliecina </w:t>
            </w:r>
            <w:r w:rsidR="00236070" w:rsidRPr="00101BFD">
              <w:rPr>
                <w:iCs/>
              </w:rPr>
              <w:t xml:space="preserve">biežā kļūdīšanās personu veiktajos </w:t>
            </w:r>
            <w:r w:rsidR="00657CAA" w:rsidRPr="00101BFD">
              <w:rPr>
                <w:iCs/>
              </w:rPr>
              <w:t>norēķinos</w:t>
            </w:r>
            <w:r w:rsidR="00236070" w:rsidRPr="00101BFD">
              <w:rPr>
                <w:iCs/>
              </w:rPr>
              <w:t xml:space="preserve"> par konsulārajiem pakalpojumiem. Savukārt </w:t>
            </w:r>
            <w:r w:rsidR="00324E38">
              <w:rPr>
                <w:iCs/>
              </w:rPr>
              <w:t xml:space="preserve">Noteikumu projekts noteic </w:t>
            </w:r>
            <w:r w:rsidR="003F3E77">
              <w:rPr>
                <w:iCs/>
              </w:rPr>
              <w:t xml:space="preserve">vienu </w:t>
            </w:r>
            <w:r w:rsidR="00CB26BE">
              <w:rPr>
                <w:iCs/>
              </w:rPr>
              <w:t xml:space="preserve">vienotu </w:t>
            </w:r>
            <w:r w:rsidR="003F3E77">
              <w:rPr>
                <w:iCs/>
              </w:rPr>
              <w:t>likmi un</w:t>
            </w:r>
            <w:r w:rsidR="00C12D51">
              <w:rPr>
                <w:iCs/>
              </w:rPr>
              <w:t xml:space="preserve"> trīs</w:t>
            </w:r>
            <w:r w:rsidR="003F3E77">
              <w:rPr>
                <w:iCs/>
              </w:rPr>
              <w:t xml:space="preserve"> tās izņēmumus</w:t>
            </w:r>
            <w:r w:rsidRPr="00101BFD">
              <w:rPr>
                <w:iCs/>
              </w:rPr>
              <w:t xml:space="preserve">, </w:t>
            </w:r>
            <w:r w:rsidR="00A44C4A" w:rsidRPr="00101BFD">
              <w:rPr>
                <w:iCs/>
              </w:rPr>
              <w:t xml:space="preserve">paredzot vienādu </w:t>
            </w:r>
            <w:r w:rsidRPr="00101BFD">
              <w:rPr>
                <w:iCs/>
              </w:rPr>
              <w:t xml:space="preserve">konsulārās atlīdzības likmi vairumam konsulāro </w:t>
            </w:r>
            <w:r w:rsidR="00C9049C">
              <w:rPr>
                <w:iCs/>
              </w:rPr>
              <w:t xml:space="preserve">pakalpojumu - </w:t>
            </w:r>
            <w:r w:rsidR="00C12D51">
              <w:rPr>
                <w:iCs/>
              </w:rPr>
              <w:t xml:space="preserve"> 40</w:t>
            </w:r>
            <w:r w:rsidR="00546715" w:rsidRPr="00101BFD">
              <w:rPr>
                <w:iCs/>
              </w:rPr>
              <w:t xml:space="preserve"> </w:t>
            </w:r>
            <w:proofErr w:type="spellStart"/>
            <w:r w:rsidR="00546715" w:rsidRPr="00101BFD">
              <w:rPr>
                <w:i/>
                <w:iCs/>
              </w:rPr>
              <w:t>euro</w:t>
            </w:r>
            <w:proofErr w:type="spellEnd"/>
            <w:r w:rsidR="00DD61F0" w:rsidRPr="00101BFD">
              <w:rPr>
                <w:i/>
                <w:iCs/>
              </w:rPr>
              <w:t xml:space="preserve"> </w:t>
            </w:r>
            <w:r w:rsidR="00DD61F0" w:rsidRPr="00101BFD">
              <w:rPr>
                <w:iCs/>
              </w:rPr>
              <w:t xml:space="preserve">likmi, kā arī noteic divu pašreizējo likmju saglabāšanu nemainīgā apmērā </w:t>
            </w:r>
            <w:r w:rsidR="00DD61F0" w:rsidRPr="00101BFD">
              <w:rPr>
                <w:iCs/>
              </w:rPr>
              <w:lastRenderedPageBreak/>
              <w:t xml:space="preserve">– 80 </w:t>
            </w:r>
            <w:proofErr w:type="spellStart"/>
            <w:r w:rsidR="00DD61F0" w:rsidRPr="00101BFD">
              <w:rPr>
                <w:i/>
                <w:iCs/>
              </w:rPr>
              <w:t>euro</w:t>
            </w:r>
            <w:proofErr w:type="spellEnd"/>
            <w:r w:rsidR="00DD61F0" w:rsidRPr="00101BFD">
              <w:rPr>
                <w:iCs/>
              </w:rPr>
              <w:t xml:space="preserve"> un 110 </w:t>
            </w:r>
            <w:proofErr w:type="spellStart"/>
            <w:r w:rsidR="00DD61F0" w:rsidRPr="00101BFD">
              <w:rPr>
                <w:i/>
                <w:iCs/>
              </w:rPr>
              <w:t>euro</w:t>
            </w:r>
            <w:proofErr w:type="spellEnd"/>
            <w:r w:rsidR="00DD61F0" w:rsidRPr="00101BFD">
              <w:rPr>
                <w:iCs/>
              </w:rPr>
              <w:t xml:space="preserve"> par dokumentu pieņemšanu un pārsūtīšanu uzturēšanās at</w:t>
            </w:r>
            <w:r w:rsidR="00F01691" w:rsidRPr="00101BFD">
              <w:rPr>
                <w:iCs/>
              </w:rPr>
              <w:t>ļauju</w:t>
            </w:r>
            <w:r w:rsidR="00DD61F0" w:rsidRPr="00101BFD">
              <w:rPr>
                <w:iCs/>
              </w:rPr>
              <w:t xml:space="preserve"> noformēšanai.</w:t>
            </w:r>
            <w:r w:rsidR="00324E38">
              <w:rPr>
                <w:iCs/>
              </w:rPr>
              <w:t xml:space="preserve"> Noteikumu projekts arī noteic, ka likme</w:t>
            </w:r>
            <w:r w:rsidR="00D719B6">
              <w:rPr>
                <w:iCs/>
              </w:rPr>
              <w:t>s aprēķināšanas kārtība</w:t>
            </w:r>
            <w:r w:rsidR="00324E38">
              <w:rPr>
                <w:iCs/>
              </w:rPr>
              <w:t xml:space="preserve"> par dokumentu nosūtīšanu personai konsulārā apgabala robežās tiek saglabāta nemainīga – likmi </w:t>
            </w:r>
            <w:r w:rsidR="002E2825">
              <w:rPr>
                <w:iCs/>
              </w:rPr>
              <w:t>apstiprina</w:t>
            </w:r>
            <w:r w:rsidR="00324E38">
              <w:rPr>
                <w:iCs/>
              </w:rPr>
              <w:t xml:space="preserve"> Ārlietu ministrija</w:t>
            </w:r>
            <w:r w:rsidR="00324E38" w:rsidRPr="00324E38">
              <w:rPr>
                <w:iCs/>
              </w:rPr>
              <w:t xml:space="preserve"> atbilstoši uzturēšanās valsts pasta izmaksām</w:t>
            </w:r>
            <w:r w:rsidR="00D719B6">
              <w:rPr>
                <w:iCs/>
              </w:rPr>
              <w:t>.</w:t>
            </w:r>
          </w:p>
          <w:p w14:paraId="7079A3CB" w14:textId="72C88F00" w:rsidR="00120833" w:rsidRDefault="00C9049C" w:rsidP="00204773">
            <w:pPr>
              <w:jc w:val="both"/>
              <w:rPr>
                <w:iCs/>
              </w:rPr>
            </w:pPr>
            <w:r>
              <w:rPr>
                <w:iCs/>
              </w:rPr>
              <w:t xml:space="preserve">Tāpat Noteikumu projekts paredz samazināt konsulārās atlīdzības likmi par </w:t>
            </w:r>
            <w:r w:rsidR="00EB4654" w:rsidRPr="00101BFD">
              <w:rPr>
                <w:iCs/>
              </w:rPr>
              <w:t>Latvijas dias</w:t>
            </w:r>
            <w:r w:rsidR="00852932">
              <w:rPr>
                <w:iCs/>
              </w:rPr>
              <w:t>porai būtiskiem konsulāriem</w:t>
            </w:r>
            <w:r w:rsidR="00B579FB">
              <w:rPr>
                <w:iCs/>
              </w:rPr>
              <w:t xml:space="preserve"> pakalpojumiem, kas veicina diasporas pārstāvju politisko līdzdalību un saiknes stiprināšanu ar Latviju</w:t>
            </w:r>
            <w:r w:rsidR="00CB26BE">
              <w:rPr>
                <w:iCs/>
              </w:rPr>
              <w:t xml:space="preserve"> -</w:t>
            </w:r>
            <w:r w:rsidR="003F3E77">
              <w:rPr>
                <w:iCs/>
              </w:rPr>
              <w:t xml:space="preserve"> </w:t>
            </w:r>
            <w:r w:rsidR="00CB26BE">
              <w:rPr>
                <w:iCs/>
              </w:rPr>
              <w:t>p</w:t>
            </w:r>
            <w:r w:rsidR="003F3E77">
              <w:rPr>
                <w:iCs/>
              </w:rPr>
              <w:t>ersonu apliecinošu dokumentu pieteikumu pārsūtīšana Pilsonības un migrācijas lietu pārvaldei</w:t>
            </w:r>
            <w:r w:rsidR="00786BB8">
              <w:rPr>
                <w:iCs/>
              </w:rPr>
              <w:t>, kā arī citu dokumentu pārsūtīšanu Latvijas iestādēm, ja to paredz normatīvie akti</w:t>
            </w:r>
            <w:r w:rsidR="00B579FB">
              <w:rPr>
                <w:iCs/>
              </w:rPr>
              <w:t xml:space="preserve">. </w:t>
            </w:r>
            <w:r>
              <w:rPr>
                <w:iCs/>
              </w:rPr>
              <w:t xml:space="preserve">Šiem pakalpojumiem konsulārās atlīdzības likme samazinās no līdzšinējiem 45 </w:t>
            </w:r>
            <w:proofErr w:type="spellStart"/>
            <w:r w:rsidRPr="00C9049C">
              <w:rPr>
                <w:i/>
                <w:iCs/>
              </w:rPr>
              <w:t>euro</w:t>
            </w:r>
            <w:proofErr w:type="spellEnd"/>
            <w:r w:rsidR="00D66CCA">
              <w:rPr>
                <w:iCs/>
              </w:rPr>
              <w:t xml:space="preserve"> uz</w:t>
            </w:r>
            <w:r>
              <w:rPr>
                <w:iCs/>
              </w:rPr>
              <w:t xml:space="preserve"> 40 </w:t>
            </w:r>
            <w:proofErr w:type="spellStart"/>
            <w:r w:rsidRPr="00C9049C">
              <w:rPr>
                <w:i/>
                <w:iCs/>
              </w:rPr>
              <w:t>euro</w:t>
            </w:r>
            <w:proofErr w:type="spellEnd"/>
            <w:r>
              <w:rPr>
                <w:iCs/>
              </w:rPr>
              <w:t xml:space="preserve">. </w:t>
            </w:r>
            <w:r w:rsidR="00852932" w:rsidRPr="00C9049C">
              <w:rPr>
                <w:iCs/>
              </w:rPr>
              <w:t>Vienlaicīgi</w:t>
            </w:r>
            <w:r w:rsidR="00852932">
              <w:rPr>
                <w:iCs/>
              </w:rPr>
              <w:t xml:space="preserve"> šī likme palielina konsulāro atlīdzību daļai konsulāro pakalpojumu, kas pieejami arī kā e-pakalpojumi</w:t>
            </w:r>
            <w:r w:rsidR="00E14D92">
              <w:rPr>
                <w:iCs/>
              </w:rPr>
              <w:t xml:space="preserve"> valsts pārvaldes iestādēs</w:t>
            </w:r>
            <w:r w:rsidR="00852932">
              <w:rPr>
                <w:iCs/>
              </w:rPr>
              <w:t>, tādējādi veicinot e-pakalpojumu izmantošanu valsts pārvaldē un administr</w:t>
            </w:r>
            <w:r>
              <w:rPr>
                <w:iCs/>
              </w:rPr>
              <w:t>atīvo</w:t>
            </w:r>
            <w:r w:rsidR="00852932">
              <w:rPr>
                <w:iCs/>
              </w:rPr>
              <w:t xml:space="preserve"> resursu taupīšanu.</w:t>
            </w:r>
          </w:p>
          <w:p w14:paraId="6DA9DDB9" w14:textId="77777777" w:rsidR="00120833" w:rsidRPr="00120833" w:rsidRDefault="00120833" w:rsidP="00120833">
            <w:pPr>
              <w:jc w:val="both"/>
            </w:pPr>
            <w:r w:rsidRPr="00120833">
              <w:t xml:space="preserve">40 </w:t>
            </w:r>
            <w:proofErr w:type="spellStart"/>
            <w:r w:rsidRPr="00120833">
              <w:rPr>
                <w:i/>
              </w:rPr>
              <w:t>euro</w:t>
            </w:r>
            <w:proofErr w:type="spellEnd"/>
            <w:r w:rsidRPr="00120833">
              <w:t xml:space="preserve"> likme par konsulārās funkcijas veikšanu ir noteikta, ņemot vērā vidējo konsulārās atlīdzības likmi par konsulāro funkciju, kas ir konsulārās atlīdzības objekti, veikšanu un  ievērojot fiskālās neitralitātes nosacījumus, kā arī ņemot vērā pakalpojumu sniegšanas tiešās izmaksas. </w:t>
            </w:r>
          </w:p>
          <w:p w14:paraId="2CE237C1" w14:textId="011F72CA" w:rsidR="00120833" w:rsidRDefault="00120833" w:rsidP="00120833">
            <w:pPr>
              <w:jc w:val="both"/>
            </w:pPr>
            <w:r w:rsidRPr="00120833">
              <w:t>Metodika iestāžu sniegto maksas pakalpojumu izcenojumu noteikšanai, tam izmantojot iestādes tiešo un netiešo izdevumu, kas rodas</w:t>
            </w:r>
            <w:r w:rsidR="00B74136">
              <w:t xml:space="preserve">, pildot šīs funkcijas, datus, </w:t>
            </w:r>
            <w:r w:rsidRPr="00120833">
              <w:t xml:space="preserve">ir noteikta Ministru kabineta 2011. gada 3. maija noteikumos Nr. 333 “Kārtība, kādā plānojami un uzskaitāmi ieņēmumi no maksas pakalpojumiem un ar šo pakalpojumu sniegšanu saistītie izdevumi, kā arī maksas pakalpojumu izcenojumu noteikšanas metodika un izcenojumu apstiprināšanas kārtība”. Šo noteikumu 23. punkts paredz, ka Ārlietu ministrijai nav saistoša maksas pakalpojumu izcenojumu noteikšanas metodika. Tāpat Ārlietu ministrijai nav saistošs noteiktais, ka iestāde ar maksas pakalpojumu sniegšanu saistīto izdevumu apjomu plāno tādā pašā apmērā kā ieņēmumus no sniegtajiem maksas pakalpojumiem. Šāds izņēmums ir noteikts, ņemot vērā tādus faktorus kā pārstāvniecību funkcionēšanu dažādās valstīs ar ļoti atšķirīgām netiešajām izmaksām (piem., dažādām izmaksām ēkas uzturēšanai, apkurei, sakaru izdevumiem), konsulāro amatpersonu nodarbinātību arī ar citiem amata pienākumiem (piem., vienlaikus veicot administratīvā darbinieka </w:t>
            </w:r>
            <w:r w:rsidRPr="00120833">
              <w:lastRenderedPageBreak/>
              <w:t>uzdevumus, kas daļēji nodrošina konsulārā pakalpojuma sniegšanu)  un konsulārā pakalpojuma sniegšanas komplicētību un atšķirīgumu atkarībā no katras individuālās situācijas (piem., indivīda vajadzībām piemērotākā risinājuma atrašana, veicot notariālas darbības vai sniedzot izziņas), kas liedz veikt precīzus iestādes izdevumu aprēķinus. Tāpat, ņemot vērā to, ka šie izdevumi daudzās ārvalstīs ir objektīvi augsti un var padarīt konsulāro pakalpojumu personām nepieejamu, Ārlietu ministrija ir atbrīvota no pienākuma atlīdzību par savu maksas pakalpojumu sniegšanu noteikt iestādes izdevumu apjomā.</w:t>
            </w:r>
          </w:p>
          <w:p w14:paraId="1322E665" w14:textId="3535A9D3" w:rsidR="00120833" w:rsidRPr="00101BFD" w:rsidRDefault="00120833" w:rsidP="00120833">
            <w:pPr>
              <w:jc w:val="both"/>
              <w:rPr>
                <w:iCs/>
              </w:rPr>
            </w:pPr>
            <w:r w:rsidRPr="0045625E">
              <w:t xml:space="preserve">Saskaņā ar Pievienotās vērtības nodokļa likuma 3. panta astoto daļu konsulārajām funkcijām, kas ir konsulārās atlīdzības objekts, nepiemēro pievienotās vērtības nodokli. Līdz ar to konsulārās atlīdzības likmē netiek iekļauts </w:t>
            </w:r>
            <w:r w:rsidR="007B7C28">
              <w:t>pievienotās vērtības nodoklis</w:t>
            </w:r>
            <w:r w:rsidRPr="0045625E">
              <w:t>.</w:t>
            </w:r>
          </w:p>
          <w:p w14:paraId="6D7B98D0" w14:textId="1BA23748" w:rsidR="00970B35" w:rsidRPr="00101BFD" w:rsidRDefault="00970B35" w:rsidP="00970B35">
            <w:pPr>
              <w:jc w:val="both"/>
              <w:rPr>
                <w:iCs/>
              </w:rPr>
            </w:pPr>
            <w:r w:rsidRPr="00101BFD">
              <w:rPr>
                <w:iCs/>
              </w:rPr>
              <w:t xml:space="preserve">Konsulārās palīdzības un konsulāro pakalpojumu likuma 3. pants noteic, ka konsulārās funkcijas tiek veiktas konsulārās palīdzības un konsulāro pakalpojumu veidā. Konsulārās palīdzības sniegšana, atšķirībā no konsulārajiem pakalpojumiem, izriet no Satversmē garantētajām pamattiesībām. Satversmes 98. pants noteic, ka ikviens, kam ir Latvijas pase, ārpus Latvijas atrodas valsts aizsardzībā. </w:t>
            </w:r>
            <w:r w:rsidR="00016A3B">
              <w:rPr>
                <w:iCs/>
              </w:rPr>
              <w:t>Latvijas valstspiederīgo tiesību un interešu aizsardzība ārvalstīs</w:t>
            </w:r>
            <w:r w:rsidR="003F3E77">
              <w:rPr>
                <w:iCs/>
              </w:rPr>
              <w:t xml:space="preserve"> ir ārlietu dienesta ekskluzīvā funkcija,</w:t>
            </w:r>
            <w:r w:rsidR="0033147F">
              <w:rPr>
                <w:iCs/>
              </w:rPr>
              <w:t xml:space="preserve"> kuras veikšanai </w:t>
            </w:r>
            <w:r w:rsidR="0064264E">
              <w:rPr>
                <w:iCs/>
              </w:rPr>
              <w:t>ir novirzāmi</w:t>
            </w:r>
            <w:r w:rsidR="003F3E77">
              <w:rPr>
                <w:iCs/>
              </w:rPr>
              <w:t xml:space="preserve"> iespējami daudz </w:t>
            </w:r>
            <w:r w:rsidR="0064264E">
              <w:rPr>
                <w:iCs/>
              </w:rPr>
              <w:t>dienesta resursu</w:t>
            </w:r>
            <w:r w:rsidR="00016A3B">
              <w:rPr>
                <w:iCs/>
              </w:rPr>
              <w:t xml:space="preserve"> un</w:t>
            </w:r>
            <w:r w:rsidR="0064264E">
              <w:rPr>
                <w:iCs/>
              </w:rPr>
              <w:t xml:space="preserve"> kuras</w:t>
            </w:r>
            <w:r w:rsidR="003F3E77">
              <w:rPr>
                <w:iCs/>
              </w:rPr>
              <w:t xml:space="preserve"> dēļ ir nepieciešams </w:t>
            </w:r>
            <w:r w:rsidR="0064264E">
              <w:rPr>
                <w:iCs/>
              </w:rPr>
              <w:t>optimizēt</w:t>
            </w:r>
            <w:r w:rsidR="00016A3B">
              <w:rPr>
                <w:iCs/>
              </w:rPr>
              <w:t xml:space="preserve"> citu funkciju veikšanas kārtību</w:t>
            </w:r>
            <w:r w:rsidR="003F3E77">
              <w:rPr>
                <w:iCs/>
              </w:rPr>
              <w:t>, it sevišķi</w:t>
            </w:r>
            <w:r w:rsidR="00016A3B">
              <w:rPr>
                <w:iCs/>
              </w:rPr>
              <w:t>,</w:t>
            </w:r>
            <w:r w:rsidR="003F3E77">
              <w:rPr>
                <w:iCs/>
              </w:rPr>
              <w:t xml:space="preserve"> virzot personas uz plašāku e-pakalpojumu izmantošanu. </w:t>
            </w:r>
            <w:r w:rsidRPr="00101BFD">
              <w:rPr>
                <w:iCs/>
              </w:rPr>
              <w:t xml:space="preserve">Tādējādi e - pakalpojumu izmantošanas veicināšana konsulāro pakalpojumu saņemšanai atbalsta Latvijas diplomātisko un konsulāro pārstāvniecību </w:t>
            </w:r>
            <w:r w:rsidR="00C9049C">
              <w:rPr>
                <w:iCs/>
              </w:rPr>
              <w:t xml:space="preserve">ārvalstīs (turpmāk – pārstāvniecību) </w:t>
            </w:r>
            <w:r w:rsidRPr="00101BFD">
              <w:rPr>
                <w:iCs/>
              </w:rPr>
              <w:t>resursu izmantošanu Satversmē garantēto pamattiesību īstenošanai konsulārās palīdzības veidā.</w:t>
            </w:r>
          </w:p>
          <w:p w14:paraId="13EFBA01" w14:textId="2AEFDDF3" w:rsidR="00001941" w:rsidRPr="00101BFD" w:rsidRDefault="00001941" w:rsidP="00204773">
            <w:pPr>
              <w:jc w:val="both"/>
              <w:rPr>
                <w:iCs/>
              </w:rPr>
            </w:pPr>
            <w:r w:rsidRPr="00101BFD">
              <w:rPr>
                <w:iCs/>
              </w:rPr>
              <w:t>Noteikuma projekts noteic, ka konsulārās funkcijas, kas ir konsulārās atlīdzības objekti, ir noteikta</w:t>
            </w:r>
            <w:r w:rsidR="00F224C2">
              <w:rPr>
                <w:iCs/>
              </w:rPr>
              <w:t>s</w:t>
            </w:r>
            <w:r w:rsidRPr="00101BFD">
              <w:rPr>
                <w:iCs/>
              </w:rPr>
              <w:t xml:space="preserve"> pielikumā. </w:t>
            </w:r>
            <w:r w:rsidR="00B07278">
              <w:rPr>
                <w:iCs/>
              </w:rPr>
              <w:t>Līdz ar vairāku konsulārās</w:t>
            </w:r>
            <w:r w:rsidR="008F40FE" w:rsidRPr="00101BFD">
              <w:rPr>
                <w:iCs/>
              </w:rPr>
              <w:t xml:space="preserve"> </w:t>
            </w:r>
            <w:r w:rsidR="00B07278">
              <w:rPr>
                <w:iCs/>
              </w:rPr>
              <w:t>atlīdzības</w:t>
            </w:r>
            <w:r w:rsidR="008F40FE" w:rsidRPr="00101BFD">
              <w:rPr>
                <w:iCs/>
              </w:rPr>
              <w:t xml:space="preserve"> diferencēto likmju atcelšanu zūd nepieciešamība </w:t>
            </w:r>
            <w:r w:rsidR="00381672">
              <w:rPr>
                <w:iCs/>
              </w:rPr>
              <w:t>P</w:t>
            </w:r>
            <w:r w:rsidR="008F40FE" w:rsidRPr="00101BFD">
              <w:rPr>
                <w:iCs/>
              </w:rPr>
              <w:t xml:space="preserve">ielikumā </w:t>
            </w:r>
            <w:r w:rsidR="008D1408">
              <w:rPr>
                <w:iCs/>
              </w:rPr>
              <w:t xml:space="preserve">sīkāk </w:t>
            </w:r>
            <w:r w:rsidR="008F40FE" w:rsidRPr="00101BFD">
              <w:rPr>
                <w:iCs/>
              </w:rPr>
              <w:t>izdalīt daļu  no konsulāro funkciju veidiem</w:t>
            </w:r>
            <w:r w:rsidR="008D1408">
              <w:rPr>
                <w:iCs/>
              </w:rPr>
              <w:t xml:space="preserve">, piemēram, </w:t>
            </w:r>
            <w:r w:rsidR="00B24DB6">
              <w:rPr>
                <w:iCs/>
              </w:rPr>
              <w:t>no notariālajām darbībām sīkāk izdalīt dažādos notariāli apliecināmo dokumentu veidus</w:t>
            </w:r>
            <w:r w:rsidR="008F40FE" w:rsidRPr="00101BFD">
              <w:rPr>
                <w:iCs/>
              </w:rPr>
              <w:t xml:space="preserve">. Tāpēc Noteikumu projekts konsolidē konsulāro </w:t>
            </w:r>
            <w:r w:rsidR="00C9049C">
              <w:rPr>
                <w:iCs/>
              </w:rPr>
              <w:t>pakalpojumu</w:t>
            </w:r>
            <w:r w:rsidR="00381672">
              <w:rPr>
                <w:iCs/>
              </w:rPr>
              <w:t xml:space="preserve"> uzskaitījumu P</w:t>
            </w:r>
            <w:r w:rsidR="008C532F" w:rsidRPr="00101BFD">
              <w:rPr>
                <w:iCs/>
              </w:rPr>
              <w:t xml:space="preserve">ielikumā, </w:t>
            </w:r>
            <w:r w:rsidR="00C9049C">
              <w:rPr>
                <w:iCs/>
              </w:rPr>
              <w:t>iedalot to sekojoši.</w:t>
            </w:r>
          </w:p>
          <w:p w14:paraId="1023915B" w14:textId="77777777" w:rsidR="008C532F" w:rsidRPr="00101BFD" w:rsidRDefault="008C532F" w:rsidP="00204773">
            <w:pPr>
              <w:jc w:val="both"/>
              <w:rPr>
                <w:iCs/>
              </w:rPr>
            </w:pPr>
          </w:p>
          <w:p w14:paraId="1D0B3E59" w14:textId="1A9217B9" w:rsidR="00001941" w:rsidRPr="009814EC" w:rsidRDefault="00A51B29" w:rsidP="00A51B29">
            <w:pPr>
              <w:jc w:val="both"/>
              <w:rPr>
                <w:b/>
                <w:iCs/>
              </w:rPr>
            </w:pPr>
            <w:r w:rsidRPr="009814EC">
              <w:rPr>
                <w:b/>
                <w:iCs/>
              </w:rPr>
              <w:t>1. </w:t>
            </w:r>
            <w:r w:rsidR="00F104D3" w:rsidRPr="009814EC">
              <w:rPr>
                <w:b/>
                <w:iCs/>
              </w:rPr>
              <w:t>Rakstiskas izziņas izsniegšana</w:t>
            </w:r>
            <w:r w:rsidR="001810B5" w:rsidRPr="009814EC">
              <w:rPr>
                <w:b/>
                <w:iCs/>
              </w:rPr>
              <w:t xml:space="preserve"> vienas darbdienas laikā pēc nepieciešamās inform</w:t>
            </w:r>
            <w:r w:rsidR="00E22EE3" w:rsidRPr="009814EC">
              <w:rPr>
                <w:b/>
                <w:iCs/>
              </w:rPr>
              <w:t>ācijas iegūšanas</w:t>
            </w:r>
          </w:p>
          <w:p w14:paraId="09419293" w14:textId="3BAC033A" w:rsidR="00DB3CA2" w:rsidRDefault="00A51B29" w:rsidP="00001941">
            <w:pPr>
              <w:jc w:val="both"/>
              <w:rPr>
                <w:iCs/>
              </w:rPr>
            </w:pPr>
            <w:r w:rsidRPr="00101BFD">
              <w:rPr>
                <w:iCs/>
              </w:rPr>
              <w:lastRenderedPageBreak/>
              <w:t xml:space="preserve">Šajā konsulārajā </w:t>
            </w:r>
            <w:r w:rsidR="00170CA4">
              <w:rPr>
                <w:iCs/>
              </w:rPr>
              <w:t>pakalpojumā</w:t>
            </w:r>
            <w:r w:rsidRPr="00101BFD">
              <w:rPr>
                <w:iCs/>
              </w:rPr>
              <w:t xml:space="preserve"> konsolidēts Noteikumu Nr. 707 </w:t>
            </w:r>
            <w:r w:rsidR="00381672">
              <w:rPr>
                <w:iCs/>
              </w:rPr>
              <w:t>P</w:t>
            </w:r>
            <w:r w:rsidRPr="00101BFD">
              <w:rPr>
                <w:iCs/>
              </w:rPr>
              <w:t>ielikuma 2. punkts (rakstiskas izziņas izsniegšana (izņemot izziņu no Iedzīvotāju reģistra)</w:t>
            </w:r>
            <w:r w:rsidR="004867F2">
              <w:rPr>
                <w:iCs/>
              </w:rPr>
              <w:t>)</w:t>
            </w:r>
            <w:r w:rsidRPr="00101BFD">
              <w:rPr>
                <w:iCs/>
              </w:rPr>
              <w:t xml:space="preserve">, 3. punkts (rakstiskas izziņas izsniegšana no Iedzīvotāju reģistra (svešvalodā)). </w:t>
            </w:r>
          </w:p>
          <w:p w14:paraId="4E448F78" w14:textId="638F8FC6" w:rsidR="00E97BDA" w:rsidRDefault="00E97BDA" w:rsidP="00E97BDA">
            <w:pPr>
              <w:jc w:val="both"/>
              <w:rPr>
                <w:iCs/>
              </w:rPr>
            </w:pPr>
            <w:r w:rsidRPr="00101BFD">
              <w:rPr>
                <w:iCs/>
              </w:rPr>
              <w:t xml:space="preserve">Saskaņā ar Noteikumu Nr. 707 redakciju </w:t>
            </w:r>
            <w:r>
              <w:rPr>
                <w:iCs/>
              </w:rPr>
              <w:t xml:space="preserve">konsulārās atlīdzības </w:t>
            </w:r>
            <w:r w:rsidRPr="00101BFD">
              <w:rPr>
                <w:iCs/>
              </w:rPr>
              <w:t>likme par izziņas izsniegšanu</w:t>
            </w:r>
            <w:r>
              <w:rPr>
                <w:iCs/>
              </w:rPr>
              <w:t xml:space="preserve"> piecu darbdienu laikā</w:t>
            </w:r>
            <w:r w:rsidRPr="00101BFD">
              <w:rPr>
                <w:iCs/>
              </w:rPr>
              <w:t xml:space="preserve"> ir 20 </w:t>
            </w:r>
            <w:proofErr w:type="spellStart"/>
            <w:r w:rsidRPr="00101BFD">
              <w:rPr>
                <w:i/>
                <w:iCs/>
              </w:rPr>
              <w:t>euro</w:t>
            </w:r>
            <w:proofErr w:type="spellEnd"/>
            <w:r w:rsidRPr="00101BFD">
              <w:rPr>
                <w:iCs/>
              </w:rPr>
              <w:t>, vienas darbdienas laikā</w:t>
            </w:r>
            <w:r>
              <w:rPr>
                <w:iCs/>
              </w:rPr>
              <w:t xml:space="preserve"> -</w:t>
            </w:r>
            <w:r w:rsidRPr="00101BFD">
              <w:rPr>
                <w:iCs/>
              </w:rPr>
              <w:t xml:space="preserve"> 30 </w:t>
            </w:r>
            <w:proofErr w:type="spellStart"/>
            <w:r w:rsidRPr="00101BFD">
              <w:rPr>
                <w:i/>
                <w:iCs/>
              </w:rPr>
              <w:t>euro</w:t>
            </w:r>
            <w:proofErr w:type="spellEnd"/>
            <w:r>
              <w:rPr>
                <w:iCs/>
              </w:rPr>
              <w:t xml:space="preserve">, </w:t>
            </w:r>
            <w:r w:rsidRPr="00101BFD">
              <w:rPr>
                <w:iCs/>
              </w:rPr>
              <w:t>divu stundu laikā</w:t>
            </w:r>
            <w:r>
              <w:rPr>
                <w:iCs/>
              </w:rPr>
              <w:t xml:space="preserve"> -</w:t>
            </w:r>
            <w:r w:rsidRPr="00101BFD">
              <w:rPr>
                <w:iCs/>
              </w:rPr>
              <w:t xml:space="preserve"> 50 </w:t>
            </w:r>
            <w:proofErr w:type="spellStart"/>
            <w:r w:rsidRPr="00101BFD">
              <w:rPr>
                <w:i/>
                <w:iCs/>
              </w:rPr>
              <w:t>euro</w:t>
            </w:r>
            <w:proofErr w:type="spellEnd"/>
            <w:r w:rsidRPr="00101BFD">
              <w:rPr>
                <w:iCs/>
              </w:rPr>
              <w:t>. Noteikumu projekts noteic</w:t>
            </w:r>
            <w:r>
              <w:rPr>
                <w:iCs/>
              </w:rPr>
              <w:t xml:space="preserve"> </w:t>
            </w:r>
            <w:r w:rsidRPr="00E97BDA">
              <w:rPr>
                <w:iCs/>
              </w:rPr>
              <w:t xml:space="preserve">veikšanu tikai paātrinātā kārtībā </w:t>
            </w:r>
            <w:r w:rsidR="0076053A">
              <w:rPr>
                <w:iCs/>
              </w:rPr>
              <w:t xml:space="preserve">– </w:t>
            </w:r>
            <w:r w:rsidR="008B28AC">
              <w:rPr>
                <w:iCs/>
              </w:rPr>
              <w:t xml:space="preserve"> vienas darbdienas laikā - </w:t>
            </w:r>
            <w:r>
              <w:rPr>
                <w:iCs/>
              </w:rPr>
              <w:t>un noteic likmi 40</w:t>
            </w:r>
            <w:r w:rsidRPr="00101BFD">
              <w:rPr>
                <w:iCs/>
              </w:rPr>
              <w:t xml:space="preserve"> </w:t>
            </w:r>
            <w:proofErr w:type="spellStart"/>
            <w:r w:rsidRPr="00101BFD">
              <w:rPr>
                <w:i/>
                <w:iCs/>
              </w:rPr>
              <w:t>euro</w:t>
            </w:r>
            <w:proofErr w:type="spellEnd"/>
            <w:r w:rsidRPr="00101BFD">
              <w:rPr>
                <w:iCs/>
              </w:rPr>
              <w:t xml:space="preserve"> </w:t>
            </w:r>
            <w:r>
              <w:rPr>
                <w:iCs/>
              </w:rPr>
              <w:t xml:space="preserve">apmērā. </w:t>
            </w:r>
            <w:r w:rsidR="00AC7EEC" w:rsidRPr="00AC7EEC">
              <w:rPr>
                <w:iCs/>
              </w:rPr>
              <w:t>Izpildes laiks ir skaitāms no brīža, kad saņemta nepieciešamā informācija, piemēram, no Iekšlietu ministrijas Informācijas centra par personas (</w:t>
            </w:r>
            <w:proofErr w:type="spellStart"/>
            <w:r w:rsidR="00AC7EEC" w:rsidRPr="00AC7EEC">
              <w:rPr>
                <w:iCs/>
              </w:rPr>
              <w:t>ne)sodāmību</w:t>
            </w:r>
            <w:proofErr w:type="spellEnd"/>
            <w:r w:rsidR="00AC7EEC" w:rsidRPr="00AC7EEC">
              <w:rPr>
                <w:iCs/>
              </w:rPr>
              <w:t>.</w:t>
            </w:r>
          </w:p>
          <w:p w14:paraId="7A862187" w14:textId="5B13FB12" w:rsidR="00E97BDA" w:rsidRDefault="00170CA4" w:rsidP="00FF32E8">
            <w:pPr>
              <w:jc w:val="both"/>
              <w:rPr>
                <w:iCs/>
              </w:rPr>
            </w:pPr>
            <w:r>
              <w:rPr>
                <w:iCs/>
              </w:rPr>
              <w:t>P</w:t>
            </w:r>
            <w:r w:rsidR="00001941" w:rsidRPr="00101BFD">
              <w:rPr>
                <w:iCs/>
              </w:rPr>
              <w:t>ārstāvniecības izsniedz izziņas no Iedzīvotāju reģistra</w:t>
            </w:r>
            <w:r w:rsidR="00B64DF2">
              <w:rPr>
                <w:iCs/>
              </w:rPr>
              <w:t xml:space="preserve">, kā arī konsulārās izziņas par personu sodāmību u.c. jautājumiem. </w:t>
            </w:r>
            <w:r w:rsidR="00001941" w:rsidRPr="00101BFD">
              <w:rPr>
                <w:iCs/>
              </w:rPr>
              <w:t>Izziņu no Iedzīvotāju reģistra persona var</w:t>
            </w:r>
            <w:r w:rsidR="00CC2721">
              <w:rPr>
                <w:iCs/>
              </w:rPr>
              <w:t xml:space="preserve"> arī</w:t>
            </w:r>
            <w:r w:rsidR="00001941" w:rsidRPr="00101BFD">
              <w:rPr>
                <w:iCs/>
              </w:rPr>
              <w:t xml:space="preserve"> saņemt</w:t>
            </w:r>
            <w:r w:rsidR="00B64DF2">
              <w:rPr>
                <w:iCs/>
              </w:rPr>
              <w:t xml:space="preserve"> no</w:t>
            </w:r>
            <w:r w:rsidR="00B64DF2" w:rsidRPr="00101BFD">
              <w:rPr>
                <w:iCs/>
              </w:rPr>
              <w:t xml:space="preserve"> Pilsonības un migrācijas lietu pārvaldes (turpmāk – PMLP)</w:t>
            </w:r>
            <w:r w:rsidR="00CC2721">
              <w:rPr>
                <w:iCs/>
              </w:rPr>
              <w:t>, izmantojot</w:t>
            </w:r>
            <w:r w:rsidR="00001941" w:rsidRPr="00101BFD">
              <w:rPr>
                <w:iCs/>
              </w:rPr>
              <w:t xml:space="preserve"> e - pakalpojumu. Izziņu no PMLP var pieprasīt</w:t>
            </w:r>
            <w:r w:rsidR="00001941" w:rsidRPr="00101BFD">
              <w:t xml:space="preserve"> </w:t>
            </w:r>
            <w:r w:rsidR="00001941" w:rsidRPr="00101BFD">
              <w:rPr>
                <w:iCs/>
              </w:rPr>
              <w:t xml:space="preserve">elektroniski, iesniedzot pieprasījumu portālā </w:t>
            </w:r>
            <w:hyperlink r:id="rId8" w:history="1">
              <w:r w:rsidR="00001941" w:rsidRPr="00101BFD">
                <w:rPr>
                  <w:rStyle w:val="Hyperlink"/>
                  <w:iCs/>
                  <w:color w:val="auto"/>
                </w:rPr>
                <w:t>www.latvija.lv</w:t>
              </w:r>
            </w:hyperlink>
            <w:r w:rsidR="00001941" w:rsidRPr="00101BFD">
              <w:rPr>
                <w:iCs/>
              </w:rPr>
              <w:t>. Elektroniski pieprasīto izziņu var saņemt</w:t>
            </w:r>
            <w:r w:rsidR="00001941" w:rsidRPr="00101BFD">
              <w:t xml:space="preserve"> </w:t>
            </w:r>
            <w:r w:rsidR="00001941" w:rsidRPr="00101BFD">
              <w:rPr>
                <w:iCs/>
              </w:rPr>
              <w:t xml:space="preserve">papīra formā pa pastu (arī ārvalstī) vai elektroniski, </w:t>
            </w:r>
            <w:r>
              <w:rPr>
                <w:iCs/>
              </w:rPr>
              <w:t>ja tā ir</w:t>
            </w:r>
            <w:r w:rsidR="00001941" w:rsidRPr="00101BFD">
              <w:rPr>
                <w:iCs/>
              </w:rPr>
              <w:t xml:space="preserve"> parakstīta ar drošu elektronisko parakstu. </w:t>
            </w:r>
            <w:r w:rsidR="00737104">
              <w:rPr>
                <w:iCs/>
              </w:rPr>
              <w:t>Izzi</w:t>
            </w:r>
            <w:r w:rsidR="008C0A47">
              <w:rPr>
                <w:iCs/>
              </w:rPr>
              <w:t>ņu</w:t>
            </w:r>
            <w:r w:rsidR="00737104">
              <w:rPr>
                <w:iCs/>
              </w:rPr>
              <w:t xml:space="preserve"> no Sodu reģistra ir iespējams pieprasīt</w:t>
            </w:r>
            <w:r w:rsidR="00812AB6">
              <w:rPr>
                <w:iCs/>
              </w:rPr>
              <w:t xml:space="preserve"> </w:t>
            </w:r>
            <w:r w:rsidR="009242A7">
              <w:rPr>
                <w:iCs/>
              </w:rPr>
              <w:t>Iekšlietu ministrijas Informācijas centrā</w:t>
            </w:r>
            <w:r w:rsidR="006305E9">
              <w:rPr>
                <w:iCs/>
              </w:rPr>
              <w:t>, nosūtot</w:t>
            </w:r>
            <w:r w:rsidR="00812AB6">
              <w:rPr>
                <w:iCs/>
              </w:rPr>
              <w:t xml:space="preserve"> pieprasījumu pa pastu, uz e-pastu, izmantojot faksu vai e-pakalpojumu portālā </w:t>
            </w:r>
            <w:proofErr w:type="spellStart"/>
            <w:r w:rsidR="00812AB6" w:rsidRPr="004432EE">
              <w:rPr>
                <w:iCs/>
              </w:rPr>
              <w:t>www.latvija.lv</w:t>
            </w:r>
            <w:proofErr w:type="spellEnd"/>
            <w:r w:rsidR="00812AB6">
              <w:rPr>
                <w:iCs/>
              </w:rPr>
              <w:t xml:space="preserve">. </w:t>
            </w:r>
            <w:r w:rsidR="00093574">
              <w:rPr>
                <w:iCs/>
              </w:rPr>
              <w:t>Noformēt izziņu</w:t>
            </w:r>
            <w:r w:rsidR="00093574" w:rsidRPr="00093574">
              <w:rPr>
                <w:iCs/>
              </w:rPr>
              <w:t xml:space="preserve"> par </w:t>
            </w:r>
            <w:r w:rsidR="009266F0">
              <w:rPr>
                <w:iCs/>
              </w:rPr>
              <w:t xml:space="preserve">transportlīdzekļa </w:t>
            </w:r>
            <w:r w:rsidR="00093574" w:rsidRPr="00093574">
              <w:rPr>
                <w:iCs/>
              </w:rPr>
              <w:t>vadītāja apliecību angļu valodā</w:t>
            </w:r>
            <w:r w:rsidR="001E682E">
              <w:rPr>
                <w:iCs/>
              </w:rPr>
              <w:t xml:space="preserve"> (izdruka </w:t>
            </w:r>
            <w:r w:rsidR="001E682E" w:rsidRPr="001E682E">
              <w:rPr>
                <w:iCs/>
              </w:rPr>
              <w:t>no Transportlīdzekļu un to vadītāju valsts reģistra</w:t>
            </w:r>
            <w:r w:rsidR="001E682E">
              <w:rPr>
                <w:iCs/>
              </w:rPr>
              <w:t>) var CSDD e-pakalpojumu portālā</w:t>
            </w:r>
            <w:r w:rsidR="00093574">
              <w:rPr>
                <w:iCs/>
              </w:rPr>
              <w:t xml:space="preserve"> </w:t>
            </w:r>
            <w:r w:rsidR="00093574" w:rsidRPr="004432EE">
              <w:rPr>
                <w:iCs/>
              </w:rPr>
              <w:t>https://e.csdd.lv</w:t>
            </w:r>
            <w:r w:rsidR="00093574">
              <w:rPr>
                <w:iCs/>
              </w:rPr>
              <w:t xml:space="preserve">. </w:t>
            </w:r>
            <w:r w:rsidR="00B64DF2">
              <w:rPr>
                <w:iCs/>
              </w:rPr>
              <w:t xml:space="preserve">Izmantojot šos e-pakalpojumus, </w:t>
            </w:r>
            <w:r w:rsidR="00922B0F" w:rsidRPr="00101BFD">
              <w:rPr>
                <w:iCs/>
              </w:rPr>
              <w:t xml:space="preserve">konsulārā atlīdzība </w:t>
            </w:r>
            <w:r w:rsidR="007D29B0">
              <w:rPr>
                <w:iCs/>
              </w:rPr>
              <w:t>nav jāmaksā</w:t>
            </w:r>
            <w:r w:rsidR="00B64DF2">
              <w:rPr>
                <w:iCs/>
              </w:rPr>
              <w:t>.</w:t>
            </w:r>
            <w:r w:rsidR="00E97BDA">
              <w:rPr>
                <w:iCs/>
              </w:rPr>
              <w:t xml:space="preserve"> Līdz ar lēnāk</w:t>
            </w:r>
            <w:r>
              <w:rPr>
                <w:iCs/>
              </w:rPr>
              <w:t xml:space="preserve">a (5 darbdienu laikā) un lētāka </w:t>
            </w:r>
            <w:r w:rsidR="00E97BDA">
              <w:rPr>
                <w:iCs/>
              </w:rPr>
              <w:t>izpildes veida izslēgšanu tiek veicināta e-pakalpojumu izmantošana valsts pārvaldē</w:t>
            </w:r>
            <w:r w:rsidR="00684962">
              <w:rPr>
                <w:iCs/>
              </w:rPr>
              <w:t>.</w:t>
            </w:r>
          </w:p>
          <w:p w14:paraId="20F56CE1" w14:textId="1C6EA1E0" w:rsidR="00BE3D75" w:rsidRPr="00101BFD" w:rsidRDefault="00BE3D75" w:rsidP="00FF32E8">
            <w:pPr>
              <w:jc w:val="both"/>
              <w:rPr>
                <w:iCs/>
              </w:rPr>
            </w:pPr>
            <w:r w:rsidRPr="00E97BDA">
              <w:rPr>
                <w:iCs/>
              </w:rPr>
              <w:t xml:space="preserve">Noteikumu projekts noteic, ka rakstiskas izziņas izsniegšanas funkcija ietver arī daudzvalodu standarta veidlapu izsniegšanu, paredzot tādu pašu konsulārās atlīdzības likmi kā par izziņas izsniegšanu – </w:t>
            </w:r>
            <w:r w:rsidR="00E97BDA" w:rsidRPr="00E97BDA">
              <w:rPr>
                <w:iCs/>
              </w:rPr>
              <w:t>40</w:t>
            </w:r>
            <w:r w:rsidRPr="00E97BDA">
              <w:rPr>
                <w:iCs/>
              </w:rPr>
              <w:t xml:space="preserve"> </w:t>
            </w:r>
            <w:proofErr w:type="spellStart"/>
            <w:r w:rsidRPr="00E97BDA">
              <w:rPr>
                <w:i/>
                <w:iCs/>
              </w:rPr>
              <w:t>euro</w:t>
            </w:r>
            <w:proofErr w:type="spellEnd"/>
            <w:r w:rsidR="00E97BDA" w:rsidRPr="00E97BDA">
              <w:rPr>
                <w:i/>
                <w:iCs/>
              </w:rPr>
              <w:t xml:space="preserve">. </w:t>
            </w:r>
            <w:r w:rsidRPr="00E97BDA">
              <w:rPr>
                <w:iCs/>
              </w:rPr>
              <w:t xml:space="preserve"> Daudzvalodu standarta veidlapu izveidi noteic </w:t>
            </w:r>
            <w:r w:rsidRPr="00E97BDA">
              <w:rPr>
                <w:i/>
                <w:iCs/>
              </w:rPr>
              <w:t xml:space="preserve">Eiropas Parlamenta un Padomes Regula (ES) 2016/1191 (2016. gada 6. jūlijs) par iedzīvotāju brīvas pārvietošanās veicināšanu, vienkāršojot dažu publisko dokumentu uzrādīšanas prasības Eiropas Savienībā, un grozījumiem Regulā (ES) Nr. 1024/2012 </w:t>
            </w:r>
            <w:r w:rsidRPr="003B347C">
              <w:rPr>
                <w:iCs/>
              </w:rPr>
              <w:t>(turpmāk – Daudzvalodu veidlapu regula)</w:t>
            </w:r>
            <w:r w:rsidRPr="00E97BDA">
              <w:rPr>
                <w:iCs/>
              </w:rPr>
              <w:t xml:space="preserve">. Daudzvalodu veidlapu regula noteic, ka no 2019. gada </w:t>
            </w:r>
            <w:r w:rsidR="003223EE" w:rsidRPr="00E97BDA">
              <w:rPr>
                <w:iCs/>
              </w:rPr>
              <w:t>16. febru</w:t>
            </w:r>
            <w:r w:rsidR="0006439C" w:rsidRPr="00E97BDA">
              <w:rPr>
                <w:iCs/>
              </w:rPr>
              <w:t>āra publiskam dokumenta</w:t>
            </w:r>
            <w:r w:rsidR="003223EE" w:rsidRPr="00E97BDA">
              <w:rPr>
                <w:iCs/>
              </w:rPr>
              <w:t xml:space="preserve">m iespējams </w:t>
            </w:r>
            <w:r w:rsidR="003223EE" w:rsidRPr="00E97BDA">
              <w:rPr>
                <w:iCs/>
              </w:rPr>
              <w:lastRenderedPageBreak/>
              <w:t>pievienot daudzvalodu standarta veidlapu</w:t>
            </w:r>
            <w:r w:rsidR="00C27737" w:rsidRPr="00E97BDA">
              <w:rPr>
                <w:iCs/>
              </w:rPr>
              <w:t xml:space="preserve"> ES </w:t>
            </w:r>
            <w:r w:rsidR="00000CEC" w:rsidRPr="00E97BDA">
              <w:rPr>
                <w:iCs/>
              </w:rPr>
              <w:t>dalībvalstu</w:t>
            </w:r>
            <w:r w:rsidR="00C27737" w:rsidRPr="00E97BDA">
              <w:rPr>
                <w:iCs/>
              </w:rPr>
              <w:t xml:space="preserve"> oficiālajās valodās</w:t>
            </w:r>
            <w:r w:rsidR="003223EE" w:rsidRPr="00E97BDA">
              <w:rPr>
                <w:iCs/>
              </w:rPr>
              <w:t xml:space="preserve">, </w:t>
            </w:r>
            <w:r w:rsidR="004D18DC" w:rsidRPr="00E97BDA">
              <w:rPr>
                <w:iCs/>
              </w:rPr>
              <w:t xml:space="preserve">lai atvieglotu </w:t>
            </w:r>
            <w:r w:rsidR="008A0222" w:rsidRPr="00E97BDA">
              <w:rPr>
                <w:iCs/>
              </w:rPr>
              <w:t xml:space="preserve">attiecīgā </w:t>
            </w:r>
            <w:r w:rsidR="003223EE" w:rsidRPr="00E97BDA">
              <w:rPr>
                <w:iCs/>
              </w:rPr>
              <w:t>publiskā dokumenta tulko</w:t>
            </w:r>
            <w:r w:rsidR="004D18DC" w:rsidRPr="00E97BDA">
              <w:rPr>
                <w:iCs/>
              </w:rPr>
              <w:t>šanu</w:t>
            </w:r>
            <w:r w:rsidR="003223EE" w:rsidRPr="00E97BDA">
              <w:rPr>
                <w:iCs/>
              </w:rPr>
              <w:t>.</w:t>
            </w:r>
            <w:r w:rsidR="00FF32E8" w:rsidRPr="00E97BDA">
              <w:t xml:space="preserve"> </w:t>
            </w:r>
            <w:r w:rsidR="00FF32E8" w:rsidRPr="00E97BDA">
              <w:rPr>
                <w:iCs/>
              </w:rPr>
              <w:t>Daudzvalodu veidlapa pēc iesniedzēja lūguma tiek pievienota ES dalībvalsts iestādes izdotam publiskam dokumentam</w:t>
            </w:r>
            <w:r w:rsidR="00600397" w:rsidRPr="00E97BDA">
              <w:rPr>
                <w:iCs/>
              </w:rPr>
              <w:t>.</w:t>
            </w:r>
            <w:r w:rsidR="00C90FA3" w:rsidRPr="00E97BDA">
              <w:rPr>
                <w:iCs/>
              </w:rPr>
              <w:t xml:space="preserve"> </w:t>
            </w:r>
            <w:r w:rsidR="00600397" w:rsidRPr="00E97BDA">
              <w:rPr>
                <w:iCs/>
              </w:rPr>
              <w:t>V</w:t>
            </w:r>
            <w:r w:rsidR="00C90FA3" w:rsidRPr="00E97BDA">
              <w:rPr>
                <w:iCs/>
              </w:rPr>
              <w:t>eidlapai</w:t>
            </w:r>
            <w:r w:rsidR="00FF32E8" w:rsidRPr="00E97BDA">
              <w:rPr>
                <w:iCs/>
              </w:rPr>
              <w:t xml:space="preserve"> nav </w:t>
            </w:r>
            <w:r w:rsidR="00316528" w:rsidRPr="00E97BDA">
              <w:rPr>
                <w:iCs/>
              </w:rPr>
              <w:t xml:space="preserve">patstāvīga </w:t>
            </w:r>
            <w:r w:rsidR="00FF32E8" w:rsidRPr="00E97BDA">
              <w:rPr>
                <w:iCs/>
              </w:rPr>
              <w:t xml:space="preserve">juridiska spēka, kā arī tā nav lietojama atsevišķi </w:t>
            </w:r>
            <w:r w:rsidR="00170CA4">
              <w:rPr>
                <w:iCs/>
              </w:rPr>
              <w:t>no</w:t>
            </w:r>
            <w:r w:rsidR="00FF32E8" w:rsidRPr="00E97BDA">
              <w:rPr>
                <w:iCs/>
              </w:rPr>
              <w:t xml:space="preserve"> publiskā dokumenta, uz kuru tā attiecas. </w:t>
            </w:r>
            <w:r w:rsidR="00170CA4">
              <w:rPr>
                <w:iCs/>
              </w:rPr>
              <w:t>P</w:t>
            </w:r>
            <w:r w:rsidR="00FF32E8" w:rsidRPr="00E97BDA">
              <w:rPr>
                <w:iCs/>
              </w:rPr>
              <w:t>ārstāvniecībās daudzvalodu veidlapu izsniedz šādiem dokumentiem:</w:t>
            </w:r>
            <w:r w:rsidR="0034194F" w:rsidRPr="00E97BDA">
              <w:rPr>
                <w:iCs/>
              </w:rPr>
              <w:t xml:space="preserve"> a) </w:t>
            </w:r>
            <w:r w:rsidR="00C90FA3" w:rsidRPr="00E97BDA">
              <w:rPr>
                <w:iCs/>
              </w:rPr>
              <w:t>d</w:t>
            </w:r>
            <w:r w:rsidR="00FF32E8" w:rsidRPr="00E97BDA">
              <w:rPr>
                <w:iCs/>
              </w:rPr>
              <w:t>zimšana</w:t>
            </w:r>
            <w:r w:rsidR="009D35D2" w:rsidRPr="00E97BDA">
              <w:rPr>
                <w:iCs/>
              </w:rPr>
              <w:t>s, laulības, miršanas apliecība, kas izsniegta</w:t>
            </w:r>
            <w:r w:rsidR="00C90FA3" w:rsidRPr="00E97BDA">
              <w:rPr>
                <w:iCs/>
              </w:rPr>
              <w:t xml:space="preserve"> kopš 2013. </w:t>
            </w:r>
            <w:r w:rsidR="00FF32E8" w:rsidRPr="00E97BDA">
              <w:rPr>
                <w:iCs/>
              </w:rPr>
              <w:t>gada;</w:t>
            </w:r>
            <w:r w:rsidR="00C90FA3" w:rsidRPr="00E97BDA">
              <w:rPr>
                <w:iCs/>
              </w:rPr>
              <w:t xml:space="preserve"> </w:t>
            </w:r>
            <w:r w:rsidR="0034194F" w:rsidRPr="00E97BDA">
              <w:rPr>
                <w:iCs/>
              </w:rPr>
              <w:t>b) </w:t>
            </w:r>
            <w:r w:rsidR="009D35D2" w:rsidRPr="00E97BDA">
              <w:rPr>
                <w:iCs/>
              </w:rPr>
              <w:t>pārstāvniecības izsniegta izziņa</w:t>
            </w:r>
            <w:r w:rsidR="00FF32E8" w:rsidRPr="00E97BDA">
              <w:rPr>
                <w:iCs/>
              </w:rPr>
              <w:t xml:space="preserve"> no Iedzīvotāju reģistra par ģimenes stāvokli, par laulī</w:t>
            </w:r>
            <w:r w:rsidR="00C90FA3" w:rsidRPr="00E97BDA">
              <w:rPr>
                <w:iCs/>
              </w:rPr>
              <w:t xml:space="preserve">bas faktu, par dzīvesvietu; </w:t>
            </w:r>
            <w:r w:rsidR="0034194F" w:rsidRPr="00E97BDA">
              <w:rPr>
                <w:iCs/>
              </w:rPr>
              <w:t>c) </w:t>
            </w:r>
            <w:r w:rsidR="00FF32E8" w:rsidRPr="00E97BDA">
              <w:rPr>
                <w:iCs/>
              </w:rPr>
              <w:t xml:space="preserve"> pārstāvniecības izsniegts apliecinājums, ka persona ir dzīva</w:t>
            </w:r>
            <w:r w:rsidR="00C90FA3" w:rsidRPr="00E97BDA">
              <w:rPr>
                <w:iCs/>
              </w:rPr>
              <w:t xml:space="preserve">; </w:t>
            </w:r>
            <w:r w:rsidR="0034194F" w:rsidRPr="00E97BDA">
              <w:rPr>
                <w:iCs/>
              </w:rPr>
              <w:t>d) </w:t>
            </w:r>
            <w:r w:rsidR="00FF32E8" w:rsidRPr="00E97BDA">
              <w:rPr>
                <w:iCs/>
              </w:rPr>
              <w:t xml:space="preserve"> pārstāvniecības izsniegta izziņa no Sodu reģistra.</w:t>
            </w:r>
          </w:p>
          <w:p w14:paraId="7C01EA92" w14:textId="77777777" w:rsidR="003223EE" w:rsidRPr="00101BFD" w:rsidRDefault="003223EE" w:rsidP="00001941">
            <w:pPr>
              <w:jc w:val="both"/>
              <w:rPr>
                <w:iCs/>
              </w:rPr>
            </w:pPr>
          </w:p>
          <w:p w14:paraId="58F76B11" w14:textId="3F055DC4" w:rsidR="00A2531B" w:rsidRPr="009814EC" w:rsidRDefault="00FF1979" w:rsidP="00BE5019">
            <w:pPr>
              <w:jc w:val="both"/>
              <w:rPr>
                <w:b/>
                <w:iCs/>
              </w:rPr>
            </w:pPr>
            <w:r w:rsidRPr="009814EC">
              <w:rPr>
                <w:b/>
                <w:iCs/>
              </w:rPr>
              <w:t>2. </w:t>
            </w:r>
            <w:r w:rsidR="00F30E39" w:rsidRPr="009814EC">
              <w:rPr>
                <w:b/>
                <w:iCs/>
              </w:rPr>
              <w:t>Notariālās darbības</w:t>
            </w:r>
            <w:r w:rsidR="00DB2BB1" w:rsidRPr="009814EC">
              <w:rPr>
                <w:b/>
                <w:iCs/>
              </w:rPr>
              <w:t xml:space="preserve"> </w:t>
            </w:r>
          </w:p>
          <w:p w14:paraId="6FCD8EA1" w14:textId="70F03C74" w:rsidR="00E24688" w:rsidRPr="00101BFD" w:rsidRDefault="00B01163" w:rsidP="00BE5019">
            <w:pPr>
              <w:jc w:val="both"/>
              <w:rPr>
                <w:iCs/>
              </w:rPr>
            </w:pPr>
            <w:r w:rsidRPr="00101BFD">
              <w:rPr>
                <w:iCs/>
              </w:rPr>
              <w:t xml:space="preserve">Saskaņā ar Konsulārās palīdzības un konsulāro pakalpojumu likuma 17. pantu konsulārās amatpersonas ārvalstīs un goda konsuli veic atsevišķas notariālās funkcijas saskaņā ar Notariāta likumu. </w:t>
            </w:r>
            <w:r w:rsidR="00BE5019" w:rsidRPr="00101BFD">
              <w:rPr>
                <w:iCs/>
              </w:rPr>
              <w:t>M</w:t>
            </w:r>
            <w:r w:rsidR="00C40FB1">
              <w:rPr>
                <w:iCs/>
              </w:rPr>
              <w:t>inistru kabineta 2018. gada 21. </w:t>
            </w:r>
            <w:r w:rsidR="00BE5019" w:rsidRPr="00101BFD">
              <w:rPr>
                <w:iCs/>
              </w:rPr>
              <w:t>novembra noteikumu Nr. 706</w:t>
            </w:r>
            <w:r w:rsidR="00BE5019" w:rsidRPr="00101BFD">
              <w:t xml:space="preserve"> “</w:t>
            </w:r>
            <w:r w:rsidR="00BE5019" w:rsidRPr="00101BFD">
              <w:rPr>
                <w:bCs/>
                <w:iCs/>
              </w:rPr>
              <w:t>Latvijas Republikas diplomātiskajās un konsulārajās pārstāvniecībās ārvalstīs veicamo notariālo funkciju noteikumi”</w:t>
            </w:r>
            <w:r w:rsidR="00E24688" w:rsidRPr="00101BFD">
              <w:rPr>
                <w:iCs/>
              </w:rPr>
              <w:t xml:space="preserve"> </w:t>
            </w:r>
            <w:r w:rsidR="00BE5019" w:rsidRPr="00101BFD">
              <w:rPr>
                <w:iCs/>
              </w:rPr>
              <w:t>9. </w:t>
            </w:r>
            <w:r w:rsidR="00D20617" w:rsidRPr="00D20617">
              <w:rPr>
                <w:iCs/>
              </w:rPr>
              <w:t>p</w:t>
            </w:r>
            <w:r w:rsidR="00D20617">
              <w:rPr>
                <w:iCs/>
              </w:rPr>
              <w:t>unkts</w:t>
            </w:r>
            <w:r w:rsidR="00BE5019" w:rsidRPr="00101BFD">
              <w:rPr>
                <w:iCs/>
              </w:rPr>
              <w:t xml:space="preserve"> </w:t>
            </w:r>
            <w:r w:rsidR="00E24688" w:rsidRPr="00101BFD">
              <w:rPr>
                <w:iCs/>
              </w:rPr>
              <w:t xml:space="preserve">noteic, ka  </w:t>
            </w:r>
            <w:r w:rsidR="00BE5019" w:rsidRPr="00101BFD">
              <w:rPr>
                <w:iCs/>
              </w:rPr>
              <w:t xml:space="preserve">konsulārā amatpersona un goda konsuls var veikt šādas notariālās darbības: taisīt pilnvaras un piekrišanas notariālā akta formā konsulārās palīdzības lietas ietvaros un bērnu un personu ar ierobežotu rīcībspēju interešu pārstāvībai, </w:t>
            </w:r>
            <w:r w:rsidR="00C40FB1">
              <w:rPr>
                <w:iCs/>
              </w:rPr>
              <w:t>taisīt apliecinājumus (apliecināt</w:t>
            </w:r>
            <w:r w:rsidR="00BE5019" w:rsidRPr="00101BFD">
              <w:rPr>
                <w:iCs/>
              </w:rPr>
              <w:t> paraksta īstumu (arī tulkotāja paraksta īstumu), to, ka persona ir dzīva, </w:t>
            </w:r>
            <w:r w:rsidR="00C40FB1">
              <w:rPr>
                <w:iCs/>
              </w:rPr>
              <w:t>apliecināt</w:t>
            </w:r>
            <w:r w:rsidR="00DA20A7" w:rsidRPr="00101BFD">
              <w:rPr>
                <w:iCs/>
              </w:rPr>
              <w:t xml:space="preserve"> </w:t>
            </w:r>
            <w:r w:rsidR="00BE5019" w:rsidRPr="00101BFD">
              <w:rPr>
                <w:iCs/>
              </w:rPr>
              <w:t>dokumentu atvasinājumus un tulkojumus), izsniegt izrakstus no notariālo aktu grāmatas, aktu un apliecinājumu reģistra.</w:t>
            </w:r>
            <w:r w:rsidR="00E6184E">
              <w:rPr>
                <w:iCs/>
              </w:rPr>
              <w:t xml:space="preserve"> N</w:t>
            </w:r>
            <w:r w:rsidR="00381672">
              <w:rPr>
                <w:iCs/>
              </w:rPr>
              <w:t>oteikumu Nr. 707 P</w:t>
            </w:r>
            <w:r w:rsidR="00A90B26">
              <w:rPr>
                <w:iCs/>
              </w:rPr>
              <w:t>ielikuma 4.1. un 4.2. punkts</w:t>
            </w:r>
            <w:r w:rsidR="00E6184E">
              <w:rPr>
                <w:iCs/>
              </w:rPr>
              <w:t xml:space="preserve"> noteic, ka notariālās darb</w:t>
            </w:r>
            <w:r w:rsidR="00A90B26">
              <w:rPr>
                <w:iCs/>
              </w:rPr>
              <w:t>ības, kas ir konsulārās</w:t>
            </w:r>
            <w:r w:rsidR="00E6184E">
              <w:rPr>
                <w:iCs/>
              </w:rPr>
              <w:t xml:space="preserve"> atlīdzības objekti, ir </w:t>
            </w:r>
            <w:r w:rsidR="00E6184E" w:rsidRPr="00E6184E">
              <w:rPr>
                <w:iCs/>
              </w:rPr>
              <w:t>pilnvaru, piekrišanu un apliecinājumu sagatavošana notariālā akta apstiprināšanai</w:t>
            </w:r>
            <w:r w:rsidR="00E6184E">
              <w:rPr>
                <w:iCs/>
              </w:rPr>
              <w:t xml:space="preserve"> un </w:t>
            </w:r>
            <w:r w:rsidR="00E6184E" w:rsidRPr="00E6184E">
              <w:rPr>
                <w:iCs/>
              </w:rPr>
              <w:t>paraksta īstuma, dokumenta atvasinājuma un tulkojuma pareizības apliecinājuma sagatavošana</w:t>
            </w:r>
            <w:r w:rsidR="00E6184E">
              <w:rPr>
                <w:iCs/>
              </w:rPr>
              <w:t>.</w:t>
            </w:r>
            <w:r w:rsidR="00A90B26">
              <w:rPr>
                <w:iCs/>
              </w:rPr>
              <w:t xml:space="preserve"> Šīs </w:t>
            </w:r>
            <w:r w:rsidR="005471DB" w:rsidRPr="005471DB">
              <w:rPr>
                <w:iCs/>
              </w:rPr>
              <w:t xml:space="preserve">Noteikumu Nr. 707 </w:t>
            </w:r>
            <w:r w:rsidR="00A90B26">
              <w:rPr>
                <w:iCs/>
              </w:rPr>
              <w:t>notariālās darbības Noteikumu projekts</w:t>
            </w:r>
            <w:r w:rsidR="00FB4785">
              <w:rPr>
                <w:iCs/>
              </w:rPr>
              <w:t xml:space="preserve"> </w:t>
            </w:r>
            <w:r w:rsidR="00A90B26">
              <w:rPr>
                <w:iCs/>
              </w:rPr>
              <w:t>ko</w:t>
            </w:r>
            <w:r w:rsidR="00381672">
              <w:rPr>
                <w:iCs/>
              </w:rPr>
              <w:t>nsolidē  P</w:t>
            </w:r>
            <w:r w:rsidR="00B84EB1">
              <w:rPr>
                <w:iCs/>
              </w:rPr>
              <w:t>ielikuma 2. punktā.</w:t>
            </w:r>
          </w:p>
          <w:p w14:paraId="173B0BCC" w14:textId="457E52FE" w:rsidR="005539AB" w:rsidRDefault="00381672" w:rsidP="00B01163">
            <w:pPr>
              <w:jc w:val="both"/>
              <w:rPr>
                <w:iCs/>
              </w:rPr>
            </w:pPr>
            <w:r>
              <w:rPr>
                <w:iCs/>
              </w:rPr>
              <w:t>Noteikumu Nr. 707 P</w:t>
            </w:r>
            <w:r w:rsidR="00642DEF" w:rsidRPr="00101BFD">
              <w:rPr>
                <w:iCs/>
              </w:rPr>
              <w:t>ielikums noteic konsulārās atlīdzības likmes par notariālajām darbīb</w:t>
            </w:r>
            <w:r w:rsidR="00276F99" w:rsidRPr="00101BFD">
              <w:rPr>
                <w:iCs/>
              </w:rPr>
              <w:t>ām 30 un</w:t>
            </w:r>
            <w:r w:rsidR="00642DEF" w:rsidRPr="00101BFD">
              <w:rPr>
                <w:iCs/>
              </w:rPr>
              <w:t xml:space="preserve"> 60 </w:t>
            </w:r>
            <w:proofErr w:type="spellStart"/>
            <w:r w:rsidR="00642DEF" w:rsidRPr="00101BFD">
              <w:rPr>
                <w:i/>
                <w:iCs/>
              </w:rPr>
              <w:t>euro</w:t>
            </w:r>
            <w:proofErr w:type="spellEnd"/>
            <w:r w:rsidR="00642DEF" w:rsidRPr="00101BFD">
              <w:rPr>
                <w:iCs/>
              </w:rPr>
              <w:t xml:space="preserve"> apmērā</w:t>
            </w:r>
            <w:r w:rsidR="005E0E74" w:rsidRPr="00101BFD">
              <w:rPr>
                <w:iCs/>
              </w:rPr>
              <w:t xml:space="preserve"> par dokumentu uz vienas lappuses vai vienu parakstu</w:t>
            </w:r>
            <w:r w:rsidR="00276F99" w:rsidRPr="00101BFD">
              <w:rPr>
                <w:iCs/>
              </w:rPr>
              <w:t xml:space="preserve"> un likmes 10 l</w:t>
            </w:r>
            <w:r w:rsidR="005E0E74" w:rsidRPr="00101BFD">
              <w:rPr>
                <w:iCs/>
              </w:rPr>
              <w:t>īdz 3</w:t>
            </w:r>
            <w:r w:rsidR="00276F99" w:rsidRPr="00101BFD">
              <w:rPr>
                <w:iCs/>
              </w:rPr>
              <w:t xml:space="preserve">0 </w:t>
            </w:r>
            <w:proofErr w:type="spellStart"/>
            <w:r w:rsidR="00276F99" w:rsidRPr="00101BFD">
              <w:rPr>
                <w:i/>
                <w:iCs/>
              </w:rPr>
              <w:t>euro</w:t>
            </w:r>
            <w:proofErr w:type="spellEnd"/>
            <w:r w:rsidR="00276F99" w:rsidRPr="00101BFD">
              <w:rPr>
                <w:iCs/>
              </w:rPr>
              <w:t xml:space="preserve"> apmērā par dokumentu otro un katru nākamo lappusi vai katru nākamo parakstu. </w:t>
            </w:r>
            <w:r w:rsidR="00642DEF" w:rsidRPr="00101BFD">
              <w:rPr>
                <w:iCs/>
              </w:rPr>
              <w:t xml:space="preserve">Noteikumu projekts noteic vienādu </w:t>
            </w:r>
            <w:r w:rsidR="006C43E7">
              <w:rPr>
                <w:iCs/>
              </w:rPr>
              <w:t>likmi 40</w:t>
            </w:r>
            <w:r w:rsidR="00642DEF" w:rsidRPr="00101BFD">
              <w:rPr>
                <w:iCs/>
              </w:rPr>
              <w:t xml:space="preserve"> </w:t>
            </w:r>
            <w:proofErr w:type="spellStart"/>
            <w:r w:rsidR="00642DEF" w:rsidRPr="00101BFD">
              <w:rPr>
                <w:i/>
                <w:iCs/>
              </w:rPr>
              <w:t>euro</w:t>
            </w:r>
            <w:proofErr w:type="spellEnd"/>
            <w:r w:rsidR="00642DEF" w:rsidRPr="00101BFD">
              <w:rPr>
                <w:iCs/>
              </w:rPr>
              <w:t xml:space="preserve"> apmēr</w:t>
            </w:r>
            <w:r w:rsidR="00A26712" w:rsidRPr="00101BFD">
              <w:rPr>
                <w:iCs/>
              </w:rPr>
              <w:t xml:space="preserve">ā par notariālu darbību </w:t>
            </w:r>
            <w:r w:rsidR="005E0E74" w:rsidRPr="00101BFD">
              <w:rPr>
                <w:iCs/>
              </w:rPr>
              <w:t>p</w:t>
            </w:r>
            <w:r w:rsidR="00A26712" w:rsidRPr="00101BFD">
              <w:rPr>
                <w:iCs/>
              </w:rPr>
              <w:t xml:space="preserve">ar </w:t>
            </w:r>
            <w:r w:rsidR="00A26712" w:rsidRPr="00101BFD">
              <w:rPr>
                <w:rFonts w:eastAsia="Calibri"/>
              </w:rPr>
              <w:t xml:space="preserve">vienu </w:t>
            </w:r>
            <w:r w:rsidR="00A26712" w:rsidRPr="00101BFD">
              <w:rPr>
                <w:rFonts w:eastAsia="Calibri"/>
              </w:rPr>
              <w:lastRenderedPageBreak/>
              <w:t>ierakstu notariālo aktu grāmatā vai reģistrā</w:t>
            </w:r>
            <w:r w:rsidR="00A26712" w:rsidRPr="00101BFD">
              <w:rPr>
                <w:iCs/>
              </w:rPr>
              <w:t>,</w:t>
            </w:r>
            <w:r w:rsidR="004D196E">
              <w:rPr>
                <w:iCs/>
              </w:rPr>
              <w:t xml:space="preserve"> neatkarīgi no lappušu skaita,</w:t>
            </w:r>
            <w:r w:rsidR="00A26712" w:rsidRPr="00101BFD">
              <w:rPr>
                <w:iCs/>
              </w:rPr>
              <w:t xml:space="preserve"> tādējādi vienkāršojot maksājuma aprēķināšanu.</w:t>
            </w:r>
            <w:r w:rsidR="005539AB">
              <w:rPr>
                <w:iCs/>
              </w:rPr>
              <w:t xml:space="preserve"> Ar </w:t>
            </w:r>
            <w:r w:rsidR="005539AB" w:rsidRPr="005539AB">
              <w:rPr>
                <w:iCs/>
              </w:rPr>
              <w:t>Ministru kabineta 2018. gada 21. novembra noteikumu Nr. 706 “</w:t>
            </w:r>
            <w:r w:rsidR="005539AB" w:rsidRPr="005539AB">
              <w:rPr>
                <w:bCs/>
                <w:iCs/>
              </w:rPr>
              <w:t>Latvijas Republikas diplomātiskajās un konsulārajās pārstāvniecībās</w:t>
            </w:r>
            <w:r w:rsidR="005539AB">
              <w:rPr>
                <w:bCs/>
                <w:iCs/>
              </w:rPr>
              <w:t xml:space="preserve"> </w:t>
            </w:r>
            <w:r w:rsidR="005539AB" w:rsidRPr="00101BFD">
              <w:rPr>
                <w:bCs/>
                <w:iCs/>
              </w:rPr>
              <w:t>ārvalstīs veicamo notariālo funkciju noteikumi”</w:t>
            </w:r>
            <w:r w:rsidR="005539AB">
              <w:rPr>
                <w:bCs/>
                <w:iCs/>
              </w:rPr>
              <w:t xml:space="preserve"> 9. </w:t>
            </w:r>
            <w:r w:rsidR="00D20617">
              <w:rPr>
                <w:bCs/>
                <w:iCs/>
              </w:rPr>
              <w:t>punktu</w:t>
            </w:r>
            <w:r w:rsidR="005539AB">
              <w:rPr>
                <w:bCs/>
                <w:iCs/>
              </w:rPr>
              <w:t xml:space="preserve"> p</w:t>
            </w:r>
            <w:r w:rsidR="005539AB">
              <w:rPr>
                <w:iCs/>
              </w:rPr>
              <w:t xml:space="preserve">ilnvaru taisīšanas funkcija ir tikusi ierobežota līdz </w:t>
            </w:r>
            <w:r w:rsidR="005539AB" w:rsidRPr="00101BFD">
              <w:rPr>
                <w:iCs/>
              </w:rPr>
              <w:t>konsulārās palīdzības</w:t>
            </w:r>
            <w:r w:rsidR="0046738F">
              <w:rPr>
                <w:iCs/>
              </w:rPr>
              <w:t xml:space="preserve"> sniegšanai</w:t>
            </w:r>
            <w:r w:rsidR="005539AB" w:rsidRPr="00101BFD">
              <w:rPr>
                <w:iCs/>
              </w:rPr>
              <w:t xml:space="preserve"> un bērnu un personu ar ierobežotu rīcībspēju interešu pārstāvībai</w:t>
            </w:r>
            <w:r w:rsidR="0046738F">
              <w:rPr>
                <w:iCs/>
              </w:rPr>
              <w:t xml:space="preserve">. Tādējādi apjoma ziņā ietilpīgo dokumentu sagatavošana </w:t>
            </w:r>
            <w:r w:rsidR="005F2577">
              <w:rPr>
                <w:iCs/>
              </w:rPr>
              <w:t xml:space="preserve">jau </w:t>
            </w:r>
            <w:r w:rsidR="0046738F">
              <w:rPr>
                <w:iCs/>
              </w:rPr>
              <w:t xml:space="preserve">ir tikusi sašaurināta un nav nepieciešams </w:t>
            </w:r>
            <w:r w:rsidR="007722B2">
              <w:rPr>
                <w:iCs/>
              </w:rPr>
              <w:t>noteikt</w:t>
            </w:r>
            <w:r w:rsidR="0046738F">
              <w:rPr>
                <w:iCs/>
              </w:rPr>
              <w:t xml:space="preserve"> atlīdzības likmes atkarībā no lappušu skaita.</w:t>
            </w:r>
          </w:p>
          <w:p w14:paraId="47E7C1B0" w14:textId="37E41E43" w:rsidR="00B01163" w:rsidRPr="00101BFD" w:rsidRDefault="00276F99" w:rsidP="00B01163">
            <w:pPr>
              <w:jc w:val="both"/>
              <w:rPr>
                <w:iCs/>
              </w:rPr>
            </w:pPr>
            <w:r w:rsidRPr="00101BFD">
              <w:rPr>
                <w:iCs/>
              </w:rPr>
              <w:t xml:space="preserve">Kopš 2018. gada 1. jūlija Latvijas zvērinātu notāru interneta portālā </w:t>
            </w:r>
            <w:hyperlink r:id="rId9" w:history="1">
              <w:r w:rsidRPr="00101BFD">
                <w:rPr>
                  <w:rStyle w:val="Hyperlink"/>
                  <w:iCs/>
                  <w:color w:val="auto"/>
                </w:rPr>
                <w:t>www.latvijasnotars.lv</w:t>
              </w:r>
            </w:hyperlink>
            <w:r w:rsidRPr="00101BFD">
              <w:rPr>
                <w:iCs/>
              </w:rPr>
              <w:t xml:space="preserve"> konsultācija pie notāra var notikt videorežīmā un notariālās darbības var veikt attālināti, dokumentus parakstot elektroniski.</w:t>
            </w:r>
            <w:r w:rsidR="005A447E">
              <w:rPr>
                <w:iCs/>
              </w:rPr>
              <w:t xml:space="preserve"> Notariālos pakalpojumus iespējams saņemt arī pie rezidences valsts notāriem</w:t>
            </w:r>
            <w:r w:rsidR="00170CA4">
              <w:rPr>
                <w:iCs/>
              </w:rPr>
              <w:t>, t.sk. Latvijas zvērinātu notāru padome ir padziļināti pētījusi iespējas Latvijā izmantot arī anglosakšu tiesību sistēmas notariātā izgatavotos dokumentus un veiksmīgi konsultē personas šajā jautājumā</w:t>
            </w:r>
            <w:r w:rsidR="009D0E02">
              <w:rPr>
                <w:iCs/>
              </w:rPr>
              <w:t>.</w:t>
            </w:r>
            <w:r w:rsidRPr="00101BFD">
              <w:rPr>
                <w:iCs/>
              </w:rPr>
              <w:t xml:space="preserve"> Noteikumu projekts paaugstina</w:t>
            </w:r>
            <w:r w:rsidR="00A26712" w:rsidRPr="00101BFD">
              <w:rPr>
                <w:iCs/>
              </w:rPr>
              <w:t xml:space="preserve"> konsulārā</w:t>
            </w:r>
            <w:r w:rsidR="00E77CDA">
              <w:rPr>
                <w:iCs/>
              </w:rPr>
              <w:t>s atlīdzības</w:t>
            </w:r>
            <w:r w:rsidR="00A26712" w:rsidRPr="00101BFD">
              <w:rPr>
                <w:iCs/>
              </w:rPr>
              <w:t xml:space="preserve"> likmi</w:t>
            </w:r>
            <w:r w:rsidRPr="00101BFD">
              <w:rPr>
                <w:iCs/>
              </w:rPr>
              <w:t xml:space="preserve"> noteiktu</w:t>
            </w:r>
            <w:r w:rsidR="00B01163" w:rsidRPr="00101BFD">
              <w:rPr>
                <w:iCs/>
              </w:rPr>
              <w:t xml:space="preserve"> notariālo darbību veikšanai pārstāvniecībās, tādējādi veicinot e-pakalpoju</w:t>
            </w:r>
            <w:r w:rsidR="009D0E02">
              <w:rPr>
                <w:iCs/>
              </w:rPr>
              <w:t xml:space="preserve">mu izmantošanu valsts pārvaldē un </w:t>
            </w:r>
            <w:r w:rsidR="00170CA4">
              <w:rPr>
                <w:iCs/>
              </w:rPr>
              <w:t>personu</w:t>
            </w:r>
            <w:r w:rsidR="009D0E02">
              <w:rPr>
                <w:iCs/>
              </w:rPr>
              <w:t xml:space="preserve"> rezidences valsts notariālo pakalpojumu sniedzēj</w:t>
            </w:r>
            <w:r w:rsidR="00170CA4">
              <w:rPr>
                <w:iCs/>
              </w:rPr>
              <w:t>u pakalpojumu izmantošanu</w:t>
            </w:r>
            <w:r w:rsidR="009D0E02">
              <w:rPr>
                <w:iCs/>
              </w:rPr>
              <w:t>.</w:t>
            </w:r>
          </w:p>
          <w:p w14:paraId="0D087B26" w14:textId="77777777" w:rsidR="00FF1979" w:rsidRPr="00101BFD" w:rsidRDefault="00FF1979" w:rsidP="00001941">
            <w:pPr>
              <w:jc w:val="both"/>
              <w:rPr>
                <w:iCs/>
              </w:rPr>
            </w:pPr>
          </w:p>
          <w:p w14:paraId="637D04ED" w14:textId="731AB891" w:rsidR="00101484" w:rsidRPr="009814EC" w:rsidRDefault="005F2577" w:rsidP="00001941">
            <w:pPr>
              <w:jc w:val="both"/>
              <w:rPr>
                <w:b/>
              </w:rPr>
            </w:pPr>
            <w:r w:rsidRPr="009814EC">
              <w:rPr>
                <w:b/>
              </w:rPr>
              <w:t>3</w:t>
            </w:r>
            <w:r w:rsidR="00101484" w:rsidRPr="009814EC">
              <w:rPr>
                <w:b/>
              </w:rPr>
              <w:t xml:space="preserve">. Dokumentu </w:t>
            </w:r>
            <w:r w:rsidRPr="009814EC">
              <w:rPr>
                <w:b/>
              </w:rPr>
              <w:t xml:space="preserve">izprasīšana un </w:t>
            </w:r>
            <w:r w:rsidR="00101484" w:rsidRPr="009814EC">
              <w:rPr>
                <w:b/>
              </w:rPr>
              <w:t>pārsūtīšana</w:t>
            </w:r>
            <w:r w:rsidRPr="009814EC">
              <w:rPr>
                <w:b/>
              </w:rPr>
              <w:t xml:space="preserve"> Latvijas  iestādēm</w:t>
            </w:r>
            <w:r w:rsidR="00101484" w:rsidRPr="009814EC">
              <w:rPr>
                <w:b/>
              </w:rPr>
              <w:t xml:space="preserve"> ar pārstāvniecības starpniecību</w:t>
            </w:r>
          </w:p>
          <w:p w14:paraId="034524EA" w14:textId="2DA8D90E" w:rsidR="008C532F" w:rsidRPr="00101BFD" w:rsidRDefault="008C532F" w:rsidP="00001941">
            <w:pPr>
              <w:jc w:val="both"/>
            </w:pPr>
            <w:r w:rsidRPr="00101BFD">
              <w:t xml:space="preserve">Šajā konsulārajā </w:t>
            </w:r>
            <w:r w:rsidR="00170CA4">
              <w:t>pakalpojumā</w:t>
            </w:r>
            <w:r w:rsidRPr="00101BFD">
              <w:t xml:space="preserve"> konsolid</w:t>
            </w:r>
            <w:r w:rsidR="002766FB" w:rsidRPr="00101BFD">
              <w:t>ēts</w:t>
            </w:r>
            <w:r w:rsidR="00381672">
              <w:t xml:space="preserve"> Noteikumu Nr. 707 P</w:t>
            </w:r>
            <w:r w:rsidRPr="00101BFD">
              <w:t>ielikuma 1.</w:t>
            </w:r>
            <w:r w:rsidR="000F5FB8" w:rsidRPr="00101BFD">
              <w:t> punkts</w:t>
            </w:r>
            <w:r w:rsidRPr="00101BFD">
              <w:t xml:space="preserve"> (dokumentu izprasīšana no Latvijas iestādēm ar pārstāvniecības starpniecību), </w:t>
            </w:r>
            <w:r w:rsidR="00D51602" w:rsidRPr="00101BFD">
              <w:t>6.1. punkts (dokumentu pārsūtīšana pases vai personas apliecības vai pases un personas apliecības noformēšanai), 6.2.</w:t>
            </w:r>
            <w:r w:rsidR="001C1615">
              <w:t> punkts</w:t>
            </w:r>
            <w:r w:rsidR="00D51602" w:rsidRPr="00101BFD">
              <w:t xml:space="preserve"> (citu dokumentu pārsūtīšana konsulāro funkciju veikšanai), </w:t>
            </w:r>
            <w:r w:rsidRPr="00101BFD">
              <w:t>9.2.</w:t>
            </w:r>
            <w:r w:rsidR="000F5FB8" w:rsidRPr="00101BFD">
              <w:t> punkts</w:t>
            </w:r>
            <w:r w:rsidRPr="00101BFD">
              <w:t xml:space="preserve"> (citu dokumentu pieņemšana un pārsūtī</w:t>
            </w:r>
            <w:r w:rsidR="00F03ADD" w:rsidRPr="00101BFD">
              <w:t xml:space="preserve">šana </w:t>
            </w:r>
            <w:r w:rsidRPr="00101BFD">
              <w:t>uzturēšanās atļaujas noformēšanai).</w:t>
            </w:r>
          </w:p>
          <w:p w14:paraId="761C8CB0" w14:textId="1F7222C9" w:rsidR="00101484" w:rsidRPr="00101BFD" w:rsidRDefault="009B3178" w:rsidP="00101484">
            <w:pPr>
              <w:jc w:val="both"/>
              <w:rPr>
                <w:iCs/>
              </w:rPr>
            </w:pPr>
            <w:r w:rsidRPr="00101BFD">
              <w:rPr>
                <w:iCs/>
              </w:rPr>
              <w:t xml:space="preserve">Noteikumu projekts noteic, ka konsulārās atlīdzības likme dokumentu pārsūtīšanai pases un/vai personas apliecības noformēšanai tiek samazināta no 45 </w:t>
            </w:r>
            <w:proofErr w:type="spellStart"/>
            <w:r w:rsidRPr="00101BFD">
              <w:rPr>
                <w:i/>
                <w:iCs/>
              </w:rPr>
              <w:t>euro</w:t>
            </w:r>
            <w:proofErr w:type="spellEnd"/>
            <w:r w:rsidR="001E7398">
              <w:rPr>
                <w:iCs/>
              </w:rPr>
              <w:t xml:space="preserve"> uz 40</w:t>
            </w:r>
            <w:r w:rsidRPr="00101BFD">
              <w:rPr>
                <w:iCs/>
              </w:rPr>
              <w:t xml:space="preserve"> </w:t>
            </w:r>
            <w:proofErr w:type="spellStart"/>
            <w:r w:rsidRPr="00101BFD">
              <w:rPr>
                <w:i/>
                <w:iCs/>
              </w:rPr>
              <w:t>euro</w:t>
            </w:r>
            <w:proofErr w:type="spellEnd"/>
            <w:r>
              <w:rPr>
                <w:iCs/>
              </w:rPr>
              <w:t xml:space="preserve">, tādējādi atvieglojot pieejamību konsulārajiem pakalpojumiem, kas nozīmīgi Latvijas diasporas saiknes ar Latviju </w:t>
            </w:r>
            <w:r w:rsidR="00A51341">
              <w:rPr>
                <w:iCs/>
              </w:rPr>
              <w:t xml:space="preserve">uzturēšanai un </w:t>
            </w:r>
            <w:r>
              <w:rPr>
                <w:iCs/>
              </w:rPr>
              <w:t xml:space="preserve">stiprināšanai. </w:t>
            </w:r>
            <w:r w:rsidR="00101484" w:rsidRPr="00101BFD">
              <w:rPr>
                <w:iCs/>
              </w:rPr>
              <w:t xml:space="preserve">Arī Diasporas likuma 4. panta vienpadsmitā daļa un 14. panta pirmā daļa noteic, ka diasporas politikas uzdevums ir atbalstīt un veicināt diasporas pilsonisko </w:t>
            </w:r>
            <w:r w:rsidR="00101484" w:rsidRPr="00101BFD">
              <w:rPr>
                <w:iCs/>
              </w:rPr>
              <w:lastRenderedPageBreak/>
              <w:t>un politisko līdzdalību, tai skaitā, veicinot balsstiesīgo Latvijas pilsoņu dalību vēlēšanās.</w:t>
            </w:r>
            <w:r w:rsidR="00C55863">
              <w:rPr>
                <w:iCs/>
              </w:rPr>
              <w:t xml:space="preserve"> </w:t>
            </w:r>
            <w:r w:rsidR="008265D4">
              <w:rPr>
                <w:iCs/>
              </w:rPr>
              <w:t xml:space="preserve">Gan </w:t>
            </w:r>
            <w:r w:rsidR="00101484" w:rsidRPr="00101BFD">
              <w:rPr>
                <w:iCs/>
              </w:rPr>
              <w:t>pilsonības jautājuma risināšanā, gan politiskās līdzdalības īstenošanā</w:t>
            </w:r>
            <w:r w:rsidR="00977901">
              <w:rPr>
                <w:iCs/>
              </w:rPr>
              <w:t xml:space="preserve"> </w:t>
            </w:r>
            <w:r w:rsidR="00101484" w:rsidRPr="00101BFD">
              <w:rPr>
                <w:iCs/>
              </w:rPr>
              <w:t xml:space="preserve">būtiska loma ir personas </w:t>
            </w:r>
            <w:r>
              <w:rPr>
                <w:iCs/>
              </w:rPr>
              <w:t>apliecinoša dokumenta iegūšanai, ko nodrošina pārstāvniecības.</w:t>
            </w:r>
            <w:r w:rsidR="00101484" w:rsidRPr="00101BFD">
              <w:rPr>
                <w:iCs/>
              </w:rPr>
              <w:t xml:space="preserve"> </w:t>
            </w:r>
            <w:r w:rsidR="007629D9" w:rsidRPr="007629D9">
              <w:rPr>
                <w:iCs/>
              </w:rPr>
              <w:t>Tāpat ņemams vērā, ka Administratīvo pārkāpumu kodeksa 186. pants šobrīd paredz administratīvo atbildību par Latvijas valstspiederīgā dzīvošanu bez Latvijas izsniegta derīga personu apliecinoša dokumenta.</w:t>
            </w:r>
            <w:r w:rsidR="009814EC">
              <w:rPr>
                <w:iCs/>
              </w:rPr>
              <w:t xml:space="preserve"> Papildus, personai pastāvīgi uzturoties ārvalstīs</w:t>
            </w:r>
            <w:r w:rsidR="00757D6D">
              <w:rPr>
                <w:iCs/>
              </w:rPr>
              <w:t>,</w:t>
            </w:r>
            <w:r w:rsidR="009814EC">
              <w:rPr>
                <w:iCs/>
              </w:rPr>
              <w:t xml:space="preserve"> personu apliecinoša dokumenta savlaicīga atjaunošana  ir būtiska arī, lai ievērotu savas rezidences valsts prasības ārvalstniekam uzrādīt derīgu personu apliecinošu dokumentu.</w:t>
            </w:r>
            <w:r w:rsidR="007629D9" w:rsidRPr="007629D9">
              <w:rPr>
                <w:iCs/>
              </w:rPr>
              <w:t xml:space="preserve"> Līdz ar to personu apliecinošu dokumentu iegūšanas atvieglošana veicina diasporai svarīgu jautājumu kārtošanu.</w:t>
            </w:r>
            <w:r w:rsidR="00C530F4">
              <w:rPr>
                <w:iCs/>
              </w:rPr>
              <w:t xml:space="preserve"> Šis Noteikumu projekta punkts samazina konsulārās atlīdzības apmēru arī attiecībā uz visiem citiem gadījumiem, kad normat</w:t>
            </w:r>
            <w:r w:rsidR="00F14065">
              <w:rPr>
                <w:iCs/>
              </w:rPr>
              <w:t>īvie akti paredz</w:t>
            </w:r>
            <w:r w:rsidR="00C530F4">
              <w:rPr>
                <w:iCs/>
              </w:rPr>
              <w:t xml:space="preserve"> </w:t>
            </w:r>
            <w:r w:rsidR="00F14065">
              <w:rPr>
                <w:iCs/>
              </w:rPr>
              <w:t xml:space="preserve">iespēju iesniegt </w:t>
            </w:r>
            <w:r w:rsidR="00C530F4">
              <w:rPr>
                <w:iCs/>
              </w:rPr>
              <w:t>dokumentu</w:t>
            </w:r>
            <w:r w:rsidR="00F14065">
              <w:rPr>
                <w:iCs/>
              </w:rPr>
              <w:t>s Latvijas iestādēs</w:t>
            </w:r>
            <w:r w:rsidR="00C530F4">
              <w:rPr>
                <w:iCs/>
              </w:rPr>
              <w:t xml:space="preserve"> ar pārstāvniecības starpniecību.</w:t>
            </w:r>
          </w:p>
          <w:p w14:paraId="65AA57BF" w14:textId="7F4123E8" w:rsidR="00F75ADF" w:rsidRPr="00101BFD" w:rsidRDefault="00DB3CA2" w:rsidP="00F75ADF">
            <w:pPr>
              <w:jc w:val="both"/>
            </w:pPr>
            <w:r w:rsidRPr="00101BFD">
              <w:t xml:space="preserve">Konsulārās atlīdzības </w:t>
            </w:r>
            <w:r w:rsidR="00381672">
              <w:t>likme par Noteikumu Nr. 707 P</w:t>
            </w:r>
            <w:r w:rsidRPr="00101BFD">
              <w:t xml:space="preserve">ielikuma 9.2. punktā noteikto konsulāro funkciju (citu dokumentu pieņemšana un pārsūtīšana uzturēšanās atļaujas noformēšanai) </w:t>
            </w:r>
            <w:r w:rsidR="00A7210F">
              <w:t xml:space="preserve">šobrīd </w:t>
            </w:r>
            <w:r w:rsidRPr="00101BFD">
              <w:t xml:space="preserve">ir 110 </w:t>
            </w:r>
            <w:proofErr w:type="spellStart"/>
            <w:r w:rsidRPr="00101BFD">
              <w:rPr>
                <w:i/>
              </w:rPr>
              <w:t>euro</w:t>
            </w:r>
            <w:proofErr w:type="spellEnd"/>
            <w:r w:rsidRPr="00101BFD">
              <w:t xml:space="preserve">. Noteikumu projekts </w:t>
            </w:r>
            <w:r w:rsidR="009B3178">
              <w:t>noteic šī</w:t>
            </w:r>
            <w:r w:rsidR="009814EC">
              <w:t xml:space="preserve"> pakalpojuma</w:t>
            </w:r>
            <w:r w:rsidR="00261146">
              <w:t xml:space="preserve"> atdalīšanu no “</w:t>
            </w:r>
            <w:r w:rsidR="00261146" w:rsidRPr="00261146">
              <w:t>Dokumentu pieņemšana un pārsūtīšanu Pilsonības un migrācijas lietu pārvaldei ar pārstāvniecības starpniecību uzturēšanās atļaujas pieprasīšanai</w:t>
            </w:r>
            <w:r w:rsidR="00261146">
              <w:t>”</w:t>
            </w:r>
            <w:r w:rsidR="009B3178">
              <w:t xml:space="preserve"> </w:t>
            </w:r>
            <w:r w:rsidR="00261146">
              <w:t xml:space="preserve">un </w:t>
            </w:r>
            <w:r w:rsidR="009B3178">
              <w:t xml:space="preserve">pievienošanu </w:t>
            </w:r>
            <w:r w:rsidR="009814EC">
              <w:t>pakalpojumam</w:t>
            </w:r>
            <w:r w:rsidR="00451EE6">
              <w:t xml:space="preserve"> </w:t>
            </w:r>
            <w:r w:rsidR="009B3178">
              <w:t>“Dokumentu pārsūtīšana</w:t>
            </w:r>
            <w:r w:rsidR="009B3178" w:rsidRPr="009B3178">
              <w:t xml:space="preserve"> ar pārstāvniecības starpniecību</w:t>
            </w:r>
            <w:r w:rsidR="009B3178">
              <w:t xml:space="preserve">” un līdz ar to likmes samazināšanu līdz </w:t>
            </w:r>
            <w:r w:rsidR="00063F84">
              <w:t>40</w:t>
            </w:r>
            <w:r w:rsidRPr="00101BFD">
              <w:t xml:space="preserve"> </w:t>
            </w:r>
            <w:proofErr w:type="spellStart"/>
            <w:r w:rsidRPr="00101BFD">
              <w:rPr>
                <w:i/>
              </w:rPr>
              <w:t>euro</w:t>
            </w:r>
            <w:proofErr w:type="spellEnd"/>
            <w:r w:rsidRPr="00101BFD">
              <w:t xml:space="preserve">. Likme ir samazināma, jo šie </w:t>
            </w:r>
            <w:r w:rsidR="00A7210F">
              <w:t xml:space="preserve">pārsūtāmie </w:t>
            </w:r>
            <w:r w:rsidRPr="00101BFD">
              <w:t>dokumenti ir papilddokumenti pie uzturēšanās atļaujas pieprasīšanas</w:t>
            </w:r>
            <w:r w:rsidR="004B4440">
              <w:t xml:space="preserve"> jau esošā pieprasījuma lietā. </w:t>
            </w:r>
            <w:r w:rsidRPr="00101BFD">
              <w:t xml:space="preserve"> </w:t>
            </w:r>
            <w:r w:rsidR="004B4440">
              <w:t xml:space="preserve">Šāds dokuments var būt, piemēram, </w:t>
            </w:r>
            <w:r w:rsidR="00007D9E">
              <w:t>papildu</w:t>
            </w:r>
            <w:r w:rsidR="004B4440">
              <w:t xml:space="preserve"> pierādījums naudas līdzekļu pietiekamībai, lai uzturētos Latvijā. Tātad </w:t>
            </w:r>
            <w:r w:rsidR="00A7210F">
              <w:t xml:space="preserve">ārzemnieks </w:t>
            </w:r>
            <w:r w:rsidR="004B4440">
              <w:t xml:space="preserve">jau </w:t>
            </w:r>
            <w:r w:rsidR="00A7210F">
              <w:t>ir samaksājis konsulāro atlīdzību</w:t>
            </w:r>
            <w:r w:rsidRPr="00101BFD">
              <w:t xml:space="preserve"> 80</w:t>
            </w:r>
            <w:r w:rsidR="00A7210F">
              <w:t xml:space="preserve"> </w:t>
            </w:r>
            <w:proofErr w:type="spellStart"/>
            <w:r w:rsidR="00A7210F" w:rsidRPr="00A7210F">
              <w:rPr>
                <w:i/>
              </w:rPr>
              <w:t>euro</w:t>
            </w:r>
            <w:proofErr w:type="spellEnd"/>
            <w:r w:rsidR="00A7210F">
              <w:t xml:space="preserve"> apmērā (ja ārzemnieks ir, piemēram, students)</w:t>
            </w:r>
            <w:r w:rsidRPr="00101BFD">
              <w:t xml:space="preserve"> vai 110</w:t>
            </w:r>
            <w:r w:rsidR="00A7210F">
              <w:t xml:space="preserve"> </w:t>
            </w:r>
            <w:proofErr w:type="spellStart"/>
            <w:r w:rsidR="00A7210F" w:rsidRPr="00A7210F">
              <w:rPr>
                <w:i/>
              </w:rPr>
              <w:t>euro</w:t>
            </w:r>
            <w:proofErr w:type="spellEnd"/>
            <w:r w:rsidR="00A7210F">
              <w:t xml:space="preserve"> apmērā </w:t>
            </w:r>
            <w:r w:rsidR="005C6152">
              <w:t xml:space="preserve">(ja </w:t>
            </w:r>
            <w:r w:rsidR="00823996">
              <w:t xml:space="preserve">citas </w:t>
            </w:r>
            <w:r w:rsidR="005C6152">
              <w:t>kategorijas</w:t>
            </w:r>
            <w:r w:rsidR="00A7210F">
              <w:t xml:space="preserve"> </w:t>
            </w:r>
            <w:r w:rsidR="005C6152">
              <w:t>ārzemnieks</w:t>
            </w:r>
            <w:r w:rsidR="00A7210F">
              <w:t>), kad ārzemnieks iesniedza sākotnējos dokumentus uzturēšanās at</w:t>
            </w:r>
            <w:r w:rsidR="004B4440">
              <w:t>ļaujas pieprasīšanai</w:t>
            </w:r>
            <w:r w:rsidR="00A7210F">
              <w:t xml:space="preserve">. </w:t>
            </w:r>
          </w:p>
          <w:p w14:paraId="5C613CEB" w14:textId="77777777" w:rsidR="00DB3CA2" w:rsidRPr="00101BFD" w:rsidRDefault="00DB3CA2" w:rsidP="00F75ADF">
            <w:pPr>
              <w:jc w:val="both"/>
            </w:pPr>
          </w:p>
          <w:p w14:paraId="3305150F" w14:textId="55887BFC" w:rsidR="00F75ADF" w:rsidRPr="009814EC" w:rsidRDefault="00601673" w:rsidP="00F75ADF">
            <w:pPr>
              <w:jc w:val="both"/>
              <w:rPr>
                <w:b/>
              </w:rPr>
            </w:pPr>
            <w:r w:rsidRPr="009814EC">
              <w:rPr>
                <w:b/>
              </w:rPr>
              <w:t>4</w:t>
            </w:r>
            <w:r w:rsidR="00F75ADF" w:rsidRPr="009814EC">
              <w:rPr>
                <w:b/>
              </w:rPr>
              <w:t>. Konsulārās funkcijas veikšana ārpus pārstāvniecības</w:t>
            </w:r>
          </w:p>
          <w:p w14:paraId="6505AD40" w14:textId="255FF327" w:rsidR="00F75ADF" w:rsidRPr="00101BFD" w:rsidRDefault="00F75ADF" w:rsidP="00F75ADF">
            <w:pPr>
              <w:jc w:val="both"/>
            </w:pPr>
            <w:r w:rsidRPr="00101BFD">
              <w:t xml:space="preserve">Šajā konsulārajā </w:t>
            </w:r>
            <w:r w:rsidR="009814EC">
              <w:t>pakalpojumā</w:t>
            </w:r>
            <w:r w:rsidRPr="00101BFD">
              <w:t xml:space="preserve"> ko</w:t>
            </w:r>
            <w:r w:rsidR="00381672">
              <w:t>nsolidēts Noteikumu Nr. 707 P</w:t>
            </w:r>
            <w:r w:rsidRPr="00101BFD">
              <w:t>ielikuma 4.4.</w:t>
            </w:r>
            <w:r w:rsidR="00AF1310" w:rsidRPr="00101BFD">
              <w:t xml:space="preserve"> punkts </w:t>
            </w:r>
            <w:r w:rsidRPr="00101BFD">
              <w:t>(konsulārās amatpersonas izbraukums, veicot notariālo darbību ārpus pārstāvniecības telp</w:t>
            </w:r>
            <w:r w:rsidR="00AF1310" w:rsidRPr="00101BFD">
              <w:t>ām) un 12. punkts</w:t>
            </w:r>
            <w:r w:rsidRPr="00101BFD">
              <w:t xml:space="preserve"> </w:t>
            </w:r>
            <w:r w:rsidRPr="00101BFD">
              <w:lastRenderedPageBreak/>
              <w:t>(konsulārā pakalpojuma sniegšana ārpus pārstāvniecības izbraukuma sesijas ietvaros).</w:t>
            </w:r>
          </w:p>
          <w:p w14:paraId="089F8F4F" w14:textId="51B64707" w:rsidR="00101484" w:rsidRPr="00101BFD" w:rsidRDefault="001B5144" w:rsidP="00001941">
            <w:pPr>
              <w:jc w:val="both"/>
            </w:pPr>
            <w:r w:rsidRPr="00101BFD">
              <w:t xml:space="preserve">Noteikumi Nr. 707 noteic, ka konsulārās atlīdzības likme par konsulārās amatpersonas izbraukumu, veicot notariālo darbību ārpus pārstāvniecības telpām, ir 100 </w:t>
            </w:r>
            <w:proofErr w:type="spellStart"/>
            <w:r w:rsidRPr="00101BFD">
              <w:rPr>
                <w:i/>
              </w:rPr>
              <w:t>euro</w:t>
            </w:r>
            <w:proofErr w:type="spellEnd"/>
            <w:r w:rsidRPr="00101BFD">
              <w:t xml:space="preserve"> un  par konsulārā pakalpojuma sniegšanu ārpus pārstāvniecības izbraukuma sesijas ietvaros – 15 </w:t>
            </w:r>
            <w:proofErr w:type="spellStart"/>
            <w:r w:rsidRPr="00101BFD">
              <w:rPr>
                <w:i/>
              </w:rPr>
              <w:t>euro</w:t>
            </w:r>
            <w:proofErr w:type="spellEnd"/>
            <w:r w:rsidRPr="00101BFD">
              <w:t>.</w:t>
            </w:r>
            <w:r w:rsidR="00660DA3" w:rsidRPr="00101BFD">
              <w:t xml:space="preserve"> Noteikumu projekts nosaka vienu konsulāro likm</w:t>
            </w:r>
            <w:r w:rsidR="005B09BB">
              <w:t>i 40</w:t>
            </w:r>
            <w:r w:rsidR="00660DA3" w:rsidRPr="00101BFD">
              <w:t xml:space="preserve"> </w:t>
            </w:r>
            <w:proofErr w:type="spellStart"/>
            <w:r w:rsidR="00660DA3" w:rsidRPr="00101BFD">
              <w:rPr>
                <w:i/>
              </w:rPr>
              <w:t>euro</w:t>
            </w:r>
            <w:proofErr w:type="spellEnd"/>
            <w:r w:rsidR="00660DA3" w:rsidRPr="00101BFD">
              <w:t xml:space="preserve"> apmērā.</w:t>
            </w:r>
            <w:r w:rsidR="00391A98">
              <w:t xml:space="preserve"> Konsulārā amatpersona</w:t>
            </w:r>
            <w:r w:rsidR="00391A98" w:rsidRPr="00391A98">
              <w:t xml:space="preserve"> izbraukumu notariālo darbību</w:t>
            </w:r>
            <w:r w:rsidR="00391A98">
              <w:t xml:space="preserve"> veikšanai</w:t>
            </w:r>
            <w:r w:rsidR="00391A98" w:rsidRPr="00391A98">
              <w:t xml:space="preserve"> ārpus pārstāvniecības telpām</w:t>
            </w:r>
            <w:r w:rsidR="00391A98">
              <w:t xml:space="preserve"> veic tikai konsulārās palīdzības ietvaros, </w:t>
            </w:r>
            <w:r w:rsidR="00DA4A51">
              <w:t>t</w:t>
            </w:r>
            <w:r w:rsidR="00BC33C5">
              <w:t>ādējādi</w:t>
            </w:r>
            <w:r w:rsidR="00DA4A51">
              <w:t xml:space="preserve"> likmes samazināšana atvieglo </w:t>
            </w:r>
            <w:r w:rsidR="00BC33C5">
              <w:t>konsulāro pakalpojumu saņemšanu konsulārās palīdzības ietvaros.</w:t>
            </w:r>
          </w:p>
          <w:p w14:paraId="5272DB24" w14:textId="3C438B3D" w:rsidR="00185342" w:rsidRPr="00101BFD" w:rsidRDefault="00185342" w:rsidP="00001941">
            <w:pPr>
              <w:jc w:val="both"/>
            </w:pPr>
          </w:p>
          <w:p w14:paraId="0959880B" w14:textId="6329A99D" w:rsidR="00101484" w:rsidRPr="009814EC" w:rsidRDefault="00601673" w:rsidP="00001941">
            <w:pPr>
              <w:jc w:val="both"/>
              <w:rPr>
                <w:b/>
              </w:rPr>
            </w:pPr>
            <w:r w:rsidRPr="009814EC">
              <w:rPr>
                <w:b/>
              </w:rPr>
              <w:t>5</w:t>
            </w:r>
            <w:r w:rsidR="00101484" w:rsidRPr="009814EC">
              <w:rPr>
                <w:b/>
              </w:rPr>
              <w:t>. Uzaicinājuma noformēšana vienotās vīzas saņemšanai</w:t>
            </w:r>
          </w:p>
          <w:p w14:paraId="4D64858F" w14:textId="42F356E0" w:rsidR="008E0B2A" w:rsidRPr="00101BFD" w:rsidRDefault="00381672" w:rsidP="008E0B2A">
            <w:pPr>
              <w:jc w:val="both"/>
            </w:pPr>
            <w:r>
              <w:t>Noteikumu Nr. 707 P</w:t>
            </w:r>
            <w:r w:rsidR="008E0B2A" w:rsidRPr="00101BFD">
              <w:t>ielikums noteic likmi par uzaicinājuma noformēšana vienotās vīzas saņemšanai</w:t>
            </w:r>
          </w:p>
          <w:p w14:paraId="7C017507" w14:textId="56EC82A9" w:rsidR="002766FB" w:rsidRPr="00101BFD" w:rsidRDefault="008E0B2A" w:rsidP="00001941">
            <w:pPr>
              <w:jc w:val="both"/>
            </w:pPr>
            <w:r w:rsidRPr="00101BFD">
              <w:t xml:space="preserve">25 </w:t>
            </w:r>
            <w:proofErr w:type="spellStart"/>
            <w:r w:rsidRPr="00101BFD">
              <w:rPr>
                <w:i/>
              </w:rPr>
              <w:t>euro</w:t>
            </w:r>
            <w:proofErr w:type="spellEnd"/>
            <w:r w:rsidRPr="00101BFD">
              <w:t xml:space="preserve"> apmērā. </w:t>
            </w:r>
            <w:r w:rsidR="00185342" w:rsidRPr="00101BFD">
              <w:t xml:space="preserve">Noteikumu projekts noteic, ka konsulārā likme tiek </w:t>
            </w:r>
            <w:r w:rsidR="00EA18C9">
              <w:t>noteikta vienāda ar cit</w:t>
            </w:r>
            <w:r w:rsidR="00B426BE">
              <w:t xml:space="preserve">ām </w:t>
            </w:r>
            <w:r w:rsidR="00EA18C9">
              <w:t>likmēm</w:t>
            </w:r>
            <w:r w:rsidR="00B426BE">
              <w:t xml:space="preserve"> Noteikumu projektā</w:t>
            </w:r>
            <w:r w:rsidR="00EA18C9">
              <w:t xml:space="preserve"> - </w:t>
            </w:r>
            <w:r w:rsidR="001C0AF7">
              <w:t>40</w:t>
            </w:r>
            <w:r w:rsidR="00185342" w:rsidRPr="00101BFD">
              <w:t xml:space="preserve"> </w:t>
            </w:r>
            <w:proofErr w:type="spellStart"/>
            <w:r w:rsidR="00185342" w:rsidRPr="00101BFD">
              <w:rPr>
                <w:i/>
              </w:rPr>
              <w:t>euro</w:t>
            </w:r>
            <w:proofErr w:type="spellEnd"/>
            <w:r w:rsidR="00EA18C9">
              <w:rPr>
                <w:i/>
              </w:rPr>
              <w:t xml:space="preserve"> </w:t>
            </w:r>
            <w:r w:rsidR="00EA18C9">
              <w:t>apmērā</w:t>
            </w:r>
            <w:r w:rsidR="009814EC">
              <w:t xml:space="preserve">, </w:t>
            </w:r>
            <w:r w:rsidR="00EA18C9">
              <w:t xml:space="preserve">tādējādi </w:t>
            </w:r>
            <w:r w:rsidR="003C60EF">
              <w:t xml:space="preserve">palīdzot sasniegt </w:t>
            </w:r>
            <w:r w:rsidR="00A65600">
              <w:t xml:space="preserve">vienu no </w:t>
            </w:r>
            <w:r w:rsidR="003C60EF">
              <w:t>Noteikuma projekta mērķi</w:t>
            </w:r>
            <w:r w:rsidR="00A65600">
              <w:t>em</w:t>
            </w:r>
            <w:r w:rsidR="003C60EF">
              <w:t xml:space="preserve"> - </w:t>
            </w:r>
            <w:r w:rsidR="00F00FBF">
              <w:t>vienkār</w:t>
            </w:r>
            <w:r w:rsidR="003C60EF">
              <w:t>š</w:t>
            </w:r>
            <w:r w:rsidR="00EA18C9">
              <w:t>ot</w:t>
            </w:r>
            <w:r w:rsidR="00F00FBF">
              <w:t xml:space="preserve"> maksājuma aprēķināšanu par konsulāro pakalpojumu izmantošanu.</w:t>
            </w:r>
          </w:p>
          <w:p w14:paraId="441FE159" w14:textId="77777777" w:rsidR="00F75ADF" w:rsidRPr="00101BFD" w:rsidRDefault="00F75ADF" w:rsidP="00001941">
            <w:pPr>
              <w:jc w:val="both"/>
            </w:pPr>
          </w:p>
          <w:p w14:paraId="0259C10D" w14:textId="2A444AC5" w:rsidR="00101484" w:rsidRPr="009814EC" w:rsidRDefault="00601673" w:rsidP="00001941">
            <w:pPr>
              <w:jc w:val="both"/>
              <w:rPr>
                <w:b/>
              </w:rPr>
            </w:pPr>
            <w:r w:rsidRPr="009814EC">
              <w:rPr>
                <w:b/>
              </w:rPr>
              <w:t>6</w:t>
            </w:r>
            <w:r w:rsidR="00101484" w:rsidRPr="009814EC">
              <w:rPr>
                <w:b/>
              </w:rPr>
              <w:t>. Dokumentu pieņemšana un pārsūtīšanu Pilsonības un migrācijas lietu pārvaldei ar pārstāvniecības starpniecību uzt</w:t>
            </w:r>
            <w:r w:rsidR="00346F28" w:rsidRPr="009814EC">
              <w:rPr>
                <w:b/>
              </w:rPr>
              <w:t>urēšanās atļaujas pieprasīšanai</w:t>
            </w:r>
          </w:p>
          <w:p w14:paraId="7BD1AA15" w14:textId="38DEADB9" w:rsidR="000776FC" w:rsidRPr="00101BFD" w:rsidRDefault="00A14753" w:rsidP="00D673E8">
            <w:pPr>
              <w:jc w:val="both"/>
            </w:pPr>
            <w:r w:rsidRPr="00101BFD">
              <w:rPr>
                <w:iCs/>
              </w:rPr>
              <w:t>Noteikumu projektā k</w:t>
            </w:r>
            <w:r w:rsidR="00CE648B" w:rsidRPr="00101BFD">
              <w:rPr>
                <w:iCs/>
              </w:rPr>
              <w:t xml:space="preserve">onsulārās atlīdzības </w:t>
            </w:r>
            <w:r w:rsidR="00346F28">
              <w:rPr>
                <w:iCs/>
              </w:rPr>
              <w:t>likmes</w:t>
            </w:r>
            <w:r w:rsidR="00CE648B" w:rsidRPr="00101BFD">
              <w:rPr>
                <w:iCs/>
              </w:rPr>
              <w:t xml:space="preserve"> par dokumentu pieņemšanu un pārsūtīšanu </w:t>
            </w:r>
            <w:r w:rsidR="00B40866" w:rsidRPr="00101BFD">
              <w:rPr>
                <w:iCs/>
              </w:rPr>
              <w:t xml:space="preserve">uzturēšanās atļaujas noformēšanai </w:t>
            </w:r>
            <w:r w:rsidR="00346F28">
              <w:rPr>
                <w:iCs/>
              </w:rPr>
              <w:t>tiek saglabātas</w:t>
            </w:r>
            <w:r w:rsidR="00CE648B" w:rsidRPr="00101BFD">
              <w:rPr>
                <w:iCs/>
              </w:rPr>
              <w:t xml:space="preserve"> </w:t>
            </w:r>
            <w:r w:rsidR="00346F28">
              <w:rPr>
                <w:iCs/>
              </w:rPr>
              <w:t>tādas, kādas noteiktas</w:t>
            </w:r>
            <w:r w:rsidRPr="00101BFD">
              <w:rPr>
                <w:iCs/>
              </w:rPr>
              <w:t xml:space="preserve"> Noteikumos Nr. 707</w:t>
            </w:r>
            <w:r w:rsidR="005F2ABD">
              <w:rPr>
                <w:iCs/>
              </w:rPr>
              <w:t>:</w:t>
            </w:r>
            <w:r w:rsidR="00CE648B" w:rsidRPr="00101BFD">
              <w:rPr>
                <w:iCs/>
              </w:rPr>
              <w:t xml:space="preserve"> 80</w:t>
            </w:r>
            <w:r w:rsidR="005F0AE0" w:rsidRPr="00101BFD">
              <w:rPr>
                <w:iCs/>
              </w:rPr>
              <w:t xml:space="preserve"> </w:t>
            </w:r>
            <w:proofErr w:type="spellStart"/>
            <w:r w:rsidR="005F0AE0" w:rsidRPr="00101BFD">
              <w:rPr>
                <w:i/>
                <w:iCs/>
              </w:rPr>
              <w:t>euro</w:t>
            </w:r>
            <w:proofErr w:type="spellEnd"/>
            <w:r w:rsidR="00CE648B" w:rsidRPr="00101BFD">
              <w:rPr>
                <w:iCs/>
              </w:rPr>
              <w:t xml:space="preserve"> </w:t>
            </w:r>
            <w:r w:rsidR="00CA570C" w:rsidRPr="00101BFD">
              <w:rPr>
                <w:iCs/>
              </w:rPr>
              <w:t xml:space="preserve">un </w:t>
            </w:r>
            <w:r w:rsidR="00CE648B" w:rsidRPr="00101BFD">
              <w:rPr>
                <w:iCs/>
              </w:rPr>
              <w:t xml:space="preserve">110 </w:t>
            </w:r>
            <w:proofErr w:type="spellStart"/>
            <w:r w:rsidR="00CE648B" w:rsidRPr="00101BFD">
              <w:rPr>
                <w:i/>
                <w:iCs/>
              </w:rPr>
              <w:t>euro</w:t>
            </w:r>
            <w:proofErr w:type="spellEnd"/>
            <w:r w:rsidR="00CA570C" w:rsidRPr="00101BFD">
              <w:rPr>
                <w:iCs/>
              </w:rPr>
              <w:t xml:space="preserve"> atkarībā no uzturēšanās atļaujas pieprasītāja tiesiskā statusa</w:t>
            </w:r>
            <w:r w:rsidR="00CE648B" w:rsidRPr="00101BFD">
              <w:rPr>
                <w:iCs/>
              </w:rPr>
              <w:t>. Šī</w:t>
            </w:r>
            <w:r w:rsidR="00781912">
              <w:rPr>
                <w:iCs/>
              </w:rPr>
              <w:t>s likmes nav samazināmas līdz 40</w:t>
            </w:r>
            <w:r w:rsidR="005F0AE0" w:rsidRPr="00101BFD">
              <w:rPr>
                <w:iCs/>
              </w:rPr>
              <w:t xml:space="preserve"> </w:t>
            </w:r>
            <w:proofErr w:type="spellStart"/>
            <w:r w:rsidR="005F0AE0" w:rsidRPr="00101BFD">
              <w:rPr>
                <w:i/>
                <w:iCs/>
              </w:rPr>
              <w:t>euro</w:t>
            </w:r>
            <w:proofErr w:type="spellEnd"/>
            <w:r w:rsidR="00CE648B" w:rsidRPr="00101BFD">
              <w:rPr>
                <w:iCs/>
              </w:rPr>
              <w:t xml:space="preserve">, </w:t>
            </w:r>
            <w:r w:rsidR="00CE648B" w:rsidRPr="00C426DD">
              <w:rPr>
                <w:iCs/>
              </w:rPr>
              <w:t xml:space="preserve">jo </w:t>
            </w:r>
            <w:r w:rsidR="00A17016" w:rsidRPr="00C426DD">
              <w:rPr>
                <w:iCs/>
              </w:rPr>
              <w:t>attiecī</w:t>
            </w:r>
            <w:r w:rsidR="009814EC">
              <w:rPr>
                <w:iCs/>
              </w:rPr>
              <w:t>gais</w:t>
            </w:r>
            <w:r w:rsidR="00A17016" w:rsidRPr="00C426DD">
              <w:rPr>
                <w:iCs/>
              </w:rPr>
              <w:t xml:space="preserve"> </w:t>
            </w:r>
            <w:r w:rsidR="00CE648B" w:rsidRPr="00C426DD">
              <w:rPr>
                <w:iCs/>
              </w:rPr>
              <w:t>konsulār</w:t>
            </w:r>
            <w:r w:rsidR="009814EC">
              <w:rPr>
                <w:iCs/>
              </w:rPr>
              <w:t>ais pakalpojums</w:t>
            </w:r>
            <w:r w:rsidR="00CE648B" w:rsidRPr="00C426DD">
              <w:t xml:space="preserve"> ietver ne tikai konsulārās amatpersonas patērēto laiku par dokumentu pieņemšanu un pārbaudīšanu, bet arī iepriekšējā pieraksta organizēšanu, personas intervēšanai patērēto laiku, dokumentu apstrādi un sagatavošanu nosūtīšanai.</w:t>
            </w:r>
          </w:p>
          <w:p w14:paraId="03BC259D" w14:textId="5EC43A7E" w:rsidR="007510C7" w:rsidRDefault="009814EC" w:rsidP="00DB1B27">
            <w:pPr>
              <w:jc w:val="both"/>
            </w:pPr>
            <w:r>
              <w:t>Noteikumu projekts maina šī konsulārā</w:t>
            </w:r>
            <w:r w:rsidR="007510C7" w:rsidRPr="00101BFD">
              <w:t xml:space="preserve"> </w:t>
            </w:r>
            <w:r>
              <w:t>pakalpojuma</w:t>
            </w:r>
            <w:r w:rsidR="007510C7" w:rsidRPr="00101BFD">
              <w:t xml:space="preserve"> teksta formulējumu, sadalot to vairākos teikumos</w:t>
            </w:r>
            <w:r w:rsidR="00DB1B27" w:rsidRPr="00101BFD">
              <w:t xml:space="preserve">, </w:t>
            </w:r>
            <w:r w:rsidR="007510C7" w:rsidRPr="00101BFD">
              <w:t>tādējādi padarot normas tekstu vieglāk uztveramu.</w:t>
            </w:r>
          </w:p>
          <w:p w14:paraId="5BF48E7D" w14:textId="77777777" w:rsidR="00601673" w:rsidRPr="00101BFD" w:rsidRDefault="00601673" w:rsidP="00DB1B27">
            <w:pPr>
              <w:jc w:val="both"/>
            </w:pPr>
          </w:p>
          <w:p w14:paraId="1704138A" w14:textId="36A1E0F5" w:rsidR="00601673" w:rsidRPr="009814EC" w:rsidRDefault="00601673" w:rsidP="00601673">
            <w:pPr>
              <w:jc w:val="both"/>
              <w:rPr>
                <w:b/>
              </w:rPr>
            </w:pPr>
            <w:r w:rsidRPr="009814EC">
              <w:rPr>
                <w:b/>
              </w:rPr>
              <w:t>7. Dokumenta nosūtīšana personai konsulārā apgabala robežās</w:t>
            </w:r>
          </w:p>
          <w:p w14:paraId="126E5E57" w14:textId="29870D11" w:rsidR="00601673" w:rsidRPr="00101BFD" w:rsidRDefault="009814EC" w:rsidP="00601673">
            <w:pPr>
              <w:jc w:val="both"/>
            </w:pPr>
            <w:r>
              <w:lastRenderedPageBreak/>
              <w:t>Šajā konsulārajā pakalpojumā</w:t>
            </w:r>
            <w:r w:rsidR="00601673" w:rsidRPr="00101BFD">
              <w:t xml:space="preserve"> ko</w:t>
            </w:r>
            <w:r w:rsidR="00601673">
              <w:t>nsolidēts Noteikumu Nr. 707 P</w:t>
            </w:r>
            <w:r w:rsidR="00601673" w:rsidRPr="00101BFD">
              <w:t>ielikuma 7.1. punkts (nosūtīšana ierakstītā sūtījumā) un 7.2. punkts (nosūtīšana ar kurjerpastu).</w:t>
            </w:r>
          </w:p>
          <w:p w14:paraId="2F25F4D7" w14:textId="2DF2465C" w:rsidR="00601673" w:rsidRDefault="009814EC" w:rsidP="00601673">
            <w:pPr>
              <w:jc w:val="both"/>
              <w:rPr>
                <w:iCs/>
              </w:rPr>
            </w:pPr>
            <w:r>
              <w:t>T</w:t>
            </w:r>
            <w:r w:rsidR="00601673">
              <w:t>iek saglabāta Noteikumu Nr. 707 noteiktā konsulārās atlīdzības</w:t>
            </w:r>
            <w:r w:rsidR="00601673">
              <w:rPr>
                <w:iCs/>
              </w:rPr>
              <w:t xml:space="preserve"> likmes noteikšanas kārtība – likmi nosaka </w:t>
            </w:r>
            <w:r w:rsidR="00601673" w:rsidRPr="009438B7">
              <w:rPr>
                <w:iCs/>
              </w:rPr>
              <w:t>Ārliet</w:t>
            </w:r>
            <w:r w:rsidR="00601673">
              <w:rPr>
                <w:iCs/>
              </w:rPr>
              <w:t>u ministrija</w:t>
            </w:r>
            <w:r w:rsidR="00601673" w:rsidRPr="009438B7">
              <w:rPr>
                <w:iCs/>
              </w:rPr>
              <w:t xml:space="preserve"> atbilstoši uzturēšanās valsts pasta izmaksām, bet ne mazāk kā 10 </w:t>
            </w:r>
            <w:proofErr w:type="spellStart"/>
            <w:r w:rsidR="00601673" w:rsidRPr="009438B7">
              <w:rPr>
                <w:i/>
                <w:iCs/>
              </w:rPr>
              <w:t>euro</w:t>
            </w:r>
            <w:proofErr w:type="spellEnd"/>
            <w:r w:rsidR="00601673" w:rsidRPr="009438B7">
              <w:rPr>
                <w:iCs/>
              </w:rPr>
              <w:t xml:space="preserve"> par nosūtīšanu ierakstītā sūtījumā un 20 </w:t>
            </w:r>
            <w:proofErr w:type="spellStart"/>
            <w:r w:rsidR="00601673" w:rsidRPr="009438B7">
              <w:rPr>
                <w:i/>
                <w:iCs/>
              </w:rPr>
              <w:t>euro</w:t>
            </w:r>
            <w:proofErr w:type="spellEnd"/>
            <w:r w:rsidR="00601673" w:rsidRPr="009438B7">
              <w:rPr>
                <w:iCs/>
              </w:rPr>
              <w:t xml:space="preserve"> par nosūtīšanu, izmantojot kurjerpastu</w:t>
            </w:r>
            <w:r w:rsidR="00601673">
              <w:rPr>
                <w:iCs/>
              </w:rPr>
              <w:t>.</w:t>
            </w:r>
          </w:p>
          <w:p w14:paraId="2849299B" w14:textId="77777777" w:rsidR="00F20F33" w:rsidRPr="00101BFD" w:rsidRDefault="00F20F33" w:rsidP="00F20F33">
            <w:pPr>
              <w:jc w:val="both"/>
            </w:pPr>
          </w:p>
          <w:p w14:paraId="43237056" w14:textId="4F1E32BC" w:rsidR="00F20F33" w:rsidRPr="00101BFD" w:rsidRDefault="00192833" w:rsidP="00F20F33">
            <w:pPr>
              <w:jc w:val="both"/>
            </w:pPr>
            <w:r>
              <w:t>Noteikumu projekta P</w:t>
            </w:r>
            <w:r w:rsidR="00964DA3" w:rsidRPr="00101BFD">
              <w:t>ielikums neietver</w:t>
            </w:r>
            <w:r w:rsidR="00F20F33" w:rsidRPr="00101BFD">
              <w:t xml:space="preserve"> šād</w:t>
            </w:r>
            <w:r w:rsidR="00F21A5F" w:rsidRPr="00101BFD">
              <w:t>a</w:t>
            </w:r>
            <w:r w:rsidR="00F20F33" w:rsidRPr="00101BFD">
              <w:t>s</w:t>
            </w:r>
            <w:r w:rsidR="00964DA3" w:rsidRPr="00101BFD">
              <w:t xml:space="preserve"> </w:t>
            </w:r>
            <w:r>
              <w:t>Noteikumu Nr. 707 P</w:t>
            </w:r>
            <w:r w:rsidR="00F20F33" w:rsidRPr="00101BFD">
              <w:t xml:space="preserve">ielikumā noteiktās konsulārās funkcijas: </w:t>
            </w:r>
          </w:p>
          <w:p w14:paraId="41C5ED54" w14:textId="271E2B5E" w:rsidR="002058E3" w:rsidRDefault="00192833" w:rsidP="00047126">
            <w:pPr>
              <w:pStyle w:val="ListParagraph"/>
              <w:numPr>
                <w:ilvl w:val="0"/>
                <w:numId w:val="6"/>
              </w:numPr>
              <w:jc w:val="both"/>
            </w:pPr>
            <w:r>
              <w:t>Noteikumu Nr. 707 P</w:t>
            </w:r>
            <w:r w:rsidR="00332D78">
              <w:t>ielikuma</w:t>
            </w:r>
            <w:r w:rsidR="00332D78" w:rsidRPr="00101BFD">
              <w:t xml:space="preserve"> </w:t>
            </w:r>
            <w:r w:rsidR="00F20F33" w:rsidRPr="00101BFD">
              <w:t>11.</w:t>
            </w:r>
            <w:r w:rsidR="00332D78">
              <w:t>punkts</w:t>
            </w:r>
            <w:r w:rsidR="00F20F33" w:rsidRPr="00101BFD">
              <w:t xml:space="preserve"> (telpu noformēšana laulības noslēgšanai pārstāvniecībā). Laulību noslēgšanu konsulārās amatpersonas veic tikai </w:t>
            </w:r>
            <w:r w:rsidR="009814EC">
              <w:t xml:space="preserve">Latvijas valstspiederīgajiem, kuri pastāvīgi dzīvo ārvalstīs, </w:t>
            </w:r>
            <w:r w:rsidR="00F20F33" w:rsidRPr="00101BFD">
              <w:t>ārkārtas gadījumos, piemēram</w:t>
            </w:r>
            <w:r w:rsidR="00F21A5F" w:rsidRPr="00101BFD">
              <w:t xml:space="preserve">, kad </w:t>
            </w:r>
            <w:r w:rsidR="00F20F33" w:rsidRPr="00101BFD">
              <w:t>veselības st</w:t>
            </w:r>
            <w:r w:rsidR="00F21A5F" w:rsidRPr="00101BFD">
              <w:t>āvokļa dēļ persona nevar nokļūt Latvijā, lai tur</w:t>
            </w:r>
            <w:r w:rsidR="00F20F33" w:rsidRPr="00101BFD">
              <w:t xml:space="preserve"> noslēgt</w:t>
            </w:r>
            <w:r w:rsidR="00F21A5F" w:rsidRPr="00101BFD">
              <w:t>u</w:t>
            </w:r>
            <w:r w:rsidR="00F20F33" w:rsidRPr="00101BFD">
              <w:t xml:space="preserve"> laulību</w:t>
            </w:r>
            <w:r w:rsidR="00364A61">
              <w:t>,</w:t>
            </w:r>
            <w:r w:rsidR="00023BF6">
              <w:t xml:space="preserve"> un to nav iespējams noslēgt rezidences valstī</w:t>
            </w:r>
            <w:r w:rsidR="004B7EF2">
              <w:t xml:space="preserve"> (sk. </w:t>
            </w:r>
            <w:r w:rsidR="004B7EF2" w:rsidRPr="004B7EF2">
              <w:t>Civilst</w:t>
            </w:r>
            <w:r w:rsidR="004B7EF2">
              <w:t>āvokļa aktu reģistrācijas likuma 3. panta ceturto daļu)</w:t>
            </w:r>
            <w:r w:rsidR="00F20F33" w:rsidRPr="00101BFD">
              <w:t xml:space="preserve">. </w:t>
            </w:r>
            <w:r w:rsidR="003266F9">
              <w:t xml:space="preserve">Šādi gadījumi ir ļoti reti un tajos </w:t>
            </w:r>
            <w:r w:rsidR="002058E3">
              <w:t xml:space="preserve">personas līdz šim šādu pakalpojumu nav izvēlējušās. </w:t>
            </w:r>
            <w:r w:rsidR="00A72094">
              <w:t xml:space="preserve">Tāpat ir konstatējams, ka pārstāvniecību telpas </w:t>
            </w:r>
            <w:r w:rsidR="003A55EC">
              <w:t>bez papildu</w:t>
            </w:r>
            <w:r w:rsidR="009814EC">
              <w:t xml:space="preserve"> </w:t>
            </w:r>
            <w:r w:rsidR="00364A61">
              <w:t>noformēšanas</w:t>
            </w:r>
            <w:r w:rsidR="003A55EC">
              <w:t xml:space="preserve"> </w:t>
            </w:r>
            <w:r w:rsidR="00A72094">
              <w:t>nodrošin</w:t>
            </w:r>
            <w:r w:rsidR="003A55EC">
              <w:t>a</w:t>
            </w:r>
            <w:r w:rsidR="00A72094">
              <w:t xml:space="preserve"> Civilstāvokļa aktu reģistrācijas likuma</w:t>
            </w:r>
            <w:r w:rsidR="00D52FE1">
              <w:t xml:space="preserve"> 19. p</w:t>
            </w:r>
            <w:r w:rsidR="00492603">
              <w:t>anta trešās daļas prasību par svin</w:t>
            </w:r>
            <w:r w:rsidR="009D5826">
              <w:t>īgu</w:t>
            </w:r>
            <w:r w:rsidR="00492603">
              <w:t xml:space="preserve"> laul</w:t>
            </w:r>
            <w:r w:rsidR="009D5826">
              <w:t>ības</w:t>
            </w:r>
            <w:r w:rsidR="00492603">
              <w:t xml:space="preserve"> reģistr</w:t>
            </w:r>
            <w:r w:rsidR="009D5826">
              <w:t>āciju, ja persona to vēlas</w:t>
            </w:r>
            <w:r w:rsidR="00492603">
              <w:t>.</w:t>
            </w:r>
          </w:p>
          <w:p w14:paraId="002E483D" w14:textId="07CD75F8" w:rsidR="002058E3" w:rsidRPr="002058E3" w:rsidRDefault="00332D78" w:rsidP="002058E3">
            <w:pPr>
              <w:pStyle w:val="ListParagraph"/>
              <w:numPr>
                <w:ilvl w:val="0"/>
                <w:numId w:val="6"/>
              </w:numPr>
              <w:jc w:val="both"/>
              <w:rPr>
                <w:iCs/>
              </w:rPr>
            </w:pPr>
            <w:r>
              <w:t xml:space="preserve">Noteikumu Nr. 707 </w:t>
            </w:r>
            <w:r w:rsidR="00192833">
              <w:t>P</w:t>
            </w:r>
            <w:r>
              <w:t>ielikuma</w:t>
            </w:r>
            <w:r w:rsidRPr="00101BFD">
              <w:t xml:space="preserve"> </w:t>
            </w:r>
            <w:r>
              <w:t xml:space="preserve">8.punkts </w:t>
            </w:r>
            <w:r w:rsidR="00185342" w:rsidRPr="00101BFD">
              <w:t xml:space="preserve">(dokumenta nosūtīšana personai ierakstītā sūtījumā Latvijas robežās). </w:t>
            </w:r>
            <w:r w:rsidR="002058E3">
              <w:t xml:space="preserve">Prakse rāda, ka šis </w:t>
            </w:r>
            <w:r w:rsidR="008012CF" w:rsidRPr="00101BFD">
              <w:t xml:space="preserve"> konsulār</w:t>
            </w:r>
            <w:r w:rsidR="002058E3">
              <w:t>ais</w:t>
            </w:r>
            <w:r w:rsidR="008012CF" w:rsidRPr="00101BFD">
              <w:t xml:space="preserve"> </w:t>
            </w:r>
            <w:r w:rsidR="002058E3">
              <w:t>pakalpojums</w:t>
            </w:r>
            <w:r w:rsidR="008012CF" w:rsidRPr="00101BFD">
              <w:t xml:space="preserve"> </w:t>
            </w:r>
            <w:r w:rsidR="002058E3">
              <w:t xml:space="preserve">vairs </w:t>
            </w:r>
            <w:r w:rsidR="00F21A5F" w:rsidRPr="00101BFD">
              <w:t>n</w:t>
            </w:r>
            <w:r w:rsidR="0039009E">
              <w:t>e</w:t>
            </w:r>
            <w:r w:rsidR="002058E3">
              <w:t xml:space="preserve">tiek </w:t>
            </w:r>
            <w:r w:rsidR="0039009E">
              <w:t>izmanto</w:t>
            </w:r>
            <w:r w:rsidR="002058E3">
              <w:t>t</w:t>
            </w:r>
            <w:r w:rsidR="00891974">
              <w:t>s</w:t>
            </w:r>
            <w:r w:rsidR="0039009E">
              <w:t>, tāpēc Noteikumu Nr. 707 konsolidācijas ietvaros ir pieļaujama tās izslēgšana no konsulāro funkciju, kas ir konsulārās atlīdzības objekti, uzskaitījuma.</w:t>
            </w:r>
          </w:p>
          <w:p w14:paraId="196C212F" w14:textId="5F7DB645" w:rsidR="00C426DD" w:rsidRPr="00101BFD" w:rsidRDefault="00593E10" w:rsidP="002058E3">
            <w:pPr>
              <w:pStyle w:val="ListParagraph"/>
              <w:numPr>
                <w:ilvl w:val="0"/>
                <w:numId w:val="6"/>
              </w:numPr>
              <w:jc w:val="both"/>
              <w:rPr>
                <w:iCs/>
              </w:rPr>
            </w:pPr>
            <w:r w:rsidRPr="00593E10">
              <w:t>Noteikumu Nr. 707 Pielikuma 5.punkt</w:t>
            </w:r>
            <w:r w:rsidR="00891974">
              <w:t>s (dokumentu tulkošana). Lielākā daļa</w:t>
            </w:r>
            <w:r w:rsidRPr="00593E10">
              <w:t xml:space="preserve"> tulkojamo dokumentu ir izziņas no valsts iestādēm. Līdz ar daudzvalodu standarta veidlapu ieviešanu šī funkcija zaudē aktualitāti. Savukārt liela apjoma un augstas sarežģītības dokumentu (līgumu, tiesas spriedumu) tulkošanu </w:t>
            </w:r>
            <w:r w:rsidR="002058E3">
              <w:t xml:space="preserve">veic profesionāli tulki, kuru pakalpojumus ir iespējams saņemt klātienē un attālināti </w:t>
            </w:r>
            <w:r w:rsidRPr="00593E10">
              <w:t>gan Latvijā, gan ārvalstīs.</w:t>
            </w:r>
          </w:p>
        </w:tc>
      </w:tr>
      <w:tr w:rsidR="005469AF" w:rsidRPr="00101BFD" w14:paraId="51F9ECDD" w14:textId="77777777" w:rsidTr="00D10CA9">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4A1269E5" w14:textId="77777777" w:rsidR="0079587B" w:rsidRPr="00101BFD" w:rsidRDefault="00E5323B" w:rsidP="00E5323B">
            <w:pPr>
              <w:rPr>
                <w:iCs/>
              </w:rPr>
            </w:pPr>
            <w:r w:rsidRPr="00101BFD">
              <w:rPr>
                <w:iCs/>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F755B32" w14:textId="77777777" w:rsidR="00E5323B" w:rsidRPr="00101BFD" w:rsidRDefault="00E5323B" w:rsidP="00E5323B">
            <w:pPr>
              <w:rPr>
                <w:iCs/>
              </w:rPr>
            </w:pPr>
            <w:r w:rsidRPr="00101BFD">
              <w:rPr>
                <w:iCs/>
              </w:rPr>
              <w:t>Projekta izstrādē iesaistītās institūcijas un publiskas personas kapitālsabiedrības</w:t>
            </w:r>
          </w:p>
        </w:tc>
        <w:tc>
          <w:tcPr>
            <w:tcW w:w="2910" w:type="pct"/>
            <w:tcBorders>
              <w:top w:val="outset" w:sz="6" w:space="0" w:color="auto"/>
              <w:left w:val="outset" w:sz="6" w:space="0" w:color="auto"/>
              <w:bottom w:val="outset" w:sz="6" w:space="0" w:color="auto"/>
              <w:right w:val="outset" w:sz="6" w:space="0" w:color="auto"/>
            </w:tcBorders>
            <w:hideMark/>
          </w:tcPr>
          <w:p w14:paraId="14386150" w14:textId="77777777" w:rsidR="00E5323B" w:rsidRPr="00101BFD" w:rsidRDefault="002D0157" w:rsidP="00E5323B">
            <w:pPr>
              <w:rPr>
                <w:iCs/>
              </w:rPr>
            </w:pPr>
            <w:r w:rsidRPr="00101BFD">
              <w:rPr>
                <w:iCs/>
              </w:rPr>
              <w:t>Ārlietu ministrija</w:t>
            </w:r>
          </w:p>
        </w:tc>
      </w:tr>
      <w:tr w:rsidR="005469AF" w:rsidRPr="00101BFD" w14:paraId="468A300A" w14:textId="77777777" w:rsidTr="00D10CA9">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7C00B9F7" w14:textId="77777777" w:rsidR="0079587B" w:rsidRPr="00101BFD" w:rsidRDefault="00E5323B" w:rsidP="00E5323B">
            <w:pPr>
              <w:rPr>
                <w:iCs/>
              </w:rPr>
            </w:pPr>
            <w:r w:rsidRPr="00101BFD">
              <w:rPr>
                <w:iCs/>
              </w:rPr>
              <w:t>4.</w:t>
            </w:r>
          </w:p>
        </w:tc>
        <w:tc>
          <w:tcPr>
            <w:tcW w:w="1678" w:type="pct"/>
            <w:tcBorders>
              <w:top w:val="outset" w:sz="6" w:space="0" w:color="auto"/>
              <w:left w:val="outset" w:sz="6" w:space="0" w:color="auto"/>
              <w:bottom w:val="outset" w:sz="6" w:space="0" w:color="auto"/>
              <w:right w:val="outset" w:sz="6" w:space="0" w:color="auto"/>
            </w:tcBorders>
            <w:hideMark/>
          </w:tcPr>
          <w:p w14:paraId="42EB3736" w14:textId="77777777" w:rsidR="00E5323B" w:rsidRPr="00101BFD" w:rsidRDefault="00E5323B" w:rsidP="00E5323B">
            <w:pPr>
              <w:rPr>
                <w:iCs/>
              </w:rPr>
            </w:pPr>
            <w:r w:rsidRPr="00101BFD">
              <w:rPr>
                <w:iCs/>
              </w:rPr>
              <w:t>Cita informācija</w:t>
            </w:r>
          </w:p>
        </w:tc>
        <w:tc>
          <w:tcPr>
            <w:tcW w:w="2910" w:type="pct"/>
            <w:tcBorders>
              <w:top w:val="outset" w:sz="6" w:space="0" w:color="auto"/>
              <w:left w:val="outset" w:sz="6" w:space="0" w:color="auto"/>
              <w:bottom w:val="outset" w:sz="6" w:space="0" w:color="auto"/>
              <w:right w:val="outset" w:sz="6" w:space="0" w:color="auto"/>
            </w:tcBorders>
            <w:hideMark/>
          </w:tcPr>
          <w:p w14:paraId="54B1DD78" w14:textId="77777777" w:rsidR="00E5323B" w:rsidRPr="00101BFD" w:rsidRDefault="00B617FF" w:rsidP="00E5323B">
            <w:pPr>
              <w:rPr>
                <w:iCs/>
              </w:rPr>
            </w:pPr>
            <w:r w:rsidRPr="00101BFD">
              <w:rPr>
                <w:iCs/>
              </w:rPr>
              <w:t>Nav</w:t>
            </w:r>
          </w:p>
        </w:tc>
      </w:tr>
    </w:tbl>
    <w:p w14:paraId="3E61DB9B" w14:textId="77777777" w:rsidR="00E5323B" w:rsidRPr="00101BFD" w:rsidRDefault="00E5323B" w:rsidP="00E5323B">
      <w:pPr>
        <w:rPr>
          <w:iCs/>
        </w:rPr>
      </w:pPr>
      <w:r w:rsidRPr="00101BFD">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101BFD" w14:paraId="6F312B6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329955" w14:textId="77777777" w:rsidR="0079587B" w:rsidRPr="00101BFD" w:rsidRDefault="00E5323B" w:rsidP="00E5323B">
            <w:pPr>
              <w:rPr>
                <w:b/>
                <w:bCs/>
                <w:iCs/>
              </w:rPr>
            </w:pPr>
            <w:r w:rsidRPr="00101BFD">
              <w:rPr>
                <w:b/>
                <w:bCs/>
                <w:iCs/>
              </w:rPr>
              <w:t>II. Tiesību akta projekta ietekme uz sabiedrību, tautsaimniecības attīstību un administratīvo slogu</w:t>
            </w:r>
          </w:p>
        </w:tc>
      </w:tr>
      <w:tr w:rsidR="005469AF" w:rsidRPr="00101BFD" w14:paraId="05197E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5B8408" w14:textId="77777777" w:rsidR="0079587B" w:rsidRPr="00101BFD" w:rsidRDefault="00E5323B" w:rsidP="00E5323B">
            <w:pPr>
              <w:rPr>
                <w:iCs/>
              </w:rPr>
            </w:pPr>
            <w:r w:rsidRPr="00101BFD">
              <w:rPr>
                <w:iCs/>
              </w:rPr>
              <w:t>1.</w:t>
            </w:r>
          </w:p>
        </w:tc>
        <w:tc>
          <w:tcPr>
            <w:tcW w:w="1700" w:type="pct"/>
            <w:tcBorders>
              <w:top w:val="outset" w:sz="6" w:space="0" w:color="auto"/>
              <w:left w:val="outset" w:sz="6" w:space="0" w:color="auto"/>
              <w:bottom w:val="outset" w:sz="6" w:space="0" w:color="auto"/>
              <w:right w:val="outset" w:sz="6" w:space="0" w:color="auto"/>
            </w:tcBorders>
            <w:hideMark/>
          </w:tcPr>
          <w:p w14:paraId="6DE510ED" w14:textId="77777777" w:rsidR="00E5323B" w:rsidRPr="00101BFD" w:rsidRDefault="00E5323B" w:rsidP="00E5323B">
            <w:pPr>
              <w:rPr>
                <w:iCs/>
              </w:rPr>
            </w:pPr>
            <w:r w:rsidRPr="00101BFD">
              <w:rPr>
                <w:iCs/>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7C75521" w14:textId="67AAD34B" w:rsidR="00E5323B" w:rsidRPr="00101BFD" w:rsidRDefault="009767CF" w:rsidP="00BF5475">
            <w:pPr>
              <w:jc w:val="both"/>
              <w:rPr>
                <w:iCs/>
              </w:rPr>
            </w:pPr>
            <w:r w:rsidRPr="00101BFD">
              <w:rPr>
                <w:iCs/>
              </w:rPr>
              <w:t xml:space="preserve">Fiziskās un juridiskās personas, kuras vēlēsies saņemt konsulāro pakalpojumu </w:t>
            </w:r>
            <w:r w:rsidR="00DB5864">
              <w:rPr>
                <w:iCs/>
              </w:rPr>
              <w:t xml:space="preserve">Ārlietu ministrijas Konsulārajā </w:t>
            </w:r>
            <w:r w:rsidRPr="00101BFD">
              <w:rPr>
                <w:iCs/>
              </w:rPr>
              <w:t xml:space="preserve">departamentā vai </w:t>
            </w:r>
            <w:r w:rsidR="0018429C" w:rsidRPr="0018429C">
              <w:rPr>
                <w:iCs/>
              </w:rPr>
              <w:t>L</w:t>
            </w:r>
            <w:r w:rsidR="0018429C">
              <w:rPr>
                <w:iCs/>
              </w:rPr>
              <w:t>atvijas Republikas diplomātiskajās un konsulārajās</w:t>
            </w:r>
            <w:r w:rsidR="0018429C" w:rsidRPr="0018429C">
              <w:rPr>
                <w:iCs/>
              </w:rPr>
              <w:t xml:space="preserve"> pārstāv</w:t>
            </w:r>
            <w:r w:rsidR="0018429C">
              <w:rPr>
                <w:iCs/>
              </w:rPr>
              <w:t>niecībās</w:t>
            </w:r>
            <w:r w:rsidR="0018429C" w:rsidRPr="0018429C">
              <w:rPr>
                <w:iCs/>
              </w:rPr>
              <w:t xml:space="preserve"> ārvalstīs</w:t>
            </w:r>
            <w:r w:rsidRPr="00101BFD">
              <w:rPr>
                <w:iCs/>
              </w:rPr>
              <w:t>.</w:t>
            </w:r>
          </w:p>
        </w:tc>
      </w:tr>
      <w:tr w:rsidR="005469AF" w:rsidRPr="00101BFD" w14:paraId="75CA1A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11E2DF" w14:textId="77777777" w:rsidR="0079587B" w:rsidRPr="00101BFD" w:rsidRDefault="00E5323B" w:rsidP="00E5323B">
            <w:pPr>
              <w:rPr>
                <w:iCs/>
              </w:rPr>
            </w:pPr>
            <w:r w:rsidRPr="00101BFD">
              <w:rPr>
                <w:iCs/>
              </w:rPr>
              <w:t>2.</w:t>
            </w:r>
          </w:p>
        </w:tc>
        <w:tc>
          <w:tcPr>
            <w:tcW w:w="1700" w:type="pct"/>
            <w:tcBorders>
              <w:top w:val="outset" w:sz="6" w:space="0" w:color="auto"/>
              <w:left w:val="outset" w:sz="6" w:space="0" w:color="auto"/>
              <w:bottom w:val="outset" w:sz="6" w:space="0" w:color="auto"/>
              <w:right w:val="outset" w:sz="6" w:space="0" w:color="auto"/>
            </w:tcBorders>
            <w:hideMark/>
          </w:tcPr>
          <w:p w14:paraId="4F394F1D" w14:textId="77777777" w:rsidR="00E5323B" w:rsidRPr="00101BFD" w:rsidRDefault="00E5323B" w:rsidP="00E5323B">
            <w:pPr>
              <w:rPr>
                <w:iCs/>
              </w:rPr>
            </w:pPr>
            <w:r w:rsidRPr="00101BFD">
              <w:rPr>
                <w:iCs/>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49CFE06" w14:textId="3F00DDFD" w:rsidR="00E5323B" w:rsidRPr="00101BFD" w:rsidRDefault="009767CF" w:rsidP="00285F59">
            <w:pPr>
              <w:jc w:val="both"/>
              <w:rPr>
                <w:iCs/>
              </w:rPr>
            </w:pPr>
            <w:r w:rsidRPr="00101BFD">
              <w:rPr>
                <w:iCs/>
              </w:rPr>
              <w:t>Sabiedrības grupām u</w:t>
            </w:r>
            <w:r w:rsidR="002536A8">
              <w:rPr>
                <w:iCs/>
              </w:rPr>
              <w:t>n institūcijām N</w:t>
            </w:r>
            <w:r w:rsidRPr="00101BFD">
              <w:rPr>
                <w:iCs/>
              </w:rPr>
              <w:t>oteikumu projekts nemaina tiesības, p</w:t>
            </w:r>
            <w:r w:rsidR="00285F59" w:rsidRPr="00101BFD">
              <w:rPr>
                <w:iCs/>
              </w:rPr>
              <w:t>ienākumus un veicamās darbības.</w:t>
            </w:r>
          </w:p>
        </w:tc>
      </w:tr>
      <w:tr w:rsidR="005469AF" w:rsidRPr="00101BFD" w14:paraId="6A479E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7A9B46" w14:textId="77777777" w:rsidR="0079587B" w:rsidRPr="00101BFD" w:rsidRDefault="00E5323B" w:rsidP="00E5323B">
            <w:pPr>
              <w:rPr>
                <w:iCs/>
              </w:rPr>
            </w:pPr>
            <w:r w:rsidRPr="00101BFD">
              <w:rPr>
                <w:iCs/>
              </w:rPr>
              <w:t>3.</w:t>
            </w:r>
          </w:p>
        </w:tc>
        <w:tc>
          <w:tcPr>
            <w:tcW w:w="1700" w:type="pct"/>
            <w:tcBorders>
              <w:top w:val="outset" w:sz="6" w:space="0" w:color="auto"/>
              <w:left w:val="outset" w:sz="6" w:space="0" w:color="auto"/>
              <w:bottom w:val="outset" w:sz="6" w:space="0" w:color="auto"/>
              <w:right w:val="outset" w:sz="6" w:space="0" w:color="auto"/>
            </w:tcBorders>
            <w:hideMark/>
          </w:tcPr>
          <w:p w14:paraId="2BA3C956" w14:textId="77777777" w:rsidR="00E5323B" w:rsidRPr="00101BFD" w:rsidRDefault="00E5323B" w:rsidP="00E5323B">
            <w:pPr>
              <w:rPr>
                <w:iCs/>
              </w:rPr>
            </w:pPr>
            <w:r w:rsidRPr="00101BFD">
              <w:rPr>
                <w:iCs/>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56FBA37" w14:textId="27A2B5DF" w:rsidR="00E5323B" w:rsidRPr="00101BFD" w:rsidRDefault="002536A8" w:rsidP="009767CF">
            <w:pPr>
              <w:jc w:val="both"/>
              <w:rPr>
                <w:iCs/>
              </w:rPr>
            </w:pPr>
            <w:r>
              <w:rPr>
                <w:iCs/>
              </w:rPr>
              <w:t>N</w:t>
            </w:r>
            <w:r w:rsidR="009767CF" w:rsidRPr="00101BFD">
              <w:rPr>
                <w:iCs/>
              </w:rPr>
              <w:t>oteikumu projekts nemaina šobrīd esošo administratīvo procedūru saistībā ar maksas pakalpojumu pieprasīšanu un sniegšanu.</w:t>
            </w:r>
          </w:p>
        </w:tc>
      </w:tr>
      <w:tr w:rsidR="005469AF" w:rsidRPr="00101BFD" w14:paraId="45AE9D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A701D7" w14:textId="77777777" w:rsidR="0079587B" w:rsidRPr="00101BFD" w:rsidRDefault="00E5323B" w:rsidP="00E5323B">
            <w:pPr>
              <w:rPr>
                <w:iCs/>
              </w:rPr>
            </w:pPr>
            <w:r w:rsidRPr="00101BFD">
              <w:rPr>
                <w:iCs/>
              </w:rPr>
              <w:t>4.</w:t>
            </w:r>
          </w:p>
        </w:tc>
        <w:tc>
          <w:tcPr>
            <w:tcW w:w="1700" w:type="pct"/>
            <w:tcBorders>
              <w:top w:val="outset" w:sz="6" w:space="0" w:color="auto"/>
              <w:left w:val="outset" w:sz="6" w:space="0" w:color="auto"/>
              <w:bottom w:val="outset" w:sz="6" w:space="0" w:color="auto"/>
              <w:right w:val="outset" w:sz="6" w:space="0" w:color="auto"/>
            </w:tcBorders>
            <w:hideMark/>
          </w:tcPr>
          <w:p w14:paraId="19FE88B9" w14:textId="77777777" w:rsidR="00E5323B" w:rsidRPr="00101BFD" w:rsidRDefault="00E5323B" w:rsidP="00E5323B">
            <w:pPr>
              <w:rPr>
                <w:iCs/>
              </w:rPr>
            </w:pPr>
            <w:r w:rsidRPr="00101BFD">
              <w:rPr>
                <w:iCs/>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4CFDF19" w14:textId="77777777" w:rsidR="00E5323B" w:rsidRPr="00101BFD" w:rsidRDefault="009767CF" w:rsidP="00E5323B">
            <w:pPr>
              <w:rPr>
                <w:iCs/>
              </w:rPr>
            </w:pPr>
            <w:r w:rsidRPr="00101BFD">
              <w:rPr>
                <w:iCs/>
              </w:rPr>
              <w:t>Nav</w:t>
            </w:r>
          </w:p>
        </w:tc>
      </w:tr>
      <w:tr w:rsidR="005469AF" w:rsidRPr="00101BFD" w14:paraId="4F6CB3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D43C14" w14:textId="77777777" w:rsidR="0079587B" w:rsidRPr="00101BFD" w:rsidRDefault="00E5323B" w:rsidP="00E5323B">
            <w:pPr>
              <w:rPr>
                <w:iCs/>
              </w:rPr>
            </w:pPr>
            <w:r w:rsidRPr="00101BFD">
              <w:rPr>
                <w:iCs/>
              </w:rPr>
              <w:t>5.</w:t>
            </w:r>
          </w:p>
        </w:tc>
        <w:tc>
          <w:tcPr>
            <w:tcW w:w="1700" w:type="pct"/>
            <w:tcBorders>
              <w:top w:val="outset" w:sz="6" w:space="0" w:color="auto"/>
              <w:left w:val="outset" w:sz="6" w:space="0" w:color="auto"/>
              <w:bottom w:val="outset" w:sz="6" w:space="0" w:color="auto"/>
              <w:right w:val="outset" w:sz="6" w:space="0" w:color="auto"/>
            </w:tcBorders>
            <w:hideMark/>
          </w:tcPr>
          <w:p w14:paraId="2711A734" w14:textId="77777777" w:rsidR="00E5323B" w:rsidRPr="00101BFD" w:rsidRDefault="00E5323B" w:rsidP="00E5323B">
            <w:pPr>
              <w:rPr>
                <w:iCs/>
              </w:rPr>
            </w:pPr>
            <w:r w:rsidRPr="00101BFD">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484ADB" w14:textId="77777777" w:rsidR="00E5323B" w:rsidRPr="00101BFD" w:rsidRDefault="009767CF" w:rsidP="00E5323B">
            <w:pPr>
              <w:rPr>
                <w:iCs/>
              </w:rPr>
            </w:pPr>
            <w:r w:rsidRPr="00101BFD">
              <w:rPr>
                <w:iCs/>
              </w:rPr>
              <w:t>Nav</w:t>
            </w:r>
          </w:p>
        </w:tc>
      </w:tr>
    </w:tbl>
    <w:p w14:paraId="160508EB" w14:textId="26B1F58E" w:rsidR="0020339B" w:rsidRPr="00101BFD" w:rsidRDefault="0020339B" w:rsidP="00E5323B">
      <w:pPr>
        <w:rPr>
          <w:iCs/>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42"/>
        <w:gridCol w:w="900"/>
        <w:gridCol w:w="1011"/>
        <w:gridCol w:w="1134"/>
        <w:gridCol w:w="1134"/>
        <w:gridCol w:w="1134"/>
        <w:gridCol w:w="1275"/>
        <w:gridCol w:w="1275"/>
      </w:tblGrid>
      <w:tr w:rsidR="0020339B" w:rsidRPr="0020339B" w14:paraId="13D8C1BA" w14:textId="77777777" w:rsidTr="00190B08">
        <w:trPr>
          <w:tblCellSpacing w:w="15" w:type="dxa"/>
        </w:trPr>
        <w:tc>
          <w:tcPr>
            <w:tcW w:w="9145" w:type="dxa"/>
            <w:gridSpan w:val="8"/>
            <w:tcBorders>
              <w:top w:val="outset" w:sz="6" w:space="0" w:color="auto"/>
              <w:left w:val="outset" w:sz="6" w:space="0" w:color="auto"/>
              <w:bottom w:val="outset" w:sz="6" w:space="0" w:color="auto"/>
              <w:right w:val="outset" w:sz="6" w:space="0" w:color="auto"/>
            </w:tcBorders>
            <w:vAlign w:val="center"/>
            <w:hideMark/>
          </w:tcPr>
          <w:p w14:paraId="5A33E4AE" w14:textId="77777777" w:rsidR="0020339B" w:rsidRPr="0020339B" w:rsidRDefault="0020339B" w:rsidP="0020339B">
            <w:pPr>
              <w:rPr>
                <w:b/>
                <w:bCs/>
                <w:iCs/>
              </w:rPr>
            </w:pPr>
            <w:r w:rsidRPr="0020339B">
              <w:rPr>
                <w:b/>
                <w:bCs/>
                <w:iCs/>
              </w:rPr>
              <w:t>III. Tiesību akta projekta ietekme uz valsts budžetu un pašvaldību budžetiem</w:t>
            </w:r>
          </w:p>
        </w:tc>
      </w:tr>
      <w:tr w:rsidR="0020339B" w:rsidRPr="0020339B" w14:paraId="25C37760" w14:textId="77777777" w:rsidTr="00190B08">
        <w:trPr>
          <w:tblCellSpacing w:w="15" w:type="dxa"/>
        </w:trPr>
        <w:tc>
          <w:tcPr>
            <w:tcW w:w="1297" w:type="dxa"/>
            <w:vMerge w:val="restart"/>
            <w:tcBorders>
              <w:top w:val="outset" w:sz="6" w:space="0" w:color="auto"/>
              <w:left w:val="outset" w:sz="6" w:space="0" w:color="auto"/>
              <w:bottom w:val="outset" w:sz="6" w:space="0" w:color="auto"/>
              <w:right w:val="outset" w:sz="6" w:space="0" w:color="auto"/>
            </w:tcBorders>
            <w:vAlign w:val="center"/>
            <w:hideMark/>
          </w:tcPr>
          <w:p w14:paraId="7D8CC03A" w14:textId="77777777" w:rsidR="0020339B" w:rsidRPr="002058E3" w:rsidRDefault="0020339B" w:rsidP="0020339B">
            <w:pPr>
              <w:rPr>
                <w:iCs/>
                <w:sz w:val="20"/>
                <w:szCs w:val="20"/>
              </w:rPr>
            </w:pPr>
            <w:r w:rsidRPr="002058E3">
              <w:rPr>
                <w:iCs/>
                <w:sz w:val="20"/>
                <w:szCs w:val="20"/>
              </w:rPr>
              <w:t>Rādītāji</w:t>
            </w:r>
          </w:p>
        </w:tc>
        <w:tc>
          <w:tcPr>
            <w:tcW w:w="1881"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1BB77219" w14:textId="6A2D7570" w:rsidR="0020339B" w:rsidRPr="002058E3" w:rsidRDefault="00291C62" w:rsidP="0020339B">
            <w:pPr>
              <w:rPr>
                <w:iCs/>
                <w:sz w:val="20"/>
                <w:szCs w:val="20"/>
              </w:rPr>
            </w:pPr>
            <w:r w:rsidRPr="002058E3">
              <w:rPr>
                <w:iCs/>
                <w:sz w:val="20"/>
                <w:szCs w:val="20"/>
              </w:rPr>
              <w:t>2019</w:t>
            </w:r>
          </w:p>
        </w:tc>
        <w:tc>
          <w:tcPr>
            <w:tcW w:w="5907" w:type="dxa"/>
            <w:gridSpan w:val="5"/>
            <w:tcBorders>
              <w:top w:val="outset" w:sz="6" w:space="0" w:color="auto"/>
              <w:left w:val="outset" w:sz="6" w:space="0" w:color="auto"/>
              <w:bottom w:val="outset" w:sz="6" w:space="0" w:color="auto"/>
              <w:right w:val="outset" w:sz="6" w:space="0" w:color="auto"/>
            </w:tcBorders>
            <w:vAlign w:val="center"/>
            <w:hideMark/>
          </w:tcPr>
          <w:p w14:paraId="67A0FAD4" w14:textId="77777777" w:rsidR="0020339B" w:rsidRPr="002058E3" w:rsidRDefault="0020339B" w:rsidP="0020339B">
            <w:pPr>
              <w:rPr>
                <w:iCs/>
                <w:sz w:val="20"/>
                <w:szCs w:val="20"/>
              </w:rPr>
            </w:pPr>
            <w:r w:rsidRPr="002058E3">
              <w:rPr>
                <w:iCs/>
                <w:sz w:val="20"/>
                <w:szCs w:val="20"/>
              </w:rPr>
              <w:t>Turpmākie trīs gadi (</w:t>
            </w:r>
            <w:proofErr w:type="spellStart"/>
            <w:r w:rsidRPr="002058E3">
              <w:rPr>
                <w:i/>
                <w:iCs/>
                <w:sz w:val="20"/>
                <w:szCs w:val="20"/>
              </w:rPr>
              <w:t>euro</w:t>
            </w:r>
            <w:proofErr w:type="spellEnd"/>
            <w:r w:rsidRPr="002058E3">
              <w:rPr>
                <w:iCs/>
                <w:sz w:val="20"/>
                <w:szCs w:val="20"/>
              </w:rPr>
              <w:t>)</w:t>
            </w:r>
          </w:p>
        </w:tc>
      </w:tr>
      <w:tr w:rsidR="00047126" w:rsidRPr="0020339B" w14:paraId="216F4B12" w14:textId="77777777" w:rsidTr="00190B08">
        <w:trPr>
          <w:tblCellSpacing w:w="15" w:type="dxa"/>
        </w:trPr>
        <w:tc>
          <w:tcPr>
            <w:tcW w:w="1297" w:type="dxa"/>
            <w:vMerge/>
            <w:tcBorders>
              <w:top w:val="outset" w:sz="6" w:space="0" w:color="auto"/>
              <w:left w:val="outset" w:sz="6" w:space="0" w:color="auto"/>
              <w:bottom w:val="outset" w:sz="6" w:space="0" w:color="auto"/>
              <w:right w:val="outset" w:sz="6" w:space="0" w:color="auto"/>
            </w:tcBorders>
            <w:vAlign w:val="center"/>
            <w:hideMark/>
          </w:tcPr>
          <w:p w14:paraId="56C767FA" w14:textId="77777777" w:rsidR="0020339B" w:rsidRPr="002058E3" w:rsidRDefault="0020339B" w:rsidP="0020339B">
            <w:pPr>
              <w:rPr>
                <w:iCs/>
                <w:sz w:val="20"/>
                <w:szCs w:val="20"/>
              </w:rPr>
            </w:pPr>
          </w:p>
        </w:tc>
        <w:tc>
          <w:tcPr>
            <w:tcW w:w="1881" w:type="dxa"/>
            <w:gridSpan w:val="2"/>
            <w:vMerge/>
            <w:tcBorders>
              <w:top w:val="outset" w:sz="6" w:space="0" w:color="auto"/>
              <w:left w:val="outset" w:sz="6" w:space="0" w:color="auto"/>
              <w:bottom w:val="outset" w:sz="6" w:space="0" w:color="auto"/>
              <w:right w:val="outset" w:sz="6" w:space="0" w:color="auto"/>
            </w:tcBorders>
            <w:vAlign w:val="center"/>
            <w:hideMark/>
          </w:tcPr>
          <w:p w14:paraId="3AECD450" w14:textId="77777777" w:rsidR="0020339B" w:rsidRPr="002058E3" w:rsidRDefault="0020339B" w:rsidP="0020339B">
            <w:pPr>
              <w:rPr>
                <w:iCs/>
                <w:sz w:val="20"/>
                <w:szCs w:val="20"/>
              </w:rPr>
            </w:pP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2A99C985" w14:textId="2037F390" w:rsidR="0020339B" w:rsidRPr="002058E3" w:rsidRDefault="00291C62" w:rsidP="0020339B">
            <w:pPr>
              <w:rPr>
                <w:iCs/>
                <w:sz w:val="20"/>
                <w:szCs w:val="20"/>
              </w:rPr>
            </w:pPr>
            <w:r w:rsidRPr="002058E3">
              <w:rPr>
                <w:iCs/>
                <w:sz w:val="20"/>
                <w:szCs w:val="20"/>
              </w:rPr>
              <w:t>2020</w:t>
            </w:r>
          </w:p>
        </w:tc>
        <w:tc>
          <w:tcPr>
            <w:tcW w:w="2379" w:type="dxa"/>
            <w:gridSpan w:val="2"/>
            <w:tcBorders>
              <w:top w:val="outset" w:sz="6" w:space="0" w:color="auto"/>
              <w:left w:val="outset" w:sz="6" w:space="0" w:color="auto"/>
              <w:bottom w:val="outset" w:sz="6" w:space="0" w:color="auto"/>
              <w:right w:val="outset" w:sz="6" w:space="0" w:color="auto"/>
            </w:tcBorders>
            <w:vAlign w:val="center"/>
            <w:hideMark/>
          </w:tcPr>
          <w:p w14:paraId="68D4BF97" w14:textId="3D94190F" w:rsidR="0020339B" w:rsidRPr="002058E3" w:rsidRDefault="00291C62" w:rsidP="0020339B">
            <w:pPr>
              <w:rPr>
                <w:iCs/>
                <w:sz w:val="20"/>
                <w:szCs w:val="20"/>
              </w:rPr>
            </w:pPr>
            <w:r w:rsidRPr="002058E3">
              <w:rPr>
                <w:iCs/>
                <w:sz w:val="20"/>
                <w:szCs w:val="20"/>
              </w:rPr>
              <w:t>2021</w:t>
            </w:r>
          </w:p>
        </w:tc>
        <w:tc>
          <w:tcPr>
            <w:tcW w:w="1230" w:type="dxa"/>
            <w:tcBorders>
              <w:top w:val="outset" w:sz="6" w:space="0" w:color="auto"/>
              <w:left w:val="outset" w:sz="6" w:space="0" w:color="auto"/>
              <w:bottom w:val="outset" w:sz="6" w:space="0" w:color="auto"/>
              <w:right w:val="outset" w:sz="6" w:space="0" w:color="auto"/>
            </w:tcBorders>
            <w:vAlign w:val="center"/>
            <w:hideMark/>
          </w:tcPr>
          <w:p w14:paraId="44C7009C" w14:textId="16182872" w:rsidR="0020339B" w:rsidRPr="002058E3" w:rsidRDefault="00291C62" w:rsidP="0020339B">
            <w:pPr>
              <w:rPr>
                <w:iCs/>
                <w:sz w:val="20"/>
                <w:szCs w:val="20"/>
              </w:rPr>
            </w:pPr>
            <w:r w:rsidRPr="002058E3">
              <w:rPr>
                <w:iCs/>
                <w:sz w:val="20"/>
                <w:szCs w:val="20"/>
              </w:rPr>
              <w:t>2022</w:t>
            </w:r>
          </w:p>
        </w:tc>
      </w:tr>
      <w:tr w:rsidR="00190B08" w:rsidRPr="0020339B" w14:paraId="11CC33B6" w14:textId="77777777" w:rsidTr="00190B08">
        <w:trPr>
          <w:tblCellSpacing w:w="15" w:type="dxa"/>
        </w:trPr>
        <w:tc>
          <w:tcPr>
            <w:tcW w:w="1297" w:type="dxa"/>
            <w:vMerge/>
            <w:tcBorders>
              <w:top w:val="outset" w:sz="6" w:space="0" w:color="auto"/>
              <w:left w:val="outset" w:sz="6" w:space="0" w:color="auto"/>
              <w:bottom w:val="outset" w:sz="6" w:space="0" w:color="auto"/>
              <w:right w:val="outset" w:sz="6" w:space="0" w:color="auto"/>
            </w:tcBorders>
            <w:vAlign w:val="center"/>
            <w:hideMark/>
          </w:tcPr>
          <w:p w14:paraId="459FC8AE" w14:textId="77777777" w:rsidR="0020339B" w:rsidRPr="002058E3" w:rsidRDefault="0020339B" w:rsidP="0020339B">
            <w:pPr>
              <w:rPr>
                <w:iCs/>
                <w:sz w:val="20"/>
                <w:szCs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14:paraId="1DE29E91" w14:textId="77777777" w:rsidR="0020339B" w:rsidRPr="002058E3" w:rsidRDefault="0020339B" w:rsidP="0020339B">
            <w:pPr>
              <w:rPr>
                <w:iCs/>
                <w:sz w:val="20"/>
                <w:szCs w:val="20"/>
              </w:rPr>
            </w:pPr>
            <w:r w:rsidRPr="002058E3">
              <w:rPr>
                <w:iCs/>
                <w:sz w:val="20"/>
                <w:szCs w:val="20"/>
              </w:rPr>
              <w:t>saskaņā ar valsts budžetu kārtējam gadam</w:t>
            </w:r>
          </w:p>
        </w:tc>
        <w:tc>
          <w:tcPr>
            <w:tcW w:w="981" w:type="dxa"/>
            <w:tcBorders>
              <w:top w:val="outset" w:sz="6" w:space="0" w:color="auto"/>
              <w:left w:val="outset" w:sz="6" w:space="0" w:color="auto"/>
              <w:bottom w:val="outset" w:sz="6" w:space="0" w:color="auto"/>
              <w:right w:val="outset" w:sz="6" w:space="0" w:color="auto"/>
            </w:tcBorders>
            <w:vAlign w:val="center"/>
            <w:hideMark/>
          </w:tcPr>
          <w:p w14:paraId="19E9F4F9" w14:textId="77777777" w:rsidR="0020339B" w:rsidRPr="002058E3" w:rsidRDefault="0020339B" w:rsidP="0020339B">
            <w:pPr>
              <w:rPr>
                <w:iCs/>
                <w:sz w:val="20"/>
                <w:szCs w:val="20"/>
              </w:rPr>
            </w:pPr>
            <w:r w:rsidRPr="002058E3">
              <w:rPr>
                <w:iCs/>
                <w:sz w:val="20"/>
                <w:szCs w:val="20"/>
              </w:rPr>
              <w:t>izmaiņas kārtējā gadā, salīdzinot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F67B532" w14:textId="77777777" w:rsidR="0020339B" w:rsidRPr="002058E3" w:rsidRDefault="0020339B" w:rsidP="0020339B">
            <w:pPr>
              <w:rPr>
                <w:iCs/>
                <w:sz w:val="20"/>
                <w:szCs w:val="20"/>
              </w:rPr>
            </w:pPr>
            <w:r w:rsidRPr="002058E3">
              <w:rPr>
                <w:iCs/>
                <w:sz w:val="20"/>
                <w:szCs w:val="20"/>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89F169C" w14:textId="271E0693" w:rsidR="0020339B" w:rsidRPr="002058E3" w:rsidRDefault="0020339B" w:rsidP="00323993">
            <w:pPr>
              <w:rPr>
                <w:iCs/>
                <w:sz w:val="20"/>
                <w:szCs w:val="20"/>
              </w:rPr>
            </w:pPr>
            <w:r w:rsidRPr="002058E3">
              <w:rPr>
                <w:iCs/>
                <w:sz w:val="20"/>
                <w:szCs w:val="20"/>
              </w:rPr>
              <w:t xml:space="preserve">izmaiņas, salīdzinot ar vidēja termiņa budžeta ietvaru </w:t>
            </w:r>
            <w:r w:rsidR="00323993" w:rsidRPr="002058E3">
              <w:rPr>
                <w:iCs/>
                <w:sz w:val="20"/>
                <w:szCs w:val="20"/>
              </w:rPr>
              <w:t>2020.</w:t>
            </w:r>
            <w:r w:rsidRPr="002058E3">
              <w:rPr>
                <w:iCs/>
                <w:sz w:val="20"/>
                <w:szCs w:val="20"/>
              </w:rPr>
              <w:t xml:space="preserve">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A33112C" w14:textId="77777777" w:rsidR="0020339B" w:rsidRPr="002058E3" w:rsidRDefault="0020339B" w:rsidP="0020339B">
            <w:pPr>
              <w:rPr>
                <w:iCs/>
                <w:sz w:val="20"/>
                <w:szCs w:val="20"/>
              </w:rPr>
            </w:pPr>
            <w:r w:rsidRPr="002058E3">
              <w:rPr>
                <w:iCs/>
                <w:sz w:val="20"/>
                <w:szCs w:val="20"/>
              </w:rPr>
              <w:t>saskaņā ar vidēja termiņa budžeta ietvaru</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426AF28" w14:textId="4A799B91" w:rsidR="0020339B" w:rsidRPr="002058E3" w:rsidRDefault="0020339B" w:rsidP="00323993">
            <w:pPr>
              <w:rPr>
                <w:iCs/>
                <w:sz w:val="20"/>
                <w:szCs w:val="20"/>
              </w:rPr>
            </w:pPr>
            <w:r w:rsidRPr="002058E3">
              <w:rPr>
                <w:iCs/>
                <w:sz w:val="20"/>
                <w:szCs w:val="20"/>
              </w:rPr>
              <w:t xml:space="preserve">izmaiņas, salīdzinot ar vidēja termiņa budžeta ietvaru </w:t>
            </w:r>
            <w:r w:rsidR="00323993" w:rsidRPr="002058E3">
              <w:rPr>
                <w:iCs/>
                <w:sz w:val="20"/>
                <w:szCs w:val="20"/>
              </w:rPr>
              <w:t>2021.</w:t>
            </w:r>
            <w:r w:rsidRPr="002058E3">
              <w:rPr>
                <w:iCs/>
                <w:sz w:val="20"/>
                <w:szCs w:val="20"/>
              </w:rPr>
              <w:t xml:space="preserve"> gadam</w:t>
            </w:r>
          </w:p>
        </w:tc>
        <w:tc>
          <w:tcPr>
            <w:tcW w:w="1230" w:type="dxa"/>
            <w:tcBorders>
              <w:top w:val="outset" w:sz="6" w:space="0" w:color="auto"/>
              <w:left w:val="outset" w:sz="6" w:space="0" w:color="auto"/>
              <w:bottom w:val="outset" w:sz="6" w:space="0" w:color="auto"/>
              <w:right w:val="outset" w:sz="6" w:space="0" w:color="auto"/>
            </w:tcBorders>
            <w:vAlign w:val="center"/>
            <w:hideMark/>
          </w:tcPr>
          <w:p w14:paraId="0B1A7A22" w14:textId="0D8A2A3D" w:rsidR="0020339B" w:rsidRPr="002058E3" w:rsidRDefault="0020339B" w:rsidP="00323993">
            <w:pPr>
              <w:rPr>
                <w:iCs/>
                <w:sz w:val="20"/>
                <w:szCs w:val="20"/>
              </w:rPr>
            </w:pPr>
            <w:r w:rsidRPr="002058E3">
              <w:rPr>
                <w:iCs/>
                <w:sz w:val="20"/>
                <w:szCs w:val="20"/>
              </w:rPr>
              <w:t xml:space="preserve">izmaiņas, salīdzinot ar vidēja termiņa budžeta ietvaru </w:t>
            </w:r>
            <w:r w:rsidR="0063346D">
              <w:rPr>
                <w:iCs/>
                <w:sz w:val="20"/>
                <w:szCs w:val="20"/>
              </w:rPr>
              <w:t>2021</w:t>
            </w:r>
            <w:r w:rsidR="00323993" w:rsidRPr="002058E3">
              <w:rPr>
                <w:iCs/>
                <w:sz w:val="20"/>
                <w:szCs w:val="20"/>
              </w:rPr>
              <w:t>.</w:t>
            </w:r>
            <w:r w:rsidRPr="002058E3">
              <w:rPr>
                <w:iCs/>
                <w:sz w:val="20"/>
                <w:szCs w:val="20"/>
              </w:rPr>
              <w:t xml:space="preserve"> gadam</w:t>
            </w:r>
          </w:p>
        </w:tc>
      </w:tr>
      <w:tr w:rsidR="00190B08" w:rsidRPr="0020339B" w14:paraId="357DAB2A" w14:textId="77777777" w:rsidTr="00190B08">
        <w:trPr>
          <w:tblCellSpacing w:w="15" w:type="dxa"/>
        </w:trPr>
        <w:tc>
          <w:tcPr>
            <w:tcW w:w="1297" w:type="dxa"/>
            <w:tcBorders>
              <w:top w:val="outset" w:sz="6" w:space="0" w:color="auto"/>
              <w:left w:val="outset" w:sz="6" w:space="0" w:color="auto"/>
              <w:bottom w:val="outset" w:sz="6" w:space="0" w:color="auto"/>
              <w:right w:val="outset" w:sz="6" w:space="0" w:color="auto"/>
            </w:tcBorders>
            <w:vAlign w:val="center"/>
            <w:hideMark/>
          </w:tcPr>
          <w:p w14:paraId="61E879EC" w14:textId="77777777" w:rsidR="0020339B" w:rsidRPr="0020339B" w:rsidRDefault="0020339B" w:rsidP="0020339B">
            <w:pPr>
              <w:rPr>
                <w:iCs/>
              </w:rPr>
            </w:pPr>
            <w:r w:rsidRPr="0020339B">
              <w:rPr>
                <w:iCs/>
              </w:rPr>
              <w:t>1</w:t>
            </w:r>
          </w:p>
        </w:tc>
        <w:tc>
          <w:tcPr>
            <w:tcW w:w="870" w:type="dxa"/>
            <w:tcBorders>
              <w:top w:val="outset" w:sz="6" w:space="0" w:color="auto"/>
              <w:left w:val="outset" w:sz="6" w:space="0" w:color="auto"/>
              <w:bottom w:val="outset" w:sz="6" w:space="0" w:color="auto"/>
              <w:right w:val="outset" w:sz="6" w:space="0" w:color="auto"/>
            </w:tcBorders>
            <w:vAlign w:val="center"/>
            <w:hideMark/>
          </w:tcPr>
          <w:p w14:paraId="2E9A4467" w14:textId="77777777" w:rsidR="0020339B" w:rsidRPr="0020339B" w:rsidRDefault="0020339B" w:rsidP="0020339B">
            <w:pPr>
              <w:rPr>
                <w:iCs/>
              </w:rPr>
            </w:pPr>
            <w:r w:rsidRPr="0020339B">
              <w:rPr>
                <w:iCs/>
              </w:rPr>
              <w:t>2</w:t>
            </w:r>
          </w:p>
        </w:tc>
        <w:tc>
          <w:tcPr>
            <w:tcW w:w="981" w:type="dxa"/>
            <w:tcBorders>
              <w:top w:val="outset" w:sz="6" w:space="0" w:color="auto"/>
              <w:left w:val="outset" w:sz="6" w:space="0" w:color="auto"/>
              <w:bottom w:val="outset" w:sz="6" w:space="0" w:color="auto"/>
              <w:right w:val="outset" w:sz="6" w:space="0" w:color="auto"/>
            </w:tcBorders>
            <w:vAlign w:val="center"/>
            <w:hideMark/>
          </w:tcPr>
          <w:p w14:paraId="6F3EEBF2" w14:textId="77777777" w:rsidR="0020339B" w:rsidRPr="0020339B" w:rsidRDefault="0020339B" w:rsidP="0020339B">
            <w:pPr>
              <w:rPr>
                <w:iCs/>
              </w:rPr>
            </w:pPr>
            <w:r w:rsidRPr="0020339B">
              <w:rPr>
                <w:iCs/>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EE9C85" w14:textId="77777777" w:rsidR="0020339B" w:rsidRPr="0020339B" w:rsidRDefault="0020339B" w:rsidP="0020339B">
            <w:pPr>
              <w:rPr>
                <w:iCs/>
              </w:rPr>
            </w:pPr>
            <w:r w:rsidRPr="0020339B">
              <w:rPr>
                <w:iCs/>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BF79306" w14:textId="77777777" w:rsidR="0020339B" w:rsidRPr="0020339B" w:rsidRDefault="0020339B" w:rsidP="0020339B">
            <w:pPr>
              <w:rPr>
                <w:iCs/>
              </w:rPr>
            </w:pPr>
            <w:r w:rsidRPr="0020339B">
              <w:rPr>
                <w:iCs/>
              </w:rPr>
              <w:t>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3D03EED" w14:textId="77777777" w:rsidR="0020339B" w:rsidRPr="0020339B" w:rsidRDefault="0020339B" w:rsidP="0020339B">
            <w:pPr>
              <w:rPr>
                <w:iCs/>
              </w:rPr>
            </w:pPr>
            <w:r w:rsidRPr="0020339B">
              <w:rPr>
                <w:iCs/>
              </w:rPr>
              <w:t>6</w:t>
            </w:r>
          </w:p>
        </w:tc>
        <w:tc>
          <w:tcPr>
            <w:tcW w:w="1245" w:type="dxa"/>
            <w:tcBorders>
              <w:top w:val="outset" w:sz="6" w:space="0" w:color="auto"/>
              <w:left w:val="outset" w:sz="6" w:space="0" w:color="auto"/>
              <w:bottom w:val="outset" w:sz="6" w:space="0" w:color="auto"/>
              <w:right w:val="outset" w:sz="6" w:space="0" w:color="auto"/>
            </w:tcBorders>
            <w:vAlign w:val="center"/>
            <w:hideMark/>
          </w:tcPr>
          <w:p w14:paraId="370AB362" w14:textId="77777777" w:rsidR="0020339B" w:rsidRPr="0020339B" w:rsidRDefault="0020339B" w:rsidP="0020339B">
            <w:pPr>
              <w:rPr>
                <w:iCs/>
              </w:rPr>
            </w:pPr>
            <w:r w:rsidRPr="0020339B">
              <w:rPr>
                <w:iCs/>
              </w:rPr>
              <w:t>7</w:t>
            </w:r>
          </w:p>
        </w:tc>
        <w:tc>
          <w:tcPr>
            <w:tcW w:w="1230" w:type="dxa"/>
            <w:tcBorders>
              <w:top w:val="outset" w:sz="6" w:space="0" w:color="auto"/>
              <w:left w:val="outset" w:sz="6" w:space="0" w:color="auto"/>
              <w:bottom w:val="outset" w:sz="6" w:space="0" w:color="auto"/>
              <w:right w:val="outset" w:sz="6" w:space="0" w:color="auto"/>
            </w:tcBorders>
            <w:vAlign w:val="center"/>
            <w:hideMark/>
          </w:tcPr>
          <w:p w14:paraId="309093AA" w14:textId="77777777" w:rsidR="0020339B" w:rsidRPr="0020339B" w:rsidRDefault="0020339B" w:rsidP="0020339B">
            <w:pPr>
              <w:rPr>
                <w:iCs/>
              </w:rPr>
            </w:pPr>
            <w:r w:rsidRPr="0020339B">
              <w:rPr>
                <w:iCs/>
              </w:rPr>
              <w:t>8</w:t>
            </w:r>
          </w:p>
        </w:tc>
      </w:tr>
      <w:tr w:rsidR="00190B08" w:rsidRPr="0020339B" w14:paraId="276296D2" w14:textId="77777777" w:rsidTr="00190B08">
        <w:trPr>
          <w:tblCellSpacing w:w="15" w:type="dxa"/>
        </w:trPr>
        <w:tc>
          <w:tcPr>
            <w:tcW w:w="1297" w:type="dxa"/>
            <w:tcBorders>
              <w:top w:val="outset" w:sz="6" w:space="0" w:color="auto"/>
              <w:left w:val="outset" w:sz="6" w:space="0" w:color="auto"/>
              <w:bottom w:val="outset" w:sz="6" w:space="0" w:color="auto"/>
              <w:right w:val="outset" w:sz="6" w:space="0" w:color="auto"/>
            </w:tcBorders>
            <w:hideMark/>
          </w:tcPr>
          <w:p w14:paraId="311C2BE5" w14:textId="77777777" w:rsidR="0020339B" w:rsidRPr="0020339B" w:rsidRDefault="0020339B" w:rsidP="0020339B">
            <w:pPr>
              <w:rPr>
                <w:iCs/>
              </w:rPr>
            </w:pPr>
            <w:r w:rsidRPr="0020339B">
              <w:rPr>
                <w:iCs/>
              </w:rPr>
              <w:t>1. Budžeta ieņēmumi</w:t>
            </w:r>
          </w:p>
        </w:tc>
        <w:tc>
          <w:tcPr>
            <w:tcW w:w="870" w:type="dxa"/>
            <w:tcBorders>
              <w:top w:val="outset" w:sz="6" w:space="0" w:color="auto"/>
              <w:left w:val="outset" w:sz="6" w:space="0" w:color="auto"/>
              <w:bottom w:val="outset" w:sz="6" w:space="0" w:color="auto"/>
              <w:right w:val="outset" w:sz="6" w:space="0" w:color="auto"/>
            </w:tcBorders>
            <w:vAlign w:val="center"/>
            <w:hideMark/>
          </w:tcPr>
          <w:p w14:paraId="20CCCE87" w14:textId="43246C41" w:rsidR="0020339B" w:rsidRPr="0020339B" w:rsidRDefault="0020339B" w:rsidP="00331214">
            <w:pPr>
              <w:rPr>
                <w:iCs/>
              </w:rPr>
            </w:pPr>
            <w:r w:rsidRPr="0020339B">
              <w:rPr>
                <w:iCs/>
              </w:rPr>
              <w:t> </w:t>
            </w:r>
            <w:r w:rsidR="00331214">
              <w:rPr>
                <w:iCs/>
              </w:rPr>
              <w:t>1 421 257</w:t>
            </w:r>
          </w:p>
        </w:tc>
        <w:tc>
          <w:tcPr>
            <w:tcW w:w="981" w:type="dxa"/>
            <w:tcBorders>
              <w:top w:val="outset" w:sz="6" w:space="0" w:color="auto"/>
              <w:left w:val="outset" w:sz="6" w:space="0" w:color="auto"/>
              <w:bottom w:val="outset" w:sz="6" w:space="0" w:color="auto"/>
              <w:right w:val="outset" w:sz="6" w:space="0" w:color="auto"/>
            </w:tcBorders>
            <w:vAlign w:val="center"/>
            <w:hideMark/>
          </w:tcPr>
          <w:p w14:paraId="6C1BDED1" w14:textId="2C18722B" w:rsidR="0020339B" w:rsidRPr="0020339B" w:rsidRDefault="00D14E68" w:rsidP="0020339B">
            <w:pPr>
              <w:rPr>
                <w:iCs/>
              </w:rPr>
            </w:pPr>
            <w:r>
              <w:rPr>
                <w:iCs/>
              </w:rPr>
              <w:t>4</w:t>
            </w:r>
            <w:r w:rsidR="00BB5CDE">
              <w:rPr>
                <w:iCs/>
              </w:rPr>
              <w:t>000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43FE699" w14:textId="6759DFD0" w:rsidR="0020339B" w:rsidRPr="0020339B" w:rsidRDefault="0020339B" w:rsidP="0020339B">
            <w:pPr>
              <w:rPr>
                <w:iCs/>
              </w:rPr>
            </w:pPr>
            <w:r w:rsidRPr="0020339B">
              <w:rPr>
                <w:iCs/>
              </w:rPr>
              <w:t> </w:t>
            </w:r>
            <w:r w:rsidR="00331214" w:rsidRPr="00331214">
              <w:rPr>
                <w:iCs/>
              </w:rPr>
              <w:t>1 421 257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27E3A00" w14:textId="0B64C727" w:rsidR="0020339B" w:rsidRPr="0020339B" w:rsidRDefault="0020339B" w:rsidP="00CA0493">
            <w:pPr>
              <w:rPr>
                <w:iCs/>
              </w:rPr>
            </w:pPr>
            <w:r w:rsidRPr="0020339B">
              <w:rPr>
                <w:iCs/>
              </w:rPr>
              <w:t> </w:t>
            </w:r>
            <w:r w:rsidR="00324859">
              <w:rPr>
                <w:iCs/>
              </w:rPr>
              <w:t>71 14</w:t>
            </w:r>
            <w:r w:rsidR="00CA0493">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F83D13D" w14:textId="7DEC2578" w:rsidR="0020339B" w:rsidRPr="0020339B" w:rsidRDefault="0020339B" w:rsidP="0020339B">
            <w:pPr>
              <w:rPr>
                <w:iCs/>
              </w:rPr>
            </w:pPr>
            <w:r w:rsidRPr="0020339B">
              <w:rPr>
                <w:iCs/>
              </w:rPr>
              <w:t> </w:t>
            </w:r>
            <w:r w:rsidR="00331214" w:rsidRPr="00331214">
              <w:rPr>
                <w:iCs/>
              </w:rPr>
              <w:t>1 421 257</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EFEF6B0" w14:textId="57A46287" w:rsidR="0020339B" w:rsidRPr="0020339B" w:rsidRDefault="0020339B" w:rsidP="00CA0493">
            <w:pPr>
              <w:rPr>
                <w:iCs/>
              </w:rPr>
            </w:pPr>
            <w:r w:rsidRPr="0020339B">
              <w:rPr>
                <w:iCs/>
              </w:rPr>
              <w:t> </w:t>
            </w:r>
            <w:r w:rsidR="00324859">
              <w:rPr>
                <w:iCs/>
              </w:rPr>
              <w:t>52 22</w:t>
            </w:r>
            <w:r w:rsidR="00CA0493">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764A9C7E" w14:textId="11EB0DCA" w:rsidR="0020339B" w:rsidRPr="0020339B" w:rsidRDefault="0020339B" w:rsidP="00324859">
            <w:pPr>
              <w:rPr>
                <w:iCs/>
              </w:rPr>
            </w:pPr>
            <w:r w:rsidRPr="0020339B">
              <w:rPr>
                <w:iCs/>
              </w:rPr>
              <w:t> </w:t>
            </w:r>
            <w:r w:rsidR="00A36748">
              <w:rPr>
                <w:iCs/>
              </w:rPr>
              <w:t>33 660</w:t>
            </w:r>
          </w:p>
        </w:tc>
      </w:tr>
      <w:tr w:rsidR="00190B08" w:rsidRPr="0020339B" w14:paraId="4C753DA4" w14:textId="77777777" w:rsidTr="00190B08">
        <w:trPr>
          <w:tblCellSpacing w:w="15" w:type="dxa"/>
        </w:trPr>
        <w:tc>
          <w:tcPr>
            <w:tcW w:w="1297" w:type="dxa"/>
            <w:tcBorders>
              <w:top w:val="outset" w:sz="6" w:space="0" w:color="auto"/>
              <w:left w:val="outset" w:sz="6" w:space="0" w:color="auto"/>
              <w:bottom w:val="outset" w:sz="6" w:space="0" w:color="auto"/>
              <w:right w:val="outset" w:sz="6" w:space="0" w:color="auto"/>
            </w:tcBorders>
            <w:hideMark/>
          </w:tcPr>
          <w:p w14:paraId="0C40B24F" w14:textId="77777777" w:rsidR="0020339B" w:rsidRPr="0020339B" w:rsidRDefault="0020339B" w:rsidP="0020339B">
            <w:pPr>
              <w:rPr>
                <w:iCs/>
              </w:rPr>
            </w:pPr>
            <w:r w:rsidRPr="0020339B">
              <w:rPr>
                <w:iCs/>
              </w:rPr>
              <w:t>1.1. valsts pamatbudžets, tai skaitā ieņēmumi no maksas pakalpojumiem un citi pašu ieņēmumi</w:t>
            </w:r>
          </w:p>
        </w:tc>
        <w:tc>
          <w:tcPr>
            <w:tcW w:w="870" w:type="dxa"/>
            <w:tcBorders>
              <w:top w:val="outset" w:sz="6" w:space="0" w:color="auto"/>
              <w:left w:val="outset" w:sz="6" w:space="0" w:color="auto"/>
              <w:bottom w:val="outset" w:sz="6" w:space="0" w:color="auto"/>
              <w:right w:val="outset" w:sz="6" w:space="0" w:color="auto"/>
            </w:tcBorders>
            <w:vAlign w:val="center"/>
            <w:hideMark/>
          </w:tcPr>
          <w:p w14:paraId="29054722" w14:textId="60ECAE78" w:rsidR="0020339B" w:rsidRPr="0020339B" w:rsidRDefault="00331214" w:rsidP="0020339B">
            <w:pPr>
              <w:rPr>
                <w:iCs/>
              </w:rPr>
            </w:pPr>
            <w:r w:rsidRPr="00331214">
              <w:rPr>
                <w:iCs/>
              </w:rPr>
              <w:t>1 421 257</w:t>
            </w:r>
          </w:p>
        </w:tc>
        <w:tc>
          <w:tcPr>
            <w:tcW w:w="981" w:type="dxa"/>
            <w:tcBorders>
              <w:top w:val="outset" w:sz="6" w:space="0" w:color="auto"/>
              <w:left w:val="outset" w:sz="6" w:space="0" w:color="auto"/>
              <w:bottom w:val="outset" w:sz="6" w:space="0" w:color="auto"/>
              <w:right w:val="outset" w:sz="6" w:space="0" w:color="auto"/>
            </w:tcBorders>
            <w:vAlign w:val="center"/>
            <w:hideMark/>
          </w:tcPr>
          <w:p w14:paraId="4A86B34D" w14:textId="6901ECD4" w:rsidR="0020339B" w:rsidRPr="0020339B" w:rsidRDefault="0020339B" w:rsidP="00D14E68">
            <w:pPr>
              <w:rPr>
                <w:iCs/>
              </w:rPr>
            </w:pPr>
            <w:r w:rsidRPr="0020339B">
              <w:rPr>
                <w:iCs/>
              </w:rPr>
              <w:t> </w:t>
            </w:r>
            <w:r w:rsidR="00D14E68">
              <w:rPr>
                <w:iCs/>
              </w:rPr>
              <w:t>4</w:t>
            </w:r>
            <w:r w:rsidR="00BB5CDE">
              <w:rPr>
                <w:iCs/>
              </w:rPr>
              <w:t>000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C99638C" w14:textId="361BDABE" w:rsidR="0020339B" w:rsidRPr="0020339B" w:rsidRDefault="00331214" w:rsidP="0020339B">
            <w:pPr>
              <w:rPr>
                <w:iCs/>
              </w:rPr>
            </w:pPr>
            <w:r w:rsidRPr="00331214">
              <w:rPr>
                <w:iCs/>
              </w:rPr>
              <w:t>1 421 257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38CABC8" w14:textId="6006E419" w:rsidR="0020339B" w:rsidRPr="0020339B" w:rsidRDefault="00324859" w:rsidP="00CA0493">
            <w:pPr>
              <w:rPr>
                <w:iCs/>
              </w:rPr>
            </w:pPr>
            <w:r>
              <w:rPr>
                <w:iCs/>
              </w:rPr>
              <w:t>71 14</w:t>
            </w:r>
            <w:r w:rsidR="00CA0493">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6A6DACB" w14:textId="65A3688A" w:rsidR="0020339B" w:rsidRPr="0020339B" w:rsidRDefault="0020339B" w:rsidP="0020339B">
            <w:pPr>
              <w:rPr>
                <w:iCs/>
              </w:rPr>
            </w:pPr>
            <w:r w:rsidRPr="0020339B">
              <w:rPr>
                <w:iCs/>
              </w:rPr>
              <w:t> </w:t>
            </w:r>
            <w:r w:rsidR="00331214" w:rsidRPr="00331214">
              <w:rPr>
                <w:iCs/>
              </w:rPr>
              <w:t>1 421 257</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A246DFF" w14:textId="634D24C8" w:rsidR="0020339B" w:rsidRPr="0020339B" w:rsidRDefault="0020339B" w:rsidP="00CA0493">
            <w:pPr>
              <w:rPr>
                <w:iCs/>
              </w:rPr>
            </w:pPr>
            <w:r w:rsidRPr="0020339B">
              <w:rPr>
                <w:iCs/>
              </w:rPr>
              <w:t> </w:t>
            </w:r>
            <w:r w:rsidR="00324859">
              <w:rPr>
                <w:iCs/>
              </w:rPr>
              <w:t>52 22</w:t>
            </w:r>
            <w:r w:rsidR="00CA0493">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029C97B9" w14:textId="2EA0C3D9" w:rsidR="0020339B" w:rsidRPr="0020339B" w:rsidRDefault="00A36748" w:rsidP="0020339B">
            <w:pPr>
              <w:rPr>
                <w:iCs/>
              </w:rPr>
            </w:pPr>
            <w:r>
              <w:rPr>
                <w:iCs/>
              </w:rPr>
              <w:t>33 660</w:t>
            </w:r>
          </w:p>
        </w:tc>
      </w:tr>
      <w:tr w:rsidR="00190B08" w:rsidRPr="0020339B" w14:paraId="10036899" w14:textId="77777777" w:rsidTr="00190B08">
        <w:trPr>
          <w:tblCellSpacing w:w="15" w:type="dxa"/>
        </w:trPr>
        <w:tc>
          <w:tcPr>
            <w:tcW w:w="1297" w:type="dxa"/>
            <w:tcBorders>
              <w:top w:val="outset" w:sz="6" w:space="0" w:color="auto"/>
              <w:left w:val="outset" w:sz="6" w:space="0" w:color="auto"/>
              <w:bottom w:val="outset" w:sz="6" w:space="0" w:color="auto"/>
              <w:right w:val="outset" w:sz="6" w:space="0" w:color="auto"/>
            </w:tcBorders>
            <w:hideMark/>
          </w:tcPr>
          <w:p w14:paraId="48CAA794" w14:textId="77777777" w:rsidR="0020339B" w:rsidRPr="0020339B" w:rsidRDefault="0020339B" w:rsidP="0020339B">
            <w:pPr>
              <w:rPr>
                <w:iCs/>
              </w:rPr>
            </w:pPr>
            <w:r w:rsidRPr="0020339B">
              <w:rPr>
                <w:iCs/>
              </w:rPr>
              <w:lastRenderedPageBreak/>
              <w:t>1.2. valsts speciālais budžets</w:t>
            </w:r>
          </w:p>
        </w:tc>
        <w:tc>
          <w:tcPr>
            <w:tcW w:w="870" w:type="dxa"/>
            <w:tcBorders>
              <w:top w:val="outset" w:sz="6" w:space="0" w:color="auto"/>
              <w:left w:val="outset" w:sz="6" w:space="0" w:color="auto"/>
              <w:bottom w:val="outset" w:sz="6" w:space="0" w:color="auto"/>
              <w:right w:val="outset" w:sz="6" w:space="0" w:color="auto"/>
            </w:tcBorders>
            <w:vAlign w:val="center"/>
            <w:hideMark/>
          </w:tcPr>
          <w:p w14:paraId="218BB1EF" w14:textId="5C5BE017" w:rsidR="0020339B" w:rsidRPr="0020339B" w:rsidRDefault="0020339B" w:rsidP="0020339B">
            <w:pPr>
              <w:rPr>
                <w:iCs/>
              </w:rPr>
            </w:pPr>
            <w:r w:rsidRPr="0020339B">
              <w:rPr>
                <w:iCs/>
              </w:rPr>
              <w:t> </w:t>
            </w:r>
            <w:r w:rsidR="00BB5CDE">
              <w:rPr>
                <w:iCs/>
              </w:rPr>
              <w:t>0</w:t>
            </w:r>
          </w:p>
        </w:tc>
        <w:tc>
          <w:tcPr>
            <w:tcW w:w="981" w:type="dxa"/>
            <w:tcBorders>
              <w:top w:val="outset" w:sz="6" w:space="0" w:color="auto"/>
              <w:left w:val="outset" w:sz="6" w:space="0" w:color="auto"/>
              <w:bottom w:val="outset" w:sz="6" w:space="0" w:color="auto"/>
              <w:right w:val="outset" w:sz="6" w:space="0" w:color="auto"/>
            </w:tcBorders>
            <w:vAlign w:val="center"/>
            <w:hideMark/>
          </w:tcPr>
          <w:p w14:paraId="0735D726" w14:textId="088F3A3C" w:rsidR="0020339B" w:rsidRPr="0020339B" w:rsidRDefault="00BB5CDE" w:rsidP="00BB5CDE">
            <w:pPr>
              <w:rPr>
                <w:iCs/>
              </w:rPr>
            </w:pPr>
            <w:r>
              <w:rPr>
                <w:iCs/>
              </w:rPr>
              <w:t>0</w:t>
            </w:r>
            <w:r w:rsidR="0020339B" w:rsidRPr="0020339B">
              <w:rPr>
                <w:iCs/>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8B7E8F" w14:textId="3918BDB8"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D82FECD" w14:textId="440045AA"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575E9EC" w14:textId="5E70B27A" w:rsidR="0020339B" w:rsidRPr="0020339B" w:rsidRDefault="00BB5CDE" w:rsidP="0020339B">
            <w:pPr>
              <w:rPr>
                <w:iCs/>
              </w:rPr>
            </w:pPr>
            <w:r>
              <w:rPr>
                <w:iCs/>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379BC87E" w14:textId="2E7CA98F" w:rsidR="0020339B" w:rsidRPr="0020339B" w:rsidRDefault="00BB5CDE" w:rsidP="0020339B">
            <w:pPr>
              <w:rPr>
                <w:iCs/>
              </w:rPr>
            </w:pPr>
            <w:r>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6E6767BB" w14:textId="46497222" w:rsidR="0020339B" w:rsidRPr="0020339B" w:rsidRDefault="00BB5CDE" w:rsidP="0020339B">
            <w:pPr>
              <w:rPr>
                <w:iCs/>
              </w:rPr>
            </w:pPr>
            <w:r>
              <w:rPr>
                <w:iCs/>
              </w:rPr>
              <w:t>0</w:t>
            </w:r>
          </w:p>
        </w:tc>
      </w:tr>
      <w:tr w:rsidR="00190B08" w:rsidRPr="0020339B" w14:paraId="759C7558" w14:textId="77777777" w:rsidTr="00190B08">
        <w:trPr>
          <w:tblCellSpacing w:w="15" w:type="dxa"/>
        </w:trPr>
        <w:tc>
          <w:tcPr>
            <w:tcW w:w="1297" w:type="dxa"/>
            <w:tcBorders>
              <w:top w:val="outset" w:sz="6" w:space="0" w:color="auto"/>
              <w:left w:val="outset" w:sz="6" w:space="0" w:color="auto"/>
              <w:bottom w:val="outset" w:sz="6" w:space="0" w:color="auto"/>
              <w:right w:val="outset" w:sz="6" w:space="0" w:color="auto"/>
            </w:tcBorders>
            <w:hideMark/>
          </w:tcPr>
          <w:p w14:paraId="6DD06C34" w14:textId="77777777" w:rsidR="0020339B" w:rsidRPr="0020339B" w:rsidRDefault="0020339B" w:rsidP="0020339B">
            <w:pPr>
              <w:rPr>
                <w:iCs/>
              </w:rPr>
            </w:pPr>
            <w:r w:rsidRPr="0020339B">
              <w:rPr>
                <w:iCs/>
              </w:rPr>
              <w:t>1.3. pašvaldību budžets</w:t>
            </w:r>
          </w:p>
        </w:tc>
        <w:tc>
          <w:tcPr>
            <w:tcW w:w="870" w:type="dxa"/>
            <w:tcBorders>
              <w:top w:val="outset" w:sz="6" w:space="0" w:color="auto"/>
              <w:left w:val="outset" w:sz="6" w:space="0" w:color="auto"/>
              <w:bottom w:val="outset" w:sz="6" w:space="0" w:color="auto"/>
              <w:right w:val="outset" w:sz="6" w:space="0" w:color="auto"/>
            </w:tcBorders>
            <w:vAlign w:val="center"/>
            <w:hideMark/>
          </w:tcPr>
          <w:p w14:paraId="6FD3F0B0" w14:textId="28AA5515" w:rsidR="0020339B" w:rsidRPr="0020339B" w:rsidRDefault="0020339B" w:rsidP="0020339B">
            <w:pPr>
              <w:rPr>
                <w:iCs/>
              </w:rPr>
            </w:pPr>
            <w:r w:rsidRPr="0020339B">
              <w:rPr>
                <w:iCs/>
              </w:rPr>
              <w:t> </w:t>
            </w:r>
            <w:r w:rsidR="00BB5CDE">
              <w:rPr>
                <w:iCs/>
              </w:rPr>
              <w:t>0</w:t>
            </w:r>
          </w:p>
        </w:tc>
        <w:tc>
          <w:tcPr>
            <w:tcW w:w="981" w:type="dxa"/>
            <w:tcBorders>
              <w:top w:val="outset" w:sz="6" w:space="0" w:color="auto"/>
              <w:left w:val="outset" w:sz="6" w:space="0" w:color="auto"/>
              <w:bottom w:val="outset" w:sz="6" w:space="0" w:color="auto"/>
              <w:right w:val="outset" w:sz="6" w:space="0" w:color="auto"/>
            </w:tcBorders>
            <w:vAlign w:val="center"/>
            <w:hideMark/>
          </w:tcPr>
          <w:p w14:paraId="30C57C0F" w14:textId="65B21676"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335297C" w14:textId="0A6AC3F7"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9855250" w14:textId="68513198"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AB39FDB" w14:textId="4B4D89B4" w:rsidR="0020339B" w:rsidRPr="0020339B" w:rsidRDefault="00BB5CDE" w:rsidP="0020339B">
            <w:pPr>
              <w:rPr>
                <w:iCs/>
              </w:rPr>
            </w:pPr>
            <w:r>
              <w:rPr>
                <w:iCs/>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8085166" w14:textId="54D393AA" w:rsidR="0020339B" w:rsidRPr="0020339B" w:rsidRDefault="00BB5CDE" w:rsidP="0020339B">
            <w:pPr>
              <w:rPr>
                <w:iCs/>
              </w:rPr>
            </w:pPr>
            <w:r>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7227A2C6" w14:textId="0613ED44" w:rsidR="0020339B" w:rsidRPr="0020339B" w:rsidRDefault="00BB5CDE" w:rsidP="0020339B">
            <w:pPr>
              <w:rPr>
                <w:iCs/>
              </w:rPr>
            </w:pPr>
            <w:r>
              <w:rPr>
                <w:iCs/>
              </w:rPr>
              <w:t>0</w:t>
            </w:r>
          </w:p>
        </w:tc>
      </w:tr>
      <w:tr w:rsidR="00CA0493" w:rsidRPr="0020339B" w14:paraId="0E0C3166" w14:textId="77777777" w:rsidTr="00B32506">
        <w:trPr>
          <w:tblCellSpacing w:w="15" w:type="dxa"/>
        </w:trPr>
        <w:tc>
          <w:tcPr>
            <w:tcW w:w="1297" w:type="dxa"/>
            <w:tcBorders>
              <w:top w:val="outset" w:sz="6" w:space="0" w:color="auto"/>
              <w:left w:val="outset" w:sz="6" w:space="0" w:color="auto"/>
              <w:bottom w:val="outset" w:sz="6" w:space="0" w:color="auto"/>
              <w:right w:val="outset" w:sz="6" w:space="0" w:color="auto"/>
            </w:tcBorders>
            <w:hideMark/>
          </w:tcPr>
          <w:p w14:paraId="0E4EB512" w14:textId="77777777" w:rsidR="00CA0493" w:rsidRPr="00C97C50" w:rsidRDefault="00CA0493" w:rsidP="00CA0493">
            <w:pPr>
              <w:rPr>
                <w:iCs/>
              </w:rPr>
            </w:pPr>
            <w:r w:rsidRPr="00C97C50">
              <w:rPr>
                <w:iCs/>
              </w:rPr>
              <w:t>2. Budžeta izdevumi</w:t>
            </w:r>
          </w:p>
        </w:tc>
        <w:tc>
          <w:tcPr>
            <w:tcW w:w="870" w:type="dxa"/>
            <w:tcBorders>
              <w:top w:val="outset" w:sz="6" w:space="0" w:color="auto"/>
              <w:left w:val="outset" w:sz="6" w:space="0" w:color="auto"/>
              <w:bottom w:val="outset" w:sz="6" w:space="0" w:color="auto"/>
              <w:right w:val="outset" w:sz="6" w:space="0" w:color="auto"/>
            </w:tcBorders>
            <w:hideMark/>
          </w:tcPr>
          <w:p w14:paraId="7C853001" w14:textId="70815066" w:rsidR="00CA0493" w:rsidRPr="00323993" w:rsidRDefault="00CA0493" w:rsidP="00CA0493">
            <w:pPr>
              <w:rPr>
                <w:iCs/>
                <w:highlight w:val="yellow"/>
              </w:rPr>
            </w:pPr>
            <w:r w:rsidRPr="00085ED8">
              <w:t xml:space="preserve"> 1 421 257</w:t>
            </w:r>
          </w:p>
        </w:tc>
        <w:tc>
          <w:tcPr>
            <w:tcW w:w="981" w:type="dxa"/>
            <w:tcBorders>
              <w:top w:val="outset" w:sz="6" w:space="0" w:color="auto"/>
              <w:left w:val="outset" w:sz="6" w:space="0" w:color="auto"/>
              <w:bottom w:val="outset" w:sz="6" w:space="0" w:color="auto"/>
              <w:right w:val="outset" w:sz="6" w:space="0" w:color="auto"/>
            </w:tcBorders>
            <w:hideMark/>
          </w:tcPr>
          <w:p w14:paraId="1C8F869C" w14:textId="23849B5C" w:rsidR="00CA0493" w:rsidRPr="00323993" w:rsidRDefault="00CA0493" w:rsidP="00CA0493">
            <w:pPr>
              <w:rPr>
                <w:iCs/>
                <w:highlight w:val="yellow"/>
              </w:rPr>
            </w:pPr>
            <w:r w:rsidRPr="00085ED8">
              <w:t>4000</w:t>
            </w:r>
          </w:p>
        </w:tc>
        <w:tc>
          <w:tcPr>
            <w:tcW w:w="1104" w:type="dxa"/>
            <w:tcBorders>
              <w:top w:val="outset" w:sz="6" w:space="0" w:color="auto"/>
              <w:left w:val="outset" w:sz="6" w:space="0" w:color="auto"/>
              <w:bottom w:val="outset" w:sz="6" w:space="0" w:color="auto"/>
              <w:right w:val="outset" w:sz="6" w:space="0" w:color="auto"/>
            </w:tcBorders>
            <w:hideMark/>
          </w:tcPr>
          <w:p w14:paraId="492BC60B" w14:textId="550A36F4" w:rsidR="00CA0493" w:rsidRPr="00323993" w:rsidRDefault="00CA0493" w:rsidP="00CA0493">
            <w:pPr>
              <w:rPr>
                <w:iCs/>
                <w:highlight w:val="yellow"/>
              </w:rPr>
            </w:pPr>
            <w:r w:rsidRPr="00085ED8">
              <w:t xml:space="preserve"> 1 421 257</w:t>
            </w:r>
          </w:p>
        </w:tc>
        <w:tc>
          <w:tcPr>
            <w:tcW w:w="1104" w:type="dxa"/>
            <w:tcBorders>
              <w:top w:val="outset" w:sz="6" w:space="0" w:color="auto"/>
              <w:left w:val="outset" w:sz="6" w:space="0" w:color="auto"/>
              <w:bottom w:val="outset" w:sz="6" w:space="0" w:color="auto"/>
              <w:right w:val="outset" w:sz="6" w:space="0" w:color="auto"/>
            </w:tcBorders>
            <w:hideMark/>
          </w:tcPr>
          <w:p w14:paraId="2F5976C1" w14:textId="6B0A4458" w:rsidR="00CA0493" w:rsidRPr="00323993" w:rsidRDefault="00CA0493" w:rsidP="00CA0493">
            <w:pPr>
              <w:rPr>
                <w:iCs/>
                <w:highlight w:val="yellow"/>
              </w:rPr>
            </w:pPr>
            <w:r w:rsidRPr="00085ED8">
              <w:t xml:space="preserve"> 71 140</w:t>
            </w:r>
          </w:p>
        </w:tc>
        <w:tc>
          <w:tcPr>
            <w:tcW w:w="1104" w:type="dxa"/>
            <w:tcBorders>
              <w:top w:val="outset" w:sz="6" w:space="0" w:color="auto"/>
              <w:left w:val="outset" w:sz="6" w:space="0" w:color="auto"/>
              <w:bottom w:val="outset" w:sz="6" w:space="0" w:color="auto"/>
              <w:right w:val="outset" w:sz="6" w:space="0" w:color="auto"/>
            </w:tcBorders>
            <w:hideMark/>
          </w:tcPr>
          <w:p w14:paraId="162D8D07" w14:textId="3003344A" w:rsidR="00CA0493" w:rsidRPr="00323993" w:rsidRDefault="00CA0493" w:rsidP="00CA0493">
            <w:pPr>
              <w:rPr>
                <w:iCs/>
                <w:highlight w:val="yellow"/>
              </w:rPr>
            </w:pPr>
            <w:r w:rsidRPr="00085ED8">
              <w:t xml:space="preserve"> 1 421 257</w:t>
            </w:r>
          </w:p>
        </w:tc>
        <w:tc>
          <w:tcPr>
            <w:tcW w:w="1245" w:type="dxa"/>
            <w:tcBorders>
              <w:top w:val="outset" w:sz="6" w:space="0" w:color="auto"/>
              <w:left w:val="outset" w:sz="6" w:space="0" w:color="auto"/>
              <w:bottom w:val="outset" w:sz="6" w:space="0" w:color="auto"/>
              <w:right w:val="outset" w:sz="6" w:space="0" w:color="auto"/>
            </w:tcBorders>
            <w:hideMark/>
          </w:tcPr>
          <w:p w14:paraId="6C8800E2" w14:textId="5B293CF9" w:rsidR="00CA0493" w:rsidRPr="00323993" w:rsidRDefault="00CA0493" w:rsidP="00CA0493">
            <w:pPr>
              <w:rPr>
                <w:iCs/>
                <w:highlight w:val="yellow"/>
              </w:rPr>
            </w:pPr>
            <w:r w:rsidRPr="00085ED8">
              <w:t xml:space="preserve"> 52 220</w:t>
            </w:r>
          </w:p>
        </w:tc>
        <w:tc>
          <w:tcPr>
            <w:tcW w:w="1230" w:type="dxa"/>
            <w:tcBorders>
              <w:top w:val="outset" w:sz="6" w:space="0" w:color="auto"/>
              <w:left w:val="outset" w:sz="6" w:space="0" w:color="auto"/>
              <w:bottom w:val="outset" w:sz="6" w:space="0" w:color="auto"/>
              <w:right w:val="outset" w:sz="6" w:space="0" w:color="auto"/>
            </w:tcBorders>
            <w:hideMark/>
          </w:tcPr>
          <w:p w14:paraId="3896D8E9" w14:textId="26D85944" w:rsidR="00CA0493" w:rsidRPr="00323993" w:rsidRDefault="00A36748" w:rsidP="00CA0493">
            <w:pPr>
              <w:rPr>
                <w:iCs/>
                <w:highlight w:val="yellow"/>
              </w:rPr>
            </w:pPr>
            <w:r>
              <w:t xml:space="preserve"> 33 660</w:t>
            </w:r>
          </w:p>
        </w:tc>
      </w:tr>
      <w:tr w:rsidR="00CA0493" w:rsidRPr="0020339B" w14:paraId="2BE41E3C" w14:textId="77777777" w:rsidTr="00B32506">
        <w:trPr>
          <w:tblCellSpacing w:w="15" w:type="dxa"/>
        </w:trPr>
        <w:tc>
          <w:tcPr>
            <w:tcW w:w="1297" w:type="dxa"/>
            <w:tcBorders>
              <w:top w:val="outset" w:sz="6" w:space="0" w:color="auto"/>
              <w:left w:val="outset" w:sz="6" w:space="0" w:color="auto"/>
              <w:bottom w:val="outset" w:sz="6" w:space="0" w:color="auto"/>
              <w:right w:val="outset" w:sz="6" w:space="0" w:color="auto"/>
            </w:tcBorders>
            <w:hideMark/>
          </w:tcPr>
          <w:p w14:paraId="04CFC5DD" w14:textId="77777777" w:rsidR="00CA0493" w:rsidRPr="00C97C50" w:rsidRDefault="00CA0493" w:rsidP="00CA0493">
            <w:pPr>
              <w:rPr>
                <w:iCs/>
              </w:rPr>
            </w:pPr>
            <w:r w:rsidRPr="00C97C50">
              <w:rPr>
                <w:iCs/>
              </w:rPr>
              <w:t>2.1. valsts pamatbudžets</w:t>
            </w:r>
          </w:p>
        </w:tc>
        <w:tc>
          <w:tcPr>
            <w:tcW w:w="870" w:type="dxa"/>
            <w:tcBorders>
              <w:top w:val="outset" w:sz="6" w:space="0" w:color="auto"/>
              <w:left w:val="outset" w:sz="6" w:space="0" w:color="auto"/>
              <w:bottom w:val="outset" w:sz="6" w:space="0" w:color="auto"/>
              <w:right w:val="outset" w:sz="6" w:space="0" w:color="auto"/>
            </w:tcBorders>
            <w:hideMark/>
          </w:tcPr>
          <w:p w14:paraId="31E65E6B" w14:textId="1911437A" w:rsidR="00CA0493" w:rsidRPr="00323993" w:rsidRDefault="00CA0493" w:rsidP="00CA0493">
            <w:pPr>
              <w:rPr>
                <w:iCs/>
                <w:highlight w:val="yellow"/>
              </w:rPr>
            </w:pPr>
            <w:r w:rsidRPr="00085ED8">
              <w:t>1 421 257</w:t>
            </w:r>
          </w:p>
        </w:tc>
        <w:tc>
          <w:tcPr>
            <w:tcW w:w="981" w:type="dxa"/>
            <w:tcBorders>
              <w:top w:val="outset" w:sz="6" w:space="0" w:color="auto"/>
              <w:left w:val="outset" w:sz="6" w:space="0" w:color="auto"/>
              <w:bottom w:val="outset" w:sz="6" w:space="0" w:color="auto"/>
              <w:right w:val="outset" w:sz="6" w:space="0" w:color="auto"/>
            </w:tcBorders>
            <w:hideMark/>
          </w:tcPr>
          <w:p w14:paraId="6DC0EC03" w14:textId="77E9F6D5" w:rsidR="00CA0493" w:rsidRPr="00323993" w:rsidRDefault="00CA0493" w:rsidP="00CA0493">
            <w:pPr>
              <w:rPr>
                <w:iCs/>
                <w:highlight w:val="yellow"/>
              </w:rPr>
            </w:pPr>
            <w:r w:rsidRPr="00085ED8">
              <w:t xml:space="preserve"> 4000</w:t>
            </w:r>
          </w:p>
        </w:tc>
        <w:tc>
          <w:tcPr>
            <w:tcW w:w="1104" w:type="dxa"/>
            <w:tcBorders>
              <w:top w:val="outset" w:sz="6" w:space="0" w:color="auto"/>
              <w:left w:val="outset" w:sz="6" w:space="0" w:color="auto"/>
              <w:bottom w:val="outset" w:sz="6" w:space="0" w:color="auto"/>
              <w:right w:val="outset" w:sz="6" w:space="0" w:color="auto"/>
            </w:tcBorders>
            <w:hideMark/>
          </w:tcPr>
          <w:p w14:paraId="1D2B1153" w14:textId="0DD24B78" w:rsidR="00CA0493" w:rsidRPr="00323993" w:rsidRDefault="00CA0493" w:rsidP="00CA0493">
            <w:pPr>
              <w:rPr>
                <w:iCs/>
                <w:highlight w:val="yellow"/>
              </w:rPr>
            </w:pPr>
            <w:r w:rsidRPr="00085ED8">
              <w:t>1 421 257</w:t>
            </w:r>
          </w:p>
        </w:tc>
        <w:tc>
          <w:tcPr>
            <w:tcW w:w="1104" w:type="dxa"/>
            <w:tcBorders>
              <w:top w:val="outset" w:sz="6" w:space="0" w:color="auto"/>
              <w:left w:val="outset" w:sz="6" w:space="0" w:color="auto"/>
              <w:bottom w:val="outset" w:sz="6" w:space="0" w:color="auto"/>
              <w:right w:val="outset" w:sz="6" w:space="0" w:color="auto"/>
            </w:tcBorders>
            <w:hideMark/>
          </w:tcPr>
          <w:p w14:paraId="184455BA" w14:textId="150C8A4F" w:rsidR="00CA0493" w:rsidRPr="00323993" w:rsidRDefault="00CA0493" w:rsidP="00CA0493">
            <w:pPr>
              <w:rPr>
                <w:iCs/>
                <w:highlight w:val="yellow"/>
              </w:rPr>
            </w:pPr>
            <w:r w:rsidRPr="00085ED8">
              <w:t>71 140</w:t>
            </w:r>
          </w:p>
        </w:tc>
        <w:tc>
          <w:tcPr>
            <w:tcW w:w="1104" w:type="dxa"/>
            <w:tcBorders>
              <w:top w:val="outset" w:sz="6" w:space="0" w:color="auto"/>
              <w:left w:val="outset" w:sz="6" w:space="0" w:color="auto"/>
              <w:bottom w:val="outset" w:sz="6" w:space="0" w:color="auto"/>
              <w:right w:val="outset" w:sz="6" w:space="0" w:color="auto"/>
            </w:tcBorders>
            <w:hideMark/>
          </w:tcPr>
          <w:p w14:paraId="1099795F" w14:textId="54E97AE4" w:rsidR="00CA0493" w:rsidRPr="00323993" w:rsidRDefault="00CA0493" w:rsidP="00CA0493">
            <w:pPr>
              <w:rPr>
                <w:iCs/>
                <w:highlight w:val="yellow"/>
              </w:rPr>
            </w:pPr>
            <w:r w:rsidRPr="00085ED8">
              <w:t xml:space="preserve"> 1 421 257</w:t>
            </w:r>
          </w:p>
        </w:tc>
        <w:tc>
          <w:tcPr>
            <w:tcW w:w="1245" w:type="dxa"/>
            <w:tcBorders>
              <w:top w:val="outset" w:sz="6" w:space="0" w:color="auto"/>
              <w:left w:val="outset" w:sz="6" w:space="0" w:color="auto"/>
              <w:bottom w:val="outset" w:sz="6" w:space="0" w:color="auto"/>
              <w:right w:val="outset" w:sz="6" w:space="0" w:color="auto"/>
            </w:tcBorders>
            <w:hideMark/>
          </w:tcPr>
          <w:p w14:paraId="6AD1D8D9" w14:textId="082CB92A" w:rsidR="00CA0493" w:rsidRPr="00323993" w:rsidRDefault="00CA0493" w:rsidP="00CA0493">
            <w:pPr>
              <w:rPr>
                <w:iCs/>
                <w:highlight w:val="yellow"/>
              </w:rPr>
            </w:pPr>
            <w:r w:rsidRPr="00085ED8">
              <w:t xml:space="preserve"> 52 220</w:t>
            </w:r>
          </w:p>
        </w:tc>
        <w:tc>
          <w:tcPr>
            <w:tcW w:w="1230" w:type="dxa"/>
            <w:tcBorders>
              <w:top w:val="outset" w:sz="6" w:space="0" w:color="auto"/>
              <w:left w:val="outset" w:sz="6" w:space="0" w:color="auto"/>
              <w:bottom w:val="outset" w:sz="6" w:space="0" w:color="auto"/>
              <w:right w:val="outset" w:sz="6" w:space="0" w:color="auto"/>
            </w:tcBorders>
            <w:hideMark/>
          </w:tcPr>
          <w:p w14:paraId="0F78E489" w14:textId="0890B141" w:rsidR="00CA0493" w:rsidRPr="00323993" w:rsidRDefault="00A36748" w:rsidP="00CA0493">
            <w:pPr>
              <w:rPr>
                <w:iCs/>
                <w:highlight w:val="yellow"/>
              </w:rPr>
            </w:pPr>
            <w:r>
              <w:t>33 660</w:t>
            </w:r>
          </w:p>
        </w:tc>
      </w:tr>
      <w:tr w:rsidR="00190B08" w:rsidRPr="0020339B" w14:paraId="2DD4C4E4" w14:textId="77777777" w:rsidTr="00190B08">
        <w:trPr>
          <w:tblCellSpacing w:w="15" w:type="dxa"/>
        </w:trPr>
        <w:tc>
          <w:tcPr>
            <w:tcW w:w="1297" w:type="dxa"/>
            <w:tcBorders>
              <w:top w:val="outset" w:sz="6" w:space="0" w:color="auto"/>
              <w:left w:val="outset" w:sz="6" w:space="0" w:color="auto"/>
              <w:bottom w:val="outset" w:sz="6" w:space="0" w:color="auto"/>
              <w:right w:val="outset" w:sz="6" w:space="0" w:color="auto"/>
            </w:tcBorders>
            <w:hideMark/>
          </w:tcPr>
          <w:p w14:paraId="69689BB1" w14:textId="77777777" w:rsidR="0020339B" w:rsidRPr="0020339B" w:rsidRDefault="0020339B" w:rsidP="0020339B">
            <w:pPr>
              <w:rPr>
                <w:iCs/>
              </w:rPr>
            </w:pPr>
            <w:r w:rsidRPr="0020339B">
              <w:rPr>
                <w:iCs/>
              </w:rPr>
              <w:t>2.2. valsts speciālais budžets</w:t>
            </w:r>
          </w:p>
        </w:tc>
        <w:tc>
          <w:tcPr>
            <w:tcW w:w="870" w:type="dxa"/>
            <w:tcBorders>
              <w:top w:val="outset" w:sz="6" w:space="0" w:color="auto"/>
              <w:left w:val="outset" w:sz="6" w:space="0" w:color="auto"/>
              <w:bottom w:val="outset" w:sz="6" w:space="0" w:color="auto"/>
              <w:right w:val="outset" w:sz="6" w:space="0" w:color="auto"/>
            </w:tcBorders>
            <w:vAlign w:val="center"/>
            <w:hideMark/>
          </w:tcPr>
          <w:p w14:paraId="6D29C278" w14:textId="63DE157E" w:rsidR="0020339B" w:rsidRPr="0020339B" w:rsidRDefault="0020339B" w:rsidP="0020339B">
            <w:pPr>
              <w:rPr>
                <w:iCs/>
              </w:rPr>
            </w:pPr>
            <w:r w:rsidRPr="0020339B">
              <w:rPr>
                <w:iCs/>
              </w:rPr>
              <w:t> </w:t>
            </w:r>
            <w:r w:rsidR="00BB5CDE">
              <w:rPr>
                <w:iCs/>
              </w:rPr>
              <w:t>0</w:t>
            </w:r>
          </w:p>
        </w:tc>
        <w:tc>
          <w:tcPr>
            <w:tcW w:w="981" w:type="dxa"/>
            <w:tcBorders>
              <w:top w:val="outset" w:sz="6" w:space="0" w:color="auto"/>
              <w:left w:val="outset" w:sz="6" w:space="0" w:color="auto"/>
              <w:bottom w:val="outset" w:sz="6" w:space="0" w:color="auto"/>
              <w:right w:val="outset" w:sz="6" w:space="0" w:color="auto"/>
            </w:tcBorders>
            <w:vAlign w:val="center"/>
            <w:hideMark/>
          </w:tcPr>
          <w:p w14:paraId="76166862" w14:textId="1C09DDD4"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4AF5BEE" w14:textId="58C5610E"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6669BB1" w14:textId="278539C9"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96FB42A" w14:textId="0BAE0D6E" w:rsidR="0020339B" w:rsidRPr="0020339B" w:rsidRDefault="00BB5CDE" w:rsidP="0020339B">
            <w:pPr>
              <w:rPr>
                <w:iCs/>
              </w:rPr>
            </w:pPr>
            <w:r>
              <w:rPr>
                <w:iCs/>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D5F6116" w14:textId="38D593BC" w:rsidR="0020339B" w:rsidRPr="0020339B" w:rsidRDefault="00BB5CDE" w:rsidP="0020339B">
            <w:pPr>
              <w:rPr>
                <w:iCs/>
              </w:rPr>
            </w:pPr>
            <w:r>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6F1C5AD0" w14:textId="1E47CE30" w:rsidR="0020339B" w:rsidRPr="0020339B" w:rsidRDefault="00BB5CDE" w:rsidP="0020339B">
            <w:pPr>
              <w:rPr>
                <w:iCs/>
              </w:rPr>
            </w:pPr>
            <w:r>
              <w:rPr>
                <w:iCs/>
              </w:rPr>
              <w:t>0</w:t>
            </w:r>
          </w:p>
        </w:tc>
      </w:tr>
      <w:tr w:rsidR="00190B08" w:rsidRPr="0020339B" w14:paraId="0876B558" w14:textId="77777777" w:rsidTr="00190B08">
        <w:trPr>
          <w:tblCellSpacing w:w="15" w:type="dxa"/>
        </w:trPr>
        <w:tc>
          <w:tcPr>
            <w:tcW w:w="1297" w:type="dxa"/>
            <w:tcBorders>
              <w:top w:val="outset" w:sz="6" w:space="0" w:color="auto"/>
              <w:left w:val="outset" w:sz="6" w:space="0" w:color="auto"/>
              <w:bottom w:val="outset" w:sz="6" w:space="0" w:color="auto"/>
              <w:right w:val="outset" w:sz="6" w:space="0" w:color="auto"/>
            </w:tcBorders>
            <w:hideMark/>
          </w:tcPr>
          <w:p w14:paraId="569224E3" w14:textId="77777777" w:rsidR="0020339B" w:rsidRPr="0020339B" w:rsidRDefault="0020339B" w:rsidP="0020339B">
            <w:pPr>
              <w:rPr>
                <w:iCs/>
              </w:rPr>
            </w:pPr>
            <w:r w:rsidRPr="0020339B">
              <w:rPr>
                <w:iCs/>
              </w:rPr>
              <w:t>2.3. pašvaldību budžets</w:t>
            </w:r>
          </w:p>
        </w:tc>
        <w:tc>
          <w:tcPr>
            <w:tcW w:w="870" w:type="dxa"/>
            <w:tcBorders>
              <w:top w:val="outset" w:sz="6" w:space="0" w:color="auto"/>
              <w:left w:val="outset" w:sz="6" w:space="0" w:color="auto"/>
              <w:bottom w:val="outset" w:sz="6" w:space="0" w:color="auto"/>
              <w:right w:val="outset" w:sz="6" w:space="0" w:color="auto"/>
            </w:tcBorders>
            <w:vAlign w:val="center"/>
            <w:hideMark/>
          </w:tcPr>
          <w:p w14:paraId="3F9DEBEF" w14:textId="0DFDB9F9" w:rsidR="0020339B" w:rsidRPr="0020339B" w:rsidRDefault="0020339B" w:rsidP="0020339B">
            <w:pPr>
              <w:rPr>
                <w:iCs/>
              </w:rPr>
            </w:pPr>
            <w:r w:rsidRPr="0020339B">
              <w:rPr>
                <w:iCs/>
              </w:rPr>
              <w:t> </w:t>
            </w:r>
            <w:r w:rsidR="00BB5CDE">
              <w:rPr>
                <w:iCs/>
              </w:rPr>
              <w:t>0</w:t>
            </w:r>
          </w:p>
        </w:tc>
        <w:tc>
          <w:tcPr>
            <w:tcW w:w="981" w:type="dxa"/>
            <w:tcBorders>
              <w:top w:val="outset" w:sz="6" w:space="0" w:color="auto"/>
              <w:left w:val="outset" w:sz="6" w:space="0" w:color="auto"/>
              <w:bottom w:val="outset" w:sz="6" w:space="0" w:color="auto"/>
              <w:right w:val="outset" w:sz="6" w:space="0" w:color="auto"/>
            </w:tcBorders>
            <w:vAlign w:val="center"/>
            <w:hideMark/>
          </w:tcPr>
          <w:p w14:paraId="28711701" w14:textId="6D0C9104"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58C396A" w14:textId="0B41AEDC"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F8345E4" w14:textId="5B2319BA"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A1D0004" w14:textId="6D4E7EB5" w:rsidR="0020339B" w:rsidRPr="0020339B" w:rsidRDefault="00BB5CDE" w:rsidP="0020339B">
            <w:pPr>
              <w:rPr>
                <w:iCs/>
              </w:rPr>
            </w:pPr>
            <w:r>
              <w:rPr>
                <w:iCs/>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3596582B" w14:textId="290C8889" w:rsidR="0020339B" w:rsidRPr="0020339B" w:rsidRDefault="00BB5CDE" w:rsidP="0020339B">
            <w:pPr>
              <w:rPr>
                <w:iCs/>
              </w:rPr>
            </w:pPr>
            <w:r>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63C144BB" w14:textId="3DF17D28" w:rsidR="0020339B" w:rsidRPr="0020339B" w:rsidRDefault="00BB5CDE" w:rsidP="0020339B">
            <w:pPr>
              <w:rPr>
                <w:iCs/>
              </w:rPr>
            </w:pPr>
            <w:r>
              <w:rPr>
                <w:iCs/>
              </w:rPr>
              <w:t>0</w:t>
            </w:r>
          </w:p>
        </w:tc>
      </w:tr>
      <w:tr w:rsidR="00190B08" w:rsidRPr="0020339B" w14:paraId="430AB8B5" w14:textId="77777777" w:rsidTr="00190B08">
        <w:trPr>
          <w:tblCellSpacing w:w="15" w:type="dxa"/>
        </w:trPr>
        <w:tc>
          <w:tcPr>
            <w:tcW w:w="1297" w:type="dxa"/>
            <w:tcBorders>
              <w:top w:val="outset" w:sz="6" w:space="0" w:color="auto"/>
              <w:left w:val="outset" w:sz="6" w:space="0" w:color="auto"/>
              <w:bottom w:val="outset" w:sz="6" w:space="0" w:color="auto"/>
              <w:right w:val="outset" w:sz="6" w:space="0" w:color="auto"/>
            </w:tcBorders>
            <w:hideMark/>
          </w:tcPr>
          <w:p w14:paraId="4D17AAAA" w14:textId="77777777" w:rsidR="0020339B" w:rsidRPr="0020339B" w:rsidRDefault="0020339B" w:rsidP="0020339B">
            <w:pPr>
              <w:rPr>
                <w:iCs/>
              </w:rPr>
            </w:pPr>
            <w:r w:rsidRPr="0020339B">
              <w:rPr>
                <w:iCs/>
              </w:rPr>
              <w:t>3. Finansiālā ietekme</w:t>
            </w:r>
          </w:p>
        </w:tc>
        <w:tc>
          <w:tcPr>
            <w:tcW w:w="870" w:type="dxa"/>
            <w:tcBorders>
              <w:top w:val="outset" w:sz="6" w:space="0" w:color="auto"/>
              <w:left w:val="outset" w:sz="6" w:space="0" w:color="auto"/>
              <w:bottom w:val="outset" w:sz="6" w:space="0" w:color="auto"/>
              <w:right w:val="outset" w:sz="6" w:space="0" w:color="auto"/>
            </w:tcBorders>
            <w:vAlign w:val="center"/>
            <w:hideMark/>
          </w:tcPr>
          <w:p w14:paraId="1FFB105B" w14:textId="145288BC" w:rsidR="0020339B" w:rsidRPr="0020339B" w:rsidRDefault="00BB5CDE" w:rsidP="0020339B">
            <w:pPr>
              <w:rPr>
                <w:iCs/>
              </w:rPr>
            </w:pPr>
            <w:r>
              <w:rPr>
                <w:iCs/>
              </w:rPr>
              <w:t>0</w:t>
            </w:r>
          </w:p>
        </w:tc>
        <w:tc>
          <w:tcPr>
            <w:tcW w:w="981" w:type="dxa"/>
            <w:tcBorders>
              <w:top w:val="outset" w:sz="6" w:space="0" w:color="auto"/>
              <w:left w:val="outset" w:sz="6" w:space="0" w:color="auto"/>
              <w:bottom w:val="outset" w:sz="6" w:space="0" w:color="auto"/>
              <w:right w:val="outset" w:sz="6" w:space="0" w:color="auto"/>
            </w:tcBorders>
            <w:vAlign w:val="center"/>
            <w:hideMark/>
          </w:tcPr>
          <w:p w14:paraId="7DAF294E" w14:textId="6BB5C40E"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3D082A8" w14:textId="043984CF"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1314179" w14:textId="0CF9876E"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9A97BA6" w14:textId="4EE1B9CF" w:rsidR="0020339B" w:rsidRPr="0020339B" w:rsidRDefault="00BB5CDE" w:rsidP="0020339B">
            <w:pPr>
              <w:rPr>
                <w:iCs/>
              </w:rPr>
            </w:pPr>
            <w:r>
              <w:rPr>
                <w:iCs/>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05F96E18" w14:textId="36AC828F" w:rsidR="0020339B" w:rsidRPr="0020339B" w:rsidRDefault="00BB5CDE" w:rsidP="0020339B">
            <w:pPr>
              <w:rPr>
                <w:iCs/>
              </w:rPr>
            </w:pPr>
            <w:r>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4D013994" w14:textId="683253E0" w:rsidR="0020339B" w:rsidRPr="0020339B" w:rsidRDefault="00BB5CDE" w:rsidP="0020339B">
            <w:pPr>
              <w:rPr>
                <w:iCs/>
              </w:rPr>
            </w:pPr>
            <w:r>
              <w:rPr>
                <w:iCs/>
              </w:rPr>
              <w:t>0</w:t>
            </w:r>
          </w:p>
        </w:tc>
      </w:tr>
      <w:tr w:rsidR="00190B08" w:rsidRPr="0020339B" w14:paraId="139BEBA4" w14:textId="77777777" w:rsidTr="00190B08">
        <w:trPr>
          <w:tblCellSpacing w:w="15" w:type="dxa"/>
        </w:trPr>
        <w:tc>
          <w:tcPr>
            <w:tcW w:w="1297" w:type="dxa"/>
            <w:tcBorders>
              <w:top w:val="outset" w:sz="6" w:space="0" w:color="auto"/>
              <w:left w:val="outset" w:sz="6" w:space="0" w:color="auto"/>
              <w:bottom w:val="outset" w:sz="6" w:space="0" w:color="auto"/>
              <w:right w:val="outset" w:sz="6" w:space="0" w:color="auto"/>
            </w:tcBorders>
            <w:hideMark/>
          </w:tcPr>
          <w:p w14:paraId="0D5CDEB5" w14:textId="77777777" w:rsidR="0020339B" w:rsidRPr="0020339B" w:rsidRDefault="0020339B" w:rsidP="0020339B">
            <w:pPr>
              <w:rPr>
                <w:iCs/>
              </w:rPr>
            </w:pPr>
            <w:r w:rsidRPr="0020339B">
              <w:rPr>
                <w:iCs/>
              </w:rPr>
              <w:t>3.1. valsts pamatbudžets</w:t>
            </w:r>
          </w:p>
        </w:tc>
        <w:tc>
          <w:tcPr>
            <w:tcW w:w="870" w:type="dxa"/>
            <w:tcBorders>
              <w:top w:val="outset" w:sz="6" w:space="0" w:color="auto"/>
              <w:left w:val="outset" w:sz="6" w:space="0" w:color="auto"/>
              <w:bottom w:val="outset" w:sz="6" w:space="0" w:color="auto"/>
              <w:right w:val="outset" w:sz="6" w:space="0" w:color="auto"/>
            </w:tcBorders>
            <w:vAlign w:val="center"/>
            <w:hideMark/>
          </w:tcPr>
          <w:p w14:paraId="3ED88F42" w14:textId="1A839216" w:rsidR="0020339B" w:rsidRPr="0020339B" w:rsidRDefault="00BB5CDE" w:rsidP="0020339B">
            <w:pPr>
              <w:rPr>
                <w:iCs/>
              </w:rPr>
            </w:pPr>
            <w:r>
              <w:rPr>
                <w:iCs/>
              </w:rPr>
              <w:t>0</w:t>
            </w:r>
          </w:p>
        </w:tc>
        <w:tc>
          <w:tcPr>
            <w:tcW w:w="981" w:type="dxa"/>
            <w:tcBorders>
              <w:top w:val="outset" w:sz="6" w:space="0" w:color="auto"/>
              <w:left w:val="outset" w:sz="6" w:space="0" w:color="auto"/>
              <w:bottom w:val="outset" w:sz="6" w:space="0" w:color="auto"/>
              <w:right w:val="outset" w:sz="6" w:space="0" w:color="auto"/>
            </w:tcBorders>
            <w:vAlign w:val="center"/>
            <w:hideMark/>
          </w:tcPr>
          <w:p w14:paraId="14FCB816" w14:textId="53D558DE"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E2EE70E" w14:textId="45EC568B"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862CD5E" w14:textId="62B7AB3F"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16D5B59" w14:textId="292B5FAA" w:rsidR="0020339B" w:rsidRPr="0020339B" w:rsidRDefault="00BB5CDE" w:rsidP="0020339B">
            <w:pPr>
              <w:rPr>
                <w:iCs/>
              </w:rPr>
            </w:pPr>
            <w:r>
              <w:rPr>
                <w:iCs/>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0B565B1F" w14:textId="1233810F" w:rsidR="0020339B" w:rsidRPr="0020339B" w:rsidRDefault="00BB5CDE" w:rsidP="0020339B">
            <w:pPr>
              <w:rPr>
                <w:iCs/>
              </w:rPr>
            </w:pPr>
            <w:r>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0AF27C6C" w14:textId="739AB55D" w:rsidR="0020339B" w:rsidRPr="0020339B" w:rsidRDefault="00BB5CDE" w:rsidP="0020339B">
            <w:pPr>
              <w:rPr>
                <w:iCs/>
              </w:rPr>
            </w:pPr>
            <w:r>
              <w:rPr>
                <w:iCs/>
              </w:rPr>
              <w:t>0</w:t>
            </w:r>
          </w:p>
        </w:tc>
      </w:tr>
      <w:tr w:rsidR="00190B08" w:rsidRPr="0020339B" w14:paraId="691C340D" w14:textId="77777777" w:rsidTr="00190B08">
        <w:trPr>
          <w:tblCellSpacing w:w="15" w:type="dxa"/>
        </w:trPr>
        <w:tc>
          <w:tcPr>
            <w:tcW w:w="1297" w:type="dxa"/>
            <w:tcBorders>
              <w:top w:val="outset" w:sz="6" w:space="0" w:color="auto"/>
              <w:left w:val="outset" w:sz="6" w:space="0" w:color="auto"/>
              <w:bottom w:val="outset" w:sz="6" w:space="0" w:color="auto"/>
              <w:right w:val="outset" w:sz="6" w:space="0" w:color="auto"/>
            </w:tcBorders>
            <w:hideMark/>
          </w:tcPr>
          <w:p w14:paraId="5FABB317" w14:textId="77777777" w:rsidR="0020339B" w:rsidRPr="0020339B" w:rsidRDefault="0020339B" w:rsidP="0020339B">
            <w:pPr>
              <w:rPr>
                <w:iCs/>
              </w:rPr>
            </w:pPr>
            <w:r w:rsidRPr="0020339B">
              <w:rPr>
                <w:iCs/>
              </w:rPr>
              <w:t>3.2. speciālais budžets</w:t>
            </w:r>
          </w:p>
        </w:tc>
        <w:tc>
          <w:tcPr>
            <w:tcW w:w="870" w:type="dxa"/>
            <w:tcBorders>
              <w:top w:val="outset" w:sz="6" w:space="0" w:color="auto"/>
              <w:left w:val="outset" w:sz="6" w:space="0" w:color="auto"/>
              <w:bottom w:val="outset" w:sz="6" w:space="0" w:color="auto"/>
              <w:right w:val="outset" w:sz="6" w:space="0" w:color="auto"/>
            </w:tcBorders>
            <w:vAlign w:val="center"/>
            <w:hideMark/>
          </w:tcPr>
          <w:p w14:paraId="59026241" w14:textId="642AC2FC" w:rsidR="0020339B" w:rsidRPr="0020339B" w:rsidRDefault="00BB5CDE" w:rsidP="0020339B">
            <w:pPr>
              <w:rPr>
                <w:iCs/>
              </w:rPr>
            </w:pPr>
            <w:r>
              <w:rPr>
                <w:iCs/>
              </w:rPr>
              <w:t>0</w:t>
            </w:r>
          </w:p>
        </w:tc>
        <w:tc>
          <w:tcPr>
            <w:tcW w:w="981" w:type="dxa"/>
            <w:tcBorders>
              <w:top w:val="outset" w:sz="6" w:space="0" w:color="auto"/>
              <w:left w:val="outset" w:sz="6" w:space="0" w:color="auto"/>
              <w:bottom w:val="outset" w:sz="6" w:space="0" w:color="auto"/>
              <w:right w:val="outset" w:sz="6" w:space="0" w:color="auto"/>
            </w:tcBorders>
            <w:vAlign w:val="center"/>
            <w:hideMark/>
          </w:tcPr>
          <w:p w14:paraId="4B803CD7" w14:textId="5750686E"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1AAED28" w14:textId="5C23804F"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558E455" w14:textId="170A7C89"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E3C71B0" w14:textId="2BAE424B" w:rsidR="0020339B" w:rsidRPr="0020339B" w:rsidRDefault="00BB5CDE" w:rsidP="0020339B">
            <w:pPr>
              <w:rPr>
                <w:iCs/>
              </w:rPr>
            </w:pPr>
            <w:r>
              <w:rPr>
                <w:iCs/>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0FE23A7E" w14:textId="4EC76ADF" w:rsidR="0020339B" w:rsidRPr="0020339B" w:rsidRDefault="00BB5CDE" w:rsidP="0020339B">
            <w:pPr>
              <w:rPr>
                <w:iCs/>
              </w:rPr>
            </w:pPr>
            <w:r>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74EAA72C" w14:textId="4C2C0F81" w:rsidR="0020339B" w:rsidRPr="0020339B" w:rsidRDefault="00BB5CDE" w:rsidP="0020339B">
            <w:pPr>
              <w:rPr>
                <w:iCs/>
              </w:rPr>
            </w:pPr>
            <w:r>
              <w:rPr>
                <w:iCs/>
              </w:rPr>
              <w:t>0</w:t>
            </w:r>
          </w:p>
        </w:tc>
      </w:tr>
      <w:tr w:rsidR="00190B08" w:rsidRPr="0020339B" w14:paraId="1A0EDF9E" w14:textId="77777777" w:rsidTr="00190B08">
        <w:trPr>
          <w:tblCellSpacing w:w="15" w:type="dxa"/>
        </w:trPr>
        <w:tc>
          <w:tcPr>
            <w:tcW w:w="1297" w:type="dxa"/>
            <w:tcBorders>
              <w:top w:val="outset" w:sz="6" w:space="0" w:color="auto"/>
              <w:left w:val="outset" w:sz="6" w:space="0" w:color="auto"/>
              <w:bottom w:val="outset" w:sz="6" w:space="0" w:color="auto"/>
              <w:right w:val="outset" w:sz="6" w:space="0" w:color="auto"/>
            </w:tcBorders>
            <w:hideMark/>
          </w:tcPr>
          <w:p w14:paraId="7A05B44E" w14:textId="77777777" w:rsidR="0020339B" w:rsidRPr="0020339B" w:rsidRDefault="0020339B" w:rsidP="0020339B">
            <w:pPr>
              <w:rPr>
                <w:iCs/>
              </w:rPr>
            </w:pPr>
            <w:r w:rsidRPr="0020339B">
              <w:rPr>
                <w:iCs/>
              </w:rPr>
              <w:t>3.3. pašvaldību budžets</w:t>
            </w:r>
          </w:p>
        </w:tc>
        <w:tc>
          <w:tcPr>
            <w:tcW w:w="870" w:type="dxa"/>
            <w:tcBorders>
              <w:top w:val="outset" w:sz="6" w:space="0" w:color="auto"/>
              <w:left w:val="outset" w:sz="6" w:space="0" w:color="auto"/>
              <w:bottom w:val="outset" w:sz="6" w:space="0" w:color="auto"/>
              <w:right w:val="outset" w:sz="6" w:space="0" w:color="auto"/>
            </w:tcBorders>
            <w:vAlign w:val="center"/>
            <w:hideMark/>
          </w:tcPr>
          <w:p w14:paraId="47E30F85" w14:textId="0E191F41" w:rsidR="0020339B" w:rsidRPr="0020339B" w:rsidRDefault="00BB5CDE" w:rsidP="0020339B">
            <w:pPr>
              <w:rPr>
                <w:iCs/>
              </w:rPr>
            </w:pPr>
            <w:r>
              <w:rPr>
                <w:iCs/>
              </w:rPr>
              <w:t>0</w:t>
            </w:r>
          </w:p>
        </w:tc>
        <w:tc>
          <w:tcPr>
            <w:tcW w:w="981" w:type="dxa"/>
            <w:tcBorders>
              <w:top w:val="outset" w:sz="6" w:space="0" w:color="auto"/>
              <w:left w:val="outset" w:sz="6" w:space="0" w:color="auto"/>
              <w:bottom w:val="outset" w:sz="6" w:space="0" w:color="auto"/>
              <w:right w:val="outset" w:sz="6" w:space="0" w:color="auto"/>
            </w:tcBorders>
            <w:vAlign w:val="center"/>
            <w:hideMark/>
          </w:tcPr>
          <w:p w14:paraId="6CD72C78" w14:textId="082208D5"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5D1D88E" w14:textId="33FA1632"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E6D74DD" w14:textId="541CA6AA"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28FB62" w14:textId="5F21841D" w:rsidR="0020339B" w:rsidRPr="0020339B" w:rsidRDefault="00BB5CDE" w:rsidP="0020339B">
            <w:pPr>
              <w:rPr>
                <w:iCs/>
              </w:rPr>
            </w:pPr>
            <w:r>
              <w:rPr>
                <w:iCs/>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740A1D1" w14:textId="0448F0F8" w:rsidR="0020339B" w:rsidRPr="0020339B" w:rsidRDefault="00BB5CDE" w:rsidP="0020339B">
            <w:pPr>
              <w:rPr>
                <w:iCs/>
              </w:rPr>
            </w:pPr>
            <w:r>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258C7FC8" w14:textId="6FC36DF2" w:rsidR="0020339B" w:rsidRPr="0020339B" w:rsidRDefault="00BB5CDE" w:rsidP="0020339B">
            <w:pPr>
              <w:rPr>
                <w:iCs/>
              </w:rPr>
            </w:pPr>
            <w:r>
              <w:rPr>
                <w:iCs/>
              </w:rPr>
              <w:t>0</w:t>
            </w:r>
          </w:p>
        </w:tc>
      </w:tr>
      <w:tr w:rsidR="00190B08" w:rsidRPr="0020339B" w14:paraId="57574809" w14:textId="77777777" w:rsidTr="00190B08">
        <w:trPr>
          <w:tblCellSpacing w:w="15" w:type="dxa"/>
        </w:trPr>
        <w:tc>
          <w:tcPr>
            <w:tcW w:w="1297" w:type="dxa"/>
            <w:tcBorders>
              <w:top w:val="outset" w:sz="6" w:space="0" w:color="auto"/>
              <w:left w:val="outset" w:sz="6" w:space="0" w:color="auto"/>
              <w:bottom w:val="outset" w:sz="6" w:space="0" w:color="auto"/>
              <w:right w:val="outset" w:sz="6" w:space="0" w:color="auto"/>
            </w:tcBorders>
            <w:hideMark/>
          </w:tcPr>
          <w:p w14:paraId="47A58092" w14:textId="77777777" w:rsidR="0020339B" w:rsidRPr="0020339B" w:rsidRDefault="0020339B" w:rsidP="0020339B">
            <w:pPr>
              <w:rPr>
                <w:iCs/>
              </w:rPr>
            </w:pPr>
            <w:r w:rsidRPr="0020339B">
              <w:rPr>
                <w:iCs/>
              </w:rPr>
              <w:t>4. Finanšu līdzekļi papildu izdevumu finansēšanai (kompensējošu izdevumu samazinājumu norāda ar "+" zīmi)</w:t>
            </w:r>
          </w:p>
        </w:tc>
        <w:tc>
          <w:tcPr>
            <w:tcW w:w="870" w:type="dxa"/>
            <w:tcBorders>
              <w:top w:val="outset" w:sz="6" w:space="0" w:color="auto"/>
              <w:left w:val="outset" w:sz="6" w:space="0" w:color="auto"/>
              <w:bottom w:val="outset" w:sz="6" w:space="0" w:color="auto"/>
              <w:right w:val="outset" w:sz="6" w:space="0" w:color="auto"/>
            </w:tcBorders>
            <w:vAlign w:val="center"/>
            <w:hideMark/>
          </w:tcPr>
          <w:p w14:paraId="33424884" w14:textId="0AECC5BD" w:rsidR="0020339B" w:rsidRPr="0020339B" w:rsidRDefault="00BB5CDE" w:rsidP="0020339B">
            <w:pPr>
              <w:rPr>
                <w:iCs/>
              </w:rPr>
            </w:pPr>
            <w:r>
              <w:rPr>
                <w:iCs/>
              </w:rPr>
              <w:t>0</w:t>
            </w:r>
          </w:p>
        </w:tc>
        <w:tc>
          <w:tcPr>
            <w:tcW w:w="981" w:type="dxa"/>
            <w:tcBorders>
              <w:top w:val="outset" w:sz="6" w:space="0" w:color="auto"/>
              <w:left w:val="outset" w:sz="6" w:space="0" w:color="auto"/>
              <w:bottom w:val="outset" w:sz="6" w:space="0" w:color="auto"/>
              <w:right w:val="outset" w:sz="6" w:space="0" w:color="auto"/>
            </w:tcBorders>
            <w:vAlign w:val="center"/>
            <w:hideMark/>
          </w:tcPr>
          <w:p w14:paraId="10E4C3E0" w14:textId="7532009E" w:rsidR="0020339B" w:rsidRPr="0020339B" w:rsidRDefault="0020339B" w:rsidP="0020339B">
            <w:pPr>
              <w:rPr>
                <w:iCs/>
              </w:rPr>
            </w:pPr>
            <w:r w:rsidRPr="0020339B">
              <w:rPr>
                <w:iCs/>
              </w:rPr>
              <w:t> </w:t>
            </w:r>
            <w:r w:rsidR="00BB5CDE">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33B2CA3" w14:textId="26023C32"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02C2EE7" w14:textId="155AA8F5"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A10048C" w14:textId="3DC7D824" w:rsidR="0020339B" w:rsidRPr="0020339B" w:rsidRDefault="00BB5CDE" w:rsidP="0020339B">
            <w:pPr>
              <w:rPr>
                <w:iCs/>
              </w:rPr>
            </w:pPr>
            <w:r>
              <w:rPr>
                <w:iCs/>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38B4448" w14:textId="3E09731D" w:rsidR="0020339B" w:rsidRPr="0020339B" w:rsidRDefault="00BB5CDE" w:rsidP="0020339B">
            <w:pPr>
              <w:rPr>
                <w:iCs/>
              </w:rPr>
            </w:pPr>
            <w:r>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60C742B7" w14:textId="60DDE955" w:rsidR="0020339B" w:rsidRPr="0020339B" w:rsidRDefault="00BB5CDE" w:rsidP="0020339B">
            <w:pPr>
              <w:rPr>
                <w:iCs/>
              </w:rPr>
            </w:pPr>
            <w:r>
              <w:rPr>
                <w:iCs/>
              </w:rPr>
              <w:t>0</w:t>
            </w:r>
          </w:p>
        </w:tc>
      </w:tr>
      <w:tr w:rsidR="00190B08" w:rsidRPr="0020339B" w14:paraId="525EB1D5" w14:textId="77777777" w:rsidTr="00190B08">
        <w:trPr>
          <w:tblCellSpacing w:w="15" w:type="dxa"/>
        </w:trPr>
        <w:tc>
          <w:tcPr>
            <w:tcW w:w="1297" w:type="dxa"/>
            <w:tcBorders>
              <w:top w:val="outset" w:sz="6" w:space="0" w:color="auto"/>
              <w:left w:val="outset" w:sz="6" w:space="0" w:color="auto"/>
              <w:bottom w:val="outset" w:sz="6" w:space="0" w:color="auto"/>
              <w:right w:val="outset" w:sz="6" w:space="0" w:color="auto"/>
            </w:tcBorders>
            <w:hideMark/>
          </w:tcPr>
          <w:p w14:paraId="4A736E24" w14:textId="77777777" w:rsidR="0020339B" w:rsidRPr="0020339B" w:rsidRDefault="0020339B" w:rsidP="0020339B">
            <w:pPr>
              <w:rPr>
                <w:iCs/>
              </w:rPr>
            </w:pPr>
            <w:r w:rsidRPr="0020339B">
              <w:rPr>
                <w:iCs/>
              </w:rPr>
              <w:t>5. Precizēta finansiālā ietekme</w:t>
            </w:r>
          </w:p>
        </w:tc>
        <w:tc>
          <w:tcPr>
            <w:tcW w:w="870" w:type="dxa"/>
            <w:vMerge w:val="restart"/>
            <w:tcBorders>
              <w:top w:val="outset" w:sz="6" w:space="0" w:color="auto"/>
              <w:left w:val="outset" w:sz="6" w:space="0" w:color="auto"/>
              <w:bottom w:val="outset" w:sz="6" w:space="0" w:color="auto"/>
              <w:right w:val="outset" w:sz="6" w:space="0" w:color="auto"/>
            </w:tcBorders>
            <w:vAlign w:val="center"/>
            <w:hideMark/>
          </w:tcPr>
          <w:p w14:paraId="495531FF" w14:textId="08F0384C" w:rsidR="0020339B" w:rsidRPr="0020339B" w:rsidRDefault="0020339B" w:rsidP="0020339B">
            <w:pPr>
              <w:rPr>
                <w:iCs/>
              </w:rPr>
            </w:pPr>
            <w:r w:rsidRPr="0020339B">
              <w:rPr>
                <w:iCs/>
              </w:rPr>
              <w:t> </w:t>
            </w:r>
            <w:r w:rsidR="00BB5CDE">
              <w:rPr>
                <w:iCs/>
              </w:rPr>
              <w:t>0</w:t>
            </w:r>
          </w:p>
        </w:tc>
        <w:tc>
          <w:tcPr>
            <w:tcW w:w="981" w:type="dxa"/>
            <w:tcBorders>
              <w:top w:val="outset" w:sz="6" w:space="0" w:color="auto"/>
              <w:left w:val="outset" w:sz="6" w:space="0" w:color="auto"/>
              <w:bottom w:val="outset" w:sz="6" w:space="0" w:color="auto"/>
              <w:right w:val="outset" w:sz="6" w:space="0" w:color="auto"/>
            </w:tcBorders>
            <w:vAlign w:val="center"/>
            <w:hideMark/>
          </w:tcPr>
          <w:p w14:paraId="646BD216" w14:textId="6CA49ABA" w:rsidR="0020339B" w:rsidRPr="0020339B" w:rsidRDefault="00BB5CDE" w:rsidP="0020339B">
            <w:pPr>
              <w:rPr>
                <w:iCs/>
              </w:rPr>
            </w:pPr>
            <w:r>
              <w:rPr>
                <w:iCs/>
              </w:rPr>
              <w:t>0</w:t>
            </w:r>
          </w:p>
        </w:tc>
        <w:tc>
          <w:tcPr>
            <w:tcW w:w="1104" w:type="dxa"/>
            <w:vMerge w:val="restart"/>
            <w:tcBorders>
              <w:top w:val="outset" w:sz="6" w:space="0" w:color="auto"/>
              <w:left w:val="outset" w:sz="6" w:space="0" w:color="auto"/>
              <w:bottom w:val="outset" w:sz="6" w:space="0" w:color="auto"/>
              <w:right w:val="outset" w:sz="6" w:space="0" w:color="auto"/>
            </w:tcBorders>
            <w:vAlign w:val="center"/>
            <w:hideMark/>
          </w:tcPr>
          <w:p w14:paraId="176776A7" w14:textId="23995914" w:rsidR="0020339B" w:rsidRPr="0020339B" w:rsidRDefault="00BB5CDE" w:rsidP="0020339B">
            <w:pPr>
              <w:rPr>
                <w:iCs/>
              </w:rPr>
            </w:pPr>
            <w:r>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73FA447" w14:textId="56E86FC4" w:rsidR="0020339B" w:rsidRPr="0020339B" w:rsidRDefault="00BB5CDE" w:rsidP="0020339B">
            <w:pPr>
              <w:rPr>
                <w:iCs/>
              </w:rPr>
            </w:pPr>
            <w:r>
              <w:rPr>
                <w:iCs/>
              </w:rPr>
              <w:t>0</w:t>
            </w:r>
          </w:p>
        </w:tc>
        <w:tc>
          <w:tcPr>
            <w:tcW w:w="1104" w:type="dxa"/>
            <w:vMerge w:val="restart"/>
            <w:tcBorders>
              <w:top w:val="outset" w:sz="6" w:space="0" w:color="auto"/>
              <w:left w:val="outset" w:sz="6" w:space="0" w:color="auto"/>
              <w:bottom w:val="outset" w:sz="6" w:space="0" w:color="auto"/>
              <w:right w:val="outset" w:sz="6" w:space="0" w:color="auto"/>
            </w:tcBorders>
            <w:vAlign w:val="center"/>
            <w:hideMark/>
          </w:tcPr>
          <w:p w14:paraId="5F8E4029" w14:textId="0DB2D0A7" w:rsidR="0020339B" w:rsidRPr="0020339B" w:rsidRDefault="00BB5CDE" w:rsidP="0020339B">
            <w:pPr>
              <w:rPr>
                <w:iCs/>
              </w:rPr>
            </w:pPr>
            <w:r>
              <w:rPr>
                <w:iCs/>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F405536" w14:textId="1C9D337E" w:rsidR="0020339B" w:rsidRPr="0020339B" w:rsidRDefault="00BB5CDE" w:rsidP="0020339B">
            <w:pPr>
              <w:rPr>
                <w:iCs/>
              </w:rPr>
            </w:pPr>
            <w:r>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1211DD2D" w14:textId="01FEF844" w:rsidR="0020339B" w:rsidRPr="0020339B" w:rsidRDefault="00BB5CDE" w:rsidP="0020339B">
            <w:pPr>
              <w:rPr>
                <w:iCs/>
              </w:rPr>
            </w:pPr>
            <w:r>
              <w:rPr>
                <w:iCs/>
              </w:rPr>
              <w:t>0</w:t>
            </w:r>
          </w:p>
        </w:tc>
      </w:tr>
      <w:tr w:rsidR="00190B08" w:rsidRPr="0020339B" w14:paraId="7D2E9D0E" w14:textId="77777777" w:rsidTr="00190B08">
        <w:trPr>
          <w:tblCellSpacing w:w="15" w:type="dxa"/>
        </w:trPr>
        <w:tc>
          <w:tcPr>
            <w:tcW w:w="1297" w:type="dxa"/>
            <w:tcBorders>
              <w:top w:val="outset" w:sz="6" w:space="0" w:color="auto"/>
              <w:left w:val="outset" w:sz="6" w:space="0" w:color="auto"/>
              <w:bottom w:val="outset" w:sz="6" w:space="0" w:color="auto"/>
              <w:right w:val="outset" w:sz="6" w:space="0" w:color="auto"/>
            </w:tcBorders>
            <w:hideMark/>
          </w:tcPr>
          <w:p w14:paraId="15D911D9" w14:textId="77777777" w:rsidR="0020339B" w:rsidRPr="0020339B" w:rsidRDefault="0020339B" w:rsidP="0020339B">
            <w:pPr>
              <w:rPr>
                <w:iCs/>
              </w:rPr>
            </w:pPr>
            <w:r w:rsidRPr="0020339B">
              <w:rPr>
                <w:iCs/>
              </w:rPr>
              <w:lastRenderedPageBreak/>
              <w:t>5.1. valsts pamatbudžets</w:t>
            </w:r>
          </w:p>
        </w:tc>
        <w:tc>
          <w:tcPr>
            <w:tcW w:w="870" w:type="dxa"/>
            <w:vMerge/>
            <w:tcBorders>
              <w:top w:val="outset" w:sz="6" w:space="0" w:color="auto"/>
              <w:left w:val="outset" w:sz="6" w:space="0" w:color="auto"/>
              <w:bottom w:val="outset" w:sz="6" w:space="0" w:color="auto"/>
              <w:right w:val="outset" w:sz="6" w:space="0" w:color="auto"/>
            </w:tcBorders>
            <w:vAlign w:val="center"/>
            <w:hideMark/>
          </w:tcPr>
          <w:p w14:paraId="438E60AA" w14:textId="77777777" w:rsidR="0020339B" w:rsidRPr="0020339B" w:rsidRDefault="0020339B" w:rsidP="0020339B">
            <w:pPr>
              <w:rPr>
                <w:iCs/>
              </w:rPr>
            </w:pPr>
          </w:p>
        </w:tc>
        <w:tc>
          <w:tcPr>
            <w:tcW w:w="981" w:type="dxa"/>
            <w:tcBorders>
              <w:top w:val="outset" w:sz="6" w:space="0" w:color="auto"/>
              <w:left w:val="outset" w:sz="6" w:space="0" w:color="auto"/>
              <w:bottom w:val="outset" w:sz="6" w:space="0" w:color="auto"/>
              <w:right w:val="outset" w:sz="6" w:space="0" w:color="auto"/>
            </w:tcBorders>
            <w:vAlign w:val="center"/>
            <w:hideMark/>
          </w:tcPr>
          <w:p w14:paraId="481F2164" w14:textId="33D91454" w:rsidR="0020339B" w:rsidRPr="0020339B" w:rsidRDefault="00BB5CDE" w:rsidP="0020339B">
            <w:pPr>
              <w:rPr>
                <w:iCs/>
              </w:rPr>
            </w:pPr>
            <w:r>
              <w:rPr>
                <w:iCs/>
              </w:rPr>
              <w:t>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6D50C5AD" w14:textId="77777777" w:rsidR="0020339B" w:rsidRPr="0020339B" w:rsidRDefault="0020339B" w:rsidP="0020339B">
            <w:pPr>
              <w:rPr>
                <w:iCs/>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4EBC8192" w14:textId="305C72E1" w:rsidR="0020339B" w:rsidRPr="0020339B" w:rsidRDefault="00BB5CDE" w:rsidP="0020339B">
            <w:pPr>
              <w:rPr>
                <w:iCs/>
              </w:rPr>
            </w:pPr>
            <w:r>
              <w:rPr>
                <w:iCs/>
              </w:rPr>
              <w:t>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30C3A478" w14:textId="77777777" w:rsidR="0020339B" w:rsidRPr="0020339B" w:rsidRDefault="0020339B" w:rsidP="0020339B">
            <w:pPr>
              <w:rPr>
                <w:iCs/>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5C894EAF" w14:textId="6DB44FB1" w:rsidR="0020339B" w:rsidRPr="0020339B" w:rsidRDefault="00BB5CDE" w:rsidP="0020339B">
            <w:pPr>
              <w:rPr>
                <w:iCs/>
              </w:rPr>
            </w:pPr>
            <w:r>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1A9C672B" w14:textId="58A8C35E" w:rsidR="0020339B" w:rsidRPr="0020339B" w:rsidRDefault="00BB5CDE" w:rsidP="0020339B">
            <w:pPr>
              <w:rPr>
                <w:iCs/>
              </w:rPr>
            </w:pPr>
            <w:r>
              <w:rPr>
                <w:iCs/>
              </w:rPr>
              <w:t>0</w:t>
            </w:r>
          </w:p>
        </w:tc>
      </w:tr>
      <w:tr w:rsidR="00190B08" w:rsidRPr="0020339B" w14:paraId="70DAC3C4" w14:textId="77777777" w:rsidTr="00190B08">
        <w:trPr>
          <w:tblCellSpacing w:w="15" w:type="dxa"/>
        </w:trPr>
        <w:tc>
          <w:tcPr>
            <w:tcW w:w="1297" w:type="dxa"/>
            <w:tcBorders>
              <w:top w:val="outset" w:sz="6" w:space="0" w:color="auto"/>
              <w:left w:val="outset" w:sz="6" w:space="0" w:color="auto"/>
              <w:bottom w:val="outset" w:sz="6" w:space="0" w:color="auto"/>
              <w:right w:val="outset" w:sz="6" w:space="0" w:color="auto"/>
            </w:tcBorders>
            <w:hideMark/>
          </w:tcPr>
          <w:p w14:paraId="004C2A62" w14:textId="77777777" w:rsidR="0020339B" w:rsidRPr="0020339B" w:rsidRDefault="0020339B" w:rsidP="0020339B">
            <w:pPr>
              <w:rPr>
                <w:iCs/>
              </w:rPr>
            </w:pPr>
            <w:r w:rsidRPr="0020339B">
              <w:rPr>
                <w:iCs/>
              </w:rPr>
              <w:lastRenderedPageBreak/>
              <w:t>5.2. speciālais budžets</w:t>
            </w:r>
          </w:p>
        </w:tc>
        <w:tc>
          <w:tcPr>
            <w:tcW w:w="870" w:type="dxa"/>
            <w:vMerge/>
            <w:tcBorders>
              <w:top w:val="outset" w:sz="6" w:space="0" w:color="auto"/>
              <w:left w:val="outset" w:sz="6" w:space="0" w:color="auto"/>
              <w:bottom w:val="outset" w:sz="6" w:space="0" w:color="auto"/>
              <w:right w:val="outset" w:sz="6" w:space="0" w:color="auto"/>
            </w:tcBorders>
            <w:vAlign w:val="center"/>
            <w:hideMark/>
          </w:tcPr>
          <w:p w14:paraId="0502B4AB" w14:textId="77777777" w:rsidR="0020339B" w:rsidRPr="0020339B" w:rsidRDefault="0020339B" w:rsidP="0020339B">
            <w:pPr>
              <w:rPr>
                <w:iCs/>
              </w:rPr>
            </w:pPr>
          </w:p>
        </w:tc>
        <w:tc>
          <w:tcPr>
            <w:tcW w:w="981" w:type="dxa"/>
            <w:tcBorders>
              <w:top w:val="outset" w:sz="6" w:space="0" w:color="auto"/>
              <w:left w:val="outset" w:sz="6" w:space="0" w:color="auto"/>
              <w:bottom w:val="outset" w:sz="6" w:space="0" w:color="auto"/>
              <w:right w:val="outset" w:sz="6" w:space="0" w:color="auto"/>
            </w:tcBorders>
            <w:vAlign w:val="center"/>
            <w:hideMark/>
          </w:tcPr>
          <w:p w14:paraId="53D9A70A" w14:textId="443A4801" w:rsidR="0020339B" w:rsidRPr="0020339B" w:rsidRDefault="00BB5CDE" w:rsidP="0020339B">
            <w:pPr>
              <w:rPr>
                <w:iCs/>
              </w:rPr>
            </w:pPr>
            <w:r>
              <w:rPr>
                <w:iCs/>
              </w:rPr>
              <w:t>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5FEA0535" w14:textId="77777777" w:rsidR="0020339B" w:rsidRPr="0020339B" w:rsidRDefault="0020339B" w:rsidP="0020339B">
            <w:pPr>
              <w:rPr>
                <w:iCs/>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FD69C65" w14:textId="17B3851C" w:rsidR="0020339B" w:rsidRPr="0020339B" w:rsidRDefault="00BB5CDE" w:rsidP="0020339B">
            <w:pPr>
              <w:rPr>
                <w:iCs/>
              </w:rPr>
            </w:pPr>
            <w:r>
              <w:rPr>
                <w:iCs/>
              </w:rPr>
              <w:t>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573A95DF" w14:textId="77777777" w:rsidR="0020339B" w:rsidRPr="0020339B" w:rsidRDefault="0020339B" w:rsidP="0020339B">
            <w:pPr>
              <w:rPr>
                <w:iCs/>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7D947B47" w14:textId="40BCE17E" w:rsidR="0020339B" w:rsidRPr="0020339B" w:rsidRDefault="00BB5CDE" w:rsidP="0020339B">
            <w:pPr>
              <w:rPr>
                <w:iCs/>
              </w:rPr>
            </w:pPr>
            <w:r>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444A48E1" w14:textId="0C933D30" w:rsidR="0020339B" w:rsidRPr="0020339B" w:rsidRDefault="00BB5CDE" w:rsidP="0020339B">
            <w:pPr>
              <w:rPr>
                <w:iCs/>
              </w:rPr>
            </w:pPr>
            <w:r>
              <w:rPr>
                <w:iCs/>
              </w:rPr>
              <w:t>0</w:t>
            </w:r>
          </w:p>
        </w:tc>
      </w:tr>
      <w:tr w:rsidR="00190B08" w:rsidRPr="0020339B" w14:paraId="24CBC8E1" w14:textId="77777777" w:rsidTr="00190B08">
        <w:trPr>
          <w:tblCellSpacing w:w="15" w:type="dxa"/>
        </w:trPr>
        <w:tc>
          <w:tcPr>
            <w:tcW w:w="1297" w:type="dxa"/>
            <w:tcBorders>
              <w:top w:val="outset" w:sz="6" w:space="0" w:color="auto"/>
              <w:left w:val="outset" w:sz="6" w:space="0" w:color="auto"/>
              <w:bottom w:val="outset" w:sz="6" w:space="0" w:color="auto"/>
              <w:right w:val="outset" w:sz="6" w:space="0" w:color="auto"/>
            </w:tcBorders>
            <w:hideMark/>
          </w:tcPr>
          <w:p w14:paraId="139522DA" w14:textId="77777777" w:rsidR="0020339B" w:rsidRPr="0020339B" w:rsidRDefault="0020339B" w:rsidP="0020339B">
            <w:pPr>
              <w:rPr>
                <w:iCs/>
              </w:rPr>
            </w:pPr>
            <w:r w:rsidRPr="0020339B">
              <w:rPr>
                <w:iCs/>
              </w:rPr>
              <w:t>5.3. pašvaldību budžets</w:t>
            </w:r>
          </w:p>
        </w:tc>
        <w:tc>
          <w:tcPr>
            <w:tcW w:w="870" w:type="dxa"/>
            <w:vMerge/>
            <w:tcBorders>
              <w:top w:val="outset" w:sz="6" w:space="0" w:color="auto"/>
              <w:left w:val="outset" w:sz="6" w:space="0" w:color="auto"/>
              <w:bottom w:val="outset" w:sz="6" w:space="0" w:color="auto"/>
              <w:right w:val="outset" w:sz="6" w:space="0" w:color="auto"/>
            </w:tcBorders>
            <w:vAlign w:val="center"/>
            <w:hideMark/>
          </w:tcPr>
          <w:p w14:paraId="5B66C75B" w14:textId="77777777" w:rsidR="0020339B" w:rsidRPr="0020339B" w:rsidRDefault="0020339B" w:rsidP="0020339B">
            <w:pPr>
              <w:rPr>
                <w:iCs/>
              </w:rPr>
            </w:pPr>
          </w:p>
        </w:tc>
        <w:tc>
          <w:tcPr>
            <w:tcW w:w="981" w:type="dxa"/>
            <w:tcBorders>
              <w:top w:val="outset" w:sz="6" w:space="0" w:color="auto"/>
              <w:left w:val="outset" w:sz="6" w:space="0" w:color="auto"/>
              <w:bottom w:val="outset" w:sz="6" w:space="0" w:color="auto"/>
              <w:right w:val="outset" w:sz="6" w:space="0" w:color="auto"/>
            </w:tcBorders>
            <w:vAlign w:val="center"/>
            <w:hideMark/>
          </w:tcPr>
          <w:p w14:paraId="10FAD6D0" w14:textId="5A271976" w:rsidR="0020339B" w:rsidRPr="0020339B" w:rsidRDefault="00BB5CDE" w:rsidP="0020339B">
            <w:pPr>
              <w:rPr>
                <w:iCs/>
              </w:rPr>
            </w:pPr>
            <w:r>
              <w:rPr>
                <w:iCs/>
              </w:rPr>
              <w:t>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020F9A7F" w14:textId="77777777" w:rsidR="0020339B" w:rsidRPr="0020339B" w:rsidRDefault="0020339B" w:rsidP="0020339B">
            <w:pPr>
              <w:rPr>
                <w:iCs/>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BA69EB4" w14:textId="55B53554" w:rsidR="0020339B" w:rsidRPr="0020339B" w:rsidRDefault="00BB5CDE" w:rsidP="0020339B">
            <w:pPr>
              <w:rPr>
                <w:iCs/>
              </w:rPr>
            </w:pPr>
            <w:r>
              <w:rPr>
                <w:iCs/>
              </w:rPr>
              <w:t>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32232B72" w14:textId="77777777" w:rsidR="0020339B" w:rsidRPr="0020339B" w:rsidRDefault="0020339B" w:rsidP="0020339B">
            <w:pPr>
              <w:rPr>
                <w:iCs/>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0A468CE8" w14:textId="6E645AD0" w:rsidR="0020339B" w:rsidRPr="0020339B" w:rsidRDefault="00BB5CDE" w:rsidP="0020339B">
            <w:pPr>
              <w:rPr>
                <w:iCs/>
              </w:rPr>
            </w:pPr>
            <w:r>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4F98679D" w14:textId="45982170" w:rsidR="0020339B" w:rsidRPr="0020339B" w:rsidRDefault="00BB5CDE" w:rsidP="0020339B">
            <w:pPr>
              <w:rPr>
                <w:iCs/>
              </w:rPr>
            </w:pPr>
            <w:r>
              <w:rPr>
                <w:iCs/>
              </w:rPr>
              <w:t>0</w:t>
            </w:r>
          </w:p>
        </w:tc>
      </w:tr>
      <w:tr w:rsidR="0020339B" w:rsidRPr="00BB5CDE" w14:paraId="4B22AEDD" w14:textId="77777777" w:rsidTr="00190B08">
        <w:trPr>
          <w:tblCellSpacing w:w="15" w:type="dxa"/>
        </w:trPr>
        <w:tc>
          <w:tcPr>
            <w:tcW w:w="1297" w:type="dxa"/>
            <w:tcBorders>
              <w:top w:val="outset" w:sz="6" w:space="0" w:color="auto"/>
              <w:left w:val="outset" w:sz="6" w:space="0" w:color="auto"/>
              <w:bottom w:val="outset" w:sz="6" w:space="0" w:color="auto"/>
              <w:right w:val="outset" w:sz="6" w:space="0" w:color="auto"/>
            </w:tcBorders>
            <w:hideMark/>
          </w:tcPr>
          <w:p w14:paraId="38E62738" w14:textId="77777777" w:rsidR="0020339B" w:rsidRPr="0020339B" w:rsidRDefault="0020339B" w:rsidP="0020339B">
            <w:pPr>
              <w:rPr>
                <w:iCs/>
              </w:rPr>
            </w:pPr>
            <w:r w:rsidRPr="0020339B">
              <w:rPr>
                <w:iCs/>
              </w:rPr>
              <w:t>6. Detalizēts ieņēmumu un izdevumu aprēķins (ja nepieciešams, detalizētu ieņēmumu un izdevumu aprēķinu var pievienot anotācijas pielikumā)</w:t>
            </w:r>
          </w:p>
        </w:tc>
        <w:tc>
          <w:tcPr>
            <w:tcW w:w="7818"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2B80906E" w14:textId="0200913B" w:rsidR="00291C62" w:rsidRPr="00BB5CDE" w:rsidRDefault="00291C62" w:rsidP="00BB5CDE">
            <w:pPr>
              <w:ind w:right="351"/>
              <w:jc w:val="both"/>
              <w:rPr>
                <w:iCs/>
              </w:rPr>
            </w:pPr>
            <w:r w:rsidRPr="00BB5CDE">
              <w:rPr>
                <w:iCs/>
              </w:rPr>
              <w:t xml:space="preserve">2018. gadā Ārlietu ministrija ir </w:t>
            </w:r>
            <w:r w:rsidR="002058E3">
              <w:rPr>
                <w:iCs/>
              </w:rPr>
              <w:t xml:space="preserve">nodrošinājusi </w:t>
            </w:r>
            <w:r w:rsidRPr="00BB5CDE">
              <w:rPr>
                <w:iCs/>
              </w:rPr>
              <w:t>40 473 konsulār</w:t>
            </w:r>
            <w:r w:rsidR="002058E3">
              <w:rPr>
                <w:iCs/>
              </w:rPr>
              <w:t>o</w:t>
            </w:r>
            <w:r w:rsidRPr="00BB5CDE">
              <w:rPr>
                <w:iCs/>
              </w:rPr>
              <w:t xml:space="preserve"> funkcij</w:t>
            </w:r>
            <w:r w:rsidR="002058E3">
              <w:rPr>
                <w:iCs/>
              </w:rPr>
              <w:t>u (pakalpojumu) veikšanu</w:t>
            </w:r>
            <w:r w:rsidRPr="00BB5CDE">
              <w:rPr>
                <w:iCs/>
              </w:rPr>
              <w:t xml:space="preserve">, kas ir konsulārās atlīdzības objekti, iekasējot par to veikšanu konsulāro atlīdzību. Kopumā 2018. gadā iekasēta konsulārā atlīdzība 1 457 923 </w:t>
            </w:r>
            <w:proofErr w:type="spellStart"/>
            <w:r w:rsidR="00AA622D" w:rsidRPr="00725DED">
              <w:rPr>
                <w:i/>
                <w:iCs/>
              </w:rPr>
              <w:t>euro</w:t>
            </w:r>
            <w:proofErr w:type="spellEnd"/>
            <w:r w:rsidRPr="00BB5CDE">
              <w:rPr>
                <w:iCs/>
              </w:rPr>
              <w:t xml:space="preserve"> apmērā. Iekasējamie konsulārās atlīdzības apmēri saskaņā ar </w:t>
            </w:r>
            <w:r>
              <w:rPr>
                <w:iCs/>
              </w:rPr>
              <w:t xml:space="preserve">Noteikumu </w:t>
            </w:r>
            <w:r w:rsidR="009D672F">
              <w:rPr>
                <w:iCs/>
              </w:rPr>
              <w:t>Nr. </w:t>
            </w:r>
            <w:r>
              <w:rPr>
                <w:iCs/>
              </w:rPr>
              <w:t xml:space="preserve">707 pielikumu </w:t>
            </w:r>
            <w:r w:rsidRPr="00BB5CDE">
              <w:rPr>
                <w:iCs/>
              </w:rPr>
              <w:t xml:space="preserve">variē no 10 </w:t>
            </w:r>
            <w:proofErr w:type="spellStart"/>
            <w:r w:rsidR="00AA622D" w:rsidRPr="00725DED">
              <w:rPr>
                <w:i/>
                <w:iCs/>
              </w:rPr>
              <w:t>euro</w:t>
            </w:r>
            <w:proofErr w:type="spellEnd"/>
            <w:r w:rsidRPr="00BB5CDE">
              <w:rPr>
                <w:iCs/>
              </w:rPr>
              <w:t xml:space="preserve"> līdz 110 </w:t>
            </w:r>
            <w:proofErr w:type="spellStart"/>
            <w:r w:rsidR="00AA622D" w:rsidRPr="00725DED">
              <w:rPr>
                <w:i/>
                <w:iCs/>
              </w:rPr>
              <w:t>euro</w:t>
            </w:r>
            <w:proofErr w:type="spellEnd"/>
            <w:r w:rsidR="002058E3">
              <w:rPr>
                <w:iCs/>
              </w:rPr>
              <w:t>. Savukārt vidējā par viena konsulārā pakalpojuma</w:t>
            </w:r>
            <w:r w:rsidRPr="00BB5CDE">
              <w:rPr>
                <w:iCs/>
              </w:rPr>
              <w:t xml:space="preserve"> veikšanu iekasētā konsulārās atlīdzības summa ir 36 </w:t>
            </w:r>
            <w:proofErr w:type="spellStart"/>
            <w:r w:rsidR="00AA622D" w:rsidRPr="00D41AA7">
              <w:rPr>
                <w:i/>
                <w:iCs/>
              </w:rPr>
              <w:t>euro</w:t>
            </w:r>
            <w:proofErr w:type="spellEnd"/>
            <w:r w:rsidRPr="00BB5CDE">
              <w:rPr>
                <w:iCs/>
              </w:rPr>
              <w:t>.</w:t>
            </w:r>
          </w:p>
          <w:p w14:paraId="3E56B041" w14:textId="77777777" w:rsidR="00331214" w:rsidRDefault="00331214" w:rsidP="00BB5CDE">
            <w:pPr>
              <w:ind w:right="351"/>
              <w:jc w:val="both"/>
              <w:rPr>
                <w:iCs/>
              </w:rPr>
            </w:pPr>
          </w:p>
          <w:p w14:paraId="4ECFBC61" w14:textId="4AE495E1" w:rsidR="00291C62" w:rsidRPr="00BB5CDE" w:rsidRDefault="00291C62" w:rsidP="00BB5CDE">
            <w:pPr>
              <w:ind w:right="351"/>
              <w:jc w:val="both"/>
              <w:rPr>
                <w:iCs/>
              </w:rPr>
            </w:pPr>
            <w:r w:rsidRPr="00BB5CDE">
              <w:rPr>
                <w:iCs/>
              </w:rPr>
              <w:t xml:space="preserve">Nolūkā vienkāršot konsulārās atlīdzības maksājumu iekasēšanas un aprēķināšanas kārtību, to administrēšanu, kā arī padarīt atsevišķus konsulāros pakalpojumus pieejamākus, tiek noteikta vienota konsulārās atlīdzības </w:t>
            </w:r>
            <w:r w:rsidR="00F121DA">
              <w:rPr>
                <w:iCs/>
              </w:rPr>
              <w:t>likme</w:t>
            </w:r>
            <w:r w:rsidRPr="00BB5CDE">
              <w:rPr>
                <w:iCs/>
              </w:rPr>
              <w:t xml:space="preserve"> 40 </w:t>
            </w:r>
            <w:proofErr w:type="spellStart"/>
            <w:r w:rsidR="00AA622D" w:rsidRPr="00D41AA7">
              <w:rPr>
                <w:i/>
                <w:iCs/>
              </w:rPr>
              <w:t>euro</w:t>
            </w:r>
            <w:proofErr w:type="spellEnd"/>
            <w:r w:rsidRPr="00BB5CDE">
              <w:rPr>
                <w:iCs/>
              </w:rPr>
              <w:t xml:space="preserve"> apmērā. Tai tiek noteikti atsevišķi izņēmumi attiecībā uz ārvalstniekiem sniegtiem pakalpojumiem (uzturēšanās atļauju pieprasījumu pieņemšana un pārsūtīšana) un dokumentu pārsūtīšanu rezidences valsts ietvaros.</w:t>
            </w:r>
          </w:p>
          <w:p w14:paraId="127AC602" w14:textId="77777777" w:rsidR="00291C62" w:rsidRPr="00BB5CDE" w:rsidRDefault="00291C62" w:rsidP="00BB5CDE">
            <w:pPr>
              <w:ind w:right="351"/>
              <w:jc w:val="both"/>
              <w:rPr>
                <w:iCs/>
              </w:rPr>
            </w:pPr>
          </w:p>
          <w:p w14:paraId="0B0AFC5E" w14:textId="7D28DC16" w:rsidR="00291C62" w:rsidRDefault="00291C62" w:rsidP="00BB5CDE">
            <w:pPr>
              <w:ind w:right="351"/>
              <w:jc w:val="both"/>
              <w:rPr>
                <w:iCs/>
              </w:rPr>
            </w:pPr>
            <w:r w:rsidRPr="00BB5CDE">
              <w:rPr>
                <w:iCs/>
              </w:rPr>
              <w:t>Aplūko</w:t>
            </w:r>
            <w:r w:rsidR="002058E3">
              <w:rPr>
                <w:iCs/>
              </w:rPr>
              <w:t>jot 2018.gadā veikto konsulāro pakalpojumu</w:t>
            </w:r>
            <w:r w:rsidRPr="00BB5CDE">
              <w:rPr>
                <w:iCs/>
              </w:rPr>
              <w:t>, kas ir konsulārās atlīdzības objekts, sadalījumu, ir secināms, ka, ieviešo</w:t>
            </w:r>
            <w:r w:rsidR="002058E3">
              <w:rPr>
                <w:iCs/>
              </w:rPr>
              <w:t>t šādu vienādotu atlīdzīb</w:t>
            </w:r>
            <w:r w:rsidRPr="00BB5CDE">
              <w:rPr>
                <w:iCs/>
              </w:rPr>
              <w:t xml:space="preserve">u, par šādu pašu pakalpojumu skaitu un sadalījumu tiktu iekasēta konsulārā atlīdzība </w:t>
            </w:r>
            <w:r w:rsidR="004F1F95">
              <w:rPr>
                <w:iCs/>
              </w:rPr>
              <w:t>1 487 157</w:t>
            </w:r>
            <w:r w:rsidRPr="00BB5CDE">
              <w:rPr>
                <w:iCs/>
              </w:rPr>
              <w:t xml:space="preserve"> </w:t>
            </w:r>
            <w:proofErr w:type="spellStart"/>
            <w:r w:rsidR="00AA622D" w:rsidRPr="00D41AA7">
              <w:rPr>
                <w:i/>
                <w:iCs/>
              </w:rPr>
              <w:t>euro</w:t>
            </w:r>
            <w:proofErr w:type="spellEnd"/>
            <w:r w:rsidRPr="00BB5CDE">
              <w:rPr>
                <w:iCs/>
              </w:rPr>
              <w:t xml:space="preserve"> apmērā jeb par </w:t>
            </w:r>
            <w:r w:rsidR="004F1F95">
              <w:rPr>
                <w:iCs/>
              </w:rPr>
              <w:t>29 234</w:t>
            </w:r>
            <w:r w:rsidRPr="00BB5CDE">
              <w:rPr>
                <w:iCs/>
              </w:rPr>
              <w:t xml:space="preserve"> </w:t>
            </w:r>
            <w:proofErr w:type="spellStart"/>
            <w:r w:rsidRPr="00BB5CDE">
              <w:rPr>
                <w:i/>
                <w:iCs/>
              </w:rPr>
              <w:t>euro</w:t>
            </w:r>
            <w:proofErr w:type="spellEnd"/>
            <w:r w:rsidRPr="00BB5CDE">
              <w:rPr>
                <w:iCs/>
              </w:rPr>
              <w:t xml:space="preserve"> vairāk.</w:t>
            </w:r>
          </w:p>
          <w:p w14:paraId="31045A53" w14:textId="77777777" w:rsidR="00CD1C29" w:rsidRDefault="00CD1C29" w:rsidP="00CD1C29">
            <w:pPr>
              <w:ind w:right="351"/>
              <w:jc w:val="both"/>
              <w:rPr>
                <w:iCs/>
              </w:rPr>
            </w:pPr>
          </w:p>
          <w:p w14:paraId="3F805A1F" w14:textId="230C2455" w:rsidR="00291C62" w:rsidRPr="00BB5CDE" w:rsidRDefault="00291C62" w:rsidP="00291C62">
            <w:pPr>
              <w:rPr>
                <w:iCs/>
                <w:sz w:val="20"/>
                <w:szCs w:val="20"/>
              </w:rPr>
            </w:pPr>
            <w:r w:rsidRPr="00BB5CDE">
              <w:rPr>
                <w:b/>
                <w:bCs/>
                <w:iCs/>
                <w:sz w:val="20"/>
                <w:szCs w:val="20"/>
              </w:rPr>
              <w:t>Konsulāro pakalpojumu skaits un iekasētā konsulārā atlīdzība 2018.</w:t>
            </w:r>
            <w:r w:rsidR="0063346D">
              <w:rPr>
                <w:b/>
                <w:bCs/>
                <w:iCs/>
                <w:sz w:val="20"/>
                <w:szCs w:val="20"/>
              </w:rPr>
              <w:t xml:space="preserve"> </w:t>
            </w:r>
            <w:r w:rsidRPr="00BB5CDE">
              <w:rPr>
                <w:b/>
                <w:bCs/>
                <w:iCs/>
                <w:sz w:val="20"/>
                <w:szCs w:val="20"/>
              </w:rPr>
              <w:t>gadā</w:t>
            </w:r>
          </w:p>
          <w:tbl>
            <w:tblPr>
              <w:tblStyle w:val="TableGrid"/>
              <w:tblW w:w="7405" w:type="dxa"/>
              <w:tblLayout w:type="fixed"/>
              <w:tblLook w:val="04A0" w:firstRow="1" w:lastRow="0" w:firstColumn="1" w:lastColumn="0" w:noHBand="0" w:noVBand="1"/>
            </w:tblPr>
            <w:tblGrid>
              <w:gridCol w:w="1375"/>
              <w:gridCol w:w="900"/>
              <w:gridCol w:w="1080"/>
              <w:gridCol w:w="1440"/>
              <w:gridCol w:w="1440"/>
              <w:gridCol w:w="1170"/>
            </w:tblGrid>
            <w:tr w:rsidR="00291C62" w:rsidRPr="00BB5CDE" w14:paraId="31901AEB" w14:textId="77777777" w:rsidTr="00D10CA9">
              <w:trPr>
                <w:trHeight w:val="255"/>
              </w:trPr>
              <w:tc>
                <w:tcPr>
                  <w:tcW w:w="1375" w:type="dxa"/>
                </w:tcPr>
                <w:p w14:paraId="3A0E250A" w14:textId="77777777" w:rsidR="00291C62" w:rsidRPr="00BB5CDE" w:rsidRDefault="00291C62" w:rsidP="00291C62">
                  <w:pPr>
                    <w:rPr>
                      <w:bCs/>
                      <w:iCs/>
                      <w:sz w:val="20"/>
                      <w:szCs w:val="20"/>
                    </w:rPr>
                  </w:pPr>
                  <w:r w:rsidRPr="00BB5CDE">
                    <w:rPr>
                      <w:bCs/>
                      <w:iCs/>
                      <w:sz w:val="20"/>
                      <w:szCs w:val="20"/>
                    </w:rPr>
                    <w:t>A</w:t>
                  </w:r>
                </w:p>
              </w:tc>
              <w:tc>
                <w:tcPr>
                  <w:tcW w:w="900" w:type="dxa"/>
                </w:tcPr>
                <w:p w14:paraId="4BAFB8F0" w14:textId="77777777" w:rsidR="00291C62" w:rsidRPr="00BB5CDE" w:rsidRDefault="00291C62" w:rsidP="00291C62">
                  <w:pPr>
                    <w:rPr>
                      <w:bCs/>
                      <w:iCs/>
                      <w:sz w:val="20"/>
                      <w:szCs w:val="20"/>
                    </w:rPr>
                  </w:pPr>
                  <w:r w:rsidRPr="00BB5CDE">
                    <w:rPr>
                      <w:bCs/>
                      <w:iCs/>
                      <w:sz w:val="20"/>
                      <w:szCs w:val="20"/>
                    </w:rPr>
                    <w:t>B</w:t>
                  </w:r>
                </w:p>
              </w:tc>
              <w:tc>
                <w:tcPr>
                  <w:tcW w:w="1080" w:type="dxa"/>
                </w:tcPr>
                <w:p w14:paraId="2F56B3E4" w14:textId="77777777" w:rsidR="00291C62" w:rsidRPr="00BB5CDE" w:rsidRDefault="00291C62" w:rsidP="00291C62">
                  <w:pPr>
                    <w:rPr>
                      <w:bCs/>
                      <w:iCs/>
                      <w:sz w:val="20"/>
                      <w:szCs w:val="20"/>
                    </w:rPr>
                  </w:pPr>
                  <w:r w:rsidRPr="00BB5CDE">
                    <w:rPr>
                      <w:bCs/>
                      <w:iCs/>
                      <w:sz w:val="20"/>
                      <w:szCs w:val="20"/>
                    </w:rPr>
                    <w:t>C</w:t>
                  </w:r>
                </w:p>
              </w:tc>
              <w:tc>
                <w:tcPr>
                  <w:tcW w:w="1440" w:type="dxa"/>
                </w:tcPr>
                <w:p w14:paraId="2C401077" w14:textId="77777777" w:rsidR="00291C62" w:rsidRPr="00BB5CDE" w:rsidRDefault="00291C62" w:rsidP="00291C62">
                  <w:pPr>
                    <w:rPr>
                      <w:bCs/>
                      <w:iCs/>
                      <w:sz w:val="20"/>
                      <w:szCs w:val="20"/>
                    </w:rPr>
                  </w:pPr>
                  <w:r w:rsidRPr="00BB5CDE">
                    <w:rPr>
                      <w:bCs/>
                      <w:iCs/>
                      <w:sz w:val="20"/>
                      <w:szCs w:val="20"/>
                    </w:rPr>
                    <w:t>D</w:t>
                  </w:r>
                </w:p>
              </w:tc>
              <w:tc>
                <w:tcPr>
                  <w:tcW w:w="1440" w:type="dxa"/>
                </w:tcPr>
                <w:p w14:paraId="30C46884" w14:textId="77777777" w:rsidR="00291C62" w:rsidRPr="00BB5CDE" w:rsidRDefault="00291C62" w:rsidP="00291C62">
                  <w:pPr>
                    <w:rPr>
                      <w:bCs/>
                      <w:iCs/>
                      <w:sz w:val="20"/>
                      <w:szCs w:val="20"/>
                    </w:rPr>
                  </w:pPr>
                  <w:r w:rsidRPr="00BB5CDE">
                    <w:rPr>
                      <w:bCs/>
                      <w:iCs/>
                      <w:sz w:val="20"/>
                      <w:szCs w:val="20"/>
                    </w:rPr>
                    <w:t>E</w:t>
                  </w:r>
                </w:p>
              </w:tc>
              <w:tc>
                <w:tcPr>
                  <w:tcW w:w="1170" w:type="dxa"/>
                </w:tcPr>
                <w:p w14:paraId="79EA6E23" w14:textId="77777777" w:rsidR="00291C62" w:rsidRPr="00BB5CDE" w:rsidRDefault="00291C62" w:rsidP="00291C62">
                  <w:pPr>
                    <w:rPr>
                      <w:bCs/>
                      <w:iCs/>
                      <w:sz w:val="20"/>
                      <w:szCs w:val="20"/>
                    </w:rPr>
                  </w:pPr>
                  <w:r w:rsidRPr="00BB5CDE">
                    <w:rPr>
                      <w:bCs/>
                      <w:iCs/>
                      <w:sz w:val="20"/>
                      <w:szCs w:val="20"/>
                    </w:rPr>
                    <w:t>F</w:t>
                  </w:r>
                </w:p>
              </w:tc>
            </w:tr>
            <w:tr w:rsidR="00291C62" w:rsidRPr="00BB5CDE" w14:paraId="288288C0" w14:textId="77777777" w:rsidTr="00D10CA9">
              <w:trPr>
                <w:trHeight w:val="1806"/>
              </w:trPr>
              <w:tc>
                <w:tcPr>
                  <w:tcW w:w="1375" w:type="dxa"/>
                  <w:hideMark/>
                </w:tcPr>
                <w:p w14:paraId="006579EC" w14:textId="77777777" w:rsidR="00291C62" w:rsidRPr="00BB5CDE" w:rsidRDefault="00291C62" w:rsidP="00291C62">
                  <w:pPr>
                    <w:rPr>
                      <w:bCs/>
                      <w:iCs/>
                      <w:sz w:val="20"/>
                      <w:szCs w:val="20"/>
                    </w:rPr>
                  </w:pPr>
                  <w:r w:rsidRPr="00BB5CDE">
                    <w:rPr>
                      <w:bCs/>
                      <w:iCs/>
                      <w:sz w:val="20"/>
                      <w:szCs w:val="20"/>
                    </w:rPr>
                    <w:t>Pakalpojuma veids</w:t>
                  </w:r>
                </w:p>
              </w:tc>
              <w:tc>
                <w:tcPr>
                  <w:tcW w:w="900" w:type="dxa"/>
                </w:tcPr>
                <w:p w14:paraId="50031053" w14:textId="77777777" w:rsidR="00291C62" w:rsidRPr="00BB5CDE" w:rsidRDefault="00291C62" w:rsidP="00291C62">
                  <w:pPr>
                    <w:rPr>
                      <w:bCs/>
                      <w:iCs/>
                      <w:sz w:val="20"/>
                      <w:szCs w:val="20"/>
                    </w:rPr>
                  </w:pPr>
                  <w:r w:rsidRPr="00BB5CDE">
                    <w:rPr>
                      <w:bCs/>
                      <w:iCs/>
                      <w:sz w:val="20"/>
                      <w:szCs w:val="20"/>
                    </w:rPr>
                    <w:t>Pakalpojumu skaits</w:t>
                  </w:r>
                </w:p>
              </w:tc>
              <w:tc>
                <w:tcPr>
                  <w:tcW w:w="1080" w:type="dxa"/>
                  <w:hideMark/>
                </w:tcPr>
                <w:p w14:paraId="209625D5" w14:textId="6389FF14" w:rsidR="00291C62" w:rsidRPr="00BB5CDE" w:rsidRDefault="00291C62" w:rsidP="002058E3">
                  <w:pPr>
                    <w:rPr>
                      <w:bCs/>
                      <w:iCs/>
                      <w:sz w:val="20"/>
                      <w:szCs w:val="20"/>
                    </w:rPr>
                  </w:pPr>
                  <w:r w:rsidRPr="00BB5CDE">
                    <w:rPr>
                      <w:bCs/>
                      <w:iCs/>
                      <w:sz w:val="20"/>
                      <w:szCs w:val="20"/>
                    </w:rPr>
                    <w:t>Konsulārā atlīdzība saskaņā ar spēkā esošo cenrādi, EUR</w:t>
                  </w:r>
                </w:p>
              </w:tc>
              <w:tc>
                <w:tcPr>
                  <w:tcW w:w="1440" w:type="dxa"/>
                  <w:hideMark/>
                </w:tcPr>
                <w:p w14:paraId="4FAD189B" w14:textId="3F1CF752" w:rsidR="00291C62" w:rsidRPr="00BB5CDE" w:rsidRDefault="00291C62" w:rsidP="00BB5CDE">
                  <w:pPr>
                    <w:rPr>
                      <w:bCs/>
                      <w:iCs/>
                      <w:sz w:val="20"/>
                      <w:szCs w:val="20"/>
                    </w:rPr>
                  </w:pPr>
                  <w:r w:rsidRPr="00BB5CDE">
                    <w:rPr>
                      <w:bCs/>
                      <w:iCs/>
                      <w:sz w:val="20"/>
                      <w:szCs w:val="20"/>
                    </w:rPr>
                    <w:t>Iekasēts 2018. gadā saskaņā ar spēkā esošo cenrādi, EUR</w:t>
                  </w:r>
                </w:p>
              </w:tc>
              <w:tc>
                <w:tcPr>
                  <w:tcW w:w="1440" w:type="dxa"/>
                </w:tcPr>
                <w:p w14:paraId="3E95CC4C" w14:textId="485CC28E" w:rsidR="00291C62" w:rsidRPr="00BB5CDE" w:rsidRDefault="00291C62" w:rsidP="00E070EC">
                  <w:pPr>
                    <w:rPr>
                      <w:bCs/>
                      <w:iCs/>
                      <w:sz w:val="20"/>
                      <w:szCs w:val="20"/>
                    </w:rPr>
                  </w:pPr>
                  <w:r w:rsidRPr="00BB5CDE">
                    <w:rPr>
                      <w:bCs/>
                      <w:iCs/>
                      <w:sz w:val="20"/>
                      <w:szCs w:val="20"/>
                    </w:rPr>
                    <w:t xml:space="preserve">Konsulārā atlīdzība saskaņā ar </w:t>
                  </w:r>
                  <w:r w:rsidR="00E070EC">
                    <w:rPr>
                      <w:bCs/>
                      <w:iCs/>
                      <w:sz w:val="20"/>
                      <w:szCs w:val="20"/>
                    </w:rPr>
                    <w:t>Noteikumu projektu</w:t>
                  </w:r>
                  <w:r w:rsidRPr="00BB5CDE">
                    <w:rPr>
                      <w:bCs/>
                      <w:iCs/>
                      <w:sz w:val="20"/>
                      <w:szCs w:val="20"/>
                    </w:rPr>
                    <w:t>, EUR</w:t>
                  </w:r>
                </w:p>
              </w:tc>
              <w:tc>
                <w:tcPr>
                  <w:tcW w:w="1170" w:type="dxa"/>
                  <w:hideMark/>
                </w:tcPr>
                <w:p w14:paraId="7C10B87D" w14:textId="0C472380" w:rsidR="00291C62" w:rsidRPr="00BB5CDE" w:rsidRDefault="00291C62" w:rsidP="00E070EC">
                  <w:pPr>
                    <w:rPr>
                      <w:bCs/>
                      <w:iCs/>
                      <w:sz w:val="20"/>
                      <w:szCs w:val="20"/>
                    </w:rPr>
                  </w:pPr>
                  <w:r w:rsidRPr="00BB5CDE">
                    <w:rPr>
                      <w:bCs/>
                      <w:iCs/>
                      <w:sz w:val="20"/>
                      <w:szCs w:val="20"/>
                    </w:rPr>
                    <w:t xml:space="preserve">Iekasētu saskaņā ar </w:t>
                  </w:r>
                  <w:r w:rsidR="00E070EC">
                    <w:rPr>
                      <w:bCs/>
                      <w:iCs/>
                      <w:sz w:val="20"/>
                      <w:szCs w:val="20"/>
                    </w:rPr>
                    <w:t>Noteikumu projektu</w:t>
                  </w:r>
                  <w:r w:rsidRPr="00BB5CDE">
                    <w:rPr>
                      <w:bCs/>
                      <w:iCs/>
                      <w:sz w:val="20"/>
                      <w:szCs w:val="20"/>
                    </w:rPr>
                    <w:t>, EUR</w:t>
                  </w:r>
                </w:p>
              </w:tc>
            </w:tr>
            <w:tr w:rsidR="00291C62" w:rsidRPr="00BB5CDE" w14:paraId="5DFF2AB0" w14:textId="77777777" w:rsidTr="00D10CA9">
              <w:trPr>
                <w:trHeight w:val="365"/>
              </w:trPr>
              <w:tc>
                <w:tcPr>
                  <w:tcW w:w="1375" w:type="dxa"/>
                </w:tcPr>
                <w:p w14:paraId="32C4F29C" w14:textId="77777777" w:rsidR="00291C62" w:rsidRPr="00BB5CDE" w:rsidRDefault="00291C62" w:rsidP="00291C62">
                  <w:pPr>
                    <w:rPr>
                      <w:bCs/>
                      <w:iCs/>
                      <w:sz w:val="20"/>
                      <w:szCs w:val="20"/>
                    </w:rPr>
                  </w:pPr>
                </w:p>
              </w:tc>
              <w:tc>
                <w:tcPr>
                  <w:tcW w:w="900" w:type="dxa"/>
                </w:tcPr>
                <w:p w14:paraId="489C21BD" w14:textId="77777777" w:rsidR="00291C62" w:rsidRPr="00BB5CDE" w:rsidRDefault="00291C62" w:rsidP="00291C62">
                  <w:pPr>
                    <w:rPr>
                      <w:bCs/>
                      <w:iCs/>
                      <w:sz w:val="20"/>
                      <w:szCs w:val="20"/>
                    </w:rPr>
                  </w:pPr>
                </w:p>
              </w:tc>
              <w:tc>
                <w:tcPr>
                  <w:tcW w:w="1080" w:type="dxa"/>
                </w:tcPr>
                <w:p w14:paraId="28C72C0C" w14:textId="77777777" w:rsidR="00291C62" w:rsidRPr="00BB5CDE" w:rsidRDefault="00291C62" w:rsidP="00291C62">
                  <w:pPr>
                    <w:rPr>
                      <w:bCs/>
                      <w:iCs/>
                      <w:sz w:val="20"/>
                      <w:szCs w:val="20"/>
                    </w:rPr>
                  </w:pPr>
                </w:p>
              </w:tc>
              <w:tc>
                <w:tcPr>
                  <w:tcW w:w="1440" w:type="dxa"/>
                </w:tcPr>
                <w:p w14:paraId="7BF1A0C5" w14:textId="77777777" w:rsidR="00291C62" w:rsidRPr="00BB5CDE" w:rsidRDefault="00291C62" w:rsidP="00291C62">
                  <w:pPr>
                    <w:rPr>
                      <w:bCs/>
                      <w:iCs/>
                      <w:sz w:val="20"/>
                      <w:szCs w:val="20"/>
                    </w:rPr>
                  </w:pPr>
                  <w:r w:rsidRPr="00BB5CDE">
                    <w:rPr>
                      <w:bCs/>
                      <w:iCs/>
                      <w:sz w:val="20"/>
                      <w:szCs w:val="20"/>
                    </w:rPr>
                    <w:t>(B x C)</w:t>
                  </w:r>
                </w:p>
              </w:tc>
              <w:tc>
                <w:tcPr>
                  <w:tcW w:w="1440" w:type="dxa"/>
                </w:tcPr>
                <w:p w14:paraId="7FB1B2A7" w14:textId="77777777" w:rsidR="00291C62" w:rsidRPr="00BB5CDE" w:rsidRDefault="00291C62" w:rsidP="00291C62">
                  <w:pPr>
                    <w:rPr>
                      <w:bCs/>
                      <w:iCs/>
                      <w:sz w:val="20"/>
                      <w:szCs w:val="20"/>
                    </w:rPr>
                  </w:pPr>
                </w:p>
              </w:tc>
              <w:tc>
                <w:tcPr>
                  <w:tcW w:w="1170" w:type="dxa"/>
                </w:tcPr>
                <w:p w14:paraId="5F1FB211" w14:textId="77777777" w:rsidR="00291C62" w:rsidRPr="00BB5CDE" w:rsidRDefault="00291C62" w:rsidP="00291C62">
                  <w:pPr>
                    <w:rPr>
                      <w:bCs/>
                      <w:iCs/>
                      <w:sz w:val="20"/>
                      <w:szCs w:val="20"/>
                    </w:rPr>
                  </w:pPr>
                  <w:r w:rsidRPr="00BB5CDE">
                    <w:rPr>
                      <w:bCs/>
                      <w:iCs/>
                      <w:sz w:val="20"/>
                      <w:szCs w:val="20"/>
                    </w:rPr>
                    <w:t>(B x E)</w:t>
                  </w:r>
                </w:p>
              </w:tc>
            </w:tr>
            <w:tr w:rsidR="004F1F95" w:rsidRPr="00BB5CDE" w14:paraId="4D9A325C" w14:textId="77777777" w:rsidTr="00D10CA9">
              <w:trPr>
                <w:trHeight w:val="540"/>
              </w:trPr>
              <w:tc>
                <w:tcPr>
                  <w:tcW w:w="1375" w:type="dxa"/>
                  <w:hideMark/>
                </w:tcPr>
                <w:p w14:paraId="21158D16" w14:textId="77777777" w:rsidR="004F1F95" w:rsidRPr="00BB5CDE" w:rsidRDefault="004F1F95" w:rsidP="004F1F95">
                  <w:pPr>
                    <w:rPr>
                      <w:iCs/>
                      <w:sz w:val="20"/>
                      <w:szCs w:val="20"/>
                    </w:rPr>
                  </w:pPr>
                  <w:r w:rsidRPr="00BB5CDE">
                    <w:rPr>
                      <w:iCs/>
                      <w:sz w:val="20"/>
                      <w:szCs w:val="20"/>
                    </w:rPr>
                    <w:t>Dokumentu izprasīšana</w:t>
                  </w:r>
                </w:p>
              </w:tc>
              <w:tc>
                <w:tcPr>
                  <w:tcW w:w="900" w:type="dxa"/>
                </w:tcPr>
                <w:p w14:paraId="52D25517" w14:textId="77777777" w:rsidR="004F1F95" w:rsidRPr="00BB5CDE" w:rsidRDefault="004F1F95" w:rsidP="004F1F95">
                  <w:pPr>
                    <w:rPr>
                      <w:iCs/>
                      <w:sz w:val="20"/>
                      <w:szCs w:val="20"/>
                    </w:rPr>
                  </w:pPr>
                  <w:r w:rsidRPr="00BB5CDE">
                    <w:rPr>
                      <w:iCs/>
                      <w:sz w:val="20"/>
                      <w:szCs w:val="20"/>
                    </w:rPr>
                    <w:t>421</w:t>
                  </w:r>
                </w:p>
              </w:tc>
              <w:tc>
                <w:tcPr>
                  <w:tcW w:w="1080" w:type="dxa"/>
                  <w:hideMark/>
                </w:tcPr>
                <w:p w14:paraId="6A1733DC" w14:textId="77777777" w:rsidR="004F1F95" w:rsidRPr="00BB5CDE" w:rsidRDefault="004F1F95" w:rsidP="004F1F95">
                  <w:pPr>
                    <w:rPr>
                      <w:iCs/>
                      <w:sz w:val="20"/>
                      <w:szCs w:val="20"/>
                    </w:rPr>
                  </w:pPr>
                  <w:r w:rsidRPr="00BB5CDE">
                    <w:rPr>
                      <w:iCs/>
                      <w:sz w:val="20"/>
                      <w:szCs w:val="20"/>
                    </w:rPr>
                    <w:t>30</w:t>
                  </w:r>
                </w:p>
              </w:tc>
              <w:tc>
                <w:tcPr>
                  <w:tcW w:w="1440" w:type="dxa"/>
                  <w:noWrap/>
                  <w:hideMark/>
                </w:tcPr>
                <w:p w14:paraId="172D7D54" w14:textId="77777777" w:rsidR="004F1F95" w:rsidRPr="00BB5CDE" w:rsidRDefault="004F1F95" w:rsidP="004F1F95">
                  <w:pPr>
                    <w:rPr>
                      <w:iCs/>
                      <w:sz w:val="20"/>
                      <w:szCs w:val="20"/>
                    </w:rPr>
                  </w:pPr>
                  <w:r w:rsidRPr="00BB5CDE">
                    <w:rPr>
                      <w:iCs/>
                      <w:sz w:val="20"/>
                      <w:szCs w:val="20"/>
                    </w:rPr>
                    <w:t>12 836</w:t>
                  </w:r>
                </w:p>
              </w:tc>
              <w:tc>
                <w:tcPr>
                  <w:tcW w:w="1440" w:type="dxa"/>
                </w:tcPr>
                <w:p w14:paraId="472DC367" w14:textId="77777777" w:rsidR="004F1F95" w:rsidRPr="00BB5CDE" w:rsidRDefault="004F1F95" w:rsidP="004F1F95">
                  <w:pPr>
                    <w:rPr>
                      <w:iCs/>
                      <w:sz w:val="20"/>
                      <w:szCs w:val="20"/>
                    </w:rPr>
                  </w:pPr>
                  <w:r w:rsidRPr="00BB5CDE">
                    <w:rPr>
                      <w:iCs/>
                      <w:sz w:val="20"/>
                      <w:szCs w:val="20"/>
                    </w:rPr>
                    <w:t>40</w:t>
                  </w:r>
                </w:p>
              </w:tc>
              <w:tc>
                <w:tcPr>
                  <w:tcW w:w="1170" w:type="dxa"/>
                  <w:noWrap/>
                  <w:hideMark/>
                </w:tcPr>
                <w:p w14:paraId="41AE0FA0" w14:textId="5B71CF66" w:rsidR="004F1F95" w:rsidRPr="004F1F95" w:rsidRDefault="004F1F95" w:rsidP="004F1F95">
                  <w:pPr>
                    <w:rPr>
                      <w:iCs/>
                      <w:sz w:val="20"/>
                      <w:szCs w:val="20"/>
                    </w:rPr>
                  </w:pPr>
                  <w:r w:rsidRPr="004F1F95">
                    <w:rPr>
                      <w:sz w:val="20"/>
                      <w:szCs w:val="20"/>
                    </w:rPr>
                    <w:t>16 840</w:t>
                  </w:r>
                </w:p>
              </w:tc>
            </w:tr>
            <w:tr w:rsidR="004F1F95" w:rsidRPr="00BB5CDE" w14:paraId="3F73C704" w14:textId="77777777" w:rsidTr="00D10CA9">
              <w:trPr>
                <w:trHeight w:val="420"/>
              </w:trPr>
              <w:tc>
                <w:tcPr>
                  <w:tcW w:w="1375" w:type="dxa"/>
                  <w:hideMark/>
                </w:tcPr>
                <w:p w14:paraId="2F8AC6F8" w14:textId="77777777" w:rsidR="004F1F95" w:rsidRPr="00BB5CDE" w:rsidRDefault="004F1F95" w:rsidP="004F1F95">
                  <w:pPr>
                    <w:rPr>
                      <w:iCs/>
                      <w:sz w:val="20"/>
                      <w:szCs w:val="20"/>
                    </w:rPr>
                  </w:pPr>
                  <w:r w:rsidRPr="00BB5CDE">
                    <w:rPr>
                      <w:iCs/>
                      <w:sz w:val="20"/>
                      <w:szCs w:val="20"/>
                    </w:rPr>
                    <w:t xml:space="preserve">Izziņas izsniegšana </w:t>
                  </w:r>
                </w:p>
              </w:tc>
              <w:tc>
                <w:tcPr>
                  <w:tcW w:w="900" w:type="dxa"/>
                </w:tcPr>
                <w:p w14:paraId="79FFDFDF" w14:textId="77777777" w:rsidR="004F1F95" w:rsidRPr="00BB5CDE" w:rsidRDefault="004F1F95" w:rsidP="004F1F95">
                  <w:pPr>
                    <w:rPr>
                      <w:iCs/>
                      <w:sz w:val="20"/>
                      <w:szCs w:val="20"/>
                    </w:rPr>
                  </w:pPr>
                  <w:r w:rsidRPr="00BB5CDE">
                    <w:rPr>
                      <w:iCs/>
                      <w:sz w:val="20"/>
                      <w:szCs w:val="20"/>
                    </w:rPr>
                    <w:t>3515</w:t>
                  </w:r>
                </w:p>
              </w:tc>
              <w:tc>
                <w:tcPr>
                  <w:tcW w:w="1080" w:type="dxa"/>
                  <w:hideMark/>
                </w:tcPr>
                <w:p w14:paraId="683C6EA9" w14:textId="77777777" w:rsidR="004F1F95" w:rsidRPr="00BB5CDE" w:rsidRDefault="004F1F95" w:rsidP="004F1F95">
                  <w:pPr>
                    <w:rPr>
                      <w:iCs/>
                      <w:sz w:val="20"/>
                      <w:szCs w:val="20"/>
                    </w:rPr>
                  </w:pPr>
                  <w:r w:rsidRPr="00BB5CDE">
                    <w:rPr>
                      <w:iCs/>
                      <w:sz w:val="20"/>
                      <w:szCs w:val="20"/>
                    </w:rPr>
                    <w:t>20, 30, 50</w:t>
                  </w:r>
                </w:p>
              </w:tc>
              <w:tc>
                <w:tcPr>
                  <w:tcW w:w="1440" w:type="dxa"/>
                  <w:noWrap/>
                  <w:hideMark/>
                </w:tcPr>
                <w:p w14:paraId="716E44F3" w14:textId="77777777" w:rsidR="004F1F95" w:rsidRPr="00BB5CDE" w:rsidRDefault="004F1F95" w:rsidP="004F1F95">
                  <w:pPr>
                    <w:rPr>
                      <w:iCs/>
                      <w:sz w:val="20"/>
                      <w:szCs w:val="20"/>
                    </w:rPr>
                  </w:pPr>
                  <w:r w:rsidRPr="00BB5CDE">
                    <w:rPr>
                      <w:iCs/>
                      <w:sz w:val="20"/>
                      <w:szCs w:val="20"/>
                    </w:rPr>
                    <w:t>75 050</w:t>
                  </w:r>
                </w:p>
              </w:tc>
              <w:tc>
                <w:tcPr>
                  <w:tcW w:w="1440" w:type="dxa"/>
                </w:tcPr>
                <w:p w14:paraId="2E580C46" w14:textId="77777777" w:rsidR="004F1F95" w:rsidRPr="00BB5CDE" w:rsidRDefault="004F1F95" w:rsidP="004F1F95">
                  <w:pPr>
                    <w:rPr>
                      <w:iCs/>
                      <w:sz w:val="20"/>
                      <w:szCs w:val="20"/>
                    </w:rPr>
                  </w:pPr>
                  <w:r w:rsidRPr="00BB5CDE">
                    <w:rPr>
                      <w:iCs/>
                      <w:sz w:val="20"/>
                      <w:szCs w:val="20"/>
                    </w:rPr>
                    <w:t>40</w:t>
                  </w:r>
                </w:p>
              </w:tc>
              <w:tc>
                <w:tcPr>
                  <w:tcW w:w="1170" w:type="dxa"/>
                  <w:noWrap/>
                  <w:hideMark/>
                </w:tcPr>
                <w:p w14:paraId="02DBA5C9" w14:textId="67230706" w:rsidR="004F1F95" w:rsidRPr="004F1F95" w:rsidRDefault="004F1F95" w:rsidP="004F1F95">
                  <w:pPr>
                    <w:rPr>
                      <w:iCs/>
                      <w:sz w:val="20"/>
                      <w:szCs w:val="20"/>
                    </w:rPr>
                  </w:pPr>
                  <w:r w:rsidRPr="004F1F95">
                    <w:rPr>
                      <w:sz w:val="20"/>
                      <w:szCs w:val="20"/>
                    </w:rPr>
                    <w:t>140 600</w:t>
                  </w:r>
                </w:p>
              </w:tc>
            </w:tr>
            <w:tr w:rsidR="004F1F95" w:rsidRPr="00BB5CDE" w14:paraId="78C6638F" w14:textId="77777777" w:rsidTr="00D10CA9">
              <w:trPr>
                <w:trHeight w:val="780"/>
              </w:trPr>
              <w:tc>
                <w:tcPr>
                  <w:tcW w:w="1375" w:type="dxa"/>
                </w:tcPr>
                <w:p w14:paraId="57A6CABB" w14:textId="77777777" w:rsidR="004F1F95" w:rsidRPr="00BB5CDE" w:rsidRDefault="004F1F95" w:rsidP="004F1F95">
                  <w:pPr>
                    <w:rPr>
                      <w:iCs/>
                      <w:sz w:val="20"/>
                      <w:szCs w:val="20"/>
                    </w:rPr>
                  </w:pPr>
                  <w:r w:rsidRPr="00BB5CDE">
                    <w:rPr>
                      <w:iCs/>
                      <w:sz w:val="20"/>
                      <w:szCs w:val="20"/>
                    </w:rPr>
                    <w:t xml:space="preserve">Dokumentu pārsūtīšana, piem., personu apliecinošu </w:t>
                  </w:r>
                  <w:r w:rsidRPr="00BB5CDE">
                    <w:rPr>
                      <w:iCs/>
                      <w:sz w:val="20"/>
                      <w:szCs w:val="20"/>
                    </w:rPr>
                    <w:lastRenderedPageBreak/>
                    <w:t>dokumentu pietiekumu</w:t>
                  </w:r>
                </w:p>
              </w:tc>
              <w:tc>
                <w:tcPr>
                  <w:tcW w:w="900" w:type="dxa"/>
                </w:tcPr>
                <w:p w14:paraId="34BC5674" w14:textId="77777777" w:rsidR="004F1F95" w:rsidRPr="00BB5CDE" w:rsidRDefault="004F1F95" w:rsidP="004F1F95">
                  <w:pPr>
                    <w:rPr>
                      <w:iCs/>
                      <w:sz w:val="20"/>
                      <w:szCs w:val="20"/>
                    </w:rPr>
                  </w:pPr>
                  <w:r w:rsidRPr="00BB5CDE">
                    <w:rPr>
                      <w:iCs/>
                      <w:sz w:val="20"/>
                      <w:szCs w:val="20"/>
                    </w:rPr>
                    <w:lastRenderedPageBreak/>
                    <w:t>17 210</w:t>
                  </w:r>
                </w:p>
              </w:tc>
              <w:tc>
                <w:tcPr>
                  <w:tcW w:w="1080" w:type="dxa"/>
                </w:tcPr>
                <w:p w14:paraId="384D76E9" w14:textId="77777777" w:rsidR="004F1F95" w:rsidRPr="00BB5CDE" w:rsidRDefault="004F1F95" w:rsidP="004F1F95">
                  <w:pPr>
                    <w:rPr>
                      <w:iCs/>
                      <w:sz w:val="20"/>
                      <w:szCs w:val="20"/>
                    </w:rPr>
                  </w:pPr>
                  <w:r w:rsidRPr="00BB5CDE">
                    <w:rPr>
                      <w:iCs/>
                      <w:sz w:val="20"/>
                      <w:szCs w:val="20"/>
                    </w:rPr>
                    <w:t>45</w:t>
                  </w:r>
                </w:p>
              </w:tc>
              <w:tc>
                <w:tcPr>
                  <w:tcW w:w="1440" w:type="dxa"/>
                  <w:noWrap/>
                </w:tcPr>
                <w:p w14:paraId="0ED78929" w14:textId="77777777" w:rsidR="004F1F95" w:rsidRPr="00BB5CDE" w:rsidRDefault="004F1F95" w:rsidP="004F1F95">
                  <w:pPr>
                    <w:rPr>
                      <w:iCs/>
                      <w:sz w:val="20"/>
                      <w:szCs w:val="20"/>
                    </w:rPr>
                  </w:pPr>
                  <w:r w:rsidRPr="00BB5CDE">
                    <w:rPr>
                      <w:iCs/>
                      <w:sz w:val="20"/>
                      <w:szCs w:val="20"/>
                    </w:rPr>
                    <w:t>774 450</w:t>
                  </w:r>
                </w:p>
              </w:tc>
              <w:tc>
                <w:tcPr>
                  <w:tcW w:w="1440" w:type="dxa"/>
                </w:tcPr>
                <w:p w14:paraId="7DB5AC6D" w14:textId="77777777" w:rsidR="004F1F95" w:rsidRPr="00BB5CDE" w:rsidRDefault="004F1F95" w:rsidP="004F1F95">
                  <w:pPr>
                    <w:rPr>
                      <w:iCs/>
                      <w:sz w:val="20"/>
                      <w:szCs w:val="20"/>
                    </w:rPr>
                  </w:pPr>
                  <w:r w:rsidRPr="00BB5CDE">
                    <w:rPr>
                      <w:iCs/>
                      <w:sz w:val="20"/>
                      <w:szCs w:val="20"/>
                    </w:rPr>
                    <w:t>40</w:t>
                  </w:r>
                </w:p>
              </w:tc>
              <w:tc>
                <w:tcPr>
                  <w:tcW w:w="1170" w:type="dxa"/>
                  <w:noWrap/>
                </w:tcPr>
                <w:p w14:paraId="3DA4DD31" w14:textId="0968AE4B" w:rsidR="004F1F95" w:rsidRPr="004F1F95" w:rsidRDefault="004F1F95" w:rsidP="004F1F95">
                  <w:pPr>
                    <w:rPr>
                      <w:iCs/>
                      <w:sz w:val="20"/>
                      <w:szCs w:val="20"/>
                    </w:rPr>
                  </w:pPr>
                  <w:r w:rsidRPr="004F1F95">
                    <w:rPr>
                      <w:sz w:val="20"/>
                      <w:szCs w:val="20"/>
                    </w:rPr>
                    <w:t>688 400</w:t>
                  </w:r>
                </w:p>
              </w:tc>
            </w:tr>
            <w:tr w:rsidR="004F1F95" w:rsidRPr="00BB5CDE" w14:paraId="60A50998" w14:textId="77777777" w:rsidTr="00D10CA9">
              <w:trPr>
                <w:trHeight w:val="780"/>
              </w:trPr>
              <w:tc>
                <w:tcPr>
                  <w:tcW w:w="1375" w:type="dxa"/>
                </w:tcPr>
                <w:p w14:paraId="6DE65F14" w14:textId="77777777" w:rsidR="004F1F95" w:rsidRPr="00BB5CDE" w:rsidRDefault="004F1F95" w:rsidP="004F1F95">
                  <w:pPr>
                    <w:rPr>
                      <w:iCs/>
                      <w:sz w:val="20"/>
                      <w:szCs w:val="20"/>
                    </w:rPr>
                  </w:pPr>
                  <w:r w:rsidRPr="00BB5CDE">
                    <w:rPr>
                      <w:iCs/>
                      <w:sz w:val="20"/>
                      <w:szCs w:val="20"/>
                    </w:rPr>
                    <w:lastRenderedPageBreak/>
                    <w:t>Uzturēšanās atļauju pieteikumu pārsūtīšana</w:t>
                  </w:r>
                </w:p>
              </w:tc>
              <w:tc>
                <w:tcPr>
                  <w:tcW w:w="900" w:type="dxa"/>
                </w:tcPr>
                <w:p w14:paraId="39DA8577" w14:textId="77777777" w:rsidR="004F1F95" w:rsidRPr="00BB5CDE" w:rsidRDefault="004F1F95" w:rsidP="004F1F95">
                  <w:pPr>
                    <w:rPr>
                      <w:iCs/>
                      <w:sz w:val="20"/>
                      <w:szCs w:val="20"/>
                    </w:rPr>
                  </w:pPr>
                  <w:r w:rsidRPr="00BB5CDE">
                    <w:rPr>
                      <w:iCs/>
                      <w:sz w:val="20"/>
                      <w:szCs w:val="20"/>
                    </w:rPr>
                    <w:t>3290</w:t>
                  </w:r>
                </w:p>
              </w:tc>
              <w:tc>
                <w:tcPr>
                  <w:tcW w:w="1080" w:type="dxa"/>
                </w:tcPr>
                <w:p w14:paraId="0F3F022C" w14:textId="77777777" w:rsidR="004F1F95" w:rsidRPr="00BB5CDE" w:rsidRDefault="004F1F95" w:rsidP="004F1F95">
                  <w:pPr>
                    <w:rPr>
                      <w:iCs/>
                      <w:sz w:val="20"/>
                      <w:szCs w:val="20"/>
                    </w:rPr>
                  </w:pPr>
                  <w:r w:rsidRPr="00BB5CDE">
                    <w:rPr>
                      <w:iCs/>
                      <w:sz w:val="20"/>
                      <w:szCs w:val="20"/>
                    </w:rPr>
                    <w:t>80, 110</w:t>
                  </w:r>
                </w:p>
              </w:tc>
              <w:tc>
                <w:tcPr>
                  <w:tcW w:w="1440" w:type="dxa"/>
                  <w:noWrap/>
                </w:tcPr>
                <w:p w14:paraId="7F430096" w14:textId="77777777" w:rsidR="004F1F95" w:rsidRPr="00BB5CDE" w:rsidRDefault="004F1F95" w:rsidP="004F1F95">
                  <w:pPr>
                    <w:rPr>
                      <w:iCs/>
                      <w:sz w:val="20"/>
                      <w:szCs w:val="20"/>
                    </w:rPr>
                  </w:pPr>
                  <w:r w:rsidRPr="00BB5CDE">
                    <w:rPr>
                      <w:iCs/>
                      <w:sz w:val="20"/>
                      <w:szCs w:val="20"/>
                    </w:rPr>
                    <w:t>277 789</w:t>
                  </w:r>
                </w:p>
              </w:tc>
              <w:tc>
                <w:tcPr>
                  <w:tcW w:w="1440" w:type="dxa"/>
                </w:tcPr>
                <w:p w14:paraId="487A79F2" w14:textId="77777777" w:rsidR="004F1F95" w:rsidRPr="00BB5CDE" w:rsidRDefault="004F1F95" w:rsidP="004F1F95">
                  <w:pPr>
                    <w:rPr>
                      <w:iCs/>
                      <w:sz w:val="20"/>
                      <w:szCs w:val="20"/>
                    </w:rPr>
                  </w:pPr>
                  <w:r w:rsidRPr="00BB5CDE">
                    <w:rPr>
                      <w:iCs/>
                      <w:sz w:val="20"/>
                      <w:szCs w:val="20"/>
                    </w:rPr>
                    <w:t>80, 110</w:t>
                  </w:r>
                </w:p>
              </w:tc>
              <w:tc>
                <w:tcPr>
                  <w:tcW w:w="1170" w:type="dxa"/>
                  <w:noWrap/>
                </w:tcPr>
                <w:p w14:paraId="1DA511B5" w14:textId="7F0FEE24" w:rsidR="004F1F95" w:rsidRPr="004F1F95" w:rsidRDefault="004F1F95" w:rsidP="004F1F95">
                  <w:pPr>
                    <w:rPr>
                      <w:iCs/>
                      <w:sz w:val="20"/>
                      <w:szCs w:val="20"/>
                    </w:rPr>
                  </w:pPr>
                  <w:r w:rsidRPr="004F1F95">
                    <w:rPr>
                      <w:sz w:val="20"/>
                      <w:szCs w:val="20"/>
                    </w:rPr>
                    <w:t>277 789</w:t>
                  </w:r>
                </w:p>
              </w:tc>
            </w:tr>
            <w:tr w:rsidR="004F1F95" w:rsidRPr="00BB5CDE" w14:paraId="69B2D6C8" w14:textId="77777777" w:rsidTr="00D10CA9">
              <w:trPr>
                <w:trHeight w:val="780"/>
              </w:trPr>
              <w:tc>
                <w:tcPr>
                  <w:tcW w:w="1375" w:type="dxa"/>
                  <w:hideMark/>
                </w:tcPr>
                <w:p w14:paraId="366DF8F1" w14:textId="77777777" w:rsidR="004F1F95" w:rsidRPr="00BB5CDE" w:rsidRDefault="004F1F95" w:rsidP="004F1F95">
                  <w:pPr>
                    <w:rPr>
                      <w:iCs/>
                      <w:sz w:val="20"/>
                      <w:szCs w:val="20"/>
                    </w:rPr>
                  </w:pPr>
                  <w:r w:rsidRPr="00BB5CDE">
                    <w:rPr>
                      <w:iCs/>
                      <w:sz w:val="20"/>
                      <w:szCs w:val="20"/>
                    </w:rPr>
                    <w:t>Dokumentu nosūtīšana konsulārā apgabala robežās</w:t>
                  </w:r>
                </w:p>
              </w:tc>
              <w:tc>
                <w:tcPr>
                  <w:tcW w:w="900" w:type="dxa"/>
                </w:tcPr>
                <w:p w14:paraId="33F3FE88" w14:textId="77777777" w:rsidR="004F1F95" w:rsidRPr="00BB5CDE" w:rsidRDefault="004F1F95" w:rsidP="004F1F95">
                  <w:pPr>
                    <w:rPr>
                      <w:iCs/>
                      <w:sz w:val="20"/>
                      <w:szCs w:val="20"/>
                    </w:rPr>
                  </w:pPr>
                  <w:r w:rsidRPr="00BB5CDE">
                    <w:rPr>
                      <w:iCs/>
                      <w:sz w:val="20"/>
                      <w:szCs w:val="20"/>
                    </w:rPr>
                    <w:t>12 911</w:t>
                  </w:r>
                </w:p>
              </w:tc>
              <w:tc>
                <w:tcPr>
                  <w:tcW w:w="1080" w:type="dxa"/>
                  <w:hideMark/>
                </w:tcPr>
                <w:p w14:paraId="32787E19" w14:textId="77777777" w:rsidR="004F1F95" w:rsidRPr="00BB5CDE" w:rsidRDefault="004F1F95" w:rsidP="004F1F95">
                  <w:pPr>
                    <w:rPr>
                      <w:iCs/>
                      <w:sz w:val="20"/>
                      <w:szCs w:val="20"/>
                    </w:rPr>
                  </w:pPr>
                  <w:r w:rsidRPr="00BB5CDE">
                    <w:rPr>
                      <w:iCs/>
                      <w:sz w:val="20"/>
                      <w:szCs w:val="20"/>
                    </w:rPr>
                    <w:t>Dažādas summas pēc ĀM noteiktā</w:t>
                  </w:r>
                </w:p>
              </w:tc>
              <w:tc>
                <w:tcPr>
                  <w:tcW w:w="1440" w:type="dxa"/>
                  <w:noWrap/>
                  <w:hideMark/>
                </w:tcPr>
                <w:p w14:paraId="538A64FD" w14:textId="77777777" w:rsidR="004F1F95" w:rsidRPr="00BB5CDE" w:rsidRDefault="004F1F95" w:rsidP="004F1F95">
                  <w:pPr>
                    <w:rPr>
                      <w:iCs/>
                      <w:sz w:val="20"/>
                      <w:szCs w:val="20"/>
                    </w:rPr>
                  </w:pPr>
                  <w:r w:rsidRPr="00BB5CDE">
                    <w:rPr>
                      <w:iCs/>
                      <w:sz w:val="20"/>
                      <w:szCs w:val="20"/>
                    </w:rPr>
                    <w:t>243 768</w:t>
                  </w:r>
                </w:p>
              </w:tc>
              <w:tc>
                <w:tcPr>
                  <w:tcW w:w="1440" w:type="dxa"/>
                </w:tcPr>
                <w:p w14:paraId="7F512AED" w14:textId="77777777" w:rsidR="004F1F95" w:rsidRPr="00BB5CDE" w:rsidRDefault="004F1F95" w:rsidP="004F1F95">
                  <w:pPr>
                    <w:rPr>
                      <w:iCs/>
                      <w:sz w:val="20"/>
                      <w:szCs w:val="20"/>
                    </w:rPr>
                  </w:pPr>
                  <w:r w:rsidRPr="00BB5CDE">
                    <w:rPr>
                      <w:iCs/>
                      <w:sz w:val="20"/>
                      <w:szCs w:val="20"/>
                    </w:rPr>
                    <w:t>Dažādas summas pēc ĀM noteiktā</w:t>
                  </w:r>
                </w:p>
              </w:tc>
              <w:tc>
                <w:tcPr>
                  <w:tcW w:w="1170" w:type="dxa"/>
                  <w:noWrap/>
                  <w:hideMark/>
                </w:tcPr>
                <w:p w14:paraId="67E8D150" w14:textId="4466860B" w:rsidR="004F1F95" w:rsidRPr="004F1F95" w:rsidRDefault="004F1F95" w:rsidP="004F1F95">
                  <w:pPr>
                    <w:rPr>
                      <w:iCs/>
                      <w:sz w:val="20"/>
                      <w:szCs w:val="20"/>
                    </w:rPr>
                  </w:pPr>
                  <w:r w:rsidRPr="004F1F95">
                    <w:rPr>
                      <w:sz w:val="20"/>
                      <w:szCs w:val="20"/>
                    </w:rPr>
                    <w:t>243 768</w:t>
                  </w:r>
                </w:p>
              </w:tc>
            </w:tr>
            <w:tr w:rsidR="004F1F95" w:rsidRPr="00BB5CDE" w14:paraId="060280B9" w14:textId="77777777" w:rsidTr="00D10CA9">
              <w:trPr>
                <w:trHeight w:val="580"/>
              </w:trPr>
              <w:tc>
                <w:tcPr>
                  <w:tcW w:w="1375" w:type="dxa"/>
                  <w:hideMark/>
                </w:tcPr>
                <w:p w14:paraId="0CE6A601" w14:textId="77777777" w:rsidR="004F1F95" w:rsidRPr="00BB5CDE" w:rsidRDefault="004F1F95" w:rsidP="004F1F95">
                  <w:pPr>
                    <w:rPr>
                      <w:iCs/>
                      <w:sz w:val="20"/>
                      <w:szCs w:val="20"/>
                    </w:rPr>
                  </w:pPr>
                  <w:r w:rsidRPr="00BB5CDE">
                    <w:rPr>
                      <w:iCs/>
                      <w:sz w:val="20"/>
                      <w:szCs w:val="20"/>
                    </w:rPr>
                    <w:t>Notariālās darbības</w:t>
                  </w:r>
                </w:p>
              </w:tc>
              <w:tc>
                <w:tcPr>
                  <w:tcW w:w="900" w:type="dxa"/>
                </w:tcPr>
                <w:p w14:paraId="077B24B2" w14:textId="77777777" w:rsidR="004F1F95" w:rsidRPr="00BB5CDE" w:rsidRDefault="004F1F95" w:rsidP="004F1F95">
                  <w:pPr>
                    <w:rPr>
                      <w:iCs/>
                      <w:sz w:val="20"/>
                      <w:szCs w:val="20"/>
                    </w:rPr>
                  </w:pPr>
                  <w:r w:rsidRPr="00BB5CDE">
                    <w:rPr>
                      <w:iCs/>
                      <w:sz w:val="20"/>
                      <w:szCs w:val="20"/>
                    </w:rPr>
                    <w:t>696</w:t>
                  </w:r>
                </w:p>
              </w:tc>
              <w:tc>
                <w:tcPr>
                  <w:tcW w:w="1080" w:type="dxa"/>
                  <w:hideMark/>
                </w:tcPr>
                <w:p w14:paraId="1A3B7A36" w14:textId="77777777" w:rsidR="004F1F95" w:rsidRPr="00BB5CDE" w:rsidRDefault="004F1F95" w:rsidP="004F1F95">
                  <w:pPr>
                    <w:rPr>
                      <w:iCs/>
                      <w:sz w:val="20"/>
                      <w:szCs w:val="20"/>
                    </w:rPr>
                  </w:pPr>
                  <w:r w:rsidRPr="00BB5CDE">
                    <w:rPr>
                      <w:iCs/>
                      <w:sz w:val="20"/>
                      <w:szCs w:val="20"/>
                    </w:rPr>
                    <w:t>10,20,30, 40,60</w:t>
                  </w:r>
                </w:p>
              </w:tc>
              <w:tc>
                <w:tcPr>
                  <w:tcW w:w="1440" w:type="dxa"/>
                  <w:noWrap/>
                  <w:hideMark/>
                </w:tcPr>
                <w:p w14:paraId="76CC3046" w14:textId="77777777" w:rsidR="004F1F95" w:rsidRPr="00BB5CDE" w:rsidRDefault="004F1F95" w:rsidP="004F1F95">
                  <w:pPr>
                    <w:rPr>
                      <w:iCs/>
                      <w:sz w:val="20"/>
                      <w:szCs w:val="20"/>
                    </w:rPr>
                  </w:pPr>
                  <w:r w:rsidRPr="00BB5CDE">
                    <w:rPr>
                      <w:iCs/>
                      <w:sz w:val="20"/>
                      <w:szCs w:val="20"/>
                    </w:rPr>
                    <w:t>26836</w:t>
                  </w:r>
                </w:p>
              </w:tc>
              <w:tc>
                <w:tcPr>
                  <w:tcW w:w="1440" w:type="dxa"/>
                </w:tcPr>
                <w:p w14:paraId="1264D249" w14:textId="77777777" w:rsidR="004F1F95" w:rsidRPr="00BB5CDE" w:rsidRDefault="004F1F95" w:rsidP="004F1F95">
                  <w:pPr>
                    <w:rPr>
                      <w:iCs/>
                      <w:sz w:val="20"/>
                      <w:szCs w:val="20"/>
                    </w:rPr>
                  </w:pPr>
                  <w:r w:rsidRPr="00BB5CDE">
                    <w:rPr>
                      <w:iCs/>
                      <w:sz w:val="20"/>
                      <w:szCs w:val="20"/>
                    </w:rPr>
                    <w:t>40</w:t>
                  </w:r>
                </w:p>
              </w:tc>
              <w:tc>
                <w:tcPr>
                  <w:tcW w:w="1170" w:type="dxa"/>
                  <w:noWrap/>
                  <w:hideMark/>
                </w:tcPr>
                <w:p w14:paraId="40E400E1" w14:textId="75CC5B81" w:rsidR="004F1F95" w:rsidRPr="004F1F95" w:rsidRDefault="004F1F95" w:rsidP="004F1F95">
                  <w:pPr>
                    <w:rPr>
                      <w:iCs/>
                      <w:sz w:val="20"/>
                      <w:szCs w:val="20"/>
                    </w:rPr>
                  </w:pPr>
                  <w:r w:rsidRPr="004F1F95">
                    <w:rPr>
                      <w:sz w:val="20"/>
                      <w:szCs w:val="20"/>
                    </w:rPr>
                    <w:t>27 840</w:t>
                  </w:r>
                </w:p>
              </w:tc>
            </w:tr>
            <w:tr w:rsidR="004F1F95" w:rsidRPr="00BB5CDE" w14:paraId="04D8A2A2" w14:textId="77777777" w:rsidTr="00D10CA9">
              <w:trPr>
                <w:trHeight w:val="580"/>
              </w:trPr>
              <w:tc>
                <w:tcPr>
                  <w:tcW w:w="1375" w:type="dxa"/>
                  <w:hideMark/>
                </w:tcPr>
                <w:p w14:paraId="2910E98A" w14:textId="77777777" w:rsidR="004F1F95" w:rsidRPr="00BB5CDE" w:rsidRDefault="004F1F95" w:rsidP="004F1F95">
                  <w:pPr>
                    <w:rPr>
                      <w:iCs/>
                      <w:sz w:val="20"/>
                      <w:szCs w:val="20"/>
                    </w:rPr>
                  </w:pPr>
                  <w:r w:rsidRPr="00BB5CDE">
                    <w:rPr>
                      <w:iCs/>
                      <w:sz w:val="20"/>
                      <w:szCs w:val="20"/>
                    </w:rPr>
                    <w:t xml:space="preserve">Pakalpojumu sniegšana izbraukumos </w:t>
                  </w:r>
                </w:p>
              </w:tc>
              <w:tc>
                <w:tcPr>
                  <w:tcW w:w="900" w:type="dxa"/>
                </w:tcPr>
                <w:p w14:paraId="08DC0CAE" w14:textId="77777777" w:rsidR="004F1F95" w:rsidRPr="00BB5CDE" w:rsidRDefault="004F1F95" w:rsidP="004F1F95">
                  <w:pPr>
                    <w:rPr>
                      <w:iCs/>
                      <w:sz w:val="20"/>
                      <w:szCs w:val="20"/>
                    </w:rPr>
                  </w:pPr>
                  <w:r w:rsidRPr="00BB5CDE">
                    <w:rPr>
                      <w:iCs/>
                      <w:sz w:val="20"/>
                      <w:szCs w:val="20"/>
                    </w:rPr>
                    <w:t>1613</w:t>
                  </w:r>
                </w:p>
              </w:tc>
              <w:tc>
                <w:tcPr>
                  <w:tcW w:w="1080" w:type="dxa"/>
                  <w:hideMark/>
                </w:tcPr>
                <w:p w14:paraId="7CDF35DD" w14:textId="77777777" w:rsidR="004F1F95" w:rsidRPr="00BB5CDE" w:rsidRDefault="004F1F95" w:rsidP="004F1F95">
                  <w:pPr>
                    <w:rPr>
                      <w:iCs/>
                      <w:sz w:val="20"/>
                      <w:szCs w:val="20"/>
                    </w:rPr>
                  </w:pPr>
                  <w:r w:rsidRPr="00BB5CDE">
                    <w:rPr>
                      <w:iCs/>
                      <w:sz w:val="20"/>
                      <w:szCs w:val="20"/>
                    </w:rPr>
                    <w:t>15, 100</w:t>
                  </w:r>
                </w:p>
              </w:tc>
              <w:tc>
                <w:tcPr>
                  <w:tcW w:w="1440" w:type="dxa"/>
                  <w:noWrap/>
                  <w:hideMark/>
                </w:tcPr>
                <w:p w14:paraId="1A226A81" w14:textId="77777777" w:rsidR="004F1F95" w:rsidRPr="00BB5CDE" w:rsidRDefault="004F1F95" w:rsidP="004F1F95">
                  <w:pPr>
                    <w:rPr>
                      <w:iCs/>
                      <w:sz w:val="20"/>
                      <w:szCs w:val="20"/>
                    </w:rPr>
                  </w:pPr>
                  <w:r w:rsidRPr="00BB5CDE">
                    <w:rPr>
                      <w:iCs/>
                      <w:sz w:val="20"/>
                      <w:szCs w:val="20"/>
                    </w:rPr>
                    <w:t>24898</w:t>
                  </w:r>
                </w:p>
              </w:tc>
              <w:tc>
                <w:tcPr>
                  <w:tcW w:w="1440" w:type="dxa"/>
                </w:tcPr>
                <w:p w14:paraId="355C9D39" w14:textId="77777777" w:rsidR="004F1F95" w:rsidRPr="00BB5CDE" w:rsidRDefault="004F1F95" w:rsidP="004F1F95">
                  <w:pPr>
                    <w:rPr>
                      <w:iCs/>
                      <w:sz w:val="20"/>
                      <w:szCs w:val="20"/>
                    </w:rPr>
                  </w:pPr>
                  <w:r w:rsidRPr="00BB5CDE">
                    <w:rPr>
                      <w:iCs/>
                      <w:sz w:val="20"/>
                      <w:szCs w:val="20"/>
                    </w:rPr>
                    <w:t>40</w:t>
                  </w:r>
                </w:p>
              </w:tc>
              <w:tc>
                <w:tcPr>
                  <w:tcW w:w="1170" w:type="dxa"/>
                  <w:noWrap/>
                  <w:hideMark/>
                </w:tcPr>
                <w:p w14:paraId="3D085CB0" w14:textId="056A8234" w:rsidR="004F1F95" w:rsidRPr="004F1F95" w:rsidRDefault="004F1F95" w:rsidP="004F1F95">
                  <w:pPr>
                    <w:rPr>
                      <w:iCs/>
                      <w:sz w:val="20"/>
                      <w:szCs w:val="20"/>
                    </w:rPr>
                  </w:pPr>
                  <w:r w:rsidRPr="004F1F95">
                    <w:rPr>
                      <w:sz w:val="20"/>
                      <w:szCs w:val="20"/>
                    </w:rPr>
                    <w:t>64 520</w:t>
                  </w:r>
                </w:p>
              </w:tc>
            </w:tr>
            <w:tr w:rsidR="004F1F95" w:rsidRPr="00BB5CDE" w14:paraId="0CCBD0F7" w14:textId="77777777" w:rsidTr="00D10CA9">
              <w:trPr>
                <w:trHeight w:val="580"/>
              </w:trPr>
              <w:tc>
                <w:tcPr>
                  <w:tcW w:w="1375" w:type="dxa"/>
                  <w:hideMark/>
                </w:tcPr>
                <w:p w14:paraId="05E3DA66" w14:textId="77777777" w:rsidR="004F1F95" w:rsidRPr="00BB5CDE" w:rsidRDefault="004F1F95" w:rsidP="004F1F95">
                  <w:pPr>
                    <w:rPr>
                      <w:iCs/>
                      <w:sz w:val="20"/>
                      <w:szCs w:val="20"/>
                    </w:rPr>
                  </w:pPr>
                  <w:r w:rsidRPr="00BB5CDE">
                    <w:rPr>
                      <w:iCs/>
                      <w:sz w:val="20"/>
                      <w:szCs w:val="20"/>
                    </w:rPr>
                    <w:t>Uzaicinājuma noformēšana vienotās vīzas saņemšanai</w:t>
                  </w:r>
                </w:p>
              </w:tc>
              <w:tc>
                <w:tcPr>
                  <w:tcW w:w="900" w:type="dxa"/>
                </w:tcPr>
                <w:p w14:paraId="113E41B7" w14:textId="77777777" w:rsidR="004F1F95" w:rsidRPr="00BB5CDE" w:rsidRDefault="004F1F95" w:rsidP="004F1F95">
                  <w:pPr>
                    <w:rPr>
                      <w:iCs/>
                      <w:sz w:val="20"/>
                      <w:szCs w:val="20"/>
                    </w:rPr>
                  </w:pPr>
                  <w:r w:rsidRPr="00BB5CDE">
                    <w:rPr>
                      <w:iCs/>
                      <w:sz w:val="20"/>
                      <w:szCs w:val="20"/>
                    </w:rPr>
                    <w:t>685</w:t>
                  </w:r>
                </w:p>
              </w:tc>
              <w:tc>
                <w:tcPr>
                  <w:tcW w:w="1080" w:type="dxa"/>
                  <w:hideMark/>
                </w:tcPr>
                <w:p w14:paraId="1C6BC7F9" w14:textId="77777777" w:rsidR="004F1F95" w:rsidRPr="00BB5CDE" w:rsidRDefault="004F1F95" w:rsidP="004F1F95">
                  <w:pPr>
                    <w:rPr>
                      <w:iCs/>
                      <w:sz w:val="20"/>
                      <w:szCs w:val="20"/>
                    </w:rPr>
                  </w:pPr>
                  <w:r w:rsidRPr="00BB5CDE">
                    <w:rPr>
                      <w:iCs/>
                      <w:sz w:val="20"/>
                      <w:szCs w:val="20"/>
                    </w:rPr>
                    <w:t>25</w:t>
                  </w:r>
                </w:p>
              </w:tc>
              <w:tc>
                <w:tcPr>
                  <w:tcW w:w="1440" w:type="dxa"/>
                  <w:noWrap/>
                  <w:hideMark/>
                </w:tcPr>
                <w:p w14:paraId="6DE361AA" w14:textId="77777777" w:rsidR="004F1F95" w:rsidRPr="00BB5CDE" w:rsidRDefault="004F1F95" w:rsidP="004F1F95">
                  <w:pPr>
                    <w:rPr>
                      <w:iCs/>
                      <w:sz w:val="20"/>
                      <w:szCs w:val="20"/>
                    </w:rPr>
                  </w:pPr>
                  <w:r w:rsidRPr="00BB5CDE">
                    <w:rPr>
                      <w:iCs/>
                      <w:sz w:val="20"/>
                      <w:szCs w:val="20"/>
                    </w:rPr>
                    <w:t>17082</w:t>
                  </w:r>
                </w:p>
              </w:tc>
              <w:tc>
                <w:tcPr>
                  <w:tcW w:w="1440" w:type="dxa"/>
                </w:tcPr>
                <w:p w14:paraId="4726982A" w14:textId="77777777" w:rsidR="004F1F95" w:rsidRPr="00BB5CDE" w:rsidRDefault="004F1F95" w:rsidP="004F1F95">
                  <w:pPr>
                    <w:rPr>
                      <w:iCs/>
                      <w:sz w:val="20"/>
                      <w:szCs w:val="20"/>
                    </w:rPr>
                  </w:pPr>
                  <w:r w:rsidRPr="00BB5CDE">
                    <w:rPr>
                      <w:iCs/>
                      <w:sz w:val="20"/>
                      <w:szCs w:val="20"/>
                    </w:rPr>
                    <w:t>40</w:t>
                  </w:r>
                </w:p>
              </w:tc>
              <w:tc>
                <w:tcPr>
                  <w:tcW w:w="1170" w:type="dxa"/>
                  <w:noWrap/>
                  <w:hideMark/>
                </w:tcPr>
                <w:p w14:paraId="2EA86231" w14:textId="5CCC6077" w:rsidR="004F1F95" w:rsidRPr="004F1F95" w:rsidRDefault="004F1F95" w:rsidP="004F1F95">
                  <w:pPr>
                    <w:rPr>
                      <w:iCs/>
                      <w:sz w:val="20"/>
                      <w:szCs w:val="20"/>
                    </w:rPr>
                  </w:pPr>
                  <w:r w:rsidRPr="004F1F95">
                    <w:rPr>
                      <w:sz w:val="20"/>
                      <w:szCs w:val="20"/>
                    </w:rPr>
                    <w:t>27 400</w:t>
                  </w:r>
                </w:p>
              </w:tc>
            </w:tr>
            <w:tr w:rsidR="004F1F95" w:rsidRPr="00BB5CDE" w14:paraId="265CA1A7" w14:textId="77777777" w:rsidTr="00D10CA9">
              <w:trPr>
                <w:trHeight w:val="540"/>
              </w:trPr>
              <w:tc>
                <w:tcPr>
                  <w:tcW w:w="1375" w:type="dxa"/>
                  <w:hideMark/>
                </w:tcPr>
                <w:p w14:paraId="021C3B12" w14:textId="77777777" w:rsidR="004F1F95" w:rsidRPr="00BB5CDE" w:rsidRDefault="004F1F95" w:rsidP="004F1F95">
                  <w:pPr>
                    <w:rPr>
                      <w:iCs/>
                      <w:sz w:val="20"/>
                      <w:szCs w:val="20"/>
                    </w:rPr>
                  </w:pPr>
                  <w:r w:rsidRPr="00BB5CDE">
                    <w:rPr>
                      <w:iCs/>
                      <w:sz w:val="20"/>
                      <w:szCs w:val="20"/>
                    </w:rPr>
                    <w:t>Dokumentu tulkošana</w:t>
                  </w:r>
                </w:p>
              </w:tc>
              <w:tc>
                <w:tcPr>
                  <w:tcW w:w="900" w:type="dxa"/>
                </w:tcPr>
                <w:p w14:paraId="1012E2E1" w14:textId="77777777" w:rsidR="004F1F95" w:rsidRPr="00BB5CDE" w:rsidRDefault="004F1F95" w:rsidP="004F1F95">
                  <w:pPr>
                    <w:rPr>
                      <w:iCs/>
                      <w:sz w:val="20"/>
                      <w:szCs w:val="20"/>
                    </w:rPr>
                  </w:pPr>
                  <w:r w:rsidRPr="00BB5CDE">
                    <w:rPr>
                      <w:iCs/>
                      <w:sz w:val="20"/>
                      <w:szCs w:val="20"/>
                    </w:rPr>
                    <w:t>132</w:t>
                  </w:r>
                </w:p>
              </w:tc>
              <w:tc>
                <w:tcPr>
                  <w:tcW w:w="1080" w:type="dxa"/>
                  <w:hideMark/>
                </w:tcPr>
                <w:p w14:paraId="3F969434" w14:textId="77777777" w:rsidR="004F1F95" w:rsidRPr="00BB5CDE" w:rsidRDefault="004F1F95" w:rsidP="004F1F95">
                  <w:pPr>
                    <w:rPr>
                      <w:iCs/>
                      <w:sz w:val="20"/>
                      <w:szCs w:val="20"/>
                    </w:rPr>
                  </w:pPr>
                  <w:r w:rsidRPr="00BB5CDE">
                    <w:rPr>
                      <w:iCs/>
                      <w:sz w:val="20"/>
                      <w:szCs w:val="20"/>
                    </w:rPr>
                    <w:t>40, 60</w:t>
                  </w:r>
                </w:p>
              </w:tc>
              <w:tc>
                <w:tcPr>
                  <w:tcW w:w="1440" w:type="dxa"/>
                  <w:noWrap/>
                  <w:hideMark/>
                </w:tcPr>
                <w:p w14:paraId="0EC05DCB" w14:textId="77777777" w:rsidR="004F1F95" w:rsidRPr="00BB5CDE" w:rsidRDefault="004F1F95" w:rsidP="004F1F95">
                  <w:pPr>
                    <w:rPr>
                      <w:iCs/>
                      <w:sz w:val="20"/>
                      <w:szCs w:val="20"/>
                    </w:rPr>
                  </w:pPr>
                  <w:r w:rsidRPr="00BB5CDE">
                    <w:rPr>
                      <w:iCs/>
                      <w:sz w:val="20"/>
                      <w:szCs w:val="20"/>
                    </w:rPr>
                    <w:t>5215</w:t>
                  </w:r>
                </w:p>
              </w:tc>
              <w:tc>
                <w:tcPr>
                  <w:tcW w:w="1440" w:type="dxa"/>
                </w:tcPr>
                <w:p w14:paraId="04DAF27E" w14:textId="77777777" w:rsidR="004F1F95" w:rsidRPr="00BB5CDE" w:rsidRDefault="004F1F95" w:rsidP="004F1F95">
                  <w:pPr>
                    <w:rPr>
                      <w:iCs/>
                      <w:sz w:val="20"/>
                      <w:szCs w:val="20"/>
                    </w:rPr>
                  </w:pPr>
                  <w:r w:rsidRPr="00BB5CDE">
                    <w:rPr>
                      <w:iCs/>
                      <w:sz w:val="20"/>
                      <w:szCs w:val="20"/>
                    </w:rPr>
                    <w:t>0</w:t>
                  </w:r>
                </w:p>
              </w:tc>
              <w:tc>
                <w:tcPr>
                  <w:tcW w:w="1170" w:type="dxa"/>
                  <w:noWrap/>
                  <w:hideMark/>
                </w:tcPr>
                <w:p w14:paraId="5E9572A9" w14:textId="658BB46C" w:rsidR="004F1F95" w:rsidRPr="004F1F95" w:rsidRDefault="004F1F95" w:rsidP="004F1F95">
                  <w:pPr>
                    <w:rPr>
                      <w:iCs/>
                      <w:sz w:val="20"/>
                      <w:szCs w:val="20"/>
                    </w:rPr>
                  </w:pPr>
                  <w:r w:rsidRPr="004F1F95">
                    <w:rPr>
                      <w:sz w:val="20"/>
                      <w:szCs w:val="20"/>
                    </w:rPr>
                    <w:t>0</w:t>
                  </w:r>
                </w:p>
              </w:tc>
            </w:tr>
            <w:tr w:rsidR="004F1F95" w:rsidRPr="00BB5CDE" w14:paraId="0DB9DD83" w14:textId="77777777" w:rsidTr="00D10CA9">
              <w:trPr>
                <w:trHeight w:val="580"/>
              </w:trPr>
              <w:tc>
                <w:tcPr>
                  <w:tcW w:w="1375" w:type="dxa"/>
                  <w:hideMark/>
                </w:tcPr>
                <w:p w14:paraId="4AB2387E" w14:textId="77777777" w:rsidR="004F1F95" w:rsidRPr="00BB5CDE" w:rsidRDefault="004F1F95" w:rsidP="004F1F95">
                  <w:pPr>
                    <w:rPr>
                      <w:iCs/>
                      <w:sz w:val="20"/>
                      <w:szCs w:val="20"/>
                    </w:rPr>
                  </w:pPr>
                  <w:r w:rsidRPr="00BB5CDE">
                    <w:rPr>
                      <w:iCs/>
                      <w:sz w:val="20"/>
                      <w:szCs w:val="20"/>
                    </w:rPr>
                    <w:t>Laulību reģ. telpu noformēšana</w:t>
                  </w:r>
                </w:p>
              </w:tc>
              <w:tc>
                <w:tcPr>
                  <w:tcW w:w="900" w:type="dxa"/>
                </w:tcPr>
                <w:p w14:paraId="322E15C9" w14:textId="77777777" w:rsidR="004F1F95" w:rsidRPr="00BB5CDE" w:rsidRDefault="004F1F95" w:rsidP="004F1F95">
                  <w:pPr>
                    <w:rPr>
                      <w:iCs/>
                      <w:sz w:val="20"/>
                      <w:szCs w:val="20"/>
                    </w:rPr>
                  </w:pPr>
                  <w:r w:rsidRPr="00BB5CDE">
                    <w:rPr>
                      <w:iCs/>
                      <w:sz w:val="20"/>
                      <w:szCs w:val="20"/>
                    </w:rPr>
                    <w:t>0</w:t>
                  </w:r>
                </w:p>
              </w:tc>
              <w:tc>
                <w:tcPr>
                  <w:tcW w:w="1080" w:type="dxa"/>
                  <w:hideMark/>
                </w:tcPr>
                <w:p w14:paraId="2D069BF5" w14:textId="77777777" w:rsidR="004F1F95" w:rsidRPr="00BB5CDE" w:rsidRDefault="004F1F95" w:rsidP="004F1F95">
                  <w:pPr>
                    <w:rPr>
                      <w:iCs/>
                      <w:sz w:val="20"/>
                      <w:szCs w:val="20"/>
                    </w:rPr>
                  </w:pPr>
                  <w:r w:rsidRPr="00BB5CDE">
                    <w:rPr>
                      <w:iCs/>
                      <w:sz w:val="20"/>
                      <w:szCs w:val="20"/>
                    </w:rPr>
                    <w:t xml:space="preserve">70, 140 </w:t>
                  </w:r>
                </w:p>
              </w:tc>
              <w:tc>
                <w:tcPr>
                  <w:tcW w:w="1440" w:type="dxa"/>
                  <w:noWrap/>
                  <w:hideMark/>
                </w:tcPr>
                <w:p w14:paraId="7199DAF8" w14:textId="77777777" w:rsidR="004F1F95" w:rsidRPr="00BB5CDE" w:rsidRDefault="004F1F95" w:rsidP="004F1F95">
                  <w:pPr>
                    <w:rPr>
                      <w:iCs/>
                      <w:sz w:val="20"/>
                      <w:szCs w:val="20"/>
                    </w:rPr>
                  </w:pPr>
                  <w:r w:rsidRPr="00BB5CDE">
                    <w:rPr>
                      <w:iCs/>
                      <w:sz w:val="20"/>
                      <w:szCs w:val="20"/>
                    </w:rPr>
                    <w:t>0</w:t>
                  </w:r>
                </w:p>
              </w:tc>
              <w:tc>
                <w:tcPr>
                  <w:tcW w:w="1440" w:type="dxa"/>
                </w:tcPr>
                <w:p w14:paraId="36725B8C" w14:textId="77777777" w:rsidR="004F1F95" w:rsidRPr="00BB5CDE" w:rsidRDefault="004F1F95" w:rsidP="004F1F95">
                  <w:pPr>
                    <w:rPr>
                      <w:iCs/>
                      <w:sz w:val="20"/>
                      <w:szCs w:val="20"/>
                    </w:rPr>
                  </w:pPr>
                  <w:r w:rsidRPr="00BB5CDE">
                    <w:rPr>
                      <w:iCs/>
                      <w:sz w:val="20"/>
                      <w:szCs w:val="20"/>
                    </w:rPr>
                    <w:t>0</w:t>
                  </w:r>
                </w:p>
              </w:tc>
              <w:tc>
                <w:tcPr>
                  <w:tcW w:w="1170" w:type="dxa"/>
                  <w:noWrap/>
                  <w:hideMark/>
                </w:tcPr>
                <w:p w14:paraId="5C2EE2A6" w14:textId="6F0D5D7E" w:rsidR="004F1F95" w:rsidRPr="004F1F95" w:rsidRDefault="004F1F95" w:rsidP="004F1F95">
                  <w:pPr>
                    <w:rPr>
                      <w:iCs/>
                      <w:sz w:val="20"/>
                      <w:szCs w:val="20"/>
                    </w:rPr>
                  </w:pPr>
                  <w:r w:rsidRPr="004F1F95">
                    <w:rPr>
                      <w:sz w:val="20"/>
                      <w:szCs w:val="20"/>
                    </w:rPr>
                    <w:t>0</w:t>
                  </w:r>
                </w:p>
              </w:tc>
            </w:tr>
            <w:tr w:rsidR="004F1F95" w:rsidRPr="00BB5CDE" w14:paraId="78CD6EFA" w14:textId="77777777" w:rsidTr="00D10CA9">
              <w:trPr>
                <w:trHeight w:val="290"/>
              </w:trPr>
              <w:tc>
                <w:tcPr>
                  <w:tcW w:w="1375" w:type="dxa"/>
                  <w:hideMark/>
                </w:tcPr>
                <w:p w14:paraId="2E73B0F3" w14:textId="0290CA1A" w:rsidR="004F1F95" w:rsidRPr="00BB5CDE" w:rsidRDefault="004F1F95" w:rsidP="004F1F95">
                  <w:pPr>
                    <w:rPr>
                      <w:b/>
                      <w:bCs/>
                      <w:iCs/>
                      <w:sz w:val="20"/>
                      <w:szCs w:val="20"/>
                    </w:rPr>
                  </w:pPr>
                  <w:r w:rsidRPr="00BB5CDE">
                    <w:rPr>
                      <w:b/>
                      <w:bCs/>
                      <w:iCs/>
                      <w:sz w:val="20"/>
                      <w:szCs w:val="20"/>
                    </w:rPr>
                    <w:t xml:space="preserve">KOPĀ </w:t>
                  </w:r>
                </w:p>
              </w:tc>
              <w:tc>
                <w:tcPr>
                  <w:tcW w:w="900" w:type="dxa"/>
                </w:tcPr>
                <w:p w14:paraId="27582342" w14:textId="77777777" w:rsidR="004F1F95" w:rsidRPr="00BB5CDE" w:rsidRDefault="004F1F95" w:rsidP="004F1F95">
                  <w:pPr>
                    <w:rPr>
                      <w:b/>
                      <w:bCs/>
                      <w:iCs/>
                      <w:sz w:val="20"/>
                      <w:szCs w:val="20"/>
                    </w:rPr>
                  </w:pPr>
                  <w:r w:rsidRPr="00BB5CDE">
                    <w:rPr>
                      <w:b/>
                      <w:bCs/>
                      <w:iCs/>
                      <w:sz w:val="20"/>
                      <w:szCs w:val="20"/>
                    </w:rPr>
                    <w:t>40 473</w:t>
                  </w:r>
                </w:p>
              </w:tc>
              <w:tc>
                <w:tcPr>
                  <w:tcW w:w="1080" w:type="dxa"/>
                  <w:hideMark/>
                </w:tcPr>
                <w:p w14:paraId="7B4D71AA" w14:textId="77777777" w:rsidR="004F1F95" w:rsidRPr="00BB5CDE" w:rsidRDefault="004F1F95" w:rsidP="004F1F95">
                  <w:pPr>
                    <w:rPr>
                      <w:b/>
                      <w:bCs/>
                      <w:iCs/>
                      <w:sz w:val="20"/>
                      <w:szCs w:val="20"/>
                    </w:rPr>
                  </w:pPr>
                  <w:r w:rsidRPr="00BB5CDE">
                    <w:rPr>
                      <w:b/>
                      <w:bCs/>
                      <w:iCs/>
                      <w:sz w:val="20"/>
                      <w:szCs w:val="20"/>
                    </w:rPr>
                    <w:t> </w:t>
                  </w:r>
                </w:p>
              </w:tc>
              <w:tc>
                <w:tcPr>
                  <w:tcW w:w="1440" w:type="dxa"/>
                  <w:noWrap/>
                  <w:hideMark/>
                </w:tcPr>
                <w:p w14:paraId="650E8D07" w14:textId="77777777" w:rsidR="004F1F95" w:rsidRPr="00BB5CDE" w:rsidRDefault="004F1F95" w:rsidP="004F1F95">
                  <w:pPr>
                    <w:rPr>
                      <w:b/>
                      <w:bCs/>
                      <w:iCs/>
                      <w:sz w:val="20"/>
                      <w:szCs w:val="20"/>
                    </w:rPr>
                  </w:pPr>
                  <w:r w:rsidRPr="00BB5CDE">
                    <w:rPr>
                      <w:b/>
                      <w:bCs/>
                      <w:iCs/>
                      <w:sz w:val="20"/>
                      <w:szCs w:val="20"/>
                    </w:rPr>
                    <w:t>1 457 923</w:t>
                  </w:r>
                </w:p>
              </w:tc>
              <w:tc>
                <w:tcPr>
                  <w:tcW w:w="1440" w:type="dxa"/>
                </w:tcPr>
                <w:p w14:paraId="7A45328F" w14:textId="6537C3D8" w:rsidR="004F1F95" w:rsidRPr="00BB5CDE" w:rsidRDefault="004F1F95" w:rsidP="004F1F95">
                  <w:pPr>
                    <w:rPr>
                      <w:b/>
                      <w:bCs/>
                      <w:iCs/>
                      <w:sz w:val="20"/>
                      <w:szCs w:val="20"/>
                    </w:rPr>
                  </w:pPr>
                </w:p>
              </w:tc>
              <w:tc>
                <w:tcPr>
                  <w:tcW w:w="1170" w:type="dxa"/>
                  <w:noWrap/>
                  <w:hideMark/>
                </w:tcPr>
                <w:p w14:paraId="4BB1A32A" w14:textId="22FAEE81" w:rsidR="004F1F95" w:rsidRPr="004F1F95" w:rsidRDefault="004F1F95" w:rsidP="004F1F95">
                  <w:pPr>
                    <w:rPr>
                      <w:b/>
                      <w:bCs/>
                      <w:iCs/>
                      <w:sz w:val="20"/>
                      <w:szCs w:val="20"/>
                    </w:rPr>
                  </w:pPr>
                  <w:r w:rsidRPr="004F1F95">
                    <w:rPr>
                      <w:b/>
                      <w:bCs/>
                      <w:sz w:val="20"/>
                      <w:szCs w:val="20"/>
                    </w:rPr>
                    <w:t>1 487 157</w:t>
                  </w:r>
                </w:p>
              </w:tc>
            </w:tr>
          </w:tbl>
          <w:p w14:paraId="7C275C29" w14:textId="77777777" w:rsidR="00291C62" w:rsidRPr="00BB5CDE" w:rsidRDefault="00291C62" w:rsidP="00291C62">
            <w:pPr>
              <w:rPr>
                <w:iCs/>
                <w:sz w:val="20"/>
                <w:szCs w:val="20"/>
              </w:rPr>
            </w:pPr>
          </w:p>
          <w:p w14:paraId="0D078E1A" w14:textId="33E37D7F" w:rsidR="00291C62" w:rsidRDefault="00291C62" w:rsidP="00BB5CDE">
            <w:pPr>
              <w:ind w:right="351"/>
              <w:jc w:val="both"/>
              <w:rPr>
                <w:iCs/>
              </w:rPr>
            </w:pPr>
            <w:r w:rsidRPr="00BB5CDE">
              <w:rPr>
                <w:iCs/>
              </w:rPr>
              <w:t xml:space="preserve">Ieviešot izmaiņas konsulārās atlīdzības apmērā, Ārlietu ministrija neprognozē iekasētās konsulārās atlīdzības apmēra izmaiņas 2019. gadā, jo šo izmaiņu ieviešana </w:t>
            </w:r>
            <w:r w:rsidR="00725DED">
              <w:rPr>
                <w:iCs/>
              </w:rPr>
              <w:t>var</w:t>
            </w:r>
            <w:r w:rsidR="00725DED" w:rsidRPr="00BB5CDE">
              <w:rPr>
                <w:iCs/>
              </w:rPr>
              <w:t xml:space="preserve"> notikt</w:t>
            </w:r>
            <w:r w:rsidRPr="00BB5CDE">
              <w:rPr>
                <w:iCs/>
              </w:rPr>
              <w:t>, ātrākais, līdz ar 2019. gada 1. oktobri, t.i. IV ceturkšņa sākumu. Atlikušajos gada mēnešos nav paredzams, ka konsulāro pakalpojumu saņēmēju uzvedībā un pieprasījumā pēc šiem pakalpojumiem varētu notikt būtiskas izmaiņas, kas ietekmētu 2019. gada plānoto ieņēmumu apmēru.</w:t>
            </w:r>
          </w:p>
          <w:p w14:paraId="1EB4D6BB" w14:textId="029252B8" w:rsidR="00291C62" w:rsidRDefault="00291C62" w:rsidP="00BB5CDE">
            <w:pPr>
              <w:ind w:right="351"/>
              <w:jc w:val="both"/>
              <w:rPr>
                <w:iCs/>
              </w:rPr>
            </w:pPr>
          </w:p>
          <w:p w14:paraId="2E584F57" w14:textId="2EB7DB46" w:rsidR="00754DCE" w:rsidRPr="00754DCE" w:rsidRDefault="00754DCE" w:rsidP="00754DCE">
            <w:pPr>
              <w:ind w:right="351"/>
              <w:jc w:val="both"/>
              <w:rPr>
                <w:rFonts w:eastAsia="Calibri"/>
                <w:szCs w:val="22"/>
                <w:lang w:eastAsia="en-US"/>
              </w:rPr>
            </w:pPr>
            <w:r w:rsidRPr="00754DCE">
              <w:rPr>
                <w:rFonts w:eastAsia="Calibri"/>
                <w:szCs w:val="22"/>
                <w:lang w:eastAsia="en-US"/>
              </w:rPr>
              <w:t xml:space="preserve">Līdz ar Noteikumu ieviešanu konsulārā atlīdzības maksa tiks paaugstināta atsevišķiem konsulārajiem pakalpojumiem, kurus personām ārvalstīs ir iespējams saņemt arī tieši ar e-pakalpojuma palīdzību. Tādēļ Ārlietu ministrija prognozē savu sniegto pakalpojumu </w:t>
            </w:r>
            <w:r w:rsidRPr="007D744B">
              <w:rPr>
                <w:rFonts w:eastAsia="Calibri"/>
                <w:szCs w:val="22"/>
                <w:lang w:eastAsia="en-US"/>
              </w:rPr>
              <w:t>samazināšanos</w:t>
            </w:r>
            <w:r w:rsidR="007D744B" w:rsidRPr="007D744B">
              <w:rPr>
                <w:rFonts w:eastAsia="Calibri"/>
                <w:szCs w:val="22"/>
                <w:lang w:eastAsia="en-US"/>
              </w:rPr>
              <w:t>,</w:t>
            </w:r>
            <w:r w:rsidRPr="007D744B">
              <w:rPr>
                <w:rFonts w:eastAsia="Calibri"/>
                <w:szCs w:val="22"/>
                <w:lang w:eastAsia="en-US"/>
              </w:rPr>
              <w:t xml:space="preserve"> sākot ar 2020. gadu</w:t>
            </w:r>
            <w:r w:rsidR="007D744B">
              <w:rPr>
                <w:rFonts w:eastAsia="Calibri"/>
                <w:szCs w:val="22"/>
                <w:lang w:eastAsia="en-US"/>
              </w:rPr>
              <w:t>,</w:t>
            </w:r>
            <w:r w:rsidRPr="00754DCE">
              <w:rPr>
                <w:rFonts w:eastAsia="Calibri"/>
                <w:szCs w:val="22"/>
                <w:lang w:eastAsia="en-US"/>
              </w:rPr>
              <w:t xml:space="preserve"> par vidēj</w:t>
            </w:r>
            <w:r w:rsidR="00AA622D">
              <w:rPr>
                <w:rFonts w:eastAsia="Calibri"/>
                <w:szCs w:val="22"/>
                <w:lang w:eastAsia="en-US"/>
              </w:rPr>
              <w:t>i</w:t>
            </w:r>
            <w:r w:rsidRPr="00754DCE">
              <w:rPr>
                <w:rFonts w:eastAsia="Calibri"/>
                <w:szCs w:val="22"/>
                <w:lang w:eastAsia="en-US"/>
              </w:rPr>
              <w:t xml:space="preserve"> </w:t>
            </w:r>
            <w:r w:rsidR="00D14E68">
              <w:rPr>
                <w:rFonts w:eastAsia="Calibri"/>
                <w:szCs w:val="22"/>
                <w:lang w:eastAsia="en-US"/>
              </w:rPr>
              <w:t>2</w:t>
            </w:r>
            <w:r w:rsidRPr="00754DCE">
              <w:rPr>
                <w:rFonts w:eastAsia="Calibri"/>
                <w:szCs w:val="22"/>
                <w:lang w:eastAsia="en-US"/>
              </w:rPr>
              <w:t>% no iepriekšējā gadā sniegto pakalpojumu skaita. Attiecīgi samazinātos arī plānoto ieņēmumu apjoms. Tā 20</w:t>
            </w:r>
            <w:r w:rsidR="00D14E68">
              <w:rPr>
                <w:rFonts w:eastAsia="Calibri"/>
                <w:szCs w:val="22"/>
                <w:lang w:eastAsia="en-US"/>
              </w:rPr>
              <w:t>20</w:t>
            </w:r>
            <w:r w:rsidRPr="00754DCE">
              <w:rPr>
                <w:rFonts w:eastAsia="Calibri"/>
                <w:szCs w:val="22"/>
                <w:lang w:eastAsia="en-US"/>
              </w:rPr>
              <w:t xml:space="preserve">. gadā ir </w:t>
            </w:r>
            <w:r w:rsidR="00E070EC">
              <w:rPr>
                <w:rFonts w:eastAsia="Calibri"/>
                <w:szCs w:val="22"/>
                <w:lang w:eastAsia="en-US"/>
              </w:rPr>
              <w:t>prognoze</w:t>
            </w:r>
            <w:r w:rsidRPr="00754DCE">
              <w:rPr>
                <w:rFonts w:eastAsia="Calibri"/>
                <w:szCs w:val="22"/>
                <w:lang w:eastAsia="en-US"/>
              </w:rPr>
              <w:t xml:space="preserve"> sniegt </w:t>
            </w:r>
            <w:r w:rsidR="00D14E68">
              <w:rPr>
                <w:rFonts w:eastAsia="Calibri"/>
                <w:szCs w:val="22"/>
                <w:lang w:eastAsia="en-US"/>
              </w:rPr>
              <w:t>23 657</w:t>
            </w:r>
            <w:r w:rsidRPr="00754DCE">
              <w:rPr>
                <w:rFonts w:eastAsia="Calibri"/>
                <w:szCs w:val="22"/>
                <w:lang w:eastAsia="en-US"/>
              </w:rPr>
              <w:t xml:space="preserve"> konsulāro pakalpojumu, kuriem tiks piemērota 40 </w:t>
            </w:r>
            <w:proofErr w:type="spellStart"/>
            <w:r w:rsidRPr="00754DCE">
              <w:rPr>
                <w:rFonts w:eastAsia="Calibri"/>
                <w:i/>
                <w:szCs w:val="22"/>
                <w:lang w:eastAsia="en-US"/>
              </w:rPr>
              <w:t>eur</w:t>
            </w:r>
            <w:r w:rsidR="00AA622D">
              <w:rPr>
                <w:rFonts w:eastAsia="Calibri"/>
                <w:i/>
                <w:szCs w:val="22"/>
                <w:lang w:eastAsia="en-US"/>
              </w:rPr>
              <w:t>o</w:t>
            </w:r>
            <w:proofErr w:type="spellEnd"/>
            <w:r w:rsidRPr="00754DCE">
              <w:rPr>
                <w:rFonts w:eastAsia="Calibri"/>
                <w:szCs w:val="22"/>
                <w:lang w:eastAsia="en-US"/>
              </w:rPr>
              <w:t xml:space="preserve"> konsulārās atlīdzības likme, iekasējot </w:t>
            </w:r>
            <w:r w:rsidR="00D14E68">
              <w:rPr>
                <w:rFonts w:eastAsia="Calibri"/>
                <w:szCs w:val="22"/>
                <w:lang w:eastAsia="en-US"/>
              </w:rPr>
              <w:t>946 288</w:t>
            </w:r>
            <w:r w:rsidRPr="00754DCE">
              <w:rPr>
                <w:rFonts w:eastAsia="Calibri"/>
                <w:szCs w:val="22"/>
                <w:lang w:eastAsia="en-US"/>
              </w:rPr>
              <w:t xml:space="preserve"> </w:t>
            </w:r>
            <w:proofErr w:type="spellStart"/>
            <w:r w:rsidRPr="00754DCE">
              <w:rPr>
                <w:rFonts w:eastAsia="Calibri"/>
                <w:i/>
                <w:szCs w:val="22"/>
                <w:lang w:eastAsia="en-US"/>
              </w:rPr>
              <w:t>eur</w:t>
            </w:r>
            <w:r w:rsidR="00AA622D">
              <w:rPr>
                <w:rFonts w:eastAsia="Calibri"/>
                <w:i/>
                <w:szCs w:val="22"/>
                <w:lang w:eastAsia="en-US"/>
              </w:rPr>
              <w:t>o</w:t>
            </w:r>
            <w:proofErr w:type="spellEnd"/>
            <w:r w:rsidRPr="00754DCE">
              <w:rPr>
                <w:rFonts w:eastAsia="Calibri"/>
                <w:szCs w:val="22"/>
                <w:lang w:eastAsia="en-US"/>
              </w:rPr>
              <w:t>. Savukārt 202</w:t>
            </w:r>
            <w:r w:rsidR="00D14E68">
              <w:rPr>
                <w:rFonts w:eastAsia="Calibri"/>
                <w:szCs w:val="22"/>
                <w:lang w:eastAsia="en-US"/>
              </w:rPr>
              <w:t>1</w:t>
            </w:r>
            <w:r w:rsidRPr="00754DCE">
              <w:rPr>
                <w:rFonts w:eastAsia="Calibri"/>
                <w:szCs w:val="22"/>
                <w:lang w:eastAsia="en-US"/>
              </w:rPr>
              <w:t>. gadā, sniegto pakalpojumu skaitam samazinoties līdz 23 </w:t>
            </w:r>
            <w:r w:rsidR="00D14E68">
              <w:rPr>
                <w:rFonts w:eastAsia="Calibri"/>
                <w:szCs w:val="22"/>
                <w:lang w:eastAsia="en-US"/>
              </w:rPr>
              <w:t>184</w:t>
            </w:r>
            <w:r w:rsidRPr="00754DCE">
              <w:rPr>
                <w:rFonts w:eastAsia="Calibri"/>
                <w:szCs w:val="22"/>
                <w:lang w:eastAsia="en-US"/>
              </w:rPr>
              <w:t xml:space="preserve"> pakalpojumiem, tiktu iekasēti </w:t>
            </w:r>
            <w:r w:rsidR="00D14E68">
              <w:rPr>
                <w:rFonts w:eastAsia="Calibri"/>
                <w:szCs w:val="22"/>
                <w:lang w:eastAsia="en-US"/>
              </w:rPr>
              <w:t>927 362</w:t>
            </w:r>
            <w:r w:rsidRPr="00754DCE">
              <w:rPr>
                <w:rFonts w:eastAsia="Calibri"/>
                <w:szCs w:val="22"/>
                <w:lang w:eastAsia="en-US"/>
              </w:rPr>
              <w:t xml:space="preserve"> </w:t>
            </w:r>
            <w:proofErr w:type="spellStart"/>
            <w:r w:rsidRPr="00754DCE">
              <w:rPr>
                <w:rFonts w:eastAsia="Calibri"/>
                <w:i/>
                <w:szCs w:val="22"/>
                <w:lang w:eastAsia="en-US"/>
              </w:rPr>
              <w:t>eur</w:t>
            </w:r>
            <w:r w:rsidR="00AA622D">
              <w:rPr>
                <w:rFonts w:eastAsia="Calibri"/>
                <w:i/>
                <w:szCs w:val="22"/>
                <w:lang w:eastAsia="en-US"/>
              </w:rPr>
              <w:t>o</w:t>
            </w:r>
            <w:proofErr w:type="spellEnd"/>
            <w:r w:rsidRPr="00754DCE">
              <w:rPr>
                <w:rFonts w:eastAsia="Calibri"/>
                <w:i/>
                <w:szCs w:val="22"/>
                <w:lang w:eastAsia="en-US"/>
              </w:rPr>
              <w:t xml:space="preserve">, </w:t>
            </w:r>
            <w:r w:rsidRPr="00754DCE">
              <w:rPr>
                <w:rFonts w:eastAsia="Calibri"/>
                <w:szCs w:val="22"/>
                <w:lang w:eastAsia="en-US"/>
              </w:rPr>
              <w:t>attiecīgi sniegto pakalpojumu skaitam samazinoties arī turpmākajos divos gados.</w:t>
            </w:r>
          </w:p>
          <w:p w14:paraId="0CE88EF5" w14:textId="77777777" w:rsidR="00754DCE" w:rsidRPr="00754DCE" w:rsidRDefault="00754DCE" w:rsidP="00754DCE">
            <w:pPr>
              <w:ind w:right="351"/>
              <w:jc w:val="both"/>
              <w:rPr>
                <w:rFonts w:eastAsia="Calibri"/>
                <w:szCs w:val="22"/>
                <w:u w:val="single"/>
                <w:lang w:eastAsia="en-US"/>
              </w:rPr>
            </w:pPr>
          </w:p>
          <w:p w14:paraId="50C0F205" w14:textId="447747EC" w:rsidR="00754DCE" w:rsidRPr="00754DCE" w:rsidRDefault="00754DCE" w:rsidP="00754DCE">
            <w:pPr>
              <w:ind w:right="351"/>
              <w:jc w:val="both"/>
              <w:rPr>
                <w:rFonts w:eastAsia="Calibri"/>
                <w:b/>
                <w:szCs w:val="22"/>
                <w:lang w:eastAsia="en-US"/>
              </w:rPr>
            </w:pPr>
            <w:r w:rsidRPr="00754DCE">
              <w:rPr>
                <w:rFonts w:eastAsia="Calibri"/>
                <w:b/>
                <w:szCs w:val="22"/>
                <w:lang w:eastAsia="en-US"/>
              </w:rPr>
              <w:t xml:space="preserve">Konsulāro pakalpojumu, kuriem piemērojama 40 </w:t>
            </w:r>
            <w:proofErr w:type="spellStart"/>
            <w:r w:rsidRPr="00754DCE">
              <w:rPr>
                <w:rFonts w:eastAsia="Calibri"/>
                <w:b/>
                <w:i/>
                <w:szCs w:val="22"/>
                <w:lang w:eastAsia="en-US"/>
              </w:rPr>
              <w:t>eur</w:t>
            </w:r>
            <w:r w:rsidR="00AA622D">
              <w:rPr>
                <w:rFonts w:eastAsia="Calibri"/>
                <w:b/>
                <w:i/>
                <w:szCs w:val="22"/>
                <w:lang w:eastAsia="en-US"/>
              </w:rPr>
              <w:t>o</w:t>
            </w:r>
            <w:proofErr w:type="spellEnd"/>
            <w:r w:rsidRPr="00754DCE">
              <w:rPr>
                <w:rFonts w:eastAsia="Calibri"/>
                <w:b/>
                <w:szCs w:val="22"/>
                <w:lang w:eastAsia="en-US"/>
              </w:rPr>
              <w:t xml:space="preserve"> likme, plānotā dinamika</w:t>
            </w:r>
          </w:p>
          <w:tbl>
            <w:tblPr>
              <w:tblStyle w:val="TableGrid"/>
              <w:tblW w:w="7230" w:type="dxa"/>
              <w:tblLayout w:type="fixed"/>
              <w:tblLook w:val="04A0" w:firstRow="1" w:lastRow="0" w:firstColumn="1" w:lastColumn="0" w:noHBand="0" w:noVBand="1"/>
            </w:tblPr>
            <w:tblGrid>
              <w:gridCol w:w="1134"/>
              <w:gridCol w:w="2977"/>
              <w:gridCol w:w="3119"/>
            </w:tblGrid>
            <w:tr w:rsidR="00754DCE" w:rsidRPr="00754DCE" w14:paraId="0AB4D1E7" w14:textId="77777777" w:rsidTr="00C9049C">
              <w:trPr>
                <w:trHeight w:val="580"/>
              </w:trPr>
              <w:tc>
                <w:tcPr>
                  <w:tcW w:w="1134" w:type="dxa"/>
                  <w:hideMark/>
                </w:tcPr>
                <w:p w14:paraId="15117951" w14:textId="77777777" w:rsidR="00754DCE" w:rsidRPr="00754DCE" w:rsidRDefault="00754DCE" w:rsidP="00754DCE">
                  <w:pPr>
                    <w:ind w:right="351"/>
                    <w:jc w:val="both"/>
                    <w:rPr>
                      <w:rFonts w:eastAsia="Calibri"/>
                      <w:szCs w:val="22"/>
                      <w:lang w:eastAsia="en-US"/>
                    </w:rPr>
                  </w:pPr>
                  <w:r w:rsidRPr="00754DCE">
                    <w:rPr>
                      <w:rFonts w:eastAsia="Calibri"/>
                      <w:szCs w:val="22"/>
                      <w:lang w:eastAsia="en-US"/>
                    </w:rPr>
                    <w:t xml:space="preserve">Gads </w:t>
                  </w:r>
                </w:p>
              </w:tc>
              <w:tc>
                <w:tcPr>
                  <w:tcW w:w="2977" w:type="dxa"/>
                  <w:hideMark/>
                </w:tcPr>
                <w:p w14:paraId="5A67E78C" w14:textId="721D8519" w:rsidR="00754DCE" w:rsidRPr="00E070EC" w:rsidRDefault="00754DCE" w:rsidP="00E070EC">
                  <w:pPr>
                    <w:ind w:right="351"/>
                    <w:jc w:val="both"/>
                    <w:rPr>
                      <w:rFonts w:eastAsia="Calibri"/>
                      <w:szCs w:val="22"/>
                      <w:lang w:eastAsia="en-US"/>
                    </w:rPr>
                  </w:pPr>
                  <w:r w:rsidRPr="00754DCE">
                    <w:rPr>
                      <w:rFonts w:eastAsia="Calibri"/>
                      <w:szCs w:val="22"/>
                      <w:lang w:eastAsia="en-US"/>
                    </w:rPr>
                    <w:t xml:space="preserve">Sniegto pakalpojumu skaits </w:t>
                  </w:r>
                  <w:r w:rsidR="00E070EC">
                    <w:rPr>
                      <w:rFonts w:eastAsia="Calibri"/>
                      <w:szCs w:val="22"/>
                      <w:lang w:eastAsia="en-US"/>
                    </w:rPr>
                    <w:t xml:space="preserve">(40 </w:t>
                  </w:r>
                  <w:proofErr w:type="spellStart"/>
                  <w:r w:rsidR="00E070EC">
                    <w:rPr>
                      <w:rFonts w:eastAsia="Calibri"/>
                      <w:i/>
                      <w:szCs w:val="22"/>
                      <w:lang w:eastAsia="en-US"/>
                    </w:rPr>
                    <w:t>euro</w:t>
                  </w:r>
                  <w:proofErr w:type="spellEnd"/>
                  <w:r w:rsidR="00E070EC">
                    <w:rPr>
                      <w:rFonts w:eastAsia="Calibri"/>
                      <w:i/>
                      <w:szCs w:val="22"/>
                      <w:lang w:eastAsia="en-US"/>
                    </w:rPr>
                    <w:t xml:space="preserve"> </w:t>
                  </w:r>
                  <w:r w:rsidR="00E070EC">
                    <w:rPr>
                      <w:rFonts w:eastAsia="Calibri"/>
                      <w:szCs w:val="22"/>
                      <w:lang w:eastAsia="en-US"/>
                    </w:rPr>
                    <w:t>likme)</w:t>
                  </w:r>
                </w:p>
              </w:tc>
              <w:tc>
                <w:tcPr>
                  <w:tcW w:w="3119" w:type="dxa"/>
                  <w:hideMark/>
                </w:tcPr>
                <w:p w14:paraId="5F2ADEDE" w14:textId="77777777" w:rsidR="00754DCE" w:rsidRPr="00754DCE" w:rsidRDefault="00754DCE" w:rsidP="00754DCE">
                  <w:pPr>
                    <w:ind w:right="351"/>
                    <w:jc w:val="both"/>
                    <w:rPr>
                      <w:rFonts w:eastAsia="Calibri"/>
                      <w:szCs w:val="22"/>
                      <w:lang w:eastAsia="en-US"/>
                    </w:rPr>
                  </w:pPr>
                  <w:r w:rsidRPr="00754DCE">
                    <w:rPr>
                      <w:rFonts w:eastAsia="Calibri"/>
                      <w:szCs w:val="22"/>
                      <w:lang w:eastAsia="en-US"/>
                    </w:rPr>
                    <w:t>Konsulārā atlīdzība, EUR</w:t>
                  </w:r>
                </w:p>
              </w:tc>
            </w:tr>
            <w:tr w:rsidR="00D14E68" w:rsidRPr="00754DCE" w14:paraId="2AED7CDA" w14:textId="77777777" w:rsidTr="00B32506">
              <w:trPr>
                <w:trHeight w:val="290"/>
              </w:trPr>
              <w:tc>
                <w:tcPr>
                  <w:tcW w:w="1134" w:type="dxa"/>
                  <w:noWrap/>
                  <w:hideMark/>
                </w:tcPr>
                <w:p w14:paraId="707870FA" w14:textId="77777777" w:rsidR="00D14E68" w:rsidRPr="00754DCE" w:rsidRDefault="00D14E68" w:rsidP="00D14E68">
                  <w:pPr>
                    <w:ind w:right="351"/>
                    <w:jc w:val="both"/>
                    <w:rPr>
                      <w:rFonts w:eastAsia="Calibri"/>
                      <w:szCs w:val="22"/>
                      <w:lang w:eastAsia="en-US"/>
                    </w:rPr>
                  </w:pPr>
                  <w:r w:rsidRPr="00754DCE">
                    <w:rPr>
                      <w:rFonts w:eastAsia="Calibri"/>
                      <w:szCs w:val="22"/>
                      <w:lang w:eastAsia="en-US"/>
                    </w:rPr>
                    <w:lastRenderedPageBreak/>
                    <w:t>2020</w:t>
                  </w:r>
                </w:p>
              </w:tc>
              <w:tc>
                <w:tcPr>
                  <w:tcW w:w="2977" w:type="dxa"/>
                  <w:noWrap/>
                  <w:hideMark/>
                </w:tcPr>
                <w:p w14:paraId="57932419" w14:textId="681AFBA9" w:rsidR="00D14E68" w:rsidRPr="00B32506" w:rsidRDefault="00D14E68" w:rsidP="00D14E68">
                  <w:pPr>
                    <w:ind w:right="351"/>
                    <w:jc w:val="both"/>
                    <w:rPr>
                      <w:rFonts w:eastAsia="Calibri"/>
                      <w:szCs w:val="22"/>
                      <w:lang w:eastAsia="en-US"/>
                    </w:rPr>
                  </w:pPr>
                  <w:r w:rsidRPr="00B32506">
                    <w:t>23 657</w:t>
                  </w:r>
                </w:p>
              </w:tc>
              <w:tc>
                <w:tcPr>
                  <w:tcW w:w="3119" w:type="dxa"/>
                  <w:noWrap/>
                </w:tcPr>
                <w:p w14:paraId="42DCC7E5" w14:textId="793DA55E" w:rsidR="00D14E68" w:rsidRPr="00B32506" w:rsidRDefault="00B32506" w:rsidP="00B32506">
                  <w:pPr>
                    <w:ind w:right="351"/>
                    <w:jc w:val="both"/>
                    <w:rPr>
                      <w:rFonts w:eastAsia="Calibri"/>
                      <w:szCs w:val="22"/>
                      <w:lang w:eastAsia="en-US"/>
                    </w:rPr>
                  </w:pPr>
                  <w:r w:rsidRPr="00B32506">
                    <w:rPr>
                      <w:rFonts w:eastAsia="Calibri"/>
                      <w:szCs w:val="22"/>
                      <w:lang w:eastAsia="en-US"/>
                    </w:rPr>
                    <w:t>946280</w:t>
                  </w:r>
                </w:p>
              </w:tc>
            </w:tr>
            <w:tr w:rsidR="00D14E68" w:rsidRPr="00754DCE" w14:paraId="16DB71CF" w14:textId="77777777" w:rsidTr="00B32506">
              <w:trPr>
                <w:trHeight w:val="290"/>
              </w:trPr>
              <w:tc>
                <w:tcPr>
                  <w:tcW w:w="1134" w:type="dxa"/>
                  <w:noWrap/>
                  <w:hideMark/>
                </w:tcPr>
                <w:p w14:paraId="73DB76CE" w14:textId="77777777" w:rsidR="00D14E68" w:rsidRPr="00754DCE" w:rsidRDefault="00D14E68" w:rsidP="00D14E68">
                  <w:pPr>
                    <w:ind w:right="351"/>
                    <w:jc w:val="both"/>
                    <w:rPr>
                      <w:rFonts w:eastAsia="Calibri"/>
                      <w:szCs w:val="22"/>
                      <w:lang w:eastAsia="en-US"/>
                    </w:rPr>
                  </w:pPr>
                  <w:r w:rsidRPr="00754DCE">
                    <w:rPr>
                      <w:rFonts w:eastAsia="Calibri"/>
                      <w:szCs w:val="22"/>
                      <w:lang w:eastAsia="en-US"/>
                    </w:rPr>
                    <w:t>2021</w:t>
                  </w:r>
                </w:p>
              </w:tc>
              <w:tc>
                <w:tcPr>
                  <w:tcW w:w="2977" w:type="dxa"/>
                  <w:noWrap/>
                  <w:hideMark/>
                </w:tcPr>
                <w:p w14:paraId="4569C535" w14:textId="2ADE7846" w:rsidR="00D14E68" w:rsidRPr="00B32506" w:rsidRDefault="00D14E68" w:rsidP="00D14E68">
                  <w:pPr>
                    <w:ind w:right="351"/>
                    <w:jc w:val="both"/>
                    <w:rPr>
                      <w:rFonts w:eastAsia="Calibri"/>
                      <w:szCs w:val="22"/>
                      <w:lang w:eastAsia="en-US"/>
                    </w:rPr>
                  </w:pPr>
                  <w:r w:rsidRPr="00B32506">
                    <w:t>23 184</w:t>
                  </w:r>
                </w:p>
              </w:tc>
              <w:tc>
                <w:tcPr>
                  <w:tcW w:w="3119" w:type="dxa"/>
                  <w:noWrap/>
                </w:tcPr>
                <w:p w14:paraId="05BF4C36" w14:textId="438F2B9B" w:rsidR="00D14E68" w:rsidRPr="00B32506" w:rsidRDefault="00B32506" w:rsidP="00B32506">
                  <w:pPr>
                    <w:ind w:right="351"/>
                    <w:jc w:val="both"/>
                    <w:rPr>
                      <w:rFonts w:eastAsia="Calibri"/>
                      <w:szCs w:val="22"/>
                      <w:lang w:eastAsia="en-US"/>
                    </w:rPr>
                  </w:pPr>
                  <w:r w:rsidRPr="00B32506">
                    <w:rPr>
                      <w:rFonts w:eastAsia="Calibri"/>
                      <w:szCs w:val="22"/>
                      <w:lang w:eastAsia="en-US"/>
                    </w:rPr>
                    <w:t>927360</w:t>
                  </w:r>
                </w:p>
              </w:tc>
            </w:tr>
            <w:tr w:rsidR="00D14E68" w:rsidRPr="00754DCE" w14:paraId="72C66F0E" w14:textId="77777777" w:rsidTr="00B32506">
              <w:trPr>
                <w:trHeight w:val="290"/>
              </w:trPr>
              <w:tc>
                <w:tcPr>
                  <w:tcW w:w="1134" w:type="dxa"/>
                  <w:noWrap/>
                  <w:hideMark/>
                </w:tcPr>
                <w:p w14:paraId="7BA9E2E5" w14:textId="77777777" w:rsidR="00D14E68" w:rsidRPr="00754DCE" w:rsidRDefault="00D14E68" w:rsidP="00D14E68">
                  <w:pPr>
                    <w:ind w:right="351"/>
                    <w:jc w:val="both"/>
                    <w:rPr>
                      <w:rFonts w:eastAsia="Calibri"/>
                      <w:szCs w:val="22"/>
                      <w:lang w:eastAsia="en-US"/>
                    </w:rPr>
                  </w:pPr>
                  <w:r w:rsidRPr="00754DCE">
                    <w:rPr>
                      <w:rFonts w:eastAsia="Calibri"/>
                      <w:szCs w:val="22"/>
                      <w:lang w:eastAsia="en-US"/>
                    </w:rPr>
                    <w:t>2022</w:t>
                  </w:r>
                </w:p>
              </w:tc>
              <w:tc>
                <w:tcPr>
                  <w:tcW w:w="2977" w:type="dxa"/>
                  <w:noWrap/>
                  <w:hideMark/>
                </w:tcPr>
                <w:p w14:paraId="3F725D15" w14:textId="1A429DC4" w:rsidR="00D14E68" w:rsidRPr="00B32506" w:rsidRDefault="00D14E68" w:rsidP="00D14E68">
                  <w:pPr>
                    <w:ind w:right="351"/>
                    <w:jc w:val="both"/>
                    <w:rPr>
                      <w:rFonts w:eastAsia="Calibri"/>
                      <w:szCs w:val="22"/>
                      <w:lang w:eastAsia="en-US"/>
                    </w:rPr>
                  </w:pPr>
                  <w:r w:rsidRPr="00B32506">
                    <w:t>22</w:t>
                  </w:r>
                  <w:r w:rsidR="00B32506" w:rsidRPr="00B32506">
                    <w:t> </w:t>
                  </w:r>
                  <w:r w:rsidRPr="00B32506">
                    <w:t>720</w:t>
                  </w:r>
                </w:p>
              </w:tc>
              <w:tc>
                <w:tcPr>
                  <w:tcW w:w="3119" w:type="dxa"/>
                  <w:noWrap/>
                </w:tcPr>
                <w:p w14:paraId="2169CC11" w14:textId="4B9E7D9C" w:rsidR="00D14E68" w:rsidRPr="00B32506" w:rsidRDefault="00F73168" w:rsidP="00D14E68">
                  <w:pPr>
                    <w:ind w:right="351"/>
                    <w:jc w:val="both"/>
                    <w:rPr>
                      <w:rFonts w:eastAsia="Calibri"/>
                      <w:szCs w:val="22"/>
                      <w:lang w:eastAsia="en-US"/>
                    </w:rPr>
                  </w:pPr>
                  <w:r>
                    <w:rPr>
                      <w:rFonts w:eastAsia="Calibri"/>
                      <w:szCs w:val="22"/>
                      <w:lang w:eastAsia="en-US"/>
                    </w:rPr>
                    <w:t>908800</w:t>
                  </w:r>
                </w:p>
              </w:tc>
            </w:tr>
          </w:tbl>
          <w:p w14:paraId="419F65D8" w14:textId="77777777" w:rsidR="00754DCE" w:rsidRPr="00754DCE" w:rsidRDefault="00754DCE" w:rsidP="00754DCE">
            <w:pPr>
              <w:ind w:right="351"/>
              <w:jc w:val="both"/>
              <w:rPr>
                <w:rFonts w:eastAsia="Calibri"/>
                <w:szCs w:val="22"/>
                <w:lang w:eastAsia="en-US"/>
              </w:rPr>
            </w:pPr>
          </w:p>
          <w:p w14:paraId="1B12EFC1" w14:textId="4DB48EAC" w:rsidR="00754DCE" w:rsidRPr="00754DCE" w:rsidRDefault="00754DCE" w:rsidP="00754DCE">
            <w:pPr>
              <w:ind w:right="351"/>
              <w:jc w:val="both"/>
              <w:rPr>
                <w:rFonts w:eastAsia="Calibri"/>
                <w:szCs w:val="22"/>
                <w:lang w:eastAsia="en-US"/>
              </w:rPr>
            </w:pPr>
            <w:r w:rsidRPr="00754DCE">
              <w:rPr>
                <w:rFonts w:eastAsia="Calibri"/>
                <w:szCs w:val="22"/>
                <w:lang w:eastAsia="en-US"/>
              </w:rPr>
              <w:t>Vienlaikus pašlaik netiek plānotas dinamikas izmaiņas konsulāro pakalpojumu, kuriem netiek mainīts konsulārās atlīdzības apjoms, skaitā. Līdz ar to sniegto pakalpojumu skaits, veicot uzturēšanās atļauju pieteikumu pārsūtīšanu vai dokumentu pārsūtīšanu konsulārā apgabala robežās</w:t>
            </w:r>
            <w:r w:rsidR="00E070EC">
              <w:rPr>
                <w:rFonts w:eastAsia="Calibri"/>
                <w:szCs w:val="22"/>
                <w:lang w:eastAsia="en-US"/>
              </w:rPr>
              <w:t>,</w:t>
            </w:r>
            <w:r w:rsidRPr="00754DCE">
              <w:rPr>
                <w:rFonts w:eastAsia="Calibri"/>
                <w:szCs w:val="22"/>
                <w:lang w:eastAsia="en-US"/>
              </w:rPr>
              <w:t xml:space="preserve"> saglabāsies nemainīgs. Nemainīgs saglabāsies arī iekasētās konsulārās atlīdzības apjoms. </w:t>
            </w:r>
          </w:p>
          <w:p w14:paraId="40848240" w14:textId="0D6C963A" w:rsidR="00754DCE" w:rsidRPr="00754DCE" w:rsidRDefault="00754DCE" w:rsidP="00BB5CDE">
            <w:pPr>
              <w:spacing w:before="240"/>
              <w:ind w:right="351"/>
              <w:jc w:val="both"/>
              <w:rPr>
                <w:rFonts w:eastAsia="Calibri"/>
                <w:szCs w:val="22"/>
                <w:lang w:eastAsia="en-US"/>
              </w:rPr>
            </w:pPr>
            <w:r w:rsidRPr="00754DCE">
              <w:rPr>
                <w:rFonts w:eastAsia="Calibri"/>
                <w:szCs w:val="22"/>
                <w:lang w:eastAsia="en-US"/>
              </w:rPr>
              <w:t xml:space="preserve">Līdz ar šiem grozījumiem </w:t>
            </w:r>
            <w:r w:rsidR="00E070EC">
              <w:rPr>
                <w:rFonts w:eastAsia="Calibri"/>
                <w:b/>
                <w:szCs w:val="22"/>
                <w:lang w:eastAsia="en-US"/>
              </w:rPr>
              <w:t xml:space="preserve">tiek noteikts </w:t>
            </w:r>
            <w:r w:rsidRPr="00754DCE">
              <w:rPr>
                <w:rFonts w:eastAsia="Calibri"/>
                <w:b/>
                <w:szCs w:val="22"/>
                <w:lang w:eastAsia="en-US"/>
              </w:rPr>
              <w:t>jaun</w:t>
            </w:r>
            <w:r w:rsidR="00E070EC">
              <w:rPr>
                <w:rFonts w:eastAsia="Calibri"/>
                <w:b/>
                <w:szCs w:val="22"/>
                <w:lang w:eastAsia="en-US"/>
              </w:rPr>
              <w:t xml:space="preserve">s </w:t>
            </w:r>
            <w:r w:rsidRPr="00754DCE">
              <w:rPr>
                <w:rFonts w:eastAsia="Calibri"/>
                <w:b/>
                <w:szCs w:val="22"/>
                <w:lang w:eastAsia="en-US"/>
              </w:rPr>
              <w:t>konsulārās atlīdzības objekt</w:t>
            </w:r>
            <w:r w:rsidR="00E070EC">
              <w:rPr>
                <w:rFonts w:eastAsia="Calibri"/>
                <w:b/>
                <w:szCs w:val="22"/>
                <w:lang w:eastAsia="en-US"/>
              </w:rPr>
              <w:t>s</w:t>
            </w:r>
            <w:r w:rsidRPr="00754DCE">
              <w:rPr>
                <w:rFonts w:eastAsia="Calibri"/>
                <w:b/>
                <w:szCs w:val="22"/>
                <w:lang w:eastAsia="en-US"/>
              </w:rPr>
              <w:t xml:space="preserve"> – daudzvalodu veidlapas izsniegšan</w:t>
            </w:r>
            <w:r w:rsidR="00E070EC">
              <w:rPr>
                <w:rFonts w:eastAsia="Calibri"/>
                <w:b/>
                <w:szCs w:val="22"/>
                <w:lang w:eastAsia="en-US"/>
              </w:rPr>
              <w:t>a</w:t>
            </w:r>
            <w:r w:rsidRPr="00754DCE">
              <w:rPr>
                <w:rFonts w:eastAsia="Calibri"/>
                <w:b/>
                <w:szCs w:val="22"/>
                <w:lang w:eastAsia="en-US"/>
              </w:rPr>
              <w:t>.</w:t>
            </w:r>
            <w:r w:rsidRPr="00754DCE">
              <w:rPr>
                <w:rFonts w:eastAsia="Calibri"/>
                <w:szCs w:val="22"/>
                <w:lang w:eastAsia="en-US"/>
              </w:rPr>
              <w:t xml:space="preserve"> 2018.gada laikā nav tikusi veikta uzskaite, kas ļautu precīzi noteikt tieši to dokumentu, kuriem ir iespējams izsniegt daudzvalodu veidlapu, skaitu pārstāvniecībās, jo uzskaitītajās kategorijās ietilpst arī dokumenti, par kuriem daudzvalodu veidlapas nevar tikt izsniegtas (piem., cita veida notariālie apliecinājumi). Daudzvalodu veidlapu izsniegšana ir iespējama kopš 2019. gada 19. februāra, tādēļ pašlaik nav reprezentatīvu kvantitatīvu datu par to izsniegšanas skaitu. Tāpat ir jāņem vērā tas, ka daudzvalodu veidlapas var tikt izsniegtas arī par dokumentiem, kas ir tikuši izsniegti iepriekšējos periodos, kas varētu palielināt izsniedzamo daudzvalodu veidlapu skaitu. Savukārt pārstāvniecībās ārpus ES pieprasījums pēc šāda konsulārā pakalpojuma varētu būt ievērojami mazāks. Analizējot šos aspektus, Ārlietu ministrija prognozē, ka tuvākajos gados daudzvalodu veidlapas atsevišķās pārstāvniecībās (pārstāvniecības Nīderlandē, Vācijā, Francijā, Beļģijā, Spānijā, Īrijā), kur ir </w:t>
            </w:r>
            <w:r w:rsidR="00E070EC">
              <w:rPr>
                <w:rFonts w:eastAsia="Calibri"/>
                <w:szCs w:val="22"/>
                <w:lang w:eastAsia="en-US"/>
              </w:rPr>
              <w:t>liela</w:t>
            </w:r>
            <w:r w:rsidRPr="00754DCE">
              <w:rPr>
                <w:rFonts w:eastAsia="Calibri"/>
                <w:szCs w:val="22"/>
                <w:lang w:eastAsia="en-US"/>
              </w:rPr>
              <w:t xml:space="preserve"> diaspora un vietējās iestādes pieprasa dokumentu tulkojumus, bieži vien nosakot tiem vien dažus mēnešus ilgu derīguma termiņu, daudzvalodu veidlapas varētu tikt izsniegtas vidēji </w:t>
            </w:r>
            <w:r w:rsidR="00D14E68">
              <w:rPr>
                <w:rFonts w:eastAsia="Calibri"/>
                <w:szCs w:val="22"/>
                <w:lang w:eastAsia="en-US"/>
              </w:rPr>
              <w:t>5</w:t>
            </w:r>
            <w:r w:rsidRPr="00754DCE">
              <w:rPr>
                <w:rFonts w:eastAsia="Calibri"/>
                <w:szCs w:val="22"/>
                <w:lang w:eastAsia="en-US"/>
              </w:rPr>
              <w:t xml:space="preserve"> reizes mēnesī  (gadā kopā izsniedzot </w:t>
            </w:r>
            <w:r w:rsidR="00D14E68">
              <w:rPr>
                <w:rFonts w:eastAsia="Calibri"/>
                <w:szCs w:val="22"/>
                <w:lang w:eastAsia="en-US"/>
              </w:rPr>
              <w:t>350</w:t>
            </w:r>
            <w:r w:rsidRPr="00754DCE">
              <w:rPr>
                <w:rFonts w:eastAsia="Calibri"/>
                <w:szCs w:val="22"/>
                <w:lang w:eastAsia="en-US"/>
              </w:rPr>
              <w:t xml:space="preserve"> dokumentus). Savukārt citās pārstāvniecībās ES</w:t>
            </w:r>
            <w:r w:rsidR="00E070EC">
              <w:rPr>
                <w:rFonts w:eastAsia="Calibri"/>
                <w:szCs w:val="22"/>
                <w:lang w:eastAsia="en-US"/>
              </w:rPr>
              <w:t xml:space="preserve"> </w:t>
            </w:r>
            <w:r w:rsidRPr="00754DCE">
              <w:rPr>
                <w:rFonts w:eastAsia="Calibri"/>
                <w:szCs w:val="22"/>
                <w:lang w:eastAsia="en-US"/>
              </w:rPr>
              <w:t xml:space="preserve">un EEZ </w:t>
            </w:r>
            <w:r w:rsidR="00E070EC">
              <w:rPr>
                <w:rFonts w:eastAsia="Calibri"/>
                <w:szCs w:val="22"/>
                <w:lang w:eastAsia="en-US"/>
              </w:rPr>
              <w:t>valstīs</w:t>
            </w:r>
            <w:r w:rsidRPr="00754DCE">
              <w:rPr>
                <w:rFonts w:eastAsia="Calibri"/>
                <w:szCs w:val="22"/>
                <w:lang w:eastAsia="en-US"/>
              </w:rPr>
              <w:t xml:space="preserve"> (pārstāvniecībās Austrijā, Polijā, Lietuvā, Igaunijā, Norvēģijā, Zviedrijā, Dānijā, Čehijā, Ungārijā, Itālijā, Grieķijā) varētu tikt izsniegtas vidēji </w:t>
            </w:r>
            <w:r w:rsidR="00D14E68">
              <w:rPr>
                <w:rFonts w:eastAsia="Calibri"/>
                <w:szCs w:val="22"/>
                <w:lang w:eastAsia="en-US"/>
              </w:rPr>
              <w:t>2</w:t>
            </w:r>
            <w:r w:rsidRPr="00754DCE">
              <w:rPr>
                <w:rFonts w:eastAsia="Calibri"/>
                <w:szCs w:val="22"/>
                <w:lang w:eastAsia="en-US"/>
              </w:rPr>
              <w:t xml:space="preserve"> daudzvalodu veidlapas mēnesī (gadā kopā izsniedzot </w:t>
            </w:r>
            <w:r w:rsidR="00D14E68">
              <w:rPr>
                <w:rFonts w:eastAsia="Calibri"/>
                <w:szCs w:val="22"/>
                <w:lang w:eastAsia="en-US"/>
              </w:rPr>
              <w:t>264</w:t>
            </w:r>
            <w:r w:rsidRPr="00754DCE">
              <w:rPr>
                <w:rFonts w:eastAsia="Calibri"/>
                <w:szCs w:val="22"/>
                <w:lang w:eastAsia="en-US"/>
              </w:rPr>
              <w:t xml:space="preserve"> dokumentus). Kopumā tiek </w:t>
            </w:r>
            <w:r w:rsidR="00E070EC">
              <w:rPr>
                <w:rFonts w:eastAsia="Calibri"/>
                <w:szCs w:val="22"/>
                <w:lang w:eastAsia="en-US"/>
              </w:rPr>
              <w:t>prognozēts</w:t>
            </w:r>
            <w:r w:rsidRPr="00754DCE">
              <w:rPr>
                <w:rFonts w:eastAsia="Calibri"/>
                <w:szCs w:val="22"/>
                <w:lang w:eastAsia="en-US"/>
              </w:rPr>
              <w:t xml:space="preserve"> gadā izsniegt 1380 dokumentus. </w:t>
            </w:r>
            <w:r w:rsidR="00EC2B87">
              <w:rPr>
                <w:rFonts w:eastAsia="Calibri"/>
                <w:szCs w:val="22"/>
                <w:lang w:eastAsia="en-US"/>
              </w:rPr>
              <w:t xml:space="preserve">Daudzvalodu veidlapu izsniegšanai tiks piemērota standarta konsulārās atlīdzības likme 40 </w:t>
            </w:r>
            <w:proofErr w:type="spellStart"/>
            <w:r w:rsidR="00EC2B87" w:rsidRPr="00BB5CDE">
              <w:rPr>
                <w:rFonts w:eastAsia="Calibri"/>
                <w:i/>
              </w:rPr>
              <w:t>eur</w:t>
            </w:r>
            <w:r w:rsidR="00AA622D">
              <w:rPr>
                <w:rFonts w:eastAsia="Calibri"/>
                <w:i/>
              </w:rPr>
              <w:t>o</w:t>
            </w:r>
            <w:proofErr w:type="spellEnd"/>
            <w:r w:rsidR="00EC2B87" w:rsidRPr="00BB5CDE">
              <w:rPr>
                <w:rFonts w:eastAsia="Calibri"/>
              </w:rPr>
              <w:t xml:space="preserve"> apm</w:t>
            </w:r>
            <w:r w:rsidR="00EC2B87">
              <w:rPr>
                <w:rFonts w:eastAsia="Calibri"/>
              </w:rPr>
              <w:t xml:space="preserve">ērā. </w:t>
            </w:r>
            <w:r w:rsidRPr="00BB5CDE">
              <w:rPr>
                <w:rFonts w:eastAsia="Calibri"/>
              </w:rPr>
              <w:t>Kopumā</w:t>
            </w:r>
            <w:r w:rsidRPr="00754DCE">
              <w:rPr>
                <w:rFonts w:eastAsia="Calibri"/>
                <w:szCs w:val="22"/>
                <w:lang w:eastAsia="en-US"/>
              </w:rPr>
              <w:t xml:space="preserve"> gada laikā tiek plānots iekasēt </w:t>
            </w:r>
            <w:r w:rsidR="00D14E68">
              <w:rPr>
                <w:rFonts w:eastAsia="Calibri"/>
                <w:szCs w:val="22"/>
                <w:lang w:eastAsia="en-US"/>
              </w:rPr>
              <w:t>24 560</w:t>
            </w:r>
            <w:r w:rsidRPr="00754DCE">
              <w:rPr>
                <w:rFonts w:eastAsia="Calibri"/>
                <w:szCs w:val="22"/>
                <w:lang w:eastAsia="en-US"/>
              </w:rPr>
              <w:t xml:space="preserve"> </w:t>
            </w:r>
            <w:proofErr w:type="spellStart"/>
            <w:r w:rsidR="00AA622D" w:rsidRPr="00D41AA7">
              <w:rPr>
                <w:i/>
                <w:iCs/>
              </w:rPr>
              <w:t>euro</w:t>
            </w:r>
            <w:proofErr w:type="spellEnd"/>
            <w:r w:rsidRPr="00754DCE">
              <w:rPr>
                <w:rFonts w:eastAsia="Calibri"/>
                <w:szCs w:val="22"/>
                <w:lang w:eastAsia="en-US"/>
              </w:rPr>
              <w:t xml:space="preserve">. </w:t>
            </w:r>
            <w:r w:rsidR="004F3C55" w:rsidRPr="00754DCE">
              <w:rPr>
                <w:rFonts w:eastAsia="Calibri"/>
                <w:szCs w:val="22"/>
                <w:lang w:eastAsia="en-US"/>
              </w:rPr>
              <w:t>Ārlietu ministrija prognozē, ka</w:t>
            </w:r>
            <w:r w:rsidR="007D744B">
              <w:rPr>
                <w:rFonts w:eastAsia="Calibri"/>
                <w:szCs w:val="22"/>
                <w:lang w:eastAsia="en-US"/>
              </w:rPr>
              <w:t>,</w:t>
            </w:r>
            <w:r w:rsidR="004F3C55" w:rsidRPr="00754DCE">
              <w:rPr>
                <w:rFonts w:eastAsia="Calibri"/>
                <w:szCs w:val="22"/>
                <w:lang w:eastAsia="en-US"/>
              </w:rPr>
              <w:t xml:space="preserve"> </w:t>
            </w:r>
            <w:r w:rsidR="004F3C55" w:rsidRPr="007D744B">
              <w:rPr>
                <w:rFonts w:eastAsia="Calibri"/>
                <w:szCs w:val="22"/>
                <w:lang w:eastAsia="en-US"/>
              </w:rPr>
              <w:t>sākot ar 2020. gadu</w:t>
            </w:r>
            <w:r w:rsidR="007D744B" w:rsidRPr="007D744B">
              <w:rPr>
                <w:rFonts w:eastAsia="Calibri"/>
                <w:szCs w:val="22"/>
                <w:lang w:eastAsia="en-US"/>
              </w:rPr>
              <w:t>,</w:t>
            </w:r>
            <w:r w:rsidR="004F3C55" w:rsidRPr="00754DCE">
              <w:rPr>
                <w:rFonts w:eastAsia="Calibri"/>
                <w:szCs w:val="22"/>
                <w:lang w:eastAsia="en-US"/>
              </w:rPr>
              <w:t xml:space="preserve"> ir paredzams šāda apjoma sniegto konsulāro pakalpojumu un iekasēto konsulāro atlīdzību pieaugums. </w:t>
            </w:r>
            <w:r w:rsidRPr="00754DCE">
              <w:rPr>
                <w:rFonts w:eastAsia="Calibri"/>
                <w:szCs w:val="22"/>
                <w:lang w:eastAsia="en-US"/>
              </w:rPr>
              <w:t xml:space="preserve">2019. gada laikā norisinās </w:t>
            </w:r>
            <w:r w:rsidR="00272EBE">
              <w:rPr>
                <w:rFonts w:eastAsia="Calibri"/>
                <w:szCs w:val="22"/>
                <w:lang w:eastAsia="en-US"/>
              </w:rPr>
              <w:t>Daudzvalodu veidlapu</w:t>
            </w:r>
            <w:bookmarkStart w:id="0" w:name="_GoBack"/>
            <w:bookmarkEnd w:id="0"/>
            <w:r w:rsidR="00362F85">
              <w:rPr>
                <w:rFonts w:eastAsia="Calibri"/>
                <w:szCs w:val="22"/>
                <w:lang w:eastAsia="en-US"/>
              </w:rPr>
              <w:t xml:space="preserve"> </w:t>
            </w:r>
            <w:r w:rsidRPr="00754DCE">
              <w:rPr>
                <w:rFonts w:eastAsia="Calibri"/>
                <w:szCs w:val="22"/>
                <w:lang w:eastAsia="en-US"/>
              </w:rPr>
              <w:t xml:space="preserve">regulas faktiskā ieviešana Eiropas Savienības dalībvalstīs. </w:t>
            </w:r>
            <w:r w:rsidR="004F3C55">
              <w:rPr>
                <w:rFonts w:eastAsia="Calibri"/>
                <w:szCs w:val="22"/>
                <w:lang w:eastAsia="en-US"/>
              </w:rPr>
              <w:t xml:space="preserve">Tādēļ </w:t>
            </w:r>
            <w:r w:rsidR="00EC2B87">
              <w:rPr>
                <w:rFonts w:eastAsia="Calibri"/>
                <w:szCs w:val="22"/>
                <w:lang w:eastAsia="en-US"/>
              </w:rPr>
              <w:t>2019.gad</w:t>
            </w:r>
            <w:r w:rsidR="004F3C55">
              <w:rPr>
                <w:rFonts w:eastAsia="Calibri"/>
                <w:szCs w:val="22"/>
                <w:lang w:eastAsia="en-US"/>
              </w:rPr>
              <w:t xml:space="preserve">ā IV ceturksnī pēc jaunā pakalpojuma ieviešanas paredzama </w:t>
            </w:r>
            <w:r w:rsidR="00E070EC">
              <w:rPr>
                <w:rFonts w:eastAsia="Calibri"/>
                <w:szCs w:val="22"/>
                <w:lang w:eastAsia="en-US"/>
              </w:rPr>
              <w:t>ap</w:t>
            </w:r>
            <w:r w:rsidR="004F3C55">
              <w:rPr>
                <w:rFonts w:eastAsia="Calibri"/>
                <w:szCs w:val="22"/>
                <w:lang w:eastAsia="en-US"/>
              </w:rPr>
              <w:t xml:space="preserve"> </w:t>
            </w:r>
            <w:r w:rsidR="00D14E68">
              <w:rPr>
                <w:rFonts w:eastAsia="Calibri"/>
                <w:szCs w:val="22"/>
                <w:lang w:eastAsia="en-US"/>
              </w:rPr>
              <w:t>1</w:t>
            </w:r>
            <w:r w:rsidR="004F3C55">
              <w:rPr>
                <w:rFonts w:eastAsia="Calibri"/>
                <w:szCs w:val="22"/>
                <w:lang w:eastAsia="en-US"/>
              </w:rPr>
              <w:t xml:space="preserve">00 dokumentu izsniegšana, iekasējot </w:t>
            </w:r>
            <w:r w:rsidR="00D14E68">
              <w:rPr>
                <w:rFonts w:eastAsia="Calibri"/>
                <w:szCs w:val="22"/>
                <w:lang w:eastAsia="en-US"/>
              </w:rPr>
              <w:t>4</w:t>
            </w:r>
            <w:r w:rsidR="004F3C55">
              <w:rPr>
                <w:rFonts w:eastAsia="Calibri"/>
                <w:szCs w:val="22"/>
                <w:lang w:eastAsia="en-US"/>
              </w:rPr>
              <w:t xml:space="preserve">000 </w:t>
            </w:r>
            <w:proofErr w:type="spellStart"/>
            <w:r w:rsidR="004F3C55">
              <w:rPr>
                <w:rFonts w:eastAsia="Calibri"/>
                <w:i/>
                <w:szCs w:val="22"/>
                <w:lang w:eastAsia="en-US"/>
              </w:rPr>
              <w:t>eur</w:t>
            </w:r>
            <w:r w:rsidR="00AA622D">
              <w:rPr>
                <w:rFonts w:eastAsia="Calibri"/>
                <w:i/>
                <w:szCs w:val="22"/>
                <w:lang w:eastAsia="en-US"/>
              </w:rPr>
              <w:t>o</w:t>
            </w:r>
            <w:proofErr w:type="spellEnd"/>
            <w:r w:rsidR="004F3C55">
              <w:rPr>
                <w:rFonts w:eastAsia="Calibri"/>
                <w:i/>
                <w:szCs w:val="22"/>
                <w:lang w:eastAsia="en-US"/>
              </w:rPr>
              <w:t xml:space="preserve">. </w:t>
            </w:r>
            <w:r w:rsidR="00EC2B87">
              <w:rPr>
                <w:rFonts w:eastAsia="Calibri"/>
                <w:szCs w:val="22"/>
                <w:lang w:eastAsia="en-US"/>
              </w:rPr>
              <w:t xml:space="preserve"> </w:t>
            </w:r>
          </w:p>
          <w:p w14:paraId="3685A180" w14:textId="77777777" w:rsidR="00754DCE" w:rsidRPr="00754DCE" w:rsidRDefault="00754DCE" w:rsidP="00754DCE">
            <w:pPr>
              <w:ind w:right="351"/>
              <w:jc w:val="both"/>
              <w:rPr>
                <w:rFonts w:eastAsia="Calibri"/>
                <w:szCs w:val="22"/>
                <w:lang w:eastAsia="en-US"/>
              </w:rPr>
            </w:pPr>
          </w:p>
          <w:p w14:paraId="3F917395" w14:textId="77777777" w:rsidR="00754DCE" w:rsidRPr="00754DCE" w:rsidRDefault="00754DCE" w:rsidP="00754DCE">
            <w:pPr>
              <w:ind w:right="351"/>
              <w:jc w:val="both"/>
              <w:rPr>
                <w:rFonts w:eastAsia="Calibri"/>
                <w:b/>
                <w:szCs w:val="22"/>
                <w:lang w:eastAsia="en-US"/>
              </w:rPr>
            </w:pPr>
            <w:r w:rsidRPr="00754DCE">
              <w:rPr>
                <w:rFonts w:eastAsia="Calibri"/>
                <w:b/>
                <w:szCs w:val="22"/>
                <w:lang w:eastAsia="en-US"/>
              </w:rPr>
              <w:t>Kopējā konsulāro pakalpojumu sniegšanas un iekasētās konsulārās atlīdzības apjoma dinamika</w:t>
            </w:r>
          </w:p>
          <w:tbl>
            <w:tblPr>
              <w:tblStyle w:val="TableGrid"/>
              <w:tblW w:w="7969" w:type="dxa"/>
              <w:tblLayout w:type="fixed"/>
              <w:tblLook w:val="04A0" w:firstRow="1" w:lastRow="0" w:firstColumn="1" w:lastColumn="0" w:noHBand="0" w:noVBand="1"/>
            </w:tblPr>
            <w:tblGrid>
              <w:gridCol w:w="565"/>
              <w:gridCol w:w="900"/>
              <w:gridCol w:w="900"/>
              <w:gridCol w:w="1080"/>
              <w:gridCol w:w="810"/>
              <w:gridCol w:w="810"/>
              <w:gridCol w:w="810"/>
              <w:gridCol w:w="720"/>
              <w:gridCol w:w="1374"/>
            </w:tblGrid>
            <w:tr w:rsidR="00754DCE" w:rsidRPr="00754DCE" w14:paraId="29A40196" w14:textId="77777777" w:rsidTr="009D5B0A">
              <w:trPr>
                <w:trHeight w:val="919"/>
              </w:trPr>
              <w:tc>
                <w:tcPr>
                  <w:tcW w:w="565" w:type="dxa"/>
                  <w:hideMark/>
                </w:tcPr>
                <w:p w14:paraId="4A0BEAED" w14:textId="77777777" w:rsidR="00754DCE" w:rsidRPr="00754DCE" w:rsidRDefault="00754DCE" w:rsidP="00754DCE">
                  <w:pPr>
                    <w:jc w:val="both"/>
                    <w:rPr>
                      <w:rFonts w:eastAsia="Calibri"/>
                      <w:sz w:val="16"/>
                      <w:szCs w:val="16"/>
                      <w:lang w:eastAsia="en-US"/>
                    </w:rPr>
                  </w:pPr>
                  <w:r w:rsidRPr="00754DCE">
                    <w:rPr>
                      <w:rFonts w:eastAsia="Calibri"/>
                      <w:sz w:val="16"/>
                      <w:szCs w:val="16"/>
                      <w:lang w:eastAsia="en-US"/>
                    </w:rPr>
                    <w:t xml:space="preserve">Gads </w:t>
                  </w:r>
                </w:p>
              </w:tc>
              <w:tc>
                <w:tcPr>
                  <w:tcW w:w="900" w:type="dxa"/>
                  <w:hideMark/>
                </w:tcPr>
                <w:p w14:paraId="46407118" w14:textId="39D58DDC" w:rsidR="00754DCE" w:rsidRPr="00754DCE" w:rsidRDefault="007251BA" w:rsidP="00754DCE">
                  <w:pPr>
                    <w:jc w:val="both"/>
                    <w:rPr>
                      <w:rFonts w:eastAsia="Calibri"/>
                      <w:sz w:val="16"/>
                      <w:szCs w:val="16"/>
                      <w:lang w:eastAsia="en-US"/>
                    </w:rPr>
                  </w:pPr>
                  <w:r>
                    <w:rPr>
                      <w:rFonts w:eastAsia="Calibri"/>
                      <w:sz w:val="16"/>
                      <w:szCs w:val="16"/>
                      <w:lang w:eastAsia="en-US"/>
                    </w:rPr>
                    <w:t xml:space="preserve">40 </w:t>
                  </w:r>
                  <w:proofErr w:type="spellStart"/>
                  <w:r w:rsidRPr="007251BA">
                    <w:rPr>
                      <w:rFonts w:eastAsia="Calibri"/>
                      <w:i/>
                      <w:sz w:val="16"/>
                      <w:szCs w:val="16"/>
                      <w:lang w:eastAsia="en-US"/>
                    </w:rPr>
                    <w:t>euro</w:t>
                  </w:r>
                  <w:proofErr w:type="spellEnd"/>
                  <w:r w:rsidRPr="007251BA">
                    <w:rPr>
                      <w:rFonts w:eastAsia="Calibri"/>
                      <w:i/>
                      <w:sz w:val="16"/>
                      <w:szCs w:val="16"/>
                      <w:lang w:eastAsia="en-US"/>
                    </w:rPr>
                    <w:t xml:space="preserve"> </w:t>
                  </w:r>
                  <w:r>
                    <w:rPr>
                      <w:rFonts w:eastAsia="Calibri"/>
                      <w:sz w:val="16"/>
                      <w:szCs w:val="16"/>
                      <w:lang w:eastAsia="en-US"/>
                    </w:rPr>
                    <w:t>likmes</w:t>
                  </w:r>
                  <w:r w:rsidR="00754DCE" w:rsidRPr="00754DCE">
                    <w:rPr>
                      <w:rFonts w:eastAsia="Calibri"/>
                      <w:sz w:val="16"/>
                      <w:szCs w:val="16"/>
                      <w:lang w:eastAsia="en-US"/>
                    </w:rPr>
                    <w:t xml:space="preserve"> pak. skaits</w:t>
                  </w:r>
                </w:p>
              </w:tc>
              <w:tc>
                <w:tcPr>
                  <w:tcW w:w="900" w:type="dxa"/>
                  <w:hideMark/>
                </w:tcPr>
                <w:p w14:paraId="313F8E3F" w14:textId="209B88C3" w:rsidR="00754DCE" w:rsidRPr="00E53DBD" w:rsidRDefault="00754DCE" w:rsidP="007251BA">
                  <w:pPr>
                    <w:jc w:val="both"/>
                    <w:rPr>
                      <w:rFonts w:eastAsia="Calibri"/>
                      <w:i/>
                      <w:sz w:val="16"/>
                      <w:szCs w:val="16"/>
                      <w:lang w:eastAsia="en-US"/>
                    </w:rPr>
                  </w:pPr>
                  <w:r w:rsidRPr="00754DCE">
                    <w:rPr>
                      <w:rFonts w:eastAsia="Calibri"/>
                      <w:sz w:val="16"/>
                      <w:szCs w:val="16"/>
                      <w:lang w:eastAsia="en-US"/>
                    </w:rPr>
                    <w:t>Iekasēt</w:t>
                  </w:r>
                  <w:r w:rsidR="007251BA">
                    <w:rPr>
                      <w:rFonts w:eastAsia="Calibri"/>
                      <w:sz w:val="16"/>
                      <w:szCs w:val="16"/>
                      <w:lang w:eastAsia="en-US"/>
                    </w:rPr>
                    <w:t xml:space="preserve">s </w:t>
                  </w:r>
                  <w:r w:rsidRPr="00754DCE">
                    <w:rPr>
                      <w:rFonts w:eastAsia="Calibri"/>
                      <w:sz w:val="16"/>
                      <w:szCs w:val="16"/>
                      <w:lang w:eastAsia="en-US"/>
                    </w:rPr>
                    <w:t xml:space="preserve">EUR </w:t>
                  </w:r>
                  <w:r w:rsidR="00331214">
                    <w:rPr>
                      <w:rFonts w:eastAsia="Calibri"/>
                      <w:sz w:val="16"/>
                      <w:szCs w:val="16"/>
                      <w:lang w:eastAsia="en-US"/>
                    </w:rPr>
                    <w:t xml:space="preserve">par 40 </w:t>
                  </w:r>
                  <w:proofErr w:type="spellStart"/>
                  <w:r w:rsidR="00331214">
                    <w:rPr>
                      <w:rFonts w:eastAsia="Calibri"/>
                      <w:i/>
                      <w:sz w:val="16"/>
                      <w:szCs w:val="16"/>
                      <w:lang w:eastAsia="en-US"/>
                    </w:rPr>
                    <w:t>euro</w:t>
                  </w:r>
                  <w:proofErr w:type="spellEnd"/>
                  <w:r w:rsidR="00331214">
                    <w:rPr>
                      <w:rFonts w:eastAsia="Calibri"/>
                      <w:i/>
                      <w:sz w:val="16"/>
                      <w:szCs w:val="16"/>
                      <w:lang w:eastAsia="en-US"/>
                    </w:rPr>
                    <w:t xml:space="preserve"> </w:t>
                  </w:r>
                  <w:r w:rsidR="00331214" w:rsidRPr="00E53DBD">
                    <w:rPr>
                      <w:rFonts w:eastAsia="Calibri"/>
                      <w:sz w:val="16"/>
                      <w:szCs w:val="16"/>
                      <w:lang w:eastAsia="en-US"/>
                    </w:rPr>
                    <w:t>likmi</w:t>
                  </w:r>
                </w:p>
              </w:tc>
              <w:tc>
                <w:tcPr>
                  <w:tcW w:w="1080" w:type="dxa"/>
                </w:tcPr>
                <w:p w14:paraId="6E40C945" w14:textId="77777777" w:rsidR="00754DCE" w:rsidRPr="00754DCE" w:rsidRDefault="00754DCE" w:rsidP="00754DCE">
                  <w:pPr>
                    <w:jc w:val="both"/>
                    <w:rPr>
                      <w:rFonts w:eastAsia="Calibri"/>
                      <w:sz w:val="16"/>
                      <w:szCs w:val="16"/>
                      <w:lang w:eastAsia="en-US"/>
                    </w:rPr>
                  </w:pPr>
                  <w:r w:rsidRPr="00754DCE">
                    <w:rPr>
                      <w:rFonts w:eastAsia="Calibri"/>
                      <w:sz w:val="16"/>
                      <w:szCs w:val="16"/>
                      <w:lang w:eastAsia="en-US"/>
                    </w:rPr>
                    <w:t>Nemainītas atlīdzības pak. skaits</w:t>
                  </w:r>
                </w:p>
              </w:tc>
              <w:tc>
                <w:tcPr>
                  <w:tcW w:w="810" w:type="dxa"/>
                </w:tcPr>
                <w:p w14:paraId="467659B9" w14:textId="42E91A8E" w:rsidR="00754DCE" w:rsidRPr="00754DCE" w:rsidRDefault="00754DCE">
                  <w:pPr>
                    <w:jc w:val="both"/>
                    <w:rPr>
                      <w:rFonts w:eastAsia="Calibri"/>
                      <w:sz w:val="16"/>
                      <w:szCs w:val="16"/>
                      <w:lang w:eastAsia="en-US"/>
                    </w:rPr>
                  </w:pPr>
                  <w:r w:rsidRPr="00754DCE">
                    <w:rPr>
                      <w:rFonts w:eastAsia="Calibri"/>
                      <w:sz w:val="16"/>
                      <w:szCs w:val="16"/>
                      <w:lang w:eastAsia="en-US"/>
                    </w:rPr>
                    <w:t>Iekasēt</w:t>
                  </w:r>
                  <w:r w:rsidR="007251BA">
                    <w:rPr>
                      <w:rFonts w:eastAsia="Calibri"/>
                      <w:sz w:val="16"/>
                      <w:szCs w:val="16"/>
                      <w:lang w:eastAsia="en-US"/>
                    </w:rPr>
                    <w:t xml:space="preserve">s </w:t>
                  </w:r>
                  <w:r w:rsidRPr="00754DCE">
                    <w:rPr>
                      <w:rFonts w:eastAsia="Calibri"/>
                      <w:sz w:val="16"/>
                      <w:szCs w:val="16"/>
                      <w:lang w:eastAsia="en-US"/>
                    </w:rPr>
                    <w:t>EUR</w:t>
                  </w:r>
                  <w:r w:rsidR="00331214">
                    <w:rPr>
                      <w:rFonts w:eastAsia="Calibri"/>
                      <w:sz w:val="16"/>
                      <w:szCs w:val="16"/>
                      <w:lang w:eastAsia="en-US"/>
                    </w:rPr>
                    <w:t xml:space="preserve"> par </w:t>
                  </w:r>
                  <w:proofErr w:type="spellStart"/>
                  <w:r w:rsidR="00331214">
                    <w:rPr>
                      <w:rFonts w:eastAsia="Calibri"/>
                      <w:sz w:val="16"/>
                      <w:szCs w:val="16"/>
                      <w:lang w:eastAsia="en-US"/>
                    </w:rPr>
                    <w:t>nemain</w:t>
                  </w:r>
                  <w:proofErr w:type="spellEnd"/>
                  <w:r w:rsidR="00331214">
                    <w:rPr>
                      <w:rFonts w:eastAsia="Calibri"/>
                      <w:sz w:val="16"/>
                      <w:szCs w:val="16"/>
                      <w:lang w:eastAsia="en-US"/>
                    </w:rPr>
                    <w:t>. atlīdzību</w:t>
                  </w:r>
                </w:p>
              </w:tc>
              <w:tc>
                <w:tcPr>
                  <w:tcW w:w="810" w:type="dxa"/>
                  <w:hideMark/>
                </w:tcPr>
                <w:p w14:paraId="455CD936" w14:textId="4BDB0692" w:rsidR="00754DCE" w:rsidRPr="00754DCE" w:rsidRDefault="00754DCE" w:rsidP="00BB5CDE">
                  <w:pPr>
                    <w:jc w:val="both"/>
                    <w:rPr>
                      <w:rFonts w:eastAsia="Calibri"/>
                      <w:sz w:val="16"/>
                      <w:szCs w:val="16"/>
                      <w:lang w:eastAsia="en-US"/>
                    </w:rPr>
                  </w:pPr>
                  <w:proofErr w:type="spellStart"/>
                  <w:r w:rsidRPr="00754DCE">
                    <w:rPr>
                      <w:rFonts w:eastAsia="Calibri"/>
                      <w:sz w:val="16"/>
                      <w:szCs w:val="16"/>
                      <w:lang w:eastAsia="en-US"/>
                    </w:rPr>
                    <w:t>Daudzv</w:t>
                  </w:r>
                  <w:proofErr w:type="spellEnd"/>
                  <w:r w:rsidRPr="00754DCE">
                    <w:rPr>
                      <w:rFonts w:eastAsia="Calibri"/>
                      <w:sz w:val="16"/>
                      <w:szCs w:val="16"/>
                      <w:lang w:eastAsia="en-US"/>
                    </w:rPr>
                    <w:t>. veidlapu skaits</w:t>
                  </w:r>
                </w:p>
              </w:tc>
              <w:tc>
                <w:tcPr>
                  <w:tcW w:w="810" w:type="dxa"/>
                  <w:hideMark/>
                </w:tcPr>
                <w:p w14:paraId="1605BFA4" w14:textId="1F85FD9A" w:rsidR="00754DCE" w:rsidRPr="00754DCE" w:rsidRDefault="00754DCE" w:rsidP="007251BA">
                  <w:pPr>
                    <w:jc w:val="both"/>
                    <w:rPr>
                      <w:rFonts w:eastAsia="Calibri"/>
                      <w:sz w:val="16"/>
                      <w:szCs w:val="16"/>
                      <w:lang w:eastAsia="en-US"/>
                    </w:rPr>
                  </w:pPr>
                  <w:r w:rsidRPr="00754DCE">
                    <w:rPr>
                      <w:rFonts w:eastAsia="Calibri"/>
                      <w:sz w:val="16"/>
                      <w:szCs w:val="16"/>
                      <w:lang w:eastAsia="en-US"/>
                    </w:rPr>
                    <w:t>Iekasēt</w:t>
                  </w:r>
                  <w:r w:rsidR="007251BA">
                    <w:rPr>
                      <w:rFonts w:eastAsia="Calibri"/>
                      <w:sz w:val="16"/>
                      <w:szCs w:val="16"/>
                      <w:lang w:eastAsia="en-US"/>
                    </w:rPr>
                    <w:t>s</w:t>
                  </w:r>
                  <w:r w:rsidRPr="00754DCE">
                    <w:rPr>
                      <w:rFonts w:eastAsia="Calibri"/>
                      <w:sz w:val="16"/>
                      <w:szCs w:val="16"/>
                      <w:lang w:eastAsia="en-US"/>
                    </w:rPr>
                    <w:t xml:space="preserve"> EUR </w:t>
                  </w:r>
                  <w:r w:rsidR="00331214">
                    <w:rPr>
                      <w:rFonts w:eastAsia="Calibri"/>
                      <w:sz w:val="16"/>
                      <w:szCs w:val="16"/>
                      <w:lang w:eastAsia="en-US"/>
                    </w:rPr>
                    <w:t xml:space="preserve">par </w:t>
                  </w:r>
                  <w:proofErr w:type="spellStart"/>
                  <w:r w:rsidR="00331214">
                    <w:rPr>
                      <w:rFonts w:eastAsia="Calibri"/>
                      <w:sz w:val="16"/>
                      <w:szCs w:val="16"/>
                      <w:lang w:eastAsia="en-US"/>
                    </w:rPr>
                    <w:t>daudzv</w:t>
                  </w:r>
                  <w:proofErr w:type="spellEnd"/>
                  <w:r w:rsidR="00331214">
                    <w:rPr>
                      <w:rFonts w:eastAsia="Calibri"/>
                      <w:sz w:val="16"/>
                      <w:szCs w:val="16"/>
                      <w:lang w:eastAsia="en-US"/>
                    </w:rPr>
                    <w:t xml:space="preserve">. </w:t>
                  </w:r>
                  <w:proofErr w:type="spellStart"/>
                  <w:r w:rsidR="00331214">
                    <w:rPr>
                      <w:rFonts w:eastAsia="Calibri"/>
                      <w:sz w:val="16"/>
                      <w:szCs w:val="16"/>
                      <w:lang w:eastAsia="en-US"/>
                    </w:rPr>
                    <w:t>veidl</w:t>
                  </w:r>
                  <w:proofErr w:type="spellEnd"/>
                  <w:r w:rsidR="00331214">
                    <w:rPr>
                      <w:rFonts w:eastAsia="Calibri"/>
                      <w:sz w:val="16"/>
                      <w:szCs w:val="16"/>
                      <w:lang w:eastAsia="en-US"/>
                    </w:rPr>
                    <w:t>.</w:t>
                  </w:r>
                </w:p>
              </w:tc>
              <w:tc>
                <w:tcPr>
                  <w:tcW w:w="720" w:type="dxa"/>
                  <w:hideMark/>
                </w:tcPr>
                <w:p w14:paraId="7595B3F1" w14:textId="145906B2" w:rsidR="00754DCE" w:rsidRPr="00754DCE" w:rsidRDefault="00754DCE" w:rsidP="00754DCE">
                  <w:pPr>
                    <w:jc w:val="both"/>
                    <w:rPr>
                      <w:rFonts w:eastAsia="Calibri"/>
                      <w:sz w:val="16"/>
                      <w:szCs w:val="16"/>
                      <w:lang w:eastAsia="en-US"/>
                    </w:rPr>
                  </w:pPr>
                  <w:r w:rsidRPr="00754DCE">
                    <w:rPr>
                      <w:rFonts w:eastAsia="Calibri"/>
                      <w:sz w:val="16"/>
                      <w:szCs w:val="16"/>
                      <w:lang w:eastAsia="en-US"/>
                    </w:rPr>
                    <w:t xml:space="preserve">Kopā pak. </w:t>
                  </w:r>
                  <w:r w:rsidR="00331214">
                    <w:rPr>
                      <w:rFonts w:eastAsia="Calibri"/>
                      <w:sz w:val="16"/>
                      <w:szCs w:val="16"/>
                      <w:lang w:eastAsia="en-US"/>
                    </w:rPr>
                    <w:t>s</w:t>
                  </w:r>
                  <w:r w:rsidRPr="00754DCE">
                    <w:rPr>
                      <w:rFonts w:eastAsia="Calibri"/>
                      <w:sz w:val="16"/>
                      <w:szCs w:val="16"/>
                      <w:lang w:eastAsia="en-US"/>
                    </w:rPr>
                    <w:t>kaits</w:t>
                  </w:r>
                  <w:r w:rsidR="00331214">
                    <w:rPr>
                      <w:rFonts w:eastAsia="Calibri"/>
                      <w:sz w:val="16"/>
                      <w:szCs w:val="16"/>
                      <w:lang w:eastAsia="en-US"/>
                    </w:rPr>
                    <w:t xml:space="preserve"> (visi)</w:t>
                  </w:r>
                </w:p>
              </w:tc>
              <w:tc>
                <w:tcPr>
                  <w:tcW w:w="1374" w:type="dxa"/>
                  <w:hideMark/>
                </w:tcPr>
                <w:p w14:paraId="0B251BB1" w14:textId="77777777" w:rsidR="00754DCE" w:rsidRPr="00BB5CDE" w:rsidRDefault="00754DCE" w:rsidP="00754DCE">
                  <w:pPr>
                    <w:jc w:val="both"/>
                    <w:rPr>
                      <w:rFonts w:eastAsia="Calibri"/>
                      <w:b/>
                      <w:sz w:val="16"/>
                      <w:szCs w:val="16"/>
                      <w:lang w:eastAsia="en-US"/>
                    </w:rPr>
                  </w:pPr>
                  <w:r w:rsidRPr="00BB5CDE">
                    <w:rPr>
                      <w:rFonts w:eastAsia="Calibri"/>
                      <w:b/>
                      <w:sz w:val="16"/>
                      <w:szCs w:val="16"/>
                      <w:lang w:eastAsia="en-US"/>
                    </w:rPr>
                    <w:t xml:space="preserve">Kopā EUR </w:t>
                  </w:r>
                </w:p>
              </w:tc>
            </w:tr>
            <w:tr w:rsidR="004F3C55" w:rsidRPr="00BB5CDE" w14:paraId="692948BD" w14:textId="77777777" w:rsidTr="00853E7E">
              <w:trPr>
                <w:trHeight w:val="297"/>
              </w:trPr>
              <w:tc>
                <w:tcPr>
                  <w:tcW w:w="565" w:type="dxa"/>
                  <w:noWrap/>
                  <w:hideMark/>
                </w:tcPr>
                <w:p w14:paraId="13DD9862" w14:textId="77777777" w:rsidR="004F3C55" w:rsidRPr="00BB5CDE" w:rsidRDefault="004F3C55" w:rsidP="004F3C55">
                  <w:pPr>
                    <w:jc w:val="center"/>
                    <w:rPr>
                      <w:rFonts w:eastAsia="Calibri"/>
                      <w:sz w:val="16"/>
                      <w:szCs w:val="16"/>
                      <w:lang w:eastAsia="en-US"/>
                    </w:rPr>
                  </w:pPr>
                  <w:r w:rsidRPr="00BB5CDE">
                    <w:rPr>
                      <w:rFonts w:eastAsia="Calibri"/>
                      <w:sz w:val="16"/>
                      <w:szCs w:val="16"/>
                      <w:lang w:eastAsia="en-US"/>
                    </w:rPr>
                    <w:t>2019</w:t>
                  </w:r>
                </w:p>
              </w:tc>
              <w:tc>
                <w:tcPr>
                  <w:tcW w:w="900" w:type="dxa"/>
                  <w:noWrap/>
                </w:tcPr>
                <w:p w14:paraId="372BA69E" w14:textId="1EB4CEB0" w:rsidR="004F3C55" w:rsidRPr="00BB5CDE" w:rsidRDefault="004F3C55" w:rsidP="004F3C55">
                  <w:pPr>
                    <w:jc w:val="center"/>
                    <w:rPr>
                      <w:rFonts w:eastAsia="Calibri"/>
                      <w:sz w:val="16"/>
                      <w:szCs w:val="16"/>
                      <w:lang w:eastAsia="en-US"/>
                    </w:rPr>
                  </w:pPr>
                </w:p>
              </w:tc>
              <w:tc>
                <w:tcPr>
                  <w:tcW w:w="900" w:type="dxa"/>
                  <w:noWrap/>
                </w:tcPr>
                <w:p w14:paraId="20A3CC06" w14:textId="677F6E3B" w:rsidR="004F3C55" w:rsidRPr="00BB5CDE" w:rsidRDefault="004F3C55" w:rsidP="004F3C55">
                  <w:pPr>
                    <w:jc w:val="center"/>
                    <w:rPr>
                      <w:rFonts w:eastAsia="Calibri"/>
                      <w:sz w:val="16"/>
                      <w:szCs w:val="16"/>
                      <w:lang w:eastAsia="en-US"/>
                    </w:rPr>
                  </w:pPr>
                </w:p>
              </w:tc>
              <w:tc>
                <w:tcPr>
                  <w:tcW w:w="1080" w:type="dxa"/>
                  <w:noWrap/>
                </w:tcPr>
                <w:p w14:paraId="46D6C6BD" w14:textId="24AEF87C" w:rsidR="004F3C55" w:rsidRPr="00BB5CDE" w:rsidRDefault="004F3C55" w:rsidP="004F3C55">
                  <w:pPr>
                    <w:jc w:val="center"/>
                    <w:rPr>
                      <w:rFonts w:eastAsia="Calibri"/>
                      <w:sz w:val="16"/>
                      <w:szCs w:val="16"/>
                      <w:lang w:eastAsia="en-US"/>
                    </w:rPr>
                  </w:pPr>
                </w:p>
              </w:tc>
              <w:tc>
                <w:tcPr>
                  <w:tcW w:w="810" w:type="dxa"/>
                  <w:noWrap/>
                </w:tcPr>
                <w:p w14:paraId="38932238" w14:textId="6295B789" w:rsidR="004F3C55" w:rsidRPr="00BB5CDE" w:rsidRDefault="004F3C55" w:rsidP="004F3C55">
                  <w:pPr>
                    <w:jc w:val="center"/>
                    <w:rPr>
                      <w:rFonts w:eastAsia="Calibri"/>
                      <w:sz w:val="16"/>
                      <w:szCs w:val="16"/>
                      <w:lang w:eastAsia="en-US"/>
                    </w:rPr>
                  </w:pPr>
                </w:p>
              </w:tc>
              <w:tc>
                <w:tcPr>
                  <w:tcW w:w="810" w:type="dxa"/>
                  <w:noWrap/>
                </w:tcPr>
                <w:p w14:paraId="7F9484D9" w14:textId="49A92A40" w:rsidR="004F3C55" w:rsidRPr="00BB5CDE" w:rsidRDefault="00D14E68" w:rsidP="004F3C55">
                  <w:pPr>
                    <w:jc w:val="center"/>
                    <w:rPr>
                      <w:rFonts w:eastAsia="Calibri"/>
                      <w:sz w:val="16"/>
                      <w:szCs w:val="16"/>
                      <w:lang w:eastAsia="en-US"/>
                    </w:rPr>
                  </w:pPr>
                  <w:r>
                    <w:rPr>
                      <w:rFonts w:eastAsia="Calibri"/>
                      <w:sz w:val="16"/>
                      <w:szCs w:val="16"/>
                      <w:lang w:eastAsia="en-US"/>
                    </w:rPr>
                    <w:t>1</w:t>
                  </w:r>
                  <w:r w:rsidR="004F3C55">
                    <w:rPr>
                      <w:rFonts w:eastAsia="Calibri"/>
                      <w:sz w:val="16"/>
                      <w:szCs w:val="16"/>
                      <w:lang w:eastAsia="en-US"/>
                    </w:rPr>
                    <w:t>00</w:t>
                  </w:r>
                </w:p>
              </w:tc>
              <w:tc>
                <w:tcPr>
                  <w:tcW w:w="810" w:type="dxa"/>
                  <w:noWrap/>
                </w:tcPr>
                <w:p w14:paraId="7FB9761C" w14:textId="0E29A4AD" w:rsidR="004F3C55" w:rsidRPr="00BB5CDE" w:rsidRDefault="00D14E68" w:rsidP="004F3C55">
                  <w:pPr>
                    <w:jc w:val="center"/>
                    <w:rPr>
                      <w:rFonts w:eastAsia="Calibri"/>
                      <w:sz w:val="16"/>
                      <w:szCs w:val="16"/>
                      <w:lang w:eastAsia="en-US"/>
                    </w:rPr>
                  </w:pPr>
                  <w:r>
                    <w:rPr>
                      <w:rFonts w:eastAsia="Calibri"/>
                      <w:sz w:val="16"/>
                      <w:szCs w:val="16"/>
                      <w:lang w:eastAsia="en-US"/>
                    </w:rPr>
                    <w:t>4</w:t>
                  </w:r>
                  <w:r w:rsidR="004F3C55">
                    <w:rPr>
                      <w:rFonts w:eastAsia="Calibri"/>
                      <w:sz w:val="16"/>
                      <w:szCs w:val="16"/>
                      <w:lang w:eastAsia="en-US"/>
                    </w:rPr>
                    <w:t>000</w:t>
                  </w:r>
                </w:p>
              </w:tc>
              <w:tc>
                <w:tcPr>
                  <w:tcW w:w="720" w:type="dxa"/>
                  <w:noWrap/>
                  <w:hideMark/>
                </w:tcPr>
                <w:p w14:paraId="08F504FD" w14:textId="0E93AD14" w:rsidR="004F3C55" w:rsidRPr="00BB5CDE" w:rsidRDefault="004F3C55" w:rsidP="004F3C55">
                  <w:pPr>
                    <w:jc w:val="center"/>
                    <w:rPr>
                      <w:rFonts w:eastAsia="Calibri"/>
                      <w:sz w:val="16"/>
                      <w:szCs w:val="16"/>
                      <w:lang w:eastAsia="en-US"/>
                    </w:rPr>
                  </w:pPr>
                </w:p>
              </w:tc>
              <w:tc>
                <w:tcPr>
                  <w:tcW w:w="1374" w:type="dxa"/>
                  <w:noWrap/>
                  <w:hideMark/>
                </w:tcPr>
                <w:p w14:paraId="3ACD1848" w14:textId="003E6AD9" w:rsidR="004F3C55" w:rsidRPr="00BB5CDE" w:rsidRDefault="00853E7E" w:rsidP="00CA0493">
                  <w:pPr>
                    <w:jc w:val="center"/>
                    <w:rPr>
                      <w:rFonts w:eastAsia="Calibri"/>
                      <w:b/>
                      <w:sz w:val="16"/>
                      <w:szCs w:val="16"/>
                      <w:lang w:eastAsia="en-US"/>
                    </w:rPr>
                  </w:pPr>
                  <w:r>
                    <w:rPr>
                      <w:rFonts w:eastAsia="Calibri"/>
                      <w:b/>
                      <w:sz w:val="16"/>
                      <w:szCs w:val="16"/>
                      <w:lang w:eastAsia="en-US"/>
                    </w:rPr>
                    <w:t>1 42</w:t>
                  </w:r>
                  <w:r w:rsidR="00D14E68">
                    <w:rPr>
                      <w:rFonts w:eastAsia="Calibri"/>
                      <w:b/>
                      <w:sz w:val="16"/>
                      <w:szCs w:val="16"/>
                      <w:lang w:eastAsia="en-US"/>
                    </w:rPr>
                    <w:t>5</w:t>
                  </w:r>
                  <w:r w:rsidR="00B32506">
                    <w:rPr>
                      <w:rFonts w:eastAsia="Calibri"/>
                      <w:b/>
                      <w:sz w:val="16"/>
                      <w:szCs w:val="16"/>
                      <w:lang w:eastAsia="en-US"/>
                    </w:rPr>
                    <w:t> </w:t>
                  </w:r>
                  <w:r>
                    <w:rPr>
                      <w:rFonts w:eastAsia="Calibri"/>
                      <w:b/>
                      <w:sz w:val="16"/>
                      <w:szCs w:val="16"/>
                      <w:lang w:eastAsia="en-US"/>
                    </w:rPr>
                    <w:t>257</w:t>
                  </w:r>
                  <w:r w:rsidR="00B32506">
                    <w:rPr>
                      <w:rFonts w:eastAsia="Calibri"/>
                      <w:b/>
                      <w:sz w:val="16"/>
                      <w:szCs w:val="16"/>
                      <w:lang w:eastAsia="en-US"/>
                    </w:rPr>
                    <w:t>*</w:t>
                  </w:r>
                </w:p>
              </w:tc>
            </w:tr>
            <w:tr w:rsidR="00CA0493" w:rsidRPr="00754DCE" w14:paraId="3D0F22BD" w14:textId="77777777" w:rsidTr="00D10CA9">
              <w:trPr>
                <w:trHeight w:val="297"/>
              </w:trPr>
              <w:tc>
                <w:tcPr>
                  <w:tcW w:w="565" w:type="dxa"/>
                  <w:noWrap/>
                  <w:hideMark/>
                </w:tcPr>
                <w:p w14:paraId="6FD8588B" w14:textId="77777777" w:rsidR="00CA0493" w:rsidRPr="00BB5CDE" w:rsidRDefault="00CA0493" w:rsidP="00CA0493">
                  <w:pPr>
                    <w:jc w:val="center"/>
                    <w:rPr>
                      <w:rFonts w:eastAsia="Calibri"/>
                      <w:sz w:val="16"/>
                      <w:szCs w:val="16"/>
                      <w:lang w:eastAsia="en-US"/>
                    </w:rPr>
                  </w:pPr>
                  <w:r w:rsidRPr="00BB5CDE">
                    <w:rPr>
                      <w:rFonts w:eastAsia="Calibri"/>
                      <w:sz w:val="16"/>
                      <w:szCs w:val="16"/>
                      <w:lang w:eastAsia="en-US"/>
                    </w:rPr>
                    <w:t>2020</w:t>
                  </w:r>
                </w:p>
              </w:tc>
              <w:tc>
                <w:tcPr>
                  <w:tcW w:w="900" w:type="dxa"/>
                  <w:noWrap/>
                  <w:hideMark/>
                </w:tcPr>
                <w:p w14:paraId="59C9BD30" w14:textId="616D6C30" w:rsidR="00CA0493" w:rsidRPr="00CA0493" w:rsidRDefault="00CA0493" w:rsidP="00CA0493">
                  <w:pPr>
                    <w:jc w:val="center"/>
                    <w:rPr>
                      <w:rFonts w:eastAsia="Calibri"/>
                      <w:sz w:val="16"/>
                      <w:szCs w:val="16"/>
                      <w:lang w:eastAsia="en-US"/>
                    </w:rPr>
                  </w:pPr>
                  <w:r w:rsidRPr="00CA0493">
                    <w:rPr>
                      <w:sz w:val="16"/>
                      <w:szCs w:val="16"/>
                    </w:rPr>
                    <w:t>23657</w:t>
                  </w:r>
                </w:p>
              </w:tc>
              <w:tc>
                <w:tcPr>
                  <w:tcW w:w="900" w:type="dxa"/>
                  <w:noWrap/>
                  <w:hideMark/>
                </w:tcPr>
                <w:p w14:paraId="2B6BBB79" w14:textId="13BAC8A4" w:rsidR="00CA0493" w:rsidRPr="00CA0493" w:rsidRDefault="00CA0493" w:rsidP="00CA0493">
                  <w:pPr>
                    <w:jc w:val="center"/>
                    <w:rPr>
                      <w:rFonts w:eastAsia="Calibri"/>
                      <w:sz w:val="16"/>
                      <w:szCs w:val="16"/>
                      <w:lang w:eastAsia="en-US"/>
                    </w:rPr>
                  </w:pPr>
                  <w:r w:rsidRPr="00CA0493">
                    <w:rPr>
                      <w:sz w:val="16"/>
                      <w:szCs w:val="16"/>
                    </w:rPr>
                    <w:t>946280</w:t>
                  </w:r>
                </w:p>
              </w:tc>
              <w:tc>
                <w:tcPr>
                  <w:tcW w:w="1080" w:type="dxa"/>
                  <w:noWrap/>
                </w:tcPr>
                <w:p w14:paraId="5F03CD0C" w14:textId="77777777" w:rsidR="00CA0493" w:rsidRPr="00CA0493" w:rsidRDefault="00CA0493" w:rsidP="00CA0493">
                  <w:pPr>
                    <w:jc w:val="center"/>
                    <w:rPr>
                      <w:rFonts w:eastAsia="Calibri"/>
                      <w:sz w:val="16"/>
                      <w:szCs w:val="16"/>
                      <w:lang w:eastAsia="en-US"/>
                    </w:rPr>
                  </w:pPr>
                  <w:r w:rsidRPr="00CA0493">
                    <w:rPr>
                      <w:rFonts w:eastAsia="Calibri"/>
                      <w:sz w:val="16"/>
                      <w:szCs w:val="16"/>
                      <w:lang w:eastAsia="en-US"/>
                    </w:rPr>
                    <w:t>16 201</w:t>
                  </w:r>
                </w:p>
              </w:tc>
              <w:tc>
                <w:tcPr>
                  <w:tcW w:w="810" w:type="dxa"/>
                  <w:noWrap/>
                </w:tcPr>
                <w:p w14:paraId="2FDE3920" w14:textId="77777777" w:rsidR="00CA0493" w:rsidRPr="00CA0493" w:rsidRDefault="00CA0493" w:rsidP="00CA0493">
                  <w:pPr>
                    <w:jc w:val="center"/>
                    <w:rPr>
                      <w:rFonts w:eastAsia="Calibri"/>
                      <w:sz w:val="16"/>
                      <w:szCs w:val="16"/>
                      <w:lang w:eastAsia="en-US"/>
                    </w:rPr>
                  </w:pPr>
                  <w:r w:rsidRPr="00CA0493">
                    <w:rPr>
                      <w:rFonts w:eastAsia="Calibri"/>
                      <w:sz w:val="16"/>
                      <w:szCs w:val="16"/>
                      <w:lang w:eastAsia="en-US"/>
                    </w:rPr>
                    <w:t>521 557</w:t>
                  </w:r>
                </w:p>
              </w:tc>
              <w:tc>
                <w:tcPr>
                  <w:tcW w:w="810" w:type="dxa"/>
                  <w:noWrap/>
                  <w:hideMark/>
                </w:tcPr>
                <w:p w14:paraId="7B424C73" w14:textId="7D5C17B4" w:rsidR="00CA0493" w:rsidRPr="00CA0493" w:rsidRDefault="00CA0493" w:rsidP="00CA0493">
                  <w:pPr>
                    <w:jc w:val="center"/>
                    <w:rPr>
                      <w:rFonts w:eastAsia="Calibri"/>
                      <w:sz w:val="16"/>
                      <w:szCs w:val="16"/>
                      <w:lang w:eastAsia="en-US"/>
                    </w:rPr>
                  </w:pPr>
                  <w:r w:rsidRPr="00CA0493">
                    <w:rPr>
                      <w:sz w:val="16"/>
                      <w:szCs w:val="16"/>
                    </w:rPr>
                    <w:t>614</w:t>
                  </w:r>
                </w:p>
              </w:tc>
              <w:tc>
                <w:tcPr>
                  <w:tcW w:w="810" w:type="dxa"/>
                  <w:noWrap/>
                  <w:hideMark/>
                </w:tcPr>
                <w:p w14:paraId="397BD116" w14:textId="1E2EBA71" w:rsidR="00CA0493" w:rsidRPr="00CA0493" w:rsidRDefault="00CA0493" w:rsidP="00CA0493">
                  <w:pPr>
                    <w:jc w:val="center"/>
                    <w:rPr>
                      <w:rFonts w:eastAsia="Calibri"/>
                      <w:sz w:val="16"/>
                      <w:szCs w:val="16"/>
                      <w:lang w:eastAsia="en-US"/>
                    </w:rPr>
                  </w:pPr>
                  <w:r w:rsidRPr="00CA0493">
                    <w:rPr>
                      <w:sz w:val="16"/>
                      <w:szCs w:val="16"/>
                    </w:rPr>
                    <w:t>24 560</w:t>
                  </w:r>
                </w:p>
              </w:tc>
              <w:tc>
                <w:tcPr>
                  <w:tcW w:w="720" w:type="dxa"/>
                  <w:noWrap/>
                  <w:hideMark/>
                </w:tcPr>
                <w:p w14:paraId="5E1115D4" w14:textId="450E9E06" w:rsidR="00CA0493" w:rsidRPr="00CA0493" w:rsidRDefault="00CA0493" w:rsidP="00CA0493">
                  <w:pPr>
                    <w:jc w:val="center"/>
                    <w:rPr>
                      <w:rFonts w:eastAsia="Calibri"/>
                      <w:sz w:val="16"/>
                      <w:szCs w:val="16"/>
                      <w:lang w:eastAsia="en-US"/>
                    </w:rPr>
                  </w:pPr>
                  <w:r w:rsidRPr="00CA0493">
                    <w:rPr>
                      <w:sz w:val="16"/>
                      <w:szCs w:val="16"/>
                    </w:rPr>
                    <w:t>40 472</w:t>
                  </w:r>
                </w:p>
              </w:tc>
              <w:tc>
                <w:tcPr>
                  <w:tcW w:w="1374" w:type="dxa"/>
                  <w:noWrap/>
                  <w:hideMark/>
                </w:tcPr>
                <w:p w14:paraId="507F41E1" w14:textId="0981A77C" w:rsidR="00CA0493" w:rsidRPr="00CA0493" w:rsidRDefault="00CA0493" w:rsidP="00CA0493">
                  <w:pPr>
                    <w:jc w:val="center"/>
                    <w:rPr>
                      <w:rFonts w:eastAsia="Calibri"/>
                      <w:b/>
                      <w:sz w:val="16"/>
                      <w:szCs w:val="16"/>
                      <w:lang w:eastAsia="en-US"/>
                    </w:rPr>
                  </w:pPr>
                  <w:r w:rsidRPr="00CA0493">
                    <w:rPr>
                      <w:b/>
                      <w:sz w:val="16"/>
                      <w:szCs w:val="16"/>
                    </w:rPr>
                    <w:t>1</w:t>
                  </w:r>
                  <w:r>
                    <w:rPr>
                      <w:b/>
                      <w:sz w:val="16"/>
                      <w:szCs w:val="16"/>
                    </w:rPr>
                    <w:t xml:space="preserve"> </w:t>
                  </w:r>
                  <w:r w:rsidRPr="00CA0493">
                    <w:rPr>
                      <w:b/>
                      <w:sz w:val="16"/>
                      <w:szCs w:val="16"/>
                    </w:rPr>
                    <w:t>492</w:t>
                  </w:r>
                  <w:r>
                    <w:rPr>
                      <w:b/>
                      <w:sz w:val="16"/>
                      <w:szCs w:val="16"/>
                    </w:rPr>
                    <w:t xml:space="preserve"> </w:t>
                  </w:r>
                  <w:r w:rsidRPr="00CA0493">
                    <w:rPr>
                      <w:b/>
                      <w:sz w:val="16"/>
                      <w:szCs w:val="16"/>
                    </w:rPr>
                    <w:t>397</w:t>
                  </w:r>
                </w:p>
              </w:tc>
            </w:tr>
            <w:tr w:rsidR="00CA0493" w:rsidRPr="00754DCE" w14:paraId="1342F293" w14:textId="77777777" w:rsidTr="00D10CA9">
              <w:trPr>
                <w:trHeight w:val="297"/>
              </w:trPr>
              <w:tc>
                <w:tcPr>
                  <w:tcW w:w="565" w:type="dxa"/>
                  <w:noWrap/>
                  <w:hideMark/>
                </w:tcPr>
                <w:p w14:paraId="08B489E0" w14:textId="77777777" w:rsidR="00CA0493" w:rsidRPr="00BB5CDE" w:rsidRDefault="00CA0493" w:rsidP="00CA0493">
                  <w:pPr>
                    <w:jc w:val="center"/>
                    <w:rPr>
                      <w:rFonts w:eastAsia="Calibri"/>
                      <w:sz w:val="16"/>
                      <w:szCs w:val="16"/>
                      <w:lang w:eastAsia="en-US"/>
                    </w:rPr>
                  </w:pPr>
                  <w:r w:rsidRPr="00BB5CDE">
                    <w:rPr>
                      <w:rFonts w:eastAsia="Calibri"/>
                      <w:sz w:val="16"/>
                      <w:szCs w:val="16"/>
                      <w:lang w:eastAsia="en-US"/>
                    </w:rPr>
                    <w:lastRenderedPageBreak/>
                    <w:t>2021</w:t>
                  </w:r>
                </w:p>
              </w:tc>
              <w:tc>
                <w:tcPr>
                  <w:tcW w:w="900" w:type="dxa"/>
                  <w:noWrap/>
                  <w:hideMark/>
                </w:tcPr>
                <w:p w14:paraId="111A085B" w14:textId="082C43D3" w:rsidR="00CA0493" w:rsidRPr="00CA0493" w:rsidRDefault="00CA0493" w:rsidP="00CA0493">
                  <w:pPr>
                    <w:jc w:val="center"/>
                    <w:rPr>
                      <w:rFonts w:eastAsia="Calibri"/>
                      <w:sz w:val="16"/>
                      <w:szCs w:val="16"/>
                      <w:lang w:eastAsia="en-US"/>
                    </w:rPr>
                  </w:pPr>
                  <w:r w:rsidRPr="00CA0493">
                    <w:rPr>
                      <w:sz w:val="16"/>
                      <w:szCs w:val="16"/>
                    </w:rPr>
                    <w:t>23184</w:t>
                  </w:r>
                </w:p>
              </w:tc>
              <w:tc>
                <w:tcPr>
                  <w:tcW w:w="900" w:type="dxa"/>
                  <w:noWrap/>
                  <w:hideMark/>
                </w:tcPr>
                <w:p w14:paraId="2EBF4474" w14:textId="1F63B05E" w:rsidR="00CA0493" w:rsidRPr="00CA0493" w:rsidRDefault="00CA0493" w:rsidP="00CA0493">
                  <w:pPr>
                    <w:jc w:val="center"/>
                    <w:rPr>
                      <w:rFonts w:eastAsia="Calibri"/>
                      <w:sz w:val="16"/>
                      <w:szCs w:val="16"/>
                      <w:lang w:eastAsia="en-US"/>
                    </w:rPr>
                  </w:pPr>
                  <w:r w:rsidRPr="00CA0493">
                    <w:rPr>
                      <w:sz w:val="16"/>
                      <w:szCs w:val="16"/>
                    </w:rPr>
                    <w:t>927360</w:t>
                  </w:r>
                </w:p>
              </w:tc>
              <w:tc>
                <w:tcPr>
                  <w:tcW w:w="1080" w:type="dxa"/>
                  <w:noWrap/>
                </w:tcPr>
                <w:p w14:paraId="7AB1F539" w14:textId="77777777" w:rsidR="00CA0493" w:rsidRPr="00CA0493" w:rsidRDefault="00CA0493" w:rsidP="00CA0493">
                  <w:pPr>
                    <w:jc w:val="center"/>
                    <w:rPr>
                      <w:rFonts w:eastAsia="Calibri"/>
                      <w:sz w:val="16"/>
                      <w:szCs w:val="16"/>
                      <w:lang w:eastAsia="en-US"/>
                    </w:rPr>
                  </w:pPr>
                  <w:r w:rsidRPr="00CA0493">
                    <w:rPr>
                      <w:rFonts w:eastAsia="Calibri"/>
                      <w:sz w:val="16"/>
                      <w:szCs w:val="16"/>
                      <w:lang w:eastAsia="en-US"/>
                    </w:rPr>
                    <w:t>16 201</w:t>
                  </w:r>
                </w:p>
              </w:tc>
              <w:tc>
                <w:tcPr>
                  <w:tcW w:w="810" w:type="dxa"/>
                  <w:noWrap/>
                </w:tcPr>
                <w:p w14:paraId="181978CE" w14:textId="77777777" w:rsidR="00CA0493" w:rsidRPr="00CA0493" w:rsidRDefault="00CA0493" w:rsidP="00CA0493">
                  <w:pPr>
                    <w:jc w:val="center"/>
                    <w:rPr>
                      <w:rFonts w:eastAsia="Calibri"/>
                      <w:sz w:val="16"/>
                      <w:szCs w:val="16"/>
                      <w:lang w:eastAsia="en-US"/>
                    </w:rPr>
                  </w:pPr>
                  <w:r w:rsidRPr="00CA0493">
                    <w:rPr>
                      <w:rFonts w:eastAsia="Calibri"/>
                      <w:sz w:val="16"/>
                      <w:szCs w:val="16"/>
                      <w:lang w:eastAsia="en-US"/>
                    </w:rPr>
                    <w:t>521 557</w:t>
                  </w:r>
                </w:p>
              </w:tc>
              <w:tc>
                <w:tcPr>
                  <w:tcW w:w="810" w:type="dxa"/>
                  <w:noWrap/>
                  <w:hideMark/>
                </w:tcPr>
                <w:p w14:paraId="243C3C4C" w14:textId="6AD4D8C6" w:rsidR="00CA0493" w:rsidRPr="00CA0493" w:rsidRDefault="00CA0493" w:rsidP="00CA0493">
                  <w:pPr>
                    <w:jc w:val="center"/>
                    <w:rPr>
                      <w:rFonts w:eastAsia="Calibri"/>
                      <w:sz w:val="16"/>
                      <w:szCs w:val="16"/>
                      <w:lang w:eastAsia="en-US"/>
                    </w:rPr>
                  </w:pPr>
                  <w:r w:rsidRPr="00CA0493">
                    <w:rPr>
                      <w:sz w:val="16"/>
                      <w:szCs w:val="16"/>
                    </w:rPr>
                    <w:t>614</w:t>
                  </w:r>
                </w:p>
              </w:tc>
              <w:tc>
                <w:tcPr>
                  <w:tcW w:w="810" w:type="dxa"/>
                  <w:noWrap/>
                  <w:hideMark/>
                </w:tcPr>
                <w:p w14:paraId="35E1F1B2" w14:textId="0CAC7501" w:rsidR="00CA0493" w:rsidRPr="00CA0493" w:rsidRDefault="00CA0493" w:rsidP="00CA0493">
                  <w:pPr>
                    <w:jc w:val="center"/>
                    <w:rPr>
                      <w:rFonts w:eastAsia="Calibri"/>
                      <w:sz w:val="16"/>
                      <w:szCs w:val="16"/>
                      <w:lang w:eastAsia="en-US"/>
                    </w:rPr>
                  </w:pPr>
                  <w:r w:rsidRPr="00CA0493">
                    <w:rPr>
                      <w:sz w:val="16"/>
                      <w:szCs w:val="16"/>
                    </w:rPr>
                    <w:t>24 560</w:t>
                  </w:r>
                </w:p>
              </w:tc>
              <w:tc>
                <w:tcPr>
                  <w:tcW w:w="720" w:type="dxa"/>
                  <w:noWrap/>
                  <w:hideMark/>
                </w:tcPr>
                <w:p w14:paraId="38021B72" w14:textId="36A4E57C" w:rsidR="00CA0493" w:rsidRPr="00CA0493" w:rsidRDefault="00CA0493" w:rsidP="00CA0493">
                  <w:pPr>
                    <w:jc w:val="center"/>
                    <w:rPr>
                      <w:rFonts w:eastAsia="Calibri"/>
                      <w:sz w:val="16"/>
                      <w:szCs w:val="16"/>
                      <w:lang w:eastAsia="en-US"/>
                    </w:rPr>
                  </w:pPr>
                  <w:r w:rsidRPr="00CA0493">
                    <w:rPr>
                      <w:sz w:val="16"/>
                      <w:szCs w:val="16"/>
                    </w:rPr>
                    <w:t>39 999</w:t>
                  </w:r>
                </w:p>
              </w:tc>
              <w:tc>
                <w:tcPr>
                  <w:tcW w:w="1374" w:type="dxa"/>
                  <w:noWrap/>
                  <w:hideMark/>
                </w:tcPr>
                <w:p w14:paraId="43E3BFD4" w14:textId="2D54E5CE" w:rsidR="00CA0493" w:rsidRPr="00CA0493" w:rsidRDefault="00CA0493" w:rsidP="00CA0493">
                  <w:pPr>
                    <w:jc w:val="center"/>
                    <w:rPr>
                      <w:rFonts w:eastAsia="Calibri"/>
                      <w:b/>
                      <w:sz w:val="16"/>
                      <w:szCs w:val="16"/>
                      <w:lang w:eastAsia="en-US"/>
                    </w:rPr>
                  </w:pPr>
                  <w:r w:rsidRPr="00CA0493">
                    <w:rPr>
                      <w:b/>
                      <w:sz w:val="16"/>
                      <w:szCs w:val="16"/>
                    </w:rPr>
                    <w:t>1</w:t>
                  </w:r>
                  <w:r>
                    <w:rPr>
                      <w:b/>
                      <w:sz w:val="16"/>
                      <w:szCs w:val="16"/>
                    </w:rPr>
                    <w:t xml:space="preserve"> </w:t>
                  </w:r>
                  <w:r w:rsidRPr="00CA0493">
                    <w:rPr>
                      <w:b/>
                      <w:sz w:val="16"/>
                      <w:szCs w:val="16"/>
                    </w:rPr>
                    <w:t>473</w:t>
                  </w:r>
                  <w:r>
                    <w:rPr>
                      <w:b/>
                      <w:sz w:val="16"/>
                      <w:szCs w:val="16"/>
                    </w:rPr>
                    <w:t xml:space="preserve"> </w:t>
                  </w:r>
                  <w:r w:rsidRPr="00CA0493">
                    <w:rPr>
                      <w:b/>
                      <w:sz w:val="16"/>
                      <w:szCs w:val="16"/>
                    </w:rPr>
                    <w:t>477</w:t>
                  </w:r>
                </w:p>
              </w:tc>
            </w:tr>
            <w:tr w:rsidR="00CA0493" w:rsidRPr="00754DCE" w14:paraId="47FF0168" w14:textId="77777777" w:rsidTr="00D10CA9">
              <w:trPr>
                <w:trHeight w:val="297"/>
              </w:trPr>
              <w:tc>
                <w:tcPr>
                  <w:tcW w:w="565" w:type="dxa"/>
                  <w:noWrap/>
                  <w:hideMark/>
                </w:tcPr>
                <w:p w14:paraId="0A609A9E" w14:textId="77777777" w:rsidR="00CA0493" w:rsidRPr="00BB5CDE" w:rsidRDefault="00CA0493" w:rsidP="00CA0493">
                  <w:pPr>
                    <w:jc w:val="center"/>
                    <w:rPr>
                      <w:rFonts w:eastAsia="Calibri"/>
                      <w:sz w:val="16"/>
                      <w:szCs w:val="16"/>
                      <w:lang w:eastAsia="en-US"/>
                    </w:rPr>
                  </w:pPr>
                  <w:r w:rsidRPr="00BB5CDE">
                    <w:rPr>
                      <w:rFonts w:eastAsia="Calibri"/>
                      <w:sz w:val="16"/>
                      <w:szCs w:val="16"/>
                      <w:lang w:eastAsia="en-US"/>
                    </w:rPr>
                    <w:t>2022</w:t>
                  </w:r>
                </w:p>
              </w:tc>
              <w:tc>
                <w:tcPr>
                  <w:tcW w:w="900" w:type="dxa"/>
                  <w:noWrap/>
                  <w:hideMark/>
                </w:tcPr>
                <w:p w14:paraId="37184F21" w14:textId="12679079" w:rsidR="00CA0493" w:rsidRPr="00CA0493" w:rsidRDefault="00CA0493" w:rsidP="00CA0493">
                  <w:pPr>
                    <w:jc w:val="center"/>
                    <w:rPr>
                      <w:rFonts w:eastAsia="Calibri"/>
                      <w:sz w:val="16"/>
                      <w:szCs w:val="16"/>
                      <w:lang w:eastAsia="en-US"/>
                    </w:rPr>
                  </w:pPr>
                  <w:r w:rsidRPr="00CA0493">
                    <w:rPr>
                      <w:sz w:val="16"/>
                      <w:szCs w:val="16"/>
                    </w:rPr>
                    <w:t>22720</w:t>
                  </w:r>
                </w:p>
              </w:tc>
              <w:tc>
                <w:tcPr>
                  <w:tcW w:w="900" w:type="dxa"/>
                  <w:noWrap/>
                  <w:hideMark/>
                </w:tcPr>
                <w:p w14:paraId="3AA07384" w14:textId="454329FF" w:rsidR="00CA0493" w:rsidRPr="00CA0493" w:rsidRDefault="0030254C" w:rsidP="00CA0493">
                  <w:pPr>
                    <w:jc w:val="center"/>
                    <w:rPr>
                      <w:rFonts w:eastAsia="Calibri"/>
                      <w:sz w:val="16"/>
                      <w:szCs w:val="16"/>
                      <w:lang w:eastAsia="en-US"/>
                    </w:rPr>
                  </w:pPr>
                  <w:r>
                    <w:rPr>
                      <w:sz w:val="16"/>
                      <w:szCs w:val="16"/>
                    </w:rPr>
                    <w:t>908800</w:t>
                  </w:r>
                </w:p>
              </w:tc>
              <w:tc>
                <w:tcPr>
                  <w:tcW w:w="1080" w:type="dxa"/>
                  <w:noWrap/>
                </w:tcPr>
                <w:p w14:paraId="387C5037" w14:textId="77777777" w:rsidR="00CA0493" w:rsidRPr="00CA0493" w:rsidRDefault="00CA0493" w:rsidP="00CA0493">
                  <w:pPr>
                    <w:jc w:val="center"/>
                    <w:rPr>
                      <w:rFonts w:eastAsia="Calibri"/>
                      <w:sz w:val="16"/>
                      <w:szCs w:val="16"/>
                      <w:lang w:eastAsia="en-US"/>
                    </w:rPr>
                  </w:pPr>
                  <w:r w:rsidRPr="00CA0493">
                    <w:rPr>
                      <w:rFonts w:eastAsia="Calibri"/>
                      <w:sz w:val="16"/>
                      <w:szCs w:val="16"/>
                      <w:lang w:eastAsia="en-US"/>
                    </w:rPr>
                    <w:t>16 201</w:t>
                  </w:r>
                </w:p>
              </w:tc>
              <w:tc>
                <w:tcPr>
                  <w:tcW w:w="810" w:type="dxa"/>
                  <w:noWrap/>
                </w:tcPr>
                <w:p w14:paraId="141E2FD7" w14:textId="77777777" w:rsidR="00CA0493" w:rsidRPr="00CA0493" w:rsidRDefault="00CA0493" w:rsidP="00CA0493">
                  <w:pPr>
                    <w:jc w:val="center"/>
                    <w:rPr>
                      <w:rFonts w:eastAsia="Calibri"/>
                      <w:sz w:val="16"/>
                      <w:szCs w:val="16"/>
                      <w:lang w:eastAsia="en-US"/>
                    </w:rPr>
                  </w:pPr>
                  <w:r w:rsidRPr="00CA0493">
                    <w:rPr>
                      <w:rFonts w:eastAsia="Calibri"/>
                      <w:sz w:val="16"/>
                      <w:szCs w:val="16"/>
                      <w:lang w:eastAsia="en-US"/>
                    </w:rPr>
                    <w:t>521 557</w:t>
                  </w:r>
                </w:p>
              </w:tc>
              <w:tc>
                <w:tcPr>
                  <w:tcW w:w="810" w:type="dxa"/>
                  <w:noWrap/>
                  <w:hideMark/>
                </w:tcPr>
                <w:p w14:paraId="651E071F" w14:textId="141FE704" w:rsidR="00CA0493" w:rsidRPr="00CA0493" w:rsidRDefault="00CA0493" w:rsidP="00CA0493">
                  <w:pPr>
                    <w:jc w:val="center"/>
                    <w:rPr>
                      <w:rFonts w:eastAsia="Calibri"/>
                      <w:sz w:val="16"/>
                      <w:szCs w:val="16"/>
                      <w:lang w:eastAsia="en-US"/>
                    </w:rPr>
                  </w:pPr>
                  <w:r w:rsidRPr="00CA0493">
                    <w:rPr>
                      <w:sz w:val="16"/>
                      <w:szCs w:val="16"/>
                    </w:rPr>
                    <w:t>614</w:t>
                  </w:r>
                </w:p>
              </w:tc>
              <w:tc>
                <w:tcPr>
                  <w:tcW w:w="810" w:type="dxa"/>
                  <w:noWrap/>
                  <w:hideMark/>
                </w:tcPr>
                <w:p w14:paraId="4C041D0F" w14:textId="57EB5085" w:rsidR="00CA0493" w:rsidRPr="00CA0493" w:rsidRDefault="00CA0493" w:rsidP="00CA0493">
                  <w:pPr>
                    <w:jc w:val="center"/>
                    <w:rPr>
                      <w:rFonts w:eastAsia="Calibri"/>
                      <w:sz w:val="16"/>
                      <w:szCs w:val="16"/>
                      <w:lang w:eastAsia="en-US"/>
                    </w:rPr>
                  </w:pPr>
                  <w:r w:rsidRPr="00CA0493">
                    <w:rPr>
                      <w:sz w:val="16"/>
                      <w:szCs w:val="16"/>
                    </w:rPr>
                    <w:t>24 560</w:t>
                  </w:r>
                </w:p>
              </w:tc>
              <w:tc>
                <w:tcPr>
                  <w:tcW w:w="720" w:type="dxa"/>
                  <w:noWrap/>
                  <w:hideMark/>
                </w:tcPr>
                <w:p w14:paraId="54DB9866" w14:textId="0EA681BA" w:rsidR="00CA0493" w:rsidRPr="00CA0493" w:rsidRDefault="00CA0493" w:rsidP="00CA0493">
                  <w:pPr>
                    <w:jc w:val="center"/>
                    <w:rPr>
                      <w:rFonts w:eastAsia="Calibri"/>
                      <w:sz w:val="16"/>
                      <w:szCs w:val="16"/>
                      <w:lang w:eastAsia="en-US"/>
                    </w:rPr>
                  </w:pPr>
                  <w:r w:rsidRPr="00CA0493">
                    <w:rPr>
                      <w:sz w:val="16"/>
                      <w:szCs w:val="16"/>
                    </w:rPr>
                    <w:t>39 535</w:t>
                  </w:r>
                </w:p>
              </w:tc>
              <w:tc>
                <w:tcPr>
                  <w:tcW w:w="1374" w:type="dxa"/>
                  <w:noWrap/>
                  <w:hideMark/>
                </w:tcPr>
                <w:p w14:paraId="077253A1" w14:textId="61469229" w:rsidR="00CA0493" w:rsidRPr="00CA0493" w:rsidRDefault="00CA0493" w:rsidP="00CA0493">
                  <w:pPr>
                    <w:jc w:val="center"/>
                    <w:rPr>
                      <w:rFonts w:eastAsia="Calibri"/>
                      <w:b/>
                      <w:sz w:val="16"/>
                      <w:szCs w:val="16"/>
                      <w:lang w:eastAsia="en-US"/>
                    </w:rPr>
                  </w:pPr>
                  <w:r w:rsidRPr="001C49CA">
                    <w:rPr>
                      <w:b/>
                      <w:sz w:val="16"/>
                      <w:szCs w:val="16"/>
                    </w:rPr>
                    <w:t xml:space="preserve">1 454 </w:t>
                  </w:r>
                  <w:r w:rsidR="001C49CA" w:rsidRPr="001C49CA">
                    <w:rPr>
                      <w:b/>
                      <w:sz w:val="16"/>
                      <w:szCs w:val="16"/>
                    </w:rPr>
                    <w:t>917</w:t>
                  </w:r>
                </w:p>
              </w:tc>
            </w:tr>
          </w:tbl>
          <w:p w14:paraId="736A92C7" w14:textId="69EFB6C8" w:rsidR="0020339B" w:rsidRPr="00B32506" w:rsidRDefault="00B32506" w:rsidP="00B32506">
            <w:pPr>
              <w:rPr>
                <w:iCs/>
                <w:sz w:val="20"/>
                <w:szCs w:val="20"/>
              </w:rPr>
            </w:pPr>
            <w:r>
              <w:rPr>
                <w:iCs/>
                <w:sz w:val="20"/>
                <w:szCs w:val="20"/>
              </w:rPr>
              <w:t xml:space="preserve">*  summa veidojas no </w:t>
            </w:r>
            <w:r w:rsidRPr="00B32506">
              <w:rPr>
                <w:iCs/>
                <w:sz w:val="20"/>
                <w:szCs w:val="20"/>
              </w:rPr>
              <w:t xml:space="preserve">saskaņā ar valsts budžetu </w:t>
            </w:r>
            <w:r>
              <w:rPr>
                <w:iCs/>
                <w:sz w:val="20"/>
                <w:szCs w:val="20"/>
              </w:rPr>
              <w:t>2019.</w:t>
            </w:r>
            <w:r w:rsidRPr="00B32506">
              <w:rPr>
                <w:iCs/>
                <w:sz w:val="20"/>
                <w:szCs w:val="20"/>
              </w:rPr>
              <w:t xml:space="preserve"> gadam</w:t>
            </w:r>
            <w:r>
              <w:rPr>
                <w:iCs/>
                <w:sz w:val="20"/>
                <w:szCs w:val="20"/>
              </w:rPr>
              <w:t xml:space="preserve"> plānotās summas un papildus ieņēmumiem 400 EUR apmērā par daudzvalodu veidlapām</w:t>
            </w:r>
          </w:p>
          <w:p w14:paraId="707B741F" w14:textId="43524D35" w:rsidR="006A05F3" w:rsidRPr="00E53DBD" w:rsidRDefault="00D9513E" w:rsidP="00E53DBD">
            <w:pPr>
              <w:jc w:val="both"/>
              <w:rPr>
                <w:iCs/>
              </w:rPr>
            </w:pPr>
            <w:r w:rsidRPr="00D9513E">
              <w:rPr>
                <w:rFonts w:eastAsia="Calibri"/>
                <w:lang w:eastAsia="en-US"/>
              </w:rPr>
              <w:t>Atbilstoši Konsulārās palīdzības un konsulāro pakalpojumu likuma 4.</w:t>
            </w:r>
            <w:r>
              <w:rPr>
                <w:rFonts w:eastAsia="Calibri"/>
                <w:lang w:eastAsia="en-US"/>
              </w:rPr>
              <w:t> </w:t>
            </w:r>
            <w:r w:rsidRPr="00D9513E">
              <w:rPr>
                <w:rFonts w:eastAsia="Calibri"/>
                <w:lang w:eastAsia="en-US"/>
              </w:rPr>
              <w:t>panta otrajai daļai Ārlietu ministrijas pamatbudžetā saņemtos ieņēmumus par maksas pakalpojumiem Ārlietu ministrija prioritāri novirzīs diplomātiskā un konsulārā dienesta stiprināšanai un attīstībai, konsulāro funkciju nodrošināšanai pārstāvniecībās ārvalstīs un atlīdzībai fiziskajām personām uz tiesiskās attiecības regulējošu dokumentu pamata.</w:t>
            </w:r>
          </w:p>
        </w:tc>
      </w:tr>
      <w:tr w:rsidR="0020339B" w:rsidRPr="00291C62" w14:paraId="0981EAF2" w14:textId="77777777" w:rsidTr="00190B08">
        <w:trPr>
          <w:tblCellSpacing w:w="15" w:type="dxa"/>
        </w:trPr>
        <w:tc>
          <w:tcPr>
            <w:tcW w:w="1297" w:type="dxa"/>
            <w:tcBorders>
              <w:top w:val="outset" w:sz="6" w:space="0" w:color="auto"/>
              <w:left w:val="outset" w:sz="6" w:space="0" w:color="auto"/>
              <w:bottom w:val="outset" w:sz="6" w:space="0" w:color="auto"/>
              <w:right w:val="outset" w:sz="6" w:space="0" w:color="auto"/>
            </w:tcBorders>
            <w:hideMark/>
          </w:tcPr>
          <w:p w14:paraId="0C9B39D1" w14:textId="77777777" w:rsidR="0020339B" w:rsidRPr="0020339B" w:rsidRDefault="0020339B" w:rsidP="0020339B">
            <w:pPr>
              <w:rPr>
                <w:iCs/>
              </w:rPr>
            </w:pPr>
            <w:r w:rsidRPr="0020339B">
              <w:rPr>
                <w:iCs/>
              </w:rPr>
              <w:t>6.1. detalizēts ieņēmumu aprēķins</w:t>
            </w:r>
          </w:p>
        </w:tc>
        <w:tc>
          <w:tcPr>
            <w:tcW w:w="7818" w:type="dxa"/>
            <w:gridSpan w:val="7"/>
            <w:vMerge/>
            <w:tcBorders>
              <w:top w:val="outset" w:sz="6" w:space="0" w:color="auto"/>
              <w:left w:val="outset" w:sz="6" w:space="0" w:color="auto"/>
              <w:bottom w:val="outset" w:sz="6" w:space="0" w:color="auto"/>
              <w:right w:val="outset" w:sz="6" w:space="0" w:color="auto"/>
            </w:tcBorders>
            <w:vAlign w:val="center"/>
            <w:hideMark/>
          </w:tcPr>
          <w:p w14:paraId="3A05BF1F" w14:textId="77777777" w:rsidR="0020339B" w:rsidRPr="00D10CA9" w:rsidRDefault="0020339B" w:rsidP="0020339B">
            <w:pPr>
              <w:rPr>
                <w:iCs/>
                <w:sz w:val="20"/>
                <w:szCs w:val="20"/>
              </w:rPr>
            </w:pPr>
          </w:p>
        </w:tc>
      </w:tr>
      <w:tr w:rsidR="0020339B" w:rsidRPr="00291C62" w14:paraId="16F5EE0A" w14:textId="77777777" w:rsidTr="00190B08">
        <w:trPr>
          <w:tblCellSpacing w:w="15" w:type="dxa"/>
        </w:trPr>
        <w:tc>
          <w:tcPr>
            <w:tcW w:w="1297" w:type="dxa"/>
            <w:tcBorders>
              <w:top w:val="outset" w:sz="6" w:space="0" w:color="auto"/>
              <w:left w:val="outset" w:sz="6" w:space="0" w:color="auto"/>
              <w:bottom w:val="outset" w:sz="6" w:space="0" w:color="auto"/>
              <w:right w:val="outset" w:sz="6" w:space="0" w:color="auto"/>
            </w:tcBorders>
            <w:hideMark/>
          </w:tcPr>
          <w:p w14:paraId="581F01DB" w14:textId="77777777" w:rsidR="0020339B" w:rsidRPr="0020339B" w:rsidRDefault="0020339B" w:rsidP="0020339B">
            <w:pPr>
              <w:rPr>
                <w:iCs/>
              </w:rPr>
            </w:pPr>
            <w:r w:rsidRPr="0020339B">
              <w:rPr>
                <w:iCs/>
              </w:rPr>
              <w:t>6.2. detalizēts izdevumu aprēķins</w:t>
            </w:r>
          </w:p>
        </w:tc>
        <w:tc>
          <w:tcPr>
            <w:tcW w:w="7818" w:type="dxa"/>
            <w:gridSpan w:val="7"/>
            <w:vMerge/>
            <w:tcBorders>
              <w:top w:val="outset" w:sz="6" w:space="0" w:color="auto"/>
              <w:left w:val="outset" w:sz="6" w:space="0" w:color="auto"/>
              <w:bottom w:val="outset" w:sz="6" w:space="0" w:color="auto"/>
              <w:right w:val="outset" w:sz="6" w:space="0" w:color="auto"/>
            </w:tcBorders>
            <w:vAlign w:val="center"/>
            <w:hideMark/>
          </w:tcPr>
          <w:p w14:paraId="38971463" w14:textId="77777777" w:rsidR="0020339B" w:rsidRPr="00D10CA9" w:rsidRDefault="0020339B" w:rsidP="0020339B">
            <w:pPr>
              <w:rPr>
                <w:iCs/>
                <w:sz w:val="20"/>
                <w:szCs w:val="20"/>
              </w:rPr>
            </w:pPr>
          </w:p>
        </w:tc>
      </w:tr>
      <w:tr w:rsidR="0020339B" w:rsidRPr="0020339B" w14:paraId="0C49CF04" w14:textId="77777777" w:rsidTr="00190B08">
        <w:trPr>
          <w:tblCellSpacing w:w="15" w:type="dxa"/>
        </w:trPr>
        <w:tc>
          <w:tcPr>
            <w:tcW w:w="1297" w:type="dxa"/>
            <w:tcBorders>
              <w:top w:val="outset" w:sz="6" w:space="0" w:color="auto"/>
              <w:left w:val="outset" w:sz="6" w:space="0" w:color="auto"/>
              <w:bottom w:val="outset" w:sz="6" w:space="0" w:color="auto"/>
              <w:right w:val="outset" w:sz="6" w:space="0" w:color="auto"/>
            </w:tcBorders>
            <w:hideMark/>
          </w:tcPr>
          <w:p w14:paraId="73B9A177" w14:textId="77777777" w:rsidR="0020339B" w:rsidRPr="0020339B" w:rsidRDefault="0020339B" w:rsidP="0020339B">
            <w:pPr>
              <w:rPr>
                <w:iCs/>
              </w:rPr>
            </w:pPr>
            <w:r w:rsidRPr="0020339B">
              <w:rPr>
                <w:iCs/>
              </w:rPr>
              <w:lastRenderedPageBreak/>
              <w:t>7. Amata vietu skaita izmaiņas</w:t>
            </w:r>
          </w:p>
        </w:tc>
        <w:tc>
          <w:tcPr>
            <w:tcW w:w="7818" w:type="dxa"/>
            <w:gridSpan w:val="7"/>
            <w:tcBorders>
              <w:top w:val="outset" w:sz="6" w:space="0" w:color="auto"/>
              <w:left w:val="outset" w:sz="6" w:space="0" w:color="auto"/>
              <w:bottom w:val="outset" w:sz="6" w:space="0" w:color="auto"/>
              <w:right w:val="outset" w:sz="6" w:space="0" w:color="auto"/>
            </w:tcBorders>
            <w:hideMark/>
          </w:tcPr>
          <w:p w14:paraId="33743609" w14:textId="56382010" w:rsidR="0020339B" w:rsidRPr="0020339B" w:rsidRDefault="00BB5CDE" w:rsidP="0020339B">
            <w:pPr>
              <w:rPr>
                <w:iCs/>
              </w:rPr>
            </w:pPr>
            <w:r>
              <w:rPr>
                <w:iCs/>
              </w:rPr>
              <w:t xml:space="preserve">Nav </w:t>
            </w:r>
          </w:p>
        </w:tc>
      </w:tr>
      <w:tr w:rsidR="0020339B" w:rsidRPr="0020339B" w14:paraId="0CB76B79" w14:textId="77777777" w:rsidTr="00190B08">
        <w:trPr>
          <w:tblCellSpacing w:w="15" w:type="dxa"/>
        </w:trPr>
        <w:tc>
          <w:tcPr>
            <w:tcW w:w="1297" w:type="dxa"/>
            <w:tcBorders>
              <w:top w:val="outset" w:sz="6" w:space="0" w:color="auto"/>
              <w:left w:val="outset" w:sz="6" w:space="0" w:color="auto"/>
              <w:bottom w:val="outset" w:sz="6" w:space="0" w:color="auto"/>
              <w:right w:val="outset" w:sz="6" w:space="0" w:color="auto"/>
            </w:tcBorders>
            <w:hideMark/>
          </w:tcPr>
          <w:p w14:paraId="06977478" w14:textId="77777777" w:rsidR="0020339B" w:rsidRPr="0020339B" w:rsidRDefault="0020339B" w:rsidP="0020339B">
            <w:pPr>
              <w:rPr>
                <w:iCs/>
              </w:rPr>
            </w:pPr>
            <w:r w:rsidRPr="0020339B">
              <w:rPr>
                <w:iCs/>
              </w:rPr>
              <w:t>8. Cita informācija</w:t>
            </w:r>
          </w:p>
        </w:tc>
        <w:tc>
          <w:tcPr>
            <w:tcW w:w="7818" w:type="dxa"/>
            <w:gridSpan w:val="7"/>
            <w:tcBorders>
              <w:top w:val="outset" w:sz="6" w:space="0" w:color="auto"/>
              <w:left w:val="outset" w:sz="6" w:space="0" w:color="auto"/>
              <w:bottom w:val="outset" w:sz="6" w:space="0" w:color="auto"/>
              <w:right w:val="outset" w:sz="6" w:space="0" w:color="auto"/>
            </w:tcBorders>
            <w:hideMark/>
          </w:tcPr>
          <w:p w14:paraId="7B5BD2EB" w14:textId="185C12CF" w:rsidR="0020339B" w:rsidRPr="0020339B" w:rsidRDefault="00323993" w:rsidP="0020339B">
            <w:pPr>
              <w:rPr>
                <w:iCs/>
              </w:rPr>
            </w:pPr>
            <w:r>
              <w:rPr>
                <w:iCs/>
              </w:rPr>
              <w:t>Nav</w:t>
            </w:r>
          </w:p>
        </w:tc>
      </w:tr>
    </w:tbl>
    <w:p w14:paraId="0164C7A8" w14:textId="7F8B172D" w:rsidR="00E5323B" w:rsidRPr="00101BFD" w:rsidRDefault="00E5323B" w:rsidP="00E5323B">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101BFD" w14:paraId="0C4E0D0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C1854" w14:textId="77777777" w:rsidR="0079587B" w:rsidRPr="00101BFD" w:rsidRDefault="00E5323B" w:rsidP="00D10CA9">
            <w:pPr>
              <w:jc w:val="center"/>
              <w:rPr>
                <w:b/>
                <w:bCs/>
                <w:iCs/>
              </w:rPr>
            </w:pPr>
            <w:r w:rsidRPr="00101BFD">
              <w:rPr>
                <w:b/>
                <w:bCs/>
                <w:iCs/>
              </w:rPr>
              <w:t>IV. Tiesību akta projekta ietekme uz spēkā esošo tiesību normu sistēmu</w:t>
            </w:r>
          </w:p>
        </w:tc>
      </w:tr>
      <w:tr w:rsidR="005469AF" w:rsidRPr="00101BFD" w14:paraId="262EE3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55D770" w14:textId="77777777" w:rsidR="0079587B" w:rsidRPr="00101BFD" w:rsidRDefault="00E5323B" w:rsidP="00E5323B">
            <w:pPr>
              <w:rPr>
                <w:iCs/>
              </w:rPr>
            </w:pPr>
            <w:r w:rsidRPr="00101BFD">
              <w:rPr>
                <w:iCs/>
              </w:rPr>
              <w:t>1.</w:t>
            </w:r>
          </w:p>
        </w:tc>
        <w:tc>
          <w:tcPr>
            <w:tcW w:w="1700" w:type="pct"/>
            <w:tcBorders>
              <w:top w:val="outset" w:sz="6" w:space="0" w:color="auto"/>
              <w:left w:val="outset" w:sz="6" w:space="0" w:color="auto"/>
              <w:bottom w:val="outset" w:sz="6" w:space="0" w:color="auto"/>
              <w:right w:val="outset" w:sz="6" w:space="0" w:color="auto"/>
            </w:tcBorders>
            <w:hideMark/>
          </w:tcPr>
          <w:p w14:paraId="5D36AD61" w14:textId="77777777" w:rsidR="00E5323B" w:rsidRPr="00101BFD" w:rsidRDefault="00E5323B" w:rsidP="00E5323B">
            <w:pPr>
              <w:rPr>
                <w:iCs/>
              </w:rPr>
            </w:pPr>
            <w:r w:rsidRPr="00101BFD">
              <w:rPr>
                <w:iCs/>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5A64196" w14:textId="2CDE347C" w:rsidR="00E5323B" w:rsidRPr="00101BFD" w:rsidRDefault="00C83E7C" w:rsidP="00D70A7A">
            <w:pPr>
              <w:jc w:val="both"/>
              <w:rPr>
                <w:iCs/>
              </w:rPr>
            </w:pPr>
            <w:r>
              <w:rPr>
                <w:iCs/>
              </w:rPr>
              <w:t>Nav</w:t>
            </w:r>
          </w:p>
        </w:tc>
      </w:tr>
      <w:tr w:rsidR="005469AF" w:rsidRPr="00101BFD" w14:paraId="32A4E4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D95379" w14:textId="77777777" w:rsidR="0079587B" w:rsidRPr="00101BFD" w:rsidRDefault="00E5323B" w:rsidP="00E5323B">
            <w:pPr>
              <w:rPr>
                <w:iCs/>
              </w:rPr>
            </w:pPr>
            <w:r w:rsidRPr="00101BFD">
              <w:rPr>
                <w:iCs/>
              </w:rPr>
              <w:t>2.</w:t>
            </w:r>
          </w:p>
        </w:tc>
        <w:tc>
          <w:tcPr>
            <w:tcW w:w="1700" w:type="pct"/>
            <w:tcBorders>
              <w:top w:val="outset" w:sz="6" w:space="0" w:color="auto"/>
              <w:left w:val="outset" w:sz="6" w:space="0" w:color="auto"/>
              <w:bottom w:val="outset" w:sz="6" w:space="0" w:color="auto"/>
              <w:right w:val="outset" w:sz="6" w:space="0" w:color="auto"/>
            </w:tcBorders>
            <w:hideMark/>
          </w:tcPr>
          <w:p w14:paraId="7F6443D6" w14:textId="77777777" w:rsidR="00E5323B" w:rsidRPr="00101BFD" w:rsidRDefault="00E5323B" w:rsidP="00E5323B">
            <w:pPr>
              <w:rPr>
                <w:iCs/>
              </w:rPr>
            </w:pPr>
            <w:r w:rsidRPr="00101BFD">
              <w:rPr>
                <w:iCs/>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48B64C0" w14:textId="77777777" w:rsidR="00E5323B" w:rsidRPr="00101BFD" w:rsidRDefault="009767CF" w:rsidP="00E5323B">
            <w:pPr>
              <w:rPr>
                <w:iCs/>
              </w:rPr>
            </w:pPr>
            <w:r w:rsidRPr="00101BFD">
              <w:rPr>
                <w:iCs/>
              </w:rPr>
              <w:t>Ārlietu ministrija</w:t>
            </w:r>
          </w:p>
        </w:tc>
      </w:tr>
      <w:tr w:rsidR="005469AF" w:rsidRPr="00101BFD" w14:paraId="2A3EE9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EE52DF" w14:textId="77777777" w:rsidR="0079587B" w:rsidRPr="00101BFD" w:rsidRDefault="00E5323B" w:rsidP="00E5323B">
            <w:pPr>
              <w:rPr>
                <w:iCs/>
              </w:rPr>
            </w:pPr>
            <w:r w:rsidRPr="00101BFD">
              <w:rPr>
                <w:iCs/>
              </w:rPr>
              <w:t>3.</w:t>
            </w:r>
          </w:p>
        </w:tc>
        <w:tc>
          <w:tcPr>
            <w:tcW w:w="1700" w:type="pct"/>
            <w:tcBorders>
              <w:top w:val="outset" w:sz="6" w:space="0" w:color="auto"/>
              <w:left w:val="outset" w:sz="6" w:space="0" w:color="auto"/>
              <w:bottom w:val="outset" w:sz="6" w:space="0" w:color="auto"/>
              <w:right w:val="outset" w:sz="6" w:space="0" w:color="auto"/>
            </w:tcBorders>
            <w:hideMark/>
          </w:tcPr>
          <w:p w14:paraId="23EE36DD" w14:textId="77777777" w:rsidR="00E5323B" w:rsidRPr="00101BFD" w:rsidRDefault="00E5323B" w:rsidP="00E5323B">
            <w:pPr>
              <w:rPr>
                <w:iCs/>
              </w:rPr>
            </w:pPr>
            <w:r w:rsidRPr="00101BFD">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BB8DE3" w14:textId="77777777" w:rsidR="00E5323B" w:rsidRPr="00101BFD" w:rsidRDefault="009767CF" w:rsidP="00E5323B">
            <w:pPr>
              <w:rPr>
                <w:iCs/>
              </w:rPr>
            </w:pPr>
            <w:r w:rsidRPr="00101BFD">
              <w:rPr>
                <w:iCs/>
              </w:rPr>
              <w:t>Nav</w:t>
            </w:r>
          </w:p>
        </w:tc>
      </w:tr>
    </w:tbl>
    <w:p w14:paraId="4A918C07" w14:textId="77777777" w:rsidR="00E5323B" w:rsidRPr="00101BFD" w:rsidRDefault="00E5323B" w:rsidP="00E5323B">
      <w:pPr>
        <w:rPr>
          <w:iCs/>
        </w:rPr>
      </w:pPr>
      <w:r w:rsidRPr="00101BFD">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47126" w:rsidRPr="00047126" w14:paraId="39BE1B20" w14:textId="77777777" w:rsidTr="0004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3D1792" w14:textId="77777777" w:rsidR="00047126" w:rsidRPr="00047126" w:rsidRDefault="00047126" w:rsidP="00047126">
            <w:pPr>
              <w:jc w:val="center"/>
              <w:rPr>
                <w:b/>
                <w:bCs/>
                <w:iCs/>
              </w:rPr>
            </w:pPr>
            <w:r w:rsidRPr="00047126">
              <w:rPr>
                <w:b/>
                <w:bCs/>
                <w:iCs/>
              </w:rPr>
              <w:t>V. Tiesību akta projekta atbilstība Latvijas Republikas starptautiskajām saistībām</w:t>
            </w:r>
          </w:p>
        </w:tc>
      </w:tr>
      <w:tr w:rsidR="00047126" w:rsidRPr="00047126" w14:paraId="615ACBE1" w14:textId="77777777" w:rsidTr="0004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23615B" w14:textId="5DC6EF51" w:rsidR="00047126" w:rsidRPr="00047126" w:rsidRDefault="00047126" w:rsidP="00047126">
            <w:pPr>
              <w:jc w:val="center"/>
              <w:rPr>
                <w:bCs/>
                <w:iCs/>
              </w:rPr>
            </w:pPr>
            <w:r w:rsidRPr="00047126">
              <w:rPr>
                <w:bCs/>
                <w:iCs/>
              </w:rPr>
              <w:t>Projekts šo jomu neskar</w:t>
            </w:r>
            <w:r>
              <w:rPr>
                <w:bCs/>
                <w:iCs/>
              </w:rPr>
              <w:t>.</w:t>
            </w:r>
          </w:p>
        </w:tc>
      </w:tr>
    </w:tbl>
    <w:p w14:paraId="47E470CA" w14:textId="4BECE9CB" w:rsidR="00E5323B" w:rsidRPr="00101BFD" w:rsidRDefault="00E5323B" w:rsidP="00E5323B">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101BFD" w14:paraId="0803FF4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C7C602" w14:textId="77777777" w:rsidR="0079587B" w:rsidRPr="00101BFD" w:rsidRDefault="00E5323B" w:rsidP="00D10CA9">
            <w:pPr>
              <w:jc w:val="center"/>
              <w:rPr>
                <w:b/>
                <w:bCs/>
                <w:iCs/>
              </w:rPr>
            </w:pPr>
            <w:r w:rsidRPr="00101BFD">
              <w:rPr>
                <w:b/>
                <w:bCs/>
                <w:iCs/>
              </w:rPr>
              <w:t>VI. Sabiedrības līdzdalība un komunikācijas aktivitātes</w:t>
            </w:r>
          </w:p>
        </w:tc>
      </w:tr>
      <w:tr w:rsidR="005469AF" w:rsidRPr="00101BFD" w14:paraId="682083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657514" w14:textId="77777777" w:rsidR="0079587B" w:rsidRPr="00101BFD" w:rsidRDefault="00E5323B" w:rsidP="00E5323B">
            <w:pPr>
              <w:rPr>
                <w:iCs/>
              </w:rPr>
            </w:pPr>
            <w:r w:rsidRPr="00101BFD">
              <w:rPr>
                <w:iCs/>
              </w:rPr>
              <w:t>1.</w:t>
            </w:r>
          </w:p>
        </w:tc>
        <w:tc>
          <w:tcPr>
            <w:tcW w:w="1700" w:type="pct"/>
            <w:tcBorders>
              <w:top w:val="outset" w:sz="6" w:space="0" w:color="auto"/>
              <w:left w:val="outset" w:sz="6" w:space="0" w:color="auto"/>
              <w:bottom w:val="outset" w:sz="6" w:space="0" w:color="auto"/>
              <w:right w:val="outset" w:sz="6" w:space="0" w:color="auto"/>
            </w:tcBorders>
            <w:hideMark/>
          </w:tcPr>
          <w:p w14:paraId="7B4946C5" w14:textId="77777777" w:rsidR="00E5323B" w:rsidRPr="00101BFD" w:rsidRDefault="00E5323B" w:rsidP="002045F9">
            <w:pPr>
              <w:rPr>
                <w:iCs/>
              </w:rPr>
            </w:pPr>
            <w:r w:rsidRPr="00101BFD">
              <w:rPr>
                <w:iCs/>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52CF0D9" w14:textId="02F33AE3" w:rsidR="00E5323B" w:rsidRPr="00101BFD" w:rsidRDefault="004658FF" w:rsidP="004658FF">
            <w:pPr>
              <w:jc w:val="both"/>
              <w:rPr>
                <w:iCs/>
              </w:rPr>
            </w:pPr>
            <w:r>
              <w:rPr>
                <w:iCs/>
              </w:rPr>
              <w:t>P</w:t>
            </w:r>
            <w:r w:rsidRPr="005E2CB4">
              <w:rPr>
                <w:iCs/>
              </w:rPr>
              <w:t>irms</w:t>
            </w:r>
            <w:r>
              <w:rPr>
                <w:iCs/>
              </w:rPr>
              <w:t xml:space="preserve"> Noteikumu projekta </w:t>
            </w:r>
            <w:r w:rsidRPr="005E2CB4">
              <w:rPr>
                <w:iCs/>
              </w:rPr>
              <w:t xml:space="preserve">iesniegšanas Valsts sekretāru sanāksmē </w:t>
            </w:r>
            <w:r w:rsidR="005E2CB4">
              <w:t xml:space="preserve">Noteikumu </w:t>
            </w:r>
            <w:r w:rsidR="005E2CB4">
              <w:rPr>
                <w:iCs/>
              </w:rPr>
              <w:t xml:space="preserve">projekts, </w:t>
            </w:r>
            <w:r w:rsidR="005E2CB4" w:rsidRPr="005E2CB4">
              <w:rPr>
                <w:iCs/>
              </w:rPr>
              <w:t>tā sākotnējās ietekmes novērtējuma ziņojums (anotācija)</w:t>
            </w:r>
            <w:r w:rsidR="005E2CB4">
              <w:rPr>
                <w:iCs/>
              </w:rPr>
              <w:t xml:space="preserve"> un paziņojums</w:t>
            </w:r>
            <w:r w:rsidR="000E1C35">
              <w:rPr>
                <w:iCs/>
              </w:rPr>
              <w:t xml:space="preserve"> par sabiedrības līdzdalību</w:t>
            </w:r>
            <w:r w:rsidR="005E2CB4" w:rsidRPr="005E2CB4">
              <w:rPr>
                <w:iCs/>
              </w:rPr>
              <w:t xml:space="preserve"> </w:t>
            </w:r>
            <w:r w:rsidR="00CE581E">
              <w:rPr>
                <w:iCs/>
              </w:rPr>
              <w:t xml:space="preserve">2019. gada 19. jūnijā </w:t>
            </w:r>
            <w:r w:rsidR="005E2CB4" w:rsidRPr="005E2CB4">
              <w:rPr>
                <w:iCs/>
              </w:rPr>
              <w:t xml:space="preserve">ievietots </w:t>
            </w:r>
            <w:r w:rsidR="005E2CB4">
              <w:rPr>
                <w:iCs/>
              </w:rPr>
              <w:t>Ārlietu</w:t>
            </w:r>
            <w:r w:rsidR="005E2CB4" w:rsidRPr="005E2CB4">
              <w:rPr>
                <w:iCs/>
              </w:rPr>
              <w:t xml:space="preserve"> ministrijas tīmekļa vietnē </w:t>
            </w:r>
            <w:proofErr w:type="spellStart"/>
            <w:r w:rsidR="001B0F96">
              <w:rPr>
                <w:iCs/>
              </w:rPr>
              <w:t>www.mfa</w:t>
            </w:r>
            <w:r w:rsidR="005E2CB4">
              <w:rPr>
                <w:iCs/>
              </w:rPr>
              <w:t>.gov.lv</w:t>
            </w:r>
            <w:proofErr w:type="spellEnd"/>
            <w:r w:rsidR="005E2CB4" w:rsidRPr="005E2CB4">
              <w:rPr>
                <w:iCs/>
              </w:rPr>
              <w:t xml:space="preserve"> sadaļā “Ārlietu ministrijas ierosinātie un saskaņošanas procesā esošie tiesību aktu projekti”, aicinot sabiedrību izteikt savu viedokli par projektu</w:t>
            </w:r>
            <w:r w:rsidR="00CE581E">
              <w:rPr>
                <w:iCs/>
              </w:rPr>
              <w:t xml:space="preserve"> līdz 2019. gada 27. jūnijam</w:t>
            </w:r>
            <w:r w:rsidR="005E2CB4" w:rsidRPr="005E2CB4">
              <w:rPr>
                <w:iCs/>
              </w:rPr>
              <w:t>.</w:t>
            </w:r>
          </w:p>
        </w:tc>
      </w:tr>
      <w:tr w:rsidR="005469AF" w:rsidRPr="00101BFD" w14:paraId="18501D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5941D0" w14:textId="77777777" w:rsidR="0079587B" w:rsidRPr="00101BFD" w:rsidRDefault="00E5323B" w:rsidP="00E5323B">
            <w:pPr>
              <w:rPr>
                <w:iCs/>
              </w:rPr>
            </w:pPr>
            <w:r w:rsidRPr="00101BFD">
              <w:rPr>
                <w:iCs/>
              </w:rPr>
              <w:t>2.</w:t>
            </w:r>
          </w:p>
        </w:tc>
        <w:tc>
          <w:tcPr>
            <w:tcW w:w="1700" w:type="pct"/>
            <w:tcBorders>
              <w:top w:val="outset" w:sz="6" w:space="0" w:color="auto"/>
              <w:left w:val="outset" w:sz="6" w:space="0" w:color="auto"/>
              <w:bottom w:val="outset" w:sz="6" w:space="0" w:color="auto"/>
              <w:right w:val="outset" w:sz="6" w:space="0" w:color="auto"/>
            </w:tcBorders>
            <w:hideMark/>
          </w:tcPr>
          <w:p w14:paraId="753EAE89" w14:textId="77777777" w:rsidR="00E5323B" w:rsidRPr="00101BFD" w:rsidRDefault="00E5323B" w:rsidP="002045F9">
            <w:pPr>
              <w:jc w:val="both"/>
              <w:rPr>
                <w:iCs/>
              </w:rPr>
            </w:pPr>
            <w:r w:rsidRPr="00101BFD">
              <w:rPr>
                <w:iCs/>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0BAC625" w14:textId="063B8CE4" w:rsidR="00E5323B" w:rsidRPr="00101BFD" w:rsidRDefault="001B0F96" w:rsidP="00E5550D">
            <w:pPr>
              <w:jc w:val="both"/>
              <w:rPr>
                <w:iCs/>
              </w:rPr>
            </w:pPr>
            <w:r w:rsidRPr="001B0F96">
              <w:t>Saskaņā ar Ministru kabineta 2009. gada 25. augusta noteikumu Nr. 970 ”Sabiedrības līdzdalības kārtība attīstības plānošanas procesā” 7.4.</w:t>
            </w:r>
            <w:r w:rsidRPr="00E5550D">
              <w:rPr>
                <w:vertAlign w:val="superscript"/>
              </w:rPr>
              <w:t>1</w:t>
            </w:r>
            <w:r w:rsidRPr="001B0F96">
              <w:t xml:space="preserve"> apakš</w:t>
            </w:r>
            <w:r>
              <w:t xml:space="preserve">punktu sabiedrības pārstāvji </w:t>
            </w:r>
            <w:r w:rsidRPr="001B0F96">
              <w:t>aicināti līdzdarboties, rakstiski sniedzot viedokli par projektu tā izstrādes stadijā.</w:t>
            </w:r>
            <w:r w:rsidR="00E5550D">
              <w:t xml:space="preserve"> </w:t>
            </w:r>
            <w:r w:rsidR="00E5550D" w:rsidRPr="00E5550D">
              <w:t xml:space="preserve">Sabiedrības pārstāvji ir informēti par iespēju līdzdarboties, publicējot paziņojumu par līdzdalības procesu </w:t>
            </w:r>
            <w:r w:rsidR="00E5550D">
              <w:rPr>
                <w:iCs/>
              </w:rPr>
              <w:t>Ārlietu</w:t>
            </w:r>
            <w:r w:rsidR="00E5550D" w:rsidRPr="005E2CB4">
              <w:rPr>
                <w:iCs/>
              </w:rPr>
              <w:t xml:space="preserve"> ministrijas tīmekļa vietnē </w:t>
            </w:r>
            <w:proofErr w:type="spellStart"/>
            <w:r w:rsidR="00E5550D">
              <w:rPr>
                <w:iCs/>
              </w:rPr>
              <w:t>www.mfa.gov.lv</w:t>
            </w:r>
            <w:proofErr w:type="spellEnd"/>
            <w:r w:rsidR="00E5550D" w:rsidRPr="005E2CB4">
              <w:rPr>
                <w:iCs/>
              </w:rPr>
              <w:t xml:space="preserve"> sadaļā “Ārlietu ministrijas ierosinātie un saskaņošanas procesā esošie tiesību aktu projekti”</w:t>
            </w:r>
            <w:r w:rsidR="00E5550D">
              <w:rPr>
                <w:iCs/>
              </w:rPr>
              <w:t>.</w:t>
            </w:r>
          </w:p>
        </w:tc>
      </w:tr>
      <w:tr w:rsidR="005469AF" w:rsidRPr="00101BFD" w14:paraId="78C31B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76A076" w14:textId="77777777" w:rsidR="0079587B" w:rsidRPr="00101BFD" w:rsidRDefault="00E5323B" w:rsidP="00E5323B">
            <w:pPr>
              <w:rPr>
                <w:iCs/>
              </w:rPr>
            </w:pPr>
            <w:r w:rsidRPr="00101BFD">
              <w:rPr>
                <w:iC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5F6AB11" w14:textId="77777777" w:rsidR="00E5323B" w:rsidRPr="00101BFD" w:rsidRDefault="00E5323B" w:rsidP="00E5323B">
            <w:pPr>
              <w:rPr>
                <w:iCs/>
              </w:rPr>
            </w:pPr>
            <w:r w:rsidRPr="00101BFD">
              <w:rPr>
                <w:iCs/>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30D8564" w14:textId="0601859F" w:rsidR="00E5323B" w:rsidRPr="00101BFD" w:rsidRDefault="00C83E7C" w:rsidP="00637B04">
            <w:pPr>
              <w:jc w:val="both"/>
              <w:rPr>
                <w:iCs/>
              </w:rPr>
            </w:pPr>
            <w:r w:rsidRPr="00555853">
              <w:t>Sabiedrības pārstāvju iebildumi un priekšlikumi nav saņemti.</w:t>
            </w:r>
          </w:p>
        </w:tc>
      </w:tr>
      <w:tr w:rsidR="005469AF" w:rsidRPr="00101BFD" w14:paraId="11D60B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020277" w14:textId="77777777" w:rsidR="0079587B" w:rsidRPr="00101BFD" w:rsidRDefault="00E5323B" w:rsidP="00E5323B">
            <w:pPr>
              <w:rPr>
                <w:iCs/>
              </w:rPr>
            </w:pPr>
            <w:r w:rsidRPr="00101BFD">
              <w:rPr>
                <w:iCs/>
              </w:rPr>
              <w:t>4.</w:t>
            </w:r>
          </w:p>
        </w:tc>
        <w:tc>
          <w:tcPr>
            <w:tcW w:w="1700" w:type="pct"/>
            <w:tcBorders>
              <w:top w:val="outset" w:sz="6" w:space="0" w:color="auto"/>
              <w:left w:val="outset" w:sz="6" w:space="0" w:color="auto"/>
              <w:bottom w:val="outset" w:sz="6" w:space="0" w:color="auto"/>
              <w:right w:val="outset" w:sz="6" w:space="0" w:color="auto"/>
            </w:tcBorders>
            <w:hideMark/>
          </w:tcPr>
          <w:p w14:paraId="182585D8" w14:textId="77777777" w:rsidR="00E5323B" w:rsidRPr="00101BFD" w:rsidRDefault="00E5323B" w:rsidP="00E5323B">
            <w:pPr>
              <w:rPr>
                <w:iCs/>
              </w:rPr>
            </w:pPr>
            <w:r w:rsidRPr="00101BFD">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8C779F" w14:textId="3BDE85EF" w:rsidR="00E5323B" w:rsidRPr="00101BFD" w:rsidRDefault="00B2601F" w:rsidP="00573867">
            <w:pPr>
              <w:jc w:val="both"/>
              <w:rPr>
                <w:iCs/>
              </w:rPr>
            </w:pPr>
            <w:r>
              <w:rPr>
                <w:iCs/>
              </w:rPr>
              <w:t>Sabiedrība pēc N</w:t>
            </w:r>
            <w:r w:rsidR="00573867" w:rsidRPr="00101BFD">
              <w:rPr>
                <w:iCs/>
              </w:rPr>
              <w:t>oteikumu projekta pieņemšanas tiks informēta vispārējā kārtībā, noteikumus publicējot oficiālajā izdevumā “Latvijas Vēstnesis”, tiks ievietota nepieciešamā informācija pārstāvniecību mājaslapās.</w:t>
            </w:r>
          </w:p>
        </w:tc>
      </w:tr>
    </w:tbl>
    <w:p w14:paraId="5B9310DA" w14:textId="77777777" w:rsidR="00E5323B" w:rsidRPr="00101BFD" w:rsidRDefault="00E5323B" w:rsidP="00E5323B">
      <w:pPr>
        <w:rPr>
          <w:iCs/>
        </w:rPr>
      </w:pPr>
      <w:r w:rsidRPr="00101BFD">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101BFD" w14:paraId="29F579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FA7208" w14:textId="77777777" w:rsidR="0079587B" w:rsidRPr="00101BFD" w:rsidRDefault="00E5323B" w:rsidP="00D10CA9">
            <w:pPr>
              <w:jc w:val="center"/>
              <w:rPr>
                <w:b/>
                <w:bCs/>
                <w:iCs/>
              </w:rPr>
            </w:pPr>
            <w:r w:rsidRPr="00101BFD">
              <w:rPr>
                <w:b/>
                <w:bCs/>
                <w:iCs/>
              </w:rPr>
              <w:t>VII. Tiesību akta projekta izpildes nodrošināšana un tās ietekme uz institūcijām</w:t>
            </w:r>
          </w:p>
        </w:tc>
      </w:tr>
      <w:tr w:rsidR="005469AF" w:rsidRPr="00101BFD" w14:paraId="5A446F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5209A0" w14:textId="77777777" w:rsidR="0079587B" w:rsidRPr="00101BFD" w:rsidRDefault="00E5323B" w:rsidP="00E5323B">
            <w:pPr>
              <w:rPr>
                <w:iCs/>
              </w:rPr>
            </w:pPr>
            <w:r w:rsidRPr="00101BFD">
              <w:rPr>
                <w:iCs/>
              </w:rPr>
              <w:t>1.</w:t>
            </w:r>
          </w:p>
        </w:tc>
        <w:tc>
          <w:tcPr>
            <w:tcW w:w="1700" w:type="pct"/>
            <w:tcBorders>
              <w:top w:val="outset" w:sz="6" w:space="0" w:color="auto"/>
              <w:left w:val="outset" w:sz="6" w:space="0" w:color="auto"/>
              <w:bottom w:val="outset" w:sz="6" w:space="0" w:color="auto"/>
              <w:right w:val="outset" w:sz="6" w:space="0" w:color="auto"/>
            </w:tcBorders>
            <w:hideMark/>
          </w:tcPr>
          <w:p w14:paraId="6B482B3F" w14:textId="77777777" w:rsidR="00E5323B" w:rsidRPr="00101BFD" w:rsidRDefault="00E5323B" w:rsidP="00E5323B">
            <w:pPr>
              <w:rPr>
                <w:iCs/>
              </w:rPr>
            </w:pPr>
            <w:r w:rsidRPr="00101BFD">
              <w:rPr>
                <w:iCs/>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AAFEDD9" w14:textId="11E10D7D" w:rsidR="00E5323B" w:rsidRPr="00101BFD" w:rsidRDefault="00573867" w:rsidP="00573867">
            <w:pPr>
              <w:jc w:val="both"/>
              <w:rPr>
                <w:iCs/>
              </w:rPr>
            </w:pPr>
            <w:r w:rsidRPr="00101BFD">
              <w:rPr>
                <w:iCs/>
              </w:rPr>
              <w:t>Ārlietu ministrijas Konsulārais departaments un Latvijas Republikas diplomātiskās un konsulārās pārstāvniecības</w:t>
            </w:r>
            <w:r w:rsidR="007251BA">
              <w:rPr>
                <w:iCs/>
              </w:rPr>
              <w:t xml:space="preserve"> ārvalstīs</w:t>
            </w:r>
            <w:r w:rsidRPr="00101BFD">
              <w:rPr>
                <w:iCs/>
              </w:rPr>
              <w:t>.</w:t>
            </w:r>
          </w:p>
        </w:tc>
      </w:tr>
      <w:tr w:rsidR="005469AF" w:rsidRPr="00101BFD" w14:paraId="0CCBC9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6DE1A5" w14:textId="77777777" w:rsidR="0079587B" w:rsidRPr="00101BFD" w:rsidRDefault="00E5323B" w:rsidP="00E5323B">
            <w:pPr>
              <w:rPr>
                <w:iCs/>
              </w:rPr>
            </w:pPr>
            <w:r w:rsidRPr="00101BFD">
              <w:rPr>
                <w:iCs/>
              </w:rPr>
              <w:t>2.</w:t>
            </w:r>
          </w:p>
        </w:tc>
        <w:tc>
          <w:tcPr>
            <w:tcW w:w="1700" w:type="pct"/>
            <w:tcBorders>
              <w:top w:val="outset" w:sz="6" w:space="0" w:color="auto"/>
              <w:left w:val="outset" w:sz="6" w:space="0" w:color="auto"/>
              <w:bottom w:val="outset" w:sz="6" w:space="0" w:color="auto"/>
              <w:right w:val="outset" w:sz="6" w:space="0" w:color="auto"/>
            </w:tcBorders>
            <w:hideMark/>
          </w:tcPr>
          <w:p w14:paraId="28762B2B" w14:textId="77777777" w:rsidR="00E5323B" w:rsidRPr="00101BFD" w:rsidRDefault="00E5323B" w:rsidP="00E5323B">
            <w:pPr>
              <w:rPr>
                <w:iCs/>
              </w:rPr>
            </w:pPr>
            <w:r w:rsidRPr="00101BFD">
              <w:rPr>
                <w:iCs/>
              </w:rPr>
              <w:t>Projekta izpildes ietekme uz pārvaldes funkcijām un institucionālo struktūru.</w:t>
            </w:r>
            <w:r w:rsidRPr="00101BFD">
              <w:rPr>
                <w:iCs/>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862DB40" w14:textId="77777777" w:rsidR="00573867" w:rsidRPr="00101BFD" w:rsidRDefault="00573867" w:rsidP="00573867">
            <w:pPr>
              <w:jc w:val="both"/>
              <w:rPr>
                <w:iCs/>
              </w:rPr>
            </w:pPr>
            <w:r w:rsidRPr="00101BFD">
              <w:rPr>
                <w:iCs/>
              </w:rPr>
              <w:t>Projekta izpilde notiks esošo pārvaldes funkciju ietvaros.</w:t>
            </w:r>
          </w:p>
          <w:p w14:paraId="6381FCCA" w14:textId="77777777" w:rsidR="00E5323B" w:rsidRPr="00101BFD" w:rsidRDefault="00573867" w:rsidP="00573867">
            <w:pPr>
              <w:jc w:val="both"/>
              <w:rPr>
                <w:iCs/>
              </w:rPr>
            </w:pPr>
            <w:r w:rsidRPr="00101BFD">
              <w:rPr>
                <w:iCs/>
              </w:rPr>
              <w:t>Noteikumu projekts neparedz jaunu institūciju izveidi, esošo likvidēšanu vai reorganizāciju.</w:t>
            </w:r>
          </w:p>
        </w:tc>
      </w:tr>
      <w:tr w:rsidR="00E5323B" w:rsidRPr="00101BFD" w14:paraId="69D57A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0666BF" w14:textId="77777777" w:rsidR="0079587B" w:rsidRPr="00101BFD" w:rsidRDefault="00E5323B" w:rsidP="00E5323B">
            <w:pPr>
              <w:rPr>
                <w:iCs/>
              </w:rPr>
            </w:pPr>
            <w:r w:rsidRPr="00101BFD">
              <w:rPr>
                <w:iCs/>
              </w:rPr>
              <w:t>3.</w:t>
            </w:r>
          </w:p>
        </w:tc>
        <w:tc>
          <w:tcPr>
            <w:tcW w:w="1700" w:type="pct"/>
            <w:tcBorders>
              <w:top w:val="outset" w:sz="6" w:space="0" w:color="auto"/>
              <w:left w:val="outset" w:sz="6" w:space="0" w:color="auto"/>
              <w:bottom w:val="outset" w:sz="6" w:space="0" w:color="auto"/>
              <w:right w:val="outset" w:sz="6" w:space="0" w:color="auto"/>
            </w:tcBorders>
            <w:hideMark/>
          </w:tcPr>
          <w:p w14:paraId="6DA06B20" w14:textId="77777777" w:rsidR="00E5323B" w:rsidRPr="00101BFD" w:rsidRDefault="00E5323B" w:rsidP="00E5323B">
            <w:pPr>
              <w:rPr>
                <w:iCs/>
              </w:rPr>
            </w:pPr>
            <w:r w:rsidRPr="00101BFD">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3A9E3E" w14:textId="77777777" w:rsidR="00E5323B" w:rsidRPr="00101BFD" w:rsidRDefault="00573867" w:rsidP="00573867">
            <w:pPr>
              <w:rPr>
                <w:iCs/>
              </w:rPr>
            </w:pPr>
            <w:r w:rsidRPr="00101BFD">
              <w:rPr>
                <w:iCs/>
              </w:rPr>
              <w:t>Nav</w:t>
            </w:r>
          </w:p>
        </w:tc>
      </w:tr>
    </w:tbl>
    <w:p w14:paraId="3DB73FA7" w14:textId="77777777" w:rsidR="00C25B49" w:rsidRPr="00101BFD" w:rsidRDefault="00C25B49" w:rsidP="00894C55">
      <w:pPr>
        <w:rPr>
          <w:sz w:val="28"/>
          <w:szCs w:val="28"/>
        </w:rPr>
      </w:pPr>
    </w:p>
    <w:p w14:paraId="3A11ACBB" w14:textId="77777777" w:rsidR="00E5323B" w:rsidRPr="00101BFD" w:rsidRDefault="00E5323B" w:rsidP="00894C55">
      <w:pPr>
        <w:rPr>
          <w:sz w:val="28"/>
          <w:szCs w:val="28"/>
        </w:rPr>
      </w:pPr>
    </w:p>
    <w:p w14:paraId="146312BD" w14:textId="34313442" w:rsidR="00047126" w:rsidRPr="00B2601F" w:rsidRDefault="00047126" w:rsidP="00047126">
      <w:pPr>
        <w:tabs>
          <w:tab w:val="right" w:pos="9071"/>
        </w:tabs>
        <w:rPr>
          <w:rFonts w:eastAsiaTheme="minorHAnsi"/>
          <w:sz w:val="28"/>
          <w:szCs w:val="28"/>
          <w:lang w:eastAsia="en-US"/>
        </w:rPr>
      </w:pPr>
      <w:r w:rsidRPr="00B2601F">
        <w:rPr>
          <w:rFonts w:eastAsiaTheme="minorHAnsi"/>
          <w:sz w:val="28"/>
          <w:szCs w:val="28"/>
          <w:lang w:eastAsia="en-US"/>
        </w:rPr>
        <w:t>Ārlietu ministrs</w:t>
      </w:r>
      <w:r w:rsidRPr="00B2601F">
        <w:rPr>
          <w:rFonts w:eastAsiaTheme="minorHAnsi"/>
          <w:sz w:val="28"/>
          <w:szCs w:val="28"/>
          <w:lang w:eastAsia="en-US"/>
        </w:rPr>
        <w:tab/>
        <w:t>E.</w:t>
      </w:r>
      <w:r w:rsidR="00AC55D0" w:rsidRPr="00B2601F">
        <w:rPr>
          <w:rFonts w:eastAsiaTheme="minorHAnsi"/>
          <w:sz w:val="28"/>
          <w:szCs w:val="28"/>
          <w:lang w:eastAsia="en-US"/>
        </w:rPr>
        <w:t> </w:t>
      </w:r>
      <w:r w:rsidRPr="00B2601F">
        <w:rPr>
          <w:rFonts w:eastAsiaTheme="minorHAnsi"/>
          <w:sz w:val="28"/>
          <w:szCs w:val="28"/>
          <w:lang w:eastAsia="en-US"/>
        </w:rPr>
        <w:t>Rinkēvičs</w:t>
      </w:r>
    </w:p>
    <w:p w14:paraId="164DF8CD" w14:textId="77777777" w:rsidR="002045F9" w:rsidRPr="00B2601F" w:rsidRDefault="002045F9" w:rsidP="00047126">
      <w:pPr>
        <w:ind w:left="90"/>
        <w:jc w:val="both"/>
      </w:pPr>
    </w:p>
    <w:p w14:paraId="484E90FC" w14:textId="04A27CF6" w:rsidR="002045F9" w:rsidRPr="00B2601F" w:rsidRDefault="002045F9" w:rsidP="007C4440">
      <w:pPr>
        <w:tabs>
          <w:tab w:val="left" w:pos="6237"/>
        </w:tabs>
      </w:pPr>
    </w:p>
    <w:p w14:paraId="68A09E44" w14:textId="24D85309" w:rsidR="008B1FDA" w:rsidRPr="00B2601F" w:rsidRDefault="008B1FDA" w:rsidP="007C4440">
      <w:pPr>
        <w:tabs>
          <w:tab w:val="left" w:pos="6237"/>
        </w:tabs>
      </w:pPr>
    </w:p>
    <w:p w14:paraId="19F65517" w14:textId="77777777" w:rsidR="008B1FDA" w:rsidRPr="00B2601F" w:rsidRDefault="008B1FDA" w:rsidP="007C4440">
      <w:pPr>
        <w:tabs>
          <w:tab w:val="left" w:pos="6237"/>
        </w:tabs>
      </w:pPr>
    </w:p>
    <w:p w14:paraId="09879F80" w14:textId="77777777" w:rsidR="00B2601F" w:rsidRPr="00B2601F" w:rsidRDefault="00B2601F" w:rsidP="008C04F2">
      <w:pPr>
        <w:tabs>
          <w:tab w:val="left" w:pos="6237"/>
        </w:tabs>
      </w:pPr>
    </w:p>
    <w:p w14:paraId="775B1A58" w14:textId="57010AE2" w:rsidR="00C83E7C" w:rsidRDefault="003B162F" w:rsidP="008C04F2">
      <w:pPr>
        <w:tabs>
          <w:tab w:val="left" w:pos="6237"/>
        </w:tabs>
      </w:pPr>
      <w:r w:rsidRPr="00AB753F">
        <w:t>Burbergs</w:t>
      </w:r>
      <w:r w:rsidR="00C83E7C">
        <w:t xml:space="preserve"> </w:t>
      </w:r>
      <w:r w:rsidRPr="00AB753F">
        <w:t>67016414</w:t>
      </w:r>
    </w:p>
    <w:p w14:paraId="380D86A5" w14:textId="799756F9" w:rsidR="00894C55" w:rsidRPr="00AB753F" w:rsidRDefault="003B162F" w:rsidP="008C04F2">
      <w:pPr>
        <w:tabs>
          <w:tab w:val="left" w:pos="6237"/>
        </w:tabs>
      </w:pPr>
      <w:r w:rsidRPr="00AB753F">
        <w:t>Maris.Burbergs</w:t>
      </w:r>
      <w:r w:rsidR="008C04F2" w:rsidRPr="00AB753F">
        <w:t>@mfa.gov.lv</w:t>
      </w:r>
    </w:p>
    <w:sectPr w:rsidR="00894C55" w:rsidRPr="00AB753F" w:rsidSect="00D10CA9">
      <w:headerReference w:type="default" r:id="rId10"/>
      <w:footerReference w:type="default" r:id="rId11"/>
      <w:footerReference w:type="first" r:id="rId12"/>
      <w:pgSz w:w="11906" w:h="16838"/>
      <w:pgMar w:top="1418" w:right="1134" w:bottom="1134" w:left="170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BC03A" w14:textId="77777777" w:rsidR="00E77CDA" w:rsidRDefault="00E77CDA" w:rsidP="00894C55">
      <w:r>
        <w:separator/>
      </w:r>
    </w:p>
  </w:endnote>
  <w:endnote w:type="continuationSeparator" w:id="0">
    <w:p w14:paraId="5C650600" w14:textId="77777777" w:rsidR="00E77CDA" w:rsidRDefault="00E77CDA"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4928" w14:textId="77777777" w:rsidR="00E77CDA" w:rsidRDefault="00E77CDA" w:rsidP="00577642">
    <w:pPr>
      <w:pStyle w:val="Footer"/>
      <w:rPr>
        <w:rFonts w:cs="Times New Roman"/>
        <w:sz w:val="20"/>
        <w:szCs w:val="20"/>
      </w:rPr>
    </w:pPr>
  </w:p>
  <w:p w14:paraId="1B275701" w14:textId="20E6BAF7" w:rsidR="00E77CDA" w:rsidRPr="009A2654" w:rsidRDefault="00E77CDA" w:rsidP="00577642">
    <w:pPr>
      <w:pStyle w:val="Footer"/>
      <w:rPr>
        <w:rFonts w:cs="Times New Roman"/>
        <w:sz w:val="20"/>
        <w:szCs w:val="20"/>
      </w:rPr>
    </w:pPr>
    <w:r>
      <w:rPr>
        <w:rFonts w:cs="Times New Roman"/>
        <w:sz w:val="20"/>
        <w:szCs w:val="20"/>
      </w:rPr>
      <w:t>AManot_090919_Cenradis</w:t>
    </w:r>
  </w:p>
  <w:p w14:paraId="4F41822D" w14:textId="77777777" w:rsidR="00E77CDA" w:rsidRPr="00577642" w:rsidRDefault="00E77CDA" w:rsidP="005776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AA538" w14:textId="41CFDFA8" w:rsidR="00E77CDA" w:rsidRPr="009A2654" w:rsidRDefault="00E77CDA">
    <w:pPr>
      <w:pStyle w:val="Footer"/>
      <w:rPr>
        <w:rFonts w:cs="Times New Roman"/>
        <w:sz w:val="20"/>
        <w:szCs w:val="20"/>
      </w:rPr>
    </w:pPr>
    <w:r>
      <w:rPr>
        <w:rFonts w:cs="Times New Roman"/>
        <w:sz w:val="20"/>
        <w:szCs w:val="20"/>
      </w:rPr>
      <w:t>AManot_090919_Cenradis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A5C7D" w14:textId="77777777" w:rsidR="00E77CDA" w:rsidRDefault="00E77CDA" w:rsidP="00894C55">
      <w:r>
        <w:separator/>
      </w:r>
    </w:p>
  </w:footnote>
  <w:footnote w:type="continuationSeparator" w:id="0">
    <w:p w14:paraId="38C4C6F5" w14:textId="77777777" w:rsidR="00E77CDA" w:rsidRDefault="00E77CDA" w:rsidP="00894C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81255"/>
      <w:docPartObj>
        <w:docPartGallery w:val="Page Numbers (Top of Page)"/>
        <w:docPartUnique/>
      </w:docPartObj>
    </w:sdtPr>
    <w:sdtEndPr>
      <w:rPr>
        <w:noProof/>
      </w:rPr>
    </w:sdtEndPr>
    <w:sdtContent>
      <w:p w14:paraId="6DFDD1B9" w14:textId="67786E1A" w:rsidR="00E77CDA" w:rsidRDefault="00E77CDA">
        <w:pPr>
          <w:pStyle w:val="Header"/>
          <w:jc w:val="center"/>
        </w:pPr>
        <w:r>
          <w:fldChar w:fldCharType="begin"/>
        </w:r>
        <w:r>
          <w:instrText xml:space="preserve"> PAGE   \* MERGEFORMAT </w:instrText>
        </w:r>
        <w:r>
          <w:fldChar w:fldCharType="separate"/>
        </w:r>
        <w:r w:rsidR="00272EBE">
          <w:rPr>
            <w:noProof/>
          </w:rPr>
          <w:t>16</w:t>
        </w:r>
        <w:r>
          <w:rPr>
            <w:noProof/>
          </w:rPr>
          <w:fldChar w:fldCharType="end"/>
        </w:r>
      </w:p>
    </w:sdtContent>
  </w:sdt>
  <w:p w14:paraId="609B0C5C" w14:textId="05717E10" w:rsidR="00E77CDA" w:rsidRPr="00C25B49" w:rsidRDefault="00E77CDA">
    <w:pPr>
      <w:pStyle w:val="Header"/>
      <w:jc w:val="center"/>
      <w:rPr>
        <w:rFonts w:cs="Times New Roman"/>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3D70FD9"/>
    <w:multiLevelType w:val="hybridMultilevel"/>
    <w:tmpl w:val="4CA47F1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C0A7E2B"/>
    <w:multiLevelType w:val="hybridMultilevel"/>
    <w:tmpl w:val="E536F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C0107CC"/>
    <w:multiLevelType w:val="hybridMultilevel"/>
    <w:tmpl w:val="7E4C8E4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17F3926"/>
    <w:multiLevelType w:val="hybridMultilevel"/>
    <w:tmpl w:val="7B644B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4D1E11"/>
    <w:multiLevelType w:val="hybridMultilevel"/>
    <w:tmpl w:val="A2CC1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DE2FF8"/>
    <w:multiLevelType w:val="hybridMultilevel"/>
    <w:tmpl w:val="63D6A58C"/>
    <w:lvl w:ilvl="0" w:tplc="463CEA3A">
      <w:start w:val="1"/>
      <w:numFmt w:val="bullet"/>
      <w:lvlText w:val=""/>
      <w:lvlJc w:val="left"/>
      <w:pPr>
        <w:ind w:left="410" w:hanging="360"/>
      </w:pPr>
      <w:rPr>
        <w:rFonts w:ascii="Symbol" w:eastAsia="Times New Roman" w:hAnsi="Symbol" w:cs="Times New Roman" w:hint="default"/>
      </w:rPr>
    </w:lvl>
    <w:lvl w:ilvl="1" w:tplc="04260003" w:tentative="1">
      <w:start w:val="1"/>
      <w:numFmt w:val="bullet"/>
      <w:lvlText w:val="o"/>
      <w:lvlJc w:val="left"/>
      <w:pPr>
        <w:ind w:left="1130" w:hanging="360"/>
      </w:pPr>
      <w:rPr>
        <w:rFonts w:ascii="Courier New" w:hAnsi="Courier New" w:cs="Courier New" w:hint="default"/>
      </w:rPr>
    </w:lvl>
    <w:lvl w:ilvl="2" w:tplc="04260005" w:tentative="1">
      <w:start w:val="1"/>
      <w:numFmt w:val="bullet"/>
      <w:lvlText w:val=""/>
      <w:lvlJc w:val="left"/>
      <w:pPr>
        <w:ind w:left="1850" w:hanging="360"/>
      </w:pPr>
      <w:rPr>
        <w:rFonts w:ascii="Wingdings" w:hAnsi="Wingdings" w:hint="default"/>
      </w:rPr>
    </w:lvl>
    <w:lvl w:ilvl="3" w:tplc="04260001" w:tentative="1">
      <w:start w:val="1"/>
      <w:numFmt w:val="bullet"/>
      <w:lvlText w:val=""/>
      <w:lvlJc w:val="left"/>
      <w:pPr>
        <w:ind w:left="2570" w:hanging="360"/>
      </w:pPr>
      <w:rPr>
        <w:rFonts w:ascii="Symbol" w:hAnsi="Symbol" w:hint="default"/>
      </w:rPr>
    </w:lvl>
    <w:lvl w:ilvl="4" w:tplc="04260003" w:tentative="1">
      <w:start w:val="1"/>
      <w:numFmt w:val="bullet"/>
      <w:lvlText w:val="o"/>
      <w:lvlJc w:val="left"/>
      <w:pPr>
        <w:ind w:left="3290" w:hanging="360"/>
      </w:pPr>
      <w:rPr>
        <w:rFonts w:ascii="Courier New" w:hAnsi="Courier New" w:cs="Courier New" w:hint="default"/>
      </w:rPr>
    </w:lvl>
    <w:lvl w:ilvl="5" w:tplc="04260005" w:tentative="1">
      <w:start w:val="1"/>
      <w:numFmt w:val="bullet"/>
      <w:lvlText w:val=""/>
      <w:lvlJc w:val="left"/>
      <w:pPr>
        <w:ind w:left="4010" w:hanging="360"/>
      </w:pPr>
      <w:rPr>
        <w:rFonts w:ascii="Wingdings" w:hAnsi="Wingdings" w:hint="default"/>
      </w:rPr>
    </w:lvl>
    <w:lvl w:ilvl="6" w:tplc="04260001" w:tentative="1">
      <w:start w:val="1"/>
      <w:numFmt w:val="bullet"/>
      <w:lvlText w:val=""/>
      <w:lvlJc w:val="left"/>
      <w:pPr>
        <w:ind w:left="4730" w:hanging="360"/>
      </w:pPr>
      <w:rPr>
        <w:rFonts w:ascii="Symbol" w:hAnsi="Symbol" w:hint="default"/>
      </w:rPr>
    </w:lvl>
    <w:lvl w:ilvl="7" w:tplc="04260003" w:tentative="1">
      <w:start w:val="1"/>
      <w:numFmt w:val="bullet"/>
      <w:lvlText w:val="o"/>
      <w:lvlJc w:val="left"/>
      <w:pPr>
        <w:ind w:left="5450" w:hanging="360"/>
      </w:pPr>
      <w:rPr>
        <w:rFonts w:ascii="Courier New" w:hAnsi="Courier New" w:cs="Courier New" w:hint="default"/>
      </w:rPr>
    </w:lvl>
    <w:lvl w:ilvl="8" w:tplc="04260005" w:tentative="1">
      <w:start w:val="1"/>
      <w:numFmt w:val="bullet"/>
      <w:lvlText w:val=""/>
      <w:lvlJc w:val="left"/>
      <w:pPr>
        <w:ind w:left="6170" w:hanging="360"/>
      </w:pPr>
      <w:rPr>
        <w:rFonts w:ascii="Wingdings" w:hAnsi="Wingdings" w:hint="default"/>
      </w:rPr>
    </w:lvl>
  </w:abstractNum>
  <w:abstractNum w:abstractNumId="6" w15:restartNumberingAfterBreak="0">
    <w:nsid w:val="74D72177"/>
    <w:multiLevelType w:val="hybridMultilevel"/>
    <w:tmpl w:val="AC328C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BB94359"/>
    <w:multiLevelType w:val="hybridMultilevel"/>
    <w:tmpl w:val="CC96500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6"/>
  </w:num>
  <w:num w:numId="3">
    <w:abstractNumId w:val="4"/>
  </w:num>
  <w:num w:numId="4">
    <w:abstractNumId w:val="2"/>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EC"/>
    <w:rsid w:val="00001941"/>
    <w:rsid w:val="00001B68"/>
    <w:rsid w:val="00002907"/>
    <w:rsid w:val="00007D9E"/>
    <w:rsid w:val="00015294"/>
    <w:rsid w:val="00016A3B"/>
    <w:rsid w:val="00020DC1"/>
    <w:rsid w:val="000223FD"/>
    <w:rsid w:val="000232FB"/>
    <w:rsid w:val="00023BF6"/>
    <w:rsid w:val="00027537"/>
    <w:rsid w:val="00030C8B"/>
    <w:rsid w:val="000318D0"/>
    <w:rsid w:val="00031CFC"/>
    <w:rsid w:val="00034AA6"/>
    <w:rsid w:val="00037B51"/>
    <w:rsid w:val="00042C74"/>
    <w:rsid w:val="000463D2"/>
    <w:rsid w:val="00046CA8"/>
    <w:rsid w:val="00047126"/>
    <w:rsid w:val="0005361B"/>
    <w:rsid w:val="00054764"/>
    <w:rsid w:val="00054DA3"/>
    <w:rsid w:val="00054EC2"/>
    <w:rsid w:val="00063F84"/>
    <w:rsid w:val="0006439C"/>
    <w:rsid w:val="0006465A"/>
    <w:rsid w:val="0007054B"/>
    <w:rsid w:val="00070705"/>
    <w:rsid w:val="00074FC7"/>
    <w:rsid w:val="000776FC"/>
    <w:rsid w:val="0008346C"/>
    <w:rsid w:val="00084365"/>
    <w:rsid w:val="00084B06"/>
    <w:rsid w:val="000854E9"/>
    <w:rsid w:val="00087C10"/>
    <w:rsid w:val="00090F27"/>
    <w:rsid w:val="00093574"/>
    <w:rsid w:val="00096E21"/>
    <w:rsid w:val="000A7684"/>
    <w:rsid w:val="000B044B"/>
    <w:rsid w:val="000B14AD"/>
    <w:rsid w:val="000B7BE3"/>
    <w:rsid w:val="000C077B"/>
    <w:rsid w:val="000C07B3"/>
    <w:rsid w:val="000C5180"/>
    <w:rsid w:val="000C59B1"/>
    <w:rsid w:val="000D15C2"/>
    <w:rsid w:val="000D2B59"/>
    <w:rsid w:val="000D3ED1"/>
    <w:rsid w:val="000D4ACA"/>
    <w:rsid w:val="000D6604"/>
    <w:rsid w:val="000E1C35"/>
    <w:rsid w:val="000E314F"/>
    <w:rsid w:val="000E41DA"/>
    <w:rsid w:val="000F25C6"/>
    <w:rsid w:val="000F2C79"/>
    <w:rsid w:val="000F5FB8"/>
    <w:rsid w:val="000F617F"/>
    <w:rsid w:val="000F6F0A"/>
    <w:rsid w:val="00101484"/>
    <w:rsid w:val="0010196F"/>
    <w:rsid w:val="00101BFD"/>
    <w:rsid w:val="001073A1"/>
    <w:rsid w:val="00116F0E"/>
    <w:rsid w:val="00120833"/>
    <w:rsid w:val="00124571"/>
    <w:rsid w:val="00132607"/>
    <w:rsid w:val="001437BB"/>
    <w:rsid w:val="00144306"/>
    <w:rsid w:val="001477B7"/>
    <w:rsid w:val="00170C6D"/>
    <w:rsid w:val="00170CA4"/>
    <w:rsid w:val="001735B6"/>
    <w:rsid w:val="001749F1"/>
    <w:rsid w:val="00180964"/>
    <w:rsid w:val="001810B5"/>
    <w:rsid w:val="00182A00"/>
    <w:rsid w:val="0018429C"/>
    <w:rsid w:val="00185342"/>
    <w:rsid w:val="00190B08"/>
    <w:rsid w:val="00192833"/>
    <w:rsid w:val="00193DBC"/>
    <w:rsid w:val="00195CBB"/>
    <w:rsid w:val="0019723A"/>
    <w:rsid w:val="001B0571"/>
    <w:rsid w:val="001B0F96"/>
    <w:rsid w:val="001B1C35"/>
    <w:rsid w:val="001B5144"/>
    <w:rsid w:val="001B6CFE"/>
    <w:rsid w:val="001B7C8F"/>
    <w:rsid w:val="001C0AF7"/>
    <w:rsid w:val="001C1615"/>
    <w:rsid w:val="001C49CA"/>
    <w:rsid w:val="001C74BD"/>
    <w:rsid w:val="001D4D15"/>
    <w:rsid w:val="001E03DF"/>
    <w:rsid w:val="001E141A"/>
    <w:rsid w:val="001E1BC5"/>
    <w:rsid w:val="001E33EA"/>
    <w:rsid w:val="001E61C7"/>
    <w:rsid w:val="001E682E"/>
    <w:rsid w:val="001E68CC"/>
    <w:rsid w:val="001E7398"/>
    <w:rsid w:val="001F1F79"/>
    <w:rsid w:val="001F5AA6"/>
    <w:rsid w:val="00201B69"/>
    <w:rsid w:val="0020339B"/>
    <w:rsid w:val="002045F9"/>
    <w:rsid w:val="00204773"/>
    <w:rsid w:val="002058E3"/>
    <w:rsid w:val="00213577"/>
    <w:rsid w:val="0022737A"/>
    <w:rsid w:val="00230553"/>
    <w:rsid w:val="00236070"/>
    <w:rsid w:val="00241BDF"/>
    <w:rsid w:val="00243426"/>
    <w:rsid w:val="00243DB6"/>
    <w:rsid w:val="00251774"/>
    <w:rsid w:val="002517E8"/>
    <w:rsid w:val="002536A8"/>
    <w:rsid w:val="00254A74"/>
    <w:rsid w:val="00261146"/>
    <w:rsid w:val="00263D31"/>
    <w:rsid w:val="002660E0"/>
    <w:rsid w:val="00270B34"/>
    <w:rsid w:val="00272EBE"/>
    <w:rsid w:val="002766FB"/>
    <w:rsid w:val="00276CB4"/>
    <w:rsid w:val="00276F99"/>
    <w:rsid w:val="002771FE"/>
    <w:rsid w:val="00277320"/>
    <w:rsid w:val="002848DE"/>
    <w:rsid w:val="00285909"/>
    <w:rsid w:val="00285F59"/>
    <w:rsid w:val="00287222"/>
    <w:rsid w:val="00291C62"/>
    <w:rsid w:val="002A2199"/>
    <w:rsid w:val="002A35DB"/>
    <w:rsid w:val="002B19AE"/>
    <w:rsid w:val="002B22C6"/>
    <w:rsid w:val="002C6578"/>
    <w:rsid w:val="002D0157"/>
    <w:rsid w:val="002D2758"/>
    <w:rsid w:val="002D34BA"/>
    <w:rsid w:val="002E0C9F"/>
    <w:rsid w:val="002E0DA9"/>
    <w:rsid w:val="002E1C05"/>
    <w:rsid w:val="002E2825"/>
    <w:rsid w:val="002E554B"/>
    <w:rsid w:val="002E627D"/>
    <w:rsid w:val="002F00D0"/>
    <w:rsid w:val="002F02B9"/>
    <w:rsid w:val="002F3069"/>
    <w:rsid w:val="003017F4"/>
    <w:rsid w:val="00301D92"/>
    <w:rsid w:val="0030254C"/>
    <w:rsid w:val="003025ED"/>
    <w:rsid w:val="00302B78"/>
    <w:rsid w:val="00307A0D"/>
    <w:rsid w:val="00311D6C"/>
    <w:rsid w:val="003123E7"/>
    <w:rsid w:val="00312E7D"/>
    <w:rsid w:val="00314599"/>
    <w:rsid w:val="003159C5"/>
    <w:rsid w:val="00316528"/>
    <w:rsid w:val="00321993"/>
    <w:rsid w:val="003223EE"/>
    <w:rsid w:val="00323993"/>
    <w:rsid w:val="00323D1F"/>
    <w:rsid w:val="00324859"/>
    <w:rsid w:val="00324E38"/>
    <w:rsid w:val="00325587"/>
    <w:rsid w:val="003266F9"/>
    <w:rsid w:val="00331214"/>
    <w:rsid w:val="0033147F"/>
    <w:rsid w:val="00332D78"/>
    <w:rsid w:val="00341037"/>
    <w:rsid w:val="0034194F"/>
    <w:rsid w:val="00346F28"/>
    <w:rsid w:val="00347796"/>
    <w:rsid w:val="003510E4"/>
    <w:rsid w:val="00360436"/>
    <w:rsid w:val="0036135B"/>
    <w:rsid w:val="00362F85"/>
    <w:rsid w:val="00364A61"/>
    <w:rsid w:val="0036517D"/>
    <w:rsid w:val="003722AC"/>
    <w:rsid w:val="0038131A"/>
    <w:rsid w:val="00381672"/>
    <w:rsid w:val="0039009E"/>
    <w:rsid w:val="00391A98"/>
    <w:rsid w:val="003938C7"/>
    <w:rsid w:val="00396A20"/>
    <w:rsid w:val="003970EB"/>
    <w:rsid w:val="003A08BD"/>
    <w:rsid w:val="003A55EC"/>
    <w:rsid w:val="003A5799"/>
    <w:rsid w:val="003B0BF9"/>
    <w:rsid w:val="003B162F"/>
    <w:rsid w:val="003B313B"/>
    <w:rsid w:val="003B347C"/>
    <w:rsid w:val="003B4E3C"/>
    <w:rsid w:val="003B5252"/>
    <w:rsid w:val="003B5A94"/>
    <w:rsid w:val="003B7574"/>
    <w:rsid w:val="003C5E72"/>
    <w:rsid w:val="003C60EF"/>
    <w:rsid w:val="003D26EF"/>
    <w:rsid w:val="003D7837"/>
    <w:rsid w:val="003E0791"/>
    <w:rsid w:val="003E6687"/>
    <w:rsid w:val="003E723E"/>
    <w:rsid w:val="003F16A3"/>
    <w:rsid w:val="003F28AC"/>
    <w:rsid w:val="003F3E77"/>
    <w:rsid w:val="003F46F8"/>
    <w:rsid w:val="003F695D"/>
    <w:rsid w:val="0040372B"/>
    <w:rsid w:val="00403908"/>
    <w:rsid w:val="004040CB"/>
    <w:rsid w:val="00407936"/>
    <w:rsid w:val="00410DD9"/>
    <w:rsid w:val="00410F70"/>
    <w:rsid w:val="00415596"/>
    <w:rsid w:val="00424BC6"/>
    <w:rsid w:val="0042541D"/>
    <w:rsid w:val="00425AF1"/>
    <w:rsid w:val="00430554"/>
    <w:rsid w:val="0043738C"/>
    <w:rsid w:val="00441DB3"/>
    <w:rsid w:val="004432EE"/>
    <w:rsid w:val="004454FE"/>
    <w:rsid w:val="00451E14"/>
    <w:rsid w:val="00451EE6"/>
    <w:rsid w:val="00453574"/>
    <w:rsid w:val="00456E40"/>
    <w:rsid w:val="0046063B"/>
    <w:rsid w:val="004658FF"/>
    <w:rsid w:val="0046738F"/>
    <w:rsid w:val="00471F27"/>
    <w:rsid w:val="00472DCD"/>
    <w:rsid w:val="00473656"/>
    <w:rsid w:val="00474C7A"/>
    <w:rsid w:val="00474DE5"/>
    <w:rsid w:val="00475830"/>
    <w:rsid w:val="00475B8D"/>
    <w:rsid w:val="0047780F"/>
    <w:rsid w:val="00477AFA"/>
    <w:rsid w:val="00481127"/>
    <w:rsid w:val="00482B4C"/>
    <w:rsid w:val="00484A00"/>
    <w:rsid w:val="0048548E"/>
    <w:rsid w:val="004867F2"/>
    <w:rsid w:val="00492603"/>
    <w:rsid w:val="004A074A"/>
    <w:rsid w:val="004A3282"/>
    <w:rsid w:val="004A72F6"/>
    <w:rsid w:val="004B2814"/>
    <w:rsid w:val="004B4440"/>
    <w:rsid w:val="004B67AD"/>
    <w:rsid w:val="004B7EF2"/>
    <w:rsid w:val="004C0DF9"/>
    <w:rsid w:val="004D0C15"/>
    <w:rsid w:val="004D18DC"/>
    <w:rsid w:val="004D196E"/>
    <w:rsid w:val="004E2B41"/>
    <w:rsid w:val="004F17CB"/>
    <w:rsid w:val="004F1F95"/>
    <w:rsid w:val="004F3C55"/>
    <w:rsid w:val="004F419A"/>
    <w:rsid w:val="0050178F"/>
    <w:rsid w:val="00526EEB"/>
    <w:rsid w:val="00527579"/>
    <w:rsid w:val="005400CB"/>
    <w:rsid w:val="005434F2"/>
    <w:rsid w:val="00546715"/>
    <w:rsid w:val="005469AF"/>
    <w:rsid w:val="005471DB"/>
    <w:rsid w:val="005539AB"/>
    <w:rsid w:val="0056319F"/>
    <w:rsid w:val="0057175F"/>
    <w:rsid w:val="005726B9"/>
    <w:rsid w:val="00573867"/>
    <w:rsid w:val="00575413"/>
    <w:rsid w:val="005762B3"/>
    <w:rsid w:val="00577642"/>
    <w:rsid w:val="005777D7"/>
    <w:rsid w:val="00583038"/>
    <w:rsid w:val="00584A91"/>
    <w:rsid w:val="00584B47"/>
    <w:rsid w:val="00585D4B"/>
    <w:rsid w:val="0058632F"/>
    <w:rsid w:val="00587101"/>
    <w:rsid w:val="0059091B"/>
    <w:rsid w:val="00593882"/>
    <w:rsid w:val="00593E10"/>
    <w:rsid w:val="005A15E1"/>
    <w:rsid w:val="005A197B"/>
    <w:rsid w:val="005A447E"/>
    <w:rsid w:val="005A7CF6"/>
    <w:rsid w:val="005B09BB"/>
    <w:rsid w:val="005B7E78"/>
    <w:rsid w:val="005C03C0"/>
    <w:rsid w:val="005C196E"/>
    <w:rsid w:val="005C3A6E"/>
    <w:rsid w:val="005C6152"/>
    <w:rsid w:val="005D27F8"/>
    <w:rsid w:val="005D361D"/>
    <w:rsid w:val="005D62E0"/>
    <w:rsid w:val="005E0E74"/>
    <w:rsid w:val="005E2915"/>
    <w:rsid w:val="005E2CB4"/>
    <w:rsid w:val="005E7859"/>
    <w:rsid w:val="005F0AE0"/>
    <w:rsid w:val="005F2577"/>
    <w:rsid w:val="005F2ABD"/>
    <w:rsid w:val="00600397"/>
    <w:rsid w:val="00601361"/>
    <w:rsid w:val="00601673"/>
    <w:rsid w:val="00602D2E"/>
    <w:rsid w:val="006070CF"/>
    <w:rsid w:val="00611723"/>
    <w:rsid w:val="0061557B"/>
    <w:rsid w:val="00616612"/>
    <w:rsid w:val="006214BE"/>
    <w:rsid w:val="006305E9"/>
    <w:rsid w:val="00631E53"/>
    <w:rsid w:val="0063346D"/>
    <w:rsid w:val="006348AC"/>
    <w:rsid w:val="0063566F"/>
    <w:rsid w:val="00637B04"/>
    <w:rsid w:val="006404F1"/>
    <w:rsid w:val="0064264E"/>
    <w:rsid w:val="00642DEF"/>
    <w:rsid w:val="0064313D"/>
    <w:rsid w:val="00643725"/>
    <w:rsid w:val="00645378"/>
    <w:rsid w:val="00650712"/>
    <w:rsid w:val="00651B08"/>
    <w:rsid w:val="0065700B"/>
    <w:rsid w:val="00657CAA"/>
    <w:rsid w:val="00660DA3"/>
    <w:rsid w:val="006669F6"/>
    <w:rsid w:val="00672108"/>
    <w:rsid w:val="00684962"/>
    <w:rsid w:val="00693644"/>
    <w:rsid w:val="006946C3"/>
    <w:rsid w:val="00697980"/>
    <w:rsid w:val="006A05F3"/>
    <w:rsid w:val="006A3319"/>
    <w:rsid w:val="006A4D42"/>
    <w:rsid w:val="006B3188"/>
    <w:rsid w:val="006B6A51"/>
    <w:rsid w:val="006C43E7"/>
    <w:rsid w:val="006C56A3"/>
    <w:rsid w:val="006C76FB"/>
    <w:rsid w:val="006C7F8B"/>
    <w:rsid w:val="006D099E"/>
    <w:rsid w:val="006D13CF"/>
    <w:rsid w:val="006D1E7B"/>
    <w:rsid w:val="006E1081"/>
    <w:rsid w:val="006E418F"/>
    <w:rsid w:val="006F3239"/>
    <w:rsid w:val="006F3DBD"/>
    <w:rsid w:val="007011BC"/>
    <w:rsid w:val="00710C2A"/>
    <w:rsid w:val="007163CA"/>
    <w:rsid w:val="00720585"/>
    <w:rsid w:val="00721B35"/>
    <w:rsid w:val="007251BA"/>
    <w:rsid w:val="0072530F"/>
    <w:rsid w:val="00725DED"/>
    <w:rsid w:val="00734CE6"/>
    <w:rsid w:val="00737104"/>
    <w:rsid w:val="00737361"/>
    <w:rsid w:val="00743EB4"/>
    <w:rsid w:val="00746883"/>
    <w:rsid w:val="007510C7"/>
    <w:rsid w:val="00751235"/>
    <w:rsid w:val="0075275E"/>
    <w:rsid w:val="00754DCE"/>
    <w:rsid w:val="00757D6D"/>
    <w:rsid w:val="0076053A"/>
    <w:rsid w:val="007629D9"/>
    <w:rsid w:val="007641B1"/>
    <w:rsid w:val="0077055A"/>
    <w:rsid w:val="00770774"/>
    <w:rsid w:val="007722B2"/>
    <w:rsid w:val="00773AF6"/>
    <w:rsid w:val="00773D98"/>
    <w:rsid w:val="007805D3"/>
    <w:rsid w:val="00781912"/>
    <w:rsid w:val="00785C3E"/>
    <w:rsid w:val="00786BB8"/>
    <w:rsid w:val="00786FCB"/>
    <w:rsid w:val="0079587B"/>
    <w:rsid w:val="00795EF3"/>
    <w:rsid w:val="00795F71"/>
    <w:rsid w:val="007A01BE"/>
    <w:rsid w:val="007A0BB4"/>
    <w:rsid w:val="007A0F2C"/>
    <w:rsid w:val="007B6003"/>
    <w:rsid w:val="007B7C28"/>
    <w:rsid w:val="007C4440"/>
    <w:rsid w:val="007D153F"/>
    <w:rsid w:val="007D29B0"/>
    <w:rsid w:val="007D3060"/>
    <w:rsid w:val="007D744B"/>
    <w:rsid w:val="007E1EF2"/>
    <w:rsid w:val="007E5204"/>
    <w:rsid w:val="007E73AB"/>
    <w:rsid w:val="007F13D9"/>
    <w:rsid w:val="007F764A"/>
    <w:rsid w:val="008012CF"/>
    <w:rsid w:val="0080325A"/>
    <w:rsid w:val="00812856"/>
    <w:rsid w:val="00812AB6"/>
    <w:rsid w:val="00816C11"/>
    <w:rsid w:val="0081775D"/>
    <w:rsid w:val="008231BC"/>
    <w:rsid w:val="00823996"/>
    <w:rsid w:val="008265D4"/>
    <w:rsid w:val="0084184B"/>
    <w:rsid w:val="00843B4F"/>
    <w:rsid w:val="00850C9A"/>
    <w:rsid w:val="00852932"/>
    <w:rsid w:val="00853E7E"/>
    <w:rsid w:val="0086743D"/>
    <w:rsid w:val="00874F53"/>
    <w:rsid w:val="008767DF"/>
    <w:rsid w:val="00876B7E"/>
    <w:rsid w:val="00880833"/>
    <w:rsid w:val="008834CE"/>
    <w:rsid w:val="00884341"/>
    <w:rsid w:val="00890216"/>
    <w:rsid w:val="00891974"/>
    <w:rsid w:val="0089420D"/>
    <w:rsid w:val="00894C55"/>
    <w:rsid w:val="00895408"/>
    <w:rsid w:val="008A0222"/>
    <w:rsid w:val="008B1FDA"/>
    <w:rsid w:val="008B248D"/>
    <w:rsid w:val="008B28AC"/>
    <w:rsid w:val="008B3C55"/>
    <w:rsid w:val="008B70CA"/>
    <w:rsid w:val="008C04F2"/>
    <w:rsid w:val="008C0A47"/>
    <w:rsid w:val="008C1864"/>
    <w:rsid w:val="008C477B"/>
    <w:rsid w:val="008C532F"/>
    <w:rsid w:val="008D1408"/>
    <w:rsid w:val="008D2CA9"/>
    <w:rsid w:val="008D354E"/>
    <w:rsid w:val="008E0B2A"/>
    <w:rsid w:val="008E3C0C"/>
    <w:rsid w:val="008E77C0"/>
    <w:rsid w:val="008E7F45"/>
    <w:rsid w:val="008F12C5"/>
    <w:rsid w:val="008F1E0E"/>
    <w:rsid w:val="008F40FE"/>
    <w:rsid w:val="00911C64"/>
    <w:rsid w:val="00913F7B"/>
    <w:rsid w:val="00914625"/>
    <w:rsid w:val="00916267"/>
    <w:rsid w:val="0091781C"/>
    <w:rsid w:val="00917853"/>
    <w:rsid w:val="00917A4D"/>
    <w:rsid w:val="009220C0"/>
    <w:rsid w:val="00922B0F"/>
    <w:rsid w:val="009242A7"/>
    <w:rsid w:val="009266F0"/>
    <w:rsid w:val="00932936"/>
    <w:rsid w:val="00934EE6"/>
    <w:rsid w:val="0094381F"/>
    <w:rsid w:val="009438B7"/>
    <w:rsid w:val="009453FB"/>
    <w:rsid w:val="009469F4"/>
    <w:rsid w:val="00950F3D"/>
    <w:rsid w:val="00962DEA"/>
    <w:rsid w:val="00964DA3"/>
    <w:rsid w:val="00970B35"/>
    <w:rsid w:val="009767CF"/>
    <w:rsid w:val="009773E0"/>
    <w:rsid w:val="00977901"/>
    <w:rsid w:val="009814EC"/>
    <w:rsid w:val="00981778"/>
    <w:rsid w:val="00984E7A"/>
    <w:rsid w:val="00987259"/>
    <w:rsid w:val="00990824"/>
    <w:rsid w:val="00991B8D"/>
    <w:rsid w:val="009970EF"/>
    <w:rsid w:val="009A03AA"/>
    <w:rsid w:val="009A1BA3"/>
    <w:rsid w:val="009A2654"/>
    <w:rsid w:val="009A4073"/>
    <w:rsid w:val="009B265F"/>
    <w:rsid w:val="009B3178"/>
    <w:rsid w:val="009B4B4F"/>
    <w:rsid w:val="009B7942"/>
    <w:rsid w:val="009C2324"/>
    <w:rsid w:val="009C6498"/>
    <w:rsid w:val="009D0E02"/>
    <w:rsid w:val="009D35D2"/>
    <w:rsid w:val="009D5826"/>
    <w:rsid w:val="009D5B0A"/>
    <w:rsid w:val="009D672F"/>
    <w:rsid w:val="009E2DE5"/>
    <w:rsid w:val="009E4750"/>
    <w:rsid w:val="009E58F0"/>
    <w:rsid w:val="009E5E8E"/>
    <w:rsid w:val="009E6626"/>
    <w:rsid w:val="009F024E"/>
    <w:rsid w:val="009F0748"/>
    <w:rsid w:val="009F2F00"/>
    <w:rsid w:val="00A00BB8"/>
    <w:rsid w:val="00A10FC3"/>
    <w:rsid w:val="00A1222A"/>
    <w:rsid w:val="00A13556"/>
    <w:rsid w:val="00A14753"/>
    <w:rsid w:val="00A158A4"/>
    <w:rsid w:val="00A17016"/>
    <w:rsid w:val="00A17558"/>
    <w:rsid w:val="00A225ED"/>
    <w:rsid w:val="00A22F8F"/>
    <w:rsid w:val="00A2531B"/>
    <w:rsid w:val="00A26712"/>
    <w:rsid w:val="00A32E71"/>
    <w:rsid w:val="00A34B76"/>
    <w:rsid w:val="00A34DD1"/>
    <w:rsid w:val="00A36748"/>
    <w:rsid w:val="00A36EEE"/>
    <w:rsid w:val="00A42DAC"/>
    <w:rsid w:val="00A44C4A"/>
    <w:rsid w:val="00A51341"/>
    <w:rsid w:val="00A51B29"/>
    <w:rsid w:val="00A56851"/>
    <w:rsid w:val="00A600E1"/>
    <w:rsid w:val="00A6073E"/>
    <w:rsid w:val="00A6195A"/>
    <w:rsid w:val="00A63F90"/>
    <w:rsid w:val="00A64D81"/>
    <w:rsid w:val="00A65600"/>
    <w:rsid w:val="00A72094"/>
    <w:rsid w:val="00A7210F"/>
    <w:rsid w:val="00A73EB6"/>
    <w:rsid w:val="00A74633"/>
    <w:rsid w:val="00A80715"/>
    <w:rsid w:val="00A816DF"/>
    <w:rsid w:val="00A81CC3"/>
    <w:rsid w:val="00A907F5"/>
    <w:rsid w:val="00A90B26"/>
    <w:rsid w:val="00A92DBD"/>
    <w:rsid w:val="00AA622D"/>
    <w:rsid w:val="00AB753F"/>
    <w:rsid w:val="00AC058E"/>
    <w:rsid w:val="00AC075B"/>
    <w:rsid w:val="00AC16FE"/>
    <w:rsid w:val="00AC1D20"/>
    <w:rsid w:val="00AC2577"/>
    <w:rsid w:val="00AC4762"/>
    <w:rsid w:val="00AC55D0"/>
    <w:rsid w:val="00AC7EEC"/>
    <w:rsid w:val="00AD12A4"/>
    <w:rsid w:val="00AD1506"/>
    <w:rsid w:val="00AD63FB"/>
    <w:rsid w:val="00AD6A5D"/>
    <w:rsid w:val="00AE4A4B"/>
    <w:rsid w:val="00AE5567"/>
    <w:rsid w:val="00AF1310"/>
    <w:rsid w:val="00AF24C6"/>
    <w:rsid w:val="00AF2D23"/>
    <w:rsid w:val="00AF30DC"/>
    <w:rsid w:val="00AF4EF3"/>
    <w:rsid w:val="00AF581D"/>
    <w:rsid w:val="00B01163"/>
    <w:rsid w:val="00B05887"/>
    <w:rsid w:val="00B07278"/>
    <w:rsid w:val="00B07457"/>
    <w:rsid w:val="00B10F2C"/>
    <w:rsid w:val="00B16480"/>
    <w:rsid w:val="00B16D7E"/>
    <w:rsid w:val="00B20A38"/>
    <w:rsid w:val="00B20BD1"/>
    <w:rsid w:val="00B20D69"/>
    <w:rsid w:val="00B2165C"/>
    <w:rsid w:val="00B234AD"/>
    <w:rsid w:val="00B24DB6"/>
    <w:rsid w:val="00B252CC"/>
    <w:rsid w:val="00B2601F"/>
    <w:rsid w:val="00B32506"/>
    <w:rsid w:val="00B371A5"/>
    <w:rsid w:val="00B40866"/>
    <w:rsid w:val="00B40D0F"/>
    <w:rsid w:val="00B426BE"/>
    <w:rsid w:val="00B46083"/>
    <w:rsid w:val="00B4666E"/>
    <w:rsid w:val="00B579FB"/>
    <w:rsid w:val="00B57C14"/>
    <w:rsid w:val="00B60547"/>
    <w:rsid w:val="00B617FF"/>
    <w:rsid w:val="00B64683"/>
    <w:rsid w:val="00B64DF2"/>
    <w:rsid w:val="00B6553D"/>
    <w:rsid w:val="00B739B5"/>
    <w:rsid w:val="00B74136"/>
    <w:rsid w:val="00B773AE"/>
    <w:rsid w:val="00B83B5B"/>
    <w:rsid w:val="00B84EB1"/>
    <w:rsid w:val="00B85BDB"/>
    <w:rsid w:val="00B86B79"/>
    <w:rsid w:val="00B936DC"/>
    <w:rsid w:val="00B95B5A"/>
    <w:rsid w:val="00BA01DE"/>
    <w:rsid w:val="00BA20AA"/>
    <w:rsid w:val="00BA4874"/>
    <w:rsid w:val="00BA76E1"/>
    <w:rsid w:val="00BB0E20"/>
    <w:rsid w:val="00BB2745"/>
    <w:rsid w:val="00BB5CDE"/>
    <w:rsid w:val="00BC33C5"/>
    <w:rsid w:val="00BC6FDC"/>
    <w:rsid w:val="00BC7EF0"/>
    <w:rsid w:val="00BD1669"/>
    <w:rsid w:val="00BD4425"/>
    <w:rsid w:val="00BD45C4"/>
    <w:rsid w:val="00BE11E2"/>
    <w:rsid w:val="00BE3D75"/>
    <w:rsid w:val="00BE5019"/>
    <w:rsid w:val="00BE593B"/>
    <w:rsid w:val="00BE7BD0"/>
    <w:rsid w:val="00BF5475"/>
    <w:rsid w:val="00C01919"/>
    <w:rsid w:val="00C01D93"/>
    <w:rsid w:val="00C04248"/>
    <w:rsid w:val="00C04C73"/>
    <w:rsid w:val="00C062C0"/>
    <w:rsid w:val="00C06841"/>
    <w:rsid w:val="00C12D51"/>
    <w:rsid w:val="00C2004E"/>
    <w:rsid w:val="00C2191A"/>
    <w:rsid w:val="00C22EE0"/>
    <w:rsid w:val="00C236B4"/>
    <w:rsid w:val="00C25B49"/>
    <w:rsid w:val="00C27737"/>
    <w:rsid w:val="00C30537"/>
    <w:rsid w:val="00C309B2"/>
    <w:rsid w:val="00C3139C"/>
    <w:rsid w:val="00C32307"/>
    <w:rsid w:val="00C341F0"/>
    <w:rsid w:val="00C40FB1"/>
    <w:rsid w:val="00C426DD"/>
    <w:rsid w:val="00C523D5"/>
    <w:rsid w:val="00C526D9"/>
    <w:rsid w:val="00C530F4"/>
    <w:rsid w:val="00C55863"/>
    <w:rsid w:val="00C721DF"/>
    <w:rsid w:val="00C82899"/>
    <w:rsid w:val="00C83E7C"/>
    <w:rsid w:val="00C9049C"/>
    <w:rsid w:val="00C90FA3"/>
    <w:rsid w:val="00C97C50"/>
    <w:rsid w:val="00C97DB2"/>
    <w:rsid w:val="00CA0493"/>
    <w:rsid w:val="00CA1B76"/>
    <w:rsid w:val="00CA570C"/>
    <w:rsid w:val="00CA6120"/>
    <w:rsid w:val="00CB26BE"/>
    <w:rsid w:val="00CB345D"/>
    <w:rsid w:val="00CB34D7"/>
    <w:rsid w:val="00CB4EED"/>
    <w:rsid w:val="00CB77BF"/>
    <w:rsid w:val="00CC07AD"/>
    <w:rsid w:val="00CC0C21"/>
    <w:rsid w:val="00CC2721"/>
    <w:rsid w:val="00CD1C29"/>
    <w:rsid w:val="00CD5603"/>
    <w:rsid w:val="00CD6C28"/>
    <w:rsid w:val="00CD6F99"/>
    <w:rsid w:val="00CE5657"/>
    <w:rsid w:val="00CE581E"/>
    <w:rsid w:val="00CE648B"/>
    <w:rsid w:val="00D03430"/>
    <w:rsid w:val="00D10CA9"/>
    <w:rsid w:val="00D123A0"/>
    <w:rsid w:val="00D133F8"/>
    <w:rsid w:val="00D14A3E"/>
    <w:rsid w:val="00D14E68"/>
    <w:rsid w:val="00D16828"/>
    <w:rsid w:val="00D17076"/>
    <w:rsid w:val="00D1740E"/>
    <w:rsid w:val="00D20617"/>
    <w:rsid w:val="00D24E8D"/>
    <w:rsid w:val="00D30048"/>
    <w:rsid w:val="00D41CDD"/>
    <w:rsid w:val="00D44A0B"/>
    <w:rsid w:val="00D51602"/>
    <w:rsid w:val="00D52FE1"/>
    <w:rsid w:val="00D531E6"/>
    <w:rsid w:val="00D54ACB"/>
    <w:rsid w:val="00D6252A"/>
    <w:rsid w:val="00D635E5"/>
    <w:rsid w:val="00D64816"/>
    <w:rsid w:val="00D66CCA"/>
    <w:rsid w:val="00D673E8"/>
    <w:rsid w:val="00D70A7A"/>
    <w:rsid w:val="00D719B6"/>
    <w:rsid w:val="00D81417"/>
    <w:rsid w:val="00D87977"/>
    <w:rsid w:val="00D90350"/>
    <w:rsid w:val="00D93B33"/>
    <w:rsid w:val="00D9513E"/>
    <w:rsid w:val="00DA1179"/>
    <w:rsid w:val="00DA20A7"/>
    <w:rsid w:val="00DA4A51"/>
    <w:rsid w:val="00DA619C"/>
    <w:rsid w:val="00DB1B27"/>
    <w:rsid w:val="00DB2BB1"/>
    <w:rsid w:val="00DB30B1"/>
    <w:rsid w:val="00DB3CA2"/>
    <w:rsid w:val="00DB5864"/>
    <w:rsid w:val="00DB605F"/>
    <w:rsid w:val="00DC0FD5"/>
    <w:rsid w:val="00DD406B"/>
    <w:rsid w:val="00DD4B5A"/>
    <w:rsid w:val="00DD5F95"/>
    <w:rsid w:val="00DD61F0"/>
    <w:rsid w:val="00DD6B88"/>
    <w:rsid w:val="00DD7464"/>
    <w:rsid w:val="00DE0D45"/>
    <w:rsid w:val="00DE42E6"/>
    <w:rsid w:val="00DE481A"/>
    <w:rsid w:val="00DE7EE2"/>
    <w:rsid w:val="00DF681C"/>
    <w:rsid w:val="00DF6854"/>
    <w:rsid w:val="00E00B85"/>
    <w:rsid w:val="00E038BF"/>
    <w:rsid w:val="00E070EC"/>
    <w:rsid w:val="00E12A54"/>
    <w:rsid w:val="00E13A40"/>
    <w:rsid w:val="00E14D92"/>
    <w:rsid w:val="00E171B6"/>
    <w:rsid w:val="00E179BF"/>
    <w:rsid w:val="00E21201"/>
    <w:rsid w:val="00E22EE3"/>
    <w:rsid w:val="00E24688"/>
    <w:rsid w:val="00E304BB"/>
    <w:rsid w:val="00E306A6"/>
    <w:rsid w:val="00E31B3E"/>
    <w:rsid w:val="00E355CA"/>
    <w:rsid w:val="00E36C94"/>
    <w:rsid w:val="00E3716B"/>
    <w:rsid w:val="00E37305"/>
    <w:rsid w:val="00E37D9C"/>
    <w:rsid w:val="00E42239"/>
    <w:rsid w:val="00E4262D"/>
    <w:rsid w:val="00E42A02"/>
    <w:rsid w:val="00E4402A"/>
    <w:rsid w:val="00E50647"/>
    <w:rsid w:val="00E50860"/>
    <w:rsid w:val="00E5323B"/>
    <w:rsid w:val="00E53B84"/>
    <w:rsid w:val="00E53DBD"/>
    <w:rsid w:val="00E54C37"/>
    <w:rsid w:val="00E5550D"/>
    <w:rsid w:val="00E602B6"/>
    <w:rsid w:val="00E606DD"/>
    <w:rsid w:val="00E60B1E"/>
    <w:rsid w:val="00E6184E"/>
    <w:rsid w:val="00E64F38"/>
    <w:rsid w:val="00E701FC"/>
    <w:rsid w:val="00E77CDA"/>
    <w:rsid w:val="00E8749E"/>
    <w:rsid w:val="00E90C01"/>
    <w:rsid w:val="00E97BDA"/>
    <w:rsid w:val="00EA18C9"/>
    <w:rsid w:val="00EA1DAE"/>
    <w:rsid w:val="00EA420D"/>
    <w:rsid w:val="00EA486E"/>
    <w:rsid w:val="00EA4AFB"/>
    <w:rsid w:val="00EB4654"/>
    <w:rsid w:val="00EB665E"/>
    <w:rsid w:val="00EB6EE6"/>
    <w:rsid w:val="00EC0C7C"/>
    <w:rsid w:val="00EC2B87"/>
    <w:rsid w:val="00EE03A7"/>
    <w:rsid w:val="00EE235E"/>
    <w:rsid w:val="00EE74EF"/>
    <w:rsid w:val="00EE74F3"/>
    <w:rsid w:val="00EF1A1F"/>
    <w:rsid w:val="00EF4F1D"/>
    <w:rsid w:val="00EF5FA7"/>
    <w:rsid w:val="00EF6F70"/>
    <w:rsid w:val="00F00FBF"/>
    <w:rsid w:val="00F015F8"/>
    <w:rsid w:val="00F01691"/>
    <w:rsid w:val="00F03ADD"/>
    <w:rsid w:val="00F043B4"/>
    <w:rsid w:val="00F052EE"/>
    <w:rsid w:val="00F0541B"/>
    <w:rsid w:val="00F06EC1"/>
    <w:rsid w:val="00F07B15"/>
    <w:rsid w:val="00F07B4F"/>
    <w:rsid w:val="00F104D3"/>
    <w:rsid w:val="00F121DA"/>
    <w:rsid w:val="00F14065"/>
    <w:rsid w:val="00F15980"/>
    <w:rsid w:val="00F20F33"/>
    <w:rsid w:val="00F21A5F"/>
    <w:rsid w:val="00F224C2"/>
    <w:rsid w:val="00F2395E"/>
    <w:rsid w:val="00F24475"/>
    <w:rsid w:val="00F30E39"/>
    <w:rsid w:val="00F375C3"/>
    <w:rsid w:val="00F408FF"/>
    <w:rsid w:val="00F42400"/>
    <w:rsid w:val="00F43E57"/>
    <w:rsid w:val="00F451AC"/>
    <w:rsid w:val="00F46CAF"/>
    <w:rsid w:val="00F52A81"/>
    <w:rsid w:val="00F5743D"/>
    <w:rsid w:val="00F57B0C"/>
    <w:rsid w:val="00F6086A"/>
    <w:rsid w:val="00F6136B"/>
    <w:rsid w:val="00F66B74"/>
    <w:rsid w:val="00F706A2"/>
    <w:rsid w:val="00F73168"/>
    <w:rsid w:val="00F734D1"/>
    <w:rsid w:val="00F75501"/>
    <w:rsid w:val="00F75ADF"/>
    <w:rsid w:val="00F84E36"/>
    <w:rsid w:val="00F854FA"/>
    <w:rsid w:val="00F86727"/>
    <w:rsid w:val="00F87536"/>
    <w:rsid w:val="00F903D4"/>
    <w:rsid w:val="00F908C8"/>
    <w:rsid w:val="00F9694B"/>
    <w:rsid w:val="00FA1B0C"/>
    <w:rsid w:val="00FB2F81"/>
    <w:rsid w:val="00FB38D8"/>
    <w:rsid w:val="00FB4785"/>
    <w:rsid w:val="00FB5748"/>
    <w:rsid w:val="00FC1891"/>
    <w:rsid w:val="00FC2C82"/>
    <w:rsid w:val="00FD0B43"/>
    <w:rsid w:val="00FD0D09"/>
    <w:rsid w:val="00FD1D17"/>
    <w:rsid w:val="00FD6CCB"/>
    <w:rsid w:val="00FE004A"/>
    <w:rsid w:val="00FE1CFF"/>
    <w:rsid w:val="00FE58C4"/>
    <w:rsid w:val="00FF0DD7"/>
    <w:rsid w:val="00FF1979"/>
    <w:rsid w:val="00FF22F7"/>
    <w:rsid w:val="00FF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390AB"/>
  <w15:docId w15:val="{DE449647-41B4-420E-98ED-DAD34F09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39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eastAsiaTheme="minorHAnsi" w:cstheme="minorBidi"/>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eastAsiaTheme="minorHAnsi" w:cstheme="minorBidi"/>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58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25ED"/>
    <w:rPr>
      <w:sz w:val="16"/>
      <w:szCs w:val="16"/>
    </w:rPr>
  </w:style>
  <w:style w:type="paragraph" w:styleId="CommentText">
    <w:name w:val="annotation text"/>
    <w:basedOn w:val="Normal"/>
    <w:link w:val="CommentTextChar"/>
    <w:uiPriority w:val="99"/>
    <w:semiHidden/>
    <w:unhideWhenUsed/>
    <w:rsid w:val="003025ED"/>
    <w:pPr>
      <w:spacing w:after="16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3025ED"/>
    <w:rPr>
      <w:sz w:val="20"/>
      <w:szCs w:val="20"/>
    </w:rPr>
  </w:style>
  <w:style w:type="paragraph" w:styleId="CommentSubject">
    <w:name w:val="annotation subject"/>
    <w:basedOn w:val="CommentText"/>
    <w:next w:val="CommentText"/>
    <w:link w:val="CommentSubjectChar"/>
    <w:uiPriority w:val="99"/>
    <w:semiHidden/>
    <w:unhideWhenUsed/>
    <w:rsid w:val="003025ED"/>
    <w:rPr>
      <w:b/>
      <w:bCs/>
    </w:rPr>
  </w:style>
  <w:style w:type="character" w:customStyle="1" w:styleId="CommentSubjectChar">
    <w:name w:val="Comment Subject Char"/>
    <w:basedOn w:val="CommentTextChar"/>
    <w:link w:val="CommentSubject"/>
    <w:uiPriority w:val="99"/>
    <w:semiHidden/>
    <w:rsid w:val="003025ED"/>
    <w:rPr>
      <w:b/>
      <w:bCs/>
      <w:sz w:val="20"/>
      <w:szCs w:val="20"/>
    </w:rPr>
  </w:style>
  <w:style w:type="paragraph" w:styleId="ListParagraph">
    <w:name w:val="List Paragraph"/>
    <w:basedOn w:val="Normal"/>
    <w:uiPriority w:val="34"/>
    <w:qFormat/>
    <w:rsid w:val="00204773"/>
    <w:pPr>
      <w:spacing w:after="160" w:line="259" w:lineRule="auto"/>
      <w:ind w:left="720"/>
      <w:contextualSpacing/>
    </w:pPr>
    <w:rPr>
      <w:rFonts w:eastAsiaTheme="minorHAnsi" w:cstheme="minorBidi"/>
      <w:szCs w:val="22"/>
      <w:lang w:eastAsia="en-US"/>
    </w:rPr>
  </w:style>
  <w:style w:type="paragraph" w:styleId="Revision">
    <w:name w:val="Revision"/>
    <w:hidden/>
    <w:uiPriority w:val="99"/>
    <w:semiHidden/>
    <w:rsid w:val="00475830"/>
    <w:pPr>
      <w:spacing w:after="0" w:line="240" w:lineRule="auto"/>
    </w:pPr>
  </w:style>
  <w:style w:type="paragraph" w:styleId="FootnoteText">
    <w:name w:val="footnote text"/>
    <w:basedOn w:val="Normal"/>
    <w:link w:val="FootnoteTextChar"/>
    <w:uiPriority w:val="99"/>
    <w:semiHidden/>
    <w:unhideWhenUsed/>
    <w:rsid w:val="00291C62"/>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91C62"/>
    <w:rPr>
      <w:rFonts w:ascii="Times New Roman" w:hAnsi="Times New Roman"/>
      <w:sz w:val="20"/>
      <w:szCs w:val="20"/>
    </w:rPr>
  </w:style>
  <w:style w:type="character" w:styleId="FootnoteReference">
    <w:name w:val="footnote reference"/>
    <w:basedOn w:val="DefaultParagraphFont"/>
    <w:uiPriority w:val="99"/>
    <w:semiHidden/>
    <w:unhideWhenUsed/>
    <w:rsid w:val="00291C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9095">
      <w:bodyDiv w:val="1"/>
      <w:marLeft w:val="0"/>
      <w:marRight w:val="0"/>
      <w:marTop w:val="0"/>
      <w:marBottom w:val="0"/>
      <w:divBdr>
        <w:top w:val="none" w:sz="0" w:space="0" w:color="auto"/>
        <w:left w:val="none" w:sz="0" w:space="0" w:color="auto"/>
        <w:bottom w:val="none" w:sz="0" w:space="0" w:color="auto"/>
        <w:right w:val="none" w:sz="0" w:space="0" w:color="auto"/>
      </w:divBdr>
    </w:div>
    <w:div w:id="137578784">
      <w:bodyDiv w:val="1"/>
      <w:marLeft w:val="0"/>
      <w:marRight w:val="0"/>
      <w:marTop w:val="0"/>
      <w:marBottom w:val="0"/>
      <w:divBdr>
        <w:top w:val="none" w:sz="0" w:space="0" w:color="auto"/>
        <w:left w:val="none" w:sz="0" w:space="0" w:color="auto"/>
        <w:bottom w:val="none" w:sz="0" w:space="0" w:color="auto"/>
        <w:right w:val="none" w:sz="0" w:space="0" w:color="auto"/>
      </w:divBdr>
      <w:divsChild>
        <w:div w:id="1203634370">
          <w:marLeft w:val="0"/>
          <w:marRight w:val="0"/>
          <w:marTop w:val="0"/>
          <w:marBottom w:val="0"/>
          <w:divBdr>
            <w:top w:val="none" w:sz="0" w:space="0" w:color="auto"/>
            <w:left w:val="none" w:sz="0" w:space="0" w:color="auto"/>
            <w:bottom w:val="none" w:sz="0" w:space="0" w:color="auto"/>
            <w:right w:val="none" w:sz="0" w:space="0" w:color="auto"/>
          </w:divBdr>
          <w:divsChild>
            <w:div w:id="473301771">
              <w:marLeft w:val="0"/>
              <w:marRight w:val="0"/>
              <w:marTop w:val="0"/>
              <w:marBottom w:val="0"/>
              <w:divBdr>
                <w:top w:val="none" w:sz="0" w:space="0" w:color="auto"/>
                <w:left w:val="none" w:sz="0" w:space="0" w:color="auto"/>
                <w:bottom w:val="none" w:sz="0" w:space="0" w:color="auto"/>
                <w:right w:val="none" w:sz="0" w:space="0" w:color="auto"/>
              </w:divBdr>
              <w:divsChild>
                <w:div w:id="1208644717">
                  <w:marLeft w:val="0"/>
                  <w:marRight w:val="0"/>
                  <w:marTop w:val="0"/>
                  <w:marBottom w:val="0"/>
                  <w:divBdr>
                    <w:top w:val="none" w:sz="0" w:space="0" w:color="auto"/>
                    <w:left w:val="none" w:sz="0" w:space="0" w:color="auto"/>
                    <w:bottom w:val="none" w:sz="0" w:space="0" w:color="auto"/>
                    <w:right w:val="none" w:sz="0" w:space="0" w:color="auto"/>
                  </w:divBdr>
                  <w:divsChild>
                    <w:div w:id="1657488180">
                      <w:marLeft w:val="0"/>
                      <w:marRight w:val="0"/>
                      <w:marTop w:val="0"/>
                      <w:marBottom w:val="0"/>
                      <w:divBdr>
                        <w:top w:val="none" w:sz="0" w:space="0" w:color="auto"/>
                        <w:left w:val="none" w:sz="0" w:space="0" w:color="auto"/>
                        <w:bottom w:val="none" w:sz="0" w:space="0" w:color="auto"/>
                        <w:right w:val="none" w:sz="0" w:space="0" w:color="auto"/>
                      </w:divBdr>
                      <w:divsChild>
                        <w:div w:id="346293231">
                          <w:marLeft w:val="0"/>
                          <w:marRight w:val="0"/>
                          <w:marTop w:val="0"/>
                          <w:marBottom w:val="0"/>
                          <w:divBdr>
                            <w:top w:val="none" w:sz="0" w:space="0" w:color="auto"/>
                            <w:left w:val="none" w:sz="0" w:space="0" w:color="auto"/>
                            <w:bottom w:val="none" w:sz="0" w:space="0" w:color="auto"/>
                            <w:right w:val="none" w:sz="0" w:space="0" w:color="auto"/>
                          </w:divBdr>
                          <w:divsChild>
                            <w:div w:id="509218237">
                              <w:marLeft w:val="0"/>
                              <w:marRight w:val="0"/>
                              <w:marTop w:val="0"/>
                              <w:marBottom w:val="300"/>
                              <w:divBdr>
                                <w:top w:val="none" w:sz="0" w:space="0" w:color="auto"/>
                                <w:left w:val="none" w:sz="0" w:space="0" w:color="auto"/>
                                <w:bottom w:val="none" w:sz="0" w:space="0" w:color="auto"/>
                                <w:right w:val="none" w:sz="0" w:space="0" w:color="auto"/>
                              </w:divBdr>
                              <w:divsChild>
                                <w:div w:id="471800104">
                                  <w:marLeft w:val="0"/>
                                  <w:marRight w:val="0"/>
                                  <w:marTop w:val="0"/>
                                  <w:marBottom w:val="0"/>
                                  <w:divBdr>
                                    <w:top w:val="none" w:sz="0" w:space="0" w:color="auto"/>
                                    <w:left w:val="none" w:sz="0" w:space="0" w:color="auto"/>
                                    <w:bottom w:val="none" w:sz="0" w:space="0" w:color="auto"/>
                                    <w:right w:val="none" w:sz="0" w:space="0" w:color="auto"/>
                                  </w:divBdr>
                                  <w:divsChild>
                                    <w:div w:id="326400926">
                                      <w:marLeft w:val="0"/>
                                      <w:marRight w:val="0"/>
                                      <w:marTop w:val="0"/>
                                      <w:marBottom w:val="0"/>
                                      <w:divBdr>
                                        <w:top w:val="none" w:sz="0" w:space="0" w:color="auto"/>
                                        <w:left w:val="none" w:sz="0" w:space="0" w:color="auto"/>
                                        <w:bottom w:val="none" w:sz="0" w:space="0" w:color="auto"/>
                                        <w:right w:val="none" w:sz="0" w:space="0" w:color="auto"/>
                                      </w:divBdr>
                                      <w:divsChild>
                                        <w:div w:id="14098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6577822">
      <w:bodyDiv w:val="1"/>
      <w:marLeft w:val="0"/>
      <w:marRight w:val="0"/>
      <w:marTop w:val="0"/>
      <w:marBottom w:val="0"/>
      <w:divBdr>
        <w:top w:val="none" w:sz="0" w:space="0" w:color="auto"/>
        <w:left w:val="none" w:sz="0" w:space="0" w:color="auto"/>
        <w:bottom w:val="none" w:sz="0" w:space="0" w:color="auto"/>
        <w:right w:val="none" w:sz="0" w:space="0" w:color="auto"/>
      </w:divBdr>
    </w:div>
    <w:div w:id="517236738">
      <w:bodyDiv w:val="1"/>
      <w:marLeft w:val="0"/>
      <w:marRight w:val="0"/>
      <w:marTop w:val="0"/>
      <w:marBottom w:val="0"/>
      <w:divBdr>
        <w:top w:val="none" w:sz="0" w:space="0" w:color="auto"/>
        <w:left w:val="none" w:sz="0" w:space="0" w:color="auto"/>
        <w:bottom w:val="none" w:sz="0" w:space="0" w:color="auto"/>
        <w:right w:val="none" w:sz="0" w:space="0" w:color="auto"/>
      </w:divBdr>
      <w:divsChild>
        <w:div w:id="1382443883">
          <w:marLeft w:val="0"/>
          <w:marRight w:val="0"/>
          <w:marTop w:val="0"/>
          <w:marBottom w:val="0"/>
          <w:divBdr>
            <w:top w:val="none" w:sz="0" w:space="0" w:color="auto"/>
            <w:left w:val="none" w:sz="0" w:space="0" w:color="auto"/>
            <w:bottom w:val="none" w:sz="0" w:space="0" w:color="auto"/>
            <w:right w:val="none" w:sz="0" w:space="0" w:color="auto"/>
          </w:divBdr>
          <w:divsChild>
            <w:div w:id="1876459004">
              <w:marLeft w:val="0"/>
              <w:marRight w:val="0"/>
              <w:marTop w:val="0"/>
              <w:marBottom w:val="0"/>
              <w:divBdr>
                <w:top w:val="none" w:sz="0" w:space="0" w:color="auto"/>
                <w:left w:val="none" w:sz="0" w:space="0" w:color="auto"/>
                <w:bottom w:val="none" w:sz="0" w:space="0" w:color="auto"/>
                <w:right w:val="none" w:sz="0" w:space="0" w:color="auto"/>
              </w:divBdr>
              <w:divsChild>
                <w:div w:id="1578437722">
                  <w:marLeft w:val="0"/>
                  <w:marRight w:val="0"/>
                  <w:marTop w:val="0"/>
                  <w:marBottom w:val="0"/>
                  <w:divBdr>
                    <w:top w:val="none" w:sz="0" w:space="0" w:color="auto"/>
                    <w:left w:val="none" w:sz="0" w:space="0" w:color="auto"/>
                    <w:bottom w:val="none" w:sz="0" w:space="0" w:color="auto"/>
                    <w:right w:val="none" w:sz="0" w:space="0" w:color="auto"/>
                  </w:divBdr>
                  <w:divsChild>
                    <w:div w:id="817304149">
                      <w:marLeft w:val="0"/>
                      <w:marRight w:val="0"/>
                      <w:marTop w:val="0"/>
                      <w:marBottom w:val="0"/>
                      <w:divBdr>
                        <w:top w:val="none" w:sz="0" w:space="0" w:color="auto"/>
                        <w:left w:val="none" w:sz="0" w:space="0" w:color="auto"/>
                        <w:bottom w:val="none" w:sz="0" w:space="0" w:color="auto"/>
                        <w:right w:val="none" w:sz="0" w:space="0" w:color="auto"/>
                      </w:divBdr>
                      <w:divsChild>
                        <w:div w:id="448428764">
                          <w:marLeft w:val="0"/>
                          <w:marRight w:val="0"/>
                          <w:marTop w:val="0"/>
                          <w:marBottom w:val="0"/>
                          <w:divBdr>
                            <w:top w:val="none" w:sz="0" w:space="0" w:color="auto"/>
                            <w:left w:val="none" w:sz="0" w:space="0" w:color="auto"/>
                            <w:bottom w:val="none" w:sz="0" w:space="0" w:color="auto"/>
                            <w:right w:val="none" w:sz="0" w:space="0" w:color="auto"/>
                          </w:divBdr>
                          <w:divsChild>
                            <w:div w:id="3727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958574">
      <w:bodyDiv w:val="1"/>
      <w:marLeft w:val="0"/>
      <w:marRight w:val="0"/>
      <w:marTop w:val="0"/>
      <w:marBottom w:val="0"/>
      <w:divBdr>
        <w:top w:val="none" w:sz="0" w:space="0" w:color="auto"/>
        <w:left w:val="none" w:sz="0" w:space="0" w:color="auto"/>
        <w:bottom w:val="none" w:sz="0" w:space="0" w:color="auto"/>
        <w:right w:val="none" w:sz="0" w:space="0" w:color="auto"/>
      </w:divBdr>
      <w:divsChild>
        <w:div w:id="1184243268">
          <w:marLeft w:val="0"/>
          <w:marRight w:val="0"/>
          <w:marTop w:val="0"/>
          <w:marBottom w:val="0"/>
          <w:divBdr>
            <w:top w:val="none" w:sz="0" w:space="0" w:color="auto"/>
            <w:left w:val="none" w:sz="0" w:space="0" w:color="auto"/>
            <w:bottom w:val="none" w:sz="0" w:space="0" w:color="auto"/>
            <w:right w:val="none" w:sz="0" w:space="0" w:color="auto"/>
          </w:divBdr>
          <w:divsChild>
            <w:div w:id="91828179">
              <w:marLeft w:val="0"/>
              <w:marRight w:val="0"/>
              <w:marTop w:val="0"/>
              <w:marBottom w:val="0"/>
              <w:divBdr>
                <w:top w:val="none" w:sz="0" w:space="0" w:color="auto"/>
                <w:left w:val="none" w:sz="0" w:space="0" w:color="auto"/>
                <w:bottom w:val="none" w:sz="0" w:space="0" w:color="auto"/>
                <w:right w:val="none" w:sz="0" w:space="0" w:color="auto"/>
              </w:divBdr>
              <w:divsChild>
                <w:div w:id="1547109610">
                  <w:marLeft w:val="0"/>
                  <w:marRight w:val="0"/>
                  <w:marTop w:val="0"/>
                  <w:marBottom w:val="0"/>
                  <w:divBdr>
                    <w:top w:val="none" w:sz="0" w:space="0" w:color="auto"/>
                    <w:left w:val="none" w:sz="0" w:space="0" w:color="auto"/>
                    <w:bottom w:val="none" w:sz="0" w:space="0" w:color="auto"/>
                    <w:right w:val="none" w:sz="0" w:space="0" w:color="auto"/>
                  </w:divBdr>
                  <w:divsChild>
                    <w:div w:id="1099179503">
                      <w:marLeft w:val="0"/>
                      <w:marRight w:val="0"/>
                      <w:marTop w:val="0"/>
                      <w:marBottom w:val="0"/>
                      <w:divBdr>
                        <w:top w:val="none" w:sz="0" w:space="0" w:color="auto"/>
                        <w:left w:val="none" w:sz="0" w:space="0" w:color="auto"/>
                        <w:bottom w:val="none" w:sz="0" w:space="0" w:color="auto"/>
                        <w:right w:val="none" w:sz="0" w:space="0" w:color="auto"/>
                      </w:divBdr>
                      <w:divsChild>
                        <w:div w:id="763038374">
                          <w:marLeft w:val="0"/>
                          <w:marRight w:val="0"/>
                          <w:marTop w:val="0"/>
                          <w:marBottom w:val="0"/>
                          <w:divBdr>
                            <w:top w:val="none" w:sz="0" w:space="0" w:color="auto"/>
                            <w:left w:val="none" w:sz="0" w:space="0" w:color="auto"/>
                            <w:bottom w:val="none" w:sz="0" w:space="0" w:color="auto"/>
                            <w:right w:val="none" w:sz="0" w:space="0" w:color="auto"/>
                          </w:divBdr>
                          <w:divsChild>
                            <w:div w:id="15503854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953508">
      <w:bodyDiv w:val="1"/>
      <w:marLeft w:val="0"/>
      <w:marRight w:val="0"/>
      <w:marTop w:val="0"/>
      <w:marBottom w:val="0"/>
      <w:divBdr>
        <w:top w:val="none" w:sz="0" w:space="0" w:color="auto"/>
        <w:left w:val="none" w:sz="0" w:space="0" w:color="auto"/>
        <w:bottom w:val="none" w:sz="0" w:space="0" w:color="auto"/>
        <w:right w:val="none" w:sz="0" w:space="0" w:color="auto"/>
      </w:divBdr>
      <w:divsChild>
        <w:div w:id="2083216842">
          <w:marLeft w:val="0"/>
          <w:marRight w:val="0"/>
          <w:marTop w:val="0"/>
          <w:marBottom w:val="0"/>
          <w:divBdr>
            <w:top w:val="none" w:sz="0" w:space="0" w:color="auto"/>
            <w:left w:val="none" w:sz="0" w:space="0" w:color="auto"/>
            <w:bottom w:val="none" w:sz="0" w:space="0" w:color="auto"/>
            <w:right w:val="none" w:sz="0" w:space="0" w:color="auto"/>
          </w:divBdr>
          <w:divsChild>
            <w:div w:id="2012027799">
              <w:marLeft w:val="0"/>
              <w:marRight w:val="0"/>
              <w:marTop w:val="0"/>
              <w:marBottom w:val="0"/>
              <w:divBdr>
                <w:top w:val="none" w:sz="0" w:space="0" w:color="auto"/>
                <w:left w:val="none" w:sz="0" w:space="0" w:color="auto"/>
                <w:bottom w:val="none" w:sz="0" w:space="0" w:color="auto"/>
                <w:right w:val="none" w:sz="0" w:space="0" w:color="auto"/>
              </w:divBdr>
              <w:divsChild>
                <w:div w:id="2129160062">
                  <w:marLeft w:val="0"/>
                  <w:marRight w:val="0"/>
                  <w:marTop w:val="0"/>
                  <w:marBottom w:val="0"/>
                  <w:divBdr>
                    <w:top w:val="none" w:sz="0" w:space="0" w:color="auto"/>
                    <w:left w:val="none" w:sz="0" w:space="0" w:color="auto"/>
                    <w:bottom w:val="none" w:sz="0" w:space="0" w:color="auto"/>
                    <w:right w:val="none" w:sz="0" w:space="0" w:color="auto"/>
                  </w:divBdr>
                  <w:divsChild>
                    <w:div w:id="1278751687">
                      <w:marLeft w:val="0"/>
                      <w:marRight w:val="0"/>
                      <w:marTop w:val="0"/>
                      <w:marBottom w:val="0"/>
                      <w:divBdr>
                        <w:top w:val="none" w:sz="0" w:space="0" w:color="auto"/>
                        <w:left w:val="none" w:sz="0" w:space="0" w:color="auto"/>
                        <w:bottom w:val="none" w:sz="0" w:space="0" w:color="auto"/>
                        <w:right w:val="none" w:sz="0" w:space="0" w:color="auto"/>
                      </w:divBdr>
                      <w:divsChild>
                        <w:div w:id="1236548040">
                          <w:marLeft w:val="0"/>
                          <w:marRight w:val="0"/>
                          <w:marTop w:val="0"/>
                          <w:marBottom w:val="0"/>
                          <w:divBdr>
                            <w:top w:val="none" w:sz="0" w:space="0" w:color="auto"/>
                            <w:left w:val="none" w:sz="0" w:space="0" w:color="auto"/>
                            <w:bottom w:val="none" w:sz="0" w:space="0" w:color="auto"/>
                            <w:right w:val="none" w:sz="0" w:space="0" w:color="auto"/>
                          </w:divBdr>
                          <w:divsChild>
                            <w:div w:id="43262942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2938467">
      <w:bodyDiv w:val="1"/>
      <w:marLeft w:val="0"/>
      <w:marRight w:val="0"/>
      <w:marTop w:val="0"/>
      <w:marBottom w:val="0"/>
      <w:divBdr>
        <w:top w:val="none" w:sz="0" w:space="0" w:color="auto"/>
        <w:left w:val="none" w:sz="0" w:space="0" w:color="auto"/>
        <w:bottom w:val="none" w:sz="0" w:space="0" w:color="auto"/>
        <w:right w:val="none" w:sz="0" w:space="0" w:color="auto"/>
      </w:divBdr>
      <w:divsChild>
        <w:div w:id="1846239388">
          <w:marLeft w:val="0"/>
          <w:marRight w:val="0"/>
          <w:marTop w:val="0"/>
          <w:marBottom w:val="0"/>
          <w:divBdr>
            <w:top w:val="none" w:sz="0" w:space="0" w:color="auto"/>
            <w:left w:val="none" w:sz="0" w:space="0" w:color="auto"/>
            <w:bottom w:val="none" w:sz="0" w:space="0" w:color="auto"/>
            <w:right w:val="none" w:sz="0" w:space="0" w:color="auto"/>
          </w:divBdr>
          <w:divsChild>
            <w:div w:id="1577058403">
              <w:marLeft w:val="0"/>
              <w:marRight w:val="0"/>
              <w:marTop w:val="0"/>
              <w:marBottom w:val="0"/>
              <w:divBdr>
                <w:top w:val="none" w:sz="0" w:space="0" w:color="auto"/>
                <w:left w:val="none" w:sz="0" w:space="0" w:color="auto"/>
                <w:bottom w:val="none" w:sz="0" w:space="0" w:color="auto"/>
                <w:right w:val="none" w:sz="0" w:space="0" w:color="auto"/>
              </w:divBdr>
              <w:divsChild>
                <w:div w:id="1846822085">
                  <w:marLeft w:val="0"/>
                  <w:marRight w:val="0"/>
                  <w:marTop w:val="0"/>
                  <w:marBottom w:val="0"/>
                  <w:divBdr>
                    <w:top w:val="none" w:sz="0" w:space="0" w:color="auto"/>
                    <w:left w:val="none" w:sz="0" w:space="0" w:color="auto"/>
                    <w:bottom w:val="none" w:sz="0" w:space="0" w:color="auto"/>
                    <w:right w:val="none" w:sz="0" w:space="0" w:color="auto"/>
                  </w:divBdr>
                  <w:divsChild>
                    <w:div w:id="2006856510">
                      <w:marLeft w:val="2325"/>
                      <w:marRight w:val="0"/>
                      <w:marTop w:val="0"/>
                      <w:marBottom w:val="0"/>
                      <w:divBdr>
                        <w:top w:val="none" w:sz="0" w:space="0" w:color="auto"/>
                        <w:left w:val="none" w:sz="0" w:space="0" w:color="auto"/>
                        <w:bottom w:val="none" w:sz="0" w:space="0" w:color="auto"/>
                        <w:right w:val="none" w:sz="0" w:space="0" w:color="auto"/>
                      </w:divBdr>
                      <w:divsChild>
                        <w:div w:id="1199199988">
                          <w:marLeft w:val="0"/>
                          <w:marRight w:val="0"/>
                          <w:marTop w:val="0"/>
                          <w:marBottom w:val="0"/>
                          <w:divBdr>
                            <w:top w:val="none" w:sz="0" w:space="0" w:color="auto"/>
                            <w:left w:val="none" w:sz="0" w:space="0" w:color="auto"/>
                            <w:bottom w:val="none" w:sz="0" w:space="0" w:color="auto"/>
                            <w:right w:val="none" w:sz="0" w:space="0" w:color="auto"/>
                          </w:divBdr>
                          <w:divsChild>
                            <w:div w:id="2000428099">
                              <w:marLeft w:val="0"/>
                              <w:marRight w:val="0"/>
                              <w:marTop w:val="0"/>
                              <w:marBottom w:val="0"/>
                              <w:divBdr>
                                <w:top w:val="none" w:sz="0" w:space="0" w:color="auto"/>
                                <w:left w:val="none" w:sz="0" w:space="0" w:color="auto"/>
                                <w:bottom w:val="none" w:sz="0" w:space="0" w:color="auto"/>
                                <w:right w:val="none" w:sz="0" w:space="0" w:color="auto"/>
                              </w:divBdr>
                              <w:divsChild>
                                <w:div w:id="1689528613">
                                  <w:marLeft w:val="0"/>
                                  <w:marRight w:val="0"/>
                                  <w:marTop w:val="0"/>
                                  <w:marBottom w:val="0"/>
                                  <w:divBdr>
                                    <w:top w:val="none" w:sz="0" w:space="0" w:color="auto"/>
                                    <w:left w:val="none" w:sz="0" w:space="0" w:color="auto"/>
                                    <w:bottom w:val="none" w:sz="0" w:space="0" w:color="auto"/>
                                    <w:right w:val="none" w:sz="0" w:space="0" w:color="auto"/>
                                  </w:divBdr>
                                  <w:divsChild>
                                    <w:div w:id="1616518289">
                                      <w:marLeft w:val="0"/>
                                      <w:marRight w:val="0"/>
                                      <w:marTop w:val="0"/>
                                      <w:marBottom w:val="0"/>
                                      <w:divBdr>
                                        <w:top w:val="none" w:sz="0" w:space="0" w:color="auto"/>
                                        <w:left w:val="none" w:sz="0" w:space="0" w:color="auto"/>
                                        <w:bottom w:val="none" w:sz="0" w:space="0" w:color="auto"/>
                                        <w:right w:val="none" w:sz="0" w:space="0" w:color="auto"/>
                                      </w:divBdr>
                                      <w:divsChild>
                                        <w:div w:id="238561085">
                                          <w:marLeft w:val="0"/>
                                          <w:marRight w:val="-3525"/>
                                          <w:marTop w:val="0"/>
                                          <w:marBottom w:val="0"/>
                                          <w:divBdr>
                                            <w:top w:val="none" w:sz="0" w:space="0" w:color="auto"/>
                                            <w:left w:val="none" w:sz="0" w:space="0" w:color="auto"/>
                                            <w:bottom w:val="none" w:sz="0" w:space="0" w:color="auto"/>
                                            <w:right w:val="none" w:sz="0" w:space="0" w:color="auto"/>
                                          </w:divBdr>
                                          <w:divsChild>
                                            <w:div w:id="252209203">
                                              <w:marLeft w:val="0"/>
                                              <w:marRight w:val="3225"/>
                                              <w:marTop w:val="0"/>
                                              <w:marBottom w:val="0"/>
                                              <w:divBdr>
                                                <w:top w:val="none" w:sz="0" w:space="0" w:color="auto"/>
                                                <w:left w:val="none" w:sz="0" w:space="0" w:color="auto"/>
                                                <w:bottom w:val="none" w:sz="0" w:space="0" w:color="auto"/>
                                                <w:right w:val="none" w:sz="0" w:space="0" w:color="auto"/>
                                              </w:divBdr>
                                              <w:divsChild>
                                                <w:div w:id="1160653667">
                                                  <w:marLeft w:val="15"/>
                                                  <w:marRight w:val="15"/>
                                                  <w:marTop w:val="15"/>
                                                  <w:marBottom w:val="15"/>
                                                  <w:divBdr>
                                                    <w:top w:val="none" w:sz="0" w:space="0" w:color="auto"/>
                                                    <w:left w:val="none" w:sz="0" w:space="0" w:color="auto"/>
                                                    <w:bottom w:val="none" w:sz="0" w:space="0" w:color="auto"/>
                                                    <w:right w:val="none" w:sz="0" w:space="0" w:color="auto"/>
                                                  </w:divBdr>
                                                  <w:divsChild>
                                                    <w:div w:id="1065682002">
                                                      <w:marLeft w:val="0"/>
                                                      <w:marRight w:val="0"/>
                                                      <w:marTop w:val="0"/>
                                                      <w:marBottom w:val="0"/>
                                                      <w:divBdr>
                                                        <w:top w:val="none" w:sz="0" w:space="0" w:color="auto"/>
                                                        <w:left w:val="none" w:sz="0" w:space="0" w:color="auto"/>
                                                        <w:bottom w:val="none" w:sz="0" w:space="0" w:color="auto"/>
                                                        <w:right w:val="none" w:sz="0" w:space="0" w:color="auto"/>
                                                      </w:divBdr>
                                                      <w:divsChild>
                                                        <w:div w:id="1121222026">
                                                          <w:marLeft w:val="0"/>
                                                          <w:marRight w:val="0"/>
                                                          <w:marTop w:val="0"/>
                                                          <w:marBottom w:val="0"/>
                                                          <w:divBdr>
                                                            <w:top w:val="none" w:sz="0" w:space="0" w:color="auto"/>
                                                            <w:left w:val="none" w:sz="0" w:space="0" w:color="auto"/>
                                                            <w:bottom w:val="none" w:sz="0" w:space="0" w:color="auto"/>
                                                            <w:right w:val="none" w:sz="0" w:space="0" w:color="auto"/>
                                                          </w:divBdr>
                                                          <w:divsChild>
                                                            <w:div w:id="537395355">
                                                              <w:marLeft w:val="360"/>
                                                              <w:marRight w:val="0"/>
                                                              <w:marTop w:val="0"/>
                                                              <w:marBottom w:val="0"/>
                                                              <w:divBdr>
                                                                <w:top w:val="none" w:sz="0" w:space="0" w:color="auto"/>
                                                                <w:left w:val="none" w:sz="0" w:space="0" w:color="auto"/>
                                                                <w:bottom w:val="none" w:sz="0" w:space="0" w:color="auto"/>
                                                                <w:right w:val="none" w:sz="0" w:space="0" w:color="auto"/>
                                                              </w:divBdr>
                                                            </w:div>
                                                            <w:div w:id="1386563724">
                                                              <w:marLeft w:val="1142"/>
                                                              <w:marRight w:val="0"/>
                                                              <w:marTop w:val="0"/>
                                                              <w:marBottom w:val="0"/>
                                                              <w:divBdr>
                                                                <w:top w:val="none" w:sz="0" w:space="0" w:color="auto"/>
                                                                <w:left w:val="none" w:sz="0" w:space="0" w:color="auto"/>
                                                                <w:bottom w:val="none" w:sz="0" w:space="0" w:color="auto"/>
                                                                <w:right w:val="none" w:sz="0" w:space="0" w:color="auto"/>
                                                              </w:divBdr>
                                                            </w:div>
                                                            <w:div w:id="1157693557">
                                                              <w:marLeft w:val="1142"/>
                                                              <w:marRight w:val="0"/>
                                                              <w:marTop w:val="0"/>
                                                              <w:marBottom w:val="0"/>
                                                              <w:divBdr>
                                                                <w:top w:val="none" w:sz="0" w:space="0" w:color="auto"/>
                                                                <w:left w:val="none" w:sz="0" w:space="0" w:color="auto"/>
                                                                <w:bottom w:val="none" w:sz="0" w:space="0" w:color="auto"/>
                                                                <w:right w:val="none" w:sz="0" w:space="0" w:color="auto"/>
                                                              </w:divBdr>
                                                            </w:div>
                                                            <w:div w:id="360865805">
                                                              <w:marLeft w:val="1142"/>
                                                              <w:marRight w:val="0"/>
                                                              <w:marTop w:val="0"/>
                                                              <w:marBottom w:val="0"/>
                                                              <w:divBdr>
                                                                <w:top w:val="none" w:sz="0" w:space="0" w:color="auto"/>
                                                                <w:left w:val="none" w:sz="0" w:space="0" w:color="auto"/>
                                                                <w:bottom w:val="none" w:sz="0" w:space="0" w:color="auto"/>
                                                                <w:right w:val="none" w:sz="0" w:space="0" w:color="auto"/>
                                                              </w:divBdr>
                                                            </w:div>
                                                            <w:div w:id="149561946">
                                                              <w:marLeft w:val="360"/>
                                                              <w:marRight w:val="0"/>
                                                              <w:marTop w:val="0"/>
                                                              <w:marBottom w:val="0"/>
                                                              <w:divBdr>
                                                                <w:top w:val="none" w:sz="0" w:space="0" w:color="auto"/>
                                                                <w:left w:val="none" w:sz="0" w:space="0" w:color="auto"/>
                                                                <w:bottom w:val="none" w:sz="0" w:space="0" w:color="auto"/>
                                                                <w:right w:val="none" w:sz="0" w:space="0" w:color="auto"/>
                                                              </w:divBdr>
                                                            </w:div>
                                                            <w:div w:id="1951427162">
                                                              <w:marLeft w:val="360"/>
                                                              <w:marRight w:val="0"/>
                                                              <w:marTop w:val="0"/>
                                                              <w:marBottom w:val="0"/>
                                                              <w:divBdr>
                                                                <w:top w:val="none" w:sz="0" w:space="0" w:color="auto"/>
                                                                <w:left w:val="none" w:sz="0" w:space="0" w:color="auto"/>
                                                                <w:bottom w:val="none" w:sz="0" w:space="0" w:color="auto"/>
                                                                <w:right w:val="none" w:sz="0" w:space="0" w:color="auto"/>
                                                              </w:divBdr>
                                                            </w:div>
                                                            <w:div w:id="94911873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tvijasnotar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35F6D-410B-433A-99C5-500D8A88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21302</Words>
  <Characters>12143</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Grozījumi Ministru kabineta 2018. gada 21. novembra noteikumos Nr. 707 “Ārlietu ministrijas konsulārās atlīdzības cenrādis un kārtība, kādā tiek iekasēta konsulārā atlīdzība un valsts nodevas</vt:lpstr>
    </vt:vector>
  </TitlesOfParts>
  <Manager/>
  <Company>Ārlietu ministrija</Company>
  <LinksUpToDate>false</LinksUpToDate>
  <CharactersWithSpaces>33379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21. novembra noteikumos Nr. 707 “Ārlietu ministrijas konsulārās atlīdzības cenrādis un kārtība, kādā tiek iekasēta konsulārā atlīdzība un valsts nodevas</dc:title>
  <dc:subject>Anotācija</dc:subject>
  <dc:creator>Māris Burbergs</dc:creator>
  <dc:description>67016414, Maris.Burbergs@mfa.gov.lv</dc:description>
  <cp:lastModifiedBy>Maris Burbergs</cp:lastModifiedBy>
  <cp:revision>9</cp:revision>
  <cp:lastPrinted>2019-09-09T12:39:00Z</cp:lastPrinted>
  <dcterms:created xsi:type="dcterms:W3CDTF">2019-09-17T09:40:00Z</dcterms:created>
  <dcterms:modified xsi:type="dcterms:W3CDTF">2019-09-18T06:46:00Z</dcterms:modified>
</cp:coreProperties>
</file>