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37A4E" w14:textId="77777777" w:rsidR="004834E6" w:rsidRPr="00B31491" w:rsidRDefault="004834E6" w:rsidP="001A74A1">
      <w:pPr>
        <w:jc w:val="right"/>
        <w:rPr>
          <w:i/>
          <w:sz w:val="28"/>
          <w:szCs w:val="28"/>
        </w:rPr>
      </w:pPr>
      <w:r w:rsidRPr="00B31491">
        <w:rPr>
          <w:i/>
          <w:sz w:val="28"/>
          <w:szCs w:val="28"/>
        </w:rPr>
        <w:t>Projekts</w:t>
      </w:r>
    </w:p>
    <w:p w14:paraId="2747C03B" w14:textId="77777777" w:rsidR="004834E6" w:rsidRPr="00B31491" w:rsidRDefault="004834E6" w:rsidP="004834E6">
      <w:pPr>
        <w:jc w:val="center"/>
        <w:rPr>
          <w:b/>
          <w:sz w:val="28"/>
          <w:szCs w:val="28"/>
        </w:rPr>
      </w:pPr>
    </w:p>
    <w:p w14:paraId="06A64C43" w14:textId="77777777" w:rsidR="004834E6" w:rsidRPr="00B31491" w:rsidRDefault="004834E6" w:rsidP="004834E6">
      <w:pPr>
        <w:jc w:val="center"/>
        <w:rPr>
          <w:b/>
          <w:sz w:val="28"/>
          <w:szCs w:val="28"/>
        </w:rPr>
      </w:pPr>
      <w:r w:rsidRPr="00B31491">
        <w:rPr>
          <w:b/>
          <w:sz w:val="28"/>
          <w:szCs w:val="28"/>
        </w:rPr>
        <w:t>LATVIJAS REPUBLIKAS MINISTRU KABINETS</w:t>
      </w:r>
    </w:p>
    <w:p w14:paraId="34C85BFD" w14:textId="77777777" w:rsidR="004834E6" w:rsidRPr="00B31491" w:rsidRDefault="004834E6" w:rsidP="004834E6">
      <w:pPr>
        <w:jc w:val="center"/>
        <w:rPr>
          <w:b/>
          <w:sz w:val="28"/>
          <w:szCs w:val="28"/>
        </w:rPr>
      </w:pPr>
    </w:p>
    <w:p w14:paraId="057DD4DA" w14:textId="048C3227" w:rsidR="004834E6" w:rsidRPr="00B31491" w:rsidRDefault="004834E6" w:rsidP="00D22749">
      <w:pPr>
        <w:jc w:val="left"/>
        <w:rPr>
          <w:sz w:val="28"/>
          <w:szCs w:val="28"/>
        </w:rPr>
      </w:pPr>
      <w:r w:rsidRPr="00B31491">
        <w:rPr>
          <w:sz w:val="28"/>
          <w:szCs w:val="28"/>
        </w:rPr>
        <w:t xml:space="preserve">2019.gada ___._________ </w:t>
      </w:r>
      <w:r w:rsidRPr="00B31491">
        <w:rPr>
          <w:sz w:val="28"/>
          <w:szCs w:val="28"/>
        </w:rPr>
        <w:tab/>
      </w:r>
      <w:r w:rsidRPr="00B31491">
        <w:rPr>
          <w:sz w:val="28"/>
          <w:szCs w:val="28"/>
        </w:rPr>
        <w:tab/>
      </w:r>
      <w:r w:rsidRPr="00B31491">
        <w:rPr>
          <w:sz w:val="28"/>
          <w:szCs w:val="28"/>
        </w:rPr>
        <w:tab/>
      </w:r>
      <w:r w:rsidRPr="00B31491">
        <w:rPr>
          <w:sz w:val="28"/>
          <w:szCs w:val="28"/>
        </w:rPr>
        <w:tab/>
      </w:r>
      <w:r w:rsidRPr="00B31491">
        <w:rPr>
          <w:sz w:val="28"/>
          <w:szCs w:val="28"/>
        </w:rPr>
        <w:tab/>
        <w:t xml:space="preserve"> </w:t>
      </w:r>
      <w:r w:rsidR="00C51287" w:rsidRPr="00B31491">
        <w:rPr>
          <w:sz w:val="28"/>
          <w:szCs w:val="28"/>
        </w:rPr>
        <w:tab/>
      </w:r>
      <w:r w:rsidRPr="00B31491">
        <w:rPr>
          <w:sz w:val="28"/>
          <w:szCs w:val="28"/>
        </w:rPr>
        <w:t xml:space="preserve">Noteikumi Nr.___ </w:t>
      </w:r>
    </w:p>
    <w:p w14:paraId="475B5DCD" w14:textId="5B78A3F6" w:rsidR="004834E6" w:rsidRPr="00B31491" w:rsidRDefault="004834E6" w:rsidP="008C6143">
      <w:pPr>
        <w:jc w:val="left"/>
        <w:rPr>
          <w:sz w:val="28"/>
          <w:szCs w:val="28"/>
        </w:rPr>
      </w:pPr>
      <w:r w:rsidRPr="00B31491">
        <w:rPr>
          <w:sz w:val="28"/>
          <w:szCs w:val="28"/>
        </w:rPr>
        <w:t>Rīgā</w:t>
      </w:r>
      <w:r w:rsidRPr="00B31491">
        <w:rPr>
          <w:sz w:val="28"/>
          <w:szCs w:val="28"/>
        </w:rPr>
        <w:tab/>
      </w:r>
      <w:r w:rsidRPr="00B31491">
        <w:rPr>
          <w:sz w:val="28"/>
          <w:szCs w:val="28"/>
        </w:rPr>
        <w:tab/>
      </w:r>
      <w:r w:rsidRPr="00B31491">
        <w:rPr>
          <w:sz w:val="28"/>
          <w:szCs w:val="28"/>
        </w:rPr>
        <w:tab/>
      </w:r>
      <w:r w:rsidRPr="00B31491">
        <w:rPr>
          <w:sz w:val="28"/>
          <w:szCs w:val="28"/>
        </w:rPr>
        <w:tab/>
      </w:r>
      <w:r w:rsidRPr="00B31491">
        <w:rPr>
          <w:sz w:val="28"/>
          <w:szCs w:val="28"/>
        </w:rPr>
        <w:tab/>
      </w:r>
      <w:r w:rsidRPr="00B31491">
        <w:rPr>
          <w:sz w:val="28"/>
          <w:szCs w:val="28"/>
        </w:rPr>
        <w:tab/>
      </w:r>
      <w:r w:rsidRPr="00B31491">
        <w:rPr>
          <w:sz w:val="28"/>
          <w:szCs w:val="28"/>
        </w:rPr>
        <w:tab/>
      </w:r>
      <w:r w:rsidRPr="00B31491">
        <w:rPr>
          <w:sz w:val="28"/>
          <w:szCs w:val="28"/>
        </w:rPr>
        <w:tab/>
        <w:t xml:space="preserve"> </w:t>
      </w:r>
      <w:r w:rsidR="00181A90" w:rsidRPr="00B31491">
        <w:rPr>
          <w:sz w:val="28"/>
          <w:szCs w:val="28"/>
        </w:rPr>
        <w:t xml:space="preserve">        </w:t>
      </w:r>
      <w:r w:rsidR="00C82924">
        <w:rPr>
          <w:sz w:val="28"/>
          <w:szCs w:val="28"/>
        </w:rPr>
        <w:tab/>
      </w:r>
      <w:r w:rsidR="00C82924">
        <w:rPr>
          <w:sz w:val="28"/>
          <w:szCs w:val="28"/>
        </w:rPr>
        <w:tab/>
      </w:r>
      <w:r w:rsidRPr="00B31491">
        <w:rPr>
          <w:sz w:val="28"/>
          <w:szCs w:val="28"/>
        </w:rPr>
        <w:t>(prot. Nr.__ __ §)</w:t>
      </w:r>
    </w:p>
    <w:p w14:paraId="172A5A91" w14:textId="77777777" w:rsidR="004834E6" w:rsidRPr="00E34D66" w:rsidRDefault="004834E6" w:rsidP="004834E6">
      <w:pPr>
        <w:jc w:val="center"/>
        <w:rPr>
          <w:b/>
          <w:sz w:val="28"/>
          <w:szCs w:val="28"/>
        </w:rPr>
      </w:pPr>
    </w:p>
    <w:p w14:paraId="4EE11F07" w14:textId="1962D13C" w:rsidR="00C116CE" w:rsidRPr="00B31491" w:rsidRDefault="001D1B58" w:rsidP="00FE0344">
      <w:pPr>
        <w:jc w:val="center"/>
        <w:rPr>
          <w:b/>
          <w:sz w:val="28"/>
          <w:szCs w:val="28"/>
        </w:rPr>
      </w:pPr>
      <w:r w:rsidRPr="00B31491">
        <w:rPr>
          <w:b/>
          <w:sz w:val="28"/>
          <w:szCs w:val="28"/>
        </w:rPr>
        <w:t>Grozījum</w:t>
      </w:r>
      <w:r w:rsidR="00CA4CDB">
        <w:rPr>
          <w:b/>
          <w:sz w:val="28"/>
          <w:szCs w:val="28"/>
        </w:rPr>
        <w:t>s</w:t>
      </w:r>
      <w:r w:rsidR="00FE0344" w:rsidRPr="00B31491">
        <w:rPr>
          <w:b/>
          <w:sz w:val="28"/>
          <w:szCs w:val="28"/>
        </w:rPr>
        <w:t xml:space="preserve"> Ministru kabineta 2018. gada 21. novembra noteikumos Nr. 707 “Ārlietu ministrijas konsulārās atlīdzības cenrādis un kārtība, kādā tiek iekasēta konsulārā atlīdzība un valsts nodevas”</w:t>
      </w:r>
    </w:p>
    <w:p w14:paraId="2D702BC8" w14:textId="77777777" w:rsidR="002818ED" w:rsidRPr="00B31491" w:rsidRDefault="002818ED" w:rsidP="00FE0344">
      <w:pPr>
        <w:jc w:val="center"/>
        <w:rPr>
          <w:b/>
          <w:sz w:val="28"/>
          <w:szCs w:val="28"/>
        </w:rPr>
      </w:pPr>
    </w:p>
    <w:p w14:paraId="7702A100" w14:textId="23FD1721" w:rsidR="002818ED" w:rsidRPr="00B31491" w:rsidRDefault="00314634" w:rsidP="00B31491">
      <w:pPr>
        <w:ind w:left="5130"/>
        <w:jc w:val="right"/>
        <w:rPr>
          <w:sz w:val="28"/>
          <w:szCs w:val="28"/>
        </w:rPr>
      </w:pPr>
      <w:r w:rsidRPr="00B31491">
        <w:rPr>
          <w:sz w:val="28"/>
          <w:szCs w:val="28"/>
        </w:rPr>
        <w:t>Izdoti saskaņā ar Konsulārās palīdzības</w:t>
      </w:r>
      <w:r w:rsidR="00C82924">
        <w:rPr>
          <w:sz w:val="28"/>
          <w:szCs w:val="28"/>
        </w:rPr>
        <w:t xml:space="preserve"> </w:t>
      </w:r>
      <w:r w:rsidRPr="00B31491">
        <w:rPr>
          <w:sz w:val="28"/>
          <w:szCs w:val="28"/>
        </w:rPr>
        <w:t>un konsulāro pakalpojumu likum</w:t>
      </w:r>
      <w:r w:rsidR="007D015F">
        <w:rPr>
          <w:sz w:val="28"/>
          <w:szCs w:val="28"/>
        </w:rPr>
        <w:t>a</w:t>
      </w:r>
      <w:r w:rsidR="00C82924">
        <w:rPr>
          <w:sz w:val="28"/>
          <w:szCs w:val="28"/>
        </w:rPr>
        <w:t xml:space="preserve"> </w:t>
      </w:r>
      <w:r w:rsidRPr="00B31491">
        <w:rPr>
          <w:sz w:val="28"/>
          <w:szCs w:val="28"/>
        </w:rPr>
        <w:t>4. panta trešo daļu</w:t>
      </w:r>
    </w:p>
    <w:p w14:paraId="3AE77184" w14:textId="77777777" w:rsidR="00FE0344" w:rsidRPr="00B31491" w:rsidRDefault="00FE0344" w:rsidP="00FE0344">
      <w:pPr>
        <w:jc w:val="center"/>
        <w:rPr>
          <w:b/>
          <w:sz w:val="28"/>
          <w:szCs w:val="28"/>
        </w:rPr>
      </w:pPr>
    </w:p>
    <w:p w14:paraId="316B570C" w14:textId="3193D649" w:rsidR="005F0BCE" w:rsidRPr="007357AA" w:rsidRDefault="001D1B58" w:rsidP="000503A1">
      <w:pPr>
        <w:ind w:firstLine="720"/>
        <w:rPr>
          <w:b/>
          <w:bCs/>
          <w:sz w:val="28"/>
          <w:szCs w:val="28"/>
        </w:rPr>
      </w:pPr>
      <w:r w:rsidRPr="00B31491">
        <w:rPr>
          <w:sz w:val="28"/>
          <w:szCs w:val="28"/>
        </w:rPr>
        <w:t>Izdarīt Ministru kabineta 2018. gada 21. novembra noteikumos Nr. 707 “Ārlietu ministrijas konsulārās atlīdzības cenrādis un kārtība, kādā tiek iekasēta konsulārā atlīdzība un valsts nodeva</w:t>
      </w:r>
      <w:r w:rsidR="00E61168" w:rsidRPr="00B31491">
        <w:rPr>
          <w:sz w:val="28"/>
          <w:szCs w:val="28"/>
        </w:rPr>
        <w:t xml:space="preserve">s” (Latvijas Vēstnesis, </w:t>
      </w:r>
      <w:r w:rsidRPr="00B31491">
        <w:rPr>
          <w:sz w:val="28"/>
          <w:szCs w:val="28"/>
        </w:rPr>
        <w:t>2018</w:t>
      </w:r>
      <w:r w:rsidR="00E61168" w:rsidRPr="00B31491">
        <w:rPr>
          <w:sz w:val="28"/>
          <w:szCs w:val="28"/>
        </w:rPr>
        <w:t>, 231</w:t>
      </w:r>
      <w:r w:rsidR="00361478" w:rsidRPr="00B31491">
        <w:rPr>
          <w:sz w:val="28"/>
          <w:szCs w:val="28"/>
        </w:rPr>
        <w:t>. </w:t>
      </w:r>
      <w:r w:rsidR="000503A1">
        <w:rPr>
          <w:sz w:val="28"/>
          <w:szCs w:val="28"/>
        </w:rPr>
        <w:t>nr.)</w:t>
      </w:r>
      <w:r w:rsidR="00E61168" w:rsidRPr="00B31491">
        <w:rPr>
          <w:sz w:val="28"/>
          <w:szCs w:val="28"/>
        </w:rPr>
        <w:t xml:space="preserve"> </w:t>
      </w:r>
      <w:r w:rsidR="00E34D66">
        <w:rPr>
          <w:sz w:val="28"/>
          <w:szCs w:val="28"/>
        </w:rPr>
        <w:t>grozījumu</w:t>
      </w:r>
      <w:r w:rsidR="000503A1">
        <w:rPr>
          <w:sz w:val="28"/>
          <w:szCs w:val="28"/>
        </w:rPr>
        <w:t xml:space="preserve"> un i</w:t>
      </w:r>
      <w:bookmarkStart w:id="0" w:name="_GoBack"/>
      <w:bookmarkEnd w:id="0"/>
      <w:r w:rsidR="005F0BCE" w:rsidRPr="007357AA">
        <w:rPr>
          <w:sz w:val="28"/>
          <w:szCs w:val="28"/>
        </w:rPr>
        <w:t xml:space="preserve">zteikt pielikumu </w:t>
      </w:r>
      <w:r w:rsidR="005F0BCE" w:rsidRPr="007357AA">
        <w:rPr>
          <w:sz w:val="28"/>
        </w:rPr>
        <w:t>šādā redakcijā:</w:t>
      </w:r>
    </w:p>
    <w:p w14:paraId="58249649" w14:textId="7DF72D57" w:rsidR="00FD1797" w:rsidRPr="00B31491" w:rsidRDefault="005F0BCE" w:rsidP="005F0BCE">
      <w:pPr>
        <w:pStyle w:val="ListParagraph"/>
        <w:jc w:val="right"/>
        <w:rPr>
          <w:b/>
          <w:bCs/>
          <w:sz w:val="28"/>
          <w:szCs w:val="28"/>
        </w:rPr>
      </w:pPr>
      <w:r w:rsidRPr="00B31491">
        <w:rPr>
          <w:b/>
          <w:bCs/>
          <w:sz w:val="28"/>
          <w:szCs w:val="28"/>
        </w:rPr>
        <w:t xml:space="preserve"> </w:t>
      </w:r>
      <w:r w:rsidR="00FD1797" w:rsidRPr="00B31491">
        <w:rPr>
          <w:b/>
          <w:bCs/>
          <w:sz w:val="28"/>
          <w:szCs w:val="28"/>
        </w:rPr>
        <w:t>“</w:t>
      </w:r>
      <w:r w:rsidR="00FD1797" w:rsidRPr="00B31491">
        <w:rPr>
          <w:bCs/>
          <w:sz w:val="28"/>
          <w:szCs w:val="28"/>
        </w:rPr>
        <w:t>Pielikums</w:t>
      </w:r>
    </w:p>
    <w:p w14:paraId="0EA65284" w14:textId="77777777" w:rsidR="00FD1797" w:rsidRPr="00B31491" w:rsidRDefault="00FD1797" w:rsidP="00FD1797">
      <w:pPr>
        <w:pStyle w:val="ListParagraph"/>
        <w:jc w:val="right"/>
        <w:rPr>
          <w:bCs/>
          <w:sz w:val="28"/>
          <w:szCs w:val="28"/>
        </w:rPr>
      </w:pPr>
      <w:r w:rsidRPr="00B31491">
        <w:rPr>
          <w:bCs/>
          <w:sz w:val="28"/>
          <w:szCs w:val="28"/>
        </w:rPr>
        <w:t xml:space="preserve"> Ministru kabineta</w:t>
      </w:r>
    </w:p>
    <w:p w14:paraId="1DB8419C" w14:textId="77777777" w:rsidR="00FD1797" w:rsidRPr="00B31491" w:rsidRDefault="00FD1797" w:rsidP="00FD1797">
      <w:pPr>
        <w:pStyle w:val="ListParagraph"/>
        <w:jc w:val="right"/>
        <w:rPr>
          <w:bCs/>
          <w:sz w:val="28"/>
          <w:szCs w:val="28"/>
        </w:rPr>
      </w:pPr>
      <w:r w:rsidRPr="00B31491">
        <w:rPr>
          <w:bCs/>
          <w:sz w:val="28"/>
          <w:szCs w:val="28"/>
        </w:rPr>
        <w:t xml:space="preserve"> 2018. gada 21. novembra</w:t>
      </w:r>
    </w:p>
    <w:p w14:paraId="40B9C53B" w14:textId="5441DF1C" w:rsidR="00FD1797" w:rsidRPr="00B31491" w:rsidRDefault="00FD1797" w:rsidP="00FD1797">
      <w:pPr>
        <w:pStyle w:val="ListParagraph"/>
        <w:jc w:val="right"/>
        <w:rPr>
          <w:bCs/>
          <w:sz w:val="28"/>
          <w:szCs w:val="28"/>
        </w:rPr>
      </w:pPr>
      <w:r w:rsidRPr="00B31491">
        <w:rPr>
          <w:bCs/>
          <w:sz w:val="28"/>
          <w:szCs w:val="28"/>
        </w:rPr>
        <w:t xml:space="preserve"> noteikumiem Nr. 707</w:t>
      </w:r>
    </w:p>
    <w:p w14:paraId="7E190724" w14:textId="77777777" w:rsidR="00041297" w:rsidRPr="00B31491" w:rsidRDefault="00041297" w:rsidP="00FD1797">
      <w:pPr>
        <w:pStyle w:val="ListParagraph"/>
        <w:jc w:val="right"/>
        <w:rPr>
          <w:bCs/>
          <w:sz w:val="28"/>
          <w:szCs w:val="28"/>
        </w:rPr>
      </w:pPr>
    </w:p>
    <w:p w14:paraId="1A7A8C69" w14:textId="49F63A19" w:rsidR="00FD1797" w:rsidRPr="00B31491" w:rsidRDefault="00FD1797" w:rsidP="007D2875">
      <w:pPr>
        <w:pStyle w:val="ListParagraph"/>
        <w:jc w:val="center"/>
        <w:rPr>
          <w:b/>
          <w:bCs/>
          <w:sz w:val="28"/>
          <w:szCs w:val="28"/>
        </w:rPr>
      </w:pPr>
      <w:r w:rsidRPr="00B31491">
        <w:rPr>
          <w:b/>
          <w:bCs/>
          <w:sz w:val="28"/>
          <w:szCs w:val="28"/>
        </w:rPr>
        <w:t xml:space="preserve">Ārlietu ministrijas </w:t>
      </w:r>
      <w:r w:rsidR="0028282D" w:rsidRPr="00B31491">
        <w:rPr>
          <w:b/>
          <w:bCs/>
          <w:sz w:val="28"/>
          <w:szCs w:val="28"/>
        </w:rPr>
        <w:t xml:space="preserve">konsulārās atlīdzības </w:t>
      </w:r>
      <w:r w:rsidR="00416A74">
        <w:rPr>
          <w:b/>
          <w:bCs/>
          <w:sz w:val="28"/>
          <w:szCs w:val="28"/>
        </w:rPr>
        <w:t>cenrādis</w:t>
      </w:r>
    </w:p>
    <w:p w14:paraId="06D6D2D9" w14:textId="77777777" w:rsidR="00B27BF2" w:rsidRPr="00B31491" w:rsidRDefault="00B27BF2" w:rsidP="007D2875">
      <w:pPr>
        <w:pStyle w:val="ListParagraph"/>
        <w:jc w:val="center"/>
        <w:rPr>
          <w:b/>
          <w:bCs/>
          <w:sz w:val="28"/>
          <w:szCs w:val="28"/>
        </w:rPr>
      </w:pPr>
    </w:p>
    <w:tbl>
      <w:tblPr>
        <w:tblStyle w:val="TableGrid"/>
        <w:tblW w:w="9395" w:type="dxa"/>
        <w:tblLook w:val="04A0" w:firstRow="1" w:lastRow="0" w:firstColumn="1" w:lastColumn="0" w:noHBand="0" w:noVBand="1"/>
      </w:tblPr>
      <w:tblGrid>
        <w:gridCol w:w="636"/>
        <w:gridCol w:w="4489"/>
        <w:gridCol w:w="2430"/>
        <w:gridCol w:w="1840"/>
      </w:tblGrid>
      <w:tr w:rsidR="00AD7884" w:rsidRPr="00C82924" w14:paraId="354C2CD4" w14:textId="0EBE3FF6" w:rsidTr="00507B96">
        <w:tc>
          <w:tcPr>
            <w:tcW w:w="636" w:type="dxa"/>
          </w:tcPr>
          <w:p w14:paraId="6655AF9C" w14:textId="77777777" w:rsidR="00AD7884" w:rsidRPr="00B31491" w:rsidRDefault="00AD7884" w:rsidP="005D4A2B">
            <w:pPr>
              <w:rPr>
                <w:sz w:val="28"/>
                <w:szCs w:val="28"/>
              </w:rPr>
            </w:pPr>
            <w:r w:rsidRPr="00B31491">
              <w:rPr>
                <w:sz w:val="28"/>
                <w:szCs w:val="28"/>
              </w:rPr>
              <w:t>Nr.</w:t>
            </w:r>
          </w:p>
          <w:p w14:paraId="003EE81D" w14:textId="77777777" w:rsidR="00AD7884" w:rsidRPr="00B31491" w:rsidRDefault="00AD7884" w:rsidP="005D4A2B">
            <w:pPr>
              <w:rPr>
                <w:sz w:val="28"/>
                <w:szCs w:val="28"/>
              </w:rPr>
            </w:pPr>
            <w:r w:rsidRPr="00B31491">
              <w:rPr>
                <w:sz w:val="28"/>
                <w:szCs w:val="28"/>
              </w:rPr>
              <w:t>p.k.</w:t>
            </w:r>
          </w:p>
        </w:tc>
        <w:tc>
          <w:tcPr>
            <w:tcW w:w="4489" w:type="dxa"/>
          </w:tcPr>
          <w:p w14:paraId="085B5E5B" w14:textId="77777777" w:rsidR="00AD7884" w:rsidRPr="00B31491" w:rsidRDefault="00AD7884" w:rsidP="000C1193">
            <w:pPr>
              <w:jc w:val="center"/>
              <w:rPr>
                <w:sz w:val="28"/>
                <w:szCs w:val="28"/>
              </w:rPr>
            </w:pPr>
            <w:r w:rsidRPr="00B31491">
              <w:rPr>
                <w:sz w:val="28"/>
                <w:szCs w:val="28"/>
              </w:rPr>
              <w:t>Konsulārā funkcija</w:t>
            </w:r>
          </w:p>
        </w:tc>
        <w:tc>
          <w:tcPr>
            <w:tcW w:w="2430" w:type="dxa"/>
          </w:tcPr>
          <w:p w14:paraId="343F76EB" w14:textId="77777777" w:rsidR="00AD7884" w:rsidRPr="00B31491" w:rsidRDefault="00AD7884" w:rsidP="000C1193">
            <w:pPr>
              <w:jc w:val="center"/>
              <w:rPr>
                <w:sz w:val="28"/>
                <w:szCs w:val="28"/>
              </w:rPr>
            </w:pPr>
            <w:r w:rsidRPr="00B31491">
              <w:rPr>
                <w:sz w:val="28"/>
                <w:szCs w:val="28"/>
              </w:rPr>
              <w:t>Mērvienība</w:t>
            </w:r>
          </w:p>
        </w:tc>
        <w:tc>
          <w:tcPr>
            <w:tcW w:w="1840" w:type="dxa"/>
          </w:tcPr>
          <w:p w14:paraId="0E39E1A7" w14:textId="23993EE3" w:rsidR="00AD7884" w:rsidRPr="00AD7884" w:rsidRDefault="00E34D66" w:rsidP="00AD788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34D66">
              <w:rPr>
                <w:sz w:val="28"/>
                <w:szCs w:val="28"/>
              </w:rPr>
              <w:t>Cena</w:t>
            </w:r>
            <w:r w:rsidR="00965FA2">
              <w:rPr>
                <w:sz w:val="28"/>
                <w:szCs w:val="28"/>
              </w:rPr>
              <w:t xml:space="preserve"> (</w:t>
            </w:r>
            <w:r w:rsidR="00965FA2" w:rsidRPr="00AD7884">
              <w:rPr>
                <w:i/>
                <w:sz w:val="28"/>
                <w:szCs w:val="28"/>
              </w:rPr>
              <w:t>euro</w:t>
            </w:r>
            <w:r w:rsidR="00965FA2">
              <w:rPr>
                <w:sz w:val="28"/>
                <w:szCs w:val="28"/>
              </w:rPr>
              <w:t>)</w:t>
            </w:r>
            <w:r w:rsidR="00AD7884">
              <w:rPr>
                <w:sz w:val="28"/>
                <w:szCs w:val="28"/>
                <w:vertAlign w:val="superscript"/>
              </w:rPr>
              <w:t>1</w:t>
            </w:r>
          </w:p>
          <w:p w14:paraId="33A86B61" w14:textId="74A771EA" w:rsidR="00AD7884" w:rsidRPr="00B31491" w:rsidRDefault="00AD7884" w:rsidP="00AD7884">
            <w:pPr>
              <w:jc w:val="center"/>
              <w:rPr>
                <w:sz w:val="28"/>
                <w:szCs w:val="28"/>
              </w:rPr>
            </w:pPr>
          </w:p>
        </w:tc>
      </w:tr>
      <w:tr w:rsidR="00274AA6" w:rsidRPr="00C82924" w14:paraId="12790709" w14:textId="77777777" w:rsidTr="00B117E6">
        <w:tc>
          <w:tcPr>
            <w:tcW w:w="636" w:type="dxa"/>
          </w:tcPr>
          <w:p w14:paraId="35E8249C" w14:textId="027E7C5A" w:rsidR="00274AA6" w:rsidRPr="00B31491" w:rsidRDefault="00274AA6" w:rsidP="005D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59" w:type="dxa"/>
            <w:gridSpan w:val="3"/>
          </w:tcPr>
          <w:p w14:paraId="54CE8960" w14:textId="49D86FBE" w:rsidR="00274AA6" w:rsidRPr="00E34D66" w:rsidRDefault="00274AA6" w:rsidP="00274AA6">
            <w:pPr>
              <w:jc w:val="left"/>
              <w:rPr>
                <w:sz w:val="28"/>
                <w:szCs w:val="28"/>
              </w:rPr>
            </w:pPr>
            <w:r w:rsidRPr="00B31491">
              <w:rPr>
                <w:sz w:val="28"/>
                <w:szCs w:val="28"/>
              </w:rPr>
              <w:t>Rakstiskas izziņas izsniegšana vienas darbdienas laikā pēc nepie</w:t>
            </w:r>
            <w:r w:rsidR="00BE4051">
              <w:rPr>
                <w:sz w:val="28"/>
                <w:szCs w:val="28"/>
              </w:rPr>
              <w:t>ciešamās informācijas iegūšanas</w:t>
            </w:r>
          </w:p>
        </w:tc>
      </w:tr>
      <w:tr w:rsidR="009D3B52" w:rsidRPr="00C82924" w14:paraId="295CC685" w14:textId="77777777" w:rsidTr="00507B96">
        <w:tc>
          <w:tcPr>
            <w:tcW w:w="636" w:type="dxa"/>
          </w:tcPr>
          <w:p w14:paraId="3B73BE5D" w14:textId="0E2E0B17" w:rsidR="009D3B52" w:rsidRPr="00B31491" w:rsidRDefault="009D3B52" w:rsidP="005D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489" w:type="dxa"/>
          </w:tcPr>
          <w:p w14:paraId="625ADA43" w14:textId="76DE08A0" w:rsidR="009D3B52" w:rsidRPr="00B31491" w:rsidRDefault="009D3B52" w:rsidP="00274AA6">
            <w:pPr>
              <w:jc w:val="left"/>
              <w:rPr>
                <w:sz w:val="28"/>
                <w:szCs w:val="28"/>
              </w:rPr>
            </w:pPr>
            <w:r w:rsidRPr="00B31491">
              <w:rPr>
                <w:iCs/>
                <w:sz w:val="28"/>
                <w:szCs w:val="28"/>
              </w:rPr>
              <w:t>konsulārā izziņa</w:t>
            </w:r>
          </w:p>
        </w:tc>
        <w:tc>
          <w:tcPr>
            <w:tcW w:w="2430" w:type="dxa"/>
            <w:vMerge w:val="restart"/>
          </w:tcPr>
          <w:p w14:paraId="4CB01FFD" w14:textId="77777777" w:rsidR="009D3B52" w:rsidRPr="00B31491" w:rsidRDefault="009D3B52" w:rsidP="00077E06">
            <w:pPr>
              <w:jc w:val="center"/>
              <w:rPr>
                <w:sz w:val="28"/>
                <w:szCs w:val="28"/>
              </w:rPr>
            </w:pPr>
            <w:r w:rsidRPr="00077E06">
              <w:rPr>
                <w:sz w:val="28"/>
                <w:szCs w:val="28"/>
              </w:rPr>
              <w:t>viens dokuments</w:t>
            </w:r>
          </w:p>
          <w:p w14:paraId="52742C6F" w14:textId="6A0A38C8" w:rsidR="009D3B52" w:rsidRPr="00B31491" w:rsidRDefault="009D3B52" w:rsidP="00077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vMerge w:val="restart"/>
          </w:tcPr>
          <w:p w14:paraId="735402D5" w14:textId="77777777" w:rsidR="009D3B52" w:rsidRPr="00E34D66" w:rsidRDefault="009D3B52" w:rsidP="00077E06">
            <w:pPr>
              <w:jc w:val="center"/>
              <w:rPr>
                <w:sz w:val="28"/>
                <w:szCs w:val="28"/>
              </w:rPr>
            </w:pPr>
            <w:r w:rsidRPr="00077E06">
              <w:rPr>
                <w:sz w:val="28"/>
                <w:szCs w:val="28"/>
              </w:rPr>
              <w:t>40,00</w:t>
            </w:r>
          </w:p>
          <w:p w14:paraId="4DD96DF9" w14:textId="50EF526F" w:rsidR="009D3B52" w:rsidRPr="00E34D66" w:rsidRDefault="009D3B52" w:rsidP="00077E06">
            <w:pPr>
              <w:jc w:val="center"/>
              <w:rPr>
                <w:sz w:val="28"/>
                <w:szCs w:val="28"/>
              </w:rPr>
            </w:pPr>
          </w:p>
        </w:tc>
      </w:tr>
      <w:tr w:rsidR="009D3B52" w:rsidRPr="00C82924" w14:paraId="65B89711" w14:textId="77777777" w:rsidTr="00507B96">
        <w:tc>
          <w:tcPr>
            <w:tcW w:w="636" w:type="dxa"/>
          </w:tcPr>
          <w:p w14:paraId="0A4F1BD0" w14:textId="63EC762F" w:rsidR="009D3B52" w:rsidRPr="00B31491" w:rsidRDefault="009D3B52" w:rsidP="005D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489" w:type="dxa"/>
          </w:tcPr>
          <w:p w14:paraId="17EAAFFD" w14:textId="1CBD7EDE" w:rsidR="009D3B52" w:rsidRPr="00B31491" w:rsidRDefault="009D3B52" w:rsidP="00274AA6">
            <w:pPr>
              <w:jc w:val="left"/>
              <w:rPr>
                <w:sz w:val="28"/>
                <w:szCs w:val="28"/>
              </w:rPr>
            </w:pPr>
            <w:r w:rsidRPr="00274AA6">
              <w:rPr>
                <w:sz w:val="28"/>
                <w:szCs w:val="28"/>
              </w:rPr>
              <w:t>izziņa par valsts uzturētās datu bāzēs pieejamo informāciju, tai skaitā no Iedzīvotāju reģistra (svešvalodā), Sodu reģistra u.c.</w:t>
            </w:r>
          </w:p>
        </w:tc>
        <w:tc>
          <w:tcPr>
            <w:tcW w:w="2430" w:type="dxa"/>
            <w:vMerge/>
          </w:tcPr>
          <w:p w14:paraId="216E43F2" w14:textId="386D1AF6" w:rsidR="009D3B52" w:rsidRPr="00B31491" w:rsidRDefault="009D3B52" w:rsidP="00077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14:paraId="1E3155E3" w14:textId="67639B91" w:rsidR="009D3B52" w:rsidRPr="00E34D66" w:rsidRDefault="009D3B52" w:rsidP="00077E06">
            <w:pPr>
              <w:jc w:val="center"/>
              <w:rPr>
                <w:sz w:val="28"/>
                <w:szCs w:val="28"/>
              </w:rPr>
            </w:pPr>
          </w:p>
        </w:tc>
      </w:tr>
      <w:tr w:rsidR="009D3B52" w:rsidRPr="00C82924" w14:paraId="26FA9FA7" w14:textId="77777777" w:rsidTr="00507B96">
        <w:tc>
          <w:tcPr>
            <w:tcW w:w="636" w:type="dxa"/>
          </w:tcPr>
          <w:p w14:paraId="549BB680" w14:textId="5D6E3111" w:rsidR="009D3B52" w:rsidRPr="00B31491" w:rsidRDefault="009D3B52" w:rsidP="005D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489" w:type="dxa"/>
          </w:tcPr>
          <w:p w14:paraId="74B536D2" w14:textId="5220BE44" w:rsidR="009D3B52" w:rsidRPr="00B31491" w:rsidRDefault="009D3B52" w:rsidP="00077E06">
            <w:pPr>
              <w:jc w:val="left"/>
              <w:rPr>
                <w:sz w:val="28"/>
                <w:szCs w:val="28"/>
              </w:rPr>
            </w:pPr>
            <w:r w:rsidRPr="00B31491">
              <w:rPr>
                <w:iCs/>
                <w:sz w:val="28"/>
                <w:szCs w:val="28"/>
              </w:rPr>
              <w:t>daudzvalodu standarta veidlapa</w:t>
            </w:r>
          </w:p>
        </w:tc>
        <w:tc>
          <w:tcPr>
            <w:tcW w:w="2430" w:type="dxa"/>
            <w:vMerge/>
          </w:tcPr>
          <w:p w14:paraId="67050CD3" w14:textId="5AB4DD12" w:rsidR="009D3B52" w:rsidRPr="00B31491" w:rsidRDefault="009D3B52" w:rsidP="00077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14:paraId="47C9E247" w14:textId="579BF7FF" w:rsidR="009D3B52" w:rsidRPr="00E34D66" w:rsidRDefault="009D3B52" w:rsidP="00077E06">
            <w:pPr>
              <w:jc w:val="center"/>
              <w:rPr>
                <w:sz w:val="28"/>
                <w:szCs w:val="28"/>
              </w:rPr>
            </w:pPr>
          </w:p>
        </w:tc>
      </w:tr>
      <w:tr w:rsidR="00077E06" w:rsidRPr="00C82924" w14:paraId="49B9D4D3" w14:textId="5F2C25C1" w:rsidTr="008473CE">
        <w:tc>
          <w:tcPr>
            <w:tcW w:w="636" w:type="dxa"/>
          </w:tcPr>
          <w:p w14:paraId="46608202" w14:textId="0A79049D" w:rsidR="00077E06" w:rsidRPr="00B31491" w:rsidRDefault="00077E06" w:rsidP="00813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59" w:type="dxa"/>
            <w:gridSpan w:val="3"/>
          </w:tcPr>
          <w:p w14:paraId="3BB13BD3" w14:textId="0C82D8F3" w:rsidR="00077E06" w:rsidRPr="00B31491" w:rsidRDefault="00BE4051" w:rsidP="0007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Notariālās darbības</w:t>
            </w:r>
          </w:p>
        </w:tc>
      </w:tr>
      <w:tr w:rsidR="009D3B52" w:rsidRPr="00C82924" w14:paraId="47352291" w14:textId="1950D7E9" w:rsidTr="00507B96">
        <w:tc>
          <w:tcPr>
            <w:tcW w:w="636" w:type="dxa"/>
          </w:tcPr>
          <w:p w14:paraId="792674C5" w14:textId="0A75B6AC" w:rsidR="009D3B52" w:rsidRPr="00B31491" w:rsidRDefault="009D3B52" w:rsidP="008134CD">
            <w:pPr>
              <w:rPr>
                <w:sz w:val="28"/>
                <w:szCs w:val="28"/>
              </w:rPr>
            </w:pPr>
            <w:r w:rsidRPr="00B3149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4489" w:type="dxa"/>
          </w:tcPr>
          <w:p w14:paraId="535AACC4" w14:textId="41DEFF7D" w:rsidR="009D3B52" w:rsidRPr="009D3B52" w:rsidRDefault="009D3B52" w:rsidP="006C4D33">
            <w:pPr>
              <w:jc w:val="left"/>
              <w:rPr>
                <w:sz w:val="28"/>
                <w:szCs w:val="28"/>
              </w:rPr>
            </w:pPr>
            <w:r w:rsidRPr="009D3B52">
              <w:rPr>
                <w:sz w:val="28"/>
                <w:szCs w:val="28"/>
              </w:rPr>
              <w:t>pilnvaru, piekrišanu un apliecinājumu sagatavošana</w:t>
            </w:r>
            <w:r>
              <w:rPr>
                <w:sz w:val="28"/>
                <w:szCs w:val="28"/>
              </w:rPr>
              <w:t xml:space="preserve"> notariālā akta apstiprināšanai</w:t>
            </w:r>
          </w:p>
        </w:tc>
        <w:tc>
          <w:tcPr>
            <w:tcW w:w="2430" w:type="dxa"/>
            <w:vMerge w:val="restart"/>
          </w:tcPr>
          <w:p w14:paraId="58A2B724" w14:textId="54A2832F" w:rsidR="009D3B52" w:rsidRPr="00B31491" w:rsidRDefault="009D3B52" w:rsidP="009D3B52">
            <w:pPr>
              <w:jc w:val="center"/>
              <w:rPr>
                <w:sz w:val="28"/>
                <w:szCs w:val="28"/>
              </w:rPr>
            </w:pPr>
            <w:r w:rsidRPr="00B31491">
              <w:rPr>
                <w:sz w:val="28"/>
                <w:szCs w:val="28"/>
              </w:rPr>
              <w:t xml:space="preserve">viens ieraksts notariālo aktu </w:t>
            </w:r>
            <w:r w:rsidRPr="00B31491">
              <w:rPr>
                <w:sz w:val="28"/>
                <w:szCs w:val="28"/>
              </w:rPr>
              <w:lastRenderedPageBreak/>
              <w:t>grāmatā vai reģistrā</w:t>
            </w:r>
          </w:p>
        </w:tc>
        <w:tc>
          <w:tcPr>
            <w:tcW w:w="1840" w:type="dxa"/>
            <w:vMerge w:val="restart"/>
          </w:tcPr>
          <w:p w14:paraId="4D77B958" w14:textId="5997538B" w:rsidR="009D3B52" w:rsidRPr="00B31491" w:rsidRDefault="009D3B52" w:rsidP="007C5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40,00</w:t>
            </w:r>
          </w:p>
        </w:tc>
      </w:tr>
      <w:tr w:rsidR="009D3B52" w:rsidRPr="00C82924" w14:paraId="60B58087" w14:textId="77777777" w:rsidTr="00507B96">
        <w:tc>
          <w:tcPr>
            <w:tcW w:w="636" w:type="dxa"/>
          </w:tcPr>
          <w:p w14:paraId="21A06E8E" w14:textId="589E1C74" w:rsidR="009D3B52" w:rsidRPr="00B31491" w:rsidRDefault="009D3B52" w:rsidP="00813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4489" w:type="dxa"/>
          </w:tcPr>
          <w:p w14:paraId="22BE0884" w14:textId="54D6D639" w:rsidR="009D3B52" w:rsidRPr="009D3B52" w:rsidRDefault="009D3B52" w:rsidP="006C4D33">
            <w:pPr>
              <w:jc w:val="left"/>
              <w:rPr>
                <w:sz w:val="28"/>
                <w:szCs w:val="28"/>
              </w:rPr>
            </w:pPr>
            <w:r w:rsidRPr="009D3B52">
              <w:rPr>
                <w:sz w:val="28"/>
                <w:szCs w:val="28"/>
              </w:rPr>
              <w:t>paraksta īstuma, dokumenta atvasinājuma un tulkojuma pareizības apliecinājuma sagatavošana</w:t>
            </w:r>
          </w:p>
        </w:tc>
        <w:tc>
          <w:tcPr>
            <w:tcW w:w="2430" w:type="dxa"/>
            <w:vMerge/>
          </w:tcPr>
          <w:p w14:paraId="6F597C01" w14:textId="77777777" w:rsidR="009D3B52" w:rsidRPr="00B31491" w:rsidRDefault="009D3B52" w:rsidP="008134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14:paraId="56F71A36" w14:textId="77777777" w:rsidR="009D3B52" w:rsidRDefault="009D3B52" w:rsidP="007C52C6">
            <w:pPr>
              <w:jc w:val="center"/>
              <w:rPr>
                <w:sz w:val="28"/>
                <w:szCs w:val="28"/>
              </w:rPr>
            </w:pPr>
          </w:p>
        </w:tc>
      </w:tr>
      <w:tr w:rsidR="009D3B52" w:rsidRPr="00C82924" w14:paraId="357BA456" w14:textId="77777777" w:rsidTr="00507B96">
        <w:tc>
          <w:tcPr>
            <w:tcW w:w="636" w:type="dxa"/>
          </w:tcPr>
          <w:p w14:paraId="2B056B97" w14:textId="3427A34B" w:rsidR="009D3B52" w:rsidRPr="00B31491" w:rsidRDefault="009D3B52" w:rsidP="00813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4489" w:type="dxa"/>
          </w:tcPr>
          <w:p w14:paraId="09FD4B03" w14:textId="216B1942" w:rsidR="009D3B52" w:rsidRPr="009D3B52" w:rsidRDefault="009D3B52" w:rsidP="006C4D3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9D3B52">
              <w:rPr>
                <w:sz w:val="28"/>
                <w:szCs w:val="28"/>
              </w:rPr>
              <w:t>otariālo aktu grāmatas otro un turpmāko izrakstu, norakstu u</w:t>
            </w:r>
            <w:r>
              <w:rPr>
                <w:sz w:val="28"/>
                <w:szCs w:val="28"/>
              </w:rPr>
              <w:t>n reģistra izrakstu izsniegšana</w:t>
            </w:r>
          </w:p>
        </w:tc>
        <w:tc>
          <w:tcPr>
            <w:tcW w:w="2430" w:type="dxa"/>
            <w:vMerge/>
          </w:tcPr>
          <w:p w14:paraId="55336CAF" w14:textId="77777777" w:rsidR="009D3B52" w:rsidRPr="00B31491" w:rsidRDefault="009D3B52" w:rsidP="008134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14:paraId="30DD5110" w14:textId="77777777" w:rsidR="009D3B52" w:rsidRDefault="009D3B52" w:rsidP="007C52C6">
            <w:pPr>
              <w:jc w:val="center"/>
              <w:rPr>
                <w:sz w:val="28"/>
                <w:szCs w:val="28"/>
              </w:rPr>
            </w:pPr>
          </w:p>
        </w:tc>
      </w:tr>
      <w:tr w:rsidR="00F9445F" w:rsidRPr="00C82924" w14:paraId="5A89E252" w14:textId="77777777" w:rsidTr="00E9063D">
        <w:tc>
          <w:tcPr>
            <w:tcW w:w="636" w:type="dxa"/>
          </w:tcPr>
          <w:p w14:paraId="10A43BC5" w14:textId="02EDC18F" w:rsidR="00F9445F" w:rsidRDefault="00F9445F" w:rsidP="008134CD">
            <w:pPr>
              <w:rPr>
                <w:sz w:val="28"/>
                <w:szCs w:val="28"/>
              </w:rPr>
            </w:pPr>
            <w:r w:rsidRPr="00B31491">
              <w:rPr>
                <w:sz w:val="28"/>
                <w:szCs w:val="28"/>
              </w:rPr>
              <w:t>3.</w:t>
            </w:r>
          </w:p>
        </w:tc>
        <w:tc>
          <w:tcPr>
            <w:tcW w:w="8759" w:type="dxa"/>
            <w:gridSpan w:val="3"/>
          </w:tcPr>
          <w:p w14:paraId="2F228660" w14:textId="75CC85E5" w:rsidR="00F9445F" w:rsidRDefault="00F9445F" w:rsidP="00F9445F">
            <w:pPr>
              <w:jc w:val="left"/>
              <w:rPr>
                <w:sz w:val="28"/>
                <w:szCs w:val="28"/>
              </w:rPr>
            </w:pPr>
            <w:r w:rsidRPr="00B31491">
              <w:rPr>
                <w:sz w:val="28"/>
                <w:szCs w:val="28"/>
              </w:rPr>
              <w:t xml:space="preserve">Dokumentu izprasīšana un pārsūtīšana Latvijas Republikas iestādēm </w:t>
            </w:r>
            <w:r>
              <w:rPr>
                <w:sz w:val="28"/>
                <w:szCs w:val="28"/>
              </w:rPr>
              <w:t>ar pārstāvniecības starpniecību</w:t>
            </w:r>
          </w:p>
        </w:tc>
      </w:tr>
      <w:tr w:rsidR="000D3818" w:rsidRPr="00C82924" w14:paraId="266C5BB3" w14:textId="050E4B8D" w:rsidTr="00507B96">
        <w:tc>
          <w:tcPr>
            <w:tcW w:w="636" w:type="dxa"/>
          </w:tcPr>
          <w:p w14:paraId="196E6672" w14:textId="71516D18" w:rsidR="000D3818" w:rsidRPr="00B31491" w:rsidRDefault="000A478D" w:rsidP="00813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489" w:type="dxa"/>
          </w:tcPr>
          <w:p w14:paraId="3B5CE9C6" w14:textId="7A8E3450" w:rsidR="000D3818" w:rsidRPr="006C4D33" w:rsidRDefault="000D3818" w:rsidP="006C4D33">
            <w:pPr>
              <w:jc w:val="left"/>
              <w:rPr>
                <w:sz w:val="28"/>
                <w:szCs w:val="28"/>
              </w:rPr>
            </w:pPr>
            <w:r w:rsidRPr="006C4D33">
              <w:rPr>
                <w:sz w:val="28"/>
                <w:szCs w:val="28"/>
              </w:rPr>
              <w:t>dokumentu pārsūtīšana pases un/vai personas apliecības noformēšanai</w:t>
            </w:r>
          </w:p>
        </w:tc>
        <w:tc>
          <w:tcPr>
            <w:tcW w:w="2430" w:type="dxa"/>
            <w:vMerge w:val="restart"/>
          </w:tcPr>
          <w:p w14:paraId="768119E8" w14:textId="77777777" w:rsidR="000D3818" w:rsidRPr="00B31491" w:rsidRDefault="000D3818" w:rsidP="00367874">
            <w:pPr>
              <w:jc w:val="center"/>
              <w:rPr>
                <w:sz w:val="28"/>
                <w:szCs w:val="28"/>
              </w:rPr>
            </w:pPr>
            <w:r w:rsidRPr="00B31491">
              <w:rPr>
                <w:sz w:val="28"/>
                <w:szCs w:val="28"/>
              </w:rPr>
              <w:t>viens pieprasījums</w:t>
            </w:r>
          </w:p>
        </w:tc>
        <w:tc>
          <w:tcPr>
            <w:tcW w:w="1840" w:type="dxa"/>
            <w:vMerge w:val="restart"/>
          </w:tcPr>
          <w:p w14:paraId="107506E4" w14:textId="3F27AAB9" w:rsidR="000D3818" w:rsidRPr="00B31491" w:rsidRDefault="000D3818" w:rsidP="007C5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0D3818" w:rsidRPr="00C82924" w14:paraId="49025196" w14:textId="77777777" w:rsidTr="00507B96">
        <w:tc>
          <w:tcPr>
            <w:tcW w:w="636" w:type="dxa"/>
          </w:tcPr>
          <w:p w14:paraId="7D43A235" w14:textId="4FB20999" w:rsidR="000D3818" w:rsidRPr="00B31491" w:rsidRDefault="000A478D" w:rsidP="00813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489" w:type="dxa"/>
          </w:tcPr>
          <w:p w14:paraId="26B2D905" w14:textId="7F929EA7" w:rsidR="000D3818" w:rsidRPr="006C4D33" w:rsidRDefault="000D3818" w:rsidP="006C4D33">
            <w:pPr>
              <w:jc w:val="left"/>
              <w:rPr>
                <w:sz w:val="28"/>
                <w:szCs w:val="28"/>
              </w:rPr>
            </w:pPr>
            <w:r w:rsidRPr="006C4D33">
              <w:rPr>
                <w:sz w:val="28"/>
                <w:szCs w:val="28"/>
              </w:rPr>
              <w:t>papilddokumentu pārsūtīšana uzturēšanās atļaujas noformēšanai</w:t>
            </w:r>
          </w:p>
        </w:tc>
        <w:tc>
          <w:tcPr>
            <w:tcW w:w="2430" w:type="dxa"/>
            <w:vMerge/>
          </w:tcPr>
          <w:p w14:paraId="363C61C5" w14:textId="77777777" w:rsidR="000D3818" w:rsidRPr="00B31491" w:rsidRDefault="000D3818" w:rsidP="00367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14:paraId="457F8AF2" w14:textId="77777777" w:rsidR="000D3818" w:rsidRDefault="000D3818" w:rsidP="007C52C6">
            <w:pPr>
              <w:jc w:val="center"/>
              <w:rPr>
                <w:sz w:val="28"/>
                <w:szCs w:val="28"/>
              </w:rPr>
            </w:pPr>
          </w:p>
        </w:tc>
      </w:tr>
      <w:tr w:rsidR="000D3818" w:rsidRPr="00C82924" w14:paraId="6E783693" w14:textId="77777777" w:rsidTr="00507B96">
        <w:tc>
          <w:tcPr>
            <w:tcW w:w="636" w:type="dxa"/>
          </w:tcPr>
          <w:p w14:paraId="20EFC4D3" w14:textId="653B6FBB" w:rsidR="000D3818" w:rsidRPr="00B31491" w:rsidRDefault="000A478D" w:rsidP="00813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4489" w:type="dxa"/>
          </w:tcPr>
          <w:p w14:paraId="295E9F61" w14:textId="3D926E7A" w:rsidR="000D3818" w:rsidRPr="006C4D33" w:rsidRDefault="000D3818" w:rsidP="006C4D33">
            <w:pPr>
              <w:jc w:val="left"/>
              <w:rPr>
                <w:sz w:val="28"/>
                <w:szCs w:val="28"/>
              </w:rPr>
            </w:pPr>
            <w:r w:rsidRPr="006C4D33">
              <w:rPr>
                <w:sz w:val="28"/>
                <w:szCs w:val="28"/>
              </w:rPr>
              <w:t>dokumentu pārsūtīšana ziņu aktualizēšanai Iedzīvotāju reģistrā, ja tas netiek veikts reizē ar personu apliecinoša dokumenta pietiekuma pārsūtīšanu</w:t>
            </w:r>
          </w:p>
        </w:tc>
        <w:tc>
          <w:tcPr>
            <w:tcW w:w="2430" w:type="dxa"/>
            <w:vMerge/>
          </w:tcPr>
          <w:p w14:paraId="2E152614" w14:textId="77777777" w:rsidR="000D3818" w:rsidRPr="00B31491" w:rsidRDefault="000D3818" w:rsidP="00367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14:paraId="7C629EEF" w14:textId="77777777" w:rsidR="000D3818" w:rsidRDefault="000D3818" w:rsidP="007C52C6">
            <w:pPr>
              <w:jc w:val="center"/>
              <w:rPr>
                <w:sz w:val="28"/>
                <w:szCs w:val="28"/>
              </w:rPr>
            </w:pPr>
          </w:p>
        </w:tc>
      </w:tr>
      <w:tr w:rsidR="000D3818" w:rsidRPr="00C82924" w14:paraId="2BBEBCD0" w14:textId="77777777" w:rsidTr="00507B96">
        <w:tc>
          <w:tcPr>
            <w:tcW w:w="636" w:type="dxa"/>
          </w:tcPr>
          <w:p w14:paraId="1869CC74" w14:textId="3A9BF348" w:rsidR="000D3818" w:rsidRPr="00B31491" w:rsidRDefault="000A478D" w:rsidP="00813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4489" w:type="dxa"/>
          </w:tcPr>
          <w:p w14:paraId="2DD534FD" w14:textId="28FCFE2E" w:rsidR="000D3818" w:rsidRPr="006C4D33" w:rsidRDefault="000D3818" w:rsidP="006C4D33">
            <w:pPr>
              <w:jc w:val="left"/>
              <w:rPr>
                <w:sz w:val="28"/>
                <w:szCs w:val="28"/>
              </w:rPr>
            </w:pPr>
            <w:r w:rsidRPr="006C4D33">
              <w:rPr>
                <w:sz w:val="28"/>
                <w:szCs w:val="28"/>
              </w:rPr>
              <w:t>dokumentu pārsūtīšana Latvijas iestādēm citos gadījumos</w:t>
            </w:r>
          </w:p>
        </w:tc>
        <w:tc>
          <w:tcPr>
            <w:tcW w:w="2430" w:type="dxa"/>
            <w:vMerge/>
          </w:tcPr>
          <w:p w14:paraId="675EA640" w14:textId="77777777" w:rsidR="000D3818" w:rsidRPr="00B31491" w:rsidRDefault="000D3818" w:rsidP="00367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14:paraId="351CC502" w14:textId="77777777" w:rsidR="000D3818" w:rsidRDefault="000D3818" w:rsidP="007C52C6">
            <w:pPr>
              <w:jc w:val="center"/>
              <w:rPr>
                <w:sz w:val="28"/>
                <w:szCs w:val="28"/>
              </w:rPr>
            </w:pPr>
          </w:p>
        </w:tc>
      </w:tr>
      <w:tr w:rsidR="000D3818" w:rsidRPr="00C82924" w14:paraId="07608230" w14:textId="77777777" w:rsidTr="00507B96">
        <w:tc>
          <w:tcPr>
            <w:tcW w:w="636" w:type="dxa"/>
          </w:tcPr>
          <w:p w14:paraId="0850DDC4" w14:textId="62B7701C" w:rsidR="000D3818" w:rsidRPr="00B31491" w:rsidRDefault="000A478D" w:rsidP="00813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4489" w:type="dxa"/>
          </w:tcPr>
          <w:p w14:paraId="21586619" w14:textId="3611D488" w:rsidR="000D3818" w:rsidRPr="006C4D33" w:rsidRDefault="000D3818" w:rsidP="006C4D33">
            <w:pPr>
              <w:jc w:val="left"/>
              <w:rPr>
                <w:sz w:val="28"/>
                <w:szCs w:val="28"/>
              </w:rPr>
            </w:pPr>
            <w:r w:rsidRPr="006C4D33">
              <w:rPr>
                <w:sz w:val="28"/>
                <w:szCs w:val="28"/>
              </w:rPr>
              <w:t xml:space="preserve">dokumentu izprasīšana no Latvijas Republikas iestādēm </w:t>
            </w:r>
            <w:r>
              <w:rPr>
                <w:sz w:val="28"/>
                <w:szCs w:val="28"/>
              </w:rPr>
              <w:t>ar pārstāvniecības starpniecību</w:t>
            </w:r>
          </w:p>
        </w:tc>
        <w:tc>
          <w:tcPr>
            <w:tcW w:w="2430" w:type="dxa"/>
            <w:vMerge/>
          </w:tcPr>
          <w:p w14:paraId="575181E8" w14:textId="77777777" w:rsidR="000D3818" w:rsidRPr="00B31491" w:rsidRDefault="000D3818" w:rsidP="00367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14:paraId="6CF17D4A" w14:textId="77777777" w:rsidR="000D3818" w:rsidRDefault="000D3818" w:rsidP="007C52C6">
            <w:pPr>
              <w:jc w:val="center"/>
              <w:rPr>
                <w:sz w:val="28"/>
                <w:szCs w:val="28"/>
              </w:rPr>
            </w:pPr>
          </w:p>
        </w:tc>
      </w:tr>
      <w:tr w:rsidR="008B63A9" w:rsidRPr="00C82924" w14:paraId="32313703" w14:textId="77777777" w:rsidTr="0043722D">
        <w:tc>
          <w:tcPr>
            <w:tcW w:w="636" w:type="dxa"/>
          </w:tcPr>
          <w:p w14:paraId="2A3E563E" w14:textId="7ED663FE" w:rsidR="008B63A9" w:rsidRPr="00B31491" w:rsidRDefault="008B63A9" w:rsidP="008134CD">
            <w:pPr>
              <w:rPr>
                <w:sz w:val="28"/>
                <w:szCs w:val="28"/>
              </w:rPr>
            </w:pPr>
            <w:r w:rsidRPr="00B31491">
              <w:rPr>
                <w:sz w:val="28"/>
                <w:szCs w:val="28"/>
              </w:rPr>
              <w:t>4.</w:t>
            </w:r>
          </w:p>
        </w:tc>
        <w:tc>
          <w:tcPr>
            <w:tcW w:w="8759" w:type="dxa"/>
            <w:gridSpan w:val="3"/>
          </w:tcPr>
          <w:p w14:paraId="7DEE1890" w14:textId="790EA8EC" w:rsidR="008B63A9" w:rsidRDefault="008B63A9" w:rsidP="008B63A9">
            <w:pPr>
              <w:jc w:val="left"/>
              <w:rPr>
                <w:sz w:val="28"/>
                <w:szCs w:val="28"/>
              </w:rPr>
            </w:pPr>
            <w:r w:rsidRPr="00B31491">
              <w:rPr>
                <w:sz w:val="28"/>
                <w:szCs w:val="28"/>
              </w:rPr>
              <w:t>Konsulāro funkciju</w:t>
            </w:r>
            <w:r>
              <w:rPr>
                <w:sz w:val="28"/>
                <w:szCs w:val="28"/>
              </w:rPr>
              <w:t xml:space="preserve"> veikšana ārpus pārstāvniecības</w:t>
            </w:r>
          </w:p>
        </w:tc>
      </w:tr>
      <w:tr w:rsidR="00B624E4" w:rsidRPr="00C82924" w14:paraId="4AAD24D3" w14:textId="749601D0" w:rsidTr="00507B96">
        <w:tc>
          <w:tcPr>
            <w:tcW w:w="636" w:type="dxa"/>
          </w:tcPr>
          <w:p w14:paraId="26069C66" w14:textId="6208FBBF" w:rsidR="00B624E4" w:rsidRPr="00B31491" w:rsidRDefault="000A478D" w:rsidP="00813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489" w:type="dxa"/>
          </w:tcPr>
          <w:p w14:paraId="66AABBA3" w14:textId="6F966C75" w:rsidR="00B624E4" w:rsidRPr="00B624E4" w:rsidRDefault="00B624E4" w:rsidP="0058308D">
            <w:pPr>
              <w:jc w:val="left"/>
              <w:rPr>
                <w:sz w:val="28"/>
                <w:szCs w:val="28"/>
              </w:rPr>
            </w:pPr>
            <w:r w:rsidRPr="00B624E4">
              <w:rPr>
                <w:sz w:val="28"/>
                <w:szCs w:val="28"/>
              </w:rPr>
              <w:t>konsulārās amatpersonas izbraukums notariālās darbības veikšanai ārpus pārstāvniecības telpām</w:t>
            </w:r>
          </w:p>
        </w:tc>
        <w:tc>
          <w:tcPr>
            <w:tcW w:w="2430" w:type="dxa"/>
            <w:vMerge w:val="restart"/>
          </w:tcPr>
          <w:p w14:paraId="3EED3A1A" w14:textId="168D33D5" w:rsidR="00B624E4" w:rsidRPr="00B31491" w:rsidRDefault="00B624E4" w:rsidP="0058308D">
            <w:pPr>
              <w:jc w:val="center"/>
              <w:rPr>
                <w:sz w:val="28"/>
                <w:szCs w:val="28"/>
              </w:rPr>
            </w:pPr>
            <w:r w:rsidRPr="00B31491">
              <w:rPr>
                <w:sz w:val="28"/>
                <w:szCs w:val="28"/>
              </w:rPr>
              <w:t>viena darbība</w:t>
            </w:r>
          </w:p>
        </w:tc>
        <w:tc>
          <w:tcPr>
            <w:tcW w:w="1840" w:type="dxa"/>
            <w:vMerge w:val="restart"/>
          </w:tcPr>
          <w:p w14:paraId="39D0701D" w14:textId="2FFE2016" w:rsidR="00B624E4" w:rsidRPr="00B31491" w:rsidRDefault="00B624E4" w:rsidP="007C5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B624E4" w:rsidRPr="00C82924" w14:paraId="20112F45" w14:textId="77777777" w:rsidTr="00507B96">
        <w:tc>
          <w:tcPr>
            <w:tcW w:w="636" w:type="dxa"/>
          </w:tcPr>
          <w:p w14:paraId="6D3E9118" w14:textId="4850785E" w:rsidR="00B624E4" w:rsidRPr="00B31491" w:rsidRDefault="000A478D" w:rsidP="00813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4489" w:type="dxa"/>
          </w:tcPr>
          <w:p w14:paraId="14514A6B" w14:textId="3B99C2C2" w:rsidR="00B624E4" w:rsidRPr="00B624E4" w:rsidRDefault="00B624E4" w:rsidP="0058308D">
            <w:pPr>
              <w:jc w:val="left"/>
              <w:rPr>
                <w:sz w:val="28"/>
                <w:szCs w:val="28"/>
              </w:rPr>
            </w:pPr>
            <w:r w:rsidRPr="00B624E4">
              <w:rPr>
                <w:sz w:val="28"/>
                <w:szCs w:val="28"/>
              </w:rPr>
              <w:t>konsulārā pakalpojuma sniegšana ārpus pārstāvniecī</w:t>
            </w:r>
            <w:r>
              <w:rPr>
                <w:sz w:val="28"/>
                <w:szCs w:val="28"/>
              </w:rPr>
              <w:t>bas izbraukuma sesijas ietvaros</w:t>
            </w:r>
          </w:p>
        </w:tc>
        <w:tc>
          <w:tcPr>
            <w:tcW w:w="2430" w:type="dxa"/>
            <w:vMerge/>
          </w:tcPr>
          <w:p w14:paraId="0DA0B8BA" w14:textId="77777777" w:rsidR="00B624E4" w:rsidRPr="00B31491" w:rsidRDefault="00B624E4" w:rsidP="005830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14:paraId="69DB607B" w14:textId="77777777" w:rsidR="00B624E4" w:rsidRDefault="00B624E4" w:rsidP="007C52C6">
            <w:pPr>
              <w:jc w:val="center"/>
              <w:rPr>
                <w:sz w:val="28"/>
                <w:szCs w:val="28"/>
              </w:rPr>
            </w:pPr>
          </w:p>
        </w:tc>
      </w:tr>
      <w:tr w:rsidR="00AD7884" w:rsidRPr="00C82924" w14:paraId="4B812B2F" w14:textId="0C69E394" w:rsidTr="00507B96">
        <w:tc>
          <w:tcPr>
            <w:tcW w:w="636" w:type="dxa"/>
          </w:tcPr>
          <w:p w14:paraId="6F6A800D" w14:textId="21B8BC9F" w:rsidR="00AD7884" w:rsidRPr="00B31491" w:rsidRDefault="00AD7884" w:rsidP="008134CD">
            <w:pPr>
              <w:rPr>
                <w:sz w:val="28"/>
                <w:szCs w:val="28"/>
              </w:rPr>
            </w:pPr>
            <w:r w:rsidRPr="00B31491">
              <w:rPr>
                <w:sz w:val="28"/>
                <w:szCs w:val="28"/>
              </w:rPr>
              <w:t>5.</w:t>
            </w:r>
          </w:p>
        </w:tc>
        <w:tc>
          <w:tcPr>
            <w:tcW w:w="4489" w:type="dxa"/>
          </w:tcPr>
          <w:p w14:paraId="63BF64E9" w14:textId="77777777" w:rsidR="00AD7884" w:rsidRPr="00B31491" w:rsidRDefault="00AD7884" w:rsidP="0058308D">
            <w:pPr>
              <w:jc w:val="left"/>
              <w:rPr>
                <w:sz w:val="28"/>
                <w:szCs w:val="28"/>
              </w:rPr>
            </w:pPr>
            <w:r w:rsidRPr="00B31491">
              <w:rPr>
                <w:sz w:val="28"/>
                <w:szCs w:val="28"/>
              </w:rPr>
              <w:t>Uzaicinājuma noformēšana vienotās vīzas saņemšanai</w:t>
            </w:r>
          </w:p>
        </w:tc>
        <w:tc>
          <w:tcPr>
            <w:tcW w:w="2430" w:type="dxa"/>
          </w:tcPr>
          <w:p w14:paraId="408F37F4" w14:textId="77777777" w:rsidR="00AD7884" w:rsidRPr="00B31491" w:rsidRDefault="00AD7884" w:rsidP="0058308D">
            <w:pPr>
              <w:jc w:val="center"/>
              <w:rPr>
                <w:sz w:val="28"/>
                <w:szCs w:val="28"/>
              </w:rPr>
            </w:pPr>
            <w:r w:rsidRPr="00B31491">
              <w:rPr>
                <w:sz w:val="28"/>
                <w:szCs w:val="28"/>
              </w:rPr>
              <w:t>viens pieprasījums</w:t>
            </w:r>
          </w:p>
        </w:tc>
        <w:tc>
          <w:tcPr>
            <w:tcW w:w="1840" w:type="dxa"/>
          </w:tcPr>
          <w:p w14:paraId="554C4C7A" w14:textId="3CE47650" w:rsidR="00AD7884" w:rsidRPr="00B31491" w:rsidRDefault="00093CD2" w:rsidP="0009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CC3012" w:rsidRPr="00C82924" w14:paraId="72E353FD" w14:textId="77777777" w:rsidTr="00C61F0F">
        <w:tc>
          <w:tcPr>
            <w:tcW w:w="636" w:type="dxa"/>
          </w:tcPr>
          <w:p w14:paraId="50C03F0B" w14:textId="66D8E9C2" w:rsidR="00CC3012" w:rsidRPr="00B31491" w:rsidRDefault="00CC3012" w:rsidP="00CC3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759" w:type="dxa"/>
            <w:gridSpan w:val="3"/>
          </w:tcPr>
          <w:p w14:paraId="18724590" w14:textId="028BFEA9" w:rsidR="00CC3012" w:rsidRDefault="00CC3012" w:rsidP="00CC3012">
            <w:pPr>
              <w:jc w:val="left"/>
              <w:rPr>
                <w:sz w:val="28"/>
                <w:szCs w:val="28"/>
              </w:rPr>
            </w:pPr>
            <w:r w:rsidRPr="001E1032">
              <w:rPr>
                <w:sz w:val="28"/>
                <w:szCs w:val="28"/>
              </w:rPr>
              <w:t>Dokumentu pieņemšana un pārsūtīšana Pilsonības un migrācijas lietu pārvaldei ar pārstāvniecības starpniecību uzturēšanās atļaujas pieprasīšanai</w:t>
            </w:r>
          </w:p>
        </w:tc>
      </w:tr>
      <w:tr w:rsidR="00CC3012" w:rsidRPr="00C82924" w14:paraId="046BD284" w14:textId="77777777" w:rsidTr="00507B96">
        <w:tc>
          <w:tcPr>
            <w:tcW w:w="636" w:type="dxa"/>
          </w:tcPr>
          <w:p w14:paraId="474D3928" w14:textId="150982CD" w:rsidR="00CC3012" w:rsidRPr="00B31491" w:rsidRDefault="00CC3012" w:rsidP="00CC3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4489" w:type="dxa"/>
          </w:tcPr>
          <w:p w14:paraId="7896802E" w14:textId="33853C02" w:rsidR="00CC3012" w:rsidRPr="00B31491" w:rsidRDefault="00CC3012" w:rsidP="00CC3012">
            <w:pPr>
              <w:jc w:val="left"/>
              <w:rPr>
                <w:sz w:val="28"/>
                <w:szCs w:val="28"/>
              </w:rPr>
            </w:pPr>
            <w:r w:rsidRPr="001E1032">
              <w:rPr>
                <w:sz w:val="28"/>
                <w:szCs w:val="28"/>
              </w:rPr>
              <w:t xml:space="preserve">termiņuzturēšanās atļaujas pieprasīšanai akreditētas izglītības iestādes audzēknim vai pilna mācību laika studentam. Pastāvīgās uzturēšanās atļaujas pieprasīšanai ārzemniekam, kurš pirms citas valsts pilsonības iegūšanas ir bijis Latvijas </w:t>
            </w:r>
            <w:r w:rsidRPr="001E1032">
              <w:rPr>
                <w:sz w:val="28"/>
                <w:szCs w:val="28"/>
              </w:rPr>
              <w:lastRenderedPageBreak/>
              <w:t>pilsonis vai Latvijas nepilsonis. Termiņuzturēšanās vai pastāvīgās uzturēšanās atļaujas pieprasīšanai Latvijas pilsoņa, Latvijas nepilsoņa un pastāvīgās uzturēšanās atļauju saņēmuša ārzemnieka laulātajam, nepilngadīgajam bērnam vai aizbildnībā vai aizgādnībā esošajai personai</w:t>
            </w:r>
          </w:p>
        </w:tc>
        <w:tc>
          <w:tcPr>
            <w:tcW w:w="2430" w:type="dxa"/>
          </w:tcPr>
          <w:p w14:paraId="40C05DF2" w14:textId="6114EFD6" w:rsidR="00CC3012" w:rsidRPr="00B31491" w:rsidRDefault="00CC3012" w:rsidP="00CC3012">
            <w:pPr>
              <w:jc w:val="center"/>
              <w:rPr>
                <w:sz w:val="28"/>
                <w:szCs w:val="28"/>
              </w:rPr>
            </w:pPr>
            <w:r w:rsidRPr="001E1032">
              <w:rPr>
                <w:sz w:val="28"/>
                <w:szCs w:val="28"/>
              </w:rPr>
              <w:lastRenderedPageBreak/>
              <w:t>viens pieprasījums</w:t>
            </w:r>
          </w:p>
        </w:tc>
        <w:tc>
          <w:tcPr>
            <w:tcW w:w="1840" w:type="dxa"/>
          </w:tcPr>
          <w:p w14:paraId="2EE0E2DC" w14:textId="02391965" w:rsidR="00CC3012" w:rsidRDefault="00CC3012" w:rsidP="00CC3012">
            <w:pPr>
              <w:jc w:val="center"/>
              <w:rPr>
                <w:sz w:val="28"/>
                <w:szCs w:val="28"/>
              </w:rPr>
            </w:pPr>
            <w:r w:rsidRPr="001E1032">
              <w:rPr>
                <w:sz w:val="28"/>
                <w:szCs w:val="28"/>
              </w:rPr>
              <w:t>80,00</w:t>
            </w:r>
          </w:p>
        </w:tc>
      </w:tr>
      <w:tr w:rsidR="00CC3012" w:rsidRPr="00C82924" w14:paraId="2DB85A0B" w14:textId="77777777" w:rsidTr="00507B96">
        <w:tc>
          <w:tcPr>
            <w:tcW w:w="636" w:type="dxa"/>
          </w:tcPr>
          <w:p w14:paraId="29E16665" w14:textId="19F1BBD9" w:rsidR="00CC3012" w:rsidRPr="00B31491" w:rsidRDefault="00CC3012" w:rsidP="00CC3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4489" w:type="dxa"/>
          </w:tcPr>
          <w:p w14:paraId="4721FD0B" w14:textId="0B7D54BE" w:rsidR="00CC3012" w:rsidRPr="00B31491" w:rsidRDefault="00CC3012" w:rsidP="00CC3012">
            <w:pPr>
              <w:rPr>
                <w:sz w:val="28"/>
                <w:szCs w:val="28"/>
              </w:rPr>
            </w:pPr>
            <w:r w:rsidRPr="001E1032">
              <w:rPr>
                <w:sz w:val="28"/>
                <w:szCs w:val="28"/>
              </w:rPr>
              <w:t>citai personai</w:t>
            </w:r>
          </w:p>
        </w:tc>
        <w:tc>
          <w:tcPr>
            <w:tcW w:w="2430" w:type="dxa"/>
          </w:tcPr>
          <w:p w14:paraId="7DF577DB" w14:textId="2E407530" w:rsidR="00CC3012" w:rsidRPr="00B31491" w:rsidRDefault="00CC3012" w:rsidP="00CC3012">
            <w:pPr>
              <w:jc w:val="center"/>
              <w:rPr>
                <w:sz w:val="28"/>
                <w:szCs w:val="28"/>
              </w:rPr>
            </w:pPr>
            <w:r w:rsidRPr="001E1032">
              <w:rPr>
                <w:sz w:val="28"/>
                <w:szCs w:val="28"/>
              </w:rPr>
              <w:t>viens pieprasījums</w:t>
            </w:r>
          </w:p>
        </w:tc>
        <w:tc>
          <w:tcPr>
            <w:tcW w:w="1840" w:type="dxa"/>
          </w:tcPr>
          <w:p w14:paraId="4D040172" w14:textId="1A81ABAC" w:rsidR="00CC3012" w:rsidRDefault="00CC3012" w:rsidP="00CC3012">
            <w:pPr>
              <w:jc w:val="center"/>
              <w:rPr>
                <w:sz w:val="28"/>
                <w:szCs w:val="28"/>
              </w:rPr>
            </w:pPr>
            <w:r w:rsidRPr="001E1032">
              <w:rPr>
                <w:sz w:val="28"/>
                <w:szCs w:val="28"/>
              </w:rPr>
              <w:t>110,00</w:t>
            </w:r>
          </w:p>
        </w:tc>
      </w:tr>
      <w:tr w:rsidR="001E4262" w:rsidRPr="00C82924" w14:paraId="192CAEB3" w14:textId="77777777" w:rsidTr="008521D5">
        <w:tc>
          <w:tcPr>
            <w:tcW w:w="636" w:type="dxa"/>
          </w:tcPr>
          <w:p w14:paraId="16D1955D" w14:textId="12A9C7C8" w:rsidR="001E4262" w:rsidRDefault="001E4262" w:rsidP="00CC3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759" w:type="dxa"/>
            <w:gridSpan w:val="3"/>
          </w:tcPr>
          <w:p w14:paraId="5410878A" w14:textId="2706F049" w:rsidR="001E4262" w:rsidRPr="001E1032" w:rsidRDefault="001E4262" w:rsidP="001E4262">
            <w:pPr>
              <w:jc w:val="left"/>
              <w:rPr>
                <w:sz w:val="28"/>
                <w:szCs w:val="28"/>
              </w:rPr>
            </w:pPr>
            <w:r w:rsidRPr="001E1032">
              <w:rPr>
                <w:sz w:val="28"/>
                <w:szCs w:val="28"/>
              </w:rPr>
              <w:t>Dokumenta nosūtīšana personai konsulārā apgabala robežās</w:t>
            </w:r>
          </w:p>
        </w:tc>
      </w:tr>
      <w:tr w:rsidR="001E4262" w:rsidRPr="00C82924" w14:paraId="24026D06" w14:textId="77777777" w:rsidTr="00507B96">
        <w:tc>
          <w:tcPr>
            <w:tcW w:w="636" w:type="dxa"/>
          </w:tcPr>
          <w:p w14:paraId="65B06464" w14:textId="0DA551D8" w:rsidR="001E4262" w:rsidRDefault="001E4262" w:rsidP="00CC3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4489" w:type="dxa"/>
          </w:tcPr>
          <w:p w14:paraId="3B084A2A" w14:textId="58C6014B" w:rsidR="001E4262" w:rsidRPr="001E1032" w:rsidRDefault="001E4262" w:rsidP="00CC3012">
            <w:pPr>
              <w:rPr>
                <w:sz w:val="28"/>
                <w:szCs w:val="28"/>
              </w:rPr>
            </w:pPr>
            <w:r w:rsidRPr="001E1032">
              <w:rPr>
                <w:sz w:val="28"/>
                <w:szCs w:val="28"/>
              </w:rPr>
              <w:t>nosūtīšana ierakstītā sūtījumā</w:t>
            </w:r>
          </w:p>
        </w:tc>
        <w:tc>
          <w:tcPr>
            <w:tcW w:w="2430" w:type="dxa"/>
          </w:tcPr>
          <w:p w14:paraId="4811EE12" w14:textId="3F5CE174" w:rsidR="001E4262" w:rsidRPr="001E1032" w:rsidRDefault="001E4262" w:rsidP="00CC3012">
            <w:pPr>
              <w:jc w:val="center"/>
              <w:rPr>
                <w:sz w:val="28"/>
                <w:szCs w:val="28"/>
              </w:rPr>
            </w:pPr>
            <w:r w:rsidRPr="001E1032">
              <w:rPr>
                <w:sz w:val="28"/>
                <w:szCs w:val="28"/>
              </w:rPr>
              <w:t>viens sūtījums</w:t>
            </w:r>
          </w:p>
        </w:tc>
        <w:tc>
          <w:tcPr>
            <w:tcW w:w="1840" w:type="dxa"/>
          </w:tcPr>
          <w:p w14:paraId="6E6FAA2C" w14:textId="77777777" w:rsidR="001E4262" w:rsidRPr="001E1032" w:rsidRDefault="001E4262" w:rsidP="001E426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E1032">
              <w:rPr>
                <w:sz w:val="28"/>
                <w:szCs w:val="28"/>
              </w:rPr>
              <w:t>Ne mazāk kā</w:t>
            </w:r>
            <w:r w:rsidRPr="001E1032">
              <w:rPr>
                <w:sz w:val="28"/>
                <w:szCs w:val="28"/>
                <w:vertAlign w:val="superscript"/>
              </w:rPr>
              <w:t>2</w:t>
            </w:r>
          </w:p>
          <w:p w14:paraId="72E706F2" w14:textId="4CE042E2" w:rsidR="001E4262" w:rsidRPr="001E1032" w:rsidRDefault="001E4262" w:rsidP="001E4262">
            <w:pPr>
              <w:jc w:val="center"/>
              <w:rPr>
                <w:sz w:val="28"/>
                <w:szCs w:val="28"/>
              </w:rPr>
            </w:pPr>
            <w:r w:rsidRPr="001E1032">
              <w:rPr>
                <w:sz w:val="28"/>
                <w:szCs w:val="28"/>
              </w:rPr>
              <w:t>10,00</w:t>
            </w:r>
          </w:p>
        </w:tc>
      </w:tr>
      <w:tr w:rsidR="001E4262" w:rsidRPr="00C82924" w14:paraId="036FA619" w14:textId="77777777" w:rsidTr="00507B96">
        <w:tc>
          <w:tcPr>
            <w:tcW w:w="636" w:type="dxa"/>
          </w:tcPr>
          <w:p w14:paraId="7D492B3A" w14:textId="1EF8345A" w:rsidR="001E4262" w:rsidRDefault="001E4262" w:rsidP="00CC3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4489" w:type="dxa"/>
          </w:tcPr>
          <w:p w14:paraId="7B0C524B" w14:textId="3F2E96BD" w:rsidR="001E4262" w:rsidRPr="001E1032" w:rsidRDefault="001E4262" w:rsidP="00CC3012">
            <w:pPr>
              <w:rPr>
                <w:sz w:val="28"/>
                <w:szCs w:val="28"/>
              </w:rPr>
            </w:pPr>
            <w:r w:rsidRPr="001E1032">
              <w:rPr>
                <w:sz w:val="28"/>
                <w:szCs w:val="28"/>
              </w:rPr>
              <w:t>nosūtīšana ar kurjeru</w:t>
            </w:r>
          </w:p>
        </w:tc>
        <w:tc>
          <w:tcPr>
            <w:tcW w:w="2430" w:type="dxa"/>
          </w:tcPr>
          <w:p w14:paraId="22BDFBC3" w14:textId="6FA133A5" w:rsidR="001E4262" w:rsidRPr="001E1032" w:rsidRDefault="001E4262" w:rsidP="00CC3012">
            <w:pPr>
              <w:jc w:val="center"/>
              <w:rPr>
                <w:sz w:val="28"/>
                <w:szCs w:val="28"/>
              </w:rPr>
            </w:pPr>
            <w:r w:rsidRPr="001E1032">
              <w:rPr>
                <w:sz w:val="28"/>
                <w:szCs w:val="28"/>
              </w:rPr>
              <w:t>viens sūtījums</w:t>
            </w:r>
          </w:p>
        </w:tc>
        <w:tc>
          <w:tcPr>
            <w:tcW w:w="1840" w:type="dxa"/>
          </w:tcPr>
          <w:p w14:paraId="5921DC49" w14:textId="77777777" w:rsidR="001E4262" w:rsidRPr="001E1032" w:rsidRDefault="001E4262" w:rsidP="001E4262">
            <w:pPr>
              <w:jc w:val="center"/>
              <w:rPr>
                <w:sz w:val="28"/>
                <w:szCs w:val="28"/>
              </w:rPr>
            </w:pPr>
            <w:r w:rsidRPr="001E1032">
              <w:rPr>
                <w:sz w:val="28"/>
                <w:szCs w:val="28"/>
              </w:rPr>
              <w:t>Ne mazāk kā</w:t>
            </w:r>
            <w:r w:rsidRPr="001E1032">
              <w:rPr>
                <w:sz w:val="28"/>
                <w:szCs w:val="28"/>
                <w:vertAlign w:val="superscript"/>
              </w:rPr>
              <w:t>3</w:t>
            </w:r>
          </w:p>
          <w:p w14:paraId="6D702CB2" w14:textId="030CC19A" w:rsidR="001E4262" w:rsidRPr="001E1032" w:rsidRDefault="001E4262" w:rsidP="001E4262">
            <w:pPr>
              <w:jc w:val="center"/>
              <w:rPr>
                <w:sz w:val="28"/>
                <w:szCs w:val="28"/>
              </w:rPr>
            </w:pPr>
            <w:r w:rsidRPr="001E1032">
              <w:rPr>
                <w:sz w:val="28"/>
                <w:szCs w:val="28"/>
              </w:rPr>
              <w:t>20,00</w:t>
            </w:r>
          </w:p>
        </w:tc>
      </w:tr>
    </w:tbl>
    <w:p w14:paraId="35ADA869" w14:textId="302BD76D" w:rsidR="00C5690C" w:rsidRPr="00F30968" w:rsidRDefault="00C5690C" w:rsidP="00190E08">
      <w:pPr>
        <w:rPr>
          <w:sz w:val="28"/>
          <w:szCs w:val="28"/>
          <w:highlight w:val="yellow"/>
        </w:rPr>
      </w:pPr>
      <w:bookmarkStart w:id="1" w:name="674555"/>
      <w:bookmarkStart w:id="2" w:name="n-674555"/>
      <w:bookmarkEnd w:id="1"/>
      <w:bookmarkEnd w:id="2"/>
    </w:p>
    <w:p w14:paraId="632A1750" w14:textId="4586F1D7" w:rsidR="00AD7884" w:rsidRPr="00D9314F" w:rsidRDefault="00AD7884" w:rsidP="00190E08">
      <w:pPr>
        <w:rPr>
          <w:sz w:val="28"/>
          <w:szCs w:val="28"/>
        </w:rPr>
      </w:pPr>
      <w:r w:rsidRPr="00D9314F">
        <w:rPr>
          <w:sz w:val="28"/>
          <w:szCs w:val="28"/>
        </w:rPr>
        <w:t>Piezīmes.</w:t>
      </w:r>
    </w:p>
    <w:p w14:paraId="64F8AA55" w14:textId="77777777" w:rsidR="00C5690C" w:rsidRPr="00D9314F" w:rsidRDefault="00C5690C" w:rsidP="00190E08">
      <w:pPr>
        <w:rPr>
          <w:sz w:val="28"/>
          <w:szCs w:val="28"/>
        </w:rPr>
      </w:pPr>
    </w:p>
    <w:p w14:paraId="42DA2F2C" w14:textId="77777777" w:rsidR="004117EC" w:rsidRPr="00D9314F" w:rsidRDefault="00AD7884" w:rsidP="00190E08">
      <w:pPr>
        <w:rPr>
          <w:sz w:val="28"/>
          <w:szCs w:val="28"/>
        </w:rPr>
      </w:pPr>
      <w:r w:rsidRPr="00D9314F">
        <w:rPr>
          <w:sz w:val="28"/>
          <w:szCs w:val="28"/>
          <w:vertAlign w:val="superscript"/>
        </w:rPr>
        <w:t>1</w:t>
      </w:r>
      <w:r w:rsidRPr="00D9314F">
        <w:rPr>
          <w:sz w:val="28"/>
          <w:szCs w:val="28"/>
        </w:rPr>
        <w:t xml:space="preserve"> Pievienotās vērtības nodokli nepiemēro saskaņā ar Pievien</w:t>
      </w:r>
      <w:r w:rsidR="00C5690C" w:rsidRPr="00D9314F">
        <w:rPr>
          <w:sz w:val="28"/>
          <w:szCs w:val="28"/>
        </w:rPr>
        <w:t>otās vērtības nodokļa likuma 3. </w:t>
      </w:r>
      <w:r w:rsidRPr="00D9314F">
        <w:rPr>
          <w:sz w:val="28"/>
          <w:szCs w:val="28"/>
        </w:rPr>
        <w:t>panta astoto daļu.</w:t>
      </w:r>
    </w:p>
    <w:p w14:paraId="2D4F1932" w14:textId="77777777" w:rsidR="004117EC" w:rsidRPr="001E1032" w:rsidRDefault="004117EC" w:rsidP="00190E08">
      <w:pPr>
        <w:rPr>
          <w:sz w:val="28"/>
          <w:szCs w:val="28"/>
        </w:rPr>
      </w:pPr>
      <w:r w:rsidRPr="001E1032">
        <w:rPr>
          <w:sz w:val="28"/>
          <w:szCs w:val="28"/>
          <w:vertAlign w:val="superscript"/>
        </w:rPr>
        <w:t>2</w:t>
      </w:r>
      <w:r w:rsidRPr="001E1032">
        <w:rPr>
          <w:sz w:val="28"/>
          <w:szCs w:val="28"/>
        </w:rPr>
        <w:t xml:space="preserve"> Saskaņā ar Ārlietu ministrijas apstiprināto likmi atbilstoši uzturēšanās valsts pasta izmaksām, bet ne mazāk kā 10 </w:t>
      </w:r>
      <w:proofErr w:type="spellStart"/>
      <w:r w:rsidRPr="001E1032">
        <w:rPr>
          <w:i/>
          <w:sz w:val="28"/>
          <w:szCs w:val="28"/>
        </w:rPr>
        <w:t>euro</w:t>
      </w:r>
      <w:proofErr w:type="spellEnd"/>
      <w:r w:rsidRPr="001E1032">
        <w:rPr>
          <w:sz w:val="28"/>
          <w:szCs w:val="28"/>
        </w:rPr>
        <w:t xml:space="preserve"> par sūtījumu.</w:t>
      </w:r>
    </w:p>
    <w:p w14:paraId="0C71A0F4" w14:textId="3EADD476" w:rsidR="00712CF7" w:rsidRDefault="004117EC" w:rsidP="00190E08">
      <w:pPr>
        <w:rPr>
          <w:sz w:val="28"/>
          <w:szCs w:val="28"/>
        </w:rPr>
      </w:pPr>
      <w:r w:rsidRPr="001E1032">
        <w:rPr>
          <w:sz w:val="28"/>
          <w:szCs w:val="28"/>
          <w:vertAlign w:val="superscript"/>
        </w:rPr>
        <w:t>3</w:t>
      </w:r>
      <w:r w:rsidRPr="001E1032">
        <w:rPr>
          <w:sz w:val="28"/>
          <w:szCs w:val="28"/>
        </w:rPr>
        <w:t xml:space="preserve"> Saskaņā ar Ārlietu ministrijas apstiprināto likmi atbilstoši uzturēšanās valsts pasta izmaksām, bet ne mazāk kā 20 </w:t>
      </w:r>
      <w:proofErr w:type="spellStart"/>
      <w:r w:rsidRPr="001E1032">
        <w:rPr>
          <w:i/>
          <w:iCs/>
          <w:sz w:val="28"/>
          <w:szCs w:val="28"/>
        </w:rPr>
        <w:t>euro</w:t>
      </w:r>
      <w:proofErr w:type="spellEnd"/>
      <w:r w:rsidRPr="001E1032">
        <w:rPr>
          <w:sz w:val="28"/>
          <w:szCs w:val="28"/>
        </w:rPr>
        <w:t xml:space="preserve"> par sūtījumu.</w:t>
      </w:r>
      <w:r w:rsidR="00190E08" w:rsidRPr="001E1032">
        <w:rPr>
          <w:sz w:val="28"/>
          <w:szCs w:val="28"/>
        </w:rPr>
        <w:t>“</w:t>
      </w:r>
    </w:p>
    <w:p w14:paraId="20EC72C3" w14:textId="77777777" w:rsidR="007D015F" w:rsidRDefault="007D015F" w:rsidP="007D015F">
      <w:pPr>
        <w:pStyle w:val="naisf"/>
        <w:tabs>
          <w:tab w:val="right" w:pos="9071"/>
        </w:tabs>
        <w:spacing w:before="0" w:after="0"/>
        <w:ind w:firstLine="0"/>
        <w:rPr>
          <w:sz w:val="28"/>
          <w:szCs w:val="28"/>
        </w:rPr>
      </w:pPr>
    </w:p>
    <w:p w14:paraId="4491916F" w14:textId="24245563" w:rsidR="007D015F" w:rsidRPr="00E743AE" w:rsidRDefault="007D015F" w:rsidP="007D015F">
      <w:pPr>
        <w:pStyle w:val="naisf"/>
        <w:tabs>
          <w:tab w:val="right" w:pos="9071"/>
        </w:tabs>
        <w:spacing w:before="0" w:after="0"/>
        <w:ind w:firstLine="0"/>
        <w:rPr>
          <w:sz w:val="28"/>
          <w:szCs w:val="28"/>
        </w:rPr>
      </w:pPr>
      <w:r w:rsidRPr="00E743AE">
        <w:rPr>
          <w:sz w:val="28"/>
          <w:szCs w:val="28"/>
        </w:rPr>
        <w:t xml:space="preserve">Ministru prezidents </w:t>
      </w:r>
      <w:r w:rsidRPr="00E743AE">
        <w:rPr>
          <w:sz w:val="28"/>
          <w:szCs w:val="28"/>
        </w:rPr>
        <w:tab/>
        <w:t>A. K. Kariņš</w:t>
      </w:r>
    </w:p>
    <w:p w14:paraId="1F852D96" w14:textId="77777777" w:rsidR="007D015F" w:rsidRPr="00E743AE" w:rsidRDefault="007D015F" w:rsidP="007D015F">
      <w:pPr>
        <w:pStyle w:val="naisf"/>
        <w:spacing w:before="0" w:after="0"/>
        <w:ind w:firstLine="709"/>
        <w:rPr>
          <w:sz w:val="28"/>
          <w:szCs w:val="28"/>
        </w:rPr>
      </w:pPr>
    </w:p>
    <w:p w14:paraId="53329A4C" w14:textId="77777777" w:rsidR="007D015F" w:rsidRPr="00E743AE" w:rsidRDefault="007D015F" w:rsidP="007D015F">
      <w:pPr>
        <w:pStyle w:val="naisf"/>
        <w:spacing w:before="0" w:after="0"/>
        <w:ind w:firstLine="709"/>
        <w:rPr>
          <w:sz w:val="28"/>
          <w:szCs w:val="28"/>
        </w:rPr>
      </w:pPr>
    </w:p>
    <w:p w14:paraId="57564866" w14:textId="77777777" w:rsidR="007D015F" w:rsidRPr="00E743AE" w:rsidRDefault="007D015F" w:rsidP="007D015F">
      <w:pPr>
        <w:tabs>
          <w:tab w:val="right" w:pos="9071"/>
        </w:tabs>
        <w:rPr>
          <w:sz w:val="28"/>
          <w:szCs w:val="28"/>
        </w:rPr>
      </w:pPr>
      <w:r w:rsidRPr="00E743AE">
        <w:rPr>
          <w:sz w:val="28"/>
          <w:szCs w:val="28"/>
        </w:rPr>
        <w:t xml:space="preserve">Ārlietu ministrs </w:t>
      </w:r>
      <w:r w:rsidRPr="00E743AE">
        <w:rPr>
          <w:sz w:val="28"/>
          <w:szCs w:val="28"/>
        </w:rPr>
        <w:tab/>
        <w:t>E. Rinkēvičs</w:t>
      </w:r>
    </w:p>
    <w:p w14:paraId="3E1FF1C9" w14:textId="77777777" w:rsidR="007D015F" w:rsidRPr="00B31491" w:rsidRDefault="007D015F" w:rsidP="00190E08">
      <w:pPr>
        <w:rPr>
          <w:sz w:val="28"/>
          <w:szCs w:val="28"/>
        </w:rPr>
      </w:pPr>
    </w:p>
    <w:sectPr w:rsidR="007D015F" w:rsidRPr="00B31491" w:rsidSect="00B31491">
      <w:headerReference w:type="default" r:id="rId8"/>
      <w:footerReference w:type="default" r:id="rId9"/>
      <w:footerReference w:type="first" r:id="rId10"/>
      <w:pgSz w:w="12240" w:h="15840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EF3BF" w14:textId="77777777" w:rsidR="005B178F" w:rsidRDefault="005B178F" w:rsidP="005B178F">
      <w:r>
        <w:separator/>
      </w:r>
    </w:p>
  </w:endnote>
  <w:endnote w:type="continuationSeparator" w:id="0">
    <w:p w14:paraId="6754E8B1" w14:textId="77777777" w:rsidR="005B178F" w:rsidRDefault="005B178F" w:rsidP="005B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2BC18" w14:textId="1884B6DA" w:rsidR="007D015F" w:rsidRPr="00B31491" w:rsidRDefault="007D015F">
    <w:pPr>
      <w:pStyle w:val="Footer"/>
      <w:rPr>
        <w:sz w:val="20"/>
      </w:rPr>
    </w:pPr>
    <w:r w:rsidRPr="00B31491">
      <w:rPr>
        <w:sz w:val="20"/>
      </w:rPr>
      <w:t>AMnot_</w:t>
    </w:r>
    <w:r w:rsidR="00E165A2">
      <w:rPr>
        <w:sz w:val="20"/>
      </w:rPr>
      <w:t>0909</w:t>
    </w:r>
    <w:r w:rsidR="00252672">
      <w:rPr>
        <w:sz w:val="20"/>
      </w:rPr>
      <w:t>19_C</w:t>
    </w:r>
    <w:r w:rsidRPr="00B31491">
      <w:rPr>
        <w:sz w:val="20"/>
      </w:rPr>
      <w:t>enradis</w:t>
    </w:r>
  </w:p>
  <w:p w14:paraId="7B646C20" w14:textId="77777777" w:rsidR="007D015F" w:rsidRDefault="007D01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94128" w14:textId="1CE42949" w:rsidR="006C7B1F" w:rsidRPr="00AC0F4A" w:rsidRDefault="006C7B1F" w:rsidP="006C7B1F">
    <w:pPr>
      <w:pStyle w:val="Footer"/>
      <w:rPr>
        <w:sz w:val="20"/>
      </w:rPr>
    </w:pPr>
    <w:r w:rsidRPr="00AC0F4A">
      <w:rPr>
        <w:sz w:val="20"/>
      </w:rPr>
      <w:t>AMnot_</w:t>
    </w:r>
    <w:r w:rsidR="00E165A2">
      <w:rPr>
        <w:sz w:val="20"/>
      </w:rPr>
      <w:t>0909</w:t>
    </w:r>
    <w:r w:rsidR="00252672">
      <w:rPr>
        <w:sz w:val="20"/>
      </w:rPr>
      <w:t>19_C</w:t>
    </w:r>
    <w:r w:rsidRPr="00AC0F4A">
      <w:rPr>
        <w:sz w:val="20"/>
      </w:rPr>
      <w:t>enradis</w:t>
    </w:r>
  </w:p>
  <w:p w14:paraId="3A936D97" w14:textId="77777777" w:rsidR="006C7B1F" w:rsidRDefault="006C7B1F" w:rsidP="00B31491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A652A" w14:textId="77777777" w:rsidR="005B178F" w:rsidRDefault="005B178F" w:rsidP="005B178F">
      <w:r>
        <w:separator/>
      </w:r>
    </w:p>
  </w:footnote>
  <w:footnote w:type="continuationSeparator" w:id="0">
    <w:p w14:paraId="23BA794A" w14:textId="77777777" w:rsidR="005B178F" w:rsidRDefault="005B178F" w:rsidP="005B1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64491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478FF4" w14:textId="24127B0C" w:rsidR="007D015F" w:rsidRDefault="007D015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3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4FE270" w14:textId="77777777" w:rsidR="007D015F" w:rsidRDefault="007D01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1A8"/>
    <w:multiLevelType w:val="hybridMultilevel"/>
    <w:tmpl w:val="08C027DE"/>
    <w:lvl w:ilvl="0" w:tplc="C73A7C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36CF9"/>
    <w:multiLevelType w:val="multilevel"/>
    <w:tmpl w:val="EF10C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89E0AAC"/>
    <w:multiLevelType w:val="hybridMultilevel"/>
    <w:tmpl w:val="0382E5CE"/>
    <w:lvl w:ilvl="0" w:tplc="06B4A43C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0F628BE"/>
    <w:multiLevelType w:val="hybridMultilevel"/>
    <w:tmpl w:val="00B6B91C"/>
    <w:lvl w:ilvl="0" w:tplc="06B4A43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C15F3D"/>
    <w:multiLevelType w:val="hybridMultilevel"/>
    <w:tmpl w:val="F5D46ADE"/>
    <w:lvl w:ilvl="0" w:tplc="06B4A43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44"/>
    <w:rsid w:val="00000FAB"/>
    <w:rsid w:val="00016275"/>
    <w:rsid w:val="00024521"/>
    <w:rsid w:val="00031A55"/>
    <w:rsid w:val="00041297"/>
    <w:rsid w:val="0004382C"/>
    <w:rsid w:val="000503A1"/>
    <w:rsid w:val="00060FF1"/>
    <w:rsid w:val="0006187F"/>
    <w:rsid w:val="00077E06"/>
    <w:rsid w:val="00080461"/>
    <w:rsid w:val="0008098F"/>
    <w:rsid w:val="00081B3E"/>
    <w:rsid w:val="0008241C"/>
    <w:rsid w:val="00091C04"/>
    <w:rsid w:val="00093CD2"/>
    <w:rsid w:val="00096F9D"/>
    <w:rsid w:val="000A478D"/>
    <w:rsid w:val="000B19C9"/>
    <w:rsid w:val="000B2CED"/>
    <w:rsid w:val="000C1193"/>
    <w:rsid w:val="000C501F"/>
    <w:rsid w:val="000D31EB"/>
    <w:rsid w:val="000D3818"/>
    <w:rsid w:val="000D72C2"/>
    <w:rsid w:val="000D76C3"/>
    <w:rsid w:val="000E2288"/>
    <w:rsid w:val="000E4256"/>
    <w:rsid w:val="000E7924"/>
    <w:rsid w:val="000F0E2B"/>
    <w:rsid w:val="000F5080"/>
    <w:rsid w:val="00113761"/>
    <w:rsid w:val="001169E9"/>
    <w:rsid w:val="00121E00"/>
    <w:rsid w:val="00135D03"/>
    <w:rsid w:val="00161408"/>
    <w:rsid w:val="001635DD"/>
    <w:rsid w:val="00167A4D"/>
    <w:rsid w:val="001727B5"/>
    <w:rsid w:val="00181A90"/>
    <w:rsid w:val="001864C7"/>
    <w:rsid w:val="00190E08"/>
    <w:rsid w:val="00192F46"/>
    <w:rsid w:val="001A3D18"/>
    <w:rsid w:val="001A74A1"/>
    <w:rsid w:val="001A7AC4"/>
    <w:rsid w:val="001B7E57"/>
    <w:rsid w:val="001D1B58"/>
    <w:rsid w:val="001D3A30"/>
    <w:rsid w:val="001D7255"/>
    <w:rsid w:val="001E1032"/>
    <w:rsid w:val="001E4262"/>
    <w:rsid w:val="001F4AC8"/>
    <w:rsid w:val="001F6882"/>
    <w:rsid w:val="00206D19"/>
    <w:rsid w:val="00220294"/>
    <w:rsid w:val="00236AFB"/>
    <w:rsid w:val="00252672"/>
    <w:rsid w:val="00261453"/>
    <w:rsid w:val="00262D5F"/>
    <w:rsid w:val="002719B0"/>
    <w:rsid w:val="00274AA6"/>
    <w:rsid w:val="0028044E"/>
    <w:rsid w:val="00280E6B"/>
    <w:rsid w:val="002818ED"/>
    <w:rsid w:val="0028282D"/>
    <w:rsid w:val="00283129"/>
    <w:rsid w:val="002877A4"/>
    <w:rsid w:val="002961D3"/>
    <w:rsid w:val="002A1468"/>
    <w:rsid w:val="002A4B9F"/>
    <w:rsid w:val="002B3E2C"/>
    <w:rsid w:val="002C2628"/>
    <w:rsid w:val="002C5FF3"/>
    <w:rsid w:val="002D123B"/>
    <w:rsid w:val="002E3F6D"/>
    <w:rsid w:val="002F706B"/>
    <w:rsid w:val="0030498C"/>
    <w:rsid w:val="00304BBA"/>
    <w:rsid w:val="00307201"/>
    <w:rsid w:val="003127D1"/>
    <w:rsid w:val="00314634"/>
    <w:rsid w:val="00314C4E"/>
    <w:rsid w:val="003213AC"/>
    <w:rsid w:val="00333D4D"/>
    <w:rsid w:val="003343EC"/>
    <w:rsid w:val="00337A24"/>
    <w:rsid w:val="00343564"/>
    <w:rsid w:val="00346D73"/>
    <w:rsid w:val="00350BFD"/>
    <w:rsid w:val="00355626"/>
    <w:rsid w:val="00361478"/>
    <w:rsid w:val="003635E0"/>
    <w:rsid w:val="00367874"/>
    <w:rsid w:val="00372C73"/>
    <w:rsid w:val="00377AAC"/>
    <w:rsid w:val="00394866"/>
    <w:rsid w:val="00395542"/>
    <w:rsid w:val="0039683F"/>
    <w:rsid w:val="003C4587"/>
    <w:rsid w:val="003C6434"/>
    <w:rsid w:val="00403713"/>
    <w:rsid w:val="004117EC"/>
    <w:rsid w:val="00416A74"/>
    <w:rsid w:val="00416C0B"/>
    <w:rsid w:val="0041742F"/>
    <w:rsid w:val="00422914"/>
    <w:rsid w:val="004232B8"/>
    <w:rsid w:val="00425F04"/>
    <w:rsid w:val="00437953"/>
    <w:rsid w:val="004409AC"/>
    <w:rsid w:val="00446598"/>
    <w:rsid w:val="00450E3B"/>
    <w:rsid w:val="00464DF2"/>
    <w:rsid w:val="004723D9"/>
    <w:rsid w:val="00476EBD"/>
    <w:rsid w:val="00476F4F"/>
    <w:rsid w:val="004834E6"/>
    <w:rsid w:val="00484F3C"/>
    <w:rsid w:val="00487150"/>
    <w:rsid w:val="0049273A"/>
    <w:rsid w:val="00492BFF"/>
    <w:rsid w:val="004B256A"/>
    <w:rsid w:val="004B7A10"/>
    <w:rsid w:val="004C29A7"/>
    <w:rsid w:val="004C3956"/>
    <w:rsid w:val="004C48A6"/>
    <w:rsid w:val="004D4AF9"/>
    <w:rsid w:val="004E3746"/>
    <w:rsid w:val="004F5F0D"/>
    <w:rsid w:val="0050067B"/>
    <w:rsid w:val="00507B96"/>
    <w:rsid w:val="00510667"/>
    <w:rsid w:val="00520A10"/>
    <w:rsid w:val="005242BA"/>
    <w:rsid w:val="00525124"/>
    <w:rsid w:val="00525A94"/>
    <w:rsid w:val="00540093"/>
    <w:rsid w:val="00542632"/>
    <w:rsid w:val="00544324"/>
    <w:rsid w:val="00545DF0"/>
    <w:rsid w:val="00545E0C"/>
    <w:rsid w:val="00550FC9"/>
    <w:rsid w:val="0055644B"/>
    <w:rsid w:val="00561E24"/>
    <w:rsid w:val="0058308D"/>
    <w:rsid w:val="00586632"/>
    <w:rsid w:val="00586F4D"/>
    <w:rsid w:val="00593CB6"/>
    <w:rsid w:val="005957E6"/>
    <w:rsid w:val="00597674"/>
    <w:rsid w:val="005A56A2"/>
    <w:rsid w:val="005B178F"/>
    <w:rsid w:val="005C16C0"/>
    <w:rsid w:val="005C5808"/>
    <w:rsid w:val="005D26A1"/>
    <w:rsid w:val="005D48F4"/>
    <w:rsid w:val="005D4A2B"/>
    <w:rsid w:val="005D58E6"/>
    <w:rsid w:val="005E156A"/>
    <w:rsid w:val="005F0BCE"/>
    <w:rsid w:val="005F1105"/>
    <w:rsid w:val="005F6431"/>
    <w:rsid w:val="00604496"/>
    <w:rsid w:val="00617E87"/>
    <w:rsid w:val="006358A6"/>
    <w:rsid w:val="00647634"/>
    <w:rsid w:val="006544DF"/>
    <w:rsid w:val="0066172B"/>
    <w:rsid w:val="006775C1"/>
    <w:rsid w:val="00681A0B"/>
    <w:rsid w:val="006972EF"/>
    <w:rsid w:val="00697E82"/>
    <w:rsid w:val="006A3B23"/>
    <w:rsid w:val="006B67CD"/>
    <w:rsid w:val="006B704D"/>
    <w:rsid w:val="006C26B1"/>
    <w:rsid w:val="006C4D33"/>
    <w:rsid w:val="006C7B1F"/>
    <w:rsid w:val="006E7491"/>
    <w:rsid w:val="00703DB2"/>
    <w:rsid w:val="00712CF7"/>
    <w:rsid w:val="00716A34"/>
    <w:rsid w:val="007357AA"/>
    <w:rsid w:val="00740CF1"/>
    <w:rsid w:val="00743EF2"/>
    <w:rsid w:val="00746B55"/>
    <w:rsid w:val="0075163B"/>
    <w:rsid w:val="007611EE"/>
    <w:rsid w:val="007632DD"/>
    <w:rsid w:val="00763BBC"/>
    <w:rsid w:val="00766B68"/>
    <w:rsid w:val="007737AF"/>
    <w:rsid w:val="00782B57"/>
    <w:rsid w:val="0079075F"/>
    <w:rsid w:val="007A1BEA"/>
    <w:rsid w:val="007A6635"/>
    <w:rsid w:val="007B7EDA"/>
    <w:rsid w:val="007C4F85"/>
    <w:rsid w:val="007C52C6"/>
    <w:rsid w:val="007D015F"/>
    <w:rsid w:val="007D2875"/>
    <w:rsid w:val="007D3384"/>
    <w:rsid w:val="007E1AD5"/>
    <w:rsid w:val="007E4886"/>
    <w:rsid w:val="007F25EE"/>
    <w:rsid w:val="008134CD"/>
    <w:rsid w:val="00814A65"/>
    <w:rsid w:val="00820AC9"/>
    <w:rsid w:val="00826732"/>
    <w:rsid w:val="00827DF0"/>
    <w:rsid w:val="00836709"/>
    <w:rsid w:val="00846C82"/>
    <w:rsid w:val="00852214"/>
    <w:rsid w:val="008555C6"/>
    <w:rsid w:val="008601EA"/>
    <w:rsid w:val="0088217B"/>
    <w:rsid w:val="0089276D"/>
    <w:rsid w:val="00897AC9"/>
    <w:rsid w:val="008A5439"/>
    <w:rsid w:val="008A6621"/>
    <w:rsid w:val="008B19A4"/>
    <w:rsid w:val="008B3366"/>
    <w:rsid w:val="008B5472"/>
    <w:rsid w:val="008B63A9"/>
    <w:rsid w:val="008C6143"/>
    <w:rsid w:val="008D2D9A"/>
    <w:rsid w:val="008D713E"/>
    <w:rsid w:val="008E014B"/>
    <w:rsid w:val="008E5808"/>
    <w:rsid w:val="008F52D6"/>
    <w:rsid w:val="0090610D"/>
    <w:rsid w:val="00913F5D"/>
    <w:rsid w:val="009140C1"/>
    <w:rsid w:val="00917B43"/>
    <w:rsid w:val="00930801"/>
    <w:rsid w:val="00931554"/>
    <w:rsid w:val="0094164F"/>
    <w:rsid w:val="00952079"/>
    <w:rsid w:val="0096596D"/>
    <w:rsid w:val="00965FA2"/>
    <w:rsid w:val="009834E0"/>
    <w:rsid w:val="00996161"/>
    <w:rsid w:val="009B24CD"/>
    <w:rsid w:val="009B4B16"/>
    <w:rsid w:val="009D3B52"/>
    <w:rsid w:val="009D44D4"/>
    <w:rsid w:val="009D54A7"/>
    <w:rsid w:val="009E0ABE"/>
    <w:rsid w:val="009F21D5"/>
    <w:rsid w:val="00A34F4E"/>
    <w:rsid w:val="00A35CC4"/>
    <w:rsid w:val="00A418A1"/>
    <w:rsid w:val="00A62010"/>
    <w:rsid w:val="00A758D9"/>
    <w:rsid w:val="00A909A2"/>
    <w:rsid w:val="00A94324"/>
    <w:rsid w:val="00A95445"/>
    <w:rsid w:val="00A96873"/>
    <w:rsid w:val="00AA0B82"/>
    <w:rsid w:val="00AA6108"/>
    <w:rsid w:val="00AA7B63"/>
    <w:rsid w:val="00AC1EC3"/>
    <w:rsid w:val="00AD7884"/>
    <w:rsid w:val="00AE06B0"/>
    <w:rsid w:val="00AE0FEB"/>
    <w:rsid w:val="00AE5FCC"/>
    <w:rsid w:val="00AE6D57"/>
    <w:rsid w:val="00AF7C5A"/>
    <w:rsid w:val="00B120C7"/>
    <w:rsid w:val="00B128CF"/>
    <w:rsid w:val="00B27BF2"/>
    <w:rsid w:val="00B31491"/>
    <w:rsid w:val="00B44324"/>
    <w:rsid w:val="00B47422"/>
    <w:rsid w:val="00B6199D"/>
    <w:rsid w:val="00B624E4"/>
    <w:rsid w:val="00B62A07"/>
    <w:rsid w:val="00B713B8"/>
    <w:rsid w:val="00B7512E"/>
    <w:rsid w:val="00B8519B"/>
    <w:rsid w:val="00B93683"/>
    <w:rsid w:val="00B94566"/>
    <w:rsid w:val="00B96307"/>
    <w:rsid w:val="00BA3AB6"/>
    <w:rsid w:val="00BA62CB"/>
    <w:rsid w:val="00BA77AB"/>
    <w:rsid w:val="00BB58C6"/>
    <w:rsid w:val="00BC09B0"/>
    <w:rsid w:val="00BC49D5"/>
    <w:rsid w:val="00BE0BE0"/>
    <w:rsid w:val="00BE3271"/>
    <w:rsid w:val="00BE4051"/>
    <w:rsid w:val="00BE5259"/>
    <w:rsid w:val="00C044F3"/>
    <w:rsid w:val="00C04B97"/>
    <w:rsid w:val="00C116CE"/>
    <w:rsid w:val="00C2270B"/>
    <w:rsid w:val="00C245AF"/>
    <w:rsid w:val="00C24A4C"/>
    <w:rsid w:val="00C313B2"/>
    <w:rsid w:val="00C479D9"/>
    <w:rsid w:val="00C51287"/>
    <w:rsid w:val="00C522BF"/>
    <w:rsid w:val="00C5641B"/>
    <w:rsid w:val="00C5690C"/>
    <w:rsid w:val="00C82924"/>
    <w:rsid w:val="00C9655D"/>
    <w:rsid w:val="00CA2E1E"/>
    <w:rsid w:val="00CA4CDB"/>
    <w:rsid w:val="00CB5AD1"/>
    <w:rsid w:val="00CC3012"/>
    <w:rsid w:val="00CD288F"/>
    <w:rsid w:val="00CD4369"/>
    <w:rsid w:val="00CD4413"/>
    <w:rsid w:val="00CE0683"/>
    <w:rsid w:val="00CE58B6"/>
    <w:rsid w:val="00CE697D"/>
    <w:rsid w:val="00D0243F"/>
    <w:rsid w:val="00D02B0F"/>
    <w:rsid w:val="00D11667"/>
    <w:rsid w:val="00D14E92"/>
    <w:rsid w:val="00D22749"/>
    <w:rsid w:val="00D328CF"/>
    <w:rsid w:val="00D334CB"/>
    <w:rsid w:val="00D51BC2"/>
    <w:rsid w:val="00D56351"/>
    <w:rsid w:val="00D62558"/>
    <w:rsid w:val="00D62C6D"/>
    <w:rsid w:val="00D677C2"/>
    <w:rsid w:val="00D67B75"/>
    <w:rsid w:val="00D70AF5"/>
    <w:rsid w:val="00D741EF"/>
    <w:rsid w:val="00D81597"/>
    <w:rsid w:val="00D9314F"/>
    <w:rsid w:val="00D934C5"/>
    <w:rsid w:val="00D95090"/>
    <w:rsid w:val="00DA1D8F"/>
    <w:rsid w:val="00DA2B94"/>
    <w:rsid w:val="00DB1947"/>
    <w:rsid w:val="00DB2EFF"/>
    <w:rsid w:val="00DB3FB6"/>
    <w:rsid w:val="00DC5551"/>
    <w:rsid w:val="00DC7CB6"/>
    <w:rsid w:val="00DD5A6C"/>
    <w:rsid w:val="00DF71FF"/>
    <w:rsid w:val="00E0589C"/>
    <w:rsid w:val="00E1461F"/>
    <w:rsid w:val="00E14BC9"/>
    <w:rsid w:val="00E165A2"/>
    <w:rsid w:val="00E236FB"/>
    <w:rsid w:val="00E309EE"/>
    <w:rsid w:val="00E32224"/>
    <w:rsid w:val="00E34D66"/>
    <w:rsid w:val="00E50545"/>
    <w:rsid w:val="00E56493"/>
    <w:rsid w:val="00E571E8"/>
    <w:rsid w:val="00E61168"/>
    <w:rsid w:val="00E75003"/>
    <w:rsid w:val="00E75D60"/>
    <w:rsid w:val="00E91643"/>
    <w:rsid w:val="00EA54A0"/>
    <w:rsid w:val="00EB1215"/>
    <w:rsid w:val="00EB361C"/>
    <w:rsid w:val="00EB6993"/>
    <w:rsid w:val="00EC2B16"/>
    <w:rsid w:val="00EC3234"/>
    <w:rsid w:val="00EC4B74"/>
    <w:rsid w:val="00ED5951"/>
    <w:rsid w:val="00ED619D"/>
    <w:rsid w:val="00EE00E2"/>
    <w:rsid w:val="00EF15A7"/>
    <w:rsid w:val="00EF3164"/>
    <w:rsid w:val="00F054DD"/>
    <w:rsid w:val="00F22ABA"/>
    <w:rsid w:val="00F30968"/>
    <w:rsid w:val="00F3131F"/>
    <w:rsid w:val="00F337D4"/>
    <w:rsid w:val="00F37FB4"/>
    <w:rsid w:val="00F51500"/>
    <w:rsid w:val="00F5370C"/>
    <w:rsid w:val="00F669A9"/>
    <w:rsid w:val="00F67F1D"/>
    <w:rsid w:val="00F7549C"/>
    <w:rsid w:val="00F8096C"/>
    <w:rsid w:val="00F82B07"/>
    <w:rsid w:val="00F857BD"/>
    <w:rsid w:val="00F90BD0"/>
    <w:rsid w:val="00F91424"/>
    <w:rsid w:val="00F9445F"/>
    <w:rsid w:val="00F947BB"/>
    <w:rsid w:val="00F97261"/>
    <w:rsid w:val="00F9750D"/>
    <w:rsid w:val="00FA1867"/>
    <w:rsid w:val="00FC47C1"/>
    <w:rsid w:val="00FC51C8"/>
    <w:rsid w:val="00FD1797"/>
    <w:rsid w:val="00FD6B55"/>
    <w:rsid w:val="00FD70CD"/>
    <w:rsid w:val="00FE0344"/>
    <w:rsid w:val="00FE5E59"/>
    <w:rsid w:val="00FE695E"/>
    <w:rsid w:val="00FF006E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F3B252C"/>
  <w15:chartTrackingRefBased/>
  <w15:docId w15:val="{04B1341B-80C9-4C36-BDB2-FF06D264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9B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8F4"/>
    <w:pPr>
      <w:ind w:left="720"/>
      <w:contextualSpacing/>
    </w:pPr>
  </w:style>
  <w:style w:type="table" w:styleId="TableGrid">
    <w:name w:val="Table Grid"/>
    <w:basedOn w:val="TableNormal"/>
    <w:uiPriority w:val="39"/>
    <w:rsid w:val="005B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17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178F"/>
    <w:rPr>
      <w:rFonts w:ascii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5B17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E0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0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0E2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0E2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EE00E2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0E2"/>
    <w:rPr>
      <w:rFonts w:ascii="Segoe UI" w:hAnsi="Segoe UI" w:cs="Segoe UI"/>
      <w:sz w:val="18"/>
      <w:szCs w:val="18"/>
      <w:lang w:eastAsia="lv-LV"/>
    </w:rPr>
  </w:style>
  <w:style w:type="paragraph" w:customStyle="1" w:styleId="naisf">
    <w:name w:val="naisf"/>
    <w:basedOn w:val="Normal"/>
    <w:rsid w:val="007D015F"/>
    <w:pPr>
      <w:spacing w:before="75" w:after="75"/>
      <w:ind w:firstLine="375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7D01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15F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D01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15F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B51A3-7B91-47D1-8C73-42929F8E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2488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2018. gada 21. novembra noteikumos Nr. 707 “Ārlietu ministrijas konsulārās atlīdzības cenrādis un kārtība, kādā tiek iekasēta konsulārā atlīdzība un valsts nodevas”</vt:lpstr>
    </vt:vector>
  </TitlesOfParts>
  <Company>Ārlietu ministrija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 gada 21. novembra noteikumos Nr. 707 “Ārlietu ministrijas konsulārās atlīdzības cenrādis un kārtība, kādā tiek iekasēta konsulārā atlīdzība un valsts nodevas”</dc:title>
  <dc:subject>Noteikumu projekts</dc:subject>
  <dc:creator>Māris Burbergs</dc:creator>
  <cp:keywords/>
  <dc:description>67016414_x000d_
Maris.Burbergs@mfa.gov.lv</dc:description>
  <cp:lastModifiedBy>Maris Burbergs</cp:lastModifiedBy>
  <cp:revision>3</cp:revision>
  <cp:lastPrinted>2019-08-14T06:48:00Z</cp:lastPrinted>
  <dcterms:created xsi:type="dcterms:W3CDTF">2019-09-17T09:31:00Z</dcterms:created>
  <dcterms:modified xsi:type="dcterms:W3CDTF">2019-09-18T05:46:00Z</dcterms:modified>
</cp:coreProperties>
</file>