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3EA76A87" w:rsidR="00BD5588" w:rsidRPr="006F50D3" w:rsidRDefault="0031434E" w:rsidP="00C12794">
      <w:pPr>
        <w:shd w:val="clear" w:color="auto" w:fill="FFFFFF"/>
        <w:contextualSpacing/>
        <w:jc w:val="center"/>
        <w:rPr>
          <w:b/>
          <w:bCs/>
        </w:rPr>
      </w:pPr>
      <w:r w:rsidRPr="006F50D3">
        <w:rPr>
          <w:b/>
          <w:bCs/>
        </w:rPr>
        <w:t xml:space="preserve">Likumprojekta „Grozījumi </w:t>
      </w:r>
      <w:r w:rsidR="002E20C3">
        <w:rPr>
          <w:b/>
          <w:bCs/>
        </w:rPr>
        <w:t xml:space="preserve">Sabiedrisko pakalpojumu sniedzēju </w:t>
      </w:r>
      <w:r w:rsidR="009C45DD">
        <w:rPr>
          <w:b/>
          <w:bCs/>
        </w:rPr>
        <w:t xml:space="preserve">iepirkumu </w:t>
      </w:r>
      <w:r w:rsidR="002E20C3">
        <w:rPr>
          <w:b/>
          <w:bCs/>
        </w:rPr>
        <w:t>likumā</w:t>
      </w:r>
      <w:r w:rsidRPr="006F50D3">
        <w:rPr>
          <w:b/>
          <w:bCs/>
        </w:rPr>
        <w:t>” sākotnējās ietekmes novērtējuma ziņojums (anotācija)</w:t>
      </w:r>
    </w:p>
    <w:p w14:paraId="0DABEB10"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E62C4C" w:rsidRPr="006F50D3" w14:paraId="2AF3EE6C" w14:textId="77777777" w:rsidTr="00D824C2">
        <w:trPr>
          <w:cantSplit/>
        </w:trPr>
        <w:tc>
          <w:tcPr>
            <w:tcW w:w="9581" w:type="dxa"/>
            <w:gridSpan w:val="2"/>
            <w:shd w:val="clear" w:color="auto" w:fill="FFFFFF"/>
            <w:vAlign w:val="center"/>
            <w:hideMark/>
          </w:tcPr>
          <w:p w14:paraId="17657987" w14:textId="77777777" w:rsidR="00BD5588" w:rsidRPr="006F50D3" w:rsidRDefault="0031434E" w:rsidP="00C12794">
            <w:pPr>
              <w:contextualSpacing/>
              <w:jc w:val="center"/>
              <w:rPr>
                <w:b/>
                <w:iCs/>
                <w:lang w:eastAsia="en-US"/>
              </w:rPr>
            </w:pPr>
            <w:r w:rsidRPr="006F50D3">
              <w:rPr>
                <w:b/>
                <w:iCs/>
                <w:lang w:eastAsia="en-US"/>
              </w:rPr>
              <w:t>Tiesību akta projekta anotācijas kopsavilkums</w:t>
            </w:r>
          </w:p>
        </w:tc>
      </w:tr>
      <w:tr w:rsidR="00E62C4C" w:rsidRPr="006F50D3" w14:paraId="330DD2D4" w14:textId="77777777" w:rsidTr="00D824C2">
        <w:trPr>
          <w:cantSplit/>
        </w:trPr>
        <w:tc>
          <w:tcPr>
            <w:tcW w:w="3430" w:type="dxa"/>
            <w:shd w:val="clear" w:color="auto" w:fill="FFFFFF"/>
            <w:hideMark/>
          </w:tcPr>
          <w:p w14:paraId="6B0E742B" w14:textId="77777777" w:rsidR="00BD5588" w:rsidRPr="006F50D3" w:rsidRDefault="0031434E" w:rsidP="00C12794">
            <w:pPr>
              <w:contextualSpacing/>
              <w:rPr>
                <w:iCs/>
                <w:lang w:eastAsia="en-US"/>
              </w:rPr>
            </w:pPr>
            <w:r w:rsidRPr="006F50D3">
              <w:rPr>
                <w:iCs/>
                <w:lang w:eastAsia="en-US"/>
              </w:rPr>
              <w:t>Mērķis, risinājums un projekta spēkā stāšanās laiks (500 zīmes bez atstarpēm)</w:t>
            </w:r>
          </w:p>
        </w:tc>
        <w:tc>
          <w:tcPr>
            <w:tcW w:w="6151" w:type="dxa"/>
            <w:shd w:val="clear" w:color="auto" w:fill="FFFFFF"/>
            <w:hideMark/>
          </w:tcPr>
          <w:p w14:paraId="7A8DFE74" w14:textId="4A68F990" w:rsidR="008852C2" w:rsidRDefault="008852C2" w:rsidP="008852C2">
            <w:pPr>
              <w:jc w:val="both"/>
            </w:pPr>
            <w:r>
              <w:t xml:space="preserve">Grozījumi Sabiedrisko pakalpojumu sniedzēju </w:t>
            </w:r>
            <w:r w:rsidRPr="00E779EE">
              <w:t>iepirkumu likumā</w:t>
            </w:r>
            <w:r>
              <w:t xml:space="preserve"> ir sagatavoti, lai izslēgtu deleģējumu Ministru kabinetam noteikt prasības būvkomersantiem attiecībā uz </w:t>
            </w:r>
            <w:r w:rsidRPr="003B6421">
              <w:t>pieredzi un klasi publisku būvdarbu veikšanai būvju grupās</w:t>
            </w:r>
            <w:r>
              <w:t xml:space="preserve"> un atceltu obligātu būvkomersantu klasifikācijas piemērošanu būvdarbu līguma gadījumā.</w:t>
            </w:r>
          </w:p>
          <w:p w14:paraId="34679264" w14:textId="77777777" w:rsidR="008852C2" w:rsidRDefault="008852C2" w:rsidP="008852C2">
            <w:pPr>
              <w:jc w:val="both"/>
            </w:pPr>
          </w:p>
          <w:p w14:paraId="2601EDD5" w14:textId="0467CFB0" w:rsidR="00B9152A" w:rsidRPr="006F50D3" w:rsidRDefault="008852C2" w:rsidP="008852C2">
            <w:pPr>
              <w:contextualSpacing/>
              <w:jc w:val="both"/>
              <w:rPr>
                <w:i/>
                <w:iCs/>
                <w:lang w:eastAsia="en-US"/>
              </w:rPr>
            </w:pPr>
            <w:r>
              <w:t>Likumprojekts stāsies spēkā pēc tā izsludināšanas Oficiālo publikāciju un tiesiskās informācijas likumā noteiktajā kārtībā.</w:t>
            </w:r>
          </w:p>
        </w:tc>
      </w:tr>
    </w:tbl>
    <w:p w14:paraId="345DEFAD"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6F50D3" w:rsidRDefault="0031434E" w:rsidP="00C12794">
            <w:pPr>
              <w:contextualSpacing/>
              <w:jc w:val="center"/>
              <w:rPr>
                <w:b/>
                <w:bCs/>
              </w:rPr>
            </w:pPr>
            <w:r w:rsidRPr="006F50D3">
              <w:rPr>
                <w:b/>
                <w:bCs/>
              </w:rPr>
              <w:t>I. Tiesību akta projekta izstrādes nepieciešamība</w:t>
            </w:r>
          </w:p>
        </w:tc>
      </w:tr>
      <w:tr w:rsidR="008852C2" w:rsidRPr="006F50D3" w14:paraId="429E6D94" w14:textId="77777777" w:rsidTr="7AF38AF3">
        <w:tc>
          <w:tcPr>
            <w:tcW w:w="311" w:type="pct"/>
            <w:hideMark/>
          </w:tcPr>
          <w:p w14:paraId="74047B0D" w14:textId="77777777" w:rsidR="008852C2" w:rsidRDefault="008852C2" w:rsidP="008852C2">
            <w:pPr>
              <w:contextualSpacing/>
              <w:jc w:val="center"/>
            </w:pPr>
            <w:r w:rsidRPr="006F50D3">
              <w:t>1.</w:t>
            </w:r>
          </w:p>
          <w:p w14:paraId="540BA530" w14:textId="77777777" w:rsidR="000142B2" w:rsidRPr="000142B2" w:rsidRDefault="000142B2" w:rsidP="000142B2"/>
          <w:p w14:paraId="200D5264" w14:textId="77777777" w:rsidR="000142B2" w:rsidRPr="000142B2" w:rsidRDefault="000142B2" w:rsidP="000142B2"/>
          <w:p w14:paraId="434CAACB" w14:textId="77777777" w:rsidR="000142B2" w:rsidRPr="000142B2" w:rsidRDefault="000142B2" w:rsidP="000142B2"/>
          <w:p w14:paraId="2E0EC8AE" w14:textId="77777777" w:rsidR="000142B2" w:rsidRPr="000142B2" w:rsidRDefault="000142B2" w:rsidP="000142B2"/>
          <w:p w14:paraId="0A6A67FC" w14:textId="77777777" w:rsidR="000142B2" w:rsidRPr="000142B2" w:rsidRDefault="000142B2" w:rsidP="000142B2"/>
          <w:p w14:paraId="0F6C08CD" w14:textId="77777777" w:rsidR="000142B2" w:rsidRPr="000142B2" w:rsidRDefault="000142B2" w:rsidP="000142B2"/>
          <w:p w14:paraId="444543E9" w14:textId="77777777" w:rsidR="000142B2" w:rsidRPr="000142B2" w:rsidRDefault="000142B2" w:rsidP="000142B2"/>
          <w:p w14:paraId="4D9AE802" w14:textId="77777777" w:rsidR="000142B2" w:rsidRPr="000142B2" w:rsidRDefault="000142B2" w:rsidP="000142B2"/>
          <w:p w14:paraId="49EADA84" w14:textId="77777777" w:rsidR="000142B2" w:rsidRPr="000142B2" w:rsidRDefault="000142B2" w:rsidP="000142B2"/>
          <w:p w14:paraId="5FB32AE2" w14:textId="77777777" w:rsidR="000142B2" w:rsidRPr="000142B2" w:rsidRDefault="000142B2" w:rsidP="000142B2"/>
          <w:p w14:paraId="2C124C6E" w14:textId="77777777" w:rsidR="000142B2" w:rsidRPr="000142B2" w:rsidRDefault="000142B2" w:rsidP="000142B2"/>
          <w:p w14:paraId="1B78CA5C" w14:textId="77777777" w:rsidR="000142B2" w:rsidRPr="000142B2" w:rsidRDefault="000142B2" w:rsidP="000142B2"/>
          <w:p w14:paraId="5A370C4F" w14:textId="77777777" w:rsidR="000142B2" w:rsidRPr="000142B2" w:rsidRDefault="000142B2" w:rsidP="000142B2"/>
          <w:p w14:paraId="0A36DCD8" w14:textId="77777777" w:rsidR="000142B2" w:rsidRPr="000142B2" w:rsidRDefault="000142B2" w:rsidP="000142B2"/>
          <w:p w14:paraId="53B4C8AC" w14:textId="77777777" w:rsidR="000142B2" w:rsidRPr="000142B2" w:rsidRDefault="000142B2" w:rsidP="000142B2"/>
          <w:p w14:paraId="1E96D183" w14:textId="77777777" w:rsidR="000142B2" w:rsidRPr="000142B2" w:rsidRDefault="000142B2" w:rsidP="000142B2"/>
          <w:p w14:paraId="12B26358" w14:textId="77777777" w:rsidR="000142B2" w:rsidRPr="000142B2" w:rsidRDefault="000142B2" w:rsidP="000142B2"/>
          <w:p w14:paraId="0B860042" w14:textId="77777777" w:rsidR="000142B2" w:rsidRPr="000142B2" w:rsidRDefault="000142B2" w:rsidP="000142B2"/>
          <w:p w14:paraId="4909B6C2" w14:textId="77777777" w:rsidR="000142B2" w:rsidRPr="000142B2" w:rsidRDefault="000142B2" w:rsidP="000142B2"/>
          <w:p w14:paraId="00651696" w14:textId="77777777" w:rsidR="000142B2" w:rsidRPr="000142B2" w:rsidRDefault="000142B2" w:rsidP="000142B2"/>
          <w:p w14:paraId="07B9F800" w14:textId="77777777" w:rsidR="000142B2" w:rsidRPr="000142B2" w:rsidRDefault="000142B2" w:rsidP="000142B2"/>
          <w:p w14:paraId="3458F0CA" w14:textId="77777777" w:rsidR="000142B2" w:rsidRPr="000142B2" w:rsidRDefault="000142B2" w:rsidP="000142B2"/>
          <w:p w14:paraId="31F3DFAD" w14:textId="77777777" w:rsidR="000142B2" w:rsidRPr="000142B2" w:rsidRDefault="000142B2" w:rsidP="000142B2"/>
          <w:p w14:paraId="5C00D62A" w14:textId="77777777" w:rsidR="000142B2" w:rsidRPr="000142B2" w:rsidRDefault="000142B2" w:rsidP="000142B2"/>
          <w:p w14:paraId="4E53FA4E" w14:textId="77777777" w:rsidR="000142B2" w:rsidRPr="000142B2" w:rsidRDefault="000142B2" w:rsidP="000142B2"/>
          <w:p w14:paraId="1BECC82E" w14:textId="77777777" w:rsidR="000142B2" w:rsidRPr="000142B2" w:rsidRDefault="000142B2" w:rsidP="000142B2"/>
          <w:p w14:paraId="4ED1BD6B" w14:textId="77777777" w:rsidR="000142B2" w:rsidRPr="000142B2" w:rsidRDefault="000142B2" w:rsidP="000142B2"/>
          <w:p w14:paraId="7DE9C575" w14:textId="77777777" w:rsidR="000142B2" w:rsidRPr="000142B2" w:rsidRDefault="000142B2" w:rsidP="000142B2"/>
          <w:p w14:paraId="69162166" w14:textId="77777777" w:rsidR="000142B2" w:rsidRPr="000142B2" w:rsidRDefault="000142B2" w:rsidP="000142B2"/>
          <w:p w14:paraId="1C2463DA" w14:textId="77777777" w:rsidR="000142B2" w:rsidRPr="000142B2" w:rsidRDefault="000142B2" w:rsidP="000142B2"/>
          <w:p w14:paraId="0D7A2867" w14:textId="4808AC65" w:rsidR="000142B2" w:rsidRDefault="000142B2" w:rsidP="000142B2"/>
          <w:p w14:paraId="0FCA6AE6" w14:textId="6373A29D" w:rsidR="000142B2" w:rsidRPr="000142B2" w:rsidRDefault="000142B2" w:rsidP="000142B2"/>
          <w:p w14:paraId="66324F8D" w14:textId="77777777" w:rsidR="000142B2" w:rsidRPr="000142B2" w:rsidRDefault="000142B2" w:rsidP="000142B2"/>
          <w:p w14:paraId="3A3483DD" w14:textId="0BB39665" w:rsidR="000142B2" w:rsidRPr="000142B2" w:rsidRDefault="000142B2" w:rsidP="000142B2"/>
          <w:p w14:paraId="039D63C2" w14:textId="77777777" w:rsidR="000142B2" w:rsidRPr="000142B2" w:rsidRDefault="000142B2" w:rsidP="000142B2"/>
          <w:p w14:paraId="6D7568E3" w14:textId="4C45C5B3" w:rsidR="000142B2" w:rsidRPr="000142B2" w:rsidRDefault="000142B2" w:rsidP="000142B2"/>
          <w:p w14:paraId="2BBE39F9" w14:textId="77777777" w:rsidR="000142B2" w:rsidRPr="000142B2" w:rsidRDefault="000142B2" w:rsidP="000142B2"/>
          <w:p w14:paraId="3A611CF8" w14:textId="3AA12046" w:rsidR="000142B2" w:rsidRPr="000142B2" w:rsidRDefault="000142B2" w:rsidP="000142B2"/>
          <w:p w14:paraId="525FF086" w14:textId="77777777" w:rsidR="000142B2" w:rsidRPr="000142B2" w:rsidRDefault="000142B2" w:rsidP="000142B2"/>
          <w:p w14:paraId="40B66467" w14:textId="77777777" w:rsidR="000142B2" w:rsidRPr="000142B2" w:rsidRDefault="000142B2" w:rsidP="000142B2"/>
          <w:p w14:paraId="168F6255" w14:textId="226CBDB4" w:rsidR="000142B2" w:rsidRPr="000142B2" w:rsidRDefault="000142B2" w:rsidP="000142B2"/>
        </w:tc>
        <w:tc>
          <w:tcPr>
            <w:tcW w:w="1479" w:type="pct"/>
            <w:hideMark/>
          </w:tcPr>
          <w:p w14:paraId="15BC1526" w14:textId="77777777" w:rsidR="008852C2" w:rsidRPr="006F50D3" w:rsidRDefault="008852C2" w:rsidP="008852C2">
            <w:pPr>
              <w:contextualSpacing/>
            </w:pPr>
            <w:r w:rsidRPr="006F50D3">
              <w:lastRenderedPageBreak/>
              <w:t>Pamatojums</w:t>
            </w:r>
          </w:p>
        </w:tc>
        <w:tc>
          <w:tcPr>
            <w:tcW w:w="3210" w:type="pct"/>
          </w:tcPr>
          <w:p w14:paraId="437AEB1D" w14:textId="20A6495F" w:rsidR="008852C2" w:rsidRDefault="008852C2" w:rsidP="008852C2">
            <w:pPr>
              <w:contextualSpacing/>
              <w:jc w:val="both"/>
            </w:pPr>
            <w:r>
              <w:t xml:space="preserve">Sabiedrisko pakalpojumu sniedzēju </w:t>
            </w:r>
            <w:r w:rsidRPr="00E779EE">
              <w:t>iepirkumu likuma</w:t>
            </w:r>
            <w:r>
              <w:t xml:space="preserve"> 50. pant</w:t>
            </w:r>
            <w:r w:rsidR="009A466B">
              <w:t>a</w:t>
            </w:r>
            <w:r>
              <w:t xml:space="preserve"> treš</w:t>
            </w:r>
            <w:r w:rsidR="009A466B">
              <w:t xml:space="preserve">ajā </w:t>
            </w:r>
            <w:r>
              <w:t>daļ</w:t>
            </w:r>
            <w:r w:rsidR="009A466B">
              <w:t>ā</w:t>
            </w:r>
            <w:r>
              <w:t xml:space="preserve"> </w:t>
            </w:r>
            <w:r w:rsidR="009A466B">
              <w:t>ir ietverts</w:t>
            </w:r>
            <w:r>
              <w:t xml:space="preserve"> deleģējums </w:t>
            </w:r>
            <w:r w:rsidRPr="00547EBA">
              <w:t>Ministru kabinet</w:t>
            </w:r>
            <w:r>
              <w:t>am</w:t>
            </w:r>
            <w:r w:rsidRPr="00547EBA">
              <w:t xml:space="preserve"> no</w:t>
            </w:r>
            <w:r>
              <w:t>teikt</w:t>
            </w:r>
            <w:r w:rsidRPr="00547EBA">
              <w:t xml:space="preserve"> prasības būvkomersantam attiecībā uz pieredzi un klasi publisku būvdarbu veikšanai būvju grupās.</w:t>
            </w:r>
          </w:p>
          <w:p w14:paraId="26599416" w14:textId="5592C9E9" w:rsidR="009A466B" w:rsidRDefault="009A466B" w:rsidP="008852C2">
            <w:pPr>
              <w:contextualSpacing/>
              <w:jc w:val="both"/>
            </w:pPr>
          </w:p>
          <w:p w14:paraId="1CE7F3A9" w14:textId="6D444560" w:rsidR="009A466B" w:rsidRDefault="009A466B" w:rsidP="009A466B">
            <w:pPr>
              <w:contextualSpacing/>
              <w:jc w:val="both"/>
            </w:pPr>
            <w:r w:rsidRPr="009A466B">
              <w:t xml:space="preserve">Būvkomersantu klasifikācijas ieviešanas un obligātās piemērošanas mērķis ir radīt sistēmu, kas nodrošinās jēgpilnu un objektīvu būvkomersanta pieredzēs novērtējumu, kā arī samazinās birokrātisko slogu, būtiski samazinot pretendentam pienākumus attiecībā uz pierādījumu iesniegšanu tā atbilstības un kvalifikācijas pārbaudei publiskā iepirkuma procesā.   </w:t>
            </w:r>
            <w:r w:rsidR="00897CC8">
              <w:t xml:space="preserve">Sabiedrisko pakalpojumu sniedzēju </w:t>
            </w:r>
            <w:r w:rsidRPr="009A466B">
              <w:t xml:space="preserve">iepirkumu likuma </w:t>
            </w:r>
            <w:r w:rsidR="00276C18">
              <w:t>51</w:t>
            </w:r>
            <w:r w:rsidRPr="009A466B">
              <w:t xml:space="preserve">.panta septītā daļa paredz, ka publiska būvdarbu līguma gadījumā pasūtītājs noteic, ka atbilstību saimnieciskajam un finansiālajam stāvoklim apliecina normatīvajos aktos noteiktās būvkomersantu kvalifikācijas klases. Pasūtītājam ir tiesības piegādātājam papildus izvirzīt tikai tādas prasības, kas netiek vērtētas būvkomersantu klasifikācijas ietvaros. Tāpat saskaņā ar </w:t>
            </w:r>
            <w:r w:rsidR="00276C18">
              <w:t>Sabiedrisko pakalpojumu sniedzēju iepirkumu likuma 52</w:t>
            </w:r>
            <w:r w:rsidRPr="009A466B">
              <w:t xml:space="preserve">. panta pirmo daļu publiska būvdarbu līguma gadījumā pasūtītājs noteic, ka piegādātāja tehniskās un profesionālās spējas apliecina normatīvajos aktos noteiktās būvkomersantu kvalifikācijas klases. Pasūtītājam ir tiesības piegādātājam papildus izvirzīt tikai tādas prasības, kas netiek vērtētas būvkomersantu klasifikācijas ietvaros. Līdzīgi nosacījumi ir ietverti arī </w:t>
            </w:r>
            <w:r w:rsidR="00276C18">
              <w:t>Sabiedrisko pakalpojumu sniedzēju iepirkumu</w:t>
            </w:r>
            <w:r w:rsidRPr="009A466B">
              <w:t xml:space="preserve"> likuma </w:t>
            </w:r>
            <w:r w:rsidR="00276C18">
              <w:t>53</w:t>
            </w:r>
            <w:r w:rsidRPr="009A466B">
              <w:t xml:space="preserve">. pantā un </w:t>
            </w:r>
            <w:r w:rsidR="00276C18">
              <w:t>54</w:t>
            </w:r>
            <w:bookmarkStart w:id="0" w:name="_GoBack"/>
            <w:bookmarkEnd w:id="0"/>
            <w:r w:rsidRPr="009A466B">
              <w:t>. pantā.</w:t>
            </w:r>
            <w:r>
              <w:t xml:space="preserve"> Tādējādi būvkomersanta kvalifikācijas un </w:t>
            </w:r>
            <w:r>
              <w:lastRenderedPageBreak/>
              <w:t xml:space="preserve">pieredzes pārbaude tiktu veikta tikai būvkomersantu klasifikācijas ietvaros un pretendentam nebūtu iespējams iesniegt citus pierādījumus tā  atbilstībai iepirkumu procedūrā izvirzītajiem nosacījumiem.  Būvkomersantu klasifikācijas piemērošanas konceptuālu risinājumu izstrādes laikā aktualizējās problēma, ka nav efektīva veida kā elektroniskā vidē, izmantojot oficiālo reģistru datus, izmērīt un klasificēt būvkomersantu profesionālo pieredzi (uzbūvēti kvadrātmetri, kubikmetri, kilometri vai izpildīto būvdarbu apjoms izteikts </w:t>
            </w:r>
            <w:proofErr w:type="spellStart"/>
            <w:r w:rsidRPr="002F4B22">
              <w:rPr>
                <w:i/>
                <w:iCs/>
              </w:rPr>
              <w:t>euro</w:t>
            </w:r>
            <w:proofErr w:type="spellEnd"/>
            <w:r>
              <w:t>), kas nozīmē, ka pastāv risks, ka ieviešot obligātu būvkomersantu klasifikācijas piemērošanu, bez profesionālās pieredzes iekļaušanas būvkomersantu klasifikācijā tā nesasniegt savu mērķi, kā arī var radīt vienlīdzības principa pārkāpuma risku.</w:t>
            </w:r>
          </w:p>
          <w:p w14:paraId="5D9A9CB0" w14:textId="77777777" w:rsidR="008852C2" w:rsidRDefault="008852C2" w:rsidP="008852C2">
            <w:pPr>
              <w:contextualSpacing/>
              <w:jc w:val="both"/>
            </w:pPr>
          </w:p>
          <w:p w14:paraId="53AD06BD" w14:textId="4E0CD041" w:rsidR="008852C2" w:rsidRDefault="009A466B" w:rsidP="008852C2">
            <w:pPr>
              <w:contextualSpacing/>
              <w:jc w:val="both"/>
            </w:pPr>
            <w:r w:rsidRPr="009A466B">
              <w:t>Būvniecības nozares profesionālās organizācijas, kas iniciēja būvkomersantu klasifikācijas izstrādi pēc vairāku gadu diskusijām ar valsts pārvaldes iestādēm par būvkomersantu klasifikācijas piemērošanas konceptuāliem risinājumiem, atzīst, ka Latvijā ir mazs un sadrumstalots būvniecības tirgus, līdz ar to, nav iespējams izstrādāt lietderīgu, vienotu un skaidru būvkomersantu klasifikācijas sistēmu, kas derētu visām būvju grupām. Kā arī būvkomersantu klasifikācija var pazemināt vietējo būvniecības uzņēmumu konkurētspēju pret ārzemju būvniecības uzņēmumiem Latvijā, jo klasifikācijas iestāde nevar pēc būtības pārbaudīt visu informāciju ko iesniedz ārzemju uzņēmumi, lai saņemtu kvalifikācijas klasi.</w:t>
            </w:r>
          </w:p>
          <w:p w14:paraId="00E1A6CC" w14:textId="77777777" w:rsidR="009A466B" w:rsidRDefault="009A466B" w:rsidP="008852C2">
            <w:pPr>
              <w:contextualSpacing/>
              <w:jc w:val="both"/>
            </w:pPr>
          </w:p>
          <w:p w14:paraId="6B84041B" w14:textId="748D6CDA" w:rsidR="008852C2" w:rsidRPr="006F50D3" w:rsidRDefault="009A466B" w:rsidP="008852C2">
            <w:pPr>
              <w:contextualSpacing/>
              <w:jc w:val="both"/>
            </w:pPr>
            <w:r w:rsidRPr="009A466B">
              <w:t>Līdz ar to ir izstrādāti grozījumi Publisko iepirkumu likumā, Sabiedrisko pakalpojumu sniedzēju iepirkumu likumā un Publiskās un privātās partnerības likumā,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 Vienlaicīgi netiek grozīts Būvniecības likuma regulējums attiecībā uz būvkomersantu klasifikācijas   ieviešanu un pasūtītājam būs tiesības to piemērot  brīvprātīgi. Visi trīs minētie likumprojekti tiek virzīti un ir izskatāmi kopā.</w:t>
            </w:r>
          </w:p>
        </w:tc>
      </w:tr>
      <w:tr w:rsidR="008852C2" w:rsidRPr="006F50D3" w14:paraId="69F54EBF" w14:textId="77777777" w:rsidTr="7AF38AF3">
        <w:tc>
          <w:tcPr>
            <w:tcW w:w="311" w:type="pct"/>
            <w:hideMark/>
          </w:tcPr>
          <w:p w14:paraId="2254D041" w14:textId="77777777" w:rsidR="008852C2" w:rsidRDefault="008852C2" w:rsidP="008852C2">
            <w:pPr>
              <w:contextualSpacing/>
              <w:jc w:val="center"/>
            </w:pPr>
            <w:r w:rsidRPr="006F50D3">
              <w:lastRenderedPageBreak/>
              <w:t>2.</w:t>
            </w:r>
          </w:p>
          <w:p w14:paraId="52DEA4A6" w14:textId="61DB8DAA" w:rsidR="008852C2" w:rsidRPr="0045266B" w:rsidRDefault="008852C2" w:rsidP="008852C2"/>
        </w:tc>
        <w:tc>
          <w:tcPr>
            <w:tcW w:w="1479" w:type="pct"/>
            <w:hideMark/>
          </w:tcPr>
          <w:p w14:paraId="425F64FF" w14:textId="47513DCA" w:rsidR="008852C2" w:rsidRPr="009C45DD" w:rsidRDefault="008852C2" w:rsidP="008852C2">
            <w:pPr>
              <w:contextualSpacing/>
            </w:pPr>
            <w:r w:rsidRPr="006F50D3">
              <w:t xml:space="preserve">Pašreizējā situācija un problēmas, kuru risināšanai tiesību akta projekts izstrādāts, </w:t>
            </w:r>
            <w:r w:rsidRPr="006F50D3">
              <w:lastRenderedPageBreak/>
              <w:t>tiesiskā regulējuma mērķis un būtība</w:t>
            </w:r>
          </w:p>
        </w:tc>
        <w:tc>
          <w:tcPr>
            <w:tcW w:w="3210" w:type="pct"/>
            <w:hideMark/>
          </w:tcPr>
          <w:p w14:paraId="6A23281E" w14:textId="6D434D83" w:rsidR="008852C2" w:rsidRDefault="008852C2" w:rsidP="008852C2">
            <w:pPr>
              <w:contextualSpacing/>
              <w:jc w:val="both"/>
            </w:pPr>
            <w:r w:rsidRPr="00A4477C">
              <w:lastRenderedPageBreak/>
              <w:t>Būvkomersantu klasifikāciju kā pozitīvu praksi iniciēja  būvniecības nozares pārstāvji Būvniecības likuma un Publisk</w:t>
            </w:r>
            <w:r>
              <w:t>o</w:t>
            </w:r>
            <w:r w:rsidRPr="00A4477C">
              <w:t xml:space="preserve"> iepirkuma likuma jauno redakciju izstrādes gaitā. Klasifikācijas mērķis </w:t>
            </w:r>
            <w:r>
              <w:t>bija</w:t>
            </w:r>
            <w:r w:rsidRPr="00A4477C">
              <w:t xml:space="preserve"> būvniecības nozares profesionālās vides sakārtošana publiskā finansējuma </w:t>
            </w:r>
            <w:r w:rsidRPr="00A4477C">
              <w:lastRenderedPageBreak/>
              <w:t>iepirkumos, izveidojot atklātu, skaidru sistēmu būvdarbu veicēju profesionālās pieredzes, finansiāli ekonomisko spēju un ilgtspējas novērtēšanai un piemērošanai būvdarbu iepirkumos, tādējādi pilnveidojot tiesisko vidi un sekmējot būvniecības kvalitāti</w:t>
            </w:r>
            <w:r>
              <w:t>.</w:t>
            </w:r>
          </w:p>
          <w:p w14:paraId="61C6EDC6" w14:textId="77777777" w:rsidR="008852C2" w:rsidRDefault="008852C2" w:rsidP="008852C2">
            <w:pPr>
              <w:contextualSpacing/>
              <w:jc w:val="both"/>
            </w:pPr>
          </w:p>
          <w:p w14:paraId="279CADD5" w14:textId="77777777" w:rsidR="008852C2" w:rsidRDefault="008852C2" w:rsidP="008852C2">
            <w:pPr>
              <w:contextualSpacing/>
              <w:jc w:val="both"/>
            </w:pPr>
            <w:r w:rsidRPr="000168DA">
              <w:t>Lai atvieglotu</w:t>
            </w:r>
            <w:r>
              <w:t xml:space="preserve"> pasūtītājam</w:t>
            </w:r>
            <w:r w:rsidRPr="000168DA">
              <w:t xml:space="preserve"> atbilstošu pretendentu atlasi</w:t>
            </w:r>
            <w:r>
              <w:t xml:space="preserve"> būvdarbu iepirkumos </w:t>
            </w:r>
            <w:r w:rsidRPr="000168DA">
              <w:t xml:space="preserve">un samazinātu to gadījumu skaitu, kad  izvēlētā pretendenta kompetenci apšauba cits iepirkuma pretendents, </w:t>
            </w:r>
            <w:r>
              <w:t>būvkomersantu klasifikācijas sistēmai bija</w:t>
            </w:r>
            <w:r w:rsidRPr="000168DA">
              <w:t xml:space="preserve"> jānodrošina </w:t>
            </w:r>
            <w:r>
              <w:t>būvkomersantu</w:t>
            </w:r>
            <w:r w:rsidRPr="000168DA">
              <w:t xml:space="preserve"> grupēšana</w:t>
            </w:r>
            <w:r>
              <w:t xml:space="preserve"> klasēs</w:t>
            </w:r>
            <w:r w:rsidRPr="000168DA">
              <w:t xml:space="preserve"> atbilstoši to profesionālajai pieredzei, kompetencēm, finansiāli ekonomiskajiem rādītājiem un ilgtspējai</w:t>
            </w:r>
            <w:r>
              <w:t>. B</w:t>
            </w:r>
            <w:r w:rsidRPr="006F50D3">
              <w:t>ūvkomersantu novērtēšanas un kvalifikācijas klašu piešķiršanas kārtība</w:t>
            </w:r>
            <w:r>
              <w:t xml:space="preserve"> ir noteikta </w:t>
            </w:r>
            <w:r w:rsidRPr="006F50D3">
              <w:t>Ministru kabineta 2016.gada 12.aprīļa noteikum</w:t>
            </w:r>
            <w:r>
              <w:t>os</w:t>
            </w:r>
            <w:r w:rsidRPr="006F50D3">
              <w:t xml:space="preserve"> Nr.211 “Būvkomersantu klasifikācijas noteikumi” (turpmāk – Noteikumi Nr.211)</w:t>
            </w:r>
            <w:r>
              <w:t>. Kvalifikācijas klase tiek piešķirta izvērtējot būvkomersantu profesionālo pieredzi, finansiāli ekonomiskos rādītājus un ilgtspēju, kopā ir noteikti 14 kritēriji pēc kuriem tiek klasificēti būvkomersanti.</w:t>
            </w:r>
          </w:p>
          <w:p w14:paraId="40C5833E" w14:textId="77777777" w:rsidR="008852C2" w:rsidRDefault="008852C2" w:rsidP="008852C2">
            <w:pPr>
              <w:contextualSpacing/>
              <w:jc w:val="both"/>
            </w:pPr>
          </w:p>
          <w:p w14:paraId="7448CA92" w14:textId="6D60B9A7" w:rsidR="008852C2" w:rsidRPr="006F50D3" w:rsidRDefault="008852C2" w:rsidP="008852C2">
            <w:pPr>
              <w:contextualSpacing/>
              <w:jc w:val="both"/>
            </w:pPr>
            <w:r w:rsidRPr="006F50D3">
              <w:t xml:space="preserve">Lai sasniegtu būvkomersantu klasifikācijas mērķus, </w:t>
            </w:r>
            <w:r>
              <w:t>Sabiedrisko pakalpojumu sniedzēju iepirkumu likuma</w:t>
            </w:r>
            <w:r w:rsidRPr="006F50D3">
              <w:t xml:space="preserve"> </w:t>
            </w:r>
            <w:r>
              <w:t>50</w:t>
            </w:r>
            <w:r w:rsidRPr="006F50D3">
              <w:t xml:space="preserve">. panta trešajā daļā tika iekļauts deleģējums Ministru kabinetam noteikt kārtību būvkomersantu klasifikācijas piemērošanai publiskajos iepirkumos </w:t>
            </w:r>
            <w:r w:rsidRPr="006F50D3">
              <w:rPr>
                <w:i/>
              </w:rPr>
              <w:t xml:space="preserve">“būvdarbu līguma gadījumā </w:t>
            </w:r>
            <w:r>
              <w:rPr>
                <w:i/>
              </w:rPr>
              <w:t>sabiedrisko pakalpojumu sniedzējs</w:t>
            </w:r>
            <w:r w:rsidRPr="006F50D3">
              <w:rPr>
                <w:i/>
              </w:rPr>
              <w:t xml:space="preserve"> pieprasa, lai piegādātājs būtu ieguvis vai līdz iepirkuma līguma slēgšanai iegūst normatīvajos aktos noteiktu attiecīgo būvdarbu veikšanai atbilstošu būvkomersanta kvalifikācijas klasi. Ministru kabinets nosaka prasības būvkomersantam attiecībā uz pieredzi un klasi publisku būvdarbu veikšanai būvju grupās.”</w:t>
            </w:r>
            <w:r w:rsidRPr="006F50D3">
              <w:t xml:space="preserve"> </w:t>
            </w:r>
            <w:r w:rsidRPr="006F50D3">
              <w:rPr>
                <w:color w:val="000000" w:themeColor="text1"/>
              </w:rPr>
              <w:t xml:space="preserve">Līdzīgs deleģējums ir iekļauts arī </w:t>
            </w:r>
            <w:r>
              <w:rPr>
                <w:color w:val="000000" w:themeColor="text1"/>
              </w:rPr>
              <w:t>Publisko iepirkumu likuma 44.</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 </w:t>
            </w:r>
          </w:p>
          <w:p w14:paraId="27903635" w14:textId="77777777" w:rsidR="008852C2" w:rsidRDefault="008852C2" w:rsidP="008852C2">
            <w:pPr>
              <w:contextualSpacing/>
              <w:jc w:val="both"/>
            </w:pPr>
          </w:p>
          <w:p w14:paraId="627C49C5" w14:textId="77777777" w:rsidR="008852C2" w:rsidRDefault="008852C2" w:rsidP="008852C2">
            <w:pPr>
              <w:contextualSpacing/>
              <w:jc w:val="both"/>
            </w:pPr>
            <w:r>
              <w:t xml:space="preserve">Būvkomersantu klasifikācijas sistēmas izstrādē, lai definētu </w:t>
            </w:r>
            <w:r w:rsidRPr="000168DA">
              <w:t xml:space="preserve">vienādas, skaidras, samērojamas prasības </w:t>
            </w:r>
            <w:r>
              <w:t xml:space="preserve">būvkomersantiem, Ekonomikas ministrija vienojās ar būvniecības nozares pārstāvjiem par </w:t>
            </w:r>
            <w:r w:rsidRPr="000168DA">
              <w:t>informācij</w:t>
            </w:r>
            <w:r>
              <w:t>u</w:t>
            </w:r>
            <w:r w:rsidRPr="000168DA">
              <w:t xml:space="preserve"> komunikāciju tehnoloģijās balstīt</w:t>
            </w:r>
            <w:r>
              <w:t xml:space="preserve">iem būvkomersantu klasifikācijas risinājumiem, kur būvkomersantu spējas tiek novērtētas elektroniskā vidē balstoties uz oficiālo reģistru datiem. </w:t>
            </w:r>
          </w:p>
          <w:p w14:paraId="55270573" w14:textId="77777777" w:rsidR="008852C2" w:rsidRDefault="008852C2" w:rsidP="008852C2">
            <w:pPr>
              <w:contextualSpacing/>
              <w:jc w:val="both"/>
            </w:pPr>
          </w:p>
          <w:p w14:paraId="5508E26B" w14:textId="77777777" w:rsidR="008852C2" w:rsidRDefault="008852C2" w:rsidP="008852C2">
            <w:pPr>
              <w:contextualSpacing/>
              <w:jc w:val="both"/>
            </w:pPr>
            <w:r>
              <w:lastRenderedPageBreak/>
              <w:t xml:space="preserve">Izstrādājot konceptuālus risinājumus </w:t>
            </w:r>
            <w:r w:rsidRPr="005E6C3E">
              <w:t>prasīb</w:t>
            </w:r>
            <w:r>
              <w:t>ām</w:t>
            </w:r>
            <w:r w:rsidRPr="005E6C3E">
              <w:t xml:space="preserve"> būvkomersant</w:t>
            </w:r>
            <w:r>
              <w:t>ie</w:t>
            </w:r>
            <w:r w:rsidRPr="005E6C3E">
              <w:t xml:space="preserve">m attiecībā uz pieredzi un klasi publisku būvdarbu veikšanai būvju grupās </w:t>
            </w:r>
            <w:r>
              <w:t>aktualizējās problēma, ka izmantojot oficiālo reģistru datus nav iespējams novērtēt izmērāmu pieredzi būvdarbu veikšanai būvju grupās, piemēram, būvdarbu apjoms (kilometri, kvadrātmetri, vai kubikmetri) vai būvdarbu izmaksas (</w:t>
            </w:r>
            <w:r w:rsidRPr="005C520D">
              <w:rPr>
                <w:i/>
                <w:iCs/>
              </w:rPr>
              <w:t>euro</w:t>
            </w:r>
            <w:r>
              <w:t>). Būvkomersanti šādu informāciju varētu iesniegt paši, piemēram, Būvniecības informācijas sistēmā, bet tādā gadījumā klasifikācijas iestāde nevarētu pēc būtības pārbaudīt visu iesniegto informāciju izmantojot oficiālos reģistros pieejamo informāciju, kas ir pārbaudīta, par vairāk kā 2000 būvkomersantiem (2019.gada jūlijā klasificēts 2391 būvkomersants) un nepārbaudot šādi iesniegto informāciju būvkomersantu klasifikācijai zūd jēga, jo būvkomersanti ar negodprātīgu rīcību varētu iegūt augstāku kvalifikācijas klasi.</w:t>
            </w:r>
          </w:p>
          <w:p w14:paraId="50E31450" w14:textId="77777777" w:rsidR="008852C2" w:rsidRDefault="008852C2" w:rsidP="008852C2">
            <w:pPr>
              <w:contextualSpacing/>
              <w:jc w:val="both"/>
            </w:pPr>
          </w:p>
          <w:p w14:paraId="328F1B0D" w14:textId="41BDEDE1" w:rsidR="008852C2" w:rsidRDefault="008852C2" w:rsidP="008852C2">
            <w:pPr>
              <w:contextualSpacing/>
              <w:jc w:val="both"/>
            </w:pPr>
            <w:r>
              <w:t>Attiecībā uz profesionālo pieredzi būvdarbu veikšanai būvju grupās Noteikumos Nr.211 32.3.apakšpunktā ir minēts 2.kritērijs, kas nosaka, ka k</w:t>
            </w:r>
            <w:r w:rsidRPr="005C520D">
              <w:t xml:space="preserve">lasifikācijas iestāde atzīst būvuzņēmuma kvalifikāciju konkrētu būvdarbu veidu veikšanā būvju grupā, ja trīs līdz piecus gadus pirms lēmuma pieņemšanas par klasifikāciju Būvniecības informācijas sistēmas uzturētajos būvdarbu žurnālos ir vismaz divas atzīmes par būvdarbu veikšanu </w:t>
            </w:r>
            <w:r>
              <w:t>Noteikumu Nr.211</w:t>
            </w:r>
            <w:r w:rsidRPr="005C520D">
              <w:t xml:space="preserve"> 1. pielikumā minētajos būvdarbos</w:t>
            </w:r>
            <w:r>
              <w:t xml:space="preserve">. Tomēr šādā veidā netiek novērtēta ne būvkomersanta līdzdalība būvdarbu līguma izpildē, ne būvdarbu apjoms, jo pēc šī kritērija būvkomersantu klasifikācijā tiek vienādi ievērtēti gan nelieli pārbūves vai atjaunošanas darbi, gan apjomīga jauna būvniecība. Rezultātā, lai pasūtītājs pārliecinātos par pretendenta pieredzi attiecībā uz veiktajiem būvdarbiem, pasūtītājam ir jāizvirza papildus prasības. Šādu prasību izvirzīšana nav pretrunā ar Sabiedrisko pakalpojumu sniedzēju </w:t>
            </w:r>
            <w:r w:rsidRPr="00E779EE">
              <w:t>iepirkumu likuma 5</w:t>
            </w:r>
            <w:r>
              <w:t>2.panta pirmo daļu, jo būvkomersantu klasifikācijas ietvaros šāda pieredze netiek vērtēta.  Līdz ar to būvkomersantu klasifikācija nesasniedz savu mērķi attiecībā uz profesionālās pieredzes klasificēšanu, jo pasūtītājam, lai pārliecinātos par pretendentu profesionālo pieredzi tāpat ir jāpieprasa papildus informācija no pretendentiem.</w:t>
            </w:r>
          </w:p>
          <w:p w14:paraId="370DA155" w14:textId="77777777" w:rsidR="008852C2" w:rsidRPr="006F50D3" w:rsidRDefault="008852C2" w:rsidP="008852C2">
            <w:pPr>
              <w:contextualSpacing/>
              <w:jc w:val="both"/>
            </w:pPr>
          </w:p>
          <w:p w14:paraId="20F30B07" w14:textId="77777777" w:rsidR="008852C2" w:rsidRDefault="008852C2" w:rsidP="008852C2">
            <w:pPr>
              <w:contextualSpacing/>
              <w:jc w:val="both"/>
            </w:pPr>
            <w:r>
              <w:rPr>
                <w:color w:val="000000" w:themeColor="text1"/>
              </w:rPr>
              <w:t xml:space="preserve">Ņemot vērā deleģējumu </w:t>
            </w:r>
            <w:r w:rsidRPr="00E779EE">
              <w:rPr>
                <w:color w:val="000000" w:themeColor="text1"/>
              </w:rPr>
              <w:t>Publisko iepirkumu likuma 44.panta trešajā daļā, Sabiedrisko pakalpojumu sniedzēju iepirkumu likuma 50.</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w:t>
            </w:r>
            <w:r w:rsidRPr="006F50D3">
              <w:rPr>
                <w:color w:val="000000" w:themeColor="text1"/>
              </w:rPr>
              <w:lastRenderedPageBreak/>
              <w:t>trešajā daļā</w:t>
            </w:r>
            <w:r>
              <w:rPr>
                <w:color w:val="000000" w:themeColor="text1"/>
              </w:rPr>
              <w:t xml:space="preserve">, </w:t>
            </w:r>
            <w:r w:rsidRPr="006F50D3">
              <w:t>Ekonomikas ministrija izstrādāja un virzīja apstiprināšanai Ministru kabinetā prasības būvkomersantiem attiecībā uz pieredzi un klasi publisku būvdarbu veikšanai būvju grupās kā noteikumu projektu "Grozījumi Ministru kabineta 2016.</w:t>
            </w:r>
            <w:r>
              <w:t> </w:t>
            </w:r>
            <w:r w:rsidRPr="006F50D3">
              <w:t>gada 12.</w:t>
            </w:r>
            <w:r>
              <w:t> </w:t>
            </w:r>
            <w:r w:rsidRPr="006F50D3">
              <w:t>aprīļa noteikumos Nr.</w:t>
            </w:r>
            <w:r>
              <w:t> </w:t>
            </w:r>
            <w:r w:rsidRPr="006F50D3">
              <w:t>211 "Būvkomersantu klasifikācijas noteikumi"" (VSS-242) (turpmāk – Noteikumu projekts)</w:t>
            </w:r>
            <w:r>
              <w:t>, bet tā tālāka virzība netika konceptuāli atbalstīta.</w:t>
            </w:r>
          </w:p>
          <w:p w14:paraId="26FADA85" w14:textId="77777777" w:rsidR="008852C2" w:rsidRPr="006F50D3" w:rsidRDefault="008852C2" w:rsidP="008852C2">
            <w:pPr>
              <w:contextualSpacing/>
              <w:jc w:val="both"/>
            </w:pPr>
          </w:p>
          <w:p w14:paraId="009DE508" w14:textId="77777777" w:rsidR="008852C2" w:rsidRDefault="008852C2" w:rsidP="008852C2">
            <w:pPr>
              <w:contextualSpacing/>
              <w:jc w:val="both"/>
            </w:pPr>
            <w:r>
              <w:t>Finanšu ministrija, Iepirkumu uzraudzības birojs un biedrība “Latvijas Būvuzņēmēju Partnerība” (turpmāk – Latvijas Būvuzņēmēju Partnerība) a</w:t>
            </w:r>
            <w:r w:rsidRPr="006F50D3">
              <w:t xml:space="preserve">tzinumos par Noteikumu projektu ir </w:t>
            </w:r>
            <w:r>
              <w:t>izteikušas</w:t>
            </w:r>
            <w:r w:rsidRPr="006F50D3">
              <w:t xml:space="preserve"> būtisk</w:t>
            </w:r>
            <w:r>
              <w:t>us</w:t>
            </w:r>
            <w:r w:rsidRPr="006F50D3">
              <w:t xml:space="preserve"> iebildum</w:t>
            </w:r>
            <w:r>
              <w:t>us</w:t>
            </w:r>
            <w:r w:rsidRPr="006F50D3">
              <w:t xml:space="preserve"> un </w:t>
            </w:r>
            <w:r>
              <w:t xml:space="preserve">neatbalsta Noteikumu projekta tālāku </w:t>
            </w:r>
            <w:r w:rsidRPr="006F50D3">
              <w:t>virzīb</w:t>
            </w:r>
            <w:r>
              <w:t>u.</w:t>
            </w:r>
            <w:r w:rsidRPr="006F50D3">
              <w:t xml:space="preserve"> </w:t>
            </w:r>
            <w:r>
              <w:t>Latvijas Būvuzņēmēju Partnerība, kā b</w:t>
            </w:r>
            <w:r w:rsidRPr="006F50D3">
              <w:t>ūvkomersantu klasifikācijas iniciatori</w:t>
            </w:r>
            <w:r>
              <w:t>,</w:t>
            </w:r>
            <w:r w:rsidRPr="006F50D3">
              <w:t xml:space="preserve"> pēc vairāku gadu diskusijām ar valsts pārvaldes iestādēm par būvkomersantu klasifikācijas piemērošanas konceptuāliem risinājumiem, atzīst, ka Latvijā ir pārāk mazs un sadrumstalots būvniecības tirgus, lai būtu</w:t>
            </w:r>
            <w:r>
              <w:t xml:space="preserve"> iespējams izstrādāt lietderīgu, vienotu un skaidru būvkomersantu klasifikācijas sistēmu, kas derētu visām būvju grupām, līdz ar to nav arī</w:t>
            </w:r>
            <w:r w:rsidRPr="006F50D3">
              <w:t xml:space="preserve"> lietderīgi noteikt būvkomersantu klasifikācijas piemērošanu kā obligātu</w:t>
            </w:r>
            <w:r>
              <w:t>. Papildus jānorāda arī to, ka</w:t>
            </w:r>
            <w:r w:rsidRPr="006F50D3">
              <w:t xml:space="preserve"> būvkomersantu klasifikācija var pazemināt vietējo būvniecības uzņēmumu konkurētspēju pret ārzemju būvniecības uzņēmumiem Latvijā, jo klasifikācijas iestāde nevar pēc būtības pārbaudīt visu informāciju ko iesniedz ārzemju uzņēmumi, lai saņemtu </w:t>
            </w:r>
            <w:r>
              <w:t>kvalifikācijas</w:t>
            </w:r>
            <w:r w:rsidRPr="006F50D3">
              <w:t xml:space="preserve"> klasi. </w:t>
            </w:r>
          </w:p>
          <w:p w14:paraId="446806AC" w14:textId="77777777" w:rsidR="008852C2" w:rsidRDefault="008852C2" w:rsidP="008852C2">
            <w:pPr>
              <w:contextualSpacing/>
              <w:jc w:val="both"/>
            </w:pPr>
          </w:p>
          <w:p w14:paraId="65D4D91D" w14:textId="77777777" w:rsidR="008852C2" w:rsidRDefault="008852C2" w:rsidP="008852C2">
            <w:pPr>
              <w:contextualSpacing/>
              <w:jc w:val="both"/>
            </w:pPr>
            <w:r>
              <w:t>Finanšu ministrija un Iepirkumu uzraudzības birojs norāda, ka nav pieļaujama un atbalstāma tāda prakse, ka publiskos iepirkumos izvirzot būvkomersantiem prasības tikai attiecībā uz kvalifikācijas klasi, pasūtītājs nevar pārliecināties par kāda konkrēta profesionālās pieredzes kritērija izpildi, jo saskaņā ar Noteikumu Nr.211 15.punktu, profesionālās pieredzes klase tiek aprēķināta kā vidējais no trīs dažādiem kritērijiem (1. kritērijs – būvspeciālistu patstāvīgās prakses tiesību skaits uzņēmumā; 3. kritērijs – uzņēmuma pieredze būvniecībā; 4. kritērijs - k</w:t>
            </w:r>
            <w:r w:rsidRPr="00C87236">
              <w:t>opējais sniegto būvniecības pakalpojumu apjoms trijos iepriekšējos darbības gados</w:t>
            </w:r>
            <w:r>
              <w:t>). Līdz ar to rodas situācija, ka būvkomersants var neizpildīt pasūtītāja prasības attiecībā uz kādu no minētajiem kritērijiem, ja tas ar uzviju izpilda prasības attiecībā uz pārējiem minētajiem kritērijiem.</w:t>
            </w:r>
          </w:p>
          <w:p w14:paraId="319A10AB" w14:textId="77777777" w:rsidR="008852C2" w:rsidRDefault="008852C2" w:rsidP="008852C2">
            <w:pPr>
              <w:contextualSpacing/>
              <w:jc w:val="both"/>
            </w:pPr>
          </w:p>
          <w:p w14:paraId="7E7E2F82" w14:textId="77777777" w:rsidR="008852C2" w:rsidRPr="006F50D3" w:rsidRDefault="008852C2" w:rsidP="008852C2">
            <w:pPr>
              <w:contextualSpacing/>
              <w:jc w:val="both"/>
            </w:pPr>
            <w:r w:rsidRPr="006F50D3">
              <w:lastRenderedPageBreak/>
              <w:t xml:space="preserve">Ņemot </w:t>
            </w:r>
            <w:r w:rsidRPr="00E779EE">
              <w:t>vērā minēto nepieciešams veikt grozījumus Publisko iepirkumu likumā, Sabiedrisko pakalpojumu sniedzēju iepirkumu likumā, kā arī Publiskās un privātās partnerības likumā izslēdzot</w:t>
            </w:r>
            <w:r w:rsidRPr="006F50D3">
              <w:t xml:space="preserve"> deleģējumu Ministru kabinetam noteikt prasības būvkomersantiem attiecībā uz pieredzi un klasi publisku būvdarbu veikšanai būvju grupās.</w:t>
            </w:r>
          </w:p>
          <w:p w14:paraId="49F181B1" w14:textId="77777777" w:rsidR="008852C2" w:rsidRPr="006F50D3" w:rsidRDefault="008852C2" w:rsidP="008852C2">
            <w:pPr>
              <w:contextualSpacing/>
              <w:jc w:val="both"/>
            </w:pPr>
          </w:p>
          <w:p w14:paraId="5A4A2835" w14:textId="510939B1" w:rsidR="008852C2" w:rsidRPr="006F50D3" w:rsidRDefault="008852C2" w:rsidP="008852C2">
            <w:pPr>
              <w:contextualSpacing/>
              <w:jc w:val="both"/>
            </w:pPr>
            <w:r w:rsidRPr="006F50D3">
              <w:t xml:space="preserve">Būvkomersanti šobrīd tiek klasificēti Būvniecības informācijas sistēmas būvkomersantu reģistrā saskaņā ar Noteikumiem Nr.211 un būvkomersantiem piešķirtajai klasifikācijas klasei ir informatīva nozīme par būvkomersantu profesionālajām un finanšu spējām kā arī ilgtspēju, līdz ar to </w:t>
            </w:r>
            <w:r>
              <w:t>visas normatīvā regulējuma izstrādē iesaistītās puses</w:t>
            </w:r>
            <w:r w:rsidRPr="006F50D3">
              <w:t xml:space="preserve"> uzskata, ka Būvkomersantu klasifikācija ir lietderīga un no tās nav jāatsakās pavisam, jo pasūtītāji izmantot šo informāciju</w:t>
            </w:r>
            <w:r>
              <w:t>,</w:t>
            </w:r>
            <w:r w:rsidRPr="006F50D3">
              <w:t xml:space="preserve"> lai iegūtu labāku priekšstatu par būvkomersantiem.</w:t>
            </w:r>
          </w:p>
        </w:tc>
      </w:tr>
      <w:tr w:rsidR="008852C2" w:rsidRPr="006F50D3" w14:paraId="049B18E6" w14:textId="77777777" w:rsidTr="7AF38AF3">
        <w:tc>
          <w:tcPr>
            <w:tcW w:w="311" w:type="pct"/>
            <w:hideMark/>
          </w:tcPr>
          <w:p w14:paraId="02DAD8E5" w14:textId="77777777" w:rsidR="008852C2" w:rsidRPr="006F50D3" w:rsidRDefault="008852C2" w:rsidP="008852C2">
            <w:pPr>
              <w:contextualSpacing/>
              <w:jc w:val="center"/>
            </w:pPr>
            <w:r w:rsidRPr="006F50D3">
              <w:lastRenderedPageBreak/>
              <w:t>3.</w:t>
            </w:r>
          </w:p>
        </w:tc>
        <w:tc>
          <w:tcPr>
            <w:tcW w:w="1479" w:type="pct"/>
            <w:hideMark/>
          </w:tcPr>
          <w:p w14:paraId="20BF8510" w14:textId="77777777" w:rsidR="008852C2" w:rsidRPr="006F50D3" w:rsidRDefault="008852C2" w:rsidP="008852C2">
            <w:pPr>
              <w:contextualSpacing/>
            </w:pPr>
            <w:r w:rsidRPr="006F50D3">
              <w:t>Projekta izstrādē iesaistītās institūcijas un publiskas personas kapitālsabiedrības</w:t>
            </w:r>
          </w:p>
        </w:tc>
        <w:tc>
          <w:tcPr>
            <w:tcW w:w="3210" w:type="pct"/>
            <w:hideMark/>
          </w:tcPr>
          <w:p w14:paraId="356B8D4C" w14:textId="77777777" w:rsidR="0054780A" w:rsidRPr="006F50D3" w:rsidRDefault="0054780A" w:rsidP="0054780A">
            <w:pPr>
              <w:contextualSpacing/>
              <w:jc w:val="both"/>
            </w:pPr>
            <w:r w:rsidRPr="006F50D3">
              <w:t xml:space="preserve">Ekonomikas ministrija, Finanšu ministrija; </w:t>
            </w:r>
          </w:p>
          <w:p w14:paraId="7A185D32" w14:textId="77777777" w:rsidR="0054780A" w:rsidRPr="006F50D3" w:rsidRDefault="0054780A" w:rsidP="0054780A">
            <w:pPr>
              <w:contextualSpacing/>
              <w:jc w:val="both"/>
            </w:pPr>
            <w:r w:rsidRPr="006F50D3">
              <w:t>Iepirkumu uzraudzības birojs;</w:t>
            </w:r>
          </w:p>
          <w:p w14:paraId="6E606F4F" w14:textId="13BC3709" w:rsidR="008852C2" w:rsidRPr="006F50D3" w:rsidRDefault="0054780A" w:rsidP="0054780A">
            <w:pPr>
              <w:contextualSpacing/>
              <w:jc w:val="both"/>
            </w:pPr>
            <w:r>
              <w:t>Biedrība “</w:t>
            </w:r>
            <w:r w:rsidRPr="006F50D3">
              <w:t xml:space="preserve">Latvijas </w:t>
            </w:r>
            <w:r>
              <w:t>B</w:t>
            </w:r>
            <w:r w:rsidRPr="006F50D3">
              <w:t xml:space="preserve">ūvuzņēmēju </w:t>
            </w:r>
            <w:r>
              <w:t>P</w:t>
            </w:r>
            <w:r w:rsidRPr="006F50D3">
              <w:t>artnerība</w:t>
            </w:r>
            <w:r>
              <w:t>”</w:t>
            </w:r>
            <w:r w:rsidRPr="006F50D3">
              <w:t>.</w:t>
            </w:r>
          </w:p>
        </w:tc>
      </w:tr>
      <w:tr w:rsidR="008852C2" w:rsidRPr="006F50D3" w14:paraId="489E7C9A" w14:textId="77777777" w:rsidTr="7AF38AF3">
        <w:tc>
          <w:tcPr>
            <w:tcW w:w="311" w:type="pct"/>
            <w:hideMark/>
          </w:tcPr>
          <w:p w14:paraId="4D16D1F2" w14:textId="77777777" w:rsidR="008852C2" w:rsidRPr="006F50D3" w:rsidRDefault="008852C2" w:rsidP="008852C2">
            <w:pPr>
              <w:contextualSpacing/>
              <w:jc w:val="center"/>
            </w:pPr>
            <w:r w:rsidRPr="006F50D3">
              <w:t>4.</w:t>
            </w:r>
          </w:p>
        </w:tc>
        <w:tc>
          <w:tcPr>
            <w:tcW w:w="1479" w:type="pct"/>
            <w:hideMark/>
          </w:tcPr>
          <w:p w14:paraId="7F811910" w14:textId="77777777" w:rsidR="008852C2" w:rsidRPr="006F50D3" w:rsidRDefault="008852C2" w:rsidP="008852C2">
            <w:pPr>
              <w:contextualSpacing/>
            </w:pPr>
            <w:r w:rsidRPr="006F50D3">
              <w:t>Cita informācija</w:t>
            </w:r>
          </w:p>
        </w:tc>
        <w:tc>
          <w:tcPr>
            <w:tcW w:w="3210" w:type="pct"/>
            <w:hideMark/>
          </w:tcPr>
          <w:p w14:paraId="16AB6716" w14:textId="77777777" w:rsidR="008852C2" w:rsidRPr="006F50D3" w:rsidRDefault="008852C2" w:rsidP="008852C2">
            <w:pPr>
              <w:contextualSpacing/>
            </w:pPr>
            <w:r w:rsidRPr="006F50D3">
              <w:t>Nav</w:t>
            </w:r>
          </w:p>
        </w:tc>
      </w:tr>
    </w:tbl>
    <w:p w14:paraId="7069C62F" w14:textId="77777777" w:rsidR="000C1CF2" w:rsidRPr="006F50D3" w:rsidRDefault="000C1CF2"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E8D6A2" w14:textId="42434869" w:rsidR="0045266B" w:rsidRPr="00AE76C2" w:rsidRDefault="0031434E" w:rsidP="00AE76C2">
            <w:pPr>
              <w:contextualSpacing/>
              <w:jc w:val="center"/>
              <w:rPr>
                <w:b/>
                <w:bCs/>
              </w:rPr>
            </w:pPr>
            <w:r w:rsidRPr="006F50D3">
              <w:rPr>
                <w:b/>
                <w:bCs/>
              </w:rPr>
              <w:t>II. Tiesību akta projekta ietekme uz sabiedrību, tautsaimniecības attīstību un administratīvo slogu</w:t>
            </w:r>
          </w:p>
        </w:tc>
      </w:tr>
      <w:tr w:rsidR="00E62C4C" w:rsidRPr="006F50D3" w14:paraId="0F1F96E5" w14:textId="77777777" w:rsidTr="7AF38AF3">
        <w:trPr>
          <w:cantSplit/>
        </w:trPr>
        <w:tc>
          <w:tcPr>
            <w:tcW w:w="311" w:type="pct"/>
            <w:hideMark/>
          </w:tcPr>
          <w:p w14:paraId="358B30F8" w14:textId="77777777" w:rsidR="00BD5588" w:rsidRPr="006F50D3" w:rsidRDefault="0031434E" w:rsidP="00C12794">
            <w:pPr>
              <w:contextualSpacing/>
              <w:jc w:val="center"/>
            </w:pPr>
            <w:r w:rsidRPr="006F50D3">
              <w:t>1.</w:t>
            </w:r>
          </w:p>
        </w:tc>
        <w:tc>
          <w:tcPr>
            <w:tcW w:w="1479" w:type="pct"/>
            <w:hideMark/>
          </w:tcPr>
          <w:p w14:paraId="2F81F4A3" w14:textId="77777777" w:rsidR="00BD5588" w:rsidRDefault="0031434E" w:rsidP="00C12794">
            <w:pPr>
              <w:contextualSpacing/>
            </w:pPr>
            <w:r w:rsidRPr="006F50D3">
              <w:t>Sabiedrības mērķgrupas, kuras tiesiskais regulējums ietekmē vai varētu ietekmēt</w:t>
            </w:r>
          </w:p>
          <w:p w14:paraId="37E25DC1" w14:textId="17AE371D" w:rsidR="0045266B" w:rsidRPr="0045266B" w:rsidRDefault="0045266B" w:rsidP="0045266B"/>
        </w:tc>
        <w:tc>
          <w:tcPr>
            <w:tcW w:w="3210" w:type="pct"/>
            <w:hideMark/>
          </w:tcPr>
          <w:p w14:paraId="291F8A06" w14:textId="2FE8BAB5" w:rsidR="00B82FFE" w:rsidRPr="006F50D3" w:rsidRDefault="002E20C3" w:rsidP="00B82FFE">
            <w:pPr>
              <w:jc w:val="both"/>
            </w:pPr>
            <w:r>
              <w:t>B</w:t>
            </w:r>
            <w:r w:rsidR="00B82FFE" w:rsidRPr="006F50D3">
              <w:t>ūvdarbu līguma gadījumā</w:t>
            </w:r>
            <w:r w:rsidR="001C1944" w:rsidRPr="006F50D3">
              <w:t xml:space="preserve"> –</w:t>
            </w:r>
            <w:r w:rsidR="00B82FFE" w:rsidRPr="006F50D3">
              <w:t xml:space="preserve"> </w:t>
            </w:r>
            <w:r>
              <w:t>sabiedrisko pakalpojumu sniedzēji</w:t>
            </w:r>
            <w:r w:rsidR="00B82FFE" w:rsidRPr="006F50D3">
              <w:t xml:space="preserve"> un būvkomersanti, kas pretendē uz būvdarbu veikšanu. </w:t>
            </w:r>
          </w:p>
          <w:p w14:paraId="02338FC8" w14:textId="6CF25E7B" w:rsidR="00BD5588" w:rsidRPr="006F50D3" w:rsidRDefault="00BD5588" w:rsidP="00C12794">
            <w:pPr>
              <w:contextualSpacing/>
              <w:jc w:val="both"/>
            </w:pPr>
          </w:p>
        </w:tc>
      </w:tr>
      <w:tr w:rsidR="00E62C4C" w:rsidRPr="006F50D3" w14:paraId="3CC0594D" w14:textId="77777777" w:rsidTr="7AF38AF3">
        <w:trPr>
          <w:cantSplit/>
        </w:trPr>
        <w:tc>
          <w:tcPr>
            <w:tcW w:w="311" w:type="pct"/>
            <w:hideMark/>
          </w:tcPr>
          <w:p w14:paraId="49EC7B40" w14:textId="77777777" w:rsidR="00BD5588" w:rsidRPr="006F50D3" w:rsidRDefault="0031434E" w:rsidP="00C12794">
            <w:pPr>
              <w:contextualSpacing/>
              <w:jc w:val="center"/>
            </w:pPr>
            <w:r w:rsidRPr="006F50D3">
              <w:t>2.</w:t>
            </w:r>
          </w:p>
        </w:tc>
        <w:tc>
          <w:tcPr>
            <w:tcW w:w="1479" w:type="pct"/>
            <w:hideMark/>
          </w:tcPr>
          <w:p w14:paraId="10412F9A" w14:textId="77777777" w:rsidR="00BD5588" w:rsidRPr="006F50D3" w:rsidRDefault="0031434E" w:rsidP="00C12794">
            <w:pPr>
              <w:contextualSpacing/>
            </w:pPr>
            <w:r w:rsidRPr="006F50D3">
              <w:t>Tiesiskā regulējuma ietekme uz tautsaimniecību un administratīvo slogu</w:t>
            </w:r>
          </w:p>
        </w:tc>
        <w:tc>
          <w:tcPr>
            <w:tcW w:w="3210" w:type="pct"/>
            <w:hideMark/>
          </w:tcPr>
          <w:p w14:paraId="2FCBE942" w14:textId="01D4C2D3" w:rsidR="00BD5588" w:rsidRPr="006F50D3" w:rsidRDefault="00B82FFE" w:rsidP="7AF38AF3">
            <w:pPr>
              <w:jc w:val="both"/>
            </w:pPr>
            <w:r w:rsidRPr="006F50D3">
              <w:t>Projekts šo jomu neskar</w:t>
            </w:r>
          </w:p>
        </w:tc>
      </w:tr>
      <w:tr w:rsidR="00E62C4C" w:rsidRPr="006F50D3" w14:paraId="31FC3A77" w14:textId="77777777" w:rsidTr="00B82FFE">
        <w:trPr>
          <w:cantSplit/>
        </w:trPr>
        <w:tc>
          <w:tcPr>
            <w:tcW w:w="311" w:type="pct"/>
            <w:hideMark/>
          </w:tcPr>
          <w:p w14:paraId="3A2EAE06" w14:textId="77777777" w:rsidR="00BD5588" w:rsidRPr="006F50D3" w:rsidRDefault="0031434E" w:rsidP="000B463E">
            <w:pPr>
              <w:contextualSpacing/>
              <w:jc w:val="both"/>
            </w:pPr>
            <w:r w:rsidRPr="006F50D3">
              <w:t>3.</w:t>
            </w:r>
          </w:p>
        </w:tc>
        <w:tc>
          <w:tcPr>
            <w:tcW w:w="1479" w:type="pct"/>
            <w:hideMark/>
          </w:tcPr>
          <w:p w14:paraId="2BD6E7DC" w14:textId="77777777" w:rsidR="00BD5588" w:rsidRPr="006F50D3" w:rsidRDefault="0031434E" w:rsidP="000B463E">
            <w:pPr>
              <w:contextualSpacing/>
              <w:jc w:val="both"/>
            </w:pPr>
            <w:r w:rsidRPr="006F50D3">
              <w:t>Administratīvo izmaksu monetārs novērtējums</w:t>
            </w:r>
          </w:p>
        </w:tc>
        <w:tc>
          <w:tcPr>
            <w:tcW w:w="3210" w:type="pct"/>
          </w:tcPr>
          <w:p w14:paraId="6E89A7EE" w14:textId="1AC01EA6" w:rsidR="00BD5588" w:rsidRPr="006F50D3" w:rsidRDefault="00B82FFE" w:rsidP="000B463E">
            <w:pPr>
              <w:contextualSpacing/>
              <w:jc w:val="both"/>
            </w:pPr>
            <w:r w:rsidRPr="006F50D3">
              <w:t>Projekts šo jomu neskar</w:t>
            </w:r>
          </w:p>
        </w:tc>
      </w:tr>
      <w:tr w:rsidR="00E62C4C" w:rsidRPr="006F50D3" w14:paraId="09FC418C" w14:textId="77777777" w:rsidTr="7AF38AF3">
        <w:trPr>
          <w:cantSplit/>
        </w:trPr>
        <w:tc>
          <w:tcPr>
            <w:tcW w:w="311" w:type="pct"/>
            <w:hideMark/>
          </w:tcPr>
          <w:p w14:paraId="345BBB60" w14:textId="77777777" w:rsidR="00BD5588" w:rsidRPr="006F50D3" w:rsidRDefault="0031434E" w:rsidP="00C12794">
            <w:pPr>
              <w:contextualSpacing/>
              <w:jc w:val="center"/>
            </w:pPr>
            <w:r w:rsidRPr="006F50D3">
              <w:t>4.</w:t>
            </w:r>
          </w:p>
        </w:tc>
        <w:tc>
          <w:tcPr>
            <w:tcW w:w="1479" w:type="pct"/>
            <w:hideMark/>
          </w:tcPr>
          <w:p w14:paraId="3E302B0A" w14:textId="77777777" w:rsidR="00BD5588" w:rsidRPr="006F50D3" w:rsidRDefault="0031434E" w:rsidP="00C12794">
            <w:pPr>
              <w:contextualSpacing/>
            </w:pPr>
            <w:r w:rsidRPr="006F50D3">
              <w:t>Atbilstības izmaksu monetārs novērtējums</w:t>
            </w:r>
          </w:p>
        </w:tc>
        <w:tc>
          <w:tcPr>
            <w:tcW w:w="3210" w:type="pct"/>
            <w:hideMark/>
          </w:tcPr>
          <w:p w14:paraId="58EFFE51" w14:textId="77777777" w:rsidR="00BD5588" w:rsidRPr="006F50D3" w:rsidRDefault="0031434E" w:rsidP="00C12794">
            <w:pPr>
              <w:contextualSpacing/>
            </w:pPr>
            <w:r w:rsidRPr="006F50D3">
              <w:t>Projekts šo jomu neskar</w:t>
            </w:r>
          </w:p>
        </w:tc>
      </w:tr>
      <w:tr w:rsidR="00E62C4C" w:rsidRPr="006F50D3" w14:paraId="18643BBB" w14:textId="77777777" w:rsidTr="7AF38AF3">
        <w:trPr>
          <w:cantSplit/>
        </w:trPr>
        <w:tc>
          <w:tcPr>
            <w:tcW w:w="311" w:type="pct"/>
            <w:hideMark/>
          </w:tcPr>
          <w:p w14:paraId="2D6B3C5A" w14:textId="77777777" w:rsidR="00BD5588" w:rsidRPr="006F50D3" w:rsidRDefault="0031434E" w:rsidP="00C12794">
            <w:pPr>
              <w:contextualSpacing/>
              <w:jc w:val="center"/>
            </w:pPr>
            <w:r w:rsidRPr="006F50D3">
              <w:t>5.</w:t>
            </w:r>
          </w:p>
        </w:tc>
        <w:tc>
          <w:tcPr>
            <w:tcW w:w="1479" w:type="pct"/>
            <w:hideMark/>
          </w:tcPr>
          <w:p w14:paraId="05F70DC8" w14:textId="77777777" w:rsidR="00BD5588" w:rsidRPr="006F50D3" w:rsidRDefault="0031434E" w:rsidP="00C12794">
            <w:pPr>
              <w:contextualSpacing/>
            </w:pPr>
            <w:r w:rsidRPr="006F50D3">
              <w:t>Cita informācija</w:t>
            </w:r>
          </w:p>
        </w:tc>
        <w:tc>
          <w:tcPr>
            <w:tcW w:w="3210" w:type="pct"/>
            <w:hideMark/>
          </w:tcPr>
          <w:p w14:paraId="71D87743" w14:textId="77777777" w:rsidR="00BD5588" w:rsidRPr="006F50D3" w:rsidRDefault="0031434E" w:rsidP="00C12794">
            <w:pPr>
              <w:contextualSpacing/>
            </w:pPr>
            <w:r w:rsidRPr="006F50D3">
              <w:t>Nav</w:t>
            </w:r>
          </w:p>
        </w:tc>
      </w:tr>
    </w:tbl>
    <w:p w14:paraId="5854281C" w14:textId="77777777" w:rsidR="00BD5588" w:rsidRPr="006F50D3"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rsidRPr="006F50D3" w14:paraId="4BFB24C1" w14:textId="77777777" w:rsidTr="00BD5588">
        <w:trPr>
          <w:cantSplit/>
        </w:trPr>
        <w:tc>
          <w:tcPr>
            <w:tcW w:w="8365" w:type="dxa"/>
            <w:shd w:val="clear" w:color="auto" w:fill="auto"/>
            <w:vAlign w:val="center"/>
            <w:hideMark/>
          </w:tcPr>
          <w:p w14:paraId="2F939656" w14:textId="77777777" w:rsidR="00BD5588" w:rsidRPr="006F50D3" w:rsidRDefault="0031434E" w:rsidP="00C12794">
            <w:pPr>
              <w:contextualSpacing/>
              <w:jc w:val="center"/>
              <w:rPr>
                <w:b/>
                <w:bCs/>
                <w:lang w:eastAsia="en-US"/>
              </w:rPr>
            </w:pPr>
            <w:r w:rsidRPr="006F50D3">
              <w:rPr>
                <w:b/>
                <w:bCs/>
                <w:lang w:eastAsia="en-US"/>
              </w:rPr>
              <w:t>III. Tiesību akta projekta ietekme uz valsts budžetu un pašvaldību budžetiem</w:t>
            </w:r>
          </w:p>
        </w:tc>
      </w:tr>
      <w:tr w:rsidR="00E62C4C" w:rsidRPr="006F50D3" w14:paraId="18682DF2" w14:textId="77777777" w:rsidTr="00FD6E15">
        <w:trPr>
          <w:cantSplit/>
          <w:trHeight w:val="435"/>
        </w:trPr>
        <w:tc>
          <w:tcPr>
            <w:tcW w:w="8365" w:type="dxa"/>
            <w:shd w:val="clear" w:color="auto" w:fill="FFFFFF"/>
            <w:vAlign w:val="center"/>
          </w:tcPr>
          <w:p w14:paraId="7CBDCCD6" w14:textId="77777777" w:rsidR="00FD6E15" w:rsidRPr="006F50D3" w:rsidRDefault="0031434E" w:rsidP="00C12794">
            <w:pPr>
              <w:contextualSpacing/>
              <w:jc w:val="center"/>
              <w:rPr>
                <w:lang w:eastAsia="en-US"/>
              </w:rPr>
            </w:pPr>
            <w:r w:rsidRPr="006F50D3">
              <w:t>Projekts šo jomu neskar</w:t>
            </w:r>
          </w:p>
        </w:tc>
      </w:tr>
    </w:tbl>
    <w:p w14:paraId="6FB76EA9" w14:textId="77777777" w:rsidR="004E1BF0" w:rsidRPr="006F50D3"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rsidRPr="006F50D3" w14:paraId="58D79B5E" w14:textId="77777777" w:rsidTr="00A108E3">
        <w:tc>
          <w:tcPr>
            <w:tcW w:w="8365" w:type="dxa"/>
            <w:gridSpan w:val="3"/>
            <w:vAlign w:val="center"/>
            <w:hideMark/>
          </w:tcPr>
          <w:p w14:paraId="6B1D29C0" w14:textId="77777777" w:rsidR="004E1BF0" w:rsidRPr="006F50D3" w:rsidRDefault="0031434E" w:rsidP="00C12794">
            <w:pPr>
              <w:contextualSpacing/>
              <w:jc w:val="center"/>
              <w:rPr>
                <w:b/>
                <w:bCs/>
              </w:rPr>
            </w:pPr>
            <w:r w:rsidRPr="006F50D3">
              <w:rPr>
                <w:b/>
                <w:bCs/>
              </w:rPr>
              <w:t>IV. Tiesību akta projekta ietekme uz spēkā esošo tiesību normu sistēmu</w:t>
            </w:r>
          </w:p>
        </w:tc>
      </w:tr>
      <w:tr w:rsidR="00E62C4C" w:rsidRPr="006F50D3" w14:paraId="474C5F5A" w14:textId="77777777" w:rsidTr="00A108E3">
        <w:tc>
          <w:tcPr>
            <w:tcW w:w="527" w:type="dxa"/>
            <w:hideMark/>
          </w:tcPr>
          <w:p w14:paraId="62703F49" w14:textId="77777777" w:rsidR="004E1BF0" w:rsidRPr="006F50D3" w:rsidRDefault="0031434E" w:rsidP="00C12794">
            <w:pPr>
              <w:contextualSpacing/>
              <w:jc w:val="center"/>
            </w:pPr>
            <w:r w:rsidRPr="006F50D3">
              <w:t>1.</w:t>
            </w:r>
          </w:p>
        </w:tc>
        <w:tc>
          <w:tcPr>
            <w:tcW w:w="2461" w:type="dxa"/>
            <w:hideMark/>
          </w:tcPr>
          <w:p w14:paraId="0738C112" w14:textId="77777777" w:rsidR="004E1BF0" w:rsidRPr="006F50D3" w:rsidRDefault="0031434E" w:rsidP="00C12794">
            <w:pPr>
              <w:contextualSpacing/>
            </w:pPr>
            <w:r w:rsidRPr="006F50D3">
              <w:t>Saistītie tiesību aktu projekti</w:t>
            </w:r>
          </w:p>
        </w:tc>
        <w:tc>
          <w:tcPr>
            <w:tcW w:w="5377" w:type="dxa"/>
            <w:hideMark/>
          </w:tcPr>
          <w:p w14:paraId="720F2C85" w14:textId="77777777" w:rsidR="001415DE" w:rsidRDefault="001415DE" w:rsidP="001415DE">
            <w:pPr>
              <w:contextualSpacing/>
              <w:jc w:val="both"/>
            </w:pPr>
            <w:r w:rsidRPr="006F50D3">
              <w:t>Nepieciešams veikt grozījumus</w:t>
            </w:r>
            <w:r>
              <w:t xml:space="preserve"> </w:t>
            </w:r>
            <w:r w:rsidRPr="006F50D3">
              <w:t xml:space="preserve">izslēdzot deleģējumu ministru kabinetam noteikt prasības būvkomersantam </w:t>
            </w:r>
            <w:r w:rsidRPr="006F50D3">
              <w:lastRenderedPageBreak/>
              <w:t>attiecībā uz pieredzi un klasi publisku būvdarbu veikšanai būvju grupās</w:t>
            </w:r>
            <w:r>
              <w:t>:</w:t>
            </w:r>
          </w:p>
          <w:p w14:paraId="4B2BEC64" w14:textId="17EA4820" w:rsidR="001415DE" w:rsidRDefault="001415DE" w:rsidP="001415DE">
            <w:pPr>
              <w:pStyle w:val="ListParagraph"/>
              <w:numPr>
                <w:ilvl w:val="0"/>
                <w:numId w:val="5"/>
              </w:numPr>
              <w:jc w:val="both"/>
            </w:pPr>
            <w:r>
              <w:t>Publisko iepirkumu likuma 44., 45., 46., 47., 48. pantos un pārejas noteikumu 4. punktā;</w:t>
            </w:r>
          </w:p>
          <w:p w14:paraId="27537215" w14:textId="5A451BA9" w:rsidR="004E1BF0" w:rsidRPr="006F50D3" w:rsidRDefault="001415DE" w:rsidP="00405610">
            <w:pPr>
              <w:pStyle w:val="ListParagraph"/>
              <w:numPr>
                <w:ilvl w:val="0"/>
                <w:numId w:val="5"/>
              </w:numPr>
              <w:jc w:val="both"/>
            </w:pPr>
            <w:r w:rsidRPr="006F50D3">
              <w:t>Publiskās un privātās partnerības likum</w:t>
            </w:r>
            <w:r>
              <w:t>a 37.</w:t>
            </w:r>
            <w:r w:rsidRPr="00DB1FD1">
              <w:rPr>
                <w:vertAlign w:val="superscript"/>
              </w:rPr>
              <w:t>2</w:t>
            </w:r>
            <w:r>
              <w:t>, 37.</w:t>
            </w:r>
            <w:r w:rsidRPr="00DB1FD1">
              <w:rPr>
                <w:vertAlign w:val="superscript"/>
              </w:rPr>
              <w:t>3</w:t>
            </w:r>
            <w:r>
              <w:t>, 37.</w:t>
            </w:r>
            <w:r w:rsidRPr="00DB1FD1">
              <w:rPr>
                <w:vertAlign w:val="superscript"/>
              </w:rPr>
              <w:t>4</w:t>
            </w:r>
            <w:r>
              <w:t>, 37.</w:t>
            </w:r>
            <w:r w:rsidRPr="00DB1FD1">
              <w:rPr>
                <w:vertAlign w:val="superscript"/>
              </w:rPr>
              <w:t>5</w:t>
            </w:r>
            <w:r>
              <w:t>, 37.</w:t>
            </w:r>
            <w:r w:rsidRPr="00DB1FD1">
              <w:rPr>
                <w:vertAlign w:val="superscript"/>
              </w:rPr>
              <w:t>6</w:t>
            </w:r>
            <w:r>
              <w:t xml:space="preserve"> pantos un pārejas noteikumu 29. punktā.</w:t>
            </w:r>
          </w:p>
        </w:tc>
      </w:tr>
      <w:tr w:rsidR="00E62C4C" w:rsidRPr="006F50D3" w14:paraId="40541EDA" w14:textId="77777777" w:rsidTr="00A108E3">
        <w:tc>
          <w:tcPr>
            <w:tcW w:w="527" w:type="dxa"/>
            <w:hideMark/>
          </w:tcPr>
          <w:p w14:paraId="57F2E3B9" w14:textId="77777777" w:rsidR="004E1BF0" w:rsidRPr="006F50D3" w:rsidRDefault="0031434E" w:rsidP="00C12794">
            <w:pPr>
              <w:contextualSpacing/>
              <w:jc w:val="center"/>
            </w:pPr>
            <w:r w:rsidRPr="006F50D3">
              <w:lastRenderedPageBreak/>
              <w:t>2.</w:t>
            </w:r>
          </w:p>
        </w:tc>
        <w:tc>
          <w:tcPr>
            <w:tcW w:w="2461" w:type="dxa"/>
            <w:hideMark/>
          </w:tcPr>
          <w:p w14:paraId="1C171CDB" w14:textId="77777777" w:rsidR="004E1BF0" w:rsidRPr="006F50D3" w:rsidRDefault="0031434E" w:rsidP="00C12794">
            <w:pPr>
              <w:contextualSpacing/>
            </w:pPr>
            <w:r w:rsidRPr="006F50D3">
              <w:t>Atbildīgā institūcija</w:t>
            </w:r>
          </w:p>
        </w:tc>
        <w:tc>
          <w:tcPr>
            <w:tcW w:w="5377" w:type="dxa"/>
            <w:hideMark/>
          </w:tcPr>
          <w:p w14:paraId="3DBABF92" w14:textId="455E3894" w:rsidR="004E1BF0" w:rsidRPr="006F50D3" w:rsidRDefault="0031434E" w:rsidP="00C12794">
            <w:pPr>
              <w:contextualSpacing/>
            </w:pPr>
            <w:r w:rsidRPr="006F50D3">
              <w:t>Ekonomikas ministrija</w:t>
            </w:r>
            <w:r w:rsidR="00E376B2" w:rsidRPr="006F50D3">
              <w:t>.</w:t>
            </w:r>
          </w:p>
        </w:tc>
      </w:tr>
      <w:tr w:rsidR="00E62C4C" w:rsidRPr="006F50D3" w14:paraId="17D6E9EE" w14:textId="77777777" w:rsidTr="00A108E3">
        <w:tc>
          <w:tcPr>
            <w:tcW w:w="527" w:type="dxa"/>
            <w:hideMark/>
          </w:tcPr>
          <w:p w14:paraId="763070BA" w14:textId="77777777" w:rsidR="004E1BF0" w:rsidRPr="006F50D3" w:rsidRDefault="0031434E" w:rsidP="00C12794">
            <w:pPr>
              <w:contextualSpacing/>
              <w:jc w:val="center"/>
            </w:pPr>
            <w:r w:rsidRPr="006F50D3">
              <w:t>3.</w:t>
            </w:r>
          </w:p>
        </w:tc>
        <w:tc>
          <w:tcPr>
            <w:tcW w:w="2461" w:type="dxa"/>
            <w:hideMark/>
          </w:tcPr>
          <w:p w14:paraId="3B61801D" w14:textId="77777777" w:rsidR="004E1BF0" w:rsidRPr="006F50D3" w:rsidRDefault="0031434E" w:rsidP="00C12794">
            <w:pPr>
              <w:contextualSpacing/>
            </w:pPr>
            <w:r w:rsidRPr="006F50D3">
              <w:t>Cita informācija</w:t>
            </w:r>
          </w:p>
        </w:tc>
        <w:tc>
          <w:tcPr>
            <w:tcW w:w="5377" w:type="dxa"/>
            <w:hideMark/>
          </w:tcPr>
          <w:p w14:paraId="267CABC8" w14:textId="77777777" w:rsidR="004E1BF0" w:rsidRPr="006F50D3" w:rsidRDefault="0031434E" w:rsidP="00C12794">
            <w:pPr>
              <w:contextualSpacing/>
            </w:pPr>
            <w:r w:rsidRPr="006F50D3">
              <w:t>Nav</w:t>
            </w:r>
          </w:p>
        </w:tc>
      </w:tr>
    </w:tbl>
    <w:p w14:paraId="2AD913DF" w14:textId="77777777" w:rsidR="004E1BF0" w:rsidRPr="006F50D3"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rsidRPr="006F50D3" w14:paraId="6C9C8699" w14:textId="77777777" w:rsidTr="00D824C2">
        <w:trPr>
          <w:cantSplit/>
        </w:trPr>
        <w:tc>
          <w:tcPr>
            <w:tcW w:w="5000" w:type="pct"/>
            <w:vAlign w:val="center"/>
            <w:hideMark/>
          </w:tcPr>
          <w:p w14:paraId="64DC25A1" w14:textId="77777777" w:rsidR="00BD5588" w:rsidRPr="006F50D3" w:rsidRDefault="0031434E" w:rsidP="00C12794">
            <w:pPr>
              <w:contextualSpacing/>
              <w:jc w:val="center"/>
              <w:rPr>
                <w:b/>
                <w:bCs/>
              </w:rPr>
            </w:pPr>
            <w:r w:rsidRPr="006F50D3">
              <w:rPr>
                <w:b/>
                <w:bCs/>
              </w:rPr>
              <w:t>V. Tiesību akta projekta atbilstība Latvijas Republikas starptautiskajām saistībām</w:t>
            </w:r>
          </w:p>
        </w:tc>
      </w:tr>
      <w:tr w:rsidR="00E62C4C" w:rsidRPr="006F50D3" w14:paraId="1BAC662E" w14:textId="77777777" w:rsidTr="00FD6E15">
        <w:trPr>
          <w:cantSplit/>
          <w:trHeight w:val="556"/>
        </w:trPr>
        <w:tc>
          <w:tcPr>
            <w:tcW w:w="5000" w:type="pct"/>
          </w:tcPr>
          <w:p w14:paraId="4BE4981D" w14:textId="77777777" w:rsidR="00FD6E15" w:rsidRPr="006F50D3" w:rsidRDefault="0031434E" w:rsidP="00C12794">
            <w:pPr>
              <w:contextualSpacing/>
              <w:jc w:val="center"/>
            </w:pPr>
            <w:r w:rsidRPr="006F50D3">
              <w:t>Projekts šo jomu neskar</w:t>
            </w:r>
          </w:p>
        </w:tc>
      </w:tr>
    </w:tbl>
    <w:p w14:paraId="2CDDF9A7" w14:textId="77777777" w:rsidR="000C1CF2" w:rsidRPr="006F50D3" w:rsidRDefault="000C1CF2"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814C420" w14:textId="77777777" w:rsidTr="00D824C2">
        <w:trPr>
          <w:cantSplit/>
        </w:trPr>
        <w:tc>
          <w:tcPr>
            <w:tcW w:w="5000" w:type="pct"/>
            <w:gridSpan w:val="3"/>
            <w:vAlign w:val="center"/>
            <w:hideMark/>
          </w:tcPr>
          <w:p w14:paraId="78F5C85E" w14:textId="77777777" w:rsidR="00BD5588" w:rsidRPr="006F50D3" w:rsidRDefault="0031434E" w:rsidP="00C12794">
            <w:pPr>
              <w:contextualSpacing/>
              <w:jc w:val="center"/>
              <w:rPr>
                <w:b/>
                <w:bCs/>
              </w:rPr>
            </w:pPr>
            <w:r w:rsidRPr="006F50D3">
              <w:rPr>
                <w:b/>
                <w:bCs/>
              </w:rPr>
              <w:t>VI. Sabiedrības līdzdalība un komunikācijas aktivitātes</w:t>
            </w:r>
          </w:p>
        </w:tc>
      </w:tr>
      <w:tr w:rsidR="00B22742" w:rsidRPr="006F50D3" w14:paraId="787AB3A9" w14:textId="77777777" w:rsidTr="00D824C2">
        <w:trPr>
          <w:cantSplit/>
        </w:trPr>
        <w:tc>
          <w:tcPr>
            <w:tcW w:w="311" w:type="pct"/>
            <w:hideMark/>
          </w:tcPr>
          <w:p w14:paraId="1FB4AA69" w14:textId="77777777" w:rsidR="00B22742" w:rsidRPr="006F50D3" w:rsidRDefault="00B22742" w:rsidP="00B22742">
            <w:pPr>
              <w:contextualSpacing/>
              <w:jc w:val="center"/>
            </w:pPr>
            <w:r w:rsidRPr="006F50D3">
              <w:t>1.</w:t>
            </w:r>
          </w:p>
        </w:tc>
        <w:tc>
          <w:tcPr>
            <w:tcW w:w="1479" w:type="pct"/>
            <w:hideMark/>
          </w:tcPr>
          <w:p w14:paraId="70FA4D1E" w14:textId="77777777" w:rsidR="00B22742" w:rsidRPr="006F50D3" w:rsidRDefault="00B22742" w:rsidP="00B22742">
            <w:pPr>
              <w:contextualSpacing/>
            </w:pPr>
            <w:r w:rsidRPr="006F50D3">
              <w:t>Plānotās sabiedrības līdzdalības un komunikācijas aktivitātes saistībā ar projektu</w:t>
            </w:r>
          </w:p>
        </w:tc>
        <w:tc>
          <w:tcPr>
            <w:tcW w:w="3210" w:type="pct"/>
            <w:hideMark/>
          </w:tcPr>
          <w:p w14:paraId="15C1559F" w14:textId="77777777" w:rsidR="008852C2" w:rsidRPr="006F50D3" w:rsidRDefault="008852C2" w:rsidP="008852C2">
            <w:pPr>
              <w:contextualSpacing/>
              <w:jc w:val="both"/>
            </w:pPr>
            <w:r w:rsidRPr="006F50D3">
              <w:t>Saskaņā ar Ministru kabineta 2009.</w:t>
            </w:r>
            <w:r>
              <w:t xml:space="preserve"> gada 25.augusta</w:t>
            </w:r>
            <w:r w:rsidRPr="006F50D3">
              <w:t xml:space="preserve"> noteikumu Nr.970 “Sabiedrības līdzdalības kārtība attīstības plānošanas procesā” 5.</w:t>
            </w:r>
            <w:r>
              <w:t xml:space="preserve"> </w:t>
            </w:r>
            <w:r w:rsidRPr="006F50D3">
              <w:t xml:space="preserve">punktu tika nodrošināta atbilstoša sabiedrības līdzdalība. Likumprojekts tika publicēts Ekonomikas ministrijas tīmekļa vietnē </w:t>
            </w:r>
            <w:r w:rsidRPr="003C55CB">
              <w:t>2019</w:t>
            </w:r>
            <w:r w:rsidRPr="006F50D3">
              <w:t>.</w:t>
            </w:r>
            <w:r>
              <w:t>gada 7. augustā.</w:t>
            </w:r>
            <w:r w:rsidRPr="006F50D3">
              <w:t xml:space="preserve"> Vienlaikus par likumprojektu izstrādi ir informēta Latvijas Būvniecības padome, kā arī par likumprojekta izstrādi ir informētas tās būvniecības jomas nevalstiskās organizācijas, kuras piedalījās likumprojekta izstrādē. </w:t>
            </w:r>
          </w:p>
          <w:p w14:paraId="4D6D62F8" w14:textId="34FE8204" w:rsidR="00B22742" w:rsidRPr="006F50D3" w:rsidRDefault="008852C2" w:rsidP="008852C2">
            <w:pPr>
              <w:contextualSpacing/>
              <w:jc w:val="both"/>
            </w:pPr>
            <w:r w:rsidRPr="006F50D3">
              <w:t>Pēc izsludināšanas Valsts sekretāra sanāksmē būs pieejams Ministru kabineta mājās lapā internetā.</w:t>
            </w:r>
          </w:p>
        </w:tc>
      </w:tr>
      <w:tr w:rsidR="00B22742" w:rsidRPr="006F50D3" w14:paraId="718E60D3" w14:textId="77777777" w:rsidTr="00D824C2">
        <w:trPr>
          <w:cantSplit/>
        </w:trPr>
        <w:tc>
          <w:tcPr>
            <w:tcW w:w="311" w:type="pct"/>
            <w:hideMark/>
          </w:tcPr>
          <w:p w14:paraId="164B45FF" w14:textId="77777777" w:rsidR="00B22742" w:rsidRPr="006F50D3" w:rsidRDefault="00B22742" w:rsidP="00B22742">
            <w:pPr>
              <w:contextualSpacing/>
              <w:jc w:val="center"/>
            </w:pPr>
            <w:r w:rsidRPr="006F50D3">
              <w:t>2.</w:t>
            </w:r>
          </w:p>
        </w:tc>
        <w:tc>
          <w:tcPr>
            <w:tcW w:w="1479" w:type="pct"/>
            <w:hideMark/>
          </w:tcPr>
          <w:p w14:paraId="60C8F4D1" w14:textId="77777777" w:rsidR="00B22742" w:rsidRPr="006F50D3" w:rsidRDefault="00B22742" w:rsidP="00B22742">
            <w:pPr>
              <w:contextualSpacing/>
            </w:pPr>
            <w:r w:rsidRPr="006F50D3">
              <w:t>Sabiedrības līdzdalība projekta izstrādē</w:t>
            </w:r>
          </w:p>
        </w:tc>
        <w:tc>
          <w:tcPr>
            <w:tcW w:w="3210" w:type="pct"/>
            <w:hideMark/>
          </w:tcPr>
          <w:p w14:paraId="1864E413" w14:textId="68B8E2DA" w:rsidR="00B22742" w:rsidRPr="006F50D3" w:rsidRDefault="008852C2" w:rsidP="00B22742">
            <w:pPr>
              <w:contextualSpacing/>
              <w:jc w:val="both"/>
            </w:pPr>
            <w:r w:rsidRPr="006F50D3">
              <w:t xml:space="preserve">Likumprojekts ir publicēts Ekonomikas ministrijas mājas lapā un nosūtīts Latvijas Būvniecības padomei </w:t>
            </w:r>
            <w:r w:rsidRPr="003C55CB">
              <w:t xml:space="preserve">2019. gada </w:t>
            </w:r>
            <w:r>
              <w:t>7</w:t>
            </w:r>
            <w:r w:rsidRPr="003C55CB">
              <w:t xml:space="preserve">. </w:t>
            </w:r>
            <w:r>
              <w:t>augustā</w:t>
            </w:r>
            <w:r w:rsidRPr="003C55CB">
              <w:t xml:space="preserve">. Atzinumi </w:t>
            </w:r>
            <w:r w:rsidR="000142B2">
              <w:t>tika</w:t>
            </w:r>
            <w:r w:rsidRPr="003C55CB">
              <w:t xml:space="preserve"> gaidīti līdz </w:t>
            </w:r>
            <w:r>
              <w:t>22</w:t>
            </w:r>
            <w:r w:rsidRPr="003C55CB">
              <w:t>.</w:t>
            </w:r>
            <w:r>
              <w:t> augustam.</w:t>
            </w:r>
          </w:p>
        </w:tc>
      </w:tr>
      <w:tr w:rsidR="00E62C4C" w:rsidRPr="006F50D3" w14:paraId="1ABFF10D" w14:textId="77777777" w:rsidTr="00D824C2">
        <w:trPr>
          <w:cantSplit/>
        </w:trPr>
        <w:tc>
          <w:tcPr>
            <w:tcW w:w="311" w:type="pct"/>
            <w:hideMark/>
          </w:tcPr>
          <w:p w14:paraId="7E257A21" w14:textId="77777777" w:rsidR="00BD5588" w:rsidRPr="006F50D3" w:rsidRDefault="0031434E" w:rsidP="00C12794">
            <w:pPr>
              <w:contextualSpacing/>
              <w:jc w:val="center"/>
            </w:pPr>
            <w:r w:rsidRPr="006F50D3">
              <w:t>3.</w:t>
            </w:r>
          </w:p>
        </w:tc>
        <w:tc>
          <w:tcPr>
            <w:tcW w:w="1479" w:type="pct"/>
            <w:hideMark/>
          </w:tcPr>
          <w:p w14:paraId="7ECB5160" w14:textId="77777777" w:rsidR="00BD5588" w:rsidRPr="006F50D3" w:rsidRDefault="0031434E" w:rsidP="00C12794">
            <w:pPr>
              <w:contextualSpacing/>
            </w:pPr>
            <w:r w:rsidRPr="006F50D3">
              <w:t>Sabiedrības līdzdalības rezultāti</w:t>
            </w:r>
          </w:p>
        </w:tc>
        <w:tc>
          <w:tcPr>
            <w:tcW w:w="3210" w:type="pct"/>
            <w:hideMark/>
          </w:tcPr>
          <w:p w14:paraId="58FDC6C9" w14:textId="76680B4C" w:rsidR="00BD5588" w:rsidRPr="006F50D3" w:rsidRDefault="000142B2" w:rsidP="0007171B">
            <w:pPr>
              <w:contextualSpacing/>
              <w:jc w:val="both"/>
            </w:pPr>
            <w:r>
              <w:t>Par likumprojektu nav saņemti atzinumi</w:t>
            </w:r>
          </w:p>
        </w:tc>
      </w:tr>
      <w:tr w:rsidR="00E62C4C" w:rsidRPr="006F50D3" w14:paraId="1BD4B67E" w14:textId="77777777" w:rsidTr="00D824C2">
        <w:trPr>
          <w:cantSplit/>
        </w:trPr>
        <w:tc>
          <w:tcPr>
            <w:tcW w:w="311" w:type="pct"/>
            <w:hideMark/>
          </w:tcPr>
          <w:p w14:paraId="508F4601" w14:textId="77777777" w:rsidR="00BD5588" w:rsidRPr="006F50D3" w:rsidRDefault="0031434E" w:rsidP="00C12794">
            <w:pPr>
              <w:contextualSpacing/>
              <w:jc w:val="center"/>
            </w:pPr>
            <w:r w:rsidRPr="006F50D3">
              <w:t>4.</w:t>
            </w:r>
          </w:p>
        </w:tc>
        <w:tc>
          <w:tcPr>
            <w:tcW w:w="1479" w:type="pct"/>
            <w:hideMark/>
          </w:tcPr>
          <w:p w14:paraId="237D7CBE" w14:textId="77777777" w:rsidR="00BD5588" w:rsidRPr="006F50D3" w:rsidRDefault="0031434E" w:rsidP="00C12794">
            <w:pPr>
              <w:contextualSpacing/>
            </w:pPr>
            <w:r w:rsidRPr="006F50D3">
              <w:t>Cita informācija</w:t>
            </w:r>
          </w:p>
        </w:tc>
        <w:tc>
          <w:tcPr>
            <w:tcW w:w="3210" w:type="pct"/>
            <w:hideMark/>
          </w:tcPr>
          <w:p w14:paraId="2027397A" w14:textId="3BD6F2ED" w:rsidR="00BD5588" w:rsidRPr="006F50D3" w:rsidRDefault="0031434E" w:rsidP="00C12794">
            <w:pPr>
              <w:contextualSpacing/>
            </w:pPr>
            <w:r w:rsidRPr="006F50D3">
              <w:t>Nav</w:t>
            </w:r>
          </w:p>
        </w:tc>
      </w:tr>
    </w:tbl>
    <w:p w14:paraId="4A69C9F4"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4E3FDEFF" w14:textId="77777777" w:rsidTr="00D824C2">
        <w:trPr>
          <w:cantSplit/>
        </w:trPr>
        <w:tc>
          <w:tcPr>
            <w:tcW w:w="5000" w:type="pct"/>
            <w:gridSpan w:val="3"/>
            <w:vAlign w:val="center"/>
            <w:hideMark/>
          </w:tcPr>
          <w:p w14:paraId="577568BC" w14:textId="77777777" w:rsidR="00BD5588" w:rsidRPr="006F50D3" w:rsidRDefault="0031434E" w:rsidP="00C12794">
            <w:pPr>
              <w:contextualSpacing/>
              <w:jc w:val="center"/>
              <w:rPr>
                <w:b/>
                <w:bCs/>
              </w:rPr>
            </w:pPr>
            <w:r w:rsidRPr="006F50D3">
              <w:rPr>
                <w:b/>
                <w:bCs/>
              </w:rPr>
              <w:t>VII. Tiesību akta projekta izpildes nodrošināšana un tās ietekme uz institūcijām</w:t>
            </w:r>
          </w:p>
        </w:tc>
      </w:tr>
      <w:tr w:rsidR="00E62C4C" w:rsidRPr="006F50D3" w14:paraId="1F98F84C" w14:textId="77777777" w:rsidTr="00D824C2">
        <w:trPr>
          <w:cantSplit/>
        </w:trPr>
        <w:tc>
          <w:tcPr>
            <w:tcW w:w="311" w:type="pct"/>
            <w:hideMark/>
          </w:tcPr>
          <w:p w14:paraId="035AA94B" w14:textId="77777777" w:rsidR="00BD5588" w:rsidRPr="006F50D3" w:rsidRDefault="0031434E" w:rsidP="00C12794">
            <w:pPr>
              <w:contextualSpacing/>
              <w:jc w:val="center"/>
            </w:pPr>
            <w:r w:rsidRPr="006F50D3">
              <w:t>1.</w:t>
            </w:r>
          </w:p>
        </w:tc>
        <w:tc>
          <w:tcPr>
            <w:tcW w:w="1479" w:type="pct"/>
            <w:hideMark/>
          </w:tcPr>
          <w:p w14:paraId="481D4EC1" w14:textId="77777777" w:rsidR="00BD5588" w:rsidRPr="006F50D3" w:rsidRDefault="0031434E" w:rsidP="00C12794">
            <w:pPr>
              <w:contextualSpacing/>
            </w:pPr>
            <w:r w:rsidRPr="006F50D3">
              <w:t>Projekta izpildē iesaistītās institūcijas</w:t>
            </w:r>
          </w:p>
        </w:tc>
        <w:tc>
          <w:tcPr>
            <w:tcW w:w="3210" w:type="pct"/>
            <w:hideMark/>
          </w:tcPr>
          <w:p w14:paraId="276317E8" w14:textId="0B3579F6" w:rsidR="00BD5588" w:rsidRPr="006F50D3" w:rsidRDefault="0054780A" w:rsidP="00271A64">
            <w:pPr>
              <w:contextualSpacing/>
              <w:jc w:val="both"/>
              <w:rPr>
                <w:color w:val="000000" w:themeColor="text1"/>
              </w:rPr>
            </w:pPr>
            <w:r w:rsidRPr="006F50D3">
              <w:rPr>
                <w:color w:val="000000" w:themeColor="text1"/>
              </w:rPr>
              <w:t>Ekonomikas ministrija, Finanšu ministrija, Iepirkumu uzraudzības birojs, Latvijas būvuzņēmēju partnerība</w:t>
            </w:r>
          </w:p>
        </w:tc>
      </w:tr>
      <w:tr w:rsidR="00E62C4C" w:rsidRPr="006F50D3" w14:paraId="4AE9E8F2" w14:textId="77777777" w:rsidTr="00D824C2">
        <w:trPr>
          <w:cantSplit/>
        </w:trPr>
        <w:tc>
          <w:tcPr>
            <w:tcW w:w="311" w:type="pct"/>
            <w:hideMark/>
          </w:tcPr>
          <w:p w14:paraId="4A7A4D5B" w14:textId="77777777" w:rsidR="00BD5588" w:rsidRPr="006F50D3" w:rsidRDefault="0031434E" w:rsidP="00C12794">
            <w:pPr>
              <w:contextualSpacing/>
              <w:jc w:val="center"/>
            </w:pPr>
            <w:r w:rsidRPr="006F50D3">
              <w:lastRenderedPageBreak/>
              <w:t>2.</w:t>
            </w:r>
          </w:p>
        </w:tc>
        <w:tc>
          <w:tcPr>
            <w:tcW w:w="1479" w:type="pct"/>
            <w:hideMark/>
          </w:tcPr>
          <w:p w14:paraId="50F67C6A" w14:textId="77777777" w:rsidR="00BD5588" w:rsidRPr="006F50D3" w:rsidRDefault="0031434E" w:rsidP="00C12794">
            <w:pPr>
              <w:contextualSpacing/>
            </w:pPr>
            <w:r w:rsidRPr="006F50D3">
              <w:t>Projekta izpildes ietekme uz pārvaldes funkcijām un institucionālo struktūru.</w:t>
            </w:r>
            <w:r w:rsidRPr="006F50D3">
              <w:br/>
              <w:t>Jaunu institūciju izveide, esošu institūciju likvidācija vai reorganizācija, to ietekme uz institūcijas cilvēkresursiem</w:t>
            </w:r>
          </w:p>
        </w:tc>
        <w:tc>
          <w:tcPr>
            <w:tcW w:w="3210" w:type="pct"/>
            <w:hideMark/>
          </w:tcPr>
          <w:p w14:paraId="1B0FDEFA" w14:textId="4ABC4AEA" w:rsidR="00BD5588" w:rsidRPr="006F50D3" w:rsidRDefault="0031434E" w:rsidP="00C12794">
            <w:pPr>
              <w:contextualSpacing/>
              <w:jc w:val="both"/>
            </w:pPr>
            <w:r w:rsidRPr="006F50D3">
              <w:t>J</w:t>
            </w:r>
            <w:r w:rsidR="002E49FE" w:rsidRPr="006F50D3">
              <w:t xml:space="preserve">aunas institūcijas netiek veidotas, kā </w:t>
            </w:r>
            <w:r w:rsidRPr="006F50D3">
              <w:t>arī netiek likvidētas esošās un mainītas to funkcijas.</w:t>
            </w:r>
          </w:p>
        </w:tc>
      </w:tr>
      <w:tr w:rsidR="00E62C4C" w:rsidRPr="006F50D3" w14:paraId="303AB925" w14:textId="77777777" w:rsidTr="00D824C2">
        <w:trPr>
          <w:cantSplit/>
        </w:trPr>
        <w:tc>
          <w:tcPr>
            <w:tcW w:w="311" w:type="pct"/>
            <w:hideMark/>
          </w:tcPr>
          <w:p w14:paraId="0A9A7ABD" w14:textId="77777777" w:rsidR="00BD5588" w:rsidRPr="006F50D3" w:rsidRDefault="0031434E" w:rsidP="00C12794">
            <w:pPr>
              <w:contextualSpacing/>
              <w:jc w:val="center"/>
            </w:pPr>
            <w:r w:rsidRPr="006F50D3">
              <w:t>3.</w:t>
            </w:r>
          </w:p>
        </w:tc>
        <w:tc>
          <w:tcPr>
            <w:tcW w:w="1479" w:type="pct"/>
            <w:hideMark/>
          </w:tcPr>
          <w:p w14:paraId="63634A92" w14:textId="77777777" w:rsidR="00BD5588" w:rsidRPr="006F50D3" w:rsidRDefault="0031434E" w:rsidP="00C12794">
            <w:pPr>
              <w:contextualSpacing/>
            </w:pPr>
            <w:r w:rsidRPr="006F50D3">
              <w:t>Cita informācija</w:t>
            </w:r>
          </w:p>
        </w:tc>
        <w:tc>
          <w:tcPr>
            <w:tcW w:w="3210" w:type="pct"/>
            <w:hideMark/>
          </w:tcPr>
          <w:p w14:paraId="7330BFCB" w14:textId="77777777" w:rsidR="00BD5588" w:rsidRPr="006F50D3" w:rsidRDefault="0031434E" w:rsidP="00C12794">
            <w:pPr>
              <w:contextualSpacing/>
            </w:pPr>
            <w:r w:rsidRPr="006F50D3">
              <w:t>Nav</w:t>
            </w:r>
          </w:p>
        </w:tc>
      </w:tr>
    </w:tbl>
    <w:p w14:paraId="57DD9795" w14:textId="77777777" w:rsidR="00E44472" w:rsidRPr="006F50D3" w:rsidRDefault="00E44472" w:rsidP="00C12794">
      <w:pPr>
        <w:contextualSpacing/>
      </w:pPr>
    </w:p>
    <w:p w14:paraId="6B0D127B" w14:textId="77777777" w:rsidR="0051655D" w:rsidRPr="006F50D3" w:rsidRDefault="0051655D" w:rsidP="00C12794">
      <w:pPr>
        <w:contextualSpacing/>
      </w:pPr>
    </w:p>
    <w:p w14:paraId="7827F946" w14:textId="6E16C2B4" w:rsidR="0051655D" w:rsidRPr="006F50D3" w:rsidRDefault="7AF38AF3" w:rsidP="7AF38AF3">
      <w:pPr>
        <w:contextualSpacing/>
        <w:jc w:val="both"/>
      </w:pPr>
      <w:r w:rsidRPr="006F50D3">
        <w:t>E</w:t>
      </w:r>
      <w:r w:rsidR="0031434E" w:rsidRPr="006F50D3">
        <w:t>konomikas ministrs</w:t>
      </w:r>
      <w:r w:rsidR="0031434E" w:rsidRPr="006F50D3">
        <w:tab/>
      </w:r>
      <w:r w:rsidR="0031434E" w:rsidRPr="006F50D3">
        <w:tab/>
      </w:r>
      <w:r w:rsidR="0031434E" w:rsidRPr="006F50D3">
        <w:tab/>
      </w:r>
      <w:r w:rsidR="0031434E" w:rsidRPr="006F50D3">
        <w:tab/>
      </w:r>
      <w:r w:rsidR="0031434E" w:rsidRPr="006F50D3">
        <w:tab/>
      </w:r>
      <w:r w:rsidR="004F053A" w:rsidRPr="006F50D3">
        <w:tab/>
      </w:r>
      <w:r w:rsidR="0031434E" w:rsidRPr="006F50D3">
        <w:tab/>
      </w:r>
      <w:r w:rsidR="0068048D" w:rsidRPr="006F50D3">
        <w:tab/>
      </w:r>
      <w:proofErr w:type="spellStart"/>
      <w:r w:rsidR="0068048D" w:rsidRPr="006F50D3">
        <w:t>R.Nemiro</w:t>
      </w:r>
      <w:proofErr w:type="spellEnd"/>
    </w:p>
    <w:p w14:paraId="43B6D224" w14:textId="77777777" w:rsidR="0051655D" w:rsidRPr="006F50D3" w:rsidRDefault="0051655D" w:rsidP="7AF38AF3">
      <w:pPr>
        <w:contextualSpacing/>
      </w:pPr>
    </w:p>
    <w:p w14:paraId="57A88ACA" w14:textId="77777777" w:rsidR="00386E6C" w:rsidRPr="006F50D3" w:rsidRDefault="00386E6C" w:rsidP="00C12794">
      <w:pPr>
        <w:contextualSpacing/>
      </w:pPr>
    </w:p>
    <w:p w14:paraId="77E14DCF" w14:textId="4E59094A" w:rsidR="0051655D" w:rsidRPr="006F50D3" w:rsidRDefault="0031434E" w:rsidP="00C12794">
      <w:pPr>
        <w:contextualSpacing/>
        <w:jc w:val="both"/>
      </w:pPr>
      <w:r w:rsidRPr="006F50D3">
        <w:t>Valsts sekretārs</w:t>
      </w:r>
      <w:r w:rsidRPr="006F50D3">
        <w:tab/>
      </w:r>
      <w:r w:rsidRPr="006F50D3">
        <w:tab/>
      </w:r>
      <w:r w:rsidRPr="006F50D3">
        <w:tab/>
      </w:r>
      <w:r w:rsidRPr="006F50D3">
        <w:tab/>
      </w:r>
      <w:r w:rsidRPr="006F50D3">
        <w:tab/>
      </w:r>
      <w:r w:rsidRPr="006F50D3">
        <w:tab/>
      </w:r>
      <w:r w:rsidRPr="006F50D3">
        <w:tab/>
      </w:r>
      <w:r w:rsidRPr="006F50D3">
        <w:tab/>
      </w:r>
      <w:proofErr w:type="spellStart"/>
      <w:r w:rsidR="004F053A" w:rsidRPr="006F50D3">
        <w:t>Ē</w:t>
      </w:r>
      <w:r w:rsidRPr="006F50D3">
        <w:t>.</w:t>
      </w:r>
      <w:r w:rsidR="004F053A" w:rsidRPr="006F50D3">
        <w:t>Eglītis</w:t>
      </w:r>
      <w:proofErr w:type="spellEnd"/>
    </w:p>
    <w:p w14:paraId="1972E3A8" w14:textId="77777777" w:rsidR="0051655D" w:rsidRPr="006F50D3" w:rsidRDefault="0051655D" w:rsidP="00C12794">
      <w:pPr>
        <w:ind w:firstLine="720"/>
        <w:contextualSpacing/>
      </w:pPr>
    </w:p>
    <w:p w14:paraId="67945568" w14:textId="77777777" w:rsidR="00386E6C" w:rsidRPr="006F50D3" w:rsidRDefault="00386E6C" w:rsidP="00C12794">
      <w:pPr>
        <w:ind w:firstLine="720"/>
        <w:contextualSpacing/>
      </w:pPr>
    </w:p>
    <w:p w14:paraId="409D6B85" w14:textId="38FA337A" w:rsidR="00386E6C" w:rsidRDefault="00386E6C" w:rsidP="00C12794">
      <w:pPr>
        <w:ind w:firstLine="720"/>
        <w:contextualSpacing/>
      </w:pPr>
    </w:p>
    <w:p w14:paraId="7195B452" w14:textId="1733A84D" w:rsidR="00AE76C2" w:rsidRDefault="00AE76C2" w:rsidP="00C12794">
      <w:pPr>
        <w:ind w:firstLine="720"/>
        <w:contextualSpacing/>
      </w:pPr>
    </w:p>
    <w:p w14:paraId="33CC44DA" w14:textId="3E7A1F7C" w:rsidR="00AE76C2" w:rsidRDefault="00AE76C2" w:rsidP="00C12794">
      <w:pPr>
        <w:ind w:firstLine="720"/>
        <w:contextualSpacing/>
      </w:pPr>
    </w:p>
    <w:p w14:paraId="6E16AC0A" w14:textId="76D2ED39" w:rsidR="00AE76C2" w:rsidRDefault="00AE76C2" w:rsidP="00C12794">
      <w:pPr>
        <w:ind w:firstLine="720"/>
        <w:contextualSpacing/>
      </w:pPr>
    </w:p>
    <w:p w14:paraId="14E38BA3" w14:textId="78709D4A" w:rsidR="00AE76C2" w:rsidRDefault="00AE76C2" w:rsidP="00C12794">
      <w:pPr>
        <w:ind w:firstLine="720"/>
        <w:contextualSpacing/>
      </w:pPr>
    </w:p>
    <w:p w14:paraId="134F1F1D" w14:textId="5D695F7E" w:rsidR="00AE76C2" w:rsidRDefault="00AE76C2" w:rsidP="00C12794">
      <w:pPr>
        <w:ind w:firstLine="720"/>
        <w:contextualSpacing/>
      </w:pPr>
    </w:p>
    <w:p w14:paraId="2E815B50" w14:textId="3398CD2D" w:rsidR="00AE76C2" w:rsidRDefault="00AE76C2" w:rsidP="00C12794">
      <w:pPr>
        <w:ind w:firstLine="720"/>
        <w:contextualSpacing/>
      </w:pPr>
    </w:p>
    <w:p w14:paraId="08040B45" w14:textId="1E311A54" w:rsidR="00AE76C2" w:rsidRDefault="00AE76C2" w:rsidP="00C12794">
      <w:pPr>
        <w:ind w:firstLine="720"/>
        <w:contextualSpacing/>
      </w:pPr>
    </w:p>
    <w:p w14:paraId="5CCBCE33" w14:textId="11B25186" w:rsidR="00AE76C2" w:rsidRDefault="00AE76C2" w:rsidP="00C12794">
      <w:pPr>
        <w:ind w:firstLine="720"/>
        <w:contextualSpacing/>
      </w:pPr>
    </w:p>
    <w:p w14:paraId="00EE30BD" w14:textId="4CD078D5" w:rsidR="00AE76C2" w:rsidRDefault="00AE76C2" w:rsidP="00C12794">
      <w:pPr>
        <w:ind w:firstLine="720"/>
        <w:contextualSpacing/>
      </w:pPr>
    </w:p>
    <w:p w14:paraId="0892A7F0" w14:textId="7D414699" w:rsidR="00AE76C2" w:rsidRDefault="00AE76C2" w:rsidP="00C12794">
      <w:pPr>
        <w:ind w:firstLine="720"/>
        <w:contextualSpacing/>
      </w:pPr>
    </w:p>
    <w:p w14:paraId="4C3E666C" w14:textId="10EC2D68" w:rsidR="00AE76C2" w:rsidRDefault="00AE76C2" w:rsidP="00C12794">
      <w:pPr>
        <w:ind w:firstLine="720"/>
        <w:contextualSpacing/>
      </w:pPr>
    </w:p>
    <w:p w14:paraId="4F969F09" w14:textId="605FF535" w:rsidR="00AE76C2" w:rsidRDefault="00AE76C2" w:rsidP="00C12794">
      <w:pPr>
        <w:ind w:firstLine="720"/>
        <w:contextualSpacing/>
      </w:pPr>
    </w:p>
    <w:p w14:paraId="5C4EE365" w14:textId="59767E2B" w:rsidR="00AE76C2" w:rsidRDefault="00AE76C2" w:rsidP="00C12794">
      <w:pPr>
        <w:ind w:firstLine="720"/>
        <w:contextualSpacing/>
      </w:pPr>
    </w:p>
    <w:p w14:paraId="31D327B7" w14:textId="0CA76722" w:rsidR="00AE76C2" w:rsidRDefault="00AE76C2" w:rsidP="00C12794">
      <w:pPr>
        <w:ind w:firstLine="720"/>
        <w:contextualSpacing/>
      </w:pPr>
    </w:p>
    <w:p w14:paraId="0D2C3A0D" w14:textId="74BBCF20" w:rsidR="00AE76C2" w:rsidRDefault="00AE76C2" w:rsidP="00C12794">
      <w:pPr>
        <w:ind w:firstLine="720"/>
        <w:contextualSpacing/>
      </w:pPr>
    </w:p>
    <w:p w14:paraId="6405E6A0" w14:textId="516D6675" w:rsidR="00AE76C2" w:rsidRDefault="00AE76C2" w:rsidP="00C12794">
      <w:pPr>
        <w:ind w:firstLine="720"/>
        <w:contextualSpacing/>
      </w:pPr>
    </w:p>
    <w:p w14:paraId="6D008AA4" w14:textId="48D3A43F" w:rsidR="00AE76C2" w:rsidRDefault="00AE76C2" w:rsidP="00C12794">
      <w:pPr>
        <w:ind w:firstLine="720"/>
        <w:contextualSpacing/>
      </w:pPr>
    </w:p>
    <w:p w14:paraId="46B122F3" w14:textId="1496A2D7" w:rsidR="00AE76C2" w:rsidRDefault="00AE76C2" w:rsidP="00C12794">
      <w:pPr>
        <w:ind w:firstLine="720"/>
        <w:contextualSpacing/>
      </w:pPr>
    </w:p>
    <w:p w14:paraId="71F1CE6C" w14:textId="6488E78A" w:rsidR="00AE76C2" w:rsidRDefault="00AE76C2" w:rsidP="00C12794">
      <w:pPr>
        <w:ind w:firstLine="720"/>
        <w:contextualSpacing/>
      </w:pPr>
    </w:p>
    <w:p w14:paraId="73277EF5" w14:textId="77777777" w:rsidR="00AE76C2" w:rsidRPr="006F50D3" w:rsidRDefault="00AE76C2" w:rsidP="00C12794">
      <w:pPr>
        <w:ind w:firstLine="720"/>
        <w:contextualSpacing/>
      </w:pPr>
    </w:p>
    <w:p w14:paraId="074D7F81" w14:textId="77777777" w:rsidR="00386E6C" w:rsidRPr="006F50D3" w:rsidRDefault="00386E6C" w:rsidP="00C12794">
      <w:pPr>
        <w:ind w:firstLine="720"/>
        <w:contextualSpacing/>
        <w:rPr>
          <w:sz w:val="20"/>
          <w:szCs w:val="20"/>
        </w:rPr>
      </w:pPr>
    </w:p>
    <w:p w14:paraId="43211EFA" w14:textId="77777777" w:rsidR="0051655D" w:rsidRPr="006F50D3" w:rsidRDefault="0051655D" w:rsidP="00C12794">
      <w:pPr>
        <w:ind w:firstLine="720"/>
        <w:contextualSpacing/>
        <w:rPr>
          <w:sz w:val="20"/>
          <w:szCs w:val="20"/>
        </w:rPr>
      </w:pPr>
    </w:p>
    <w:p w14:paraId="3C345AD8" w14:textId="4D05E5E6" w:rsidR="0051655D" w:rsidRPr="006F50D3" w:rsidRDefault="00BB33B7" w:rsidP="00C12794">
      <w:pPr>
        <w:contextualSpacing/>
        <w:jc w:val="both"/>
        <w:rPr>
          <w:sz w:val="20"/>
          <w:szCs w:val="20"/>
        </w:rPr>
      </w:pPr>
      <w:r w:rsidRPr="006F50D3">
        <w:rPr>
          <w:sz w:val="20"/>
          <w:szCs w:val="20"/>
        </w:rPr>
        <w:t>Sproģis</w:t>
      </w:r>
      <w:r w:rsidR="0031434E" w:rsidRPr="006F50D3">
        <w:rPr>
          <w:sz w:val="20"/>
          <w:szCs w:val="20"/>
        </w:rPr>
        <w:t>, 67013</w:t>
      </w:r>
      <w:r w:rsidRPr="006F50D3">
        <w:rPr>
          <w:sz w:val="20"/>
          <w:szCs w:val="20"/>
        </w:rPr>
        <w:t>113</w:t>
      </w:r>
    </w:p>
    <w:p w14:paraId="3F8DE1EB" w14:textId="3BE07054" w:rsidR="0051655D" w:rsidRPr="006F50D3" w:rsidRDefault="00BB33B7" w:rsidP="00C12794">
      <w:pPr>
        <w:contextualSpacing/>
        <w:jc w:val="both"/>
        <w:rPr>
          <w:sz w:val="20"/>
          <w:szCs w:val="20"/>
        </w:rPr>
      </w:pPr>
      <w:r w:rsidRPr="006F50D3">
        <w:rPr>
          <w:sz w:val="20"/>
          <w:szCs w:val="20"/>
        </w:rPr>
        <w:t>Gusts</w:t>
      </w:r>
      <w:r w:rsidR="0031434E" w:rsidRPr="006F50D3">
        <w:rPr>
          <w:sz w:val="20"/>
          <w:szCs w:val="20"/>
        </w:rPr>
        <w:t>.</w:t>
      </w:r>
      <w:r w:rsidRPr="006F50D3">
        <w:rPr>
          <w:sz w:val="20"/>
          <w:szCs w:val="20"/>
        </w:rPr>
        <w:t>Sproģis</w:t>
      </w:r>
      <w:r w:rsidR="0031434E" w:rsidRPr="006F50D3">
        <w:rPr>
          <w:sz w:val="20"/>
          <w:szCs w:val="20"/>
        </w:rPr>
        <w:t>@em.gov.lv</w:t>
      </w:r>
    </w:p>
    <w:sectPr w:rsidR="0051655D" w:rsidRPr="006F50D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8DDA" w14:textId="77777777" w:rsidR="00276C18" w:rsidRDefault="00276C18">
      <w:r>
        <w:separator/>
      </w:r>
    </w:p>
  </w:endnote>
  <w:endnote w:type="continuationSeparator" w:id="0">
    <w:p w14:paraId="621C013C" w14:textId="77777777" w:rsidR="00276C18" w:rsidRDefault="00276C18">
      <w:r>
        <w:continuationSeparator/>
      </w:r>
    </w:p>
  </w:endnote>
  <w:endnote w:type="continuationNotice" w:id="1">
    <w:p w14:paraId="26BA803B" w14:textId="77777777" w:rsidR="00276C18" w:rsidRDefault="0027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59D14463" w:rsidR="00276C18" w:rsidRDefault="00276C1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EMAnot_230819_GrozSPSIL.docx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Sabiedrisko pakalpojumu sniedzēju iepirkumu likumā</w:t>
    </w:r>
    <w:r w:rsidRPr="00501E99">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FD60" w14:textId="73F4635B" w:rsidR="00276C18" w:rsidRDefault="00276C18" w:rsidP="009C45DD">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EMAnot_230819_GrozSPSIL.docx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Sabiedrisko pakalpojumu sniedzēju iepirkumu likumā</w:t>
    </w:r>
    <w:r w:rsidRPr="00501E99">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2A7E" w14:textId="77777777" w:rsidR="00276C18" w:rsidRDefault="00276C18">
      <w:r>
        <w:separator/>
      </w:r>
    </w:p>
  </w:footnote>
  <w:footnote w:type="continuationSeparator" w:id="0">
    <w:p w14:paraId="1396CDAA" w14:textId="77777777" w:rsidR="00276C18" w:rsidRDefault="00276C18">
      <w:r>
        <w:continuationSeparator/>
      </w:r>
    </w:p>
  </w:footnote>
  <w:footnote w:type="continuationNotice" w:id="1">
    <w:p w14:paraId="4E536718" w14:textId="77777777" w:rsidR="00276C18" w:rsidRDefault="00276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276C18" w:rsidRDefault="00276C18">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E6E751D" w14:textId="77777777" w:rsidR="00276C18" w:rsidRDefault="0027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1"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2" w15:restartNumberingAfterBreak="0">
    <w:nsid w:val="636275E5"/>
    <w:multiLevelType w:val="hybridMultilevel"/>
    <w:tmpl w:val="B62A0260"/>
    <w:lvl w:ilvl="0" w:tplc="5AB0AD1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4"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142B2"/>
    <w:rsid w:val="0002058F"/>
    <w:rsid w:val="000225DE"/>
    <w:rsid w:val="0002290D"/>
    <w:rsid w:val="00025626"/>
    <w:rsid w:val="00025AB3"/>
    <w:rsid w:val="00040197"/>
    <w:rsid w:val="0005445F"/>
    <w:rsid w:val="0005644D"/>
    <w:rsid w:val="000575A6"/>
    <w:rsid w:val="000641EE"/>
    <w:rsid w:val="00064DF2"/>
    <w:rsid w:val="00064FBA"/>
    <w:rsid w:val="000671CB"/>
    <w:rsid w:val="00067591"/>
    <w:rsid w:val="00067E6B"/>
    <w:rsid w:val="000710C7"/>
    <w:rsid w:val="00071202"/>
    <w:rsid w:val="0007171B"/>
    <w:rsid w:val="000755F0"/>
    <w:rsid w:val="00081509"/>
    <w:rsid w:val="00081649"/>
    <w:rsid w:val="00084FF0"/>
    <w:rsid w:val="00086DD8"/>
    <w:rsid w:val="00087F90"/>
    <w:rsid w:val="000A2E20"/>
    <w:rsid w:val="000B463E"/>
    <w:rsid w:val="000C1CF2"/>
    <w:rsid w:val="000E756E"/>
    <w:rsid w:val="000F4F68"/>
    <w:rsid w:val="0010286E"/>
    <w:rsid w:val="00105029"/>
    <w:rsid w:val="0010728A"/>
    <w:rsid w:val="00116A5B"/>
    <w:rsid w:val="00120DA4"/>
    <w:rsid w:val="0012231F"/>
    <w:rsid w:val="00133A1D"/>
    <w:rsid w:val="001415DE"/>
    <w:rsid w:val="00144D93"/>
    <w:rsid w:val="001535C4"/>
    <w:rsid w:val="00154258"/>
    <w:rsid w:val="001543AE"/>
    <w:rsid w:val="00160610"/>
    <w:rsid w:val="00160B4A"/>
    <w:rsid w:val="001672EB"/>
    <w:rsid w:val="001677D2"/>
    <w:rsid w:val="00171872"/>
    <w:rsid w:val="00181AF7"/>
    <w:rsid w:val="00186F45"/>
    <w:rsid w:val="00187D69"/>
    <w:rsid w:val="001945A4"/>
    <w:rsid w:val="001A6211"/>
    <w:rsid w:val="001B6373"/>
    <w:rsid w:val="001C1944"/>
    <w:rsid w:val="001D01BC"/>
    <w:rsid w:val="001D4DDE"/>
    <w:rsid w:val="001D59B1"/>
    <w:rsid w:val="001D75F2"/>
    <w:rsid w:val="001E1CC8"/>
    <w:rsid w:val="001E550E"/>
    <w:rsid w:val="00202CD6"/>
    <w:rsid w:val="00203BB3"/>
    <w:rsid w:val="002047FD"/>
    <w:rsid w:val="00204D75"/>
    <w:rsid w:val="0020616A"/>
    <w:rsid w:val="002138D4"/>
    <w:rsid w:val="00232A6B"/>
    <w:rsid w:val="00232FA0"/>
    <w:rsid w:val="00241CAC"/>
    <w:rsid w:val="00253127"/>
    <w:rsid w:val="00254A5F"/>
    <w:rsid w:val="002600BD"/>
    <w:rsid w:val="00260EB2"/>
    <w:rsid w:val="00267083"/>
    <w:rsid w:val="00271A64"/>
    <w:rsid w:val="00271E2D"/>
    <w:rsid w:val="00272D57"/>
    <w:rsid w:val="00276C18"/>
    <w:rsid w:val="002801F0"/>
    <w:rsid w:val="002825E8"/>
    <w:rsid w:val="00286717"/>
    <w:rsid w:val="002912BB"/>
    <w:rsid w:val="00296137"/>
    <w:rsid w:val="002A1F30"/>
    <w:rsid w:val="002A307F"/>
    <w:rsid w:val="002A57C6"/>
    <w:rsid w:val="002C3A15"/>
    <w:rsid w:val="002C6FBE"/>
    <w:rsid w:val="002D014D"/>
    <w:rsid w:val="002D0822"/>
    <w:rsid w:val="002E20C3"/>
    <w:rsid w:val="002E24B0"/>
    <w:rsid w:val="002E373C"/>
    <w:rsid w:val="002E49FE"/>
    <w:rsid w:val="0030068E"/>
    <w:rsid w:val="00302B45"/>
    <w:rsid w:val="00307398"/>
    <w:rsid w:val="0031434E"/>
    <w:rsid w:val="003211AC"/>
    <w:rsid w:val="003235F6"/>
    <w:rsid w:val="003263FA"/>
    <w:rsid w:val="00342758"/>
    <w:rsid w:val="00343282"/>
    <w:rsid w:val="00343A12"/>
    <w:rsid w:val="003455EB"/>
    <w:rsid w:val="0034569F"/>
    <w:rsid w:val="00352137"/>
    <w:rsid w:val="0035569D"/>
    <w:rsid w:val="00355E8C"/>
    <w:rsid w:val="00360DAF"/>
    <w:rsid w:val="003652DB"/>
    <w:rsid w:val="003679B9"/>
    <w:rsid w:val="00367C3A"/>
    <w:rsid w:val="00367EF8"/>
    <w:rsid w:val="00372D9B"/>
    <w:rsid w:val="00377B09"/>
    <w:rsid w:val="00383B3A"/>
    <w:rsid w:val="00386CF8"/>
    <w:rsid w:val="00386E6C"/>
    <w:rsid w:val="0039533E"/>
    <w:rsid w:val="003A03D2"/>
    <w:rsid w:val="003B103D"/>
    <w:rsid w:val="003B4BC8"/>
    <w:rsid w:val="003B4FE3"/>
    <w:rsid w:val="003B6DE8"/>
    <w:rsid w:val="003C21DB"/>
    <w:rsid w:val="003C4099"/>
    <w:rsid w:val="003D01B9"/>
    <w:rsid w:val="003D3D27"/>
    <w:rsid w:val="003D5404"/>
    <w:rsid w:val="003D6EFF"/>
    <w:rsid w:val="003E1BEF"/>
    <w:rsid w:val="003E29D3"/>
    <w:rsid w:val="003F057F"/>
    <w:rsid w:val="00401047"/>
    <w:rsid w:val="00401F3B"/>
    <w:rsid w:val="00405610"/>
    <w:rsid w:val="0041161B"/>
    <w:rsid w:val="0041507D"/>
    <w:rsid w:val="00423868"/>
    <w:rsid w:val="004251AF"/>
    <w:rsid w:val="0042799F"/>
    <w:rsid w:val="0043294A"/>
    <w:rsid w:val="00433EA7"/>
    <w:rsid w:val="004370B7"/>
    <w:rsid w:val="0044518C"/>
    <w:rsid w:val="0045266B"/>
    <w:rsid w:val="00457485"/>
    <w:rsid w:val="0046399A"/>
    <w:rsid w:val="004674CC"/>
    <w:rsid w:val="0048408F"/>
    <w:rsid w:val="004849A5"/>
    <w:rsid w:val="00485567"/>
    <w:rsid w:val="00490ECB"/>
    <w:rsid w:val="004937DE"/>
    <w:rsid w:val="004A411E"/>
    <w:rsid w:val="004A425C"/>
    <w:rsid w:val="004B0BB7"/>
    <w:rsid w:val="004B12A6"/>
    <w:rsid w:val="004B5967"/>
    <w:rsid w:val="004C3DF0"/>
    <w:rsid w:val="004C6025"/>
    <w:rsid w:val="004C7672"/>
    <w:rsid w:val="004E1BF0"/>
    <w:rsid w:val="004F053A"/>
    <w:rsid w:val="004F3067"/>
    <w:rsid w:val="004F3AFB"/>
    <w:rsid w:val="00501E99"/>
    <w:rsid w:val="005100A7"/>
    <w:rsid w:val="00511D7B"/>
    <w:rsid w:val="00514E31"/>
    <w:rsid w:val="0051655D"/>
    <w:rsid w:val="00527FD8"/>
    <w:rsid w:val="005300AC"/>
    <w:rsid w:val="00534588"/>
    <w:rsid w:val="00535D2C"/>
    <w:rsid w:val="0054780A"/>
    <w:rsid w:val="00556B1A"/>
    <w:rsid w:val="00565009"/>
    <w:rsid w:val="00565D86"/>
    <w:rsid w:val="00576490"/>
    <w:rsid w:val="00580A03"/>
    <w:rsid w:val="00580C36"/>
    <w:rsid w:val="0058326E"/>
    <w:rsid w:val="00586A1F"/>
    <w:rsid w:val="00596A54"/>
    <w:rsid w:val="005A4BB9"/>
    <w:rsid w:val="005A5BDE"/>
    <w:rsid w:val="005A62F7"/>
    <w:rsid w:val="005A76FD"/>
    <w:rsid w:val="005B117A"/>
    <w:rsid w:val="005C38B8"/>
    <w:rsid w:val="005D33F5"/>
    <w:rsid w:val="005D5166"/>
    <w:rsid w:val="005D6AF5"/>
    <w:rsid w:val="005D6DAB"/>
    <w:rsid w:val="005F39EB"/>
    <w:rsid w:val="005F51EA"/>
    <w:rsid w:val="005F74AF"/>
    <w:rsid w:val="005F7CB3"/>
    <w:rsid w:val="00600752"/>
    <w:rsid w:val="00611570"/>
    <w:rsid w:val="006153F4"/>
    <w:rsid w:val="00621D04"/>
    <w:rsid w:val="00622537"/>
    <w:rsid w:val="00631AED"/>
    <w:rsid w:val="00641B40"/>
    <w:rsid w:val="00642888"/>
    <w:rsid w:val="00660FA9"/>
    <w:rsid w:val="00664E51"/>
    <w:rsid w:val="00673DAA"/>
    <w:rsid w:val="0067798B"/>
    <w:rsid w:val="0068048D"/>
    <w:rsid w:val="00686DDE"/>
    <w:rsid w:val="00690C0D"/>
    <w:rsid w:val="006A1FA9"/>
    <w:rsid w:val="006A5009"/>
    <w:rsid w:val="006A567C"/>
    <w:rsid w:val="006A727E"/>
    <w:rsid w:val="006C08D6"/>
    <w:rsid w:val="006C0CE7"/>
    <w:rsid w:val="006C19FE"/>
    <w:rsid w:val="006C2E99"/>
    <w:rsid w:val="006C412A"/>
    <w:rsid w:val="006D0955"/>
    <w:rsid w:val="006E4C50"/>
    <w:rsid w:val="006E685C"/>
    <w:rsid w:val="006F4455"/>
    <w:rsid w:val="006F50D3"/>
    <w:rsid w:val="006F5484"/>
    <w:rsid w:val="006F795D"/>
    <w:rsid w:val="00711D27"/>
    <w:rsid w:val="00716361"/>
    <w:rsid w:val="00724624"/>
    <w:rsid w:val="00727141"/>
    <w:rsid w:val="00727522"/>
    <w:rsid w:val="007368A6"/>
    <w:rsid w:val="007444EC"/>
    <w:rsid w:val="007503A3"/>
    <w:rsid w:val="00754770"/>
    <w:rsid w:val="007645EF"/>
    <w:rsid w:val="00771ED5"/>
    <w:rsid w:val="00773C51"/>
    <w:rsid w:val="007766CD"/>
    <w:rsid w:val="00793CD2"/>
    <w:rsid w:val="00797763"/>
    <w:rsid w:val="007A0CE0"/>
    <w:rsid w:val="007A4AB5"/>
    <w:rsid w:val="007A527F"/>
    <w:rsid w:val="007A5EC2"/>
    <w:rsid w:val="007C0FF8"/>
    <w:rsid w:val="007C69B6"/>
    <w:rsid w:val="007E0AB4"/>
    <w:rsid w:val="0081224A"/>
    <w:rsid w:val="008140C6"/>
    <w:rsid w:val="008166AA"/>
    <w:rsid w:val="00827A46"/>
    <w:rsid w:val="00831A46"/>
    <w:rsid w:val="00835885"/>
    <w:rsid w:val="008430D1"/>
    <w:rsid w:val="008442E5"/>
    <w:rsid w:val="00850762"/>
    <w:rsid w:val="00852084"/>
    <w:rsid w:val="008566E9"/>
    <w:rsid w:val="00861960"/>
    <w:rsid w:val="008852C2"/>
    <w:rsid w:val="00886F1B"/>
    <w:rsid w:val="00891B0C"/>
    <w:rsid w:val="008924F3"/>
    <w:rsid w:val="008955D5"/>
    <w:rsid w:val="00897CC8"/>
    <w:rsid w:val="008A42A2"/>
    <w:rsid w:val="008A6C0E"/>
    <w:rsid w:val="008B27B4"/>
    <w:rsid w:val="008B2A86"/>
    <w:rsid w:val="008B4858"/>
    <w:rsid w:val="008B4FA2"/>
    <w:rsid w:val="008B57CE"/>
    <w:rsid w:val="008C4958"/>
    <w:rsid w:val="008D0793"/>
    <w:rsid w:val="008D5BA3"/>
    <w:rsid w:val="008E1BD5"/>
    <w:rsid w:val="008E26FC"/>
    <w:rsid w:val="008E3D1C"/>
    <w:rsid w:val="008F3314"/>
    <w:rsid w:val="0090030A"/>
    <w:rsid w:val="00906046"/>
    <w:rsid w:val="00907848"/>
    <w:rsid w:val="00911FFB"/>
    <w:rsid w:val="00915585"/>
    <w:rsid w:val="00915C94"/>
    <w:rsid w:val="00915EB5"/>
    <w:rsid w:val="0092539A"/>
    <w:rsid w:val="009324C3"/>
    <w:rsid w:val="0096050F"/>
    <w:rsid w:val="009607FD"/>
    <w:rsid w:val="0096265F"/>
    <w:rsid w:val="00964076"/>
    <w:rsid w:val="00964754"/>
    <w:rsid w:val="00973C6E"/>
    <w:rsid w:val="0097782F"/>
    <w:rsid w:val="009909D5"/>
    <w:rsid w:val="009A0A6C"/>
    <w:rsid w:val="009A1353"/>
    <w:rsid w:val="009A466B"/>
    <w:rsid w:val="009B61C6"/>
    <w:rsid w:val="009C45DD"/>
    <w:rsid w:val="009C560A"/>
    <w:rsid w:val="009D5B83"/>
    <w:rsid w:val="009E6A27"/>
    <w:rsid w:val="00A034EF"/>
    <w:rsid w:val="00A07643"/>
    <w:rsid w:val="00A108C6"/>
    <w:rsid w:val="00A108E3"/>
    <w:rsid w:val="00A26A9A"/>
    <w:rsid w:val="00A27BB5"/>
    <w:rsid w:val="00A3099F"/>
    <w:rsid w:val="00A3156A"/>
    <w:rsid w:val="00A33092"/>
    <w:rsid w:val="00A539D2"/>
    <w:rsid w:val="00A559FF"/>
    <w:rsid w:val="00A6566A"/>
    <w:rsid w:val="00A6656C"/>
    <w:rsid w:val="00A7108F"/>
    <w:rsid w:val="00A76789"/>
    <w:rsid w:val="00A77386"/>
    <w:rsid w:val="00A81B96"/>
    <w:rsid w:val="00A82BC9"/>
    <w:rsid w:val="00A84983"/>
    <w:rsid w:val="00A91206"/>
    <w:rsid w:val="00A93AC3"/>
    <w:rsid w:val="00AA0DFA"/>
    <w:rsid w:val="00AA4976"/>
    <w:rsid w:val="00AA733F"/>
    <w:rsid w:val="00AB2695"/>
    <w:rsid w:val="00AC0572"/>
    <w:rsid w:val="00AC76C8"/>
    <w:rsid w:val="00AD130F"/>
    <w:rsid w:val="00AE1F9D"/>
    <w:rsid w:val="00AE76C2"/>
    <w:rsid w:val="00AF3119"/>
    <w:rsid w:val="00AF52EB"/>
    <w:rsid w:val="00AF7D9C"/>
    <w:rsid w:val="00B028B6"/>
    <w:rsid w:val="00B03DDE"/>
    <w:rsid w:val="00B04DA1"/>
    <w:rsid w:val="00B14DB0"/>
    <w:rsid w:val="00B1563C"/>
    <w:rsid w:val="00B17BA6"/>
    <w:rsid w:val="00B17CA8"/>
    <w:rsid w:val="00B22742"/>
    <w:rsid w:val="00B23EAB"/>
    <w:rsid w:val="00B24B11"/>
    <w:rsid w:val="00B25FEA"/>
    <w:rsid w:val="00B3772E"/>
    <w:rsid w:val="00B42808"/>
    <w:rsid w:val="00B51B2E"/>
    <w:rsid w:val="00B6612C"/>
    <w:rsid w:val="00B70BB0"/>
    <w:rsid w:val="00B74AAC"/>
    <w:rsid w:val="00B75C51"/>
    <w:rsid w:val="00B82FFE"/>
    <w:rsid w:val="00B8301F"/>
    <w:rsid w:val="00B9152A"/>
    <w:rsid w:val="00B94112"/>
    <w:rsid w:val="00B95524"/>
    <w:rsid w:val="00BA4586"/>
    <w:rsid w:val="00BA578F"/>
    <w:rsid w:val="00BA6B31"/>
    <w:rsid w:val="00BB01EF"/>
    <w:rsid w:val="00BB2DE4"/>
    <w:rsid w:val="00BB33B7"/>
    <w:rsid w:val="00BB65DE"/>
    <w:rsid w:val="00BC6BA8"/>
    <w:rsid w:val="00BD0E0C"/>
    <w:rsid w:val="00BD27B7"/>
    <w:rsid w:val="00BD5588"/>
    <w:rsid w:val="00BE30B3"/>
    <w:rsid w:val="00BE530E"/>
    <w:rsid w:val="00BF0441"/>
    <w:rsid w:val="00BF432D"/>
    <w:rsid w:val="00BF7248"/>
    <w:rsid w:val="00C01A36"/>
    <w:rsid w:val="00C04B21"/>
    <w:rsid w:val="00C04CD4"/>
    <w:rsid w:val="00C12794"/>
    <w:rsid w:val="00C164C4"/>
    <w:rsid w:val="00C1680A"/>
    <w:rsid w:val="00C23609"/>
    <w:rsid w:val="00C272EC"/>
    <w:rsid w:val="00C30A72"/>
    <w:rsid w:val="00C32848"/>
    <w:rsid w:val="00C32947"/>
    <w:rsid w:val="00C4205E"/>
    <w:rsid w:val="00C45BA2"/>
    <w:rsid w:val="00C474CE"/>
    <w:rsid w:val="00C510F6"/>
    <w:rsid w:val="00C6584D"/>
    <w:rsid w:val="00C7357F"/>
    <w:rsid w:val="00C73C70"/>
    <w:rsid w:val="00C740A4"/>
    <w:rsid w:val="00C74EBA"/>
    <w:rsid w:val="00C84304"/>
    <w:rsid w:val="00C86437"/>
    <w:rsid w:val="00C8777A"/>
    <w:rsid w:val="00C93387"/>
    <w:rsid w:val="00CA7243"/>
    <w:rsid w:val="00CB0506"/>
    <w:rsid w:val="00CB4753"/>
    <w:rsid w:val="00CC1405"/>
    <w:rsid w:val="00CD1562"/>
    <w:rsid w:val="00CD346E"/>
    <w:rsid w:val="00CD44C1"/>
    <w:rsid w:val="00CE3436"/>
    <w:rsid w:val="00CF234D"/>
    <w:rsid w:val="00D02A22"/>
    <w:rsid w:val="00D03B76"/>
    <w:rsid w:val="00D13051"/>
    <w:rsid w:val="00D276E5"/>
    <w:rsid w:val="00D27E61"/>
    <w:rsid w:val="00D31C81"/>
    <w:rsid w:val="00D32273"/>
    <w:rsid w:val="00D40B48"/>
    <w:rsid w:val="00D71D8D"/>
    <w:rsid w:val="00D766C6"/>
    <w:rsid w:val="00D76C05"/>
    <w:rsid w:val="00D824C2"/>
    <w:rsid w:val="00D85A2F"/>
    <w:rsid w:val="00D92C06"/>
    <w:rsid w:val="00DA4961"/>
    <w:rsid w:val="00DA4DEE"/>
    <w:rsid w:val="00DA736A"/>
    <w:rsid w:val="00DA767B"/>
    <w:rsid w:val="00DA7D5A"/>
    <w:rsid w:val="00DB2432"/>
    <w:rsid w:val="00DC32AC"/>
    <w:rsid w:val="00DD20F3"/>
    <w:rsid w:val="00DD7E1C"/>
    <w:rsid w:val="00DE5AD5"/>
    <w:rsid w:val="00DF47D5"/>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62C4C"/>
    <w:rsid w:val="00E701B9"/>
    <w:rsid w:val="00E70212"/>
    <w:rsid w:val="00E710E9"/>
    <w:rsid w:val="00E716D5"/>
    <w:rsid w:val="00E7321A"/>
    <w:rsid w:val="00E73BDA"/>
    <w:rsid w:val="00E75F79"/>
    <w:rsid w:val="00E779EE"/>
    <w:rsid w:val="00E92EF1"/>
    <w:rsid w:val="00E97372"/>
    <w:rsid w:val="00EA0366"/>
    <w:rsid w:val="00EA39FC"/>
    <w:rsid w:val="00EB7A6D"/>
    <w:rsid w:val="00EC0D6B"/>
    <w:rsid w:val="00EC1BE5"/>
    <w:rsid w:val="00EC2331"/>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16C51"/>
    <w:rsid w:val="00F2354B"/>
    <w:rsid w:val="00F261AE"/>
    <w:rsid w:val="00F314D2"/>
    <w:rsid w:val="00F37A4B"/>
    <w:rsid w:val="00F37C20"/>
    <w:rsid w:val="00F45629"/>
    <w:rsid w:val="00F51B1F"/>
    <w:rsid w:val="00F61C0B"/>
    <w:rsid w:val="00F663C4"/>
    <w:rsid w:val="00F72313"/>
    <w:rsid w:val="00F74759"/>
    <w:rsid w:val="00F75E37"/>
    <w:rsid w:val="00F76F8E"/>
    <w:rsid w:val="00F7790A"/>
    <w:rsid w:val="00F80236"/>
    <w:rsid w:val="00F807D6"/>
    <w:rsid w:val="00F9083A"/>
    <w:rsid w:val="00F9600F"/>
    <w:rsid w:val="00F97242"/>
    <w:rsid w:val="00F978F3"/>
    <w:rsid w:val="00FA0094"/>
    <w:rsid w:val="00FA0475"/>
    <w:rsid w:val="00FA4750"/>
    <w:rsid w:val="00FA59F2"/>
    <w:rsid w:val="00FA7790"/>
    <w:rsid w:val="00FA7DAC"/>
    <w:rsid w:val="00FC1864"/>
    <w:rsid w:val="00FC225B"/>
    <w:rsid w:val="00FC22DB"/>
    <w:rsid w:val="00FD11EE"/>
    <w:rsid w:val="00FD3B7C"/>
    <w:rsid w:val="00FD5F92"/>
    <w:rsid w:val="00FD6E15"/>
    <w:rsid w:val="00FE5612"/>
    <w:rsid w:val="00FE76F4"/>
    <w:rsid w:val="00FF128E"/>
    <w:rsid w:val="00FF2538"/>
    <w:rsid w:val="00FF41FB"/>
    <w:rsid w:val="00FF5706"/>
    <w:rsid w:val="00FF666B"/>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645">
      <w:bodyDiv w:val="1"/>
      <w:marLeft w:val="0"/>
      <w:marRight w:val="0"/>
      <w:marTop w:val="0"/>
      <w:marBottom w:val="0"/>
      <w:divBdr>
        <w:top w:val="none" w:sz="0" w:space="0" w:color="auto"/>
        <w:left w:val="none" w:sz="0" w:space="0" w:color="auto"/>
        <w:bottom w:val="none" w:sz="0" w:space="0" w:color="auto"/>
        <w:right w:val="none" w:sz="0" w:space="0" w:color="auto"/>
      </w:divBdr>
    </w:div>
    <w:div w:id="1693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44DC-DBEF-4430-AB20-3A499831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10179</Words>
  <Characters>5803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Gusts.Sprogis@em.gov.lv</dc:creator>
  <cp:lastModifiedBy>Olga Feldmane</cp:lastModifiedBy>
  <cp:revision>21</cp:revision>
  <dcterms:created xsi:type="dcterms:W3CDTF">2019-06-05T13:27:00Z</dcterms:created>
  <dcterms:modified xsi:type="dcterms:W3CDTF">2019-08-27T13:33:00Z</dcterms:modified>
</cp:coreProperties>
</file>