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5896" w14:textId="003C43B8" w:rsidR="00EC0EB0" w:rsidRPr="001F3369" w:rsidRDefault="00EC0EB0" w:rsidP="00EC0EB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_Hlk20762135"/>
      <w:bookmarkStart w:id="1" w:name="_GoBack"/>
      <w:bookmarkEnd w:id="1"/>
      <w:r w:rsidRPr="001F3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Ministru kabineta noteikumu projekta “Grozījumi Ministru kabineta 2016.gada 29.marta noteikumos Nr. 179 “ Kārtība, kādā nosakāms naudas sods par Konkurences likuma 11.panta pirmajā daļā un 13.pantā un Negodīgas mazumtirdzniecības prakses aizlieguma likum</w:t>
      </w:r>
      <w:r w:rsidR="00127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</w:t>
      </w:r>
      <w:r w:rsidRPr="001F33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5., 6., 7. un 8.pantā paredzētajiem pārkāpumiem”</w:t>
      </w:r>
    </w:p>
    <w:bookmarkEnd w:id="0"/>
    <w:p w14:paraId="6450D845" w14:textId="7D105D70" w:rsidR="00467500" w:rsidRPr="001F3369" w:rsidRDefault="00DE749B" w:rsidP="00EC0EB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3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F336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ziņojums</w:t>
        </w:r>
      </w:smartTag>
      <w:r w:rsidRPr="001F3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(anotācija)</w:t>
      </w:r>
    </w:p>
    <w:p w14:paraId="77DD9DE0" w14:textId="4C8F42A0" w:rsidR="00EC0EB0" w:rsidRDefault="00EC0EB0" w:rsidP="00EC0E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45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"/>
        <w:gridCol w:w="627"/>
        <w:gridCol w:w="2070"/>
        <w:gridCol w:w="1099"/>
        <w:gridCol w:w="4504"/>
      </w:tblGrid>
      <w:tr w:rsidR="00ED6D27" w:rsidRPr="00E5323B" w14:paraId="133EDBAC" w14:textId="77777777" w:rsidTr="001F3369">
        <w:trPr>
          <w:tblCellSpacing w:w="15" w:type="dxa"/>
        </w:trPr>
        <w:tc>
          <w:tcPr>
            <w:tcW w:w="4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5962" w14:textId="77777777" w:rsidR="00ED6D27" w:rsidRPr="00ED6D27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D6D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D6D27" w:rsidRPr="00E5323B" w14:paraId="7D4B444D" w14:textId="77777777" w:rsidTr="001F3369">
        <w:trPr>
          <w:gridBefore w:val="1"/>
          <w:wBefore w:w="13" w:type="pct"/>
          <w:tblCellSpacing w:w="15" w:type="dxa"/>
        </w:trPr>
        <w:tc>
          <w:tcPr>
            <w:tcW w:w="22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0B81" w14:textId="77777777" w:rsidR="00ED6D27" w:rsidRPr="001B6A66" w:rsidRDefault="00ED6D27" w:rsidP="002B49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B6A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C52A5" w14:textId="41A53339" w:rsidR="00ED6D27" w:rsidRPr="001B6A66" w:rsidRDefault="00ED6D27" w:rsidP="009F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437F0D">
              <w:rPr>
                <w:rFonts w:ascii="Times New Roman" w:hAnsi="Times New Roman" w:cs="Times New Roman"/>
                <w:sz w:val="24"/>
                <w:szCs w:val="24"/>
              </w:rPr>
              <w:t>Projekta ietekmes novērtējuma ziņojuma (anotācijas) I sadaļas 2. punkts nepārsniedz divas lapaspuses. Līdz ar to tiesību akta projekta anotācijas kopsavilkums uz šo ietekmes novērtējuma ziņojumu (anotāciju) neattiecas.</w:t>
            </w:r>
          </w:p>
        </w:tc>
      </w:tr>
      <w:tr w:rsidR="00CF4414" w:rsidRPr="00CF4414" w14:paraId="0370671F" w14:textId="77777777" w:rsidTr="001F3369">
        <w:trPr>
          <w:tblCellSpacing w:w="15" w:type="dxa"/>
        </w:trPr>
        <w:tc>
          <w:tcPr>
            <w:tcW w:w="4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C8AE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F4414" w:rsidRPr="00CF4414" w14:paraId="3C32841E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0D4AD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9E1C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4F2C7" w14:textId="2851C0D2" w:rsidR="00CF4414" w:rsidRPr="00CF4414" w:rsidRDefault="00CF4414" w:rsidP="00CF4414">
            <w:pPr>
              <w:pStyle w:val="tv2131"/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>Ar Konkurences likuma (turpmāk – KL) grozījumiem, kas stāsies spēkā 2020.gada 1.janvārī, KL papildināts ar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pantu (Pienākums nodrošināt brīvu un godīgu konkurenci) un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pantu (Atbildība par brīvas un godīgas konkurences noteikumu pārkāpumu). KL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panta ceturtā daļa paredz,</w:t>
            </w:r>
            <w:r w:rsidR="0006796D">
              <w:rPr>
                <w:bCs/>
                <w:iCs/>
                <w:color w:val="000000" w:themeColor="text1"/>
                <w:sz w:val="24"/>
                <w:szCs w:val="24"/>
              </w:rPr>
              <w:t xml:space="preserve"> ka 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 Ministru kabinets (turpmāk – MK) izdod noteikumus par naudas soda noteikšanas kārtību, kuros paredz finanšu gada neto apgrozījuma aprēķināšanas īpatnības atsevišķiem gadījumiem, naudas soda apmēra noteikšanas kritērijus, kā arī atbildību mīkstinošus un pastiprinošus apstākļus</w:t>
            </w:r>
            <w:r w:rsidRPr="00CF4414">
              <w:rPr>
                <w:color w:val="000000" w:themeColor="text1"/>
                <w:sz w:val="24"/>
                <w:szCs w:val="24"/>
              </w:rPr>
              <w:t>.</w:t>
            </w:r>
          </w:p>
          <w:p w14:paraId="6BCD408E" w14:textId="163A4815" w:rsidR="00467500" w:rsidRPr="00CF4414" w:rsidRDefault="00CF4414" w:rsidP="00CF4414">
            <w:pPr>
              <w:pStyle w:val="tv2131"/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>KL pārejas noteikumu 17.punkts paredz, ka MK līdz 2019.gada 31.decembrim izdod KL 14.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CF4414">
              <w:rPr>
                <w:bCs/>
                <w:iCs/>
                <w:color w:val="000000" w:themeColor="text1"/>
                <w:sz w:val="24"/>
                <w:szCs w:val="24"/>
              </w:rPr>
              <w:t xml:space="preserve">panta ceturtajā daļā minētos noteikumus. </w:t>
            </w:r>
          </w:p>
        </w:tc>
      </w:tr>
      <w:tr w:rsidR="004A63E5" w:rsidRPr="004A63E5" w14:paraId="2A4C97AE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3488A" w14:textId="77777777" w:rsidR="00467500" w:rsidRPr="004A63E5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A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C794" w14:textId="77777777" w:rsidR="00467500" w:rsidRPr="004A63E5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A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61DB" w14:textId="62B94F2F" w:rsidR="00CF4414" w:rsidRDefault="00CF4414" w:rsidP="00CF4414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Lai nodrošinātu, ka kārtība, kādā Konkurences padome nosaka naudas sodus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 pieejama vienuviet, kārtība, kādā Konkurences padome piemēro naudas sodu par KL 14.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panta</w:t>
            </w:r>
            <w:r w:rsidRPr="002F51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pārkāpumiem jāiekļauj vienā normatīv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ajā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aktā kopā ar kārtību, kādā Konkurences padome piemēro naudas sodu par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citiem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pārkāpumiem.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Proti, būtu 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202B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jānosaka papildus regulējums </w:t>
            </w:r>
            <w:r w:rsidR="00F52230" w:rsidRP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2016.gada 29.marta noteikum</w:t>
            </w:r>
            <w:r w:rsid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F52230" w:rsidRP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Nr. 179 “ Kārtība, kādā nosakāms naudas sods par Konkurences likuma 11.panta pirmajā daļā un 13.pantā un Negodīgas mazumtirdzniecības prakses aizlieguma likumā 5., 6., 7. un 8.pantā paredzētajiem pārkāpumiem</w:t>
            </w:r>
            <w:r w:rsidR="00F5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  <w:r w:rsidR="00222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(turpmāk – </w:t>
            </w:r>
            <w:r w:rsidR="004D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222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oteikumi)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nevis 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jāizdod 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jaun</w:t>
            </w:r>
            <w:r w:rsidR="000679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Ministru kabineta noteikumi</w:t>
            </w:r>
            <w:r w:rsidR="00F52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00FD76F" w14:textId="742A39FD" w:rsidR="00CE0DF2" w:rsidRPr="004D326F" w:rsidRDefault="00E42205" w:rsidP="00CE0DF2">
            <w:pPr>
              <w:pStyle w:val="naiskr"/>
              <w:spacing w:before="0" w:after="80"/>
              <w:ind w:left="57" w:right="57"/>
              <w:jc w:val="both"/>
              <w:rPr>
                <w:iCs/>
              </w:rPr>
            </w:pPr>
            <w:r>
              <w:rPr>
                <w:bCs/>
                <w:iCs/>
              </w:rPr>
              <w:lastRenderedPageBreak/>
              <w:t>Lai nodrošinātu vienotu pieeju un praksi attiecībā uz tirgus dalībniekiem piemērojamajiem sodiem par KL pārkāpumiem, attiecībā uz tirgus dalībniekiem, kas pārkāpuši KL 14.</w:t>
            </w:r>
            <w:r>
              <w:rPr>
                <w:bCs/>
                <w:iCs/>
                <w:vertAlign w:val="superscript"/>
              </w:rPr>
              <w:t>1</w:t>
            </w:r>
            <w:r>
              <w:rPr>
                <w:bCs/>
                <w:iCs/>
              </w:rPr>
              <w:t xml:space="preserve"> pantu</w:t>
            </w:r>
            <w:r w:rsidR="0061774A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paredzēts piemērot </w:t>
            </w:r>
            <w:r w:rsidR="004D326F">
              <w:rPr>
                <w:bCs/>
                <w:iCs/>
              </w:rPr>
              <w:t>N</w:t>
            </w:r>
            <w:r>
              <w:rPr>
                <w:bCs/>
                <w:iCs/>
              </w:rPr>
              <w:t xml:space="preserve">oteikumos paredzētos </w:t>
            </w:r>
            <w:r w:rsidR="0099120D">
              <w:rPr>
                <w:bCs/>
                <w:iCs/>
              </w:rPr>
              <w:t xml:space="preserve">vispārējos </w:t>
            </w:r>
            <w:r>
              <w:rPr>
                <w:bCs/>
                <w:iCs/>
              </w:rPr>
              <w:t>principus</w:t>
            </w:r>
            <w:r w:rsidRPr="004D326F">
              <w:rPr>
                <w:bCs/>
                <w:iCs/>
              </w:rPr>
              <w:t xml:space="preserve">. </w:t>
            </w:r>
            <w:r w:rsidR="0061774A" w:rsidRPr="004D326F">
              <w:rPr>
                <w:bCs/>
                <w:iCs/>
              </w:rPr>
              <w:t xml:space="preserve">Proti, </w:t>
            </w:r>
            <w:r w:rsidR="0099120D">
              <w:rPr>
                <w:iCs/>
              </w:rPr>
              <w:t>p</w:t>
            </w:r>
            <w:r w:rsidR="0061774A" w:rsidRPr="004D326F">
              <w:rPr>
                <w:iCs/>
              </w:rPr>
              <w:t>ar KL 14.</w:t>
            </w:r>
            <w:r w:rsidR="0061774A" w:rsidRPr="004D326F">
              <w:rPr>
                <w:iCs/>
                <w:vertAlign w:val="superscript"/>
              </w:rPr>
              <w:t>1</w:t>
            </w:r>
            <w:r w:rsidR="0061774A" w:rsidRPr="004D326F">
              <w:rPr>
                <w:iCs/>
              </w:rPr>
              <w:t xml:space="preserve"> noteikto pārkāpumu izdarīšanu piemēro</w:t>
            </w:r>
            <w:r w:rsidR="0099120D">
              <w:rPr>
                <w:iCs/>
              </w:rPr>
              <w:t>jamie</w:t>
            </w:r>
            <w:r w:rsidR="0061774A" w:rsidRPr="004D326F">
              <w:rPr>
                <w:iCs/>
              </w:rPr>
              <w:t xml:space="preserve"> naudas sodi tiks aprēķināti no pēdējā pārskata gada neto apgrozījuma</w:t>
            </w:r>
            <w:r w:rsidR="0099120D">
              <w:rPr>
                <w:iCs/>
              </w:rPr>
              <w:t>.</w:t>
            </w:r>
            <w:r w:rsidR="00CE0DF2" w:rsidRPr="004D326F">
              <w:rPr>
                <w:iCs/>
              </w:rPr>
              <w:t xml:space="preserve"> </w:t>
            </w:r>
            <w:r w:rsidR="0099120D">
              <w:rPr>
                <w:iCs/>
              </w:rPr>
              <w:t>N</w:t>
            </w:r>
            <w:r w:rsidR="00CE0DF2" w:rsidRPr="004D326F">
              <w:rPr>
                <w:iCs/>
              </w:rPr>
              <w:t xml:space="preserve">oteikumi paredz gradāciju  naudas soda noteikšanai pēc pārkāpuma smaguma un tiks ņemts vērā arī pārkāpuma ilgums. </w:t>
            </w:r>
          </w:p>
          <w:p w14:paraId="340B95C4" w14:textId="06BF322E" w:rsidR="00E42205" w:rsidRPr="004D326F" w:rsidRDefault="00CE0DF2" w:rsidP="00CF4414">
            <w:pPr>
              <w:ind w:left="57"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Lai tiktu piemērota vienota pieeja attiecībā uz KL pārkāpumu sodu politiku, un ievērojot to, ka KL atkarībā no pārkāpuma veida iedala pārkāpumus – vieglos, smagos un sevišķi smagos, vērtējot arī maksimāli piemērojamo sodu par šāda veida pārkāpumiem un to, ka par KL 14.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panta pārkāpumu piemērojams naudas sods līdz  trīs procentiem no tirgus dalībnieka pēdējā gada finanšu neto apgrozījuma - pēc pārkāpuma veida brīvas un godīgas konkurences noteikumu pārkāpums (KL 14.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pants) kvalificējams kā </w:t>
            </w:r>
            <w:r w:rsidRPr="006A23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viegls pārkāpums. </w:t>
            </w:r>
            <w:r w:rsidR="00426F74" w:rsidRPr="006A233F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6A233F">
              <w:rPr>
                <w:rFonts w:ascii="Times New Roman" w:hAnsi="Times New Roman" w:cs="Times New Roman"/>
                <w:iCs/>
                <w:sz w:val="24"/>
                <w:szCs w:val="24"/>
              </w:rPr>
              <w:t>ārkāpuma ilgum</w:t>
            </w:r>
            <w:r w:rsidR="00426F74" w:rsidRPr="006A233F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426F74" w:rsidRPr="000F5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6F74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gradācija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(nepārsniedz gadu, ilgst vairāk par gadu vai ilgst vairāk par pieciem gadiem)</w:t>
            </w:r>
            <w:r w:rsidR="00426F74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, aprēķinot naudas soda apmēru</w:t>
            </w:r>
            <w:r w:rsidR="00502F5E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ir noteikta, ievērojot 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vispārēj</w:t>
            </w:r>
            <w:r w:rsidR="00502F5E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soda noteikšanas princip</w:t>
            </w:r>
            <w:r w:rsidR="00502F5E"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us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D326F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4D326F" w:rsidRPr="00E73613">
              <w:rPr>
                <w:rFonts w:ascii="Times New Roman" w:hAnsi="Times New Roman" w:cs="Times New Roman"/>
                <w:iCs/>
                <w:sz w:val="24"/>
                <w:szCs w:val="24"/>
              </w:rPr>
              <w:t>oteikumos</w:t>
            </w:r>
            <w:r w:rsidR="004D326F" w:rsidRPr="004D3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5A27">
              <w:rPr>
                <w:rFonts w:ascii="Times New Roman" w:hAnsi="Times New Roman" w:cs="Times New Roman"/>
                <w:iCs/>
                <w:sz w:val="24"/>
                <w:szCs w:val="24"/>
              </w:rPr>
              <w:t>par KL pārkāpumu un neparedz atšķirīgu attieksmi.</w:t>
            </w:r>
          </w:p>
          <w:p w14:paraId="1C31F875" w14:textId="5B1F394A" w:rsidR="004D326F" w:rsidRDefault="004D326F" w:rsidP="00CF4414">
            <w:pPr>
              <w:pStyle w:val="naiskr"/>
              <w:spacing w:before="0" w:after="8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Noteikumu projektā paredzēts svītrot Noteikumu 4.punktu, kas nosaka </w:t>
            </w:r>
            <w:r w:rsidR="004D1185">
              <w:rPr>
                <w:iCs/>
              </w:rPr>
              <w:t>saimnieciskās darbības finansiālos rādītājus naudas soda noteikšanai</w:t>
            </w:r>
            <w:r w:rsidR="00527534">
              <w:rPr>
                <w:iCs/>
              </w:rPr>
              <w:t xml:space="preserve">, lai tādējādi novērstu situāciju, ka zemāka juridiskā spēka normatīvajā aktā (Noteikumos) tiek dublēts regulējums ar augstākā normatīvajā aktā (KL) noteikto. </w:t>
            </w:r>
          </w:p>
          <w:p w14:paraId="1BAF2C8B" w14:textId="6C4BAEDA" w:rsidR="00E42205" w:rsidRPr="00803822" w:rsidRDefault="00E42205" w:rsidP="00E42205">
            <w:pPr>
              <w:pStyle w:val="naiskr"/>
              <w:spacing w:before="0" w:after="80"/>
              <w:ind w:left="57" w:right="57"/>
              <w:jc w:val="both"/>
              <w:rPr>
                <w:iCs/>
              </w:rPr>
            </w:pPr>
          </w:p>
        </w:tc>
      </w:tr>
      <w:tr w:rsidR="00CF4414" w:rsidRPr="00CF4414" w14:paraId="14C27E08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3B71D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C9A0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BCCA" w14:textId="774FA0F0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Konkurences padome</w:t>
            </w:r>
          </w:p>
        </w:tc>
      </w:tr>
      <w:tr w:rsidR="00CF4414" w:rsidRPr="00CF4414" w14:paraId="2784F0DA" w14:textId="77777777" w:rsidTr="001F3369">
        <w:trPr>
          <w:tblCellSpacing w:w="15" w:type="dxa"/>
        </w:trPr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BAEC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A42F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7E9B" w14:textId="3A27DF7D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3218AE4B" w14:textId="77777777" w:rsidR="00467500" w:rsidRPr="00CF4414" w:rsidRDefault="00467500" w:rsidP="00467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F4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CF4414" w:rsidRPr="00CF4414" w14:paraId="62D81BC7" w14:textId="77777777" w:rsidTr="004675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3794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F4414" w:rsidRPr="00CF4414" w14:paraId="1B01C86E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E9A9B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E2B5" w14:textId="1C6A0373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</w:t>
            </w:r>
            <w:r w:rsidR="005D007F"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ķ</w:t>
            </w: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grupas</w:t>
            </w:r>
            <w:proofErr w:type="spellEnd"/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0EA6" w14:textId="69D4CB2C" w:rsidR="00467500" w:rsidRPr="004B7D5C" w:rsidRDefault="00DE749B" w:rsidP="0061774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44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Noteikumu projektā ietvertās normas attiecas uz </w:t>
            </w:r>
            <w:r w:rsidR="00BF0C73" w:rsidRPr="004B7D5C">
              <w:rPr>
                <w:rFonts w:ascii="Times New Roman" w:hAnsi="Times New Roman" w:cs="Times New Roman"/>
                <w:sz w:val="24"/>
                <w:szCs w:val="24"/>
              </w:rPr>
              <w:t xml:space="preserve">kapitālsabiedrībām, kurās publiskai personai ir izšķiroša ietekme, par KL </w:t>
            </w:r>
            <w:hyperlink r:id="rId6" w:anchor="p14.1" w:history="1">
              <w:r w:rsidR="00BF0C73" w:rsidRPr="004B7D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14.</w:t>
              </w:r>
              <w:r w:rsidR="00BF0C73" w:rsidRPr="004B7D5C">
                <w:rPr>
                  <w:rStyle w:val="Hyperlink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="00BF0C73" w:rsidRPr="004B7D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panta</w:t>
              </w:r>
            </w:hyperlink>
            <w:r w:rsidR="00BF0C73" w:rsidRPr="004B7D5C">
              <w:rPr>
                <w:rFonts w:ascii="Times New Roman" w:hAnsi="Times New Roman" w:cs="Times New Roman"/>
                <w:sz w:val="24"/>
                <w:szCs w:val="24"/>
              </w:rPr>
              <w:t xml:space="preserve"> pirmajā daļā minēto pārkāpumu.</w:t>
            </w:r>
          </w:p>
        </w:tc>
      </w:tr>
      <w:tr w:rsidR="00CF4414" w:rsidRPr="00CF4414" w14:paraId="4BF778E6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DA6F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2B031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EF70" w14:textId="43DD2593" w:rsidR="00BF0C73" w:rsidRPr="00FF01F5" w:rsidRDefault="00BF0C73" w:rsidP="00BF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F0C7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Tiesiskais regulējums</w:t>
            </w:r>
            <w:r w:rsid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tiešā veidā nerada papildu 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slogu komersantiem. Vienlaikus tajā ir</w:t>
            </w:r>
            <w:r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teikta</w:t>
            </w:r>
            <w:r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naudas soda noteikšanas kārtīb</w:t>
            </w:r>
            <w:r w:rsid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 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KL </w:t>
            </w:r>
            <w:r w:rsidRPr="00FF01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14.</w:t>
            </w:r>
            <w:r w:rsidRPr="00FF01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F01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panta</w:t>
            </w:r>
            <w:r w:rsidRPr="00402F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(pienākums nodrošināt brīvu un godīgu konkurenci) pārkāpumu.</w:t>
            </w:r>
            <w:r w:rsidRPr="00402F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F01F5" w:rsidRPr="00402F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Proti, </w:t>
            </w:r>
            <w:r w:rsidR="00FF01F5" w:rsidRPr="00FF0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Konkurences padomei būs tiesības </w:t>
            </w:r>
            <w:r w:rsidR="00FF01F5" w:rsidRPr="00FF01F5">
              <w:rPr>
                <w:rFonts w:ascii="Times New Roman" w:hAnsi="Times New Roman" w:cs="Times New Roman"/>
                <w:sz w:val="24"/>
                <w:szCs w:val="24"/>
              </w:rPr>
              <w:t xml:space="preserve">kapitālsabiedrībām, kurās publiskai personai ir izšķiroša ietekme, piemērot naudas sodu par KL </w:t>
            </w:r>
            <w:hyperlink r:id="rId7" w:anchor="p14.1" w:history="1">
              <w:r w:rsidR="00FF01F5" w:rsidRPr="00FF01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14.</w:t>
              </w:r>
              <w:r w:rsidR="00FF01F5" w:rsidRPr="00FF01F5">
                <w:rPr>
                  <w:rStyle w:val="Hyperlink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="00FF01F5" w:rsidRPr="00FF01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panta</w:t>
              </w:r>
            </w:hyperlink>
            <w:r w:rsidR="00FF01F5" w:rsidRPr="00FF01F5">
              <w:rPr>
                <w:rFonts w:ascii="Times New Roman" w:hAnsi="Times New Roman" w:cs="Times New Roman"/>
                <w:sz w:val="24"/>
                <w:szCs w:val="24"/>
              </w:rPr>
              <w:t xml:space="preserve"> pirmajā daļā minēto pārkāpumu</w:t>
            </w:r>
            <w:r w:rsidR="00FF01F5" w:rsidRPr="00FF0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F01F5" w:rsidRPr="00FF01F5">
              <w:rPr>
                <w:rFonts w:ascii="Times New Roman" w:hAnsi="Times New Roman" w:cs="Times New Roman"/>
                <w:sz w:val="24"/>
                <w:szCs w:val="24"/>
              </w:rPr>
              <w:t>atbilstoši šajos noteikumos noteiktajai kārtībai.</w:t>
            </w:r>
          </w:p>
        </w:tc>
      </w:tr>
      <w:tr w:rsidR="00CF4414" w:rsidRPr="00CF4414" w14:paraId="7C502E41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E7E4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E1BF3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1882" w14:textId="10200278" w:rsidR="00467500" w:rsidRPr="00CF4414" w:rsidRDefault="005D007F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CF4414" w:rsidRPr="00CF4414" w14:paraId="02C48B7E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7DB5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25999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44268" w14:textId="168613A3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Projekts šo jomu neskar</w:t>
            </w:r>
          </w:p>
        </w:tc>
      </w:tr>
      <w:tr w:rsidR="00CF4414" w:rsidRPr="00CF4414" w14:paraId="0F488DCC" w14:textId="77777777" w:rsidTr="00467500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100E" w14:textId="77777777" w:rsidR="00467500" w:rsidRPr="00CF4414" w:rsidRDefault="00467500" w:rsidP="00467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CB42B" w14:textId="77777777" w:rsidR="00467500" w:rsidRPr="00CF4414" w:rsidRDefault="00467500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A041" w14:textId="3E79902D" w:rsidR="00467500" w:rsidRPr="00CF4414" w:rsidRDefault="00DE749B" w:rsidP="0046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76442A95" w14:textId="268F9A74" w:rsidR="00467500" w:rsidRPr="00CF4414" w:rsidRDefault="00467500" w:rsidP="00467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F4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 </w:t>
      </w:r>
    </w:p>
    <w:p w14:paraId="060E24AE" w14:textId="776F7270" w:rsidR="00467500" w:rsidRDefault="00467500" w:rsidP="00467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F4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4978" w:type="pct"/>
        <w:tblCellSpacing w:w="15" w:type="dxa"/>
        <w:tblInd w:w="-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4"/>
      </w:tblGrid>
      <w:tr w:rsidR="00ED6D27" w:rsidRPr="00D01A69" w14:paraId="10436279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2549" w14:textId="77777777" w:rsidR="00ED6D27" w:rsidRPr="00ED6D27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D6D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6D27" w:rsidRPr="00D01A69" w14:paraId="2EABDEE8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86AA" w14:textId="77777777" w:rsidR="00ED6D27" w:rsidRPr="00402FEA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02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D6D27" w:rsidRPr="00D01A69" w14:paraId="31B3306D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88"/>
            </w:tblGrid>
            <w:tr w:rsidR="00ED6D27" w:rsidRPr="00D01A69" w14:paraId="7347BC45" w14:textId="77777777" w:rsidTr="002B49B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D7A41" w14:textId="77777777" w:rsidR="00ED6D27" w:rsidRPr="00D01A69" w:rsidRDefault="00ED6D27" w:rsidP="00ED6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D01A6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ED6D27" w:rsidRPr="00D01A69" w14:paraId="225610F6" w14:textId="77777777" w:rsidTr="002B49B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0E86CC" w14:textId="77777777" w:rsidR="00ED6D27" w:rsidRPr="00D01A69" w:rsidRDefault="00ED6D27" w:rsidP="00ED6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>P</w:t>
                  </w:r>
                  <w:r w:rsidRPr="00D01A6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  <w:t>rojekts šo jomu neskar</w:t>
                  </w:r>
                </w:p>
              </w:tc>
            </w:tr>
          </w:tbl>
          <w:p w14:paraId="0B8969F9" w14:textId="77777777" w:rsidR="00ED6D27" w:rsidRPr="00ED6D27" w:rsidRDefault="00ED6D27" w:rsidP="00ED6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D6D27" w:rsidRPr="00D01A69" w14:paraId="33110512" w14:textId="77777777" w:rsidTr="00402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88"/>
            </w:tblGrid>
            <w:tr w:rsidR="0014643B" w:rsidRPr="00E5323B" w14:paraId="46F197CD" w14:textId="77777777" w:rsidTr="002B49B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50BC6" w14:textId="77777777" w:rsidR="0014643B" w:rsidRPr="009F67F9" w:rsidRDefault="0014643B" w:rsidP="00146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9F67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14643B" w:rsidRPr="009E1AA1" w14:paraId="2A534CC8" w14:textId="77777777" w:rsidTr="002B49B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96A64" w14:textId="77777777" w:rsidR="0014643B" w:rsidRPr="009F67F9" w:rsidRDefault="0014643B" w:rsidP="00146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</w:pPr>
                  <w:r w:rsidRPr="009F67F9">
                    <w:rPr>
                      <w:rFonts w:ascii="Times New Roman" w:eastAsia="Times New Roman" w:hAnsi="Times New Roman" w:cs="Times New Roman"/>
                      <w:bCs/>
                      <w:iCs/>
                      <w:color w:val="414142"/>
                      <w:sz w:val="24"/>
                      <w:szCs w:val="24"/>
                      <w:lang w:eastAsia="lv-LV"/>
                    </w:rPr>
                    <w:t>Projekts šo jomu neskar</w:t>
                  </w:r>
                </w:p>
              </w:tc>
            </w:tr>
          </w:tbl>
          <w:p w14:paraId="0C7D040C" w14:textId="77777777" w:rsidR="00ED6D27" w:rsidRPr="00D01A69" w:rsidRDefault="00ED6D27" w:rsidP="00ED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</w:tbl>
    <w:p w14:paraId="26445B5A" w14:textId="055CEDE9" w:rsidR="00402FEA" w:rsidRDefault="00402FEA" w:rsidP="004D0E53">
      <w:pPr>
        <w:pStyle w:val="Heading1"/>
        <w:ind w:right="-666"/>
        <w:jc w:val="both"/>
        <w:rPr>
          <w:sz w:val="24"/>
          <w:szCs w:val="24"/>
        </w:rPr>
      </w:pPr>
    </w:p>
    <w:tbl>
      <w:tblPr>
        <w:tblW w:w="4976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"/>
        <w:gridCol w:w="2531"/>
        <w:gridCol w:w="5058"/>
      </w:tblGrid>
      <w:tr w:rsidR="00402FEA" w:rsidRPr="00CF4414" w14:paraId="6313ADF4" w14:textId="77777777" w:rsidTr="00402FE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D9DC" w14:textId="77777777" w:rsidR="00402FEA" w:rsidRPr="00CF4414" w:rsidRDefault="00402FEA" w:rsidP="00657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02FEA" w:rsidRPr="00CF4414" w14:paraId="6CF4FC85" w14:textId="77777777" w:rsidTr="00402FEA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4C2D" w14:textId="77777777" w:rsidR="00402FEA" w:rsidRPr="00CF4414" w:rsidRDefault="00402FEA" w:rsidP="00657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085B" w14:textId="77777777" w:rsidR="00402FEA" w:rsidRPr="00CF4414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858E4" w14:textId="04698B87" w:rsidR="00402FEA" w:rsidRPr="00A92165" w:rsidRDefault="00402FEA" w:rsidP="00402FEA">
            <w:pPr>
              <w:pStyle w:val="naiskr"/>
              <w:spacing w:before="60" w:after="60"/>
              <w:ind w:left="57" w:right="57"/>
              <w:jc w:val="both"/>
              <w:rPr>
                <w:iCs/>
              </w:rPr>
            </w:pPr>
            <w:r w:rsidRPr="00A92165">
              <w:rPr>
                <w:rStyle w:val="st1"/>
                <w:bCs/>
              </w:rPr>
              <w:t>S</w:t>
            </w:r>
            <w:r w:rsidRPr="00A92165">
              <w:rPr>
                <w:iCs/>
              </w:rPr>
              <w:t xml:space="preserve">abiedrības līdzdalība </w:t>
            </w:r>
            <w:r>
              <w:rPr>
                <w:iCs/>
              </w:rPr>
              <w:t>noteikumu</w:t>
            </w:r>
            <w:r w:rsidRPr="00A92165">
              <w:rPr>
                <w:iCs/>
              </w:rPr>
              <w:t xml:space="preserve"> izstrādē </w:t>
            </w:r>
            <w:r w:rsidR="004B7D5C">
              <w:rPr>
                <w:iCs/>
              </w:rPr>
              <w:t>tiks</w:t>
            </w:r>
            <w:r w:rsidRPr="00A92165">
              <w:rPr>
                <w:iCs/>
              </w:rPr>
              <w:t xml:space="preserve"> nodrošināta, 1) nosūtot aicinājumu sociālajiem partneriem sniegt viedokli par sagatavotajiem priekšlikumiem pirms tā izsludināšanas Valsts sekretāru sanāksmē, kā arī 2) publicējot likumprojektu Ekonomikas ministrijas mājas lapā </w:t>
            </w:r>
            <w:r>
              <w:rPr>
                <w:iCs/>
              </w:rPr>
              <w:t>divas</w:t>
            </w:r>
            <w:r w:rsidRPr="00A92165">
              <w:rPr>
                <w:iCs/>
              </w:rPr>
              <w:t xml:space="preserve"> nedēļas pirms tā izsludināšanas Valsts sekretāru sanāksmē.</w:t>
            </w:r>
          </w:p>
          <w:p w14:paraId="617552C3" w14:textId="2A08C8FA" w:rsidR="00402FEA" w:rsidRPr="00402FEA" w:rsidRDefault="00402FEA" w:rsidP="0040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02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Pēc likumprojekta izsludināšanas Valsts sekretāru sanāksmē, turpmākā likumprojekta saskaņošanas gaita </w:t>
            </w:r>
            <w:r w:rsidR="004B7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tiks </w:t>
            </w:r>
            <w:r w:rsidRPr="00402FEA">
              <w:rPr>
                <w:rFonts w:ascii="Times New Roman" w:hAnsi="Times New Roman" w:cs="Times New Roman"/>
                <w:iCs/>
                <w:sz w:val="24"/>
                <w:szCs w:val="24"/>
              </w:rPr>
              <w:t>nodrošināta Ministru kabineta kārtības rullī noteiktajā kārtībā.</w:t>
            </w:r>
          </w:p>
        </w:tc>
      </w:tr>
      <w:tr w:rsidR="00402FEA" w:rsidRPr="00CF4414" w14:paraId="45127077" w14:textId="77777777" w:rsidTr="00402FEA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79EC" w14:textId="77777777" w:rsidR="00402FEA" w:rsidRPr="00CF4414" w:rsidRDefault="00402FEA" w:rsidP="00657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1319" w14:textId="77777777" w:rsidR="00402FEA" w:rsidRPr="00CF4414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B810B" w14:textId="5B89DC07" w:rsidR="00402FEA" w:rsidRPr="00CF4414" w:rsidRDefault="00BB63D1" w:rsidP="004B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02FEA" w:rsidRPr="00CF4414" w14:paraId="460B7E08" w14:textId="77777777" w:rsidTr="00402FEA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16D87" w14:textId="77777777" w:rsidR="00402FEA" w:rsidRPr="00CF4414" w:rsidRDefault="00402FEA" w:rsidP="00657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CE40" w14:textId="77777777" w:rsidR="00402FEA" w:rsidRPr="00CF4414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50FA" w14:textId="52CAE231" w:rsidR="00402FEA" w:rsidRPr="00CF4414" w:rsidRDefault="00BB63D1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02FEA" w:rsidRPr="00CF4414" w14:paraId="4EB85085" w14:textId="77777777" w:rsidTr="00402FEA">
        <w:trPr>
          <w:tblCellSpacing w:w="15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D272" w14:textId="77777777" w:rsidR="00402FEA" w:rsidRPr="00CF4414" w:rsidRDefault="00402FEA" w:rsidP="00657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3B94" w14:textId="77777777" w:rsidR="00402FEA" w:rsidRPr="00CF4414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66047" w14:textId="77777777" w:rsidR="00402FEA" w:rsidRPr="00CF4414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F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91FBE03" w14:textId="31C96609" w:rsidR="00402FEA" w:rsidRDefault="00402FEA" w:rsidP="00402FEA">
      <w:pPr>
        <w:rPr>
          <w:lang w:eastAsia="lv-LV"/>
        </w:rPr>
      </w:pPr>
      <w:bookmarkStart w:id="2" w:name="_Hlk20920192"/>
    </w:p>
    <w:tbl>
      <w:tblPr>
        <w:tblW w:w="5022" w:type="pct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2"/>
        <w:gridCol w:w="3135"/>
        <w:gridCol w:w="4509"/>
      </w:tblGrid>
      <w:tr w:rsidR="009F67F9" w:rsidRPr="009F67F9" w14:paraId="3CB4AFEC" w14:textId="77777777" w:rsidTr="00657769">
        <w:trPr>
          <w:tblCellSpacing w:w="15" w:type="dxa"/>
        </w:trPr>
        <w:tc>
          <w:tcPr>
            <w:tcW w:w="4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2"/>
          <w:p w14:paraId="1ABF6C91" w14:textId="77777777" w:rsidR="00402FEA" w:rsidRPr="009F67F9" w:rsidRDefault="00402FEA" w:rsidP="0065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F67F9" w:rsidRPr="009F67F9" w14:paraId="5F0F70B1" w14:textId="77777777" w:rsidTr="00657769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C1E1" w14:textId="77777777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CA13" w14:textId="77777777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C2620" w14:textId="77777777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izpildi nodrošina Konkurences padome</w:t>
            </w:r>
          </w:p>
        </w:tc>
      </w:tr>
      <w:tr w:rsidR="009F67F9" w:rsidRPr="009F67F9" w14:paraId="50875332" w14:textId="77777777" w:rsidTr="00657769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12AF" w14:textId="77777777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C25A" w14:textId="77777777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DD6D" w14:textId="77777777" w:rsidR="00402FEA" w:rsidRPr="009F67F9" w:rsidRDefault="00402FEA" w:rsidP="0040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9F6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projekta izpilde neietekmē projekta izstrādē iesaistītās institūcijas cilvēkresursus, funkcijas un uzdevumus. Noteikumu projekts neparedz veidot jaunas valsts institūcijas, to likvidāciju vai reorganizāciju, un neparedz jaunas institūciju funkcijas vai uzdevumus.</w:t>
            </w:r>
          </w:p>
        </w:tc>
      </w:tr>
      <w:tr w:rsidR="009F67F9" w:rsidRPr="009F67F9" w14:paraId="482093BF" w14:textId="77777777" w:rsidTr="00657769">
        <w:trPr>
          <w:tblCellSpacing w:w="15" w:type="dxa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F92A2" w14:textId="77777777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93928" w14:textId="77777777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F67F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6103" w14:textId="039C607B" w:rsidR="00402FEA" w:rsidRPr="009F67F9" w:rsidRDefault="00402FEA" w:rsidP="006577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9F6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14:paraId="24D0D031" w14:textId="77777777" w:rsidR="00402FEA" w:rsidRPr="009F67F9" w:rsidRDefault="00402FEA" w:rsidP="00402FEA">
      <w:pPr>
        <w:rPr>
          <w:color w:val="000000" w:themeColor="text1"/>
          <w:lang w:eastAsia="lv-LV"/>
        </w:rPr>
      </w:pPr>
    </w:p>
    <w:p w14:paraId="165C4528" w14:textId="31C96609" w:rsidR="00402FEA" w:rsidRPr="009F67F9" w:rsidRDefault="00402FEA" w:rsidP="00402FEA">
      <w:pPr>
        <w:rPr>
          <w:color w:val="000000" w:themeColor="text1"/>
          <w:lang w:eastAsia="lv-LV"/>
        </w:rPr>
      </w:pPr>
    </w:p>
    <w:p w14:paraId="429C1E19" w14:textId="77777777" w:rsidR="00402FEA" w:rsidRPr="009F67F9" w:rsidRDefault="00402FEA" w:rsidP="004D0E53">
      <w:pPr>
        <w:pStyle w:val="Heading1"/>
        <w:ind w:right="-666"/>
        <w:jc w:val="both"/>
        <w:rPr>
          <w:color w:val="000000" w:themeColor="text1"/>
          <w:sz w:val="24"/>
          <w:szCs w:val="24"/>
        </w:rPr>
      </w:pPr>
    </w:p>
    <w:p w14:paraId="3DB896BB" w14:textId="27715A26" w:rsidR="004D0E53" w:rsidRPr="009F67F9" w:rsidRDefault="004D0E53" w:rsidP="004D0E53">
      <w:pPr>
        <w:pStyle w:val="Heading1"/>
        <w:ind w:right="-666"/>
        <w:jc w:val="both"/>
        <w:rPr>
          <w:color w:val="000000" w:themeColor="text1"/>
          <w:sz w:val="24"/>
          <w:szCs w:val="24"/>
        </w:rPr>
      </w:pPr>
      <w:r w:rsidRPr="009F67F9">
        <w:rPr>
          <w:color w:val="000000" w:themeColor="text1"/>
          <w:sz w:val="24"/>
          <w:szCs w:val="24"/>
        </w:rPr>
        <w:t>Ekonomikas ministrs</w:t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  <w:t xml:space="preserve">          </w:t>
      </w:r>
      <w:r w:rsidRPr="009F67F9">
        <w:rPr>
          <w:color w:val="000000" w:themeColor="text1"/>
          <w:sz w:val="24"/>
          <w:szCs w:val="24"/>
        </w:rPr>
        <w:tab/>
        <w:t xml:space="preserve">     </w:t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</w:r>
      <w:r w:rsidRPr="009F67F9">
        <w:rPr>
          <w:color w:val="000000" w:themeColor="text1"/>
          <w:sz w:val="24"/>
          <w:szCs w:val="24"/>
        </w:rPr>
        <w:tab/>
        <w:t xml:space="preserve">    R. </w:t>
      </w:r>
      <w:proofErr w:type="spellStart"/>
      <w:r w:rsidRPr="009F67F9">
        <w:rPr>
          <w:color w:val="000000" w:themeColor="text1"/>
          <w:sz w:val="24"/>
          <w:szCs w:val="24"/>
        </w:rPr>
        <w:t>Nemiro</w:t>
      </w:r>
      <w:proofErr w:type="spellEnd"/>
    </w:p>
    <w:p w14:paraId="6D7B5DFF" w14:textId="77777777" w:rsidR="004D0E53" w:rsidRPr="009F67F9" w:rsidRDefault="004D0E53" w:rsidP="004D0E53">
      <w:pPr>
        <w:rPr>
          <w:color w:val="000000" w:themeColor="text1"/>
          <w:lang w:eastAsia="lv-LV"/>
        </w:rPr>
      </w:pPr>
    </w:p>
    <w:p w14:paraId="30D1E637" w14:textId="77777777" w:rsidR="004D0E53" w:rsidRPr="009F67F9" w:rsidRDefault="004D0E53" w:rsidP="004D0E53">
      <w:pPr>
        <w:ind w:right="-66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Vīza:</w:t>
      </w:r>
    </w:p>
    <w:p w14:paraId="7F799914" w14:textId="77777777" w:rsidR="004D0E53" w:rsidRPr="009F67F9" w:rsidRDefault="004D0E53" w:rsidP="004D0E53">
      <w:pPr>
        <w:ind w:right="-66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Valsts sekretārs </w:t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Ē. Eglītis</w:t>
      </w:r>
      <w:r w:rsidRPr="009F6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</w:t>
      </w:r>
    </w:p>
    <w:p w14:paraId="76F290F1" w14:textId="77777777" w:rsidR="004D0E53" w:rsidRPr="009F67F9" w:rsidRDefault="004D0E53" w:rsidP="004D0E53">
      <w:pPr>
        <w:pStyle w:val="naisf"/>
        <w:spacing w:before="0" w:after="0"/>
        <w:ind w:firstLine="720"/>
        <w:rPr>
          <w:color w:val="000000" w:themeColor="text1"/>
        </w:rPr>
      </w:pPr>
    </w:p>
    <w:p w14:paraId="52AF7758" w14:textId="6C12857F" w:rsidR="004D0E53" w:rsidRPr="009F67F9" w:rsidRDefault="004D0E53" w:rsidP="004D0E53">
      <w:pPr>
        <w:pStyle w:val="naisf"/>
        <w:tabs>
          <w:tab w:val="left" w:pos="0"/>
        </w:tabs>
        <w:spacing w:before="0" w:after="0"/>
        <w:ind w:firstLine="0"/>
        <w:rPr>
          <w:color w:val="000000" w:themeColor="text1"/>
          <w:sz w:val="20"/>
          <w:szCs w:val="20"/>
        </w:rPr>
      </w:pPr>
      <w:proofErr w:type="spellStart"/>
      <w:r w:rsidRPr="009F67F9">
        <w:rPr>
          <w:color w:val="000000" w:themeColor="text1"/>
          <w:sz w:val="20"/>
          <w:szCs w:val="20"/>
        </w:rPr>
        <w:t>D.Dzērviniece</w:t>
      </w:r>
      <w:proofErr w:type="spellEnd"/>
      <w:r w:rsidRPr="009F67F9">
        <w:rPr>
          <w:color w:val="000000" w:themeColor="text1"/>
          <w:sz w:val="20"/>
          <w:szCs w:val="20"/>
        </w:rPr>
        <w:t>, 67365225</w:t>
      </w:r>
    </w:p>
    <w:p w14:paraId="3082464F" w14:textId="4E179BE3" w:rsidR="004D0E53" w:rsidRDefault="00500DA2" w:rsidP="004D0E53">
      <w:pPr>
        <w:pStyle w:val="naisf"/>
        <w:tabs>
          <w:tab w:val="left" w:pos="0"/>
        </w:tabs>
        <w:spacing w:before="0" w:after="0"/>
        <w:ind w:firstLine="0"/>
        <w:rPr>
          <w:rStyle w:val="Hyperlink"/>
          <w:color w:val="000000" w:themeColor="text1"/>
          <w:sz w:val="20"/>
          <w:szCs w:val="20"/>
        </w:rPr>
      </w:pPr>
      <w:hyperlink r:id="rId8" w:history="1">
        <w:r w:rsidR="004D0E53" w:rsidRPr="009F67F9">
          <w:rPr>
            <w:rStyle w:val="Hyperlink"/>
            <w:color w:val="000000" w:themeColor="text1"/>
            <w:sz w:val="20"/>
            <w:szCs w:val="20"/>
          </w:rPr>
          <w:t>Dita.Dzerviniece@kp.gov.lv</w:t>
        </w:r>
      </w:hyperlink>
    </w:p>
    <w:p w14:paraId="7AC4212A" w14:textId="551A0724" w:rsidR="00527534" w:rsidRDefault="00527534" w:rsidP="004D0E53">
      <w:pPr>
        <w:pStyle w:val="naisf"/>
        <w:tabs>
          <w:tab w:val="left" w:pos="0"/>
        </w:tabs>
        <w:spacing w:before="0" w:after="0"/>
        <w:ind w:firstLine="0"/>
        <w:rPr>
          <w:rStyle w:val="Hyperlink"/>
          <w:color w:val="000000" w:themeColor="text1"/>
          <w:sz w:val="20"/>
          <w:szCs w:val="20"/>
        </w:rPr>
      </w:pPr>
      <w:proofErr w:type="spellStart"/>
      <w:r>
        <w:rPr>
          <w:rStyle w:val="Hyperlink"/>
          <w:color w:val="000000" w:themeColor="text1"/>
          <w:sz w:val="20"/>
          <w:szCs w:val="20"/>
        </w:rPr>
        <w:t>I.Eglītis</w:t>
      </w:r>
      <w:proofErr w:type="spellEnd"/>
      <w:r>
        <w:rPr>
          <w:rStyle w:val="Hyperlink"/>
          <w:color w:val="000000" w:themeColor="text1"/>
          <w:sz w:val="20"/>
          <w:szCs w:val="20"/>
        </w:rPr>
        <w:t>, 67013236</w:t>
      </w:r>
    </w:p>
    <w:p w14:paraId="6290C891" w14:textId="301F7596" w:rsidR="00527534" w:rsidRDefault="00500DA2" w:rsidP="004D0E53">
      <w:pPr>
        <w:pStyle w:val="naisf"/>
        <w:tabs>
          <w:tab w:val="left" w:pos="0"/>
        </w:tabs>
        <w:spacing w:before="0" w:after="0"/>
        <w:ind w:firstLine="0"/>
        <w:rPr>
          <w:rStyle w:val="Hyperlink"/>
          <w:color w:val="000000" w:themeColor="text1"/>
          <w:sz w:val="20"/>
          <w:szCs w:val="20"/>
        </w:rPr>
      </w:pPr>
      <w:hyperlink r:id="rId9" w:history="1">
        <w:r w:rsidR="00527534" w:rsidRPr="004C43D0">
          <w:rPr>
            <w:rStyle w:val="Hyperlink"/>
            <w:sz w:val="20"/>
            <w:szCs w:val="20"/>
          </w:rPr>
          <w:t>Intars.Eglitis@em.gov.lv</w:t>
        </w:r>
      </w:hyperlink>
    </w:p>
    <w:p w14:paraId="250509F8" w14:textId="77777777" w:rsidR="00527534" w:rsidRPr="009F67F9" w:rsidRDefault="00527534" w:rsidP="004D0E53">
      <w:pPr>
        <w:pStyle w:val="naisf"/>
        <w:tabs>
          <w:tab w:val="left" w:pos="0"/>
        </w:tabs>
        <w:spacing w:before="0" w:after="0"/>
        <w:ind w:firstLine="0"/>
        <w:rPr>
          <w:color w:val="000000" w:themeColor="text1"/>
          <w:sz w:val="20"/>
          <w:szCs w:val="20"/>
        </w:rPr>
      </w:pPr>
    </w:p>
    <w:p w14:paraId="71AA084A" w14:textId="76193FBD" w:rsidR="00467500" w:rsidRPr="009F67F9" w:rsidRDefault="00467500" w:rsidP="00023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sectPr w:rsidR="00467500" w:rsidRPr="009F6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89D"/>
    <w:multiLevelType w:val="hybridMultilevel"/>
    <w:tmpl w:val="5EFC5316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20F4"/>
    <w:multiLevelType w:val="hybridMultilevel"/>
    <w:tmpl w:val="6094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54B"/>
    <w:multiLevelType w:val="multilevel"/>
    <w:tmpl w:val="792E501C"/>
    <w:lvl w:ilvl="0">
      <w:start w:val="1"/>
      <w:numFmt w:val="decimal"/>
      <w:lvlText w:val="%1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abstractNum w:abstractNumId="3" w15:restartNumberingAfterBreak="0">
    <w:nsid w:val="23023338"/>
    <w:multiLevelType w:val="hybridMultilevel"/>
    <w:tmpl w:val="AF003176"/>
    <w:lvl w:ilvl="0" w:tplc="EA240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3F1"/>
    <w:multiLevelType w:val="hybridMultilevel"/>
    <w:tmpl w:val="42E47B52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B45F9"/>
    <w:multiLevelType w:val="hybridMultilevel"/>
    <w:tmpl w:val="00E8176A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927FD"/>
    <w:multiLevelType w:val="hybridMultilevel"/>
    <w:tmpl w:val="02968A24"/>
    <w:lvl w:ilvl="0" w:tplc="5AF28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A2436"/>
    <w:multiLevelType w:val="hybridMultilevel"/>
    <w:tmpl w:val="0130DD5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4743"/>
    <w:multiLevelType w:val="hybridMultilevel"/>
    <w:tmpl w:val="42E47B52"/>
    <w:lvl w:ilvl="0" w:tplc="CCA092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00"/>
    <w:rsid w:val="00023F41"/>
    <w:rsid w:val="000414BE"/>
    <w:rsid w:val="0006796D"/>
    <w:rsid w:val="000C408E"/>
    <w:rsid w:val="000F5A27"/>
    <w:rsid w:val="00127DF4"/>
    <w:rsid w:val="00127F9D"/>
    <w:rsid w:val="00135785"/>
    <w:rsid w:val="0014643B"/>
    <w:rsid w:val="00167657"/>
    <w:rsid w:val="001F3369"/>
    <w:rsid w:val="00202B7E"/>
    <w:rsid w:val="00207E77"/>
    <w:rsid w:val="00222330"/>
    <w:rsid w:val="002564BE"/>
    <w:rsid w:val="00261112"/>
    <w:rsid w:val="002B6B57"/>
    <w:rsid w:val="003B2111"/>
    <w:rsid w:val="003D724A"/>
    <w:rsid w:val="00402FEA"/>
    <w:rsid w:val="00426F74"/>
    <w:rsid w:val="00467500"/>
    <w:rsid w:val="004A63E5"/>
    <w:rsid w:val="004B7D5C"/>
    <w:rsid w:val="004D0E53"/>
    <w:rsid w:val="004D1185"/>
    <w:rsid w:val="004D326F"/>
    <w:rsid w:val="00500DA2"/>
    <w:rsid w:val="00502F5E"/>
    <w:rsid w:val="0050417F"/>
    <w:rsid w:val="00527534"/>
    <w:rsid w:val="005D007F"/>
    <w:rsid w:val="0061774A"/>
    <w:rsid w:val="006665AE"/>
    <w:rsid w:val="006A233F"/>
    <w:rsid w:val="006D43EA"/>
    <w:rsid w:val="006E2C1A"/>
    <w:rsid w:val="0070566C"/>
    <w:rsid w:val="00754E48"/>
    <w:rsid w:val="007B3451"/>
    <w:rsid w:val="00803822"/>
    <w:rsid w:val="008B09AC"/>
    <w:rsid w:val="008F218E"/>
    <w:rsid w:val="0091605E"/>
    <w:rsid w:val="009739C8"/>
    <w:rsid w:val="0099120D"/>
    <w:rsid w:val="009F67F9"/>
    <w:rsid w:val="00A87FFD"/>
    <w:rsid w:val="00B2198C"/>
    <w:rsid w:val="00B23506"/>
    <w:rsid w:val="00B73F73"/>
    <w:rsid w:val="00BB63D1"/>
    <w:rsid w:val="00BD0521"/>
    <w:rsid w:val="00BE53B7"/>
    <w:rsid w:val="00BF0C73"/>
    <w:rsid w:val="00C635A6"/>
    <w:rsid w:val="00CA1E11"/>
    <w:rsid w:val="00CE0DF2"/>
    <w:rsid w:val="00CE33FE"/>
    <w:rsid w:val="00CF420C"/>
    <w:rsid w:val="00CF4414"/>
    <w:rsid w:val="00DA030C"/>
    <w:rsid w:val="00DB071C"/>
    <w:rsid w:val="00DB4BE7"/>
    <w:rsid w:val="00DE749B"/>
    <w:rsid w:val="00E42205"/>
    <w:rsid w:val="00EC0EB0"/>
    <w:rsid w:val="00ED3F0A"/>
    <w:rsid w:val="00ED6D27"/>
    <w:rsid w:val="00F01F46"/>
    <w:rsid w:val="00F52230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480424A"/>
  <w15:chartTrackingRefBased/>
  <w15:docId w15:val="{60C7018E-04EE-45B6-9307-77CEF471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0E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6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67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4B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v2131">
    <w:name w:val="tv2131"/>
    <w:basedOn w:val="Normal"/>
    <w:rsid w:val="00CF441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uiPriority w:val="99"/>
    <w:rsid w:val="00CF44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9739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D0E5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4D0E53"/>
    <w:pPr>
      <w:spacing w:before="69" w:after="69" w:line="240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D0E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53"/>
    <w:rPr>
      <w:b/>
      <w:bCs/>
      <w:sz w:val="20"/>
      <w:szCs w:val="20"/>
    </w:rPr>
  </w:style>
  <w:style w:type="character" w:customStyle="1" w:styleId="st1">
    <w:name w:val="st1"/>
    <w:uiPriority w:val="99"/>
    <w:rsid w:val="004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3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8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a.Dzerviniece@kp.go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54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548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ars.Egliti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C117-353E-46F9-A047-CF57CB6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4610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Dzērviniece</dc:creator>
  <cp:keywords>Sākotnējās ietekmes novērtējuma ziņojums (anotācija)</cp:keywords>
  <dc:description/>
  <cp:lastModifiedBy>Intars Eglītis</cp:lastModifiedBy>
  <cp:revision>10</cp:revision>
  <cp:lastPrinted>2019-10-04T07:57:00Z</cp:lastPrinted>
  <dcterms:created xsi:type="dcterms:W3CDTF">2019-10-04T07:57:00Z</dcterms:created>
  <dcterms:modified xsi:type="dcterms:W3CDTF">2019-10-24T07:51:00Z</dcterms:modified>
</cp:coreProperties>
</file>