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0185" w14:textId="77777777" w:rsidR="008F1C84" w:rsidRPr="00C04ED5" w:rsidRDefault="008F1C84" w:rsidP="007A479E">
      <w:pPr>
        <w:pStyle w:val="naisnod"/>
        <w:spacing w:before="0" w:after="0"/>
        <w:ind w:firstLine="720"/>
        <w:rPr>
          <w:sz w:val="26"/>
          <w:szCs w:val="26"/>
        </w:rPr>
      </w:pPr>
      <w:r w:rsidRPr="00C04ED5">
        <w:rPr>
          <w:sz w:val="26"/>
          <w:szCs w:val="26"/>
        </w:rPr>
        <w:t>Izziņa par atzinumos sniegtajiem iebildumiem</w:t>
      </w:r>
    </w:p>
    <w:p w14:paraId="12510790" w14:textId="6FCD58C4" w:rsidR="008F1C84" w:rsidRPr="00C04ED5" w:rsidRDefault="0030604D" w:rsidP="007A479E">
      <w:pPr>
        <w:pStyle w:val="naisf"/>
        <w:spacing w:before="0" w:after="0"/>
        <w:ind w:firstLine="0"/>
        <w:jc w:val="center"/>
        <w:rPr>
          <w:b/>
          <w:bCs/>
          <w:sz w:val="26"/>
          <w:szCs w:val="26"/>
        </w:rPr>
      </w:pPr>
      <w:r w:rsidRPr="00C04ED5">
        <w:rPr>
          <w:b/>
          <w:sz w:val="26"/>
          <w:szCs w:val="26"/>
        </w:rPr>
        <w:t xml:space="preserve">Informatīvajam </w:t>
      </w:r>
      <w:r w:rsidRPr="00C04ED5">
        <w:rPr>
          <w:b/>
          <w:bCs/>
          <w:sz w:val="26"/>
          <w:szCs w:val="26"/>
        </w:rPr>
        <w:t>ziņojumam</w:t>
      </w:r>
      <w:r w:rsidR="008F1C84" w:rsidRPr="00C04ED5">
        <w:rPr>
          <w:b/>
          <w:bCs/>
          <w:sz w:val="26"/>
          <w:szCs w:val="26"/>
        </w:rPr>
        <w:t xml:space="preserve"> „</w:t>
      </w:r>
      <w:r w:rsidR="003717AB" w:rsidRPr="00C04ED5">
        <w:rPr>
          <w:b/>
          <w:bCs/>
          <w:sz w:val="26"/>
          <w:szCs w:val="26"/>
        </w:rPr>
        <w:t>Par vienotas konkurences un regulācijas iestādes izveides iespējām</w:t>
      </w:r>
      <w:r w:rsidR="008F1C84" w:rsidRPr="00C04ED5">
        <w:rPr>
          <w:b/>
          <w:bCs/>
          <w:sz w:val="26"/>
          <w:szCs w:val="26"/>
        </w:rPr>
        <w:t>”</w:t>
      </w:r>
    </w:p>
    <w:p w14:paraId="499BEB4A" w14:textId="77777777" w:rsidR="008F1C84" w:rsidRPr="00387DD8" w:rsidRDefault="008F1C84" w:rsidP="007A479E">
      <w:pPr>
        <w:pStyle w:val="naislab"/>
        <w:spacing w:before="0" w:after="0"/>
        <w:jc w:val="both"/>
      </w:pPr>
    </w:p>
    <w:p w14:paraId="1485A6AA" w14:textId="77777777" w:rsidR="00B86F65" w:rsidRDefault="00B86F65" w:rsidP="007A479E">
      <w:pPr>
        <w:spacing w:after="0" w:line="240" w:lineRule="auto"/>
        <w:jc w:val="both"/>
        <w:rPr>
          <w:rFonts w:ascii="Times New Roman" w:hAnsi="Times New Roman" w:cs="Times New Roman"/>
          <w:b/>
          <w:sz w:val="24"/>
          <w:szCs w:val="24"/>
        </w:rPr>
      </w:pPr>
    </w:p>
    <w:p w14:paraId="665790E3" w14:textId="77777777" w:rsidR="008F1C84" w:rsidRPr="00387DD8" w:rsidRDefault="008F1C84" w:rsidP="007A479E">
      <w:pPr>
        <w:spacing w:after="0" w:line="240" w:lineRule="auto"/>
        <w:jc w:val="both"/>
        <w:rPr>
          <w:rFonts w:ascii="Times New Roman" w:hAnsi="Times New Roman" w:cs="Times New Roman"/>
          <w:b/>
          <w:sz w:val="24"/>
          <w:szCs w:val="24"/>
        </w:rPr>
      </w:pPr>
      <w:r w:rsidRPr="00387DD8">
        <w:rPr>
          <w:rFonts w:ascii="Times New Roman" w:hAnsi="Times New Roman" w:cs="Times New Roman"/>
          <w:b/>
          <w:sz w:val="24"/>
          <w:szCs w:val="24"/>
        </w:rPr>
        <w:t xml:space="preserve">Informācija par </w:t>
      </w:r>
      <w:proofErr w:type="spellStart"/>
      <w:r w:rsidRPr="00387DD8">
        <w:rPr>
          <w:rFonts w:ascii="Times New Roman" w:hAnsi="Times New Roman" w:cs="Times New Roman"/>
          <w:b/>
          <w:sz w:val="24"/>
          <w:szCs w:val="24"/>
        </w:rPr>
        <w:t>starpministriju</w:t>
      </w:r>
      <w:proofErr w:type="spellEnd"/>
      <w:r w:rsidRPr="00387DD8">
        <w:rPr>
          <w:rFonts w:ascii="Times New Roman" w:hAnsi="Times New Roman" w:cs="Times New Roman"/>
          <w:b/>
          <w:sz w:val="24"/>
          <w:szCs w:val="24"/>
        </w:rPr>
        <w:t xml:space="preserve"> (starpinstitūciju) sanāksmi vai elektronisko saskaņošanu</w:t>
      </w:r>
    </w:p>
    <w:p w14:paraId="485E3918" w14:textId="77777777" w:rsidR="008F1C84" w:rsidRPr="00387DD8" w:rsidRDefault="008F1C84" w:rsidP="007A479E">
      <w:pPr>
        <w:pStyle w:val="naisf"/>
        <w:spacing w:before="0" w:after="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9464"/>
      </w:tblGrid>
      <w:tr w:rsidR="00EC5A31" w:rsidRPr="00387DD8" w14:paraId="01683053" w14:textId="77777777" w:rsidTr="00654106">
        <w:tc>
          <w:tcPr>
            <w:tcW w:w="4529" w:type="dxa"/>
          </w:tcPr>
          <w:p w14:paraId="61C12562" w14:textId="77777777" w:rsidR="008F1C84" w:rsidRPr="00387DD8" w:rsidRDefault="008F1C84" w:rsidP="007A479E">
            <w:pPr>
              <w:pStyle w:val="naisf"/>
              <w:spacing w:before="0" w:after="0"/>
              <w:ind w:firstLine="0"/>
              <w:rPr>
                <w:b/>
              </w:rPr>
            </w:pPr>
            <w:r w:rsidRPr="00387DD8">
              <w:t>Datums:</w:t>
            </w:r>
          </w:p>
        </w:tc>
        <w:tc>
          <w:tcPr>
            <w:tcW w:w="9464" w:type="dxa"/>
          </w:tcPr>
          <w:p w14:paraId="49C40E5F" w14:textId="15C88312" w:rsidR="008F1C84" w:rsidRPr="00387DD8" w:rsidRDefault="008F1C84" w:rsidP="007A479E">
            <w:pPr>
              <w:pStyle w:val="naisf"/>
              <w:spacing w:before="0" w:after="0"/>
              <w:ind w:firstLine="0"/>
            </w:pPr>
          </w:p>
        </w:tc>
      </w:tr>
      <w:tr w:rsidR="00EC5A31" w:rsidRPr="00387DD8" w14:paraId="327D1772" w14:textId="77777777" w:rsidTr="00654106">
        <w:tc>
          <w:tcPr>
            <w:tcW w:w="4529" w:type="dxa"/>
          </w:tcPr>
          <w:p w14:paraId="397E8CE1" w14:textId="77777777" w:rsidR="008F1C84" w:rsidRPr="00387DD8" w:rsidRDefault="008F1C84" w:rsidP="007A479E">
            <w:pPr>
              <w:pStyle w:val="naisf"/>
              <w:spacing w:before="0" w:after="0"/>
              <w:ind w:firstLine="0"/>
              <w:rPr>
                <w:b/>
              </w:rPr>
            </w:pPr>
            <w:r w:rsidRPr="00387DD8">
              <w:t>Saskaņošanas dalībnieki:</w:t>
            </w:r>
          </w:p>
        </w:tc>
        <w:tc>
          <w:tcPr>
            <w:tcW w:w="9464" w:type="dxa"/>
          </w:tcPr>
          <w:p w14:paraId="276395F8" w14:textId="48590628" w:rsidR="00B428F5" w:rsidRPr="00387DD8" w:rsidRDefault="00B428F5" w:rsidP="00B428F5">
            <w:pPr>
              <w:pStyle w:val="naisf"/>
              <w:spacing w:before="0" w:after="0"/>
              <w:ind w:right="-2" w:firstLine="0"/>
            </w:pPr>
          </w:p>
        </w:tc>
      </w:tr>
      <w:tr w:rsidR="00654106" w:rsidRPr="00387DD8" w14:paraId="487BD80E" w14:textId="77777777" w:rsidTr="00654106">
        <w:tc>
          <w:tcPr>
            <w:tcW w:w="4529" w:type="dxa"/>
          </w:tcPr>
          <w:p w14:paraId="1F7010B7" w14:textId="58F9616E" w:rsidR="00654106" w:rsidRPr="00387DD8" w:rsidRDefault="00654106" w:rsidP="007A479E">
            <w:pPr>
              <w:pStyle w:val="naisf"/>
              <w:spacing w:before="0" w:after="0"/>
              <w:ind w:firstLine="0"/>
            </w:pPr>
            <w:r w:rsidRPr="00387DD8">
              <w:t>Saskaņošanas dalībnieki izskatīja šādu ministriju (citu institūciju) iebildumus:</w:t>
            </w:r>
          </w:p>
        </w:tc>
        <w:tc>
          <w:tcPr>
            <w:tcW w:w="9464" w:type="dxa"/>
            <w:tcBorders>
              <w:bottom w:val="single" w:sz="4" w:space="0" w:color="auto"/>
            </w:tcBorders>
          </w:tcPr>
          <w:p w14:paraId="293DF20E" w14:textId="1A4E045A" w:rsidR="00654106" w:rsidRPr="00387DD8" w:rsidRDefault="00654106" w:rsidP="007A479E">
            <w:pPr>
              <w:pStyle w:val="naisf"/>
              <w:spacing w:before="0" w:after="0"/>
              <w:ind w:right="854" w:firstLine="0"/>
            </w:pPr>
          </w:p>
        </w:tc>
      </w:tr>
      <w:tr w:rsidR="003D33EA" w:rsidRPr="00387DD8" w14:paraId="5DC42D6D" w14:textId="77777777" w:rsidTr="00654106">
        <w:tc>
          <w:tcPr>
            <w:tcW w:w="4529" w:type="dxa"/>
          </w:tcPr>
          <w:p w14:paraId="5B3A12AB" w14:textId="77777777" w:rsidR="008F1C84" w:rsidRPr="00387DD8" w:rsidRDefault="008F1C84" w:rsidP="007A479E">
            <w:pPr>
              <w:pStyle w:val="naisf"/>
              <w:spacing w:before="0" w:after="0"/>
              <w:ind w:firstLine="0"/>
            </w:pPr>
            <w:r w:rsidRPr="00387DD8">
              <w:t>Ministrijas (citas institūcijas), kuras nav ieradušās uz sanāksmi vai kuras nav atbildējušas uz uzaicinājumu piedalīties elektroniskajā saskaņošanā:</w:t>
            </w:r>
          </w:p>
        </w:tc>
        <w:tc>
          <w:tcPr>
            <w:tcW w:w="9464" w:type="dxa"/>
          </w:tcPr>
          <w:p w14:paraId="1BC488E3" w14:textId="6F7A184A" w:rsidR="008F1C84" w:rsidRPr="00387DD8" w:rsidRDefault="008F1C84" w:rsidP="00986CAC">
            <w:pPr>
              <w:spacing w:after="0" w:line="240" w:lineRule="auto"/>
              <w:rPr>
                <w:rFonts w:ascii="Times New Roman" w:hAnsi="Times New Roman" w:cs="Times New Roman"/>
                <w:bCs/>
                <w:sz w:val="24"/>
                <w:szCs w:val="24"/>
              </w:rPr>
            </w:pPr>
          </w:p>
        </w:tc>
      </w:tr>
    </w:tbl>
    <w:p w14:paraId="4A0F9AF2" w14:textId="77777777" w:rsidR="00BB7E3C" w:rsidRDefault="00BB7E3C" w:rsidP="007A479E">
      <w:pPr>
        <w:pStyle w:val="naisf"/>
        <w:spacing w:before="0" w:after="0"/>
        <w:ind w:firstLine="0"/>
        <w:rPr>
          <w:b/>
        </w:rPr>
      </w:pPr>
    </w:p>
    <w:p w14:paraId="189CF558" w14:textId="77777777" w:rsidR="00C04ED5" w:rsidRDefault="00C04ED5">
      <w:pPr>
        <w:rPr>
          <w:rFonts w:ascii="Times New Roman" w:eastAsia="Times New Roman" w:hAnsi="Times New Roman" w:cs="Times New Roman"/>
          <w:sz w:val="24"/>
          <w:szCs w:val="24"/>
          <w:lang w:eastAsia="lv-LV"/>
        </w:rPr>
      </w:pPr>
    </w:p>
    <w:p w14:paraId="18E40008" w14:textId="77777777" w:rsidR="00F7721A" w:rsidRPr="00262710" w:rsidRDefault="00F7721A" w:rsidP="00F7721A">
      <w:pPr>
        <w:pStyle w:val="naisf"/>
        <w:spacing w:before="0" w:after="0"/>
        <w:jc w:val="center"/>
        <w:rPr>
          <w:b/>
          <w:sz w:val="26"/>
          <w:szCs w:val="26"/>
        </w:rPr>
      </w:pPr>
      <w:r w:rsidRPr="00262710">
        <w:rPr>
          <w:b/>
        </w:rPr>
        <w:t>I.</w:t>
      </w:r>
      <w:r>
        <w:rPr>
          <w:b/>
        </w:rPr>
        <w:t> </w:t>
      </w:r>
      <w:r w:rsidRPr="00262710">
        <w:rPr>
          <w:b/>
        </w:rPr>
        <w:t>Jautājumi, par kuriem saskaņošanā vienošanās nav panākta</w:t>
      </w:r>
    </w:p>
    <w:p w14:paraId="7DE1F776" w14:textId="77777777" w:rsidR="00F7721A" w:rsidRPr="00262710" w:rsidRDefault="00F7721A" w:rsidP="00F7721A">
      <w:pPr>
        <w:pStyle w:val="naisf"/>
        <w:spacing w:before="0" w:after="0"/>
        <w:jc w:val="center"/>
        <w:rPr>
          <w:b/>
          <w:sz w:val="26"/>
          <w:szCs w:val="26"/>
        </w:rPr>
      </w:pPr>
    </w:p>
    <w:tbl>
      <w:tblPr>
        <w:tblW w:w="1427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1842"/>
        <w:gridCol w:w="3402"/>
        <w:gridCol w:w="4423"/>
        <w:gridCol w:w="2268"/>
        <w:gridCol w:w="1673"/>
      </w:tblGrid>
      <w:tr w:rsidR="00F7721A" w:rsidRPr="00F228CE" w14:paraId="37EB7A22" w14:textId="77777777" w:rsidTr="00BD6D33">
        <w:trPr>
          <w:trHeight w:val="1635"/>
        </w:trPr>
        <w:tc>
          <w:tcPr>
            <w:tcW w:w="666" w:type="dxa"/>
            <w:vAlign w:val="center"/>
          </w:tcPr>
          <w:p w14:paraId="60DF71C9"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Nr. p.k.</w:t>
            </w:r>
          </w:p>
        </w:tc>
        <w:tc>
          <w:tcPr>
            <w:tcW w:w="1842" w:type="dxa"/>
            <w:vAlign w:val="center"/>
          </w:tcPr>
          <w:p w14:paraId="771D190A"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Saskaņošanai nosūtītā projekta redakcija (konkrēta punkta (panta) redakcija)</w:t>
            </w:r>
          </w:p>
        </w:tc>
        <w:tc>
          <w:tcPr>
            <w:tcW w:w="3402" w:type="dxa"/>
            <w:vAlign w:val="center"/>
          </w:tcPr>
          <w:p w14:paraId="3256797D"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4423" w:type="dxa"/>
            <w:vAlign w:val="center"/>
          </w:tcPr>
          <w:p w14:paraId="3A7F76C5"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Atbildīgās ministrijas pamatojums iebilduma noraidījumam</w:t>
            </w:r>
          </w:p>
        </w:tc>
        <w:tc>
          <w:tcPr>
            <w:tcW w:w="2268" w:type="dxa"/>
            <w:vAlign w:val="center"/>
          </w:tcPr>
          <w:p w14:paraId="46FC2C8C"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Atzinuma sniedzēja uzturētais iebildums, ja tas atšķiras no atzinumā norādītā iebilduma pamatojuma</w:t>
            </w:r>
          </w:p>
        </w:tc>
        <w:tc>
          <w:tcPr>
            <w:tcW w:w="1673" w:type="dxa"/>
            <w:vAlign w:val="center"/>
          </w:tcPr>
          <w:p w14:paraId="5345CD8D" w14:textId="77777777" w:rsidR="00F7721A" w:rsidRPr="00F228CE" w:rsidRDefault="00F7721A" w:rsidP="00394DD0">
            <w:pPr>
              <w:jc w:val="center"/>
              <w:rPr>
                <w:rFonts w:ascii="Times New Roman" w:hAnsi="Times New Roman" w:cs="Times New Roman"/>
                <w:b/>
                <w:sz w:val="24"/>
                <w:szCs w:val="24"/>
              </w:rPr>
            </w:pPr>
            <w:r w:rsidRPr="00F228CE">
              <w:rPr>
                <w:rFonts w:ascii="Times New Roman" w:hAnsi="Times New Roman" w:cs="Times New Roman"/>
                <w:sz w:val="24"/>
                <w:szCs w:val="24"/>
              </w:rPr>
              <w:t>Projekta attiecīgā punkta (panta) galīgā redakcija</w:t>
            </w:r>
          </w:p>
        </w:tc>
      </w:tr>
      <w:tr w:rsidR="00F7721A" w:rsidRPr="00F228CE" w14:paraId="7107597D" w14:textId="77777777" w:rsidTr="00BD6D33">
        <w:trPr>
          <w:trHeight w:val="267"/>
        </w:trPr>
        <w:tc>
          <w:tcPr>
            <w:tcW w:w="666" w:type="dxa"/>
            <w:vAlign w:val="center"/>
          </w:tcPr>
          <w:p w14:paraId="5FB93102"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1</w:t>
            </w:r>
          </w:p>
        </w:tc>
        <w:tc>
          <w:tcPr>
            <w:tcW w:w="1842" w:type="dxa"/>
            <w:vAlign w:val="center"/>
          </w:tcPr>
          <w:p w14:paraId="5E99FE94"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2</w:t>
            </w:r>
          </w:p>
        </w:tc>
        <w:tc>
          <w:tcPr>
            <w:tcW w:w="3402" w:type="dxa"/>
            <w:vAlign w:val="center"/>
          </w:tcPr>
          <w:p w14:paraId="54C86056"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3</w:t>
            </w:r>
          </w:p>
        </w:tc>
        <w:tc>
          <w:tcPr>
            <w:tcW w:w="4423" w:type="dxa"/>
            <w:vAlign w:val="center"/>
          </w:tcPr>
          <w:p w14:paraId="2624A4A7"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4</w:t>
            </w:r>
          </w:p>
        </w:tc>
        <w:tc>
          <w:tcPr>
            <w:tcW w:w="2268" w:type="dxa"/>
            <w:vAlign w:val="center"/>
          </w:tcPr>
          <w:p w14:paraId="66CD533D"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5</w:t>
            </w:r>
          </w:p>
        </w:tc>
        <w:tc>
          <w:tcPr>
            <w:tcW w:w="1673" w:type="dxa"/>
            <w:vAlign w:val="center"/>
          </w:tcPr>
          <w:p w14:paraId="6DFF2A51" w14:textId="77777777" w:rsidR="00F7721A" w:rsidRPr="00F228CE" w:rsidRDefault="00F7721A" w:rsidP="00394DD0">
            <w:pPr>
              <w:jc w:val="center"/>
              <w:rPr>
                <w:rFonts w:ascii="Times New Roman" w:hAnsi="Times New Roman" w:cs="Times New Roman"/>
                <w:sz w:val="24"/>
                <w:szCs w:val="24"/>
              </w:rPr>
            </w:pPr>
            <w:r w:rsidRPr="00F228CE">
              <w:rPr>
                <w:rFonts w:ascii="Times New Roman" w:hAnsi="Times New Roman" w:cs="Times New Roman"/>
                <w:sz w:val="24"/>
                <w:szCs w:val="24"/>
              </w:rPr>
              <w:t>6</w:t>
            </w:r>
          </w:p>
        </w:tc>
      </w:tr>
      <w:tr w:rsidR="00DC0900" w:rsidRPr="00F228CE" w14:paraId="333E3206" w14:textId="77777777" w:rsidTr="00BD6D33">
        <w:trPr>
          <w:trHeight w:val="267"/>
        </w:trPr>
        <w:tc>
          <w:tcPr>
            <w:tcW w:w="666" w:type="dxa"/>
          </w:tcPr>
          <w:p w14:paraId="4200F830" w14:textId="45EF2800" w:rsidR="00DC0900" w:rsidRPr="00F228CE" w:rsidRDefault="007C0578" w:rsidP="00DC0900">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CCB79BD" w14:textId="77777777" w:rsidR="00DC0900" w:rsidRDefault="00DC0900" w:rsidP="00DC0900">
            <w:pPr>
              <w:jc w:val="both"/>
              <w:rPr>
                <w:rFonts w:ascii="Times New Roman" w:hAnsi="Times New Roman" w:cs="Times New Roman"/>
                <w:sz w:val="24"/>
                <w:szCs w:val="24"/>
              </w:rPr>
            </w:pPr>
          </w:p>
          <w:p w14:paraId="628B67F6" w14:textId="2F5ED3A0" w:rsidR="009A1A90" w:rsidRDefault="009A1A90" w:rsidP="009A1A90">
            <w:pPr>
              <w:rPr>
                <w:rFonts w:ascii="Times New Roman" w:hAnsi="Times New Roman" w:cs="Times New Roman"/>
                <w:sz w:val="24"/>
                <w:szCs w:val="24"/>
              </w:rPr>
            </w:pPr>
          </w:p>
          <w:p w14:paraId="63E97F28" w14:textId="77777777" w:rsidR="009A1A90" w:rsidRPr="009A1A90" w:rsidRDefault="009A1A90" w:rsidP="009A1A90">
            <w:pPr>
              <w:rPr>
                <w:rFonts w:ascii="Times New Roman" w:hAnsi="Times New Roman" w:cs="Times New Roman"/>
                <w:sz w:val="24"/>
                <w:szCs w:val="24"/>
              </w:rPr>
            </w:pPr>
          </w:p>
          <w:p w14:paraId="15C7DC65" w14:textId="77777777" w:rsidR="009A1A90" w:rsidRPr="009A1A90" w:rsidRDefault="009A1A90" w:rsidP="009A1A90">
            <w:pPr>
              <w:rPr>
                <w:rFonts w:ascii="Times New Roman" w:hAnsi="Times New Roman" w:cs="Times New Roman"/>
                <w:sz w:val="24"/>
                <w:szCs w:val="24"/>
              </w:rPr>
            </w:pPr>
          </w:p>
          <w:p w14:paraId="2D98AC98" w14:textId="77777777" w:rsidR="009A1A90" w:rsidRPr="009A1A90" w:rsidRDefault="009A1A90" w:rsidP="009A1A90">
            <w:pPr>
              <w:rPr>
                <w:rFonts w:ascii="Times New Roman" w:hAnsi="Times New Roman" w:cs="Times New Roman"/>
                <w:sz w:val="24"/>
                <w:szCs w:val="24"/>
              </w:rPr>
            </w:pPr>
          </w:p>
          <w:p w14:paraId="0ED9D52B" w14:textId="77777777" w:rsidR="009A1A90" w:rsidRPr="009A1A90" w:rsidRDefault="009A1A90" w:rsidP="009A1A90">
            <w:pPr>
              <w:rPr>
                <w:rFonts w:ascii="Times New Roman" w:hAnsi="Times New Roman" w:cs="Times New Roman"/>
                <w:sz w:val="24"/>
                <w:szCs w:val="24"/>
              </w:rPr>
            </w:pPr>
          </w:p>
          <w:p w14:paraId="02EF445C" w14:textId="77777777" w:rsidR="009A1A90" w:rsidRPr="009A1A90" w:rsidRDefault="009A1A90" w:rsidP="009A1A90">
            <w:pPr>
              <w:rPr>
                <w:rFonts w:ascii="Times New Roman" w:hAnsi="Times New Roman" w:cs="Times New Roman"/>
                <w:sz w:val="24"/>
                <w:szCs w:val="24"/>
              </w:rPr>
            </w:pPr>
          </w:p>
          <w:p w14:paraId="3A3E12F1" w14:textId="350A2DCA" w:rsidR="009A1A90" w:rsidRPr="009A1A90" w:rsidRDefault="009A1A90" w:rsidP="009A1A90">
            <w:pPr>
              <w:rPr>
                <w:rFonts w:ascii="Times New Roman" w:hAnsi="Times New Roman" w:cs="Times New Roman"/>
                <w:sz w:val="24"/>
                <w:szCs w:val="24"/>
              </w:rPr>
            </w:pPr>
          </w:p>
        </w:tc>
        <w:tc>
          <w:tcPr>
            <w:tcW w:w="3402" w:type="dxa"/>
          </w:tcPr>
          <w:p w14:paraId="5368C461" w14:textId="18B5D467" w:rsidR="00AB351E" w:rsidRPr="00AD08F8" w:rsidRDefault="00AB351E" w:rsidP="00AB351E">
            <w:pPr>
              <w:pStyle w:val="naisc"/>
              <w:spacing w:before="0" w:after="0"/>
              <w:jc w:val="both"/>
              <w:rPr>
                <w:i/>
                <w:iCs/>
              </w:rPr>
            </w:pPr>
            <w:r w:rsidRPr="00AD08F8">
              <w:rPr>
                <w:i/>
                <w:iCs/>
              </w:rPr>
              <w:lastRenderedPageBreak/>
              <w:t>08</w:t>
            </w:r>
            <w:r>
              <w:rPr>
                <w:i/>
                <w:iCs/>
              </w:rPr>
              <w:t>.</w:t>
            </w:r>
            <w:r w:rsidRPr="00AD08F8">
              <w:rPr>
                <w:i/>
                <w:iCs/>
              </w:rPr>
              <w:t>08.2019. atzinums</w:t>
            </w:r>
          </w:p>
          <w:p w14:paraId="7542A4B6" w14:textId="77777777" w:rsidR="00AB351E" w:rsidRPr="00AD08F8" w:rsidRDefault="00AB351E" w:rsidP="00AB351E">
            <w:pPr>
              <w:pStyle w:val="naisc"/>
              <w:spacing w:before="120" w:after="120"/>
              <w:rPr>
                <w:b/>
                <w:bCs/>
              </w:rPr>
            </w:pPr>
            <w:r w:rsidRPr="00AD08F8">
              <w:rPr>
                <w:b/>
                <w:bCs/>
              </w:rPr>
              <w:t>Valsts kanceleja</w:t>
            </w:r>
          </w:p>
          <w:p w14:paraId="7A6988A8" w14:textId="0360609F" w:rsidR="00DC0900" w:rsidRPr="00F228CE" w:rsidRDefault="00AD08F8" w:rsidP="00DC0900">
            <w:pPr>
              <w:spacing w:before="120" w:after="120"/>
              <w:jc w:val="both"/>
              <w:rPr>
                <w:rFonts w:ascii="Times New Roman" w:hAnsi="Times New Roman" w:cs="Times New Roman"/>
                <w:b/>
                <w:sz w:val="24"/>
                <w:szCs w:val="24"/>
              </w:rPr>
            </w:pPr>
            <w:r>
              <w:rPr>
                <w:rFonts w:ascii="Times New Roman" w:hAnsi="Times New Roman"/>
                <w:sz w:val="24"/>
                <w:szCs w:val="24"/>
              </w:rPr>
              <w:lastRenderedPageBreak/>
              <w:t xml:space="preserve">Ministru kabineta 2017. gada 28. augusta sēdes </w:t>
            </w:r>
            <w:proofErr w:type="spellStart"/>
            <w:r>
              <w:rPr>
                <w:rFonts w:ascii="Times New Roman" w:hAnsi="Times New Roman"/>
                <w:sz w:val="24"/>
                <w:szCs w:val="24"/>
              </w:rPr>
              <w:t>protokollēmuma</w:t>
            </w:r>
            <w:proofErr w:type="spellEnd"/>
            <w:r>
              <w:rPr>
                <w:rFonts w:ascii="Times New Roman" w:hAnsi="Times New Roman"/>
                <w:sz w:val="24"/>
                <w:szCs w:val="24"/>
              </w:rPr>
              <w:t xml:space="preserve"> 9.punkts uzdeva sagatavot priekšlikumus par vienotas konkurences un regulācijas iestādes izveides iespējām. Ziņojums neietver konkrētus priekšlikumus vienotas iestādes izveidei, bet norāda problēmu par dažādu atalgojumu Sabiedrisko pakalpojumu regulēšanas komisijā un Konkurences padomē. Līdz ar to ziņojums </w:t>
            </w:r>
            <w:r w:rsidRPr="00F70C8C">
              <w:rPr>
                <w:rFonts w:ascii="Times New Roman" w:hAnsi="Times New Roman"/>
                <w:sz w:val="24"/>
                <w:szCs w:val="24"/>
              </w:rPr>
              <w:t>nesasniedz tam izvirzīto mērķi. Lūdzam papildināt ziņojumu, sniedzot konkrētus priekšlikumus, kas vērsti uz vienotas konkurences un regulācijas iestādes izveidi.</w:t>
            </w:r>
          </w:p>
        </w:tc>
        <w:tc>
          <w:tcPr>
            <w:tcW w:w="4423" w:type="dxa"/>
          </w:tcPr>
          <w:p w14:paraId="2352BFC0" w14:textId="77777777" w:rsidR="00287453" w:rsidRDefault="00156A67" w:rsidP="00287453">
            <w:pPr>
              <w:pStyle w:val="naisc"/>
              <w:spacing w:before="0" w:after="0"/>
              <w:jc w:val="both"/>
              <w:rPr>
                <w:szCs w:val="26"/>
              </w:rPr>
            </w:pPr>
            <w:r w:rsidRPr="003F6997">
              <w:lastRenderedPageBreak/>
              <w:t>Informatīva</w:t>
            </w:r>
            <w:r>
              <w:t>jā</w:t>
            </w:r>
            <w:r w:rsidRPr="003F6997">
              <w:t xml:space="preserve"> ziņojum</w:t>
            </w:r>
            <w:r>
              <w:t>ā</w:t>
            </w:r>
            <w:r w:rsidRPr="003F6997">
              <w:t xml:space="preserve"> </w:t>
            </w:r>
            <w:r>
              <w:t>ir ietverts</w:t>
            </w:r>
            <w:r w:rsidRPr="003F6997">
              <w:t xml:space="preserve"> </w:t>
            </w:r>
            <w:r w:rsidR="00ED0E9E">
              <w:t xml:space="preserve">KP un SPRK iespējamās apvienošanās </w:t>
            </w:r>
            <w:proofErr w:type="spellStart"/>
            <w:r w:rsidR="00ED0E9E">
              <w:t>izvērtējums</w:t>
            </w:r>
            <w:proofErr w:type="spellEnd"/>
            <w:r w:rsidR="00ED0E9E">
              <w:t xml:space="preserve"> un secināts, ka, lai arī </w:t>
            </w:r>
            <w:r w:rsidR="00ED0E9E" w:rsidRPr="00E92804">
              <w:rPr>
                <w:szCs w:val="26"/>
              </w:rPr>
              <w:t xml:space="preserve">abām iestādēm ir kopīgs mērķis – tirgus varas negatīvo seku </w:t>
            </w:r>
            <w:r w:rsidR="00ED0E9E" w:rsidRPr="00E92804">
              <w:rPr>
                <w:szCs w:val="26"/>
              </w:rPr>
              <w:lastRenderedPageBreak/>
              <w:t>novēršana un konkurences veicināšana sabiedrības interesēs regulētajos sektoros</w:t>
            </w:r>
            <w:r w:rsidR="00ED0E9E">
              <w:rPr>
                <w:szCs w:val="26"/>
              </w:rPr>
              <w:t>, tomēr</w:t>
            </w:r>
            <w:r w:rsidR="00ED0E9E" w:rsidRPr="00E92804">
              <w:rPr>
                <w:szCs w:val="26"/>
              </w:rPr>
              <w:t xml:space="preserve"> </w:t>
            </w:r>
            <w:r w:rsidR="00ED0E9E" w:rsidRPr="00ED0E9E">
              <w:rPr>
                <w:szCs w:val="26"/>
                <w:u w:val="single"/>
              </w:rPr>
              <w:t>iestāžu funkcijas nedublējas</w:t>
            </w:r>
            <w:r w:rsidR="00ED0E9E">
              <w:rPr>
                <w:szCs w:val="26"/>
              </w:rPr>
              <w:t xml:space="preserve">. Attiecīgi </w:t>
            </w:r>
            <w:r w:rsidR="00ED0E9E" w:rsidRPr="00E92804">
              <w:rPr>
                <w:szCs w:val="26"/>
              </w:rPr>
              <w:t>ietaupījums no funkciju apvienošanas vienā iestādē iespējams varētu veidoties vienīgi no tā, ka tiktu panākta lielāka regulācijas un konkurences uzraudzības pasākumu koordinācija</w:t>
            </w:r>
            <w:r w:rsidR="00ED0E9E">
              <w:rPr>
                <w:szCs w:val="26"/>
              </w:rPr>
              <w:t xml:space="preserve">. </w:t>
            </w:r>
          </w:p>
          <w:p w14:paraId="4FE05794" w14:textId="1A8CB6EF" w:rsidR="00ED0E9E" w:rsidRDefault="00ED0E9E" w:rsidP="00287453">
            <w:pPr>
              <w:pStyle w:val="naisc"/>
              <w:spacing w:before="0" w:after="0"/>
              <w:jc w:val="both"/>
            </w:pPr>
            <w:r w:rsidRPr="00E92804">
              <w:rPr>
                <w:szCs w:val="26"/>
              </w:rPr>
              <w:t xml:space="preserve">Izvērtētas tika arī </w:t>
            </w:r>
            <w:r w:rsidRPr="00ED0E9E">
              <w:rPr>
                <w:szCs w:val="26"/>
                <w:u w:val="single"/>
              </w:rPr>
              <w:t>finanšu resursu optimizācijas iespējas</w:t>
            </w:r>
            <w:r w:rsidRPr="00E92804">
              <w:rPr>
                <w:szCs w:val="26"/>
              </w:rPr>
              <w:t xml:space="preserve"> administratīvo funkciju konsolidācijas gadījumā un secināts, ka, apvienojot KP un SPRK vienotā iestādē, apvienotās iestādes darbības pirmajā gadā administratīvo funkciju nodrošināšanai </w:t>
            </w:r>
            <w:r w:rsidR="00287453" w:rsidRPr="00287453">
              <w:rPr>
                <w:szCs w:val="26"/>
                <w:u w:val="single"/>
              </w:rPr>
              <w:t xml:space="preserve">no valsts budžeta dotācijas no vispārējiem ieņēmumiem </w:t>
            </w:r>
            <w:r w:rsidRPr="00287453">
              <w:rPr>
                <w:szCs w:val="26"/>
                <w:u w:val="single"/>
              </w:rPr>
              <w:t>papildus būtu nepieciešami</w:t>
            </w:r>
            <w:r w:rsidRPr="00ED0E9E">
              <w:rPr>
                <w:szCs w:val="26"/>
                <w:u w:val="single"/>
              </w:rPr>
              <w:t xml:space="preserve"> finanšu resursi </w:t>
            </w:r>
            <w:r>
              <w:rPr>
                <w:szCs w:val="26"/>
                <w:u w:val="single"/>
              </w:rPr>
              <w:t>145</w:t>
            </w:r>
            <w:r w:rsidRPr="00ED0E9E">
              <w:rPr>
                <w:szCs w:val="26"/>
                <w:u w:val="single"/>
              </w:rPr>
              <w:t> </w:t>
            </w:r>
            <w:r>
              <w:rPr>
                <w:szCs w:val="26"/>
                <w:u w:val="single"/>
              </w:rPr>
              <w:t>379</w:t>
            </w:r>
            <w:r w:rsidRPr="00ED0E9E">
              <w:rPr>
                <w:szCs w:val="26"/>
                <w:u w:val="single"/>
              </w:rPr>
              <w:t xml:space="preserve"> </w:t>
            </w:r>
            <w:proofErr w:type="spellStart"/>
            <w:r w:rsidRPr="00ED0E9E">
              <w:rPr>
                <w:i/>
                <w:szCs w:val="26"/>
                <w:u w:val="single"/>
              </w:rPr>
              <w:t>euro</w:t>
            </w:r>
            <w:proofErr w:type="spellEnd"/>
            <w:r w:rsidRPr="00ED0E9E">
              <w:rPr>
                <w:szCs w:val="26"/>
                <w:u w:val="single"/>
              </w:rPr>
              <w:t xml:space="preserve"> apmērā</w:t>
            </w:r>
            <w:r w:rsidRPr="00E92804">
              <w:rPr>
                <w:szCs w:val="26"/>
              </w:rPr>
              <w:t xml:space="preserve">, savukārt nākamajos gados līdz datortehnikas derīgās lietošanas izmantošanas laika beigām </w:t>
            </w:r>
            <w:r w:rsidRPr="00287453">
              <w:rPr>
                <w:szCs w:val="26"/>
                <w:u w:val="single"/>
              </w:rPr>
              <w:t>100 6</w:t>
            </w:r>
            <w:r>
              <w:rPr>
                <w:szCs w:val="26"/>
                <w:u w:val="single"/>
              </w:rPr>
              <w:t>29</w:t>
            </w:r>
            <w:r w:rsidRPr="00ED0E9E">
              <w:rPr>
                <w:szCs w:val="26"/>
                <w:u w:val="single"/>
              </w:rPr>
              <w:t xml:space="preserve"> </w:t>
            </w:r>
            <w:proofErr w:type="spellStart"/>
            <w:r w:rsidRPr="00ED0E9E">
              <w:rPr>
                <w:i/>
                <w:szCs w:val="26"/>
                <w:u w:val="single"/>
              </w:rPr>
              <w:t>euro</w:t>
            </w:r>
            <w:proofErr w:type="spellEnd"/>
            <w:r w:rsidRPr="00ED0E9E">
              <w:rPr>
                <w:szCs w:val="26"/>
                <w:u w:val="single"/>
              </w:rPr>
              <w:t xml:space="preserve"> apmērā ik gadu</w:t>
            </w:r>
            <w:r w:rsidRPr="00E92804">
              <w:rPr>
                <w:szCs w:val="26"/>
              </w:rPr>
              <w:t>.</w:t>
            </w:r>
          </w:p>
          <w:p w14:paraId="4039FB24" w14:textId="77777777" w:rsidR="00CD6C12" w:rsidRDefault="00287453" w:rsidP="00156A67">
            <w:pPr>
              <w:pStyle w:val="naisc"/>
              <w:spacing w:before="120" w:after="240"/>
              <w:jc w:val="both"/>
            </w:pPr>
            <w:r>
              <w:t xml:space="preserve">Ņemot vērā iepriekš minētos apsvērumus, t.i., apvienošanās </w:t>
            </w:r>
            <w:r w:rsidR="00CD6C12">
              <w:t xml:space="preserve">procesa neitrālo </w:t>
            </w:r>
            <w:r>
              <w:t xml:space="preserve">ietekmi uz funkciju </w:t>
            </w:r>
            <w:r w:rsidR="00CD6C12">
              <w:t>optimizācijas iespējām</w:t>
            </w:r>
            <w:r>
              <w:t xml:space="preserve"> (</w:t>
            </w:r>
            <w:r w:rsidR="00CD6C12">
              <w:t>līdzīgu vai dublējošu funkciju konsolidāciju</w:t>
            </w:r>
            <w:r>
              <w:t>)</w:t>
            </w:r>
            <w:r w:rsidR="00CD6C12">
              <w:t xml:space="preserve"> un nesaskatot finanšu resursu ietaupījumu no administratīvo funkciju konsolidācijas, </w:t>
            </w:r>
            <w:r>
              <w:t xml:space="preserve">  detalizēti priekšlikumi turpmākām diskusijām par KP un SPRK apvienošanu informatīvā ziņojumā netiek piedāvāti</w:t>
            </w:r>
            <w:r w:rsidR="00CD6C12">
              <w:t>.</w:t>
            </w:r>
          </w:p>
          <w:p w14:paraId="3DAC7E75" w14:textId="54DF3329" w:rsidR="002005C4" w:rsidRPr="00F228CE" w:rsidRDefault="00F41536" w:rsidP="00C51394">
            <w:pPr>
              <w:pStyle w:val="naisc"/>
              <w:spacing w:before="120" w:after="240"/>
              <w:jc w:val="both"/>
              <w:rPr>
                <w:color w:val="C00000"/>
              </w:rPr>
            </w:pPr>
            <w:r w:rsidRPr="00EB39F9">
              <w:lastRenderedPageBreak/>
              <w:t xml:space="preserve">Papildus norādāms, ka </w:t>
            </w:r>
            <w:r w:rsidRPr="00F70C8C">
              <w:t>arī</w:t>
            </w:r>
            <w:r w:rsidRPr="00F70C8C">
              <w:rPr>
                <w:b/>
              </w:rPr>
              <w:t xml:space="preserve"> </w:t>
            </w:r>
            <w:r w:rsidRPr="00F70C8C">
              <w:rPr>
                <w:u w:val="single"/>
              </w:rPr>
              <w:t>O</w:t>
            </w:r>
            <w:r w:rsidRPr="00EB39F9">
              <w:rPr>
                <w:u w:val="single"/>
              </w:rPr>
              <w:t>ECD eksperti nav</w:t>
            </w:r>
            <w:r w:rsidRPr="00853023">
              <w:rPr>
                <w:u w:val="single"/>
              </w:rPr>
              <w:t xml:space="preserve"> novērojuši tendenci apvienot regulatīvās un klasiskās konkurences funkcijas vienotā uzraudzības iestādē</w:t>
            </w:r>
            <w:r w:rsidRPr="00853023">
              <w:t xml:space="preserve">. Šāda prakse ir novērota tikai dažās valstīs, Austrālijā un dažās ES dalībvalstīs (Igaunijā, Dānijā, Nīderlandē un Spānijā). </w:t>
            </w:r>
            <w:r>
              <w:t>OECD ekspertu ieskatā</w:t>
            </w:r>
            <w:r w:rsidRPr="00853023">
              <w:t xml:space="preserve"> </w:t>
            </w:r>
            <w:r w:rsidRPr="00853023">
              <w:rPr>
                <w:u w:val="single"/>
              </w:rPr>
              <w:t>uzraudzības iestādes institucionālam modelim un struktūrai ir sekundāra nozīme, būtiska ir regulatīvo un konkurences funkciju kvalitatīva un efektīva izpildes nodrošināšana</w:t>
            </w:r>
            <w:r w:rsidRPr="00853023">
              <w:t>.</w:t>
            </w:r>
            <w:r>
              <w:t xml:space="preserve"> A</w:t>
            </w:r>
            <w:r w:rsidRPr="00853023">
              <w:t>pvienotajās iestādes regulēšanas un konkurences uzraudzīšanas funkcijas</w:t>
            </w:r>
            <w:r>
              <w:t xml:space="preserve"> </w:t>
            </w:r>
            <w:r w:rsidRPr="00EB39F9">
              <w:t xml:space="preserve">parasti ir strukturāli nodalītas, t.i., tās nedublējas, tādēļ </w:t>
            </w:r>
            <w:r w:rsidRPr="00EB39F9">
              <w:rPr>
                <w:u w:val="single"/>
              </w:rPr>
              <w:t>būtisks ietaupījums no funkciju apvienošanas vienā iestādē kopumā nav novērots</w:t>
            </w:r>
            <w:r w:rsidR="00C51394">
              <w:rPr>
                <w:u w:val="single"/>
              </w:rPr>
              <w:t>.</w:t>
            </w:r>
            <w:r w:rsidR="00E82917" w:rsidRPr="00E82917">
              <w:rPr>
                <w:bCs/>
                <w:szCs w:val="26"/>
              </w:rPr>
              <w:t>.</w:t>
            </w:r>
          </w:p>
        </w:tc>
        <w:tc>
          <w:tcPr>
            <w:tcW w:w="2268" w:type="dxa"/>
          </w:tcPr>
          <w:p w14:paraId="1D7C17DC" w14:textId="77777777" w:rsidR="00DC0900" w:rsidRPr="00F228CE" w:rsidRDefault="00DC0900" w:rsidP="00DC0900">
            <w:pPr>
              <w:jc w:val="both"/>
              <w:rPr>
                <w:rFonts w:ascii="Times New Roman" w:hAnsi="Times New Roman" w:cs="Times New Roman"/>
                <w:sz w:val="24"/>
                <w:szCs w:val="24"/>
              </w:rPr>
            </w:pPr>
          </w:p>
        </w:tc>
        <w:tc>
          <w:tcPr>
            <w:tcW w:w="1673" w:type="dxa"/>
          </w:tcPr>
          <w:p w14:paraId="3CAC2618" w14:textId="77777777" w:rsidR="00DC0900" w:rsidRPr="00F228CE" w:rsidRDefault="00DC0900" w:rsidP="00DC0900">
            <w:pPr>
              <w:jc w:val="both"/>
              <w:rPr>
                <w:rFonts w:ascii="Times New Roman" w:hAnsi="Times New Roman" w:cs="Times New Roman"/>
                <w:sz w:val="24"/>
                <w:szCs w:val="24"/>
              </w:rPr>
            </w:pPr>
          </w:p>
        </w:tc>
      </w:tr>
      <w:tr w:rsidR="00AD08F8" w:rsidRPr="00F228CE" w14:paraId="07A4CAE7" w14:textId="77777777" w:rsidTr="00BD6D33">
        <w:trPr>
          <w:trHeight w:val="267"/>
        </w:trPr>
        <w:tc>
          <w:tcPr>
            <w:tcW w:w="666" w:type="dxa"/>
          </w:tcPr>
          <w:p w14:paraId="05BD1691" w14:textId="274B3311" w:rsidR="00AD08F8" w:rsidRPr="00F228CE" w:rsidRDefault="007C0578" w:rsidP="00DC090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2" w:type="dxa"/>
          </w:tcPr>
          <w:p w14:paraId="421762B6" w14:textId="77777777" w:rsidR="00AD08F8" w:rsidRPr="00F228CE" w:rsidRDefault="00AD08F8" w:rsidP="00DC0900">
            <w:pPr>
              <w:jc w:val="both"/>
              <w:rPr>
                <w:rFonts w:ascii="Times New Roman" w:hAnsi="Times New Roman" w:cs="Times New Roman"/>
                <w:sz w:val="24"/>
                <w:szCs w:val="24"/>
              </w:rPr>
            </w:pPr>
          </w:p>
        </w:tc>
        <w:tc>
          <w:tcPr>
            <w:tcW w:w="3402" w:type="dxa"/>
          </w:tcPr>
          <w:p w14:paraId="2953CF2F" w14:textId="283B852F" w:rsidR="00AB351E" w:rsidRPr="00AD08F8" w:rsidRDefault="00AB351E" w:rsidP="00AB351E">
            <w:pPr>
              <w:pStyle w:val="naisc"/>
              <w:spacing w:before="0" w:after="0"/>
              <w:jc w:val="both"/>
              <w:rPr>
                <w:i/>
                <w:iCs/>
              </w:rPr>
            </w:pPr>
            <w:r w:rsidRPr="00AD08F8">
              <w:rPr>
                <w:i/>
                <w:iCs/>
              </w:rPr>
              <w:t>08</w:t>
            </w:r>
            <w:r>
              <w:rPr>
                <w:i/>
                <w:iCs/>
              </w:rPr>
              <w:t>.</w:t>
            </w:r>
            <w:r w:rsidRPr="00AD08F8">
              <w:rPr>
                <w:i/>
                <w:iCs/>
              </w:rPr>
              <w:t>08.2019. atzinums</w:t>
            </w:r>
          </w:p>
          <w:p w14:paraId="0F401392" w14:textId="77777777" w:rsidR="00AB351E" w:rsidRPr="00AD08F8" w:rsidRDefault="00AB351E" w:rsidP="00AB351E">
            <w:pPr>
              <w:pStyle w:val="naisc"/>
              <w:spacing w:before="120" w:after="120"/>
              <w:rPr>
                <w:b/>
                <w:bCs/>
              </w:rPr>
            </w:pPr>
            <w:r w:rsidRPr="00AD08F8">
              <w:rPr>
                <w:b/>
                <w:bCs/>
              </w:rPr>
              <w:t>Valsts kanceleja</w:t>
            </w:r>
          </w:p>
          <w:p w14:paraId="5B326403" w14:textId="12A237AE" w:rsidR="00AD08F8" w:rsidRPr="00AD08F8" w:rsidRDefault="00AD08F8" w:rsidP="00AD08F8">
            <w:pPr>
              <w:widowControl w:val="0"/>
              <w:spacing w:after="0" w:line="240" w:lineRule="auto"/>
              <w:jc w:val="both"/>
              <w:rPr>
                <w:rFonts w:ascii="Times New Roman" w:hAnsi="Times New Roman"/>
                <w:i/>
                <w:sz w:val="24"/>
                <w:szCs w:val="24"/>
                <w:lang w:eastAsia="lv-LV"/>
              </w:rPr>
            </w:pPr>
            <w:r w:rsidRPr="00AD08F8">
              <w:rPr>
                <w:rFonts w:ascii="Times New Roman" w:hAnsi="Times New Roman"/>
                <w:sz w:val="24"/>
                <w:szCs w:val="24"/>
              </w:rPr>
              <w:t xml:space="preserve">Ministru kabineta sēdes </w:t>
            </w:r>
            <w:proofErr w:type="spellStart"/>
            <w:r w:rsidRPr="00AD08F8">
              <w:rPr>
                <w:rFonts w:ascii="Times New Roman" w:hAnsi="Times New Roman"/>
                <w:sz w:val="24"/>
                <w:szCs w:val="24"/>
              </w:rPr>
              <w:t>protokollēmuma</w:t>
            </w:r>
            <w:proofErr w:type="spellEnd"/>
            <w:r w:rsidRPr="00AD08F8">
              <w:rPr>
                <w:rFonts w:ascii="Times New Roman" w:hAnsi="Times New Roman"/>
                <w:sz w:val="24"/>
                <w:szCs w:val="24"/>
              </w:rPr>
              <w:t xml:space="preserve"> projekta 3.punktā norādīts, ka, lai nodrošinātu Konkurences padomei konkurētspējīgu atlīdzību, ir nepieciešams papildu finansējums, kas pieprasāms valsts budžeta sagatavošanas procesā. </w:t>
            </w:r>
            <w:r w:rsidRPr="00AD08F8">
              <w:rPr>
                <w:rFonts w:ascii="Times New Roman" w:hAnsi="Times New Roman"/>
                <w:sz w:val="24"/>
                <w:szCs w:val="24"/>
                <w:lang w:eastAsia="lv-LV"/>
              </w:rPr>
              <w:t>Valsts kanceleja vērš uzmanību, ka b</w:t>
            </w:r>
            <w:r w:rsidRPr="00AD08F8">
              <w:rPr>
                <w:rFonts w:ascii="Times New Roman" w:hAnsi="Times New Roman"/>
                <w:sz w:val="24"/>
                <w:szCs w:val="24"/>
              </w:rPr>
              <w:t xml:space="preserve">ūtisks nosacījums </w:t>
            </w:r>
            <w:r w:rsidRPr="00AD08F8">
              <w:rPr>
                <w:rFonts w:ascii="Times New Roman" w:hAnsi="Times New Roman"/>
                <w:sz w:val="24"/>
                <w:szCs w:val="24"/>
              </w:rPr>
              <w:lastRenderedPageBreak/>
              <w:t xml:space="preserve">jebkuras atlīdzības sistēmas pilnveides ieviešanai ir tās īstenošana esošo finanšu resursu ietvaros, veicinot Valsts pārvaldes reformu plānā 2020 ietverto principu realizāciju un darba procesu </w:t>
            </w:r>
            <w:proofErr w:type="spellStart"/>
            <w:r w:rsidRPr="00AD08F8">
              <w:rPr>
                <w:rFonts w:ascii="Times New Roman" w:hAnsi="Times New Roman"/>
                <w:sz w:val="24"/>
                <w:szCs w:val="24"/>
              </w:rPr>
              <w:t>efektivizāciju</w:t>
            </w:r>
            <w:proofErr w:type="spellEnd"/>
            <w:r w:rsidRPr="00AD08F8">
              <w:rPr>
                <w:rFonts w:ascii="Times New Roman" w:hAnsi="Times New Roman"/>
                <w:sz w:val="24"/>
                <w:szCs w:val="24"/>
              </w:rPr>
              <w:t xml:space="preserve">, tos izpildot ar pēc iespējams mazākiem resursiem, bet ietaupīto finansējumu novirzot atlikušo darbinieku atlīdzības palielināšanai. Tas nozīmē, ka iespējamais atlīdzības pieaugums ir īstenojams vienīgi, veicot strukturālas un uz procesu efektivitāti vērstas pārmaiņas, nevis pieprasot papildu finansējumu no valsts budžeta. Arī Valsts kanceleja strādā pie kopējās valsts un pašvaldību institūcijās nodarbināto atlīdzības sistēmas pilnveides un minētie pilnveidojumi būs īstenojami tikai esošo līdzekļu ietvaros. Ņemot vērā iepriekš </w:t>
            </w:r>
            <w:r w:rsidRPr="00F70C8C">
              <w:rPr>
                <w:rFonts w:ascii="Times New Roman" w:hAnsi="Times New Roman"/>
                <w:sz w:val="24"/>
                <w:szCs w:val="24"/>
              </w:rPr>
              <w:t xml:space="preserve">minēto, Valsts kanceleja </w:t>
            </w:r>
            <w:r w:rsidRPr="00F70C8C">
              <w:rPr>
                <w:rFonts w:ascii="Times New Roman" w:hAnsi="Times New Roman"/>
                <w:b/>
                <w:sz w:val="24"/>
                <w:szCs w:val="24"/>
              </w:rPr>
              <w:t xml:space="preserve">neatbalsta </w:t>
            </w:r>
            <w:r w:rsidRPr="00F70C8C">
              <w:rPr>
                <w:rFonts w:ascii="Times New Roman" w:hAnsi="Times New Roman"/>
                <w:sz w:val="24"/>
                <w:szCs w:val="24"/>
              </w:rPr>
              <w:t xml:space="preserve"> papildu finansējuma pieprasījumu atlīdzības palielinājumam Konkurences padomē nodarbinātajiem.</w:t>
            </w:r>
            <w:r w:rsidRPr="00AD08F8">
              <w:rPr>
                <w:rFonts w:ascii="Times New Roman" w:hAnsi="Times New Roman"/>
                <w:sz w:val="24"/>
                <w:szCs w:val="24"/>
              </w:rPr>
              <w:t xml:space="preserve"> </w:t>
            </w:r>
          </w:p>
          <w:p w14:paraId="1632B623" w14:textId="77777777" w:rsidR="00AD08F8" w:rsidRPr="00F228CE" w:rsidRDefault="00AD08F8" w:rsidP="00DC0900">
            <w:pPr>
              <w:spacing w:before="120" w:after="120"/>
              <w:jc w:val="both"/>
              <w:rPr>
                <w:rFonts w:ascii="Times New Roman" w:hAnsi="Times New Roman" w:cs="Times New Roman"/>
                <w:b/>
                <w:sz w:val="24"/>
                <w:szCs w:val="24"/>
              </w:rPr>
            </w:pPr>
          </w:p>
        </w:tc>
        <w:tc>
          <w:tcPr>
            <w:tcW w:w="4423" w:type="dxa"/>
          </w:tcPr>
          <w:p w14:paraId="5C29F9D6" w14:textId="77777777" w:rsidR="007C0578" w:rsidRDefault="00F41536" w:rsidP="007C0578">
            <w:pPr>
              <w:jc w:val="both"/>
              <w:rPr>
                <w:rFonts w:ascii="Times New Roman" w:hAnsi="Times New Roman" w:cs="Times New Roman"/>
                <w:bCs/>
                <w:sz w:val="24"/>
                <w:szCs w:val="24"/>
              </w:rPr>
            </w:pPr>
            <w:r w:rsidRPr="00F41536">
              <w:rPr>
                <w:rFonts w:ascii="Times New Roman" w:hAnsi="Times New Roman" w:cs="Times New Roman"/>
                <w:sz w:val="24"/>
                <w:szCs w:val="24"/>
              </w:rPr>
              <w:lastRenderedPageBreak/>
              <w:t xml:space="preserve">EM aicina ar izpratni iedziļināties informatīvajā ziņojumā ietvertajos apsvērumos un pamatojumā, aktualizējot KP finansiālās neatkarības un kapacitātes stiprināšanas </w:t>
            </w:r>
            <w:proofErr w:type="spellStart"/>
            <w:r w:rsidRPr="00F41536">
              <w:rPr>
                <w:rFonts w:ascii="Times New Roman" w:hAnsi="Times New Roman" w:cs="Times New Roman"/>
                <w:sz w:val="24"/>
                <w:szCs w:val="24"/>
              </w:rPr>
              <w:t>problēmjautājumu</w:t>
            </w:r>
            <w:proofErr w:type="spellEnd"/>
            <w:r w:rsidRPr="00F41536">
              <w:rPr>
                <w:rFonts w:ascii="Times New Roman" w:hAnsi="Times New Roman" w:cs="Times New Roman"/>
                <w:sz w:val="24"/>
                <w:szCs w:val="24"/>
              </w:rPr>
              <w:t xml:space="preserve">. </w:t>
            </w:r>
            <w:r w:rsidR="007C0578">
              <w:rPr>
                <w:rFonts w:ascii="Times New Roman" w:hAnsi="Times New Roman" w:cs="Times New Roman"/>
                <w:sz w:val="24"/>
                <w:szCs w:val="24"/>
              </w:rPr>
              <w:t xml:space="preserve">EM ieskatā </w:t>
            </w:r>
            <w:r w:rsidR="007C0578" w:rsidRPr="007C0578">
              <w:rPr>
                <w:rFonts w:ascii="Times New Roman" w:hAnsi="Times New Roman" w:cs="Times New Roman"/>
                <w:sz w:val="24"/>
                <w:szCs w:val="24"/>
                <w:u w:val="single"/>
              </w:rPr>
              <w:t>n</w:t>
            </w:r>
            <w:r w:rsidRPr="00F41536">
              <w:rPr>
                <w:rFonts w:ascii="Times New Roman" w:hAnsi="Times New Roman" w:cs="Times New Roman"/>
                <w:sz w:val="24"/>
                <w:szCs w:val="24"/>
                <w:u w:val="single"/>
              </w:rPr>
              <w:t xml:space="preserve">ekavējoties nepieciešams risināt jautājumu par papildus </w:t>
            </w:r>
            <w:r w:rsidRPr="00F41536">
              <w:rPr>
                <w:rFonts w:ascii="Times New Roman" w:hAnsi="Times New Roman" w:cs="Times New Roman"/>
                <w:bCs/>
                <w:sz w:val="24"/>
                <w:szCs w:val="24"/>
                <w:u w:val="single"/>
              </w:rPr>
              <w:t>finansējuma piešķiršanu KP atalgojuma palielināšanai iestādē</w:t>
            </w:r>
            <w:r w:rsidRPr="00F41536">
              <w:rPr>
                <w:rFonts w:ascii="Times New Roman" w:hAnsi="Times New Roman" w:cs="Times New Roman"/>
                <w:bCs/>
                <w:sz w:val="24"/>
                <w:szCs w:val="24"/>
              </w:rPr>
              <w:t xml:space="preserve">. </w:t>
            </w:r>
          </w:p>
          <w:p w14:paraId="77F5FA51" w14:textId="64B057ED" w:rsidR="007C0578" w:rsidRPr="007C0578" w:rsidRDefault="007C0578" w:rsidP="007C0578">
            <w:pPr>
              <w:jc w:val="both"/>
              <w:rPr>
                <w:rFonts w:ascii="Times New Roman" w:hAnsi="Times New Roman" w:cs="Times New Roman"/>
                <w:bCs/>
                <w:sz w:val="24"/>
                <w:szCs w:val="24"/>
              </w:rPr>
            </w:pPr>
            <w:r w:rsidRPr="007C0578">
              <w:rPr>
                <w:rFonts w:ascii="Times New Roman" w:hAnsi="Times New Roman" w:cs="Times New Roman"/>
                <w:sz w:val="24"/>
                <w:szCs w:val="24"/>
              </w:rPr>
              <w:t xml:space="preserve">Zemā atalgojuma dēļ, piemēram, 2018.gadā darbinieku mainības īpatsvars KP bija novērtēts 24% apmērā, tostarp darbu </w:t>
            </w:r>
            <w:r w:rsidRPr="007C0578">
              <w:rPr>
                <w:rFonts w:ascii="Times New Roman" w:hAnsi="Times New Roman" w:cs="Times New Roman"/>
                <w:sz w:val="24"/>
                <w:szCs w:val="24"/>
              </w:rPr>
              <w:lastRenderedPageBreak/>
              <w:t xml:space="preserve">konkurences uzraudzības iestādē atstājot vairākiem vadošiem darbiniekiem. Attiecīgi arī </w:t>
            </w:r>
            <w:r w:rsidRPr="007C0578">
              <w:rPr>
                <w:rFonts w:ascii="Times New Roman" w:hAnsi="Times New Roman" w:cs="Times New Roman"/>
                <w:b/>
                <w:sz w:val="24"/>
                <w:szCs w:val="24"/>
              </w:rPr>
              <w:t>OECD</w:t>
            </w:r>
            <w:r w:rsidRPr="007C0578">
              <w:rPr>
                <w:rFonts w:ascii="Times New Roman" w:hAnsi="Times New Roman" w:cs="Times New Roman"/>
                <w:sz w:val="24"/>
                <w:szCs w:val="24"/>
              </w:rPr>
              <w:t xml:space="preserve"> š.g. 29. maijā publiskotajā </w:t>
            </w:r>
            <w:hyperlink r:id="rId8" w:history="1">
              <w:r w:rsidRPr="007C0578">
                <w:rPr>
                  <w:rStyle w:val="Hyperlink"/>
                  <w:rFonts w:ascii="Times New Roman" w:hAnsi="Times New Roman" w:cs="Times New Roman"/>
                  <w:sz w:val="24"/>
                  <w:szCs w:val="24"/>
                </w:rPr>
                <w:t>ziņojumā par Latvijas ekonomiku</w:t>
              </w:r>
            </w:hyperlink>
            <w:r w:rsidRPr="007C0578">
              <w:rPr>
                <w:rFonts w:ascii="Times New Roman" w:hAnsi="Times New Roman" w:cs="Times New Roman"/>
                <w:sz w:val="24"/>
                <w:szCs w:val="24"/>
              </w:rPr>
              <w:t xml:space="preserve"> </w:t>
            </w:r>
            <w:r w:rsidRPr="007C0578">
              <w:rPr>
                <w:rFonts w:ascii="Times New Roman" w:hAnsi="Times New Roman" w:cs="Times New Roman"/>
                <w:sz w:val="24"/>
                <w:szCs w:val="24"/>
                <w:u w:val="single"/>
              </w:rPr>
              <w:t>ir ietvērusi rekomendāciju stiprināt KP pilnvaras un nodrošināt pietiekamu finansējumu kvalificētu speciālistu noalgošanai.</w:t>
            </w:r>
          </w:p>
          <w:p w14:paraId="186C3D74" w14:textId="4A517CEF" w:rsidR="007C0578" w:rsidRPr="007C0578" w:rsidRDefault="007C0578" w:rsidP="007C0578">
            <w:pPr>
              <w:spacing w:before="120" w:after="0" w:line="240" w:lineRule="auto"/>
              <w:jc w:val="both"/>
              <w:rPr>
                <w:rFonts w:ascii="Times New Roman" w:hAnsi="Times New Roman" w:cs="Times New Roman"/>
                <w:bCs/>
                <w:sz w:val="24"/>
                <w:szCs w:val="24"/>
              </w:rPr>
            </w:pPr>
            <w:r w:rsidRPr="007C0578">
              <w:rPr>
                <w:rFonts w:ascii="Times New Roman" w:hAnsi="Times New Roman" w:cs="Times New Roman"/>
                <w:sz w:val="24"/>
                <w:szCs w:val="24"/>
              </w:rPr>
              <w:t xml:space="preserve">Jautājums par KP finansiālās neatkarības stiprināšanu ir aktualizējams un izriet arī no 2019. gada </w:t>
            </w:r>
            <w:r w:rsidRPr="007C0578">
              <w:rPr>
                <w:rFonts w:ascii="Times New Roman" w:hAnsi="Times New Roman" w:cs="Times New Roman"/>
                <w:bCs/>
                <w:sz w:val="24"/>
                <w:szCs w:val="24"/>
              </w:rPr>
              <w:t>4. janvārī Eiropas Savienības Oficiālajā Vēstnesī publicētās Eiropas Parlamenta un Padomes direktīvas (</w:t>
            </w:r>
            <w:r w:rsidRPr="007C0578">
              <w:rPr>
                <w:rFonts w:ascii="Times New Roman" w:hAnsi="Times New Roman" w:cs="Times New Roman"/>
                <w:sz w:val="24"/>
                <w:szCs w:val="24"/>
              </w:rPr>
              <w:t xml:space="preserve">2019/1) </w:t>
            </w:r>
            <w:r w:rsidRPr="007C0578">
              <w:rPr>
                <w:rFonts w:ascii="Times New Roman" w:hAnsi="Times New Roman" w:cs="Times New Roman"/>
                <w:i/>
                <w:sz w:val="24"/>
                <w:szCs w:val="24"/>
              </w:rPr>
              <w:t xml:space="preserve">par apstākļu nodrošināšanu nolūkā dot dalībvalstu konkurences iestādēm iespēju efektīvāk izpildīt konkurences noteikumus un par iekšējā tirgus pienācīgas darbības nodrošināšanu </w:t>
            </w:r>
            <w:r w:rsidRPr="007C0578">
              <w:rPr>
                <w:rFonts w:ascii="Times New Roman" w:hAnsi="Times New Roman" w:cs="Times New Roman"/>
                <w:sz w:val="24"/>
                <w:szCs w:val="24"/>
              </w:rPr>
              <w:t>(turpmāk – Direktīva)</w:t>
            </w:r>
            <w:r w:rsidRPr="007C0578">
              <w:rPr>
                <w:rFonts w:ascii="Times New Roman" w:hAnsi="Times New Roman" w:cs="Times New Roman"/>
                <w:i/>
                <w:sz w:val="24"/>
                <w:szCs w:val="24"/>
              </w:rPr>
              <w:t xml:space="preserve">, </w:t>
            </w:r>
            <w:r w:rsidRPr="007C0578">
              <w:rPr>
                <w:rFonts w:ascii="Times New Roman" w:hAnsi="Times New Roman" w:cs="Times New Roman"/>
                <w:bCs/>
                <w:sz w:val="24"/>
                <w:szCs w:val="24"/>
              </w:rPr>
              <w:t xml:space="preserve">kas paredz, ka visām Eiropas Savienības konkurences iestādēm jābūt nodrošinātām ar nepieciešamajiem rīkiem un resursiem efektīvai konkurences tiesību piemērošanai. </w:t>
            </w:r>
          </w:p>
          <w:p w14:paraId="32822446" w14:textId="48563D46" w:rsidR="007C0578" w:rsidRPr="00F41536" w:rsidRDefault="007C0578" w:rsidP="007C0578">
            <w:pPr>
              <w:spacing w:before="120" w:after="0" w:line="240" w:lineRule="auto"/>
              <w:ind w:right="85"/>
              <w:jc w:val="both"/>
              <w:rPr>
                <w:rFonts w:ascii="Times New Roman" w:hAnsi="Times New Roman" w:cs="Times New Roman"/>
                <w:color w:val="C00000"/>
                <w:sz w:val="24"/>
                <w:szCs w:val="24"/>
              </w:rPr>
            </w:pPr>
            <w:r w:rsidRPr="007C0578">
              <w:rPr>
                <w:rFonts w:ascii="Times New Roman" w:hAnsi="Times New Roman" w:cs="Times New Roman"/>
                <w:bCs/>
                <w:sz w:val="24"/>
                <w:szCs w:val="24"/>
              </w:rPr>
              <w:t xml:space="preserve">Direktīva tostarp uzliek par pienākumu dalībvalstij </w:t>
            </w:r>
            <w:r w:rsidRPr="007C0578">
              <w:rPr>
                <w:rFonts w:ascii="Times New Roman" w:hAnsi="Times New Roman" w:cs="Times New Roman"/>
                <w:b/>
                <w:sz w:val="24"/>
                <w:szCs w:val="24"/>
              </w:rPr>
              <w:t>nodrošināt, lai valsts konkurences iestādes rīcībā būtu pietiekams skaits kvalificētu darbinieku un pietiekami finanšu, tehniskie un tehnoloģiskie resursi</w:t>
            </w:r>
            <w:r w:rsidRPr="007C0578">
              <w:rPr>
                <w:rFonts w:ascii="Times New Roman" w:hAnsi="Times New Roman" w:cs="Times New Roman"/>
                <w:sz w:val="24"/>
                <w:szCs w:val="24"/>
              </w:rPr>
              <w:t xml:space="preserve"> pienākumu efektīvai pildīšanai un efektīvai pilnvaru īstenošanai attiecībā uz LESD 101. un 102. panta piemērošanu. </w:t>
            </w:r>
            <w:r w:rsidRPr="007C0578">
              <w:rPr>
                <w:rFonts w:ascii="Times New Roman" w:hAnsi="Times New Roman" w:cs="Times New Roman"/>
                <w:bCs/>
                <w:sz w:val="24"/>
                <w:szCs w:val="24"/>
                <w:u w:val="single"/>
              </w:rPr>
              <w:t xml:space="preserve">Eiropas Komisija norādījusi, </w:t>
            </w:r>
            <w:r w:rsidRPr="007C0578">
              <w:rPr>
                <w:rFonts w:ascii="Times New Roman" w:hAnsi="Times New Roman" w:cs="Times New Roman"/>
                <w:bCs/>
                <w:sz w:val="24"/>
                <w:szCs w:val="24"/>
                <w:u w:val="single"/>
              </w:rPr>
              <w:lastRenderedPageBreak/>
              <w:t>ka stingri sekos, kā tiks pildīta iepriekš minētā prasība.</w:t>
            </w:r>
          </w:p>
        </w:tc>
        <w:tc>
          <w:tcPr>
            <w:tcW w:w="2268" w:type="dxa"/>
          </w:tcPr>
          <w:p w14:paraId="45B656D0" w14:textId="77777777" w:rsidR="00AD08F8" w:rsidRPr="00F228CE" w:rsidRDefault="00AD08F8" w:rsidP="00DC0900">
            <w:pPr>
              <w:jc w:val="both"/>
              <w:rPr>
                <w:rFonts w:ascii="Times New Roman" w:hAnsi="Times New Roman" w:cs="Times New Roman"/>
                <w:sz w:val="24"/>
                <w:szCs w:val="24"/>
              </w:rPr>
            </w:pPr>
          </w:p>
        </w:tc>
        <w:tc>
          <w:tcPr>
            <w:tcW w:w="1673" w:type="dxa"/>
          </w:tcPr>
          <w:p w14:paraId="7F2D4B0A" w14:textId="77777777" w:rsidR="00AD08F8" w:rsidRPr="00F228CE" w:rsidRDefault="00AD08F8" w:rsidP="00DC0900">
            <w:pPr>
              <w:jc w:val="both"/>
              <w:rPr>
                <w:rFonts w:ascii="Times New Roman" w:hAnsi="Times New Roman" w:cs="Times New Roman"/>
                <w:sz w:val="24"/>
                <w:szCs w:val="24"/>
              </w:rPr>
            </w:pPr>
          </w:p>
        </w:tc>
      </w:tr>
      <w:tr w:rsidR="00F36681" w:rsidRPr="00F228CE" w14:paraId="768BFE64" w14:textId="77777777" w:rsidTr="00BD6D33">
        <w:trPr>
          <w:trHeight w:val="267"/>
        </w:trPr>
        <w:tc>
          <w:tcPr>
            <w:tcW w:w="666" w:type="dxa"/>
          </w:tcPr>
          <w:p w14:paraId="7113E121" w14:textId="0A4FA229" w:rsidR="00F36681" w:rsidRDefault="00F36681" w:rsidP="00F3668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2" w:type="dxa"/>
          </w:tcPr>
          <w:p w14:paraId="22B0A095" w14:textId="77777777" w:rsidR="00F36681" w:rsidRPr="00F228CE" w:rsidRDefault="00F36681" w:rsidP="00F36681">
            <w:pPr>
              <w:jc w:val="both"/>
              <w:rPr>
                <w:rFonts w:ascii="Times New Roman" w:hAnsi="Times New Roman" w:cs="Times New Roman"/>
                <w:sz w:val="24"/>
                <w:szCs w:val="24"/>
              </w:rPr>
            </w:pPr>
          </w:p>
        </w:tc>
        <w:tc>
          <w:tcPr>
            <w:tcW w:w="3402" w:type="dxa"/>
          </w:tcPr>
          <w:p w14:paraId="36AD9138" w14:textId="77777777" w:rsidR="00F36681" w:rsidRPr="00AD08F8" w:rsidRDefault="00F36681" w:rsidP="00F36681">
            <w:pPr>
              <w:pStyle w:val="naisc"/>
              <w:spacing w:before="0" w:after="0"/>
              <w:jc w:val="both"/>
              <w:rPr>
                <w:i/>
                <w:iCs/>
              </w:rPr>
            </w:pPr>
            <w:r w:rsidRPr="00AD08F8">
              <w:rPr>
                <w:i/>
                <w:iCs/>
              </w:rPr>
              <w:t>08</w:t>
            </w:r>
            <w:r>
              <w:rPr>
                <w:i/>
                <w:iCs/>
              </w:rPr>
              <w:t>.</w:t>
            </w:r>
            <w:r w:rsidRPr="00AD08F8">
              <w:rPr>
                <w:i/>
                <w:iCs/>
              </w:rPr>
              <w:t>08.2019. atzinums</w:t>
            </w:r>
          </w:p>
          <w:p w14:paraId="3BA8E830" w14:textId="77777777" w:rsidR="00F36681" w:rsidRPr="00AD08F8" w:rsidRDefault="00F36681" w:rsidP="00F36681">
            <w:pPr>
              <w:pStyle w:val="naisc"/>
              <w:spacing w:before="120" w:after="120"/>
              <w:rPr>
                <w:b/>
                <w:bCs/>
              </w:rPr>
            </w:pPr>
            <w:r w:rsidRPr="00AD08F8">
              <w:rPr>
                <w:b/>
                <w:bCs/>
              </w:rPr>
              <w:t>Valsts kanceleja</w:t>
            </w:r>
          </w:p>
          <w:p w14:paraId="6D0D35B0" w14:textId="59E040EB" w:rsidR="00F36681" w:rsidRPr="00F36681" w:rsidRDefault="00F36681" w:rsidP="00F36681">
            <w:pPr>
              <w:pStyle w:val="naisc"/>
              <w:spacing w:before="0" w:after="0"/>
              <w:jc w:val="both"/>
            </w:pPr>
            <w:r>
              <w:t xml:space="preserve">Ziņojumā minēts, ka šobrīd atsevišķas atbalsta funkcijas Konkurences padomei nodrošina Ekonomikas ministrija un to novērtētā vērtība ir 90 635 </w:t>
            </w:r>
            <w:proofErr w:type="spellStart"/>
            <w:r>
              <w:t>euro</w:t>
            </w:r>
            <w:proofErr w:type="spellEnd"/>
            <w:r>
              <w:t xml:space="preserve">. Vienlaicīgi ziņojumā tiek norādīts, ka apvienojot Konkurences padomi ar Sabiedrisko pakalpojumu regulēšanas komisiju pirmajā gadā </w:t>
            </w:r>
            <w:r w:rsidRPr="00F70C8C">
              <w:t xml:space="preserve">vēl papildus būs nepieciešami 37 200 </w:t>
            </w:r>
            <w:proofErr w:type="spellStart"/>
            <w:r w:rsidRPr="00F70C8C">
              <w:t>euro</w:t>
            </w:r>
            <w:proofErr w:type="spellEnd"/>
            <w:r w:rsidRPr="00F70C8C">
              <w:t>, nenorādot par iespējamo līdzekļu samazinājumu Ekonomikas ministrijai, kas šo funkciju veic šobrīd. Lūdzam attiecīgi precizēt ziņojumu.</w:t>
            </w:r>
          </w:p>
        </w:tc>
        <w:tc>
          <w:tcPr>
            <w:tcW w:w="4423" w:type="dxa"/>
          </w:tcPr>
          <w:p w14:paraId="2ED19EAB" w14:textId="769AE9B2" w:rsidR="00F36681" w:rsidRPr="00F36681" w:rsidRDefault="00F36681" w:rsidP="00F36681">
            <w:pPr>
              <w:jc w:val="both"/>
              <w:rPr>
                <w:rFonts w:ascii="Times New Roman" w:hAnsi="Times New Roman" w:cs="Times New Roman"/>
                <w:sz w:val="24"/>
                <w:szCs w:val="24"/>
              </w:rPr>
            </w:pPr>
            <w:r>
              <w:rPr>
                <w:rFonts w:ascii="Times New Roman" w:hAnsi="Times New Roman" w:cs="Times New Roman"/>
                <w:sz w:val="24"/>
                <w:szCs w:val="24"/>
              </w:rPr>
              <w:t xml:space="preserve">Šobrīd </w:t>
            </w:r>
            <w:r w:rsidRPr="00F36681">
              <w:rPr>
                <w:rFonts w:ascii="Times New Roman" w:hAnsi="Times New Roman" w:cs="Times New Roman"/>
                <w:sz w:val="24"/>
                <w:szCs w:val="24"/>
              </w:rPr>
              <w:t xml:space="preserve">KP administratīvo funkciju daļējā nodrošināšana ir saistīta ar </w:t>
            </w:r>
            <w:r>
              <w:rPr>
                <w:rFonts w:ascii="Times New Roman" w:hAnsi="Times New Roman" w:cs="Times New Roman"/>
                <w:sz w:val="24"/>
                <w:szCs w:val="24"/>
              </w:rPr>
              <w:t>EM</w:t>
            </w:r>
            <w:r w:rsidRPr="00F36681">
              <w:rPr>
                <w:rFonts w:ascii="Times New Roman" w:hAnsi="Times New Roman" w:cs="Times New Roman"/>
                <w:sz w:val="24"/>
                <w:szCs w:val="24"/>
              </w:rPr>
              <w:t xml:space="preserve"> pastāvīgo izmaksu segšanu, kas, neatkarīgi no lēmuma pieņemšanas par turpmāko KP statusu (apvienota vai atsevišķa uzraudzības iestāde), </w:t>
            </w:r>
            <w:r>
              <w:rPr>
                <w:rFonts w:ascii="Times New Roman" w:hAnsi="Times New Roman" w:cs="Times New Roman"/>
                <w:sz w:val="24"/>
                <w:szCs w:val="24"/>
              </w:rPr>
              <w:t xml:space="preserve">ministrijai </w:t>
            </w:r>
            <w:r w:rsidRPr="00F36681">
              <w:rPr>
                <w:rFonts w:ascii="Times New Roman" w:hAnsi="Times New Roman" w:cs="Times New Roman"/>
                <w:sz w:val="24"/>
                <w:szCs w:val="24"/>
              </w:rPr>
              <w:t xml:space="preserve">būs jāsedz arī turpmāk, piemēram , telpu uzkopšanas, uzturēšanas un komunālo maksājumu izmaksas, apsardzes pakalpojumu izmaksas, daļēji arī IT infrastruktūras nodrošināšanas izmaksas. Turklāt vēršam uzmanību, ka saistībā ar “Valsts pārvaldes reformu plāna 2020” īstenošanu ministrijas resorā paredzēts īstenot administratīvo funkciju optimizāciju un centralizāciju, kā rezultātā izbrīvoti līdzekļi grāmatvedības un IT pakalpojumu nodrošināšanai tiks novirzīti integrētās informācijas sistēmas izveidei un uzturēšanai, sasaistot resursu vadības sistēmu (RVS) </w:t>
            </w:r>
            <w:proofErr w:type="spellStart"/>
            <w:r w:rsidRPr="00F36681">
              <w:rPr>
                <w:rFonts w:ascii="Times New Roman" w:hAnsi="Times New Roman" w:cs="Times New Roman"/>
                <w:sz w:val="24"/>
                <w:szCs w:val="24"/>
              </w:rPr>
              <w:t>Horizon</w:t>
            </w:r>
            <w:proofErr w:type="spellEnd"/>
            <w:r w:rsidRPr="00F36681">
              <w:rPr>
                <w:rFonts w:ascii="Times New Roman" w:hAnsi="Times New Roman" w:cs="Times New Roman"/>
                <w:sz w:val="24"/>
                <w:szCs w:val="24"/>
              </w:rPr>
              <w:t xml:space="preserve"> ar Dokumentu vadības sistēmu. Ņemot vērā iepriekš minēto, līdzekļu samazinājums KP un SPRK apvienošanās gadījumā Ekonomikas ministrijai NAV paredzēts.</w:t>
            </w:r>
          </w:p>
        </w:tc>
        <w:tc>
          <w:tcPr>
            <w:tcW w:w="2268" w:type="dxa"/>
          </w:tcPr>
          <w:p w14:paraId="3AC0D82B" w14:textId="77777777" w:rsidR="00F36681" w:rsidRPr="00F228CE" w:rsidRDefault="00F36681" w:rsidP="00F36681">
            <w:pPr>
              <w:jc w:val="both"/>
              <w:rPr>
                <w:rFonts w:ascii="Times New Roman" w:hAnsi="Times New Roman" w:cs="Times New Roman"/>
                <w:sz w:val="24"/>
                <w:szCs w:val="24"/>
              </w:rPr>
            </w:pPr>
          </w:p>
        </w:tc>
        <w:tc>
          <w:tcPr>
            <w:tcW w:w="1673" w:type="dxa"/>
          </w:tcPr>
          <w:p w14:paraId="1331BF7E" w14:textId="77777777" w:rsidR="00F36681" w:rsidRPr="00F228CE" w:rsidRDefault="00F36681" w:rsidP="00F36681">
            <w:pPr>
              <w:jc w:val="both"/>
              <w:rPr>
                <w:rFonts w:ascii="Times New Roman" w:hAnsi="Times New Roman" w:cs="Times New Roman"/>
                <w:sz w:val="24"/>
                <w:szCs w:val="24"/>
              </w:rPr>
            </w:pPr>
          </w:p>
        </w:tc>
      </w:tr>
    </w:tbl>
    <w:p w14:paraId="02178E48" w14:textId="7A092C4A" w:rsidR="00C051AD" w:rsidRDefault="00C051AD">
      <w:pPr>
        <w:rPr>
          <w:b/>
        </w:rPr>
      </w:pPr>
      <w:r>
        <w:rPr>
          <w:b/>
        </w:rPr>
        <w:br w:type="page"/>
      </w:r>
    </w:p>
    <w:p w14:paraId="5CBA1295" w14:textId="77777777" w:rsidR="008F1C84" w:rsidRPr="00387DD8" w:rsidRDefault="008F1C84" w:rsidP="007A479E">
      <w:pPr>
        <w:pStyle w:val="naisf"/>
        <w:spacing w:before="0" w:after="0"/>
        <w:ind w:firstLine="0"/>
        <w:jc w:val="center"/>
        <w:rPr>
          <w:b/>
        </w:rPr>
      </w:pPr>
      <w:r w:rsidRPr="00387DD8">
        <w:rPr>
          <w:b/>
        </w:rPr>
        <w:lastRenderedPageBreak/>
        <w:t>II. Jautājumi, par kuriem saskaņošanā vienošanās ir panākta</w:t>
      </w:r>
    </w:p>
    <w:p w14:paraId="6967C156" w14:textId="77777777" w:rsidR="008F1C84" w:rsidRPr="00387DD8" w:rsidRDefault="008F1C84" w:rsidP="007A479E">
      <w:pPr>
        <w:pStyle w:val="naisf"/>
        <w:spacing w:before="0" w:after="0"/>
        <w:ind w:firstLine="0"/>
      </w:pPr>
    </w:p>
    <w:tbl>
      <w:tblPr>
        <w:tblW w:w="15485"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2684"/>
        <w:gridCol w:w="461"/>
        <w:gridCol w:w="5077"/>
        <w:gridCol w:w="816"/>
        <w:gridCol w:w="2470"/>
        <w:gridCol w:w="3235"/>
      </w:tblGrid>
      <w:tr w:rsidR="00EC5A31" w:rsidRPr="00387DD8" w14:paraId="5C098F0C" w14:textId="77777777" w:rsidTr="00770204">
        <w:tc>
          <w:tcPr>
            <w:tcW w:w="742" w:type="dxa"/>
            <w:tcBorders>
              <w:top w:val="single" w:sz="6" w:space="0" w:color="000000"/>
              <w:left w:val="single" w:sz="6" w:space="0" w:color="000000"/>
              <w:bottom w:val="single" w:sz="6" w:space="0" w:color="000000"/>
              <w:right w:val="single" w:sz="6" w:space="0" w:color="000000"/>
            </w:tcBorders>
            <w:vAlign w:val="center"/>
          </w:tcPr>
          <w:p w14:paraId="4C70DD9A" w14:textId="77777777" w:rsidR="008F1C84" w:rsidRPr="00387DD8" w:rsidRDefault="008F1C84" w:rsidP="007A479E">
            <w:pPr>
              <w:pStyle w:val="naisc"/>
              <w:spacing w:before="0" w:after="0"/>
              <w:jc w:val="both"/>
            </w:pPr>
            <w:r w:rsidRPr="00387DD8">
              <w:t>Nr. p. k.</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20F2433A" w14:textId="77777777" w:rsidR="008F1C84" w:rsidRPr="00387DD8" w:rsidRDefault="008F1C84" w:rsidP="007A479E">
            <w:pPr>
              <w:pStyle w:val="naisc"/>
              <w:spacing w:before="0" w:after="0"/>
              <w:ind w:firstLine="12"/>
              <w:jc w:val="both"/>
            </w:pPr>
            <w:r w:rsidRPr="00387DD8">
              <w:t>Saskaņošanai nosūtītā projekta redakcija (konkrēta punkta (panta) redakcija)</w:t>
            </w:r>
          </w:p>
        </w:tc>
        <w:tc>
          <w:tcPr>
            <w:tcW w:w="5077" w:type="dxa"/>
            <w:tcBorders>
              <w:top w:val="single" w:sz="6" w:space="0" w:color="000000"/>
              <w:left w:val="single" w:sz="6" w:space="0" w:color="000000"/>
              <w:bottom w:val="single" w:sz="6" w:space="0" w:color="000000"/>
              <w:right w:val="single" w:sz="6" w:space="0" w:color="000000"/>
            </w:tcBorders>
            <w:vAlign w:val="center"/>
          </w:tcPr>
          <w:p w14:paraId="0909B93A" w14:textId="77777777" w:rsidR="008F1C84" w:rsidRPr="00387DD8" w:rsidRDefault="008F1C84" w:rsidP="007A479E">
            <w:pPr>
              <w:pStyle w:val="naisc"/>
              <w:spacing w:before="0" w:after="0"/>
              <w:ind w:right="3"/>
              <w:jc w:val="both"/>
            </w:pPr>
            <w:r w:rsidRPr="00387DD8">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55139F8A" w14:textId="77777777" w:rsidR="008F1C84" w:rsidRPr="00387DD8" w:rsidRDefault="008F1C84" w:rsidP="007A479E">
            <w:pPr>
              <w:pStyle w:val="naisc"/>
              <w:spacing w:before="0" w:after="0"/>
              <w:ind w:firstLine="21"/>
              <w:jc w:val="both"/>
            </w:pPr>
            <w:r w:rsidRPr="00387DD8">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6CDC572F"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Projekta attiecīgā punkta (panta) galīgā redakcija</w:t>
            </w:r>
          </w:p>
        </w:tc>
      </w:tr>
      <w:tr w:rsidR="00EC5A31" w:rsidRPr="00387DD8" w14:paraId="340C47F2" w14:textId="77777777" w:rsidTr="00770204">
        <w:tc>
          <w:tcPr>
            <w:tcW w:w="742" w:type="dxa"/>
            <w:tcBorders>
              <w:top w:val="single" w:sz="6" w:space="0" w:color="000000"/>
              <w:left w:val="single" w:sz="6" w:space="0" w:color="000000"/>
              <w:bottom w:val="single" w:sz="6" w:space="0" w:color="000000"/>
              <w:right w:val="single" w:sz="6" w:space="0" w:color="000000"/>
            </w:tcBorders>
          </w:tcPr>
          <w:p w14:paraId="75C1ABA1" w14:textId="77777777" w:rsidR="008F1C84" w:rsidRPr="00387DD8" w:rsidRDefault="008F1C84" w:rsidP="007A479E">
            <w:pPr>
              <w:pStyle w:val="naisc"/>
              <w:spacing w:before="0" w:after="0"/>
              <w:jc w:val="both"/>
            </w:pPr>
            <w:r w:rsidRPr="00387DD8">
              <w:t>1</w:t>
            </w:r>
          </w:p>
        </w:tc>
        <w:tc>
          <w:tcPr>
            <w:tcW w:w="3145" w:type="dxa"/>
            <w:gridSpan w:val="2"/>
            <w:tcBorders>
              <w:top w:val="single" w:sz="6" w:space="0" w:color="000000"/>
              <w:left w:val="single" w:sz="6" w:space="0" w:color="000000"/>
              <w:bottom w:val="single" w:sz="6" w:space="0" w:color="000000"/>
              <w:right w:val="single" w:sz="6" w:space="0" w:color="000000"/>
            </w:tcBorders>
          </w:tcPr>
          <w:p w14:paraId="21E22B63" w14:textId="77777777" w:rsidR="008F1C84" w:rsidRPr="00387DD8" w:rsidRDefault="008F1C84" w:rsidP="007A479E">
            <w:pPr>
              <w:pStyle w:val="naisc"/>
              <w:spacing w:before="0" w:after="0"/>
              <w:ind w:firstLine="720"/>
              <w:jc w:val="both"/>
            </w:pPr>
            <w:r w:rsidRPr="00387DD8">
              <w:t>2</w:t>
            </w:r>
          </w:p>
        </w:tc>
        <w:tc>
          <w:tcPr>
            <w:tcW w:w="5077" w:type="dxa"/>
            <w:tcBorders>
              <w:top w:val="single" w:sz="6" w:space="0" w:color="000000"/>
              <w:left w:val="single" w:sz="6" w:space="0" w:color="000000"/>
              <w:bottom w:val="single" w:sz="6" w:space="0" w:color="000000"/>
              <w:right w:val="single" w:sz="6" w:space="0" w:color="000000"/>
            </w:tcBorders>
          </w:tcPr>
          <w:p w14:paraId="7CA73E04" w14:textId="77777777" w:rsidR="008F1C84" w:rsidRPr="00387DD8" w:rsidRDefault="008F1C84" w:rsidP="007A479E">
            <w:pPr>
              <w:pStyle w:val="naisc"/>
              <w:spacing w:before="0" w:after="0"/>
              <w:ind w:firstLine="720"/>
              <w:jc w:val="both"/>
            </w:pPr>
            <w:r w:rsidRPr="00387DD8">
              <w:t>3</w:t>
            </w:r>
          </w:p>
        </w:tc>
        <w:tc>
          <w:tcPr>
            <w:tcW w:w="3286" w:type="dxa"/>
            <w:gridSpan w:val="2"/>
            <w:tcBorders>
              <w:top w:val="single" w:sz="6" w:space="0" w:color="000000"/>
              <w:left w:val="single" w:sz="6" w:space="0" w:color="000000"/>
              <w:bottom w:val="single" w:sz="6" w:space="0" w:color="000000"/>
              <w:right w:val="single" w:sz="6" w:space="0" w:color="000000"/>
            </w:tcBorders>
          </w:tcPr>
          <w:p w14:paraId="3703237A" w14:textId="77777777" w:rsidR="008F1C84" w:rsidRPr="00387DD8" w:rsidRDefault="008F1C84" w:rsidP="007A479E">
            <w:pPr>
              <w:pStyle w:val="naisc"/>
              <w:spacing w:before="0" w:after="0"/>
              <w:ind w:firstLine="720"/>
              <w:jc w:val="both"/>
            </w:pPr>
            <w:r w:rsidRPr="00387DD8">
              <w:t>4</w:t>
            </w:r>
          </w:p>
        </w:tc>
        <w:tc>
          <w:tcPr>
            <w:tcW w:w="3235" w:type="dxa"/>
            <w:tcBorders>
              <w:top w:val="single" w:sz="4" w:space="0" w:color="auto"/>
              <w:left w:val="single" w:sz="4" w:space="0" w:color="auto"/>
              <w:bottom w:val="single" w:sz="4" w:space="0" w:color="auto"/>
            </w:tcBorders>
          </w:tcPr>
          <w:p w14:paraId="0E74DB43"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5</w:t>
            </w:r>
          </w:p>
        </w:tc>
      </w:tr>
      <w:tr w:rsidR="00AD08F8" w:rsidRPr="00387DD8" w14:paraId="59B86204" w14:textId="77777777" w:rsidTr="00770204">
        <w:tc>
          <w:tcPr>
            <w:tcW w:w="742" w:type="dxa"/>
            <w:tcBorders>
              <w:top w:val="single" w:sz="6" w:space="0" w:color="000000"/>
              <w:left w:val="single" w:sz="6" w:space="0" w:color="000000"/>
              <w:bottom w:val="single" w:sz="6" w:space="0" w:color="000000"/>
              <w:right w:val="single" w:sz="6" w:space="0" w:color="000000"/>
            </w:tcBorders>
          </w:tcPr>
          <w:p w14:paraId="253D9E67" w14:textId="787EC6ED" w:rsidR="00AD08F8" w:rsidRPr="00387DD8" w:rsidRDefault="00344A4E" w:rsidP="007A479E">
            <w:pPr>
              <w:pStyle w:val="naisc"/>
              <w:spacing w:before="0" w:after="0"/>
              <w:jc w:val="both"/>
            </w:pPr>
            <w:r>
              <w:t>1.</w:t>
            </w:r>
          </w:p>
        </w:tc>
        <w:tc>
          <w:tcPr>
            <w:tcW w:w="3145" w:type="dxa"/>
            <w:gridSpan w:val="2"/>
            <w:tcBorders>
              <w:top w:val="single" w:sz="6" w:space="0" w:color="000000"/>
              <w:left w:val="single" w:sz="6" w:space="0" w:color="000000"/>
              <w:bottom w:val="single" w:sz="6" w:space="0" w:color="000000"/>
              <w:right w:val="single" w:sz="6" w:space="0" w:color="000000"/>
            </w:tcBorders>
          </w:tcPr>
          <w:p w14:paraId="47F2958E" w14:textId="77777777" w:rsidR="00AD08F8" w:rsidRPr="00387DD8" w:rsidRDefault="00AD08F8" w:rsidP="007A479E">
            <w:pPr>
              <w:pStyle w:val="naisc"/>
              <w:spacing w:before="0" w:after="0"/>
              <w:ind w:firstLine="720"/>
              <w:jc w:val="both"/>
            </w:pPr>
          </w:p>
        </w:tc>
        <w:tc>
          <w:tcPr>
            <w:tcW w:w="5077" w:type="dxa"/>
            <w:tcBorders>
              <w:top w:val="single" w:sz="6" w:space="0" w:color="000000"/>
              <w:left w:val="single" w:sz="6" w:space="0" w:color="000000"/>
              <w:bottom w:val="single" w:sz="6" w:space="0" w:color="000000"/>
              <w:right w:val="single" w:sz="6" w:space="0" w:color="000000"/>
            </w:tcBorders>
          </w:tcPr>
          <w:p w14:paraId="528229D9" w14:textId="0E7117F2" w:rsidR="00AD08F8" w:rsidRPr="00AD08F8" w:rsidRDefault="00AD08F8" w:rsidP="00AD08F8">
            <w:pPr>
              <w:pStyle w:val="naisc"/>
              <w:spacing w:before="0" w:after="0"/>
              <w:jc w:val="both"/>
              <w:rPr>
                <w:i/>
                <w:iCs/>
              </w:rPr>
            </w:pPr>
            <w:r w:rsidRPr="00AD08F8">
              <w:rPr>
                <w:i/>
                <w:iCs/>
              </w:rPr>
              <w:t>08</w:t>
            </w:r>
            <w:r w:rsidR="00AB351E">
              <w:rPr>
                <w:i/>
                <w:iCs/>
              </w:rPr>
              <w:t>.</w:t>
            </w:r>
            <w:r w:rsidRPr="00AD08F8">
              <w:rPr>
                <w:i/>
                <w:iCs/>
              </w:rPr>
              <w:t>08.2019. atzinums</w:t>
            </w:r>
          </w:p>
          <w:p w14:paraId="1D6850B7" w14:textId="2CE0379D" w:rsidR="00AD08F8" w:rsidRPr="00AD08F8" w:rsidRDefault="00AD08F8" w:rsidP="00AD08F8">
            <w:pPr>
              <w:pStyle w:val="naisc"/>
              <w:spacing w:before="120" w:after="120"/>
              <w:rPr>
                <w:b/>
                <w:bCs/>
              </w:rPr>
            </w:pPr>
            <w:r w:rsidRPr="00AD08F8">
              <w:rPr>
                <w:b/>
                <w:bCs/>
              </w:rPr>
              <w:t>Valsts kanceleja</w:t>
            </w:r>
          </w:p>
          <w:p w14:paraId="40605502" w14:textId="45ED3B32" w:rsidR="00AD08F8" w:rsidRPr="00387DD8" w:rsidRDefault="00AD08F8" w:rsidP="00AD08F8">
            <w:pPr>
              <w:pStyle w:val="naisc"/>
              <w:spacing w:before="0" w:after="0"/>
              <w:jc w:val="both"/>
            </w:pPr>
            <w:r>
              <w:t xml:space="preserve">Ziņojumam pievienots pielikums ar aprēķiniem. Pielikums nesatur detalizētu informāciju, kā veidojas darbaspēka izmaksas. Piemēram, saskaņā ar Atlīdzības uzskaites sistēmas datiem (2019. gada jūnijs) Konkurences padomes Administratīvā nodaļā ir 8 amata vietas, no kurām 2 darbinieki ir ilgstošā prombūtnē. Saskaņā ar pielikumā ietvertajiem aprēķiniem IT infrastruktūras nodrošināšanas izmaksas ir 19 164 </w:t>
            </w:r>
            <w:proofErr w:type="spellStart"/>
            <w:r>
              <w:t>euro</w:t>
            </w:r>
            <w:proofErr w:type="spellEnd"/>
            <w:r>
              <w:t xml:space="preserve">, bet 1 </w:t>
            </w:r>
            <w:proofErr w:type="spellStart"/>
            <w:r>
              <w:t>sistēmanalītiķis</w:t>
            </w:r>
            <w:proofErr w:type="spellEnd"/>
            <w:r>
              <w:t xml:space="preserve"> Administratīvā nodaļā ir ar mēnešalgu 1770 </w:t>
            </w:r>
            <w:proofErr w:type="spellStart"/>
            <w:r>
              <w:t>euro</w:t>
            </w:r>
            <w:proofErr w:type="spellEnd"/>
            <w:r>
              <w:t xml:space="preserve">, kas gadā veido 26 356 </w:t>
            </w:r>
            <w:proofErr w:type="spellStart"/>
            <w:r>
              <w:t>euro</w:t>
            </w:r>
            <w:proofErr w:type="spellEnd"/>
            <w:r>
              <w:t xml:space="preserve"> (1770 * 12 </w:t>
            </w:r>
            <w:proofErr w:type="spellStart"/>
            <w:r>
              <w:t>mēn</w:t>
            </w:r>
            <w:proofErr w:type="spellEnd"/>
            <w:r>
              <w:t>. * 24.09% (</w:t>
            </w:r>
            <w:proofErr w:type="spellStart"/>
            <w:r>
              <w:t>d.devēja</w:t>
            </w:r>
            <w:proofErr w:type="spellEnd"/>
            <w:r>
              <w:t xml:space="preserve"> </w:t>
            </w:r>
            <w:proofErr w:type="spellStart"/>
            <w:r>
              <w:t>soc.nod</w:t>
            </w:r>
            <w:proofErr w:type="spellEnd"/>
            <w:r>
              <w:t xml:space="preserve">.)). Pretēja situācija ar komunikāciju (sabiedrisko attiecību) speciālistiem. Komunikāciju nodaļā ir 2 speciālisti attiecīgi ar mēnešalgām 1250 </w:t>
            </w:r>
            <w:proofErr w:type="spellStart"/>
            <w:r>
              <w:t>euro</w:t>
            </w:r>
            <w:proofErr w:type="spellEnd"/>
            <w:r>
              <w:t xml:space="preserve"> un 1600 </w:t>
            </w:r>
            <w:proofErr w:type="spellStart"/>
            <w:r>
              <w:t>euro</w:t>
            </w:r>
            <w:proofErr w:type="spellEnd"/>
            <w:r>
              <w:t xml:space="preserve">, kas veido 42 438 </w:t>
            </w:r>
            <w:proofErr w:type="spellStart"/>
            <w:r>
              <w:t>euro</w:t>
            </w:r>
            <w:proofErr w:type="spellEnd"/>
            <w:r>
              <w:t xml:space="preserve"> ((1250+1600)*12 </w:t>
            </w:r>
            <w:proofErr w:type="spellStart"/>
            <w:r>
              <w:t>mēn</w:t>
            </w:r>
            <w:proofErr w:type="spellEnd"/>
            <w:r>
              <w:t>. * 24.09% (</w:t>
            </w:r>
            <w:proofErr w:type="spellStart"/>
            <w:r>
              <w:t>d.devēja</w:t>
            </w:r>
            <w:proofErr w:type="spellEnd"/>
            <w:r>
              <w:t xml:space="preserve"> </w:t>
            </w:r>
            <w:proofErr w:type="spellStart"/>
            <w:r>
              <w:t>soc.nod</w:t>
            </w:r>
            <w:proofErr w:type="spellEnd"/>
            <w:r>
              <w:t xml:space="preserve">.)), bet pielikumā ietvertās darbaspēka izmaksas – 55 884 </w:t>
            </w:r>
            <w:proofErr w:type="spellStart"/>
            <w:r>
              <w:t>euro</w:t>
            </w:r>
            <w:proofErr w:type="spellEnd"/>
            <w:r>
              <w:t>. Lūdzam papildināt aprēķinus.</w:t>
            </w:r>
          </w:p>
        </w:tc>
        <w:tc>
          <w:tcPr>
            <w:tcW w:w="3286" w:type="dxa"/>
            <w:gridSpan w:val="2"/>
            <w:tcBorders>
              <w:top w:val="single" w:sz="6" w:space="0" w:color="000000"/>
              <w:left w:val="single" w:sz="6" w:space="0" w:color="000000"/>
              <w:bottom w:val="single" w:sz="6" w:space="0" w:color="000000"/>
              <w:right w:val="single" w:sz="6" w:space="0" w:color="000000"/>
            </w:tcBorders>
          </w:tcPr>
          <w:p w14:paraId="335BAA20" w14:textId="77777777" w:rsidR="007C0578" w:rsidRPr="0049470F" w:rsidRDefault="007C0578" w:rsidP="007C0578">
            <w:pPr>
              <w:pStyle w:val="naisc"/>
              <w:spacing w:before="120" w:after="240"/>
              <w:rPr>
                <w:b/>
              </w:rPr>
            </w:pPr>
            <w:r w:rsidRPr="0049470F">
              <w:rPr>
                <w:b/>
              </w:rPr>
              <w:t>Ņemts vērā</w:t>
            </w:r>
          </w:p>
          <w:p w14:paraId="4AAA0132" w14:textId="41E3938F" w:rsidR="00AD08F8" w:rsidRPr="00FA7AA4" w:rsidRDefault="007C0578" w:rsidP="007C0578">
            <w:pPr>
              <w:pStyle w:val="naisc"/>
              <w:spacing w:before="0" w:after="0"/>
              <w:jc w:val="both"/>
              <w:rPr>
                <w:highlight w:val="yellow"/>
              </w:rPr>
            </w:pPr>
            <w:r w:rsidRPr="008D6C99">
              <w:t>Informatīv</w:t>
            </w:r>
            <w:r>
              <w:t xml:space="preserve">ā ziņojuma pielikumā </w:t>
            </w:r>
            <w:r w:rsidRPr="007C0578">
              <w:t>p</w:t>
            </w:r>
            <w:r w:rsidR="007E72A1" w:rsidRPr="007C0578">
              <w:t>recizētā informācija par KP darbaspēk</w:t>
            </w:r>
            <w:r w:rsidRPr="007C0578">
              <w:t>a</w:t>
            </w:r>
            <w:r w:rsidR="007E72A1" w:rsidRPr="007C0578">
              <w:t xml:space="preserve"> izmaksām</w:t>
            </w:r>
            <w:r w:rsidRPr="007C0578">
              <w:t>.</w:t>
            </w:r>
          </w:p>
        </w:tc>
        <w:tc>
          <w:tcPr>
            <w:tcW w:w="3235" w:type="dxa"/>
            <w:tcBorders>
              <w:top w:val="single" w:sz="4" w:space="0" w:color="auto"/>
              <w:left w:val="single" w:sz="4" w:space="0" w:color="auto"/>
              <w:bottom w:val="single" w:sz="4" w:space="0" w:color="auto"/>
            </w:tcBorders>
          </w:tcPr>
          <w:p w14:paraId="76FCC256" w14:textId="77777777" w:rsidR="00AD08F8" w:rsidRPr="00387DD8" w:rsidRDefault="00AD08F8" w:rsidP="007A479E">
            <w:pPr>
              <w:spacing w:after="0" w:line="240" w:lineRule="auto"/>
              <w:jc w:val="both"/>
              <w:rPr>
                <w:rFonts w:ascii="Times New Roman" w:hAnsi="Times New Roman" w:cs="Times New Roman"/>
                <w:sz w:val="24"/>
                <w:szCs w:val="24"/>
              </w:rPr>
            </w:pPr>
          </w:p>
        </w:tc>
      </w:tr>
      <w:tr w:rsidR="005F2378" w:rsidRPr="00387DD8" w14:paraId="178B3A77" w14:textId="77777777" w:rsidTr="00770204">
        <w:tc>
          <w:tcPr>
            <w:tcW w:w="742" w:type="dxa"/>
            <w:tcBorders>
              <w:top w:val="single" w:sz="4" w:space="0" w:color="auto"/>
              <w:left w:val="single" w:sz="4" w:space="0" w:color="auto"/>
              <w:bottom w:val="single" w:sz="4" w:space="0" w:color="auto"/>
              <w:right w:val="single" w:sz="4" w:space="0" w:color="auto"/>
            </w:tcBorders>
          </w:tcPr>
          <w:p w14:paraId="09C0A12B" w14:textId="350B2457" w:rsidR="005F2378" w:rsidRPr="00387DD8" w:rsidRDefault="00F36681"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10F6D">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3DF3A70B" w14:textId="77777777" w:rsidR="005F2378" w:rsidRPr="00387DD8" w:rsidRDefault="005F2378"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0ECBD482" w14:textId="4FA98338" w:rsidR="005F2378" w:rsidRDefault="003717AB" w:rsidP="005F2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Konkurences padome</w:t>
            </w:r>
          </w:p>
          <w:p w14:paraId="034B08C8" w14:textId="77777777" w:rsidR="005F2378" w:rsidRDefault="005F2378" w:rsidP="005F2378">
            <w:pPr>
              <w:spacing w:after="0" w:line="240" w:lineRule="auto"/>
              <w:jc w:val="center"/>
              <w:rPr>
                <w:rFonts w:ascii="Times New Roman" w:hAnsi="Times New Roman" w:cs="Times New Roman"/>
                <w:b/>
                <w:sz w:val="24"/>
                <w:szCs w:val="24"/>
              </w:rPr>
            </w:pPr>
          </w:p>
          <w:p w14:paraId="475C2238" w14:textId="050E13E0" w:rsidR="005F2378" w:rsidRDefault="003717AB" w:rsidP="003717AB">
            <w:pPr>
              <w:jc w:val="both"/>
              <w:rPr>
                <w:rFonts w:ascii="Times New Roman" w:hAnsi="Times New Roman" w:cs="Times New Roman"/>
                <w:b/>
                <w:sz w:val="24"/>
                <w:szCs w:val="24"/>
              </w:rPr>
            </w:pPr>
            <w:r w:rsidRPr="003717AB">
              <w:rPr>
                <w:rFonts w:ascii="Times New Roman" w:hAnsi="Times New Roman" w:cs="Times New Roman"/>
                <w:sz w:val="24"/>
                <w:szCs w:val="24"/>
              </w:rPr>
              <w:t>KP ir veikusi iepriekš EM iesniegtā aprēķina precizēšanu, palielinot iestādei nepieciešamā papildu finansējuma apmēru atlīdzībai (skat. Pielikumā). Līdz ar to lūgums izdarīt attiecīgās korekcijas iepriekšminētajos dokumentos pirms to virzīšanas izskatīšanai Ministru kabinetā.</w:t>
            </w:r>
          </w:p>
        </w:tc>
        <w:tc>
          <w:tcPr>
            <w:tcW w:w="3286" w:type="dxa"/>
            <w:gridSpan w:val="2"/>
            <w:tcBorders>
              <w:top w:val="single" w:sz="4" w:space="0" w:color="auto"/>
              <w:left w:val="single" w:sz="4" w:space="0" w:color="auto"/>
              <w:bottom w:val="single" w:sz="4" w:space="0" w:color="auto"/>
              <w:right w:val="single" w:sz="4" w:space="0" w:color="auto"/>
            </w:tcBorders>
          </w:tcPr>
          <w:p w14:paraId="03AEEB94" w14:textId="77777777" w:rsidR="005F2378" w:rsidRPr="0049470F" w:rsidRDefault="005F2378" w:rsidP="00514872">
            <w:pPr>
              <w:pStyle w:val="naisc"/>
              <w:spacing w:before="120" w:after="240"/>
              <w:rPr>
                <w:b/>
              </w:rPr>
            </w:pPr>
            <w:r w:rsidRPr="0049470F">
              <w:rPr>
                <w:b/>
              </w:rPr>
              <w:t>Ņemts vērā</w:t>
            </w:r>
          </w:p>
          <w:p w14:paraId="3499944A" w14:textId="6F064173" w:rsidR="005F2378" w:rsidRPr="0049470F" w:rsidRDefault="003717AB" w:rsidP="00514872">
            <w:pPr>
              <w:pStyle w:val="naisc"/>
              <w:spacing w:before="0" w:after="0"/>
              <w:jc w:val="both"/>
              <w:rPr>
                <w:b/>
              </w:rPr>
            </w:pPr>
            <w:r w:rsidRPr="008D6C99">
              <w:t>Informatīvais ziņojums p</w:t>
            </w:r>
            <w:r w:rsidR="005F2378" w:rsidRPr="008D6C99">
              <w:t>recizēts</w:t>
            </w:r>
            <w:r w:rsidRPr="008D6C99">
              <w:t xml:space="preserve"> atbilstoši KP iesniegtajiem aprēķiniem.</w:t>
            </w:r>
            <w:r w:rsidR="005F2378" w:rsidRPr="0049470F">
              <w:t xml:space="preserve"> </w:t>
            </w:r>
          </w:p>
        </w:tc>
        <w:tc>
          <w:tcPr>
            <w:tcW w:w="3235" w:type="dxa"/>
            <w:tcBorders>
              <w:top w:val="single" w:sz="4" w:space="0" w:color="auto"/>
              <w:left w:val="single" w:sz="4" w:space="0" w:color="auto"/>
              <w:bottom w:val="single" w:sz="4" w:space="0" w:color="auto"/>
            </w:tcBorders>
          </w:tcPr>
          <w:p w14:paraId="02DA9B7A" w14:textId="77777777" w:rsidR="005F2378" w:rsidRPr="0049470F" w:rsidRDefault="005F2378" w:rsidP="005F2378">
            <w:pPr>
              <w:spacing w:after="0" w:line="240" w:lineRule="auto"/>
              <w:jc w:val="both"/>
              <w:rPr>
                <w:rFonts w:ascii="Times New Roman" w:hAnsi="Times New Roman" w:cs="Times New Roman"/>
                <w:sz w:val="24"/>
                <w:szCs w:val="24"/>
              </w:rPr>
            </w:pPr>
          </w:p>
        </w:tc>
      </w:tr>
      <w:tr w:rsidR="003717AB" w:rsidRPr="00387DD8" w14:paraId="287E28DF" w14:textId="77777777" w:rsidTr="00770204">
        <w:tc>
          <w:tcPr>
            <w:tcW w:w="742" w:type="dxa"/>
            <w:tcBorders>
              <w:top w:val="single" w:sz="4" w:space="0" w:color="auto"/>
              <w:left w:val="single" w:sz="4" w:space="0" w:color="auto"/>
              <w:bottom w:val="single" w:sz="4" w:space="0" w:color="auto"/>
              <w:right w:val="single" w:sz="4" w:space="0" w:color="auto"/>
            </w:tcBorders>
          </w:tcPr>
          <w:p w14:paraId="002A1E65" w14:textId="050F3329" w:rsidR="003717AB" w:rsidRDefault="00F36681"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6ADCCB3A" w14:textId="77777777" w:rsidR="003717AB" w:rsidRPr="00387DD8" w:rsidRDefault="003717AB"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6B49586F" w14:textId="6456525F" w:rsidR="00B11F66" w:rsidRDefault="00B11F66" w:rsidP="00B11F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Sabiedrisko pakalpojumu regulēšanas komisija</w:t>
            </w:r>
          </w:p>
          <w:p w14:paraId="3CDFA853" w14:textId="77777777" w:rsidR="00B11F66" w:rsidRDefault="00B11F66" w:rsidP="005F2378">
            <w:pPr>
              <w:spacing w:after="0" w:line="240" w:lineRule="auto"/>
              <w:jc w:val="center"/>
              <w:rPr>
                <w:rFonts w:ascii="Times New Roman" w:hAnsi="Times New Roman" w:cs="Times New Roman"/>
                <w:b/>
                <w:sz w:val="24"/>
                <w:szCs w:val="24"/>
              </w:rPr>
            </w:pPr>
          </w:p>
          <w:p w14:paraId="57220A7B" w14:textId="08499A5D" w:rsidR="003717AB" w:rsidRPr="00B11F66" w:rsidRDefault="00B11F66" w:rsidP="00B11F66">
            <w:pPr>
              <w:spacing w:before="40" w:after="0" w:line="240" w:lineRule="auto"/>
              <w:jc w:val="both"/>
              <w:rPr>
                <w:rFonts w:ascii="Times New Roman" w:hAnsi="Times New Roman" w:cs="Times New Roman"/>
                <w:sz w:val="24"/>
                <w:szCs w:val="24"/>
              </w:rPr>
            </w:pPr>
            <w:r w:rsidRPr="00B11F66">
              <w:rPr>
                <w:rFonts w:ascii="Times New Roman" w:hAnsi="Times New Roman" w:cs="Times New Roman"/>
                <w:sz w:val="24"/>
                <w:szCs w:val="24"/>
              </w:rPr>
              <w:t>N</w:t>
            </w:r>
            <w:r w:rsidR="003717AB" w:rsidRPr="00B11F66">
              <w:rPr>
                <w:rFonts w:ascii="Times New Roman" w:hAnsi="Times New Roman" w:cs="Times New Roman"/>
                <w:sz w:val="24"/>
                <w:szCs w:val="24"/>
              </w:rPr>
              <w:t>olūkā korekti atspoguļot Informatīvajā ziņojumā iekļauto finansiālās kapacitātes salīdzinājumu un vērtējumu, Regulators aicina precizēt informāciju gan par Regulatorā nodarbināto darbinieku skaitu, gan informāciju par Regulatora un Konkurences padomes darbinieku vidējo darba samaksa apmēru un tās salīdzinājumu.</w:t>
            </w:r>
          </w:p>
          <w:p w14:paraId="4FF8E594" w14:textId="77777777" w:rsidR="003717AB" w:rsidRPr="00B11F66" w:rsidRDefault="003717AB" w:rsidP="00B11F66">
            <w:pPr>
              <w:spacing w:before="40" w:after="0" w:line="240" w:lineRule="auto"/>
              <w:jc w:val="both"/>
              <w:rPr>
                <w:rFonts w:ascii="Times New Roman" w:hAnsi="Times New Roman" w:cs="Times New Roman"/>
                <w:sz w:val="24"/>
                <w:szCs w:val="24"/>
              </w:rPr>
            </w:pPr>
            <w:r w:rsidRPr="00B11F66">
              <w:rPr>
                <w:rFonts w:ascii="Times New Roman" w:hAnsi="Times New Roman" w:cs="Times New Roman"/>
                <w:sz w:val="24"/>
                <w:szCs w:val="24"/>
              </w:rPr>
              <w:t>Regulatora norāda, ka saskaņā ar Regulatora apstiprināto štatu sarakstu 2018.gadā, pretēji Informatīvajā ziņojumā norādītajam, Regulatorā bija 121 štata vietas, kas maina saskaņošanai nosūtītajā Informatīvajā ziņojumā iekļauto aprēķinu, gan aprēķina rezultāta iegūto rezultātu.</w:t>
            </w:r>
          </w:p>
          <w:p w14:paraId="336D554D" w14:textId="16F1091A" w:rsidR="003717AB" w:rsidRDefault="003717AB" w:rsidP="00B11F66">
            <w:pPr>
              <w:spacing w:before="40" w:after="0" w:line="240" w:lineRule="auto"/>
              <w:jc w:val="both"/>
              <w:rPr>
                <w:rFonts w:ascii="Times New Roman" w:hAnsi="Times New Roman" w:cs="Times New Roman"/>
                <w:b/>
                <w:sz w:val="24"/>
                <w:szCs w:val="24"/>
              </w:rPr>
            </w:pPr>
            <w:r w:rsidRPr="00B11F66">
              <w:rPr>
                <w:rFonts w:ascii="Times New Roman" w:hAnsi="Times New Roman" w:cs="Times New Roman"/>
                <w:sz w:val="24"/>
                <w:szCs w:val="24"/>
              </w:rPr>
              <w:t xml:space="preserve">Lai Informatīvajā ziņojumā korekti atspoguļotu informāciju </w:t>
            </w:r>
            <w:bookmarkStart w:id="0" w:name="_Hlk6913062"/>
            <w:r w:rsidRPr="00B11F66">
              <w:rPr>
                <w:rFonts w:ascii="Times New Roman" w:hAnsi="Times New Roman" w:cs="Times New Roman"/>
                <w:sz w:val="24"/>
                <w:szCs w:val="24"/>
              </w:rPr>
              <w:t xml:space="preserve">par Regulatora un Konkurences padomes amatpersonu un darbinieku atlīdzības sistēmu un vidējās mēnešalgas apmēriem, Regulators ierosina precizēt Informatīvo ziņojumu, papildot to ar atsaucēm uz abu institūciju tīmekļa vietnēm (Regulatora gadījumā: </w:t>
            </w:r>
            <w:hyperlink r:id="rId9" w:history="1">
              <w:r w:rsidRPr="00B11F66">
                <w:rPr>
                  <w:rStyle w:val="Hyperlink"/>
                  <w:rFonts w:ascii="Times New Roman" w:hAnsi="Times New Roman" w:cs="Times New Roman"/>
                  <w:sz w:val="24"/>
                  <w:szCs w:val="24"/>
                </w:rPr>
                <w:t>https://www.sprk.gov.lv/content/atalgojuma-</w:t>
              </w:r>
              <w:r w:rsidRPr="00B11F66">
                <w:rPr>
                  <w:rStyle w:val="Hyperlink"/>
                  <w:rFonts w:ascii="Times New Roman" w:hAnsi="Times New Roman" w:cs="Times New Roman"/>
                  <w:sz w:val="24"/>
                  <w:szCs w:val="24"/>
                </w:rPr>
                <w:lastRenderedPageBreak/>
                <w:t>politika</w:t>
              </w:r>
            </w:hyperlink>
            <w:r w:rsidRPr="00B11F66">
              <w:rPr>
                <w:rFonts w:ascii="Times New Roman" w:hAnsi="Times New Roman" w:cs="Times New Roman"/>
                <w:sz w:val="24"/>
                <w:szCs w:val="24"/>
              </w:rPr>
              <w:t xml:space="preserve">, bet Konkurences padomes gadījumā: </w:t>
            </w:r>
            <w:hyperlink r:id="rId10" w:history="1">
              <w:r w:rsidRPr="00B11F66">
                <w:rPr>
                  <w:rStyle w:val="Hyperlink"/>
                  <w:rFonts w:ascii="Times New Roman" w:hAnsi="Times New Roman" w:cs="Times New Roman"/>
                  <w:sz w:val="24"/>
                  <w:szCs w:val="24"/>
                </w:rPr>
                <w:t>https://www.kp.gov.lv/par-mums/budzets-un-iepirkumi/budzets-un-iepirkumi</w:t>
              </w:r>
            </w:hyperlink>
            <w:r w:rsidRPr="00B11F66">
              <w:rPr>
                <w:rFonts w:ascii="Times New Roman" w:hAnsi="Times New Roman" w:cs="Times New Roman"/>
                <w:sz w:val="24"/>
                <w:szCs w:val="24"/>
              </w:rPr>
              <w:t>),</w:t>
            </w:r>
            <w:bookmarkEnd w:id="0"/>
            <w:r w:rsidRPr="00B11F66">
              <w:rPr>
                <w:rFonts w:ascii="Times New Roman" w:hAnsi="Times New Roman" w:cs="Times New Roman"/>
                <w:sz w:val="24"/>
                <w:szCs w:val="24"/>
              </w:rPr>
              <w:t xml:space="preserve"> kurās atbilstoši Ministru kabineta 2016. gada 12. aprīļa noteikumiem Nr.225 “Kārtība, kādā tiek publiskota informācija par amatpersonu (darbinieku) atlīdzības noteikšanas kritērijiem un darba samaksas apmēru sadalījumā pa amatu grupām” ir publiskota informācija par attiecīgās institūcijas amatpersonu (darbinieku) mēnešalgas apmēru sadalījumā pa amatu grupām</w:t>
            </w:r>
            <w:r w:rsidR="00B11F66">
              <w:rPr>
                <w:rFonts w:ascii="Times New Roman" w:hAnsi="Times New Roman" w:cs="Times New Roman"/>
                <w:sz w:val="24"/>
                <w:szCs w:val="24"/>
              </w:rPr>
              <w:t>.</w:t>
            </w:r>
          </w:p>
        </w:tc>
        <w:tc>
          <w:tcPr>
            <w:tcW w:w="3286" w:type="dxa"/>
            <w:gridSpan w:val="2"/>
            <w:tcBorders>
              <w:top w:val="single" w:sz="4" w:space="0" w:color="auto"/>
              <w:left w:val="single" w:sz="4" w:space="0" w:color="auto"/>
              <w:bottom w:val="single" w:sz="4" w:space="0" w:color="auto"/>
              <w:right w:val="single" w:sz="4" w:space="0" w:color="auto"/>
            </w:tcBorders>
          </w:tcPr>
          <w:p w14:paraId="7DE4AB41" w14:textId="77777777" w:rsidR="00B11F66" w:rsidRPr="0049470F" w:rsidRDefault="00B11F66" w:rsidP="00B11F66">
            <w:pPr>
              <w:pStyle w:val="naisc"/>
              <w:spacing w:before="120" w:after="240"/>
              <w:rPr>
                <w:b/>
              </w:rPr>
            </w:pPr>
            <w:r w:rsidRPr="0049470F">
              <w:rPr>
                <w:b/>
              </w:rPr>
              <w:lastRenderedPageBreak/>
              <w:t>Ņemts vērā</w:t>
            </w:r>
          </w:p>
          <w:p w14:paraId="1BEECD8E" w14:textId="5088FB10" w:rsidR="00B11F66" w:rsidRPr="000A4197" w:rsidRDefault="00B11F66" w:rsidP="00B11F66">
            <w:pPr>
              <w:pStyle w:val="naisc"/>
              <w:spacing w:before="120" w:after="240"/>
              <w:jc w:val="both"/>
            </w:pPr>
            <w:r w:rsidRPr="000A4197">
              <w:t>Informatīvajā ziņojumā precizēta informācija par Regulatorā nodarbināto darbinieku skaitu, vidējo darba samaksas</w:t>
            </w:r>
            <w:r w:rsidR="00127BD8">
              <w:t xml:space="preserve"> </w:t>
            </w:r>
            <w:r w:rsidRPr="000A4197">
              <w:t>apmēru un salīdzinājums ar KP darba samaksas apmēru.</w:t>
            </w:r>
          </w:p>
          <w:p w14:paraId="739985D4" w14:textId="77777777" w:rsidR="00B11F66" w:rsidRPr="000A4197" w:rsidRDefault="00B11F66" w:rsidP="00B11F66">
            <w:pPr>
              <w:pStyle w:val="naisc"/>
              <w:spacing w:before="120" w:after="240"/>
              <w:jc w:val="both"/>
            </w:pPr>
            <w:r w:rsidRPr="000A4197">
              <w:t>Informatīvais ziņojums papildināts arī ar atsaucēm uz Regulatora un KP tīmekļa vietnēm.</w:t>
            </w:r>
          </w:p>
          <w:p w14:paraId="046E3C20" w14:textId="2CE3C347" w:rsidR="003717AB" w:rsidRPr="0049470F" w:rsidRDefault="003717AB" w:rsidP="00B11F66">
            <w:pPr>
              <w:pStyle w:val="naisc"/>
              <w:spacing w:before="120" w:after="240"/>
              <w:jc w:val="both"/>
              <w:rPr>
                <w:b/>
              </w:rPr>
            </w:pPr>
          </w:p>
        </w:tc>
        <w:tc>
          <w:tcPr>
            <w:tcW w:w="3235" w:type="dxa"/>
            <w:tcBorders>
              <w:top w:val="single" w:sz="4" w:space="0" w:color="auto"/>
              <w:left w:val="single" w:sz="4" w:space="0" w:color="auto"/>
              <w:bottom w:val="single" w:sz="4" w:space="0" w:color="auto"/>
            </w:tcBorders>
          </w:tcPr>
          <w:p w14:paraId="1405403D" w14:textId="77777777" w:rsidR="003717AB" w:rsidRPr="0049470F" w:rsidRDefault="003717AB" w:rsidP="005F2378">
            <w:pPr>
              <w:spacing w:after="0" w:line="240" w:lineRule="auto"/>
              <w:jc w:val="both"/>
              <w:rPr>
                <w:rFonts w:ascii="Times New Roman" w:hAnsi="Times New Roman" w:cs="Times New Roman"/>
                <w:sz w:val="24"/>
                <w:szCs w:val="24"/>
              </w:rPr>
            </w:pPr>
          </w:p>
        </w:tc>
      </w:tr>
      <w:tr w:rsidR="002A05D6" w:rsidRPr="00387DD8" w14:paraId="02432D33" w14:textId="77777777" w:rsidTr="00770204">
        <w:tc>
          <w:tcPr>
            <w:tcW w:w="742" w:type="dxa"/>
            <w:tcBorders>
              <w:top w:val="single" w:sz="4" w:space="0" w:color="auto"/>
              <w:left w:val="single" w:sz="4" w:space="0" w:color="auto"/>
              <w:bottom w:val="single" w:sz="4" w:space="0" w:color="auto"/>
              <w:right w:val="single" w:sz="4" w:space="0" w:color="auto"/>
            </w:tcBorders>
          </w:tcPr>
          <w:p w14:paraId="6118E300" w14:textId="7C90C60F" w:rsidR="002A05D6" w:rsidRDefault="00F36681"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2C95A95" w14:textId="77777777" w:rsidR="002A05D6" w:rsidRPr="00387DD8" w:rsidRDefault="002A05D6"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5D0BB26D" w14:textId="21237358" w:rsidR="00BE7755" w:rsidRDefault="00BE7755" w:rsidP="00BE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Finanšu ministrija</w:t>
            </w:r>
          </w:p>
          <w:p w14:paraId="31034102" w14:textId="77777777" w:rsidR="002A05D6" w:rsidRDefault="002A05D6" w:rsidP="00B11F66">
            <w:pPr>
              <w:spacing w:after="0" w:line="240" w:lineRule="auto"/>
              <w:jc w:val="center"/>
              <w:rPr>
                <w:rFonts w:ascii="Times New Roman" w:hAnsi="Times New Roman" w:cs="Times New Roman"/>
                <w:b/>
                <w:sz w:val="24"/>
                <w:szCs w:val="24"/>
              </w:rPr>
            </w:pPr>
          </w:p>
          <w:p w14:paraId="64E1A764" w14:textId="77777777" w:rsidR="002A05D6" w:rsidRPr="002A05D6" w:rsidRDefault="002A05D6" w:rsidP="002A05D6">
            <w:pPr>
              <w:spacing w:before="40" w:after="0" w:line="240" w:lineRule="auto"/>
              <w:contextualSpacing/>
              <w:jc w:val="both"/>
              <w:rPr>
                <w:rFonts w:ascii="Times New Roman" w:hAnsi="Times New Roman" w:cs="Times New Roman"/>
                <w:sz w:val="24"/>
                <w:szCs w:val="24"/>
              </w:rPr>
            </w:pPr>
            <w:r w:rsidRPr="002A05D6">
              <w:rPr>
                <w:rFonts w:ascii="Times New Roman" w:hAnsi="Times New Roman" w:cs="Times New Roman"/>
                <w:sz w:val="24"/>
                <w:szCs w:val="24"/>
              </w:rPr>
              <w:t>Saskaņā ar Ministru kabineta 2017.gada 28.augusta sēdes protokola Nr.41, 1.§ 9.p. un 2018.gada 27.marta sēdes protokola Nr.17 4.§ Ekonomikas ministrijai līdz 2019.gada 2.aprīlim tika uzdots</w:t>
            </w:r>
            <w:r w:rsidRPr="002A05D6">
              <w:rPr>
                <w:rFonts w:ascii="Times New Roman" w:hAnsi="Times New Roman" w:cs="Times New Roman"/>
                <w:b/>
                <w:bCs/>
                <w:sz w:val="24"/>
                <w:szCs w:val="24"/>
              </w:rPr>
              <w:t xml:space="preserve"> </w:t>
            </w:r>
            <w:r w:rsidRPr="002A05D6">
              <w:rPr>
                <w:rFonts w:ascii="Times New Roman" w:hAnsi="Times New Roman" w:cs="Times New Roman"/>
                <w:sz w:val="24"/>
                <w:szCs w:val="24"/>
              </w:rPr>
              <w:t xml:space="preserve">sagatavot priekšlikumus par vienotas konkurences un regulācijas iestādes izveides iespējām, lai nodrošinātu valsts budžeta racionālu izmantošanu un administratīvā sloga mazināšanu un, lai sekmētu konkurences veicināšanu visās tautsaimniecības nozarēs un tādējādi turpmāku ekonomisko izaugsmi. </w:t>
            </w:r>
          </w:p>
          <w:p w14:paraId="3FDF93F9" w14:textId="77777777" w:rsidR="002A05D6" w:rsidRPr="002A05D6" w:rsidRDefault="002A05D6" w:rsidP="002A05D6">
            <w:pPr>
              <w:spacing w:before="40" w:after="0" w:line="240" w:lineRule="auto"/>
              <w:contextualSpacing/>
              <w:jc w:val="both"/>
              <w:rPr>
                <w:rFonts w:ascii="Times New Roman" w:hAnsi="Times New Roman" w:cs="Times New Roman"/>
                <w:sz w:val="24"/>
                <w:szCs w:val="24"/>
              </w:rPr>
            </w:pPr>
            <w:r w:rsidRPr="002A05D6">
              <w:rPr>
                <w:rFonts w:ascii="Times New Roman" w:hAnsi="Times New Roman" w:cs="Times New Roman"/>
                <w:sz w:val="24"/>
                <w:szCs w:val="24"/>
              </w:rPr>
              <w:t xml:space="preserve">Uzskatām, ka Ekonomikas ministrija minēto uzdevumu nav izpildījusi pēc būtības, izvērtējot Konkurences padomes (turpmāk – KP) un Sabiedrisko pakalpojumu regulēšanas komisijas (turpmāk – SPRK) apvienošanas iespējas un sagatavojot konkrētus priekšlikumus par vienotas iestādes izveidi. Turklāt informatīvā ziņojuma sagatavošanas mērķis nebija identificēt papildu </w:t>
            </w:r>
            <w:r w:rsidRPr="002A05D6">
              <w:rPr>
                <w:rFonts w:ascii="Times New Roman" w:hAnsi="Times New Roman" w:cs="Times New Roman"/>
                <w:sz w:val="24"/>
                <w:szCs w:val="24"/>
              </w:rPr>
              <w:lastRenderedPageBreak/>
              <w:t xml:space="preserve">nepieciešamos resursus konkurences vai regulācijas funkciju īstenošanai, bet nodrošināt </w:t>
            </w:r>
            <w:r w:rsidRPr="00F4041F">
              <w:rPr>
                <w:rFonts w:ascii="Times New Roman" w:hAnsi="Times New Roman" w:cs="Times New Roman"/>
                <w:sz w:val="24"/>
                <w:szCs w:val="24"/>
              </w:rPr>
              <w:t xml:space="preserve">esošo racionālu izmantošanu. Ņemot vērā minēto, informatīvais ziņojums ir papildināms ar pamatotu </w:t>
            </w:r>
            <w:proofErr w:type="spellStart"/>
            <w:r w:rsidRPr="00F4041F">
              <w:rPr>
                <w:rFonts w:ascii="Times New Roman" w:hAnsi="Times New Roman" w:cs="Times New Roman"/>
                <w:sz w:val="24"/>
                <w:szCs w:val="24"/>
              </w:rPr>
              <w:t>izvērtējumu</w:t>
            </w:r>
            <w:proofErr w:type="spellEnd"/>
            <w:r w:rsidRPr="00F4041F">
              <w:rPr>
                <w:rFonts w:ascii="Times New Roman" w:hAnsi="Times New Roman" w:cs="Times New Roman"/>
                <w:sz w:val="24"/>
                <w:szCs w:val="24"/>
              </w:rPr>
              <w:t>, tai skaitā detalizētiem aprēķiniem par KP un SPRK apvienošanas iespējām,</w:t>
            </w:r>
            <w:r w:rsidRPr="002A05D6">
              <w:rPr>
                <w:rFonts w:ascii="Times New Roman" w:hAnsi="Times New Roman" w:cs="Times New Roman"/>
                <w:sz w:val="24"/>
                <w:szCs w:val="24"/>
              </w:rPr>
              <w:t xml:space="preserve"> kā arī informatīvajā ziņojumā jāsvītro sniegtā informācija par KP papildu nepieciešamo valsts budžeta finansējumu un attiecīgi Ministru kabineta sēdes </w:t>
            </w:r>
            <w:proofErr w:type="spellStart"/>
            <w:r w:rsidRPr="002A05D6">
              <w:rPr>
                <w:rFonts w:ascii="Times New Roman" w:hAnsi="Times New Roman" w:cs="Times New Roman"/>
                <w:sz w:val="24"/>
                <w:szCs w:val="24"/>
              </w:rPr>
              <w:t>protokollēmuma</w:t>
            </w:r>
            <w:proofErr w:type="spellEnd"/>
            <w:r w:rsidRPr="002A05D6">
              <w:rPr>
                <w:rFonts w:ascii="Times New Roman" w:hAnsi="Times New Roman" w:cs="Times New Roman"/>
                <w:sz w:val="24"/>
                <w:szCs w:val="24"/>
              </w:rPr>
              <w:t xml:space="preserve"> projekta 3. punkts. </w:t>
            </w:r>
          </w:p>
          <w:p w14:paraId="51A4C8F7" w14:textId="21AB6462" w:rsidR="002A05D6" w:rsidRDefault="002A05D6" w:rsidP="002A05D6">
            <w:pPr>
              <w:spacing w:before="40" w:after="0" w:line="240" w:lineRule="auto"/>
              <w:contextualSpacing/>
              <w:jc w:val="both"/>
              <w:rPr>
                <w:rFonts w:ascii="Times New Roman" w:hAnsi="Times New Roman" w:cs="Times New Roman"/>
                <w:b/>
                <w:sz w:val="24"/>
                <w:szCs w:val="24"/>
              </w:rPr>
            </w:pPr>
            <w:r w:rsidRPr="002A05D6">
              <w:rPr>
                <w:rFonts w:ascii="Times New Roman" w:hAnsi="Times New Roman" w:cs="Times New Roman"/>
                <w:sz w:val="24"/>
                <w:szCs w:val="24"/>
              </w:rPr>
              <w:t xml:space="preserve">Vienlaikus atzīmējam, ka viens no labas prakses piemēriem ir Igaunijas Republika, kur KP un SPRK funkcijas īsteno viena iestāde – </w:t>
            </w:r>
            <w:r w:rsidRPr="002A05D6">
              <w:rPr>
                <w:rFonts w:ascii="Times New Roman" w:hAnsi="Times New Roman" w:cs="Times New Roman"/>
                <w:i/>
                <w:iCs/>
                <w:sz w:val="24"/>
                <w:szCs w:val="24"/>
              </w:rPr>
              <w:t xml:space="preserve">Estonian </w:t>
            </w:r>
            <w:proofErr w:type="spellStart"/>
            <w:r w:rsidRPr="002A05D6">
              <w:rPr>
                <w:rFonts w:ascii="Times New Roman" w:hAnsi="Times New Roman" w:cs="Times New Roman"/>
                <w:i/>
                <w:iCs/>
                <w:sz w:val="24"/>
                <w:szCs w:val="24"/>
              </w:rPr>
              <w:t>Competition</w:t>
            </w:r>
            <w:proofErr w:type="spellEnd"/>
            <w:r w:rsidRPr="002A05D6">
              <w:rPr>
                <w:rFonts w:ascii="Times New Roman" w:hAnsi="Times New Roman" w:cs="Times New Roman"/>
                <w:i/>
                <w:iCs/>
                <w:sz w:val="24"/>
                <w:szCs w:val="24"/>
              </w:rPr>
              <w:t xml:space="preserve"> </w:t>
            </w:r>
            <w:proofErr w:type="spellStart"/>
            <w:r w:rsidRPr="002A05D6">
              <w:rPr>
                <w:rFonts w:ascii="Times New Roman" w:hAnsi="Times New Roman" w:cs="Times New Roman"/>
                <w:i/>
                <w:iCs/>
                <w:sz w:val="24"/>
                <w:szCs w:val="24"/>
              </w:rPr>
              <w:t>Authority</w:t>
            </w:r>
            <w:proofErr w:type="spellEnd"/>
            <w:r w:rsidRPr="002A05D6">
              <w:rPr>
                <w:rFonts w:ascii="Times New Roman" w:hAnsi="Times New Roman" w:cs="Times New Roman"/>
                <w:sz w:val="24"/>
                <w:szCs w:val="24"/>
              </w:rPr>
              <w:t>.</w:t>
            </w:r>
          </w:p>
        </w:tc>
        <w:tc>
          <w:tcPr>
            <w:tcW w:w="3286" w:type="dxa"/>
            <w:gridSpan w:val="2"/>
            <w:tcBorders>
              <w:top w:val="single" w:sz="4" w:space="0" w:color="auto"/>
              <w:left w:val="single" w:sz="4" w:space="0" w:color="auto"/>
              <w:bottom w:val="single" w:sz="4" w:space="0" w:color="auto"/>
              <w:right w:val="single" w:sz="4" w:space="0" w:color="auto"/>
            </w:tcBorders>
          </w:tcPr>
          <w:p w14:paraId="1E169285" w14:textId="16C39781" w:rsidR="002A05D6" w:rsidRDefault="003F6997" w:rsidP="00B11F66">
            <w:pPr>
              <w:pStyle w:val="naisc"/>
              <w:spacing w:before="120" w:after="240"/>
              <w:rPr>
                <w:b/>
              </w:rPr>
            </w:pPr>
            <w:r>
              <w:rPr>
                <w:b/>
              </w:rPr>
              <w:lastRenderedPageBreak/>
              <w:t>Ņemts vērā</w:t>
            </w:r>
          </w:p>
          <w:p w14:paraId="6897F6F8" w14:textId="6EC274D2" w:rsidR="003F6997" w:rsidRPr="003F6997" w:rsidRDefault="003F6997" w:rsidP="003F6997">
            <w:pPr>
              <w:pStyle w:val="naisc"/>
              <w:spacing w:before="120" w:after="240"/>
              <w:jc w:val="both"/>
            </w:pPr>
            <w:r w:rsidRPr="003F6997">
              <w:t xml:space="preserve">Informatīvais ziņojums </w:t>
            </w:r>
            <w:proofErr w:type="spellStart"/>
            <w:r w:rsidRPr="003F6997">
              <w:t>papldināts</w:t>
            </w:r>
            <w:proofErr w:type="spellEnd"/>
            <w:r w:rsidRPr="003F6997">
              <w:t xml:space="preserve"> ar </w:t>
            </w:r>
            <w:proofErr w:type="spellStart"/>
            <w:r w:rsidRPr="003F6997">
              <w:t>izvērtējumu</w:t>
            </w:r>
            <w:proofErr w:type="spellEnd"/>
            <w:r w:rsidRPr="003F6997">
              <w:t>, detalizētiem aprēķiniem par KP un SPRK apvienošanas iespējām</w:t>
            </w:r>
            <w:r w:rsidR="00C56766">
              <w:t xml:space="preserve"> (skatīt ziņojumu un pielikumu)</w:t>
            </w:r>
            <w:r w:rsidRPr="003F6997">
              <w:t>.</w:t>
            </w:r>
          </w:p>
          <w:p w14:paraId="2E64469F" w14:textId="69B0A3D0" w:rsidR="00BE7755" w:rsidRDefault="003F6997" w:rsidP="003F6997">
            <w:pPr>
              <w:pStyle w:val="naisc"/>
              <w:spacing w:before="120" w:after="240"/>
              <w:jc w:val="both"/>
            </w:pPr>
            <w:r w:rsidRPr="003F6997">
              <w:t xml:space="preserve">Vienlaikus EM nav skaidri apsvērumi, pamatojoties uz kuriem FM ir izdarījusi secinājumu, ka Igaunijas </w:t>
            </w:r>
            <w:proofErr w:type="spellStart"/>
            <w:r w:rsidRPr="003F6997">
              <w:t>Repblik</w:t>
            </w:r>
            <w:r>
              <w:t>as</w:t>
            </w:r>
            <w:proofErr w:type="spellEnd"/>
            <w:r w:rsidRPr="003F6997">
              <w:t xml:space="preserve"> iestāde </w:t>
            </w:r>
            <w:r w:rsidRPr="003F6997">
              <w:rPr>
                <w:i/>
              </w:rPr>
              <w:t xml:space="preserve">Estonian </w:t>
            </w:r>
            <w:proofErr w:type="spellStart"/>
            <w:r w:rsidRPr="003F6997">
              <w:rPr>
                <w:i/>
              </w:rPr>
              <w:t>Competition</w:t>
            </w:r>
            <w:proofErr w:type="spellEnd"/>
            <w:r w:rsidRPr="003F6997">
              <w:rPr>
                <w:i/>
              </w:rPr>
              <w:t xml:space="preserve"> </w:t>
            </w:r>
            <w:proofErr w:type="spellStart"/>
            <w:r w:rsidRPr="003F6997">
              <w:rPr>
                <w:i/>
              </w:rPr>
              <w:t>authority</w:t>
            </w:r>
            <w:proofErr w:type="spellEnd"/>
            <w:r w:rsidRPr="003F6997">
              <w:t xml:space="preserve"> būtu uzskatāma par labās prakses piemēru. </w:t>
            </w:r>
          </w:p>
          <w:p w14:paraId="22141C89" w14:textId="48AB3B4F" w:rsidR="00C16275" w:rsidRDefault="003F6997" w:rsidP="003F6997">
            <w:pPr>
              <w:pStyle w:val="naisc"/>
              <w:spacing w:before="120" w:after="240"/>
              <w:jc w:val="both"/>
            </w:pPr>
            <w:r>
              <w:t xml:space="preserve">Saskaņā ar EM rīcībā esošo informāciju iepriekš minētajā iestādē konkurences un </w:t>
            </w:r>
            <w:r>
              <w:lastRenderedPageBreak/>
              <w:t xml:space="preserve">regulatīvās funkcijas ir </w:t>
            </w:r>
            <w:r w:rsidR="00C16275">
              <w:t xml:space="preserve">nodalītas, iestādes organizatoriskajā struktūrā veidojot atsevišķus (nošķirtus) funkcionālus blokus, kas darbojas visnotaļ autonomi viens no otra. Turklāt </w:t>
            </w:r>
            <w:r w:rsidR="000E3D57">
              <w:t>a</w:t>
            </w:r>
            <w:r w:rsidR="000E3D57" w:rsidRPr="00AE3E49">
              <w:t>pvienotā iestāde nenodrošina visaptv</w:t>
            </w:r>
            <w:r w:rsidR="000E3D57">
              <w:t xml:space="preserve">erošu regulatīvo funkciju īstenošanu (pretēji SPRK), t.i., regulatīvās funkcijas ir izdalītas pa vairākām valsts iestādēm (piemēram, </w:t>
            </w:r>
            <w:proofErr w:type="spellStart"/>
            <w:r w:rsidR="000E3D57" w:rsidRPr="001C3C55">
              <w:rPr>
                <w:bCs/>
                <w:i/>
                <w:color w:val="34394C"/>
              </w:rPr>
              <w:t>Consumer</w:t>
            </w:r>
            <w:proofErr w:type="spellEnd"/>
            <w:r w:rsidR="000E3D57" w:rsidRPr="001C3C55">
              <w:rPr>
                <w:bCs/>
                <w:i/>
                <w:color w:val="34394C"/>
              </w:rPr>
              <w:t xml:space="preserve"> </w:t>
            </w:r>
            <w:proofErr w:type="spellStart"/>
            <w:r w:rsidR="000E3D57" w:rsidRPr="001C3C55">
              <w:rPr>
                <w:bCs/>
                <w:i/>
                <w:color w:val="34394C"/>
              </w:rPr>
              <w:t>Protection</w:t>
            </w:r>
            <w:proofErr w:type="spellEnd"/>
            <w:r w:rsidR="000E3D57" w:rsidRPr="001C3C55">
              <w:rPr>
                <w:bCs/>
                <w:i/>
                <w:color w:val="34394C"/>
              </w:rPr>
              <w:t xml:space="preserve"> </w:t>
            </w:r>
            <w:proofErr w:type="spellStart"/>
            <w:r w:rsidR="000E3D57" w:rsidRPr="001C3C55">
              <w:rPr>
                <w:bCs/>
                <w:i/>
                <w:color w:val="34394C"/>
              </w:rPr>
              <w:t>and</w:t>
            </w:r>
            <w:proofErr w:type="spellEnd"/>
            <w:r w:rsidR="000E3D57" w:rsidRPr="001C3C55">
              <w:rPr>
                <w:bCs/>
                <w:i/>
                <w:color w:val="34394C"/>
              </w:rPr>
              <w:t xml:space="preserve"> </w:t>
            </w:r>
            <w:proofErr w:type="spellStart"/>
            <w:r w:rsidR="000E3D57" w:rsidRPr="001C3C55">
              <w:rPr>
                <w:bCs/>
                <w:i/>
                <w:color w:val="34394C"/>
              </w:rPr>
              <w:t>Technical</w:t>
            </w:r>
            <w:proofErr w:type="spellEnd"/>
            <w:r w:rsidR="000E3D57" w:rsidRPr="001C3C55">
              <w:rPr>
                <w:bCs/>
                <w:i/>
                <w:color w:val="34394C"/>
              </w:rPr>
              <w:t xml:space="preserve"> </w:t>
            </w:r>
            <w:proofErr w:type="spellStart"/>
            <w:r w:rsidR="000E3D57" w:rsidRPr="001C3C55">
              <w:rPr>
                <w:bCs/>
                <w:i/>
                <w:color w:val="34394C"/>
              </w:rPr>
              <w:t>Regulatory</w:t>
            </w:r>
            <w:proofErr w:type="spellEnd"/>
            <w:r w:rsidR="000E3D57" w:rsidRPr="001C3C55">
              <w:rPr>
                <w:bCs/>
                <w:i/>
                <w:color w:val="34394C"/>
              </w:rPr>
              <w:t xml:space="preserve"> </w:t>
            </w:r>
            <w:proofErr w:type="spellStart"/>
            <w:r w:rsidR="000E3D57" w:rsidRPr="001C3C55">
              <w:rPr>
                <w:bCs/>
                <w:i/>
                <w:color w:val="34394C"/>
              </w:rPr>
              <w:t>Authority</w:t>
            </w:r>
            <w:proofErr w:type="spellEnd"/>
            <w:r w:rsidR="000E3D57" w:rsidRPr="001C3C55">
              <w:rPr>
                <w:b/>
                <w:bCs/>
                <w:color w:val="34394C"/>
              </w:rPr>
              <w:t>)</w:t>
            </w:r>
            <w:r w:rsidR="000E3D57">
              <w:rPr>
                <w:b/>
                <w:bCs/>
                <w:color w:val="34394C"/>
              </w:rPr>
              <w:t>.</w:t>
            </w:r>
          </w:p>
          <w:p w14:paraId="19230028" w14:textId="5DEFFB7F" w:rsidR="00C16275" w:rsidRDefault="000E3D57" w:rsidP="00EB39F9">
            <w:pPr>
              <w:pStyle w:val="naisc"/>
              <w:spacing w:before="0" w:after="0"/>
              <w:jc w:val="both"/>
            </w:pPr>
            <w:r>
              <w:t xml:space="preserve">Papildus norādāms, ka </w:t>
            </w:r>
            <w:r w:rsidRPr="000E3D57">
              <w:rPr>
                <w:i/>
              </w:rPr>
              <w:t xml:space="preserve">Estonian </w:t>
            </w:r>
            <w:proofErr w:type="spellStart"/>
            <w:r w:rsidRPr="000E3D57">
              <w:rPr>
                <w:i/>
              </w:rPr>
              <w:t>Competition</w:t>
            </w:r>
            <w:proofErr w:type="spellEnd"/>
            <w:r w:rsidRPr="000E3D57">
              <w:rPr>
                <w:i/>
              </w:rPr>
              <w:t xml:space="preserve"> </w:t>
            </w:r>
            <w:proofErr w:type="spellStart"/>
            <w:r w:rsidRPr="000E3D57">
              <w:rPr>
                <w:i/>
              </w:rPr>
              <w:t>authority</w:t>
            </w:r>
            <w:proofErr w:type="spellEnd"/>
            <w:r>
              <w:t xml:space="preserve"> </w:t>
            </w:r>
            <w:r w:rsidR="00C16275">
              <w:t xml:space="preserve">pilnībā tiek finansēta no valsts budžeta līdzekļiem. </w:t>
            </w:r>
          </w:p>
          <w:p w14:paraId="3886D133" w14:textId="667DE450" w:rsidR="00EB39F9" w:rsidRDefault="000E3D57" w:rsidP="00EB39F9">
            <w:pPr>
              <w:pStyle w:val="naisc"/>
              <w:spacing w:before="0" w:after="0"/>
              <w:jc w:val="both"/>
            </w:pPr>
            <w:r>
              <w:t xml:space="preserve">Pārņemot Igaunijas labo praksi Latvijā </w:t>
            </w:r>
            <w:r w:rsidR="00EB39F9">
              <w:t>un paredzot, ka a</w:t>
            </w:r>
            <w:r w:rsidR="00EB39F9" w:rsidRPr="00853023">
              <w:t>pvienotās iestādes darbība pilnībā tiek finansēta tikai no valsts budžeta dotācijas no vispārējiem ieņēmumiem,  prognozējamie nepieciešamie finanšu resursi iestādes darbības nodrošināšanai v</w:t>
            </w:r>
            <w:r w:rsidR="00EB39F9">
              <w:t>eidotu</w:t>
            </w:r>
            <w:r w:rsidR="00EB39F9" w:rsidRPr="00853023">
              <w:t xml:space="preserve"> </w:t>
            </w:r>
            <w:r w:rsidR="00EB39F9">
              <w:rPr>
                <w:rFonts w:ascii="Courier New" w:hAnsi="Courier New" w:cs="Courier New"/>
              </w:rPr>
              <w:t>≈</w:t>
            </w:r>
            <w:r w:rsidR="00EB39F9" w:rsidRPr="00853023">
              <w:t xml:space="preserve"> 7,7 milj. </w:t>
            </w:r>
            <w:proofErr w:type="spellStart"/>
            <w:r w:rsidR="00EB39F9" w:rsidRPr="00EB39F9">
              <w:rPr>
                <w:i/>
              </w:rPr>
              <w:t>euro</w:t>
            </w:r>
            <w:proofErr w:type="spellEnd"/>
            <w:r w:rsidR="00EB39F9" w:rsidRPr="00853023">
              <w:rPr>
                <w:i/>
              </w:rPr>
              <w:t xml:space="preserve"> </w:t>
            </w:r>
            <w:r w:rsidR="00EB39F9">
              <w:t>un i</w:t>
            </w:r>
            <w:r w:rsidR="00EB39F9" w:rsidRPr="00853023">
              <w:t xml:space="preserve">etekme uz valsts budžetu (vispārējiem </w:t>
            </w:r>
            <w:r w:rsidR="00EB39F9" w:rsidRPr="00853023">
              <w:lastRenderedPageBreak/>
              <w:t xml:space="preserve">ieņēmumiem) </w:t>
            </w:r>
            <w:r w:rsidR="00EB39F9">
              <w:t xml:space="preserve">būtu </w:t>
            </w:r>
            <w:r w:rsidR="00EB39F9" w:rsidRPr="00853023">
              <w:t xml:space="preserve">negatīva (- 6,4 milj. </w:t>
            </w:r>
            <w:proofErr w:type="spellStart"/>
            <w:r w:rsidR="00EB39F9" w:rsidRPr="00EB39F9">
              <w:rPr>
                <w:i/>
              </w:rPr>
              <w:t>euro</w:t>
            </w:r>
            <w:proofErr w:type="spellEnd"/>
            <w:r w:rsidR="00EB39F9" w:rsidRPr="00EB39F9">
              <w:rPr>
                <w:i/>
              </w:rPr>
              <w:t>)</w:t>
            </w:r>
            <w:r w:rsidR="00EB39F9" w:rsidRPr="00853023">
              <w:t>.</w:t>
            </w:r>
          </w:p>
          <w:p w14:paraId="39BE8678" w14:textId="441DD737" w:rsidR="00BE7755" w:rsidRPr="0049470F" w:rsidRDefault="00EB39F9" w:rsidP="00EB39F9">
            <w:pPr>
              <w:pStyle w:val="naisc"/>
              <w:spacing w:before="240" w:after="240"/>
              <w:jc w:val="both"/>
              <w:rPr>
                <w:b/>
              </w:rPr>
            </w:pPr>
            <w:r w:rsidRPr="00EB39F9">
              <w:t>Papildus norādāms, ka arī</w:t>
            </w:r>
            <w:r>
              <w:rPr>
                <w:b/>
                <w:highlight w:val="yellow"/>
              </w:rPr>
              <w:t xml:space="preserve"> </w:t>
            </w:r>
            <w:r w:rsidRPr="00EB39F9">
              <w:rPr>
                <w:u w:val="single"/>
              </w:rPr>
              <w:t>OECD eksperti nav</w:t>
            </w:r>
            <w:r w:rsidRPr="00853023">
              <w:rPr>
                <w:u w:val="single"/>
              </w:rPr>
              <w:t xml:space="preserve"> novērojuši tendenci apvienot regulatīvās un klasiskās konkurences funkcijas vienotā uzraudzības iestādē</w:t>
            </w:r>
            <w:r w:rsidRPr="00853023">
              <w:t xml:space="preserve">. Šāda prakse ir novērota tikai dažās valstīs, Austrālijā un dažās ES dalībvalstīs (Igaunijā, Dānijā, Nīderlandē un Spānijā). </w:t>
            </w:r>
            <w:r>
              <w:t>OECD ekspertu ieskatā</w:t>
            </w:r>
            <w:r w:rsidRPr="00853023">
              <w:t xml:space="preserve"> </w:t>
            </w:r>
            <w:r w:rsidRPr="00853023">
              <w:rPr>
                <w:u w:val="single"/>
              </w:rPr>
              <w:t>uzraudzības iestādes institucionālam modelim un struktūrai ir sekundāra nozīme, būtiska ir regulatīvo un konkurences funkciju kvalitatīva un efektīva izpildes nodrošināšana</w:t>
            </w:r>
            <w:r w:rsidRPr="00853023">
              <w:t>.</w:t>
            </w:r>
            <w:r>
              <w:t xml:space="preserve"> A</w:t>
            </w:r>
            <w:r w:rsidRPr="00853023">
              <w:t>pvienotajās iestādes regulēšanas un konkurences uzraudzīšanas funkcijas</w:t>
            </w:r>
            <w:r>
              <w:t xml:space="preserve"> </w:t>
            </w:r>
            <w:r w:rsidRPr="00EB39F9">
              <w:t xml:space="preserve">parasti ir strukturāli nodalītas, t.i., tās nedublējas, tādēļ </w:t>
            </w:r>
            <w:r w:rsidRPr="00EB39F9">
              <w:rPr>
                <w:u w:val="single"/>
              </w:rPr>
              <w:t>būtisks ietaupījums no funkciju apvienošanas vienā iestādē kopumā nav novērots</w:t>
            </w:r>
            <w:r>
              <w:rPr>
                <w:b/>
              </w:rPr>
              <w:t>.</w:t>
            </w:r>
          </w:p>
        </w:tc>
        <w:tc>
          <w:tcPr>
            <w:tcW w:w="3235" w:type="dxa"/>
            <w:tcBorders>
              <w:top w:val="single" w:sz="4" w:space="0" w:color="auto"/>
              <w:left w:val="single" w:sz="4" w:space="0" w:color="auto"/>
              <w:bottom w:val="single" w:sz="4" w:space="0" w:color="auto"/>
            </w:tcBorders>
          </w:tcPr>
          <w:p w14:paraId="5D398228" w14:textId="77777777" w:rsidR="002A05D6" w:rsidRPr="0049470F" w:rsidRDefault="002A05D6" w:rsidP="005F2378">
            <w:pPr>
              <w:spacing w:after="0" w:line="240" w:lineRule="auto"/>
              <w:jc w:val="both"/>
              <w:rPr>
                <w:rFonts w:ascii="Times New Roman" w:hAnsi="Times New Roman" w:cs="Times New Roman"/>
                <w:sz w:val="24"/>
                <w:szCs w:val="24"/>
              </w:rPr>
            </w:pPr>
          </w:p>
        </w:tc>
      </w:tr>
      <w:tr w:rsidR="00BE7755" w:rsidRPr="00387DD8" w14:paraId="2262F2F2" w14:textId="77777777" w:rsidTr="00770204">
        <w:tc>
          <w:tcPr>
            <w:tcW w:w="742" w:type="dxa"/>
            <w:tcBorders>
              <w:top w:val="single" w:sz="4" w:space="0" w:color="auto"/>
              <w:left w:val="single" w:sz="4" w:space="0" w:color="auto"/>
              <w:bottom w:val="single" w:sz="4" w:space="0" w:color="auto"/>
              <w:right w:val="single" w:sz="4" w:space="0" w:color="auto"/>
            </w:tcBorders>
          </w:tcPr>
          <w:p w14:paraId="03C117DC" w14:textId="1B7341F9" w:rsidR="00BE7755" w:rsidRDefault="00F36681"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21BCFBD6" w14:textId="77777777" w:rsidR="00BE7755" w:rsidRPr="00387DD8" w:rsidRDefault="00BE7755"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4C65E6A4" w14:textId="77777777" w:rsidR="002F6EE7" w:rsidRDefault="002F6EE7" w:rsidP="002F6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Finanšu ministrija</w:t>
            </w:r>
          </w:p>
          <w:p w14:paraId="27E63559" w14:textId="77777777" w:rsidR="00BE7755" w:rsidRDefault="00BE7755" w:rsidP="00B11F66">
            <w:pPr>
              <w:spacing w:after="0" w:line="240" w:lineRule="auto"/>
              <w:jc w:val="center"/>
              <w:rPr>
                <w:rFonts w:ascii="Times New Roman" w:hAnsi="Times New Roman" w:cs="Times New Roman"/>
                <w:b/>
                <w:sz w:val="24"/>
                <w:szCs w:val="24"/>
              </w:rPr>
            </w:pPr>
          </w:p>
          <w:p w14:paraId="6A15FAF6" w14:textId="6062DF9C" w:rsidR="004114BD" w:rsidRPr="002F6EE7" w:rsidRDefault="002F6EE7" w:rsidP="004114BD">
            <w:pPr>
              <w:spacing w:after="0" w:line="240" w:lineRule="auto"/>
              <w:jc w:val="both"/>
              <w:rPr>
                <w:rFonts w:ascii="Times New Roman" w:hAnsi="Times New Roman" w:cs="Times New Roman"/>
                <w:b/>
                <w:sz w:val="24"/>
                <w:szCs w:val="24"/>
              </w:rPr>
            </w:pPr>
            <w:r w:rsidRPr="002F6EE7">
              <w:rPr>
                <w:rFonts w:ascii="Times New Roman" w:hAnsi="Times New Roman" w:cs="Times New Roman"/>
                <w:sz w:val="24"/>
                <w:szCs w:val="24"/>
              </w:rPr>
              <w:t xml:space="preserve">Uzskatām, ka informatīvajā ziņojumā sniegtā informācija, ka atbilstoši 2017.gadā Valsts un </w:t>
            </w:r>
            <w:r w:rsidRPr="002F6EE7">
              <w:rPr>
                <w:rFonts w:ascii="Times New Roman" w:hAnsi="Times New Roman" w:cs="Times New Roman"/>
                <w:sz w:val="24"/>
                <w:szCs w:val="24"/>
              </w:rPr>
              <w:lastRenderedPageBreak/>
              <w:t>pašvaldību institūciju amatpersonu un darbinieku atlīdzības likumā veiktajiem grozījumiem KP finansējums atlīdzībām nav ticis palielināts, nav korekta un ir precizējama. Norādām, ka LR Saeimas Budžeta un finanšu (nodokļu) komisijā, izskatot Ekonomikas ministrijas iesniegtos priekšlikumus minētajiem likuma grozījumiem, KP apstiprināja, ka to īstenošana tiks nodrošināta esošo līdzekļu ietvaros un nebūs nepieciešams papildu valsts budžeta finansējums.</w:t>
            </w:r>
          </w:p>
        </w:tc>
        <w:tc>
          <w:tcPr>
            <w:tcW w:w="3286" w:type="dxa"/>
            <w:gridSpan w:val="2"/>
            <w:tcBorders>
              <w:top w:val="single" w:sz="4" w:space="0" w:color="auto"/>
              <w:left w:val="single" w:sz="4" w:space="0" w:color="auto"/>
              <w:bottom w:val="single" w:sz="4" w:space="0" w:color="auto"/>
              <w:right w:val="single" w:sz="4" w:space="0" w:color="auto"/>
            </w:tcBorders>
          </w:tcPr>
          <w:p w14:paraId="286A4CBE" w14:textId="1B5AEA78" w:rsidR="00EF41A5" w:rsidRPr="00E30459" w:rsidRDefault="00595FEF" w:rsidP="00B11F66">
            <w:pPr>
              <w:pStyle w:val="naisc"/>
              <w:spacing w:before="120" w:after="240"/>
              <w:rPr>
                <w:rFonts w:eastAsiaTheme="minorHAnsi"/>
                <w:b/>
                <w:lang w:eastAsia="en-US"/>
              </w:rPr>
            </w:pPr>
            <w:r w:rsidRPr="00E30459">
              <w:rPr>
                <w:rFonts w:eastAsiaTheme="minorHAnsi"/>
                <w:b/>
                <w:lang w:eastAsia="en-US"/>
              </w:rPr>
              <w:lastRenderedPageBreak/>
              <w:t>Ņemts vērā</w:t>
            </w:r>
          </w:p>
          <w:p w14:paraId="6C99A5EF" w14:textId="77777777" w:rsidR="002F6EE7" w:rsidRPr="003C265D" w:rsidRDefault="00E30459" w:rsidP="00E30459">
            <w:pPr>
              <w:pStyle w:val="naisc"/>
              <w:spacing w:before="120" w:after="240"/>
              <w:jc w:val="both"/>
            </w:pPr>
            <w:r w:rsidRPr="003C265D">
              <w:lastRenderedPageBreak/>
              <w:t>Precizēts formulējums informatīvajā ziņojumā.</w:t>
            </w:r>
          </w:p>
          <w:p w14:paraId="68498E60" w14:textId="21854CA9" w:rsidR="00E30459" w:rsidRPr="00360BC4" w:rsidRDefault="00360BC4" w:rsidP="00360BC4">
            <w:pPr>
              <w:pStyle w:val="naisc"/>
              <w:spacing w:before="120" w:after="240"/>
              <w:jc w:val="both"/>
            </w:pPr>
            <w:r w:rsidRPr="003C265D">
              <w:t>Norādāms, ka s</w:t>
            </w:r>
            <w:r w:rsidR="00E30459" w:rsidRPr="003C265D">
              <w:t xml:space="preserve">ituācija KP ar kadru mainību kopš 2017.gada NAV uzlabojusies, gluži pretēji – </w:t>
            </w:r>
            <w:r w:rsidRPr="003C265D">
              <w:t xml:space="preserve">2018.gadā darbinieku mainības īpatsvars KP bija novērtēts 24% apmērā, tostarp darbu konkurences </w:t>
            </w:r>
            <w:r w:rsidR="003C265D" w:rsidRPr="003C265D">
              <w:t xml:space="preserve">uzraudzības </w:t>
            </w:r>
            <w:r w:rsidRPr="003C265D">
              <w:t xml:space="preserve">iestādē </w:t>
            </w:r>
            <w:r w:rsidR="003C265D" w:rsidRPr="003C265D">
              <w:t>atstājot vairākiem vadošiem darbiniekiem.</w:t>
            </w:r>
            <w:r w:rsidR="00E30459" w:rsidRPr="003C265D">
              <w:t xml:space="preserve"> Attiecīgi arī </w:t>
            </w:r>
            <w:r w:rsidR="00E30459" w:rsidRPr="003C265D">
              <w:rPr>
                <w:b/>
              </w:rPr>
              <w:t>OECD</w:t>
            </w:r>
            <w:r w:rsidR="00E30459" w:rsidRPr="003C265D">
              <w:t xml:space="preserve"> š.g. 29. maijā publiskotajā </w:t>
            </w:r>
            <w:hyperlink r:id="rId11" w:history="1">
              <w:r w:rsidR="00E30459" w:rsidRPr="003C265D">
                <w:rPr>
                  <w:rStyle w:val="Hyperlink"/>
                </w:rPr>
                <w:t>ziņojumā par Latvijas ekonomiku</w:t>
              </w:r>
            </w:hyperlink>
            <w:r w:rsidR="00E30459" w:rsidRPr="003C265D">
              <w:t xml:space="preserve"> </w:t>
            </w:r>
            <w:r w:rsidR="00E30459" w:rsidRPr="003C265D">
              <w:rPr>
                <w:u w:val="single"/>
              </w:rPr>
              <w:t>ir ietvērusi rekomendāciju stiprināt KP pilnvaras un nodrošināt pietiekamu finansējumu kvalificētu speciālistu noalgošanai</w:t>
            </w:r>
            <w:r w:rsidRPr="003C265D">
              <w:rPr>
                <w:u w:val="single"/>
              </w:rPr>
              <w:t>.</w:t>
            </w:r>
          </w:p>
        </w:tc>
        <w:tc>
          <w:tcPr>
            <w:tcW w:w="3235" w:type="dxa"/>
            <w:tcBorders>
              <w:top w:val="single" w:sz="4" w:space="0" w:color="auto"/>
              <w:left w:val="single" w:sz="4" w:space="0" w:color="auto"/>
              <w:bottom w:val="single" w:sz="4" w:space="0" w:color="auto"/>
            </w:tcBorders>
          </w:tcPr>
          <w:p w14:paraId="68E7DF00" w14:textId="77777777" w:rsidR="00BE7755" w:rsidRPr="0049470F" w:rsidRDefault="00BE7755" w:rsidP="005F2378">
            <w:pPr>
              <w:spacing w:after="0" w:line="240" w:lineRule="auto"/>
              <w:jc w:val="both"/>
              <w:rPr>
                <w:rFonts w:ascii="Times New Roman" w:hAnsi="Times New Roman" w:cs="Times New Roman"/>
                <w:sz w:val="24"/>
                <w:szCs w:val="24"/>
              </w:rPr>
            </w:pPr>
          </w:p>
        </w:tc>
      </w:tr>
      <w:tr w:rsidR="002F6EE7" w:rsidRPr="00387DD8" w14:paraId="3916D2F8" w14:textId="77777777" w:rsidTr="00770204">
        <w:tc>
          <w:tcPr>
            <w:tcW w:w="742" w:type="dxa"/>
            <w:tcBorders>
              <w:top w:val="single" w:sz="4" w:space="0" w:color="auto"/>
              <w:left w:val="single" w:sz="4" w:space="0" w:color="auto"/>
              <w:bottom w:val="single" w:sz="4" w:space="0" w:color="auto"/>
              <w:right w:val="single" w:sz="4" w:space="0" w:color="auto"/>
            </w:tcBorders>
          </w:tcPr>
          <w:p w14:paraId="69B2F6CA" w14:textId="0BD2E7CD" w:rsidR="002F6EE7" w:rsidRDefault="00F36681"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1B283AB" w14:textId="77777777" w:rsidR="002F6EE7" w:rsidRPr="00387DD8" w:rsidRDefault="002F6EE7"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47F9CFE3" w14:textId="77777777" w:rsidR="002F6EE7" w:rsidRPr="00C04ED5" w:rsidRDefault="002F6EE7" w:rsidP="002F6EE7">
            <w:pPr>
              <w:spacing w:after="0" w:line="240" w:lineRule="auto"/>
              <w:jc w:val="center"/>
              <w:rPr>
                <w:rFonts w:ascii="Times New Roman" w:hAnsi="Times New Roman" w:cs="Times New Roman"/>
                <w:b/>
                <w:sz w:val="24"/>
                <w:szCs w:val="24"/>
              </w:rPr>
            </w:pPr>
            <w:r w:rsidRPr="00C04ED5">
              <w:rPr>
                <w:rFonts w:ascii="Times New Roman" w:hAnsi="Times New Roman" w:cs="Times New Roman"/>
                <w:b/>
                <w:sz w:val="24"/>
                <w:szCs w:val="24"/>
              </w:rPr>
              <w:t>Finanšu ministrija</w:t>
            </w:r>
          </w:p>
          <w:p w14:paraId="55A90264" w14:textId="77777777" w:rsidR="002F6EE7" w:rsidRPr="00C04ED5" w:rsidRDefault="002F6EE7" w:rsidP="002F6EE7">
            <w:pPr>
              <w:spacing w:after="0" w:line="240" w:lineRule="auto"/>
              <w:jc w:val="center"/>
              <w:rPr>
                <w:rFonts w:ascii="Times New Roman" w:hAnsi="Times New Roman" w:cs="Times New Roman"/>
                <w:b/>
                <w:sz w:val="24"/>
                <w:szCs w:val="24"/>
              </w:rPr>
            </w:pPr>
          </w:p>
          <w:p w14:paraId="0871FA43" w14:textId="09CE3DAF" w:rsidR="002F6EE7" w:rsidRPr="00C04ED5" w:rsidRDefault="002F6EE7" w:rsidP="002F6EE7">
            <w:pPr>
              <w:spacing w:after="0" w:line="240" w:lineRule="auto"/>
              <w:jc w:val="both"/>
              <w:rPr>
                <w:rFonts w:ascii="Times New Roman" w:hAnsi="Times New Roman" w:cs="Times New Roman"/>
                <w:b/>
                <w:sz w:val="24"/>
                <w:szCs w:val="24"/>
              </w:rPr>
            </w:pPr>
            <w:r w:rsidRPr="00C04ED5">
              <w:rPr>
                <w:rFonts w:ascii="Times New Roman" w:hAnsi="Times New Roman" w:cs="Times New Roman"/>
                <w:sz w:val="24"/>
                <w:szCs w:val="24"/>
              </w:rPr>
              <w:t xml:space="preserve">Informatīvajā ziņojumā ir norādīts, ka lai stiprinātu KP finansiālo neatkarību, būtu jāveic grozījumi Likumā par budžetu un finanšu vadību, lai paredzētu KP neatkarīgu budžeta virzīšanas procesu (atsevišķu no politikas veidotāja), pielīdzinot to neatkarīgo institūciju (piemēram, </w:t>
            </w:r>
            <w:proofErr w:type="spellStart"/>
            <w:r w:rsidRPr="00C04ED5">
              <w:rPr>
                <w:rFonts w:ascii="Times New Roman" w:hAnsi="Times New Roman" w:cs="Times New Roman"/>
                <w:sz w:val="24"/>
                <w:szCs w:val="24"/>
              </w:rPr>
              <w:t>Tiesībsarga</w:t>
            </w:r>
            <w:proofErr w:type="spellEnd"/>
            <w:r w:rsidRPr="00C04ED5">
              <w:rPr>
                <w:rFonts w:ascii="Times New Roman" w:hAnsi="Times New Roman" w:cs="Times New Roman"/>
                <w:sz w:val="24"/>
                <w:szCs w:val="24"/>
              </w:rPr>
              <w:t xml:space="preserve">, SPRK) tiesībām budžeta veidošanas procesā. Vēršam uzmanību, ka neatkarība attiecībā uz budžeta procedūrām izriet primāri no iestādes </w:t>
            </w:r>
            <w:r w:rsidRPr="00C04ED5">
              <w:rPr>
                <w:rFonts w:ascii="Times New Roman" w:hAnsi="Times New Roman" w:cs="Times New Roman"/>
                <w:sz w:val="24"/>
                <w:szCs w:val="24"/>
              </w:rPr>
              <w:lastRenderedPageBreak/>
              <w:t xml:space="preserve">statusa (ņemot vērā arī Eiropas Savienības tiesisko regulējumu) un finansēšanas veida, kas nostiprināms speciālajā nozares/iestādes likumā. Līdz ar to uzskatām, ka KP darbinieku atalgojuma </w:t>
            </w:r>
            <w:proofErr w:type="spellStart"/>
            <w:r w:rsidRPr="00C04ED5">
              <w:rPr>
                <w:rFonts w:ascii="Times New Roman" w:hAnsi="Times New Roman" w:cs="Times New Roman"/>
                <w:sz w:val="24"/>
                <w:szCs w:val="24"/>
              </w:rPr>
              <w:t>problēmjautājums</w:t>
            </w:r>
            <w:proofErr w:type="spellEnd"/>
            <w:r w:rsidRPr="00C04ED5">
              <w:rPr>
                <w:rFonts w:ascii="Times New Roman" w:hAnsi="Times New Roman" w:cs="Times New Roman"/>
                <w:sz w:val="24"/>
                <w:szCs w:val="24"/>
              </w:rPr>
              <w:t xml:space="preserve"> būtu vērtējams nevis ar institucionālā statusa maiņu, bet kontekstā ar Valsts kancelejas kompetencē esošo vienoto valsts pārvaldē strādājošo atlīdzības sistēmas pilnveidošanu. Ņemot vērā minēto, jāprecizē informatīvā ziņojuma </w:t>
            </w:r>
            <w:r w:rsidRPr="003302E9">
              <w:rPr>
                <w:rFonts w:ascii="Times New Roman" w:hAnsi="Times New Roman" w:cs="Times New Roman"/>
                <w:sz w:val="24"/>
                <w:szCs w:val="24"/>
              </w:rPr>
              <w:t>attiecīgajā rindkopā sniegtā informācija.</w:t>
            </w:r>
          </w:p>
        </w:tc>
        <w:tc>
          <w:tcPr>
            <w:tcW w:w="3286" w:type="dxa"/>
            <w:gridSpan w:val="2"/>
            <w:tcBorders>
              <w:top w:val="single" w:sz="4" w:space="0" w:color="auto"/>
              <w:left w:val="single" w:sz="4" w:space="0" w:color="auto"/>
              <w:bottom w:val="single" w:sz="4" w:space="0" w:color="auto"/>
              <w:right w:val="single" w:sz="4" w:space="0" w:color="auto"/>
            </w:tcBorders>
          </w:tcPr>
          <w:p w14:paraId="179A863A" w14:textId="2E880C2A" w:rsidR="0037777C" w:rsidRPr="002F6EE7" w:rsidRDefault="00D073C3" w:rsidP="00B11F66">
            <w:pPr>
              <w:pStyle w:val="naisc"/>
              <w:spacing w:before="120" w:after="240"/>
              <w:rPr>
                <w:b/>
                <w:highlight w:val="yellow"/>
              </w:rPr>
            </w:pPr>
            <w:r w:rsidRPr="00D073C3">
              <w:rPr>
                <w:b/>
              </w:rPr>
              <w:lastRenderedPageBreak/>
              <w:t>Ņemts vērā</w:t>
            </w:r>
          </w:p>
        </w:tc>
        <w:tc>
          <w:tcPr>
            <w:tcW w:w="3235" w:type="dxa"/>
            <w:tcBorders>
              <w:top w:val="single" w:sz="4" w:space="0" w:color="auto"/>
              <w:left w:val="single" w:sz="4" w:space="0" w:color="auto"/>
              <w:bottom w:val="single" w:sz="4" w:space="0" w:color="auto"/>
            </w:tcBorders>
          </w:tcPr>
          <w:p w14:paraId="1E1C2727" w14:textId="77777777" w:rsidR="002F6EE7" w:rsidRPr="0049470F" w:rsidRDefault="002F6EE7" w:rsidP="005F2378">
            <w:pPr>
              <w:spacing w:after="0" w:line="240" w:lineRule="auto"/>
              <w:jc w:val="both"/>
              <w:rPr>
                <w:rFonts w:ascii="Times New Roman" w:hAnsi="Times New Roman" w:cs="Times New Roman"/>
                <w:sz w:val="24"/>
                <w:szCs w:val="24"/>
              </w:rPr>
            </w:pPr>
          </w:p>
        </w:tc>
      </w:tr>
      <w:tr w:rsidR="004016FB" w:rsidRPr="00387DD8" w14:paraId="07E17EDA" w14:textId="77777777" w:rsidTr="00770204">
        <w:tc>
          <w:tcPr>
            <w:tcW w:w="742" w:type="dxa"/>
            <w:tcBorders>
              <w:top w:val="single" w:sz="4" w:space="0" w:color="auto"/>
              <w:left w:val="single" w:sz="4" w:space="0" w:color="auto"/>
              <w:bottom w:val="single" w:sz="4" w:space="0" w:color="auto"/>
              <w:right w:val="single" w:sz="4" w:space="0" w:color="auto"/>
            </w:tcBorders>
          </w:tcPr>
          <w:p w14:paraId="161A66C8" w14:textId="443D3FF4" w:rsidR="004016FB" w:rsidRDefault="00F36681" w:rsidP="0040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44A4E">
              <w:rPr>
                <w:rFonts w:ascii="Times New Roman" w:hAnsi="Times New Roman" w:cs="Times New Roman"/>
                <w:sz w:val="24"/>
                <w:szCs w:val="24"/>
              </w:rPr>
              <w:t>.</w:t>
            </w:r>
          </w:p>
          <w:p w14:paraId="417E77E3" w14:textId="77777777" w:rsidR="004016FB" w:rsidRDefault="004016FB" w:rsidP="004016FB">
            <w:pPr>
              <w:spacing w:after="0" w:line="240" w:lineRule="auto"/>
              <w:jc w:val="both"/>
              <w:rPr>
                <w:rFonts w:ascii="Times New Roman" w:hAnsi="Times New Roman" w:cs="Times New Roman"/>
                <w:sz w:val="24"/>
                <w:szCs w:val="24"/>
              </w:rPr>
            </w:pPr>
          </w:p>
          <w:p w14:paraId="61D2338C" w14:textId="03ACC551" w:rsidR="004016FB" w:rsidRDefault="004016FB" w:rsidP="004016FB">
            <w:pPr>
              <w:spacing w:after="0" w:line="240" w:lineRule="auto"/>
              <w:jc w:val="both"/>
              <w:rPr>
                <w:rFonts w:ascii="Times New Roman" w:hAnsi="Times New Roman" w:cs="Times New Roman"/>
                <w:sz w:val="24"/>
                <w:szCs w:val="24"/>
              </w:rPr>
            </w:pPr>
          </w:p>
        </w:tc>
        <w:tc>
          <w:tcPr>
            <w:tcW w:w="3145" w:type="dxa"/>
            <w:gridSpan w:val="2"/>
            <w:tcBorders>
              <w:top w:val="single" w:sz="4" w:space="0" w:color="auto"/>
              <w:left w:val="single" w:sz="4" w:space="0" w:color="auto"/>
              <w:bottom w:val="single" w:sz="4" w:space="0" w:color="auto"/>
              <w:right w:val="single" w:sz="4" w:space="0" w:color="auto"/>
            </w:tcBorders>
          </w:tcPr>
          <w:p w14:paraId="58106B22" w14:textId="77777777" w:rsidR="004016FB" w:rsidRPr="00387DD8" w:rsidRDefault="004016FB" w:rsidP="004016FB">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219E9B7E" w14:textId="77777777" w:rsidR="004016FB" w:rsidRPr="004016FB" w:rsidRDefault="004016FB" w:rsidP="004016FB">
            <w:pPr>
              <w:spacing w:after="0" w:line="240" w:lineRule="auto"/>
              <w:jc w:val="center"/>
              <w:rPr>
                <w:rFonts w:ascii="Times New Roman" w:hAnsi="Times New Roman" w:cs="Times New Roman"/>
                <w:b/>
                <w:sz w:val="24"/>
                <w:szCs w:val="24"/>
              </w:rPr>
            </w:pPr>
            <w:r w:rsidRPr="004016FB">
              <w:rPr>
                <w:rFonts w:ascii="Times New Roman" w:hAnsi="Times New Roman" w:cs="Times New Roman"/>
                <w:b/>
                <w:sz w:val="24"/>
                <w:szCs w:val="24"/>
              </w:rPr>
              <w:t>Finanšu ministrija</w:t>
            </w:r>
          </w:p>
          <w:p w14:paraId="5CBFE5F9" w14:textId="77777777" w:rsidR="004016FB" w:rsidRPr="004016FB" w:rsidRDefault="004016FB" w:rsidP="004016FB">
            <w:pPr>
              <w:spacing w:after="0" w:line="240" w:lineRule="auto"/>
              <w:jc w:val="center"/>
              <w:rPr>
                <w:rFonts w:ascii="Times New Roman" w:hAnsi="Times New Roman" w:cs="Times New Roman"/>
                <w:i/>
                <w:sz w:val="24"/>
                <w:szCs w:val="24"/>
              </w:rPr>
            </w:pPr>
            <w:r w:rsidRPr="004016FB">
              <w:rPr>
                <w:rFonts w:ascii="Times New Roman" w:hAnsi="Times New Roman" w:cs="Times New Roman"/>
                <w:i/>
                <w:sz w:val="24"/>
                <w:szCs w:val="24"/>
              </w:rPr>
              <w:t>Pēc 05.06.2019. precizētās saskaņošanas</w:t>
            </w:r>
          </w:p>
          <w:p w14:paraId="36C43B83" w14:textId="77777777" w:rsidR="004016FB" w:rsidRPr="004016FB" w:rsidRDefault="004016FB" w:rsidP="004016FB">
            <w:pPr>
              <w:spacing w:before="100" w:beforeAutospacing="1" w:after="120" w:line="252" w:lineRule="auto"/>
              <w:jc w:val="both"/>
              <w:rPr>
                <w:rFonts w:ascii="Times New Roman" w:hAnsi="Times New Roman"/>
                <w:sz w:val="24"/>
                <w:szCs w:val="24"/>
              </w:rPr>
            </w:pPr>
            <w:r w:rsidRPr="004016FB">
              <w:rPr>
                <w:rFonts w:ascii="Times New Roman" w:hAnsi="Times New Roman"/>
                <w:sz w:val="24"/>
                <w:szCs w:val="24"/>
              </w:rPr>
              <w:t xml:space="preserve">Lūdzam pārskatīt un precizēt Informatīvā ziņojuma pielikuma izklājlapās “Izmaksas” un “Optimizācija” norādīto informāciju, jo konstatētas vairākas nesakritības, pretrunas savstarpējā ciparu korelācijā: </w:t>
            </w:r>
          </w:p>
          <w:p w14:paraId="212BD573" w14:textId="77777777" w:rsidR="004016FB" w:rsidRPr="004016FB" w:rsidRDefault="004016FB" w:rsidP="004016FB">
            <w:pPr>
              <w:pStyle w:val="ListParagraph"/>
              <w:numPr>
                <w:ilvl w:val="0"/>
                <w:numId w:val="40"/>
              </w:numPr>
              <w:spacing w:before="100" w:beforeAutospacing="1" w:after="120" w:line="252" w:lineRule="auto"/>
              <w:ind w:left="924" w:hanging="357"/>
              <w:jc w:val="both"/>
              <w:rPr>
                <w:rFonts w:ascii="Times New Roman" w:hAnsi="Times New Roman"/>
                <w:sz w:val="24"/>
                <w:szCs w:val="24"/>
              </w:rPr>
            </w:pPr>
            <w:r w:rsidRPr="004016FB">
              <w:rPr>
                <w:rFonts w:ascii="Times New Roman" w:hAnsi="Times New Roman"/>
                <w:sz w:val="24"/>
                <w:szCs w:val="24"/>
              </w:rPr>
              <w:t>izklājlapā “Optimizācija” IT infrastruktūras nodrošināšanas pakalpojuma izmaksas un preču un pakalpojumu izmaksas Sabiedrisko pakalpojumu regulēšanas komisijai (turpmāk – SPRK) atšķiras no izklājlapā “Izmaksas” iekļautās informācijas;</w:t>
            </w:r>
          </w:p>
          <w:p w14:paraId="29A873D9" w14:textId="77777777" w:rsidR="004016FB" w:rsidRPr="004016FB" w:rsidRDefault="004016FB" w:rsidP="004016FB">
            <w:pPr>
              <w:pStyle w:val="ListParagraph"/>
              <w:numPr>
                <w:ilvl w:val="0"/>
                <w:numId w:val="40"/>
              </w:numPr>
              <w:spacing w:before="100" w:beforeAutospacing="1" w:after="120" w:line="252" w:lineRule="auto"/>
              <w:ind w:left="924" w:hanging="357"/>
              <w:jc w:val="both"/>
              <w:rPr>
                <w:rFonts w:ascii="Times New Roman" w:hAnsi="Times New Roman"/>
                <w:sz w:val="24"/>
                <w:szCs w:val="24"/>
              </w:rPr>
            </w:pPr>
            <w:r w:rsidRPr="004016FB">
              <w:rPr>
                <w:rFonts w:ascii="Times New Roman" w:hAnsi="Times New Roman"/>
                <w:sz w:val="24"/>
                <w:szCs w:val="24"/>
              </w:rPr>
              <w:t>izklājlapā “Optimizācija” konstatēta ciparu pretruna rindā “IT infrastruktūras nodrošināšana” kolonnā “Optimizācija” – ar rindā esošo komentāru;</w:t>
            </w:r>
          </w:p>
          <w:p w14:paraId="3E7101DB" w14:textId="77777777" w:rsidR="004016FB" w:rsidRPr="004016FB" w:rsidRDefault="004016FB" w:rsidP="004016FB">
            <w:pPr>
              <w:pStyle w:val="ListParagraph"/>
              <w:numPr>
                <w:ilvl w:val="0"/>
                <w:numId w:val="40"/>
              </w:numPr>
              <w:spacing w:before="100" w:beforeAutospacing="1" w:after="120" w:line="252" w:lineRule="auto"/>
              <w:ind w:left="924" w:hanging="357"/>
              <w:jc w:val="both"/>
              <w:rPr>
                <w:rFonts w:ascii="Times New Roman" w:hAnsi="Times New Roman"/>
                <w:sz w:val="24"/>
                <w:szCs w:val="24"/>
              </w:rPr>
            </w:pPr>
            <w:r w:rsidRPr="004016FB">
              <w:rPr>
                <w:rFonts w:ascii="Times New Roman" w:hAnsi="Times New Roman"/>
                <w:sz w:val="24"/>
                <w:szCs w:val="24"/>
              </w:rPr>
              <w:lastRenderedPageBreak/>
              <w:t xml:space="preserve">izklājlapā “Optimizācija” rindā “Personāldaļa” kolonnā “Izmaksas pēc iestāžu apvienošanas” konstatēta aprēķinu kļūda, jo summa 1 064 </w:t>
            </w:r>
            <w:proofErr w:type="spellStart"/>
            <w:r w:rsidRPr="004016FB">
              <w:rPr>
                <w:rFonts w:ascii="Times New Roman" w:hAnsi="Times New Roman"/>
                <w:i/>
                <w:iCs/>
                <w:sz w:val="24"/>
                <w:szCs w:val="24"/>
              </w:rPr>
              <w:t>euro</w:t>
            </w:r>
            <w:proofErr w:type="spellEnd"/>
            <w:r w:rsidRPr="004016FB">
              <w:rPr>
                <w:rFonts w:ascii="Times New Roman" w:hAnsi="Times New Roman"/>
                <w:sz w:val="24"/>
                <w:szCs w:val="24"/>
              </w:rPr>
              <w:t xml:space="preserve"> ir jāpieskaita pie summas kolonnā “Pavisam kopā”. </w:t>
            </w:r>
          </w:p>
          <w:p w14:paraId="08EAD910" w14:textId="3EC6A61C" w:rsidR="004016FB" w:rsidRPr="004016FB" w:rsidRDefault="004016FB" w:rsidP="004016FB">
            <w:pPr>
              <w:pStyle w:val="ListParagraph"/>
              <w:spacing w:before="100" w:beforeAutospacing="1" w:after="120"/>
              <w:ind w:left="0" w:firstLine="720"/>
              <w:jc w:val="both"/>
              <w:rPr>
                <w:rFonts w:ascii="Times New Roman" w:hAnsi="Times New Roman"/>
                <w:b/>
                <w:sz w:val="24"/>
                <w:szCs w:val="24"/>
              </w:rPr>
            </w:pPr>
            <w:r w:rsidRPr="004016FB">
              <w:rPr>
                <w:rFonts w:ascii="Times New Roman" w:hAnsi="Times New Roman"/>
                <w:sz w:val="24"/>
                <w:szCs w:val="24"/>
              </w:rPr>
              <w:t>Ņemot vērā minēto, precizējamas kopējās izmaksas pēc iestāžu apvienošanas pirmajā gadā un pārējos gados līdz datortehnikas derīgas lietošanas izmantošanas beigām, kā arī iestāžu optimizācijas finansiālais rezultāts un Informatīvā ziņojuma 1.lpp. 4.rindkopā minētās summas.</w:t>
            </w:r>
          </w:p>
        </w:tc>
        <w:tc>
          <w:tcPr>
            <w:tcW w:w="3286" w:type="dxa"/>
            <w:gridSpan w:val="2"/>
            <w:tcBorders>
              <w:top w:val="single" w:sz="4" w:space="0" w:color="auto"/>
              <w:left w:val="single" w:sz="4" w:space="0" w:color="auto"/>
              <w:bottom w:val="single" w:sz="4" w:space="0" w:color="auto"/>
              <w:right w:val="single" w:sz="4" w:space="0" w:color="auto"/>
            </w:tcBorders>
          </w:tcPr>
          <w:p w14:paraId="3495E8E5" w14:textId="7C8EC63A" w:rsidR="004016FB" w:rsidRPr="00D073C3" w:rsidRDefault="004016FB" w:rsidP="004016FB">
            <w:pPr>
              <w:pStyle w:val="naisc"/>
              <w:spacing w:before="120" w:after="240"/>
              <w:rPr>
                <w:b/>
              </w:rPr>
            </w:pPr>
            <w:r w:rsidRPr="00D073C3">
              <w:rPr>
                <w:b/>
              </w:rPr>
              <w:lastRenderedPageBreak/>
              <w:t>Ņemts vērā</w:t>
            </w:r>
          </w:p>
        </w:tc>
        <w:tc>
          <w:tcPr>
            <w:tcW w:w="3235" w:type="dxa"/>
            <w:tcBorders>
              <w:top w:val="single" w:sz="4" w:space="0" w:color="auto"/>
              <w:left w:val="single" w:sz="4" w:space="0" w:color="auto"/>
              <w:bottom w:val="single" w:sz="4" w:space="0" w:color="auto"/>
            </w:tcBorders>
          </w:tcPr>
          <w:p w14:paraId="761467DD" w14:textId="77777777" w:rsidR="004016FB" w:rsidRPr="0049470F" w:rsidRDefault="004016FB" w:rsidP="004016FB">
            <w:pPr>
              <w:spacing w:after="0" w:line="240" w:lineRule="auto"/>
              <w:jc w:val="both"/>
              <w:rPr>
                <w:rFonts w:ascii="Times New Roman" w:hAnsi="Times New Roman" w:cs="Times New Roman"/>
                <w:sz w:val="24"/>
                <w:szCs w:val="24"/>
              </w:rPr>
            </w:pPr>
          </w:p>
        </w:tc>
      </w:tr>
      <w:tr w:rsidR="004016FB" w:rsidRPr="00387DD8" w14:paraId="4913478D" w14:textId="77777777" w:rsidTr="00770204">
        <w:tc>
          <w:tcPr>
            <w:tcW w:w="742" w:type="dxa"/>
            <w:tcBorders>
              <w:top w:val="single" w:sz="4" w:space="0" w:color="auto"/>
              <w:left w:val="single" w:sz="4" w:space="0" w:color="auto"/>
              <w:bottom w:val="single" w:sz="4" w:space="0" w:color="auto"/>
              <w:right w:val="single" w:sz="4" w:space="0" w:color="auto"/>
            </w:tcBorders>
          </w:tcPr>
          <w:p w14:paraId="3D69722B" w14:textId="20AFBF1B" w:rsidR="004016FB" w:rsidRDefault="00F36681" w:rsidP="0040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14DB085" w14:textId="77777777" w:rsidR="004016FB" w:rsidRPr="00387DD8" w:rsidRDefault="004016FB" w:rsidP="004016FB">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4815869C" w14:textId="77777777" w:rsidR="004016FB" w:rsidRPr="004016FB" w:rsidRDefault="004016FB" w:rsidP="004016FB">
            <w:pPr>
              <w:spacing w:after="0" w:line="240" w:lineRule="auto"/>
              <w:jc w:val="center"/>
              <w:rPr>
                <w:rFonts w:ascii="Times New Roman" w:hAnsi="Times New Roman" w:cs="Times New Roman"/>
                <w:b/>
                <w:sz w:val="24"/>
                <w:szCs w:val="24"/>
              </w:rPr>
            </w:pPr>
            <w:r w:rsidRPr="004016FB">
              <w:rPr>
                <w:rFonts w:ascii="Times New Roman" w:hAnsi="Times New Roman" w:cs="Times New Roman"/>
                <w:b/>
                <w:sz w:val="24"/>
                <w:szCs w:val="24"/>
              </w:rPr>
              <w:t>Finanšu ministrija</w:t>
            </w:r>
          </w:p>
          <w:p w14:paraId="7CD9E583" w14:textId="77777777" w:rsidR="004016FB" w:rsidRPr="004016FB" w:rsidRDefault="004016FB" w:rsidP="004016FB">
            <w:pPr>
              <w:spacing w:after="0" w:line="240" w:lineRule="auto"/>
              <w:jc w:val="center"/>
              <w:rPr>
                <w:rFonts w:ascii="Times New Roman" w:hAnsi="Times New Roman" w:cs="Times New Roman"/>
                <w:i/>
                <w:sz w:val="24"/>
                <w:szCs w:val="24"/>
              </w:rPr>
            </w:pPr>
            <w:r w:rsidRPr="004016FB">
              <w:rPr>
                <w:rFonts w:ascii="Times New Roman" w:hAnsi="Times New Roman" w:cs="Times New Roman"/>
                <w:i/>
                <w:sz w:val="24"/>
                <w:szCs w:val="24"/>
              </w:rPr>
              <w:t>Pēc 05.06.2019. precizētās saskaņošanas</w:t>
            </w:r>
          </w:p>
          <w:p w14:paraId="6C798A12" w14:textId="2733D091" w:rsidR="004016FB" w:rsidRPr="004016FB" w:rsidRDefault="004016FB" w:rsidP="004016FB">
            <w:pPr>
              <w:spacing w:before="100" w:beforeAutospacing="1" w:after="120" w:line="252" w:lineRule="auto"/>
              <w:jc w:val="both"/>
              <w:rPr>
                <w:rFonts w:ascii="Times New Roman" w:hAnsi="Times New Roman" w:cs="Times New Roman"/>
                <w:b/>
                <w:sz w:val="24"/>
                <w:szCs w:val="24"/>
              </w:rPr>
            </w:pPr>
            <w:r w:rsidRPr="004016FB">
              <w:rPr>
                <w:rFonts w:ascii="Times New Roman" w:hAnsi="Times New Roman" w:cs="Times New Roman"/>
                <w:sz w:val="24"/>
                <w:szCs w:val="24"/>
              </w:rPr>
              <w:t xml:space="preserve">Atbilstoši Konkurences padomes (turpmāk – KP) un SPRK mājaslapās pieejamai informācijai, KP ir viens vecākais lietvedis, SPRK ir viens lietvedis un 2 vecākie lietveži. Taču izklājlapā “Optimizācija” tiek norādīts, ka lietvedības darbaspēka izmaksas ir lielākas nekā SPRK. Aicinām pārbaudīt norādīto informāciju un turpmākos aprēķinus. </w:t>
            </w:r>
          </w:p>
        </w:tc>
        <w:tc>
          <w:tcPr>
            <w:tcW w:w="3286" w:type="dxa"/>
            <w:gridSpan w:val="2"/>
            <w:tcBorders>
              <w:top w:val="single" w:sz="4" w:space="0" w:color="auto"/>
              <w:left w:val="single" w:sz="4" w:space="0" w:color="auto"/>
              <w:bottom w:val="single" w:sz="4" w:space="0" w:color="auto"/>
              <w:right w:val="single" w:sz="4" w:space="0" w:color="auto"/>
            </w:tcBorders>
          </w:tcPr>
          <w:p w14:paraId="0DB2D7BE" w14:textId="74EAA031" w:rsidR="004016FB" w:rsidRPr="00D073C3" w:rsidRDefault="004016FB" w:rsidP="004016FB">
            <w:pPr>
              <w:pStyle w:val="naisc"/>
              <w:spacing w:before="120" w:after="240"/>
              <w:rPr>
                <w:b/>
              </w:rPr>
            </w:pPr>
            <w:r w:rsidRPr="00D073C3">
              <w:rPr>
                <w:b/>
              </w:rPr>
              <w:t>Ņemts vērā</w:t>
            </w:r>
          </w:p>
        </w:tc>
        <w:tc>
          <w:tcPr>
            <w:tcW w:w="3235" w:type="dxa"/>
            <w:tcBorders>
              <w:top w:val="single" w:sz="4" w:space="0" w:color="auto"/>
              <w:left w:val="single" w:sz="4" w:space="0" w:color="auto"/>
              <w:bottom w:val="single" w:sz="4" w:space="0" w:color="auto"/>
            </w:tcBorders>
          </w:tcPr>
          <w:p w14:paraId="210B4999" w14:textId="77777777" w:rsidR="004016FB" w:rsidRPr="0049470F" w:rsidRDefault="004016FB" w:rsidP="004016FB">
            <w:pPr>
              <w:spacing w:after="0" w:line="240" w:lineRule="auto"/>
              <w:jc w:val="both"/>
              <w:rPr>
                <w:rFonts w:ascii="Times New Roman" w:hAnsi="Times New Roman" w:cs="Times New Roman"/>
                <w:sz w:val="24"/>
                <w:szCs w:val="24"/>
              </w:rPr>
            </w:pPr>
          </w:p>
        </w:tc>
      </w:tr>
      <w:tr w:rsidR="004016FB" w:rsidRPr="00387DD8" w14:paraId="54BA451E" w14:textId="77777777" w:rsidTr="00770204">
        <w:tc>
          <w:tcPr>
            <w:tcW w:w="742" w:type="dxa"/>
            <w:tcBorders>
              <w:top w:val="single" w:sz="4" w:space="0" w:color="auto"/>
              <w:left w:val="single" w:sz="4" w:space="0" w:color="auto"/>
              <w:bottom w:val="single" w:sz="4" w:space="0" w:color="auto"/>
              <w:right w:val="single" w:sz="4" w:space="0" w:color="auto"/>
            </w:tcBorders>
          </w:tcPr>
          <w:p w14:paraId="696A2E1D" w14:textId="732C3EE9" w:rsidR="004016FB" w:rsidRDefault="00F36681" w:rsidP="0040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44A4E">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2977FF27" w14:textId="77777777" w:rsidR="004016FB" w:rsidRPr="00387DD8" w:rsidRDefault="004016FB" w:rsidP="004016FB">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08FA7355" w14:textId="77777777" w:rsidR="004016FB" w:rsidRPr="004016FB" w:rsidRDefault="004016FB" w:rsidP="004016FB">
            <w:pPr>
              <w:spacing w:after="0" w:line="240" w:lineRule="auto"/>
              <w:jc w:val="center"/>
              <w:rPr>
                <w:rFonts w:ascii="Times New Roman" w:hAnsi="Times New Roman" w:cs="Times New Roman"/>
                <w:b/>
                <w:sz w:val="24"/>
                <w:szCs w:val="24"/>
              </w:rPr>
            </w:pPr>
            <w:r w:rsidRPr="004016FB">
              <w:rPr>
                <w:rFonts w:ascii="Times New Roman" w:hAnsi="Times New Roman" w:cs="Times New Roman"/>
                <w:b/>
                <w:sz w:val="24"/>
                <w:szCs w:val="24"/>
              </w:rPr>
              <w:t>Finanšu ministrija</w:t>
            </w:r>
          </w:p>
          <w:p w14:paraId="0B2738C8" w14:textId="77777777" w:rsidR="004016FB" w:rsidRPr="004016FB" w:rsidRDefault="004016FB" w:rsidP="004016FB">
            <w:pPr>
              <w:spacing w:after="0" w:line="240" w:lineRule="auto"/>
              <w:jc w:val="center"/>
              <w:rPr>
                <w:rFonts w:ascii="Times New Roman" w:hAnsi="Times New Roman" w:cs="Times New Roman"/>
                <w:i/>
                <w:sz w:val="24"/>
                <w:szCs w:val="24"/>
              </w:rPr>
            </w:pPr>
            <w:r w:rsidRPr="004016FB">
              <w:rPr>
                <w:rFonts w:ascii="Times New Roman" w:hAnsi="Times New Roman" w:cs="Times New Roman"/>
                <w:i/>
                <w:sz w:val="24"/>
                <w:szCs w:val="24"/>
              </w:rPr>
              <w:t>Pēc 05.06.2019. precizētās saskaņošanas</w:t>
            </w:r>
          </w:p>
          <w:p w14:paraId="7B84553A" w14:textId="6B5D0F08" w:rsidR="004016FB" w:rsidRPr="004016FB" w:rsidRDefault="004016FB" w:rsidP="004016FB">
            <w:pPr>
              <w:spacing w:before="100" w:beforeAutospacing="1" w:after="120" w:line="252" w:lineRule="auto"/>
              <w:jc w:val="both"/>
              <w:rPr>
                <w:rFonts w:ascii="Times New Roman" w:hAnsi="Times New Roman" w:cs="Times New Roman"/>
                <w:b/>
                <w:sz w:val="24"/>
                <w:szCs w:val="24"/>
              </w:rPr>
            </w:pPr>
            <w:r w:rsidRPr="004016FB">
              <w:rPr>
                <w:rFonts w:ascii="Times New Roman" w:hAnsi="Times New Roman" w:cs="Times New Roman"/>
                <w:sz w:val="24"/>
                <w:szCs w:val="24"/>
              </w:rPr>
              <w:t xml:space="preserve">Saskaņā ar Informatīvā ziņojuma 1.lpp. 5.rindkopā iekļauto informāciju, administratīvo funkciju šobrīd daļēji nodrošina EM. Taču izklājlapā “Optimizācija” ir iekrāsotas jau minētās izmaksu </w:t>
            </w:r>
            <w:r w:rsidRPr="004016FB">
              <w:rPr>
                <w:rFonts w:ascii="Times New Roman" w:hAnsi="Times New Roman" w:cs="Times New Roman"/>
                <w:sz w:val="24"/>
                <w:szCs w:val="24"/>
              </w:rPr>
              <w:lastRenderedPageBreak/>
              <w:t>pozīcijas ar norādi, ka šobrīd EM nesedz šīs izmaksas. Lūgums savstarpēji saskaņot un precizēt Informatīvajā ziņojumā un pielikumā esošo informāciju un pārliecināties par tās kvalitāti.</w:t>
            </w:r>
          </w:p>
        </w:tc>
        <w:tc>
          <w:tcPr>
            <w:tcW w:w="3286" w:type="dxa"/>
            <w:gridSpan w:val="2"/>
            <w:tcBorders>
              <w:top w:val="single" w:sz="4" w:space="0" w:color="auto"/>
              <w:left w:val="single" w:sz="4" w:space="0" w:color="auto"/>
              <w:bottom w:val="single" w:sz="4" w:space="0" w:color="auto"/>
              <w:right w:val="single" w:sz="4" w:space="0" w:color="auto"/>
            </w:tcBorders>
          </w:tcPr>
          <w:p w14:paraId="1EC69F03" w14:textId="5D08B472" w:rsidR="004016FB" w:rsidRPr="00D073C3" w:rsidRDefault="004016FB" w:rsidP="004016FB">
            <w:pPr>
              <w:pStyle w:val="naisc"/>
              <w:spacing w:before="120" w:after="240"/>
              <w:rPr>
                <w:b/>
              </w:rPr>
            </w:pPr>
            <w:r w:rsidRPr="00D073C3">
              <w:rPr>
                <w:b/>
              </w:rPr>
              <w:lastRenderedPageBreak/>
              <w:t>Ņemts vērā</w:t>
            </w:r>
          </w:p>
        </w:tc>
        <w:tc>
          <w:tcPr>
            <w:tcW w:w="3235" w:type="dxa"/>
            <w:tcBorders>
              <w:top w:val="single" w:sz="4" w:space="0" w:color="auto"/>
              <w:left w:val="single" w:sz="4" w:space="0" w:color="auto"/>
              <w:bottom w:val="single" w:sz="4" w:space="0" w:color="auto"/>
            </w:tcBorders>
          </w:tcPr>
          <w:p w14:paraId="44CF0331" w14:textId="77777777" w:rsidR="004016FB" w:rsidRPr="0049470F" w:rsidRDefault="004016FB" w:rsidP="004016FB">
            <w:pPr>
              <w:spacing w:after="0" w:line="240" w:lineRule="auto"/>
              <w:jc w:val="both"/>
              <w:rPr>
                <w:rFonts w:ascii="Times New Roman" w:hAnsi="Times New Roman" w:cs="Times New Roman"/>
                <w:sz w:val="24"/>
                <w:szCs w:val="24"/>
              </w:rPr>
            </w:pPr>
          </w:p>
        </w:tc>
      </w:tr>
      <w:tr w:rsidR="004016FB" w:rsidRPr="00387DD8" w14:paraId="17A5130D" w14:textId="77777777" w:rsidTr="00770204">
        <w:tc>
          <w:tcPr>
            <w:tcW w:w="742" w:type="dxa"/>
            <w:tcBorders>
              <w:top w:val="single" w:sz="4" w:space="0" w:color="auto"/>
              <w:left w:val="single" w:sz="4" w:space="0" w:color="auto"/>
              <w:bottom w:val="single" w:sz="4" w:space="0" w:color="auto"/>
              <w:right w:val="single" w:sz="4" w:space="0" w:color="auto"/>
            </w:tcBorders>
          </w:tcPr>
          <w:p w14:paraId="30E6A269" w14:textId="6F9DC021" w:rsidR="004016FB" w:rsidRDefault="00344A4E" w:rsidP="0040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6681">
              <w:rPr>
                <w:rFonts w:ascii="Times New Roman" w:hAnsi="Times New Roman" w:cs="Times New Roman"/>
                <w:sz w:val="24"/>
                <w:szCs w:val="24"/>
              </w:rPr>
              <w:t>0</w:t>
            </w:r>
            <w:r>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AF16AD1" w14:textId="77777777" w:rsidR="004016FB" w:rsidRPr="00387DD8" w:rsidRDefault="004016FB" w:rsidP="004016FB">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32D888A1" w14:textId="77777777" w:rsidR="004016FB" w:rsidRPr="004016FB" w:rsidRDefault="004016FB" w:rsidP="004016FB">
            <w:pPr>
              <w:spacing w:after="0" w:line="240" w:lineRule="auto"/>
              <w:jc w:val="center"/>
              <w:rPr>
                <w:rFonts w:ascii="Times New Roman" w:hAnsi="Times New Roman" w:cs="Times New Roman"/>
                <w:b/>
                <w:sz w:val="24"/>
                <w:szCs w:val="24"/>
              </w:rPr>
            </w:pPr>
            <w:r w:rsidRPr="004016FB">
              <w:rPr>
                <w:rFonts w:ascii="Times New Roman" w:hAnsi="Times New Roman" w:cs="Times New Roman"/>
                <w:b/>
                <w:sz w:val="24"/>
                <w:szCs w:val="24"/>
              </w:rPr>
              <w:t>Finanšu ministrija</w:t>
            </w:r>
          </w:p>
          <w:p w14:paraId="37FE5717" w14:textId="77777777" w:rsidR="004016FB" w:rsidRPr="004016FB" w:rsidRDefault="004016FB" w:rsidP="004016FB">
            <w:pPr>
              <w:spacing w:after="0" w:line="240" w:lineRule="auto"/>
              <w:jc w:val="center"/>
              <w:rPr>
                <w:rFonts w:ascii="Times New Roman" w:hAnsi="Times New Roman" w:cs="Times New Roman"/>
                <w:i/>
                <w:sz w:val="24"/>
                <w:szCs w:val="24"/>
              </w:rPr>
            </w:pPr>
            <w:r w:rsidRPr="004016FB">
              <w:rPr>
                <w:rFonts w:ascii="Times New Roman" w:hAnsi="Times New Roman" w:cs="Times New Roman"/>
                <w:i/>
                <w:sz w:val="24"/>
                <w:szCs w:val="24"/>
              </w:rPr>
              <w:t>Pēc 05.06.2019. precizētās saskaņošanas</w:t>
            </w:r>
          </w:p>
          <w:p w14:paraId="3A9B9125" w14:textId="25436AD5" w:rsidR="004016FB" w:rsidRPr="004016FB" w:rsidRDefault="004016FB" w:rsidP="004016FB">
            <w:pPr>
              <w:spacing w:before="100" w:beforeAutospacing="1" w:after="120" w:line="252" w:lineRule="auto"/>
              <w:jc w:val="both"/>
              <w:rPr>
                <w:rFonts w:ascii="Times New Roman" w:hAnsi="Times New Roman" w:cs="Times New Roman"/>
                <w:b/>
                <w:sz w:val="24"/>
                <w:szCs w:val="24"/>
              </w:rPr>
            </w:pPr>
            <w:r w:rsidRPr="004016FB">
              <w:rPr>
                <w:rFonts w:ascii="Times New Roman" w:hAnsi="Times New Roman" w:cs="Times New Roman"/>
                <w:sz w:val="24"/>
                <w:szCs w:val="24"/>
              </w:rPr>
              <w:t>Ņemot vērā izklājlapā “Optimizācija” esošos komentārus, lūgums norādīt, vai viedoklis ir saskaņots ar KP. Attiecīgi precizēt teksta daļu – “pēc SPRK aplēsēm”.</w:t>
            </w:r>
          </w:p>
        </w:tc>
        <w:tc>
          <w:tcPr>
            <w:tcW w:w="3286" w:type="dxa"/>
            <w:gridSpan w:val="2"/>
            <w:tcBorders>
              <w:top w:val="single" w:sz="4" w:space="0" w:color="auto"/>
              <w:left w:val="single" w:sz="4" w:space="0" w:color="auto"/>
              <w:bottom w:val="single" w:sz="4" w:space="0" w:color="auto"/>
              <w:right w:val="single" w:sz="4" w:space="0" w:color="auto"/>
            </w:tcBorders>
          </w:tcPr>
          <w:p w14:paraId="43425609" w14:textId="77777777" w:rsidR="004016FB" w:rsidRDefault="004016FB" w:rsidP="004016FB">
            <w:pPr>
              <w:pStyle w:val="naisc"/>
              <w:spacing w:before="120" w:after="240"/>
              <w:rPr>
                <w:b/>
              </w:rPr>
            </w:pPr>
            <w:r w:rsidRPr="00D073C3">
              <w:rPr>
                <w:b/>
              </w:rPr>
              <w:t>Ņemts vērā</w:t>
            </w:r>
          </w:p>
          <w:p w14:paraId="7C0BE01A" w14:textId="3B8F7B6E" w:rsidR="004016FB" w:rsidRPr="004016FB" w:rsidRDefault="004016FB" w:rsidP="004016FB">
            <w:pPr>
              <w:pStyle w:val="naisc"/>
              <w:spacing w:before="120" w:after="240"/>
              <w:jc w:val="left"/>
            </w:pPr>
            <w:r w:rsidRPr="004016FB">
              <w:t>Aprēķini saskaņoti ar SPRK un KP.</w:t>
            </w:r>
          </w:p>
          <w:p w14:paraId="7D1BFB46" w14:textId="62EB6844" w:rsidR="004016FB" w:rsidRPr="00D073C3" w:rsidRDefault="004016FB" w:rsidP="004016FB">
            <w:pPr>
              <w:pStyle w:val="naisc"/>
              <w:spacing w:before="120" w:after="240"/>
              <w:rPr>
                <w:b/>
              </w:rPr>
            </w:pPr>
          </w:p>
        </w:tc>
        <w:tc>
          <w:tcPr>
            <w:tcW w:w="3235" w:type="dxa"/>
            <w:tcBorders>
              <w:top w:val="single" w:sz="4" w:space="0" w:color="auto"/>
              <w:left w:val="single" w:sz="4" w:space="0" w:color="auto"/>
              <w:bottom w:val="single" w:sz="4" w:space="0" w:color="auto"/>
            </w:tcBorders>
          </w:tcPr>
          <w:p w14:paraId="3583AD88" w14:textId="77777777" w:rsidR="004016FB" w:rsidRPr="0049470F" w:rsidRDefault="004016FB" w:rsidP="004016FB">
            <w:pPr>
              <w:spacing w:after="0" w:line="240" w:lineRule="auto"/>
              <w:jc w:val="both"/>
              <w:rPr>
                <w:rFonts w:ascii="Times New Roman" w:hAnsi="Times New Roman" w:cs="Times New Roman"/>
                <w:sz w:val="24"/>
                <w:szCs w:val="24"/>
              </w:rPr>
            </w:pPr>
          </w:p>
        </w:tc>
      </w:tr>
      <w:tr w:rsidR="004016FB" w:rsidRPr="00387DD8" w14:paraId="3EF19245" w14:textId="77777777" w:rsidTr="00770204">
        <w:tc>
          <w:tcPr>
            <w:tcW w:w="742" w:type="dxa"/>
            <w:tcBorders>
              <w:top w:val="single" w:sz="4" w:space="0" w:color="auto"/>
              <w:left w:val="single" w:sz="4" w:space="0" w:color="auto"/>
              <w:bottom w:val="single" w:sz="4" w:space="0" w:color="auto"/>
              <w:right w:val="single" w:sz="4" w:space="0" w:color="auto"/>
            </w:tcBorders>
          </w:tcPr>
          <w:p w14:paraId="5AE24B04" w14:textId="715513D2" w:rsidR="004016FB" w:rsidRDefault="00344A4E" w:rsidP="0040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6681">
              <w:rPr>
                <w:rFonts w:ascii="Times New Roman" w:hAnsi="Times New Roman" w:cs="Times New Roman"/>
                <w:sz w:val="24"/>
                <w:szCs w:val="24"/>
              </w:rPr>
              <w:t>1</w:t>
            </w:r>
            <w:r>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3664CA1F" w14:textId="77777777" w:rsidR="004016FB" w:rsidRPr="00387DD8" w:rsidRDefault="004016FB" w:rsidP="004016FB">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3A99F8F8" w14:textId="77777777" w:rsidR="004016FB" w:rsidRPr="004016FB" w:rsidRDefault="004016FB" w:rsidP="004016FB">
            <w:pPr>
              <w:spacing w:after="0" w:line="240" w:lineRule="auto"/>
              <w:jc w:val="center"/>
              <w:rPr>
                <w:rFonts w:ascii="Times New Roman" w:hAnsi="Times New Roman" w:cs="Times New Roman"/>
                <w:b/>
                <w:sz w:val="24"/>
                <w:szCs w:val="24"/>
              </w:rPr>
            </w:pPr>
            <w:r w:rsidRPr="004016FB">
              <w:rPr>
                <w:rFonts w:ascii="Times New Roman" w:hAnsi="Times New Roman" w:cs="Times New Roman"/>
                <w:b/>
                <w:sz w:val="24"/>
                <w:szCs w:val="24"/>
              </w:rPr>
              <w:t>Finanšu ministrija</w:t>
            </w:r>
          </w:p>
          <w:p w14:paraId="3FF123E0" w14:textId="77777777" w:rsidR="004016FB" w:rsidRPr="004016FB" w:rsidRDefault="004016FB" w:rsidP="004016FB">
            <w:pPr>
              <w:spacing w:after="0" w:line="240" w:lineRule="auto"/>
              <w:jc w:val="center"/>
              <w:rPr>
                <w:rFonts w:ascii="Times New Roman" w:hAnsi="Times New Roman" w:cs="Times New Roman"/>
                <w:i/>
                <w:sz w:val="24"/>
                <w:szCs w:val="24"/>
              </w:rPr>
            </w:pPr>
            <w:r w:rsidRPr="004016FB">
              <w:rPr>
                <w:rFonts w:ascii="Times New Roman" w:hAnsi="Times New Roman" w:cs="Times New Roman"/>
                <w:i/>
                <w:sz w:val="24"/>
                <w:szCs w:val="24"/>
              </w:rPr>
              <w:t>Pēc 05.06.2019. precizētās saskaņošanas</w:t>
            </w:r>
          </w:p>
          <w:p w14:paraId="53AACFCB" w14:textId="3D8BE3B4" w:rsidR="004016FB" w:rsidRPr="004016FB" w:rsidRDefault="004016FB" w:rsidP="004016FB">
            <w:pPr>
              <w:spacing w:before="100" w:beforeAutospacing="1" w:after="120" w:line="252" w:lineRule="auto"/>
              <w:jc w:val="both"/>
              <w:rPr>
                <w:rFonts w:ascii="Times New Roman" w:hAnsi="Times New Roman" w:cs="Times New Roman"/>
                <w:b/>
                <w:sz w:val="24"/>
                <w:szCs w:val="24"/>
              </w:rPr>
            </w:pPr>
            <w:r w:rsidRPr="004016FB">
              <w:rPr>
                <w:rFonts w:ascii="Times New Roman" w:hAnsi="Times New Roman" w:cs="Times New Roman"/>
                <w:sz w:val="24"/>
                <w:szCs w:val="24"/>
              </w:rPr>
              <w:t xml:space="preserve">Iestāžu apvienošanas gadījumā būtu racionāli izmantojami jau esošie resursi, piemēram, datortehnika, neveicot jaunas tehnikas iegādi, bet izmantojot darbinieku lietošanā jau esošu datortehniku un citas iekārtas. </w:t>
            </w:r>
          </w:p>
        </w:tc>
        <w:tc>
          <w:tcPr>
            <w:tcW w:w="3286" w:type="dxa"/>
            <w:gridSpan w:val="2"/>
            <w:tcBorders>
              <w:top w:val="single" w:sz="4" w:space="0" w:color="auto"/>
              <w:left w:val="single" w:sz="4" w:space="0" w:color="auto"/>
              <w:bottom w:val="single" w:sz="4" w:space="0" w:color="auto"/>
              <w:right w:val="single" w:sz="4" w:space="0" w:color="auto"/>
            </w:tcBorders>
          </w:tcPr>
          <w:p w14:paraId="0B4BB4C4" w14:textId="68C1F693" w:rsidR="004016FB" w:rsidRPr="004B3804" w:rsidRDefault="004016FB" w:rsidP="004016FB">
            <w:pPr>
              <w:pStyle w:val="naisc"/>
              <w:spacing w:before="120" w:after="240"/>
              <w:rPr>
                <w:b/>
              </w:rPr>
            </w:pPr>
            <w:r w:rsidRPr="004B3804">
              <w:rPr>
                <w:b/>
              </w:rPr>
              <w:t>Ņemts vērā</w:t>
            </w:r>
          </w:p>
          <w:p w14:paraId="5AF271FD" w14:textId="511F1A2B" w:rsidR="004016FB" w:rsidRPr="004B3804" w:rsidRDefault="004B3804" w:rsidP="004B3804">
            <w:pPr>
              <w:pStyle w:val="naisc"/>
              <w:spacing w:before="120" w:after="240"/>
              <w:jc w:val="both"/>
              <w:rPr>
                <w:b/>
              </w:rPr>
            </w:pPr>
            <w:r w:rsidRPr="004B3804">
              <w:t>Norādāms, ka tas nav iespējams, jo: 1) KP izmantotā IT infrastruktūra ir EM īpašums; 2) tā tika nomāta un šogad tai beigsies nomas līguma termiņš.</w:t>
            </w:r>
          </w:p>
        </w:tc>
        <w:tc>
          <w:tcPr>
            <w:tcW w:w="3235" w:type="dxa"/>
            <w:tcBorders>
              <w:top w:val="single" w:sz="4" w:space="0" w:color="auto"/>
              <w:left w:val="single" w:sz="4" w:space="0" w:color="auto"/>
              <w:bottom w:val="single" w:sz="4" w:space="0" w:color="auto"/>
            </w:tcBorders>
          </w:tcPr>
          <w:p w14:paraId="220BEF8C" w14:textId="77777777" w:rsidR="004016FB" w:rsidRPr="0049470F" w:rsidRDefault="004016FB" w:rsidP="004016FB">
            <w:pPr>
              <w:spacing w:after="0" w:line="240" w:lineRule="auto"/>
              <w:jc w:val="both"/>
              <w:rPr>
                <w:rFonts w:ascii="Times New Roman" w:hAnsi="Times New Roman" w:cs="Times New Roman"/>
                <w:sz w:val="24"/>
                <w:szCs w:val="24"/>
              </w:rPr>
            </w:pPr>
          </w:p>
        </w:tc>
      </w:tr>
      <w:tr w:rsidR="00975835" w:rsidRPr="00387DD8" w14:paraId="01D0FAFA" w14:textId="77777777" w:rsidTr="00770204">
        <w:tc>
          <w:tcPr>
            <w:tcW w:w="742" w:type="dxa"/>
            <w:tcBorders>
              <w:top w:val="single" w:sz="4" w:space="0" w:color="auto"/>
              <w:left w:val="single" w:sz="4" w:space="0" w:color="auto"/>
              <w:bottom w:val="single" w:sz="4" w:space="0" w:color="auto"/>
              <w:right w:val="single" w:sz="4" w:space="0" w:color="auto"/>
            </w:tcBorders>
          </w:tcPr>
          <w:p w14:paraId="38684CF3" w14:textId="0C7CD001" w:rsidR="00975835" w:rsidRDefault="00344A4E" w:rsidP="00975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6681">
              <w:rPr>
                <w:rFonts w:ascii="Times New Roman" w:hAnsi="Times New Roman" w:cs="Times New Roman"/>
                <w:sz w:val="24"/>
                <w:szCs w:val="24"/>
              </w:rPr>
              <w:t>2</w:t>
            </w:r>
            <w:r>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45CD1A8" w14:textId="77777777" w:rsidR="00975835" w:rsidRPr="00387DD8" w:rsidRDefault="00975835" w:rsidP="00975835">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3F092A73" w14:textId="77777777" w:rsidR="00975835" w:rsidRPr="00975835" w:rsidRDefault="00975835" w:rsidP="00975835">
            <w:pPr>
              <w:spacing w:after="0" w:line="240" w:lineRule="auto"/>
              <w:jc w:val="center"/>
              <w:rPr>
                <w:rFonts w:ascii="Times New Roman" w:hAnsi="Times New Roman" w:cs="Times New Roman"/>
                <w:b/>
                <w:sz w:val="24"/>
                <w:szCs w:val="24"/>
              </w:rPr>
            </w:pPr>
            <w:r w:rsidRPr="00975835">
              <w:rPr>
                <w:rFonts w:ascii="Times New Roman" w:hAnsi="Times New Roman" w:cs="Times New Roman"/>
                <w:b/>
                <w:sz w:val="24"/>
                <w:szCs w:val="24"/>
              </w:rPr>
              <w:t>Finanšu ministrija</w:t>
            </w:r>
          </w:p>
          <w:p w14:paraId="5DAE5D89" w14:textId="77777777" w:rsidR="00975835" w:rsidRPr="00975835" w:rsidRDefault="00975835" w:rsidP="00975835">
            <w:pPr>
              <w:spacing w:after="0" w:line="240" w:lineRule="auto"/>
              <w:jc w:val="center"/>
              <w:rPr>
                <w:rFonts w:ascii="Times New Roman" w:hAnsi="Times New Roman" w:cs="Times New Roman"/>
                <w:i/>
                <w:sz w:val="24"/>
                <w:szCs w:val="24"/>
              </w:rPr>
            </w:pPr>
            <w:r w:rsidRPr="00975835">
              <w:rPr>
                <w:rFonts w:ascii="Times New Roman" w:hAnsi="Times New Roman" w:cs="Times New Roman"/>
                <w:i/>
                <w:sz w:val="24"/>
                <w:szCs w:val="24"/>
              </w:rPr>
              <w:t>Pēc 05.06.2019. precizētās saskaņošanas</w:t>
            </w:r>
          </w:p>
          <w:p w14:paraId="47E3E988" w14:textId="4B141B08" w:rsidR="00975835" w:rsidRPr="00975835" w:rsidRDefault="00975835" w:rsidP="00975835">
            <w:pPr>
              <w:spacing w:before="100" w:beforeAutospacing="1" w:after="120" w:line="252" w:lineRule="auto"/>
              <w:jc w:val="both"/>
              <w:rPr>
                <w:rFonts w:ascii="Times New Roman" w:hAnsi="Times New Roman" w:cs="Times New Roman"/>
                <w:b/>
                <w:sz w:val="24"/>
                <w:szCs w:val="24"/>
              </w:rPr>
            </w:pPr>
            <w:r w:rsidRPr="00975835">
              <w:rPr>
                <w:rFonts w:ascii="Times New Roman" w:hAnsi="Times New Roman" w:cs="Times New Roman"/>
                <w:sz w:val="24"/>
                <w:szCs w:val="24"/>
              </w:rPr>
              <w:t xml:space="preserve">Ņemot vērā, ka EM daļēji nodrošina KP administratīvo funkciju īstenošanu no valsts budžeta līdzekļiem 90 635 </w:t>
            </w:r>
            <w:proofErr w:type="spellStart"/>
            <w:r w:rsidRPr="00975835">
              <w:rPr>
                <w:rFonts w:ascii="Times New Roman" w:hAnsi="Times New Roman" w:cs="Times New Roman"/>
                <w:i/>
                <w:iCs/>
                <w:sz w:val="24"/>
                <w:szCs w:val="24"/>
              </w:rPr>
              <w:t>euro</w:t>
            </w:r>
            <w:proofErr w:type="spellEnd"/>
            <w:r w:rsidRPr="00975835">
              <w:rPr>
                <w:rFonts w:ascii="Times New Roman" w:hAnsi="Times New Roman" w:cs="Times New Roman"/>
                <w:sz w:val="24"/>
                <w:szCs w:val="24"/>
              </w:rPr>
              <w:t xml:space="preserve"> apmērā, nav saprotama Informatīvā ziņojuma 2.lpp 1.rindkopā norādītā ietekme uz valsts budžetu 97 771 </w:t>
            </w:r>
            <w:proofErr w:type="spellStart"/>
            <w:r w:rsidRPr="00975835">
              <w:rPr>
                <w:rFonts w:ascii="Times New Roman" w:hAnsi="Times New Roman" w:cs="Times New Roman"/>
                <w:i/>
                <w:iCs/>
                <w:sz w:val="24"/>
                <w:szCs w:val="24"/>
              </w:rPr>
              <w:t>euro</w:t>
            </w:r>
            <w:proofErr w:type="spellEnd"/>
            <w:r w:rsidRPr="00975835">
              <w:rPr>
                <w:rFonts w:ascii="Times New Roman" w:hAnsi="Times New Roman" w:cs="Times New Roman"/>
                <w:sz w:val="24"/>
                <w:szCs w:val="24"/>
              </w:rPr>
              <w:t xml:space="preserve"> pirmajā apvienošanas gadā un 56 057 </w:t>
            </w:r>
            <w:proofErr w:type="spellStart"/>
            <w:r w:rsidRPr="00975835">
              <w:rPr>
                <w:rFonts w:ascii="Times New Roman" w:hAnsi="Times New Roman" w:cs="Times New Roman"/>
                <w:i/>
                <w:iCs/>
                <w:sz w:val="24"/>
                <w:szCs w:val="24"/>
              </w:rPr>
              <w:t>euro</w:t>
            </w:r>
            <w:proofErr w:type="spellEnd"/>
            <w:r w:rsidRPr="00975835">
              <w:rPr>
                <w:rFonts w:ascii="Times New Roman" w:hAnsi="Times New Roman" w:cs="Times New Roman"/>
                <w:sz w:val="24"/>
                <w:szCs w:val="24"/>
              </w:rPr>
              <w:t xml:space="preserve"> turpmāk ik gadu. Līdz ar to aicinām pārskatīt izklājlapā </w:t>
            </w:r>
            <w:r w:rsidRPr="00975835">
              <w:rPr>
                <w:rFonts w:ascii="Times New Roman" w:hAnsi="Times New Roman" w:cs="Times New Roman"/>
                <w:sz w:val="24"/>
                <w:szCs w:val="24"/>
              </w:rPr>
              <w:lastRenderedPageBreak/>
              <w:t>“Optimizācija” veiktos aprēķinus un komentārus un Informatīvajā ziņojumā iekļauto informāciju.</w:t>
            </w:r>
          </w:p>
        </w:tc>
        <w:tc>
          <w:tcPr>
            <w:tcW w:w="3286" w:type="dxa"/>
            <w:gridSpan w:val="2"/>
            <w:tcBorders>
              <w:top w:val="single" w:sz="4" w:space="0" w:color="auto"/>
              <w:left w:val="single" w:sz="4" w:space="0" w:color="auto"/>
              <w:bottom w:val="single" w:sz="4" w:space="0" w:color="auto"/>
              <w:right w:val="single" w:sz="4" w:space="0" w:color="auto"/>
            </w:tcBorders>
          </w:tcPr>
          <w:p w14:paraId="1A762397" w14:textId="77777777" w:rsidR="00975835" w:rsidRPr="00975835" w:rsidRDefault="00975835" w:rsidP="00975835">
            <w:pPr>
              <w:pStyle w:val="naisc"/>
              <w:spacing w:before="120" w:after="240"/>
              <w:rPr>
                <w:b/>
              </w:rPr>
            </w:pPr>
            <w:r w:rsidRPr="00975835">
              <w:rPr>
                <w:b/>
              </w:rPr>
              <w:lastRenderedPageBreak/>
              <w:t>Ņemts vērā</w:t>
            </w:r>
          </w:p>
          <w:p w14:paraId="0D82D589" w14:textId="5BE566AE" w:rsidR="00975835" w:rsidRPr="00975835" w:rsidRDefault="00975835" w:rsidP="00975835">
            <w:pPr>
              <w:spacing w:before="100" w:beforeAutospacing="1" w:after="120" w:line="252" w:lineRule="auto"/>
              <w:contextualSpacing/>
              <w:jc w:val="both"/>
            </w:pPr>
            <w:r w:rsidRPr="00975835">
              <w:rPr>
                <w:rFonts w:ascii="Times New Roman" w:eastAsia="Times New Roman" w:hAnsi="Times New Roman" w:cs="Times New Roman"/>
                <w:sz w:val="24"/>
                <w:szCs w:val="24"/>
                <w:lang w:eastAsia="lv-LV"/>
              </w:rPr>
              <w:t xml:space="preserve">Norādām, ka, ja tiks izveidota jauna – institucionāli un funkcionāli neatkarīga uzraudzības iestāde (līdzīgā statusā kā šobrīd SPRK vai FKTK), kas vairs neatradīsies EM pārraudzībā, EM nebūs pamata tai piešķirtos finanšu </w:t>
            </w:r>
            <w:r w:rsidRPr="00975835">
              <w:rPr>
                <w:rFonts w:ascii="Times New Roman" w:eastAsia="Times New Roman" w:hAnsi="Times New Roman" w:cs="Times New Roman"/>
                <w:sz w:val="24"/>
                <w:szCs w:val="24"/>
                <w:lang w:eastAsia="lv-LV"/>
              </w:rPr>
              <w:lastRenderedPageBreak/>
              <w:t>resursus novirzīt citas iestādes darbības nodrošināšanai.</w:t>
            </w:r>
          </w:p>
        </w:tc>
        <w:tc>
          <w:tcPr>
            <w:tcW w:w="3235" w:type="dxa"/>
            <w:tcBorders>
              <w:top w:val="single" w:sz="4" w:space="0" w:color="auto"/>
              <w:left w:val="single" w:sz="4" w:space="0" w:color="auto"/>
              <w:bottom w:val="single" w:sz="4" w:space="0" w:color="auto"/>
            </w:tcBorders>
          </w:tcPr>
          <w:p w14:paraId="6F46950D" w14:textId="77777777" w:rsidR="00975835" w:rsidRPr="0049470F" w:rsidRDefault="00975835" w:rsidP="00975835">
            <w:pPr>
              <w:spacing w:after="0" w:line="240" w:lineRule="auto"/>
              <w:jc w:val="both"/>
              <w:rPr>
                <w:rFonts w:ascii="Times New Roman" w:hAnsi="Times New Roman" w:cs="Times New Roman"/>
                <w:sz w:val="24"/>
                <w:szCs w:val="24"/>
              </w:rPr>
            </w:pPr>
          </w:p>
        </w:tc>
      </w:tr>
      <w:tr w:rsidR="00975835" w:rsidRPr="00387DD8" w14:paraId="5F69075B" w14:textId="77777777" w:rsidTr="00770204">
        <w:tc>
          <w:tcPr>
            <w:tcW w:w="742" w:type="dxa"/>
            <w:tcBorders>
              <w:top w:val="single" w:sz="4" w:space="0" w:color="auto"/>
              <w:left w:val="single" w:sz="4" w:space="0" w:color="auto"/>
              <w:bottom w:val="single" w:sz="4" w:space="0" w:color="auto"/>
              <w:right w:val="single" w:sz="4" w:space="0" w:color="auto"/>
            </w:tcBorders>
          </w:tcPr>
          <w:p w14:paraId="2549F1EE" w14:textId="79E2572E" w:rsidR="00975835" w:rsidRDefault="00344A4E" w:rsidP="009758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6681">
              <w:rPr>
                <w:rFonts w:ascii="Times New Roman" w:hAnsi="Times New Roman" w:cs="Times New Roman"/>
                <w:sz w:val="24"/>
                <w:szCs w:val="24"/>
              </w:rPr>
              <w:t>3</w:t>
            </w:r>
            <w:r>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20D30444" w14:textId="77777777" w:rsidR="00975835" w:rsidRPr="00387DD8" w:rsidRDefault="00975835" w:rsidP="00975835">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01301620" w14:textId="77777777" w:rsidR="00975835" w:rsidRPr="00C04ED5" w:rsidRDefault="00975835" w:rsidP="00975835">
            <w:pPr>
              <w:spacing w:after="0" w:line="240" w:lineRule="auto"/>
              <w:jc w:val="center"/>
              <w:rPr>
                <w:rFonts w:ascii="Times New Roman" w:hAnsi="Times New Roman" w:cs="Times New Roman"/>
                <w:b/>
                <w:sz w:val="24"/>
                <w:szCs w:val="24"/>
              </w:rPr>
            </w:pPr>
            <w:r w:rsidRPr="00C04ED5">
              <w:rPr>
                <w:rFonts w:ascii="Times New Roman" w:hAnsi="Times New Roman" w:cs="Times New Roman"/>
                <w:b/>
                <w:sz w:val="24"/>
                <w:szCs w:val="24"/>
              </w:rPr>
              <w:t>Finanšu ministrija</w:t>
            </w:r>
          </w:p>
          <w:p w14:paraId="2CCD7E3A" w14:textId="4D966EFF" w:rsidR="00975835" w:rsidRPr="001C7550" w:rsidRDefault="00975835" w:rsidP="00975835">
            <w:pPr>
              <w:spacing w:after="0" w:line="240" w:lineRule="auto"/>
              <w:jc w:val="center"/>
              <w:rPr>
                <w:rFonts w:ascii="Times New Roman" w:hAnsi="Times New Roman" w:cs="Times New Roman"/>
                <w:i/>
                <w:sz w:val="24"/>
                <w:szCs w:val="24"/>
              </w:rPr>
            </w:pPr>
            <w:r w:rsidRPr="001C7550">
              <w:rPr>
                <w:rFonts w:ascii="Times New Roman" w:hAnsi="Times New Roman" w:cs="Times New Roman"/>
                <w:i/>
                <w:sz w:val="24"/>
                <w:szCs w:val="24"/>
              </w:rPr>
              <w:t>Pēc 05.06.2019. precizētās saskaņošanas</w:t>
            </w:r>
          </w:p>
          <w:p w14:paraId="1FF64A1F" w14:textId="77777777" w:rsidR="00975835" w:rsidRDefault="00975835" w:rsidP="00975835">
            <w:pPr>
              <w:spacing w:after="0" w:line="240" w:lineRule="auto"/>
              <w:jc w:val="both"/>
              <w:rPr>
                <w:rFonts w:ascii="Times New Roman" w:hAnsi="Times New Roman" w:cs="Times New Roman"/>
                <w:b/>
                <w:sz w:val="24"/>
                <w:szCs w:val="24"/>
              </w:rPr>
            </w:pPr>
          </w:p>
          <w:p w14:paraId="5A9B6907" w14:textId="77777777" w:rsidR="00975835" w:rsidRPr="001C7550" w:rsidRDefault="00975835" w:rsidP="00975835">
            <w:pPr>
              <w:spacing w:line="276" w:lineRule="auto"/>
              <w:jc w:val="both"/>
              <w:rPr>
                <w:rFonts w:ascii="Times New Roman" w:hAnsi="Times New Roman" w:cs="Times New Roman"/>
                <w:i/>
                <w:sz w:val="24"/>
                <w:szCs w:val="24"/>
              </w:rPr>
            </w:pPr>
            <w:r w:rsidRPr="001C7550">
              <w:rPr>
                <w:rFonts w:ascii="Times New Roman" w:hAnsi="Times New Roman" w:cs="Times New Roman"/>
                <w:i/>
                <w:sz w:val="24"/>
                <w:szCs w:val="24"/>
              </w:rPr>
              <w:t xml:space="preserve">Par </w:t>
            </w:r>
            <w:proofErr w:type="spellStart"/>
            <w:r w:rsidRPr="001C7550">
              <w:rPr>
                <w:rFonts w:ascii="Times New Roman" w:hAnsi="Times New Roman" w:cs="Times New Roman"/>
                <w:i/>
                <w:sz w:val="24"/>
                <w:szCs w:val="24"/>
              </w:rPr>
              <w:t>protokollēmuma</w:t>
            </w:r>
            <w:proofErr w:type="spellEnd"/>
            <w:r w:rsidRPr="001C7550">
              <w:rPr>
                <w:rFonts w:ascii="Times New Roman" w:hAnsi="Times New Roman" w:cs="Times New Roman"/>
                <w:i/>
                <w:sz w:val="24"/>
                <w:szCs w:val="24"/>
              </w:rPr>
              <w:t xml:space="preserve"> projektu</w:t>
            </w:r>
          </w:p>
          <w:p w14:paraId="3771B94A" w14:textId="5F9A33CD" w:rsidR="00975835" w:rsidRPr="001C7550" w:rsidRDefault="00975835" w:rsidP="00975835">
            <w:pPr>
              <w:spacing w:after="0"/>
              <w:jc w:val="both"/>
              <w:rPr>
                <w:rFonts w:ascii="Times New Roman" w:hAnsi="Times New Roman"/>
                <w:sz w:val="24"/>
                <w:szCs w:val="24"/>
              </w:rPr>
            </w:pPr>
            <w:r>
              <w:rPr>
                <w:rFonts w:ascii="Times New Roman" w:hAnsi="Times New Roman"/>
                <w:sz w:val="24"/>
                <w:szCs w:val="24"/>
              </w:rPr>
              <w:t>1. </w:t>
            </w:r>
            <w:r w:rsidRPr="001C7550">
              <w:rPr>
                <w:rFonts w:ascii="Times New Roman" w:hAnsi="Times New Roman"/>
                <w:sz w:val="24"/>
                <w:szCs w:val="24"/>
              </w:rPr>
              <w:t xml:space="preserve">Ņemot vērā, ka EM sagatavoja </w:t>
            </w:r>
            <w:proofErr w:type="spellStart"/>
            <w:r w:rsidRPr="001C7550">
              <w:rPr>
                <w:rFonts w:ascii="Times New Roman" w:hAnsi="Times New Roman"/>
                <w:sz w:val="24"/>
                <w:szCs w:val="24"/>
              </w:rPr>
              <w:t>izvērtējumu</w:t>
            </w:r>
            <w:proofErr w:type="spellEnd"/>
            <w:r w:rsidRPr="001C7550">
              <w:rPr>
                <w:rFonts w:ascii="Times New Roman" w:hAnsi="Times New Roman"/>
                <w:sz w:val="24"/>
                <w:szCs w:val="24"/>
              </w:rPr>
              <w:t xml:space="preserve"> par vienotas konkurences un regulācijas iestādes izveides iespējām, uzskatām, ka </w:t>
            </w:r>
            <w:proofErr w:type="spellStart"/>
            <w:r w:rsidRPr="001C7550">
              <w:rPr>
                <w:rFonts w:ascii="Times New Roman" w:hAnsi="Times New Roman"/>
                <w:sz w:val="24"/>
                <w:szCs w:val="24"/>
              </w:rPr>
              <w:t>protokollēmuma</w:t>
            </w:r>
            <w:proofErr w:type="spellEnd"/>
            <w:r w:rsidRPr="001C7550">
              <w:rPr>
                <w:rFonts w:ascii="Times New Roman" w:hAnsi="Times New Roman"/>
                <w:sz w:val="24"/>
                <w:szCs w:val="24"/>
              </w:rPr>
              <w:t xml:space="preserve"> projekta 2.punkts ir izsakāms šādā redakcijā: “2. Atzīt Ministru kabineta 2017. gada 28. augusta sēdes </w:t>
            </w:r>
            <w:proofErr w:type="spellStart"/>
            <w:r w:rsidRPr="001C7550">
              <w:rPr>
                <w:rFonts w:ascii="Times New Roman" w:hAnsi="Times New Roman"/>
                <w:sz w:val="24"/>
                <w:szCs w:val="24"/>
              </w:rPr>
              <w:t>protokollēmuma</w:t>
            </w:r>
            <w:proofErr w:type="spellEnd"/>
            <w:r w:rsidRPr="001C7550">
              <w:rPr>
                <w:rFonts w:ascii="Times New Roman" w:hAnsi="Times New Roman"/>
                <w:sz w:val="24"/>
                <w:szCs w:val="24"/>
              </w:rPr>
              <w:t xml:space="preserve"> (Prot. Nr.41, 1.§) “Informatīvais ziņojums “Par valsts budžeta izdevumu pārskatīšanas 2018., 2019. un 2020. gadam rezultātiem un priekšlikumi par šo rezultātu izmantošanu likumprojekta “Par vidēja termiņa budžeta ietvaru 2018., 2019. un 2020. gadam” un likumprojekta “Par valsts budžetu 2018.gadam" izstrādes procesā”” 9. punktā doto uzdevumu par izpildītu.”</w:t>
            </w:r>
          </w:p>
          <w:p w14:paraId="20DE2CEB" w14:textId="39AEA56E" w:rsidR="00975835" w:rsidRPr="001C7550" w:rsidRDefault="00975835" w:rsidP="00975835">
            <w:pPr>
              <w:spacing w:after="0"/>
              <w:jc w:val="both"/>
              <w:rPr>
                <w:rFonts w:ascii="Times New Roman" w:hAnsi="Times New Roman"/>
                <w:sz w:val="24"/>
                <w:szCs w:val="24"/>
              </w:rPr>
            </w:pPr>
            <w:r>
              <w:rPr>
                <w:rFonts w:ascii="Times New Roman" w:hAnsi="Times New Roman"/>
                <w:sz w:val="24"/>
                <w:szCs w:val="24"/>
              </w:rPr>
              <w:t>2. </w:t>
            </w:r>
            <w:r w:rsidRPr="001C7550">
              <w:rPr>
                <w:rFonts w:ascii="Times New Roman" w:hAnsi="Times New Roman"/>
                <w:sz w:val="24"/>
                <w:szCs w:val="24"/>
              </w:rPr>
              <w:t xml:space="preserve">Uzskatām, ka </w:t>
            </w:r>
            <w:proofErr w:type="spellStart"/>
            <w:r w:rsidRPr="001C7550">
              <w:rPr>
                <w:rFonts w:ascii="Times New Roman" w:hAnsi="Times New Roman"/>
                <w:sz w:val="24"/>
                <w:szCs w:val="24"/>
              </w:rPr>
              <w:t>protokollēmuma</w:t>
            </w:r>
            <w:proofErr w:type="spellEnd"/>
            <w:r w:rsidRPr="001C7550">
              <w:rPr>
                <w:rFonts w:ascii="Times New Roman" w:hAnsi="Times New Roman"/>
                <w:sz w:val="24"/>
                <w:szCs w:val="24"/>
              </w:rPr>
              <w:t xml:space="preserve"> projekta 3.punkts ir izsakāms šādā redakcijā:</w:t>
            </w:r>
          </w:p>
          <w:p w14:paraId="5A575F25" w14:textId="3ECF4D28" w:rsidR="00975835" w:rsidRPr="00C04ED5" w:rsidRDefault="00975835" w:rsidP="00975835">
            <w:pPr>
              <w:jc w:val="both"/>
              <w:rPr>
                <w:rFonts w:ascii="Times New Roman" w:hAnsi="Times New Roman" w:cs="Times New Roman"/>
                <w:b/>
                <w:sz w:val="24"/>
                <w:szCs w:val="24"/>
              </w:rPr>
            </w:pPr>
            <w:r w:rsidRPr="001C7550">
              <w:rPr>
                <w:rFonts w:ascii="Times New Roman" w:hAnsi="Times New Roman" w:cs="Times New Roman"/>
                <w:sz w:val="24"/>
                <w:szCs w:val="24"/>
              </w:rPr>
              <w:t xml:space="preserve">“3.Jautājums par papildus nepieciešamo finansējuma piešķiršanu Konkurences padomei ir izskatāms Ministru kabinetā vienlaikus ar visu ministriju un citu centrālo valsts iestāžu iesniegtajiem prioritārajiem pasākumiem likumprojekta “Par valsts budžetu 2020. gadam” un likumprojekta “Par vidēja termiņa budžeta </w:t>
            </w:r>
            <w:r w:rsidRPr="001C7550">
              <w:rPr>
                <w:rFonts w:ascii="Times New Roman" w:hAnsi="Times New Roman" w:cs="Times New Roman"/>
                <w:sz w:val="24"/>
                <w:szCs w:val="24"/>
              </w:rPr>
              <w:lastRenderedPageBreak/>
              <w:t xml:space="preserve">ietvaru 2020., 2021. un 2022. gadam” sagatavošanas procesā. ” </w:t>
            </w:r>
          </w:p>
        </w:tc>
        <w:tc>
          <w:tcPr>
            <w:tcW w:w="3286" w:type="dxa"/>
            <w:gridSpan w:val="2"/>
            <w:tcBorders>
              <w:top w:val="single" w:sz="4" w:space="0" w:color="auto"/>
              <w:left w:val="single" w:sz="4" w:space="0" w:color="auto"/>
              <w:bottom w:val="single" w:sz="4" w:space="0" w:color="auto"/>
              <w:right w:val="single" w:sz="4" w:space="0" w:color="auto"/>
            </w:tcBorders>
          </w:tcPr>
          <w:p w14:paraId="64EA025B" w14:textId="070E3827" w:rsidR="00975835" w:rsidRPr="00D073C3" w:rsidRDefault="00975835" w:rsidP="00975835">
            <w:pPr>
              <w:pStyle w:val="naisc"/>
              <w:spacing w:before="120" w:after="240"/>
              <w:rPr>
                <w:b/>
              </w:rPr>
            </w:pPr>
            <w:r w:rsidRPr="00D073C3">
              <w:rPr>
                <w:b/>
              </w:rPr>
              <w:lastRenderedPageBreak/>
              <w:t>Ņemts vērā</w:t>
            </w:r>
          </w:p>
        </w:tc>
        <w:tc>
          <w:tcPr>
            <w:tcW w:w="3235" w:type="dxa"/>
            <w:tcBorders>
              <w:top w:val="single" w:sz="4" w:space="0" w:color="auto"/>
              <w:left w:val="single" w:sz="4" w:space="0" w:color="auto"/>
              <w:bottom w:val="single" w:sz="4" w:space="0" w:color="auto"/>
            </w:tcBorders>
          </w:tcPr>
          <w:p w14:paraId="006936D4" w14:textId="77777777" w:rsidR="00975835" w:rsidRPr="0049470F" w:rsidRDefault="00975835" w:rsidP="00975835">
            <w:pPr>
              <w:spacing w:after="0" w:line="240" w:lineRule="auto"/>
              <w:jc w:val="both"/>
              <w:rPr>
                <w:rFonts w:ascii="Times New Roman" w:hAnsi="Times New Roman" w:cs="Times New Roman"/>
                <w:sz w:val="24"/>
                <w:szCs w:val="24"/>
              </w:rPr>
            </w:pPr>
          </w:p>
        </w:tc>
      </w:tr>
      <w:tr w:rsidR="00BD77CF" w:rsidRPr="00387DD8" w14:paraId="6166FEF2" w14:textId="77777777" w:rsidTr="00770204">
        <w:tc>
          <w:tcPr>
            <w:tcW w:w="742" w:type="dxa"/>
            <w:tcBorders>
              <w:top w:val="single" w:sz="4" w:space="0" w:color="auto"/>
              <w:left w:val="single" w:sz="4" w:space="0" w:color="auto"/>
              <w:bottom w:val="single" w:sz="4" w:space="0" w:color="auto"/>
              <w:right w:val="single" w:sz="4" w:space="0" w:color="auto"/>
            </w:tcBorders>
          </w:tcPr>
          <w:p w14:paraId="08CC11C6" w14:textId="1B07E79F" w:rsidR="00BD77CF" w:rsidRDefault="00344A4E" w:rsidP="00BD7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6681">
              <w:rPr>
                <w:rFonts w:ascii="Times New Roman" w:hAnsi="Times New Roman" w:cs="Times New Roman"/>
                <w:sz w:val="24"/>
                <w:szCs w:val="24"/>
              </w:rPr>
              <w:t>4</w:t>
            </w:r>
            <w:r>
              <w:rPr>
                <w:rFonts w:ascii="Times New Roman" w:hAnsi="Times New Roman" w:cs="Times New Roman"/>
                <w:sz w:val="24"/>
                <w:szCs w:val="24"/>
              </w:rPr>
              <w:t>.</w:t>
            </w:r>
          </w:p>
        </w:tc>
        <w:tc>
          <w:tcPr>
            <w:tcW w:w="3145" w:type="dxa"/>
            <w:gridSpan w:val="2"/>
            <w:tcBorders>
              <w:top w:val="single" w:sz="4" w:space="0" w:color="auto"/>
              <w:left w:val="single" w:sz="4" w:space="0" w:color="auto"/>
              <w:bottom w:val="single" w:sz="4" w:space="0" w:color="auto"/>
              <w:right w:val="single" w:sz="4" w:space="0" w:color="auto"/>
            </w:tcBorders>
          </w:tcPr>
          <w:p w14:paraId="17D27CC0" w14:textId="77777777" w:rsidR="00BD77CF" w:rsidRPr="00387DD8" w:rsidRDefault="00BD77CF" w:rsidP="00BD77CF">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191BC849" w14:textId="77777777" w:rsidR="00BD77CF" w:rsidRPr="00BD77CF" w:rsidRDefault="00BD77CF" w:rsidP="00BD77CF">
            <w:pPr>
              <w:spacing w:after="0" w:line="240" w:lineRule="auto"/>
              <w:jc w:val="center"/>
              <w:rPr>
                <w:rFonts w:ascii="Times New Roman" w:hAnsi="Times New Roman" w:cs="Times New Roman"/>
                <w:b/>
                <w:sz w:val="24"/>
                <w:szCs w:val="24"/>
              </w:rPr>
            </w:pPr>
            <w:r w:rsidRPr="00BD77CF">
              <w:rPr>
                <w:rFonts w:ascii="Times New Roman" w:hAnsi="Times New Roman" w:cs="Times New Roman"/>
                <w:b/>
                <w:sz w:val="24"/>
                <w:szCs w:val="24"/>
              </w:rPr>
              <w:t>Sabiedrisko pakalpojumu regulēšanas komisija</w:t>
            </w:r>
          </w:p>
          <w:p w14:paraId="59DF591B" w14:textId="77777777" w:rsidR="00BD77CF" w:rsidRPr="00BD77CF" w:rsidRDefault="00BD77CF" w:rsidP="00BD77CF">
            <w:pPr>
              <w:spacing w:after="0" w:line="240" w:lineRule="auto"/>
              <w:jc w:val="center"/>
              <w:rPr>
                <w:rFonts w:ascii="Times New Roman" w:hAnsi="Times New Roman" w:cs="Times New Roman"/>
                <w:b/>
                <w:sz w:val="24"/>
                <w:szCs w:val="24"/>
              </w:rPr>
            </w:pPr>
          </w:p>
          <w:p w14:paraId="3F023272" w14:textId="77777777" w:rsidR="00BD77CF" w:rsidRPr="00BD77CF" w:rsidRDefault="00BD77CF" w:rsidP="00BD77CF">
            <w:pPr>
              <w:spacing w:before="80" w:after="0"/>
              <w:ind w:firstLine="720"/>
              <w:jc w:val="both"/>
              <w:rPr>
                <w:rFonts w:ascii="Times New Roman" w:hAnsi="Times New Roman" w:cs="Times New Roman"/>
                <w:sz w:val="24"/>
                <w:szCs w:val="24"/>
              </w:rPr>
            </w:pPr>
            <w:r w:rsidRPr="00BD77CF">
              <w:rPr>
                <w:rFonts w:ascii="Times New Roman" w:hAnsi="Times New Roman" w:cs="Times New Roman"/>
                <w:sz w:val="24"/>
                <w:szCs w:val="24"/>
              </w:rPr>
              <w:t xml:space="preserve">Sabiedrisko pakalpojumu regulēšanas komisija (turpmāk – Regulators) savas kompetences ietvaros izskatīja precizēto Ekonomikas ministrijas virzīto informatīvā ziņojuma projektu “Par vienotas konkurences un regulācijas iestādes izveides iespējām” (turpmāk – ziņojuma projekts) un ar to saistīto Ministru kabineta sēdes </w:t>
            </w:r>
            <w:proofErr w:type="spellStart"/>
            <w:r w:rsidRPr="00BD77CF">
              <w:rPr>
                <w:rFonts w:ascii="Times New Roman" w:hAnsi="Times New Roman" w:cs="Times New Roman"/>
                <w:sz w:val="24"/>
                <w:szCs w:val="24"/>
              </w:rPr>
              <w:t>protokollēmuma</w:t>
            </w:r>
            <w:proofErr w:type="spellEnd"/>
            <w:r w:rsidRPr="00BD77CF">
              <w:rPr>
                <w:rFonts w:ascii="Times New Roman" w:hAnsi="Times New Roman" w:cs="Times New Roman"/>
                <w:sz w:val="24"/>
                <w:szCs w:val="24"/>
              </w:rPr>
              <w:t xml:space="preserve"> projektu (turpmāk – </w:t>
            </w:r>
            <w:proofErr w:type="spellStart"/>
            <w:r w:rsidRPr="00BD77CF">
              <w:rPr>
                <w:rFonts w:ascii="Times New Roman" w:hAnsi="Times New Roman" w:cs="Times New Roman"/>
                <w:sz w:val="24"/>
                <w:szCs w:val="24"/>
              </w:rPr>
              <w:t>protokollēmuma</w:t>
            </w:r>
            <w:proofErr w:type="spellEnd"/>
            <w:r w:rsidRPr="00BD77CF">
              <w:rPr>
                <w:rFonts w:ascii="Times New Roman" w:hAnsi="Times New Roman" w:cs="Times New Roman"/>
                <w:sz w:val="24"/>
                <w:szCs w:val="24"/>
              </w:rPr>
              <w:t xml:space="preserve"> projekts).</w:t>
            </w:r>
          </w:p>
          <w:p w14:paraId="52562624" w14:textId="77777777" w:rsidR="00BD77CF" w:rsidRPr="00BD77CF" w:rsidRDefault="00BD77CF" w:rsidP="00BD77CF">
            <w:pPr>
              <w:spacing w:before="80" w:after="0"/>
              <w:ind w:firstLine="720"/>
              <w:jc w:val="both"/>
              <w:rPr>
                <w:rFonts w:ascii="Times New Roman" w:hAnsi="Times New Roman" w:cs="Times New Roman"/>
                <w:sz w:val="24"/>
                <w:szCs w:val="24"/>
              </w:rPr>
            </w:pPr>
            <w:r w:rsidRPr="00BD77CF">
              <w:rPr>
                <w:rFonts w:ascii="Times New Roman" w:hAnsi="Times New Roman" w:cs="Times New Roman"/>
                <w:sz w:val="24"/>
                <w:szCs w:val="24"/>
              </w:rPr>
              <w:t xml:space="preserve">Regulators atbalsta </w:t>
            </w:r>
            <w:proofErr w:type="spellStart"/>
            <w:r w:rsidRPr="00BD77CF">
              <w:rPr>
                <w:rFonts w:ascii="Times New Roman" w:hAnsi="Times New Roman" w:cs="Times New Roman"/>
                <w:sz w:val="24"/>
                <w:szCs w:val="24"/>
              </w:rPr>
              <w:t>protokollēmuma</w:t>
            </w:r>
            <w:proofErr w:type="spellEnd"/>
            <w:r w:rsidRPr="00BD77CF">
              <w:rPr>
                <w:rFonts w:ascii="Times New Roman" w:hAnsi="Times New Roman" w:cs="Times New Roman"/>
                <w:sz w:val="24"/>
                <w:szCs w:val="24"/>
              </w:rPr>
              <w:t xml:space="preserve"> projekta un ziņojuma projekta turpmāko virzību normatīvajos aktos noteiktā kārtībā, bet vienlaicīgi izsaka šādu priekšlikumu.</w:t>
            </w:r>
          </w:p>
          <w:p w14:paraId="4E020E0A" w14:textId="77777777" w:rsidR="00BD77CF" w:rsidRPr="00BD77CF" w:rsidRDefault="00BD77CF" w:rsidP="00BD77CF">
            <w:pPr>
              <w:spacing w:before="80" w:after="0"/>
              <w:ind w:firstLine="720"/>
              <w:jc w:val="both"/>
              <w:rPr>
                <w:rFonts w:ascii="Times New Roman" w:hAnsi="Times New Roman" w:cs="Times New Roman"/>
                <w:sz w:val="24"/>
                <w:szCs w:val="24"/>
              </w:rPr>
            </w:pPr>
            <w:r w:rsidRPr="00BD77CF">
              <w:rPr>
                <w:rFonts w:ascii="Times New Roman" w:hAnsi="Times New Roman" w:cs="Times New Roman"/>
                <w:sz w:val="24"/>
                <w:szCs w:val="24"/>
              </w:rPr>
              <w:t xml:space="preserve">Atbilstoši Informatīvā ziņojuma pielikumā identificētajām izmaksu pozīcijām veiktais Regulatora darbaspēka un pakalpojumu izmaksu apkopojums ir balstīts uz faktiskajām Regulatora izmaksām 2018.gadā. Regulators vērš uzmanību, ka atsevišķas informatīvā ziņojuma pielikumā norādītās izdevumu pozīcijas ietver ne tikai Regulatora tiešo administratīvo funkciju nodrošināšanu, bet arī ārējos normatīvajos aktos Regulatoram deleģēto funkciju nodrošināšanu. </w:t>
            </w:r>
          </w:p>
          <w:p w14:paraId="3FE1831A" w14:textId="77777777" w:rsidR="00BD77CF" w:rsidRPr="00BD77CF" w:rsidRDefault="00BD77CF" w:rsidP="00BD77CF">
            <w:pPr>
              <w:spacing w:before="80" w:after="0"/>
              <w:ind w:firstLine="720"/>
              <w:jc w:val="both"/>
              <w:rPr>
                <w:rFonts w:ascii="Times New Roman" w:hAnsi="Times New Roman" w:cs="Times New Roman"/>
                <w:sz w:val="24"/>
                <w:szCs w:val="24"/>
              </w:rPr>
            </w:pPr>
            <w:r w:rsidRPr="00BD77CF">
              <w:rPr>
                <w:rFonts w:ascii="Times New Roman" w:hAnsi="Times New Roman" w:cs="Times New Roman"/>
                <w:sz w:val="24"/>
                <w:szCs w:val="24"/>
              </w:rPr>
              <w:lastRenderedPageBreak/>
              <w:t>Regulators, iesniedzot Ekonomikas ministrijai informāciju par 2018.gadā izlietoto finansējumu administratīvo funkciju nodrošināšanai (Regulatora 2019.gada 8.maija vēstule Nr.2-2.12/1468), norādīja, ka:</w:t>
            </w:r>
          </w:p>
          <w:p w14:paraId="496F64BF" w14:textId="77777777" w:rsidR="00BD77CF" w:rsidRPr="00BD77CF" w:rsidRDefault="00BD77CF" w:rsidP="00BD77CF">
            <w:pPr>
              <w:pStyle w:val="ListParagraph"/>
              <w:numPr>
                <w:ilvl w:val="0"/>
                <w:numId w:val="41"/>
              </w:numPr>
              <w:spacing w:before="80" w:after="0" w:line="240" w:lineRule="auto"/>
              <w:contextualSpacing w:val="0"/>
              <w:jc w:val="both"/>
              <w:rPr>
                <w:rFonts w:ascii="Times New Roman" w:hAnsi="Times New Roman"/>
                <w:sz w:val="24"/>
                <w:szCs w:val="24"/>
              </w:rPr>
            </w:pPr>
            <w:r w:rsidRPr="00BD77CF">
              <w:rPr>
                <w:rFonts w:ascii="Times New Roman" w:hAnsi="Times New Roman"/>
                <w:sz w:val="24"/>
                <w:szCs w:val="24"/>
              </w:rPr>
              <w:t>Regulatora grāmatvedība nodrošina ne tikai institūcijas materiālo, darbaspēka un finanšu resursu izmantošanas kontroli un uzskaiti, bet arī, atbilstoši likumā “Par sabiedrisko pakalpojumu regulatoriem” noteiktajam, veic funkcijas, kas saistītas ar valsts nodevas par sabiedrisko pakalpojumu regulēšanu administrēšanu;</w:t>
            </w:r>
          </w:p>
          <w:p w14:paraId="5178C73B" w14:textId="77777777" w:rsidR="00BD77CF" w:rsidRPr="00BD77CF" w:rsidRDefault="00BD77CF" w:rsidP="00BD77CF">
            <w:pPr>
              <w:pStyle w:val="ListParagraph"/>
              <w:numPr>
                <w:ilvl w:val="0"/>
                <w:numId w:val="41"/>
              </w:numPr>
              <w:spacing w:before="120" w:after="0" w:line="240" w:lineRule="auto"/>
              <w:contextualSpacing w:val="0"/>
              <w:jc w:val="both"/>
              <w:rPr>
                <w:rFonts w:ascii="Times New Roman" w:hAnsi="Times New Roman"/>
                <w:sz w:val="24"/>
                <w:szCs w:val="24"/>
              </w:rPr>
            </w:pPr>
            <w:r w:rsidRPr="00BD77CF">
              <w:rPr>
                <w:rFonts w:ascii="Times New Roman" w:hAnsi="Times New Roman"/>
                <w:sz w:val="24"/>
                <w:szCs w:val="24"/>
              </w:rPr>
              <w:t>Regulatora informācijas tehnoloģiju infrastruktūras uzturēšanai un dienesta transportlīdzekļu izmantošanai piešķirtais finansējums nav attiecināms tikai uz Regulatora administratīvajām funkcijām, jo piešķirtā finansējuma ietvaros Regulators nodrošina ne tikai institūcijas administratīvās funkcijas, bet arī regulējamo komersantu darbības uzraudzību un regulējamo sabiedrisko pakalpojumu kvalitātes kontroli.</w:t>
            </w:r>
          </w:p>
          <w:p w14:paraId="01087E7D" w14:textId="6082E387" w:rsidR="00BD77CF" w:rsidRPr="00BD77CF" w:rsidRDefault="00BD77CF" w:rsidP="00BD77CF">
            <w:pPr>
              <w:spacing w:after="0" w:line="240" w:lineRule="auto"/>
              <w:jc w:val="both"/>
              <w:rPr>
                <w:rFonts w:ascii="Times New Roman" w:hAnsi="Times New Roman" w:cs="Times New Roman"/>
                <w:b/>
                <w:sz w:val="24"/>
                <w:szCs w:val="24"/>
              </w:rPr>
            </w:pPr>
            <w:r w:rsidRPr="00BD77CF">
              <w:rPr>
                <w:rFonts w:ascii="Times New Roman" w:hAnsi="Times New Roman" w:cs="Times New Roman"/>
                <w:sz w:val="24"/>
                <w:szCs w:val="24"/>
              </w:rPr>
              <w:t xml:space="preserve">Ņemot vērā iepriekš minēto, informatīvā ziņojuma pielikumā norādītās Regulatora attiecīgās izdevumu pozīcijas būtu papildināmas ar papildus skaidrojumu, kas sniegtu izvērstāku priekšstatu par Regulatora budžeta finansējuma izlietojumu un, lemjot par vienotas konkurences un regulācijas iestādes izveides iespējām, veicinātu lielāku </w:t>
            </w:r>
            <w:r w:rsidRPr="00BD77CF">
              <w:rPr>
                <w:rFonts w:ascii="Times New Roman" w:hAnsi="Times New Roman" w:cs="Times New Roman"/>
                <w:sz w:val="24"/>
                <w:szCs w:val="24"/>
              </w:rPr>
              <w:lastRenderedPageBreak/>
              <w:t>izpratni par Regulatora darbaspēka un pakalpojumu izmaksu veidošanās principiem.</w:t>
            </w:r>
          </w:p>
        </w:tc>
        <w:tc>
          <w:tcPr>
            <w:tcW w:w="3286" w:type="dxa"/>
            <w:gridSpan w:val="2"/>
            <w:tcBorders>
              <w:top w:val="single" w:sz="4" w:space="0" w:color="auto"/>
              <w:left w:val="single" w:sz="4" w:space="0" w:color="auto"/>
              <w:bottom w:val="single" w:sz="4" w:space="0" w:color="auto"/>
              <w:right w:val="single" w:sz="4" w:space="0" w:color="auto"/>
            </w:tcBorders>
          </w:tcPr>
          <w:p w14:paraId="46882C75" w14:textId="77777777" w:rsidR="00BD77CF" w:rsidRPr="0049470F" w:rsidRDefault="00BD77CF" w:rsidP="00BD77CF">
            <w:pPr>
              <w:pStyle w:val="naisc"/>
              <w:spacing w:before="120" w:after="240"/>
              <w:rPr>
                <w:b/>
              </w:rPr>
            </w:pPr>
            <w:r w:rsidRPr="0049470F">
              <w:rPr>
                <w:b/>
              </w:rPr>
              <w:lastRenderedPageBreak/>
              <w:t>Ņemts vērā</w:t>
            </w:r>
          </w:p>
          <w:p w14:paraId="3DE91F62" w14:textId="77777777" w:rsidR="00BD77CF" w:rsidRPr="00D073C3" w:rsidRDefault="00BD77CF" w:rsidP="00BD77CF">
            <w:pPr>
              <w:pStyle w:val="naisc"/>
              <w:spacing w:before="120" w:after="240"/>
              <w:rPr>
                <w:b/>
              </w:rPr>
            </w:pPr>
          </w:p>
        </w:tc>
        <w:tc>
          <w:tcPr>
            <w:tcW w:w="3235" w:type="dxa"/>
            <w:tcBorders>
              <w:top w:val="single" w:sz="4" w:space="0" w:color="auto"/>
              <w:left w:val="single" w:sz="4" w:space="0" w:color="auto"/>
              <w:bottom w:val="single" w:sz="4" w:space="0" w:color="auto"/>
            </w:tcBorders>
          </w:tcPr>
          <w:p w14:paraId="3365BF41" w14:textId="77777777" w:rsidR="00BD77CF" w:rsidRPr="0049470F" w:rsidRDefault="00BD77CF" w:rsidP="00BD77CF">
            <w:pPr>
              <w:spacing w:after="0" w:line="240" w:lineRule="auto"/>
              <w:jc w:val="both"/>
              <w:rPr>
                <w:rFonts w:ascii="Times New Roman" w:hAnsi="Times New Roman" w:cs="Times New Roman"/>
                <w:sz w:val="24"/>
                <w:szCs w:val="24"/>
              </w:rPr>
            </w:pPr>
          </w:p>
        </w:tc>
      </w:tr>
      <w:tr w:rsidR="00BD77CF" w:rsidRPr="00387DD8" w14:paraId="3B6F607E"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6DF8B72A" w14:textId="6FA57102" w:rsidR="00BD77CF" w:rsidRDefault="00BD77CF" w:rsidP="00BD77CF">
            <w:pPr>
              <w:pStyle w:val="naiskr"/>
              <w:spacing w:before="0" w:after="0"/>
              <w:jc w:val="both"/>
              <w:rPr>
                <w:sz w:val="22"/>
                <w:szCs w:val="22"/>
              </w:rPr>
            </w:pPr>
          </w:p>
          <w:p w14:paraId="7997CB54" w14:textId="77777777" w:rsidR="00BD77CF" w:rsidRPr="00C86283" w:rsidRDefault="00BD77CF" w:rsidP="00BD77CF">
            <w:pPr>
              <w:pStyle w:val="naiskr"/>
              <w:spacing w:before="0" w:after="0"/>
              <w:jc w:val="both"/>
              <w:rPr>
                <w:sz w:val="22"/>
                <w:szCs w:val="22"/>
              </w:rPr>
            </w:pPr>
            <w:r w:rsidRPr="00C86283">
              <w:rPr>
                <w:sz w:val="22"/>
                <w:szCs w:val="22"/>
              </w:rPr>
              <w:t>Atbildīgā amatpersona</w:t>
            </w:r>
          </w:p>
        </w:tc>
        <w:tc>
          <w:tcPr>
            <w:tcW w:w="6354" w:type="dxa"/>
            <w:gridSpan w:val="3"/>
          </w:tcPr>
          <w:p w14:paraId="4F604622" w14:textId="77777777" w:rsidR="00BD77CF" w:rsidRPr="00C86283" w:rsidRDefault="00BD77CF" w:rsidP="00BD77CF">
            <w:pPr>
              <w:pStyle w:val="naiskr"/>
              <w:spacing w:before="0" w:after="0"/>
              <w:ind w:firstLine="720"/>
              <w:jc w:val="both"/>
              <w:rPr>
                <w:sz w:val="22"/>
                <w:szCs w:val="22"/>
              </w:rPr>
            </w:pPr>
            <w:r w:rsidRPr="00C86283">
              <w:rPr>
                <w:sz w:val="22"/>
                <w:szCs w:val="22"/>
              </w:rPr>
              <w:t>  </w:t>
            </w:r>
          </w:p>
        </w:tc>
      </w:tr>
      <w:tr w:rsidR="00BD77CF" w:rsidRPr="00387DD8" w14:paraId="2414A55F"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3AD588F5" w14:textId="77777777" w:rsidR="00BD77CF" w:rsidRPr="00C86283" w:rsidRDefault="00BD77CF" w:rsidP="00BD77CF">
            <w:pPr>
              <w:pStyle w:val="naiskr"/>
              <w:spacing w:before="0" w:after="0"/>
              <w:ind w:firstLine="720"/>
              <w:jc w:val="both"/>
              <w:rPr>
                <w:sz w:val="22"/>
                <w:szCs w:val="22"/>
              </w:rPr>
            </w:pPr>
          </w:p>
        </w:tc>
        <w:tc>
          <w:tcPr>
            <w:tcW w:w="6354" w:type="dxa"/>
            <w:gridSpan w:val="3"/>
            <w:tcBorders>
              <w:top w:val="single" w:sz="6" w:space="0" w:color="000000"/>
            </w:tcBorders>
          </w:tcPr>
          <w:p w14:paraId="2CF3E7E9" w14:textId="77777777" w:rsidR="00BD77CF" w:rsidRPr="00C86283" w:rsidRDefault="00BD77CF" w:rsidP="00BD77CF">
            <w:pPr>
              <w:pStyle w:val="naisc"/>
              <w:spacing w:before="0" w:after="0"/>
              <w:ind w:firstLine="720"/>
              <w:jc w:val="both"/>
              <w:rPr>
                <w:sz w:val="22"/>
                <w:szCs w:val="22"/>
              </w:rPr>
            </w:pPr>
            <w:r w:rsidRPr="00C86283">
              <w:rPr>
                <w:sz w:val="22"/>
                <w:szCs w:val="22"/>
              </w:rPr>
              <w:t>(paraksts)</w:t>
            </w:r>
          </w:p>
        </w:tc>
      </w:tr>
    </w:tbl>
    <w:p w14:paraId="2E0C21A2" w14:textId="77777777" w:rsidR="00770204" w:rsidRDefault="00770204" w:rsidP="007A479E">
      <w:pPr>
        <w:pStyle w:val="naisf"/>
        <w:tabs>
          <w:tab w:val="left" w:pos="-851"/>
        </w:tabs>
        <w:spacing w:before="0" w:after="0"/>
        <w:ind w:left="-851" w:firstLine="0"/>
        <w:rPr>
          <w:sz w:val="22"/>
          <w:szCs w:val="22"/>
        </w:rPr>
      </w:pPr>
    </w:p>
    <w:p w14:paraId="316A0D76" w14:textId="77777777" w:rsidR="00770204" w:rsidRDefault="00770204" w:rsidP="007A479E">
      <w:pPr>
        <w:pStyle w:val="naisf"/>
        <w:tabs>
          <w:tab w:val="left" w:pos="-851"/>
        </w:tabs>
        <w:spacing w:before="0" w:after="0"/>
        <w:ind w:left="-851" w:firstLine="0"/>
        <w:rPr>
          <w:sz w:val="22"/>
          <w:szCs w:val="22"/>
        </w:rPr>
      </w:pPr>
    </w:p>
    <w:p w14:paraId="47F6524E" w14:textId="77777777" w:rsidR="00770204" w:rsidRDefault="00770204" w:rsidP="007A479E">
      <w:pPr>
        <w:pStyle w:val="naisf"/>
        <w:tabs>
          <w:tab w:val="left" w:pos="-851"/>
        </w:tabs>
        <w:spacing w:before="0" w:after="0"/>
        <w:ind w:left="-851" w:firstLine="0"/>
        <w:rPr>
          <w:sz w:val="22"/>
          <w:szCs w:val="22"/>
        </w:rPr>
      </w:pPr>
    </w:p>
    <w:p w14:paraId="4718EB2D" w14:textId="4C933F75" w:rsidR="008F1C84" w:rsidRPr="00C86283" w:rsidRDefault="00CD1A1C" w:rsidP="007A479E">
      <w:pPr>
        <w:pStyle w:val="naisf"/>
        <w:tabs>
          <w:tab w:val="left" w:pos="-851"/>
        </w:tabs>
        <w:spacing w:before="0" w:after="0"/>
        <w:ind w:left="-851" w:firstLine="0"/>
        <w:rPr>
          <w:sz w:val="22"/>
          <w:szCs w:val="22"/>
        </w:rPr>
      </w:pPr>
      <w:r>
        <w:rPr>
          <w:sz w:val="22"/>
          <w:szCs w:val="22"/>
        </w:rPr>
        <w:t>Intars Eglītis</w:t>
      </w:r>
    </w:p>
    <w:p w14:paraId="220309FF" w14:textId="77777777" w:rsidR="008F1C84" w:rsidRPr="00C86283" w:rsidRDefault="008F1C84" w:rsidP="007A479E">
      <w:pPr>
        <w:tabs>
          <w:tab w:val="left" w:pos="-851"/>
        </w:tabs>
        <w:spacing w:after="0" w:line="240" w:lineRule="auto"/>
        <w:ind w:left="-851" w:right="-1828"/>
        <w:jc w:val="both"/>
        <w:rPr>
          <w:rFonts w:ascii="Times New Roman" w:hAnsi="Times New Roman" w:cs="Times New Roman"/>
        </w:rPr>
      </w:pPr>
      <w:r w:rsidRPr="00C86283">
        <w:rPr>
          <w:rFonts w:ascii="Times New Roman" w:hAnsi="Times New Roman" w:cs="Times New Roman"/>
        </w:rPr>
        <w:t xml:space="preserve">Iekšējā tirgus departamenta </w:t>
      </w:r>
      <w:r w:rsidR="00CD1A1C">
        <w:rPr>
          <w:rFonts w:ascii="Times New Roman" w:hAnsi="Times New Roman" w:cs="Times New Roman"/>
        </w:rPr>
        <w:t>direktora vietnieks</w:t>
      </w:r>
    </w:p>
    <w:p w14:paraId="69A33DA5" w14:textId="77777777" w:rsidR="008F1C84" w:rsidRPr="00C86283" w:rsidRDefault="008F1C84" w:rsidP="007A479E">
      <w:pPr>
        <w:pStyle w:val="naisf"/>
        <w:tabs>
          <w:tab w:val="left" w:pos="-851"/>
        </w:tabs>
        <w:spacing w:before="0" w:after="0"/>
        <w:ind w:left="-851" w:firstLine="0"/>
        <w:rPr>
          <w:sz w:val="22"/>
          <w:szCs w:val="22"/>
        </w:rPr>
      </w:pPr>
      <w:r w:rsidRPr="00C86283">
        <w:rPr>
          <w:sz w:val="22"/>
          <w:szCs w:val="22"/>
        </w:rPr>
        <w:t>tālr.: 6701323</w:t>
      </w:r>
      <w:r w:rsidR="00CD1A1C">
        <w:rPr>
          <w:sz w:val="22"/>
          <w:szCs w:val="22"/>
        </w:rPr>
        <w:t>6</w:t>
      </w:r>
      <w:r w:rsidRPr="00C86283">
        <w:rPr>
          <w:sz w:val="22"/>
          <w:szCs w:val="22"/>
        </w:rPr>
        <w:t xml:space="preserve">; Fakss: 67280882, </w:t>
      </w:r>
      <w:hyperlink r:id="rId12" w:history="1">
        <w:r w:rsidR="00CD1A1C" w:rsidRPr="00F3788B">
          <w:rPr>
            <w:rStyle w:val="Hyperlink"/>
            <w:sz w:val="22"/>
            <w:szCs w:val="22"/>
          </w:rPr>
          <w:t>Intars.Eglitis@em.gov.lv</w:t>
        </w:r>
      </w:hyperlink>
    </w:p>
    <w:p w14:paraId="3680E41E" w14:textId="77777777" w:rsidR="008F1C84" w:rsidRPr="00387DD8" w:rsidRDefault="008F1C84" w:rsidP="007A479E">
      <w:pPr>
        <w:pStyle w:val="naisf"/>
        <w:tabs>
          <w:tab w:val="left" w:pos="0"/>
        </w:tabs>
        <w:spacing w:before="0" w:after="0"/>
        <w:ind w:firstLine="0"/>
      </w:pPr>
    </w:p>
    <w:p w14:paraId="09BC3270" w14:textId="682F16ED" w:rsidR="00CD1A1C" w:rsidRDefault="009A1A90" w:rsidP="00CD1A1C">
      <w:pPr>
        <w:pStyle w:val="naisf"/>
        <w:tabs>
          <w:tab w:val="left" w:pos="-851"/>
        </w:tabs>
        <w:spacing w:before="0" w:after="0"/>
        <w:ind w:left="-851" w:firstLine="0"/>
        <w:rPr>
          <w:sz w:val="18"/>
          <w:szCs w:val="18"/>
        </w:rPr>
      </w:pPr>
      <w:r>
        <w:rPr>
          <w:sz w:val="18"/>
          <w:szCs w:val="18"/>
        </w:rPr>
        <w:t>29</w:t>
      </w:r>
      <w:r w:rsidR="00E232BC" w:rsidRPr="00C86283">
        <w:rPr>
          <w:sz w:val="18"/>
          <w:szCs w:val="18"/>
        </w:rPr>
        <w:t>.</w:t>
      </w:r>
      <w:r w:rsidR="00F4041F">
        <w:rPr>
          <w:sz w:val="18"/>
          <w:szCs w:val="18"/>
        </w:rPr>
        <w:t>0</w:t>
      </w:r>
      <w:r w:rsidR="00F36681">
        <w:rPr>
          <w:sz w:val="18"/>
          <w:szCs w:val="18"/>
        </w:rPr>
        <w:t>8</w:t>
      </w:r>
      <w:r w:rsidR="008F1C84" w:rsidRPr="00C86283">
        <w:rPr>
          <w:sz w:val="18"/>
          <w:szCs w:val="18"/>
        </w:rPr>
        <w:t>.201</w:t>
      </w:r>
      <w:r w:rsidR="00F4041F">
        <w:rPr>
          <w:sz w:val="18"/>
          <w:szCs w:val="18"/>
        </w:rPr>
        <w:t>9</w:t>
      </w:r>
      <w:r w:rsidR="008F1C84" w:rsidRPr="00C86283">
        <w:rPr>
          <w:sz w:val="18"/>
          <w:szCs w:val="18"/>
        </w:rPr>
        <w:t xml:space="preserve">. </w:t>
      </w:r>
      <w:r w:rsidR="00973783">
        <w:rPr>
          <w:sz w:val="18"/>
          <w:szCs w:val="18"/>
        </w:rPr>
        <w:t>09</w:t>
      </w:r>
      <w:r w:rsidR="00A02A1F" w:rsidRPr="00C86283">
        <w:rPr>
          <w:sz w:val="18"/>
          <w:szCs w:val="18"/>
        </w:rPr>
        <w:t>:</w:t>
      </w:r>
      <w:r w:rsidR="00973783">
        <w:rPr>
          <w:sz w:val="18"/>
          <w:szCs w:val="18"/>
        </w:rPr>
        <w:t>25</w:t>
      </w:r>
    </w:p>
    <w:p w14:paraId="13E79682" w14:textId="2439D2B0" w:rsidR="00CD1A1C" w:rsidRPr="00CD1A1C" w:rsidRDefault="00CD1A1C" w:rsidP="00CD1A1C">
      <w:pPr>
        <w:pStyle w:val="naisf"/>
        <w:tabs>
          <w:tab w:val="left" w:pos="-851"/>
        </w:tabs>
        <w:spacing w:before="0" w:after="0"/>
        <w:ind w:left="-851" w:firstLine="0"/>
        <w:rPr>
          <w:sz w:val="18"/>
          <w:szCs w:val="18"/>
        </w:rPr>
      </w:pPr>
      <w:r>
        <w:rPr>
          <w:sz w:val="20"/>
        </w:rPr>
        <w:fldChar w:fldCharType="begin"/>
      </w:r>
      <w:r>
        <w:rPr>
          <w:sz w:val="20"/>
        </w:rPr>
        <w:instrText xml:space="preserve"> NUMWORDS   \* MERGEFORMAT </w:instrText>
      </w:r>
      <w:r>
        <w:rPr>
          <w:sz w:val="20"/>
        </w:rPr>
        <w:fldChar w:fldCharType="separate"/>
      </w:r>
      <w:r w:rsidR="009A1A90">
        <w:rPr>
          <w:noProof/>
          <w:sz w:val="20"/>
        </w:rPr>
        <w:t>2896</w:t>
      </w:r>
      <w:r>
        <w:rPr>
          <w:sz w:val="20"/>
        </w:rPr>
        <w:fldChar w:fldCharType="end"/>
      </w:r>
    </w:p>
    <w:p w14:paraId="403C92B4" w14:textId="77777777" w:rsidR="00A02A1F" w:rsidRPr="00C86283" w:rsidRDefault="00BB7E3C" w:rsidP="007A479E">
      <w:pPr>
        <w:pStyle w:val="naisf"/>
        <w:tabs>
          <w:tab w:val="left" w:pos="-851"/>
        </w:tabs>
        <w:spacing w:before="0" w:after="0"/>
        <w:ind w:left="-851" w:firstLine="0"/>
        <w:rPr>
          <w:sz w:val="18"/>
          <w:szCs w:val="18"/>
        </w:rPr>
      </w:pPr>
      <w:r w:rsidRPr="00C86283">
        <w:rPr>
          <w:sz w:val="18"/>
          <w:szCs w:val="18"/>
        </w:rPr>
        <w:t xml:space="preserve">I. Eglītis; </w:t>
      </w:r>
      <w:r w:rsidR="00A02A1F" w:rsidRPr="00C86283">
        <w:rPr>
          <w:sz w:val="18"/>
          <w:szCs w:val="18"/>
        </w:rPr>
        <w:t>6701323</w:t>
      </w:r>
      <w:bookmarkStart w:id="1" w:name="_GoBack"/>
      <w:bookmarkEnd w:id="1"/>
      <w:r w:rsidR="00A02A1F" w:rsidRPr="00C86283">
        <w:rPr>
          <w:sz w:val="18"/>
          <w:szCs w:val="18"/>
        </w:rPr>
        <w:t xml:space="preserve">6; </w:t>
      </w:r>
      <w:hyperlink r:id="rId13" w:history="1">
        <w:r w:rsidR="00A02A1F" w:rsidRPr="00C86283">
          <w:rPr>
            <w:rStyle w:val="Hyperlink"/>
            <w:color w:val="auto"/>
            <w:sz w:val="18"/>
            <w:szCs w:val="18"/>
          </w:rPr>
          <w:t>Intars.Eglitis@em.gov.lv</w:t>
        </w:r>
      </w:hyperlink>
      <w:r w:rsidR="00A02A1F" w:rsidRPr="00C86283">
        <w:rPr>
          <w:sz w:val="18"/>
          <w:szCs w:val="18"/>
        </w:rPr>
        <w:t xml:space="preserve"> </w:t>
      </w:r>
    </w:p>
    <w:sectPr w:rsidR="00A02A1F" w:rsidRPr="00C86283" w:rsidSect="0036150E">
      <w:headerReference w:type="default" r:id="rId14"/>
      <w:footerReference w:type="default" r:id="rId15"/>
      <w:footerReference w:type="first" r:id="rId16"/>
      <w:pgSz w:w="16838" w:h="11906" w:orient="landscape"/>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FB32" w14:textId="77777777" w:rsidR="005D67A8" w:rsidRDefault="005D67A8" w:rsidP="00EE4321">
      <w:pPr>
        <w:spacing w:after="0" w:line="240" w:lineRule="auto"/>
      </w:pPr>
      <w:r>
        <w:separator/>
      </w:r>
    </w:p>
  </w:endnote>
  <w:endnote w:type="continuationSeparator" w:id="0">
    <w:p w14:paraId="07CF4990" w14:textId="77777777" w:rsidR="005D67A8" w:rsidRDefault="005D67A8" w:rsidP="00EE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E5C6" w14:textId="69DAA247" w:rsidR="005D67A8" w:rsidRPr="003717AB" w:rsidRDefault="003717AB" w:rsidP="003717AB">
    <w:pPr>
      <w:pStyle w:val="Footer"/>
    </w:pPr>
    <w:r w:rsidRPr="00882FCD">
      <w:rPr>
        <w:rFonts w:ascii="Times New Roman" w:hAnsi="Times New Roman" w:cs="Times New Roman"/>
        <w:sz w:val="20"/>
        <w:szCs w:val="20"/>
      </w:rPr>
      <w:t>EMIzz_</w:t>
    </w:r>
    <w:r w:rsidR="009A1A90">
      <w:rPr>
        <w:rFonts w:ascii="Times New Roman" w:hAnsi="Times New Roman" w:cs="Times New Roman"/>
        <w:sz w:val="20"/>
        <w:szCs w:val="20"/>
      </w:rPr>
      <w:t>29</w:t>
    </w:r>
    <w:r w:rsidR="00A1190E">
      <w:rPr>
        <w:rFonts w:ascii="Times New Roman" w:hAnsi="Times New Roman" w:cs="Times New Roman"/>
        <w:sz w:val="20"/>
        <w:szCs w:val="20"/>
      </w:rPr>
      <w:t>08</w:t>
    </w:r>
    <w:r>
      <w:rPr>
        <w:rFonts w:ascii="Times New Roman" w:hAnsi="Times New Roman" w:cs="Times New Roman"/>
        <w:sz w:val="20"/>
        <w:szCs w:val="20"/>
      </w:rPr>
      <w:t>19</w:t>
    </w:r>
    <w:r w:rsidRPr="00882FCD">
      <w:rPr>
        <w:rFonts w:ascii="Times New Roman" w:hAnsi="Times New Roman" w:cs="Times New Roman"/>
        <w:sz w:val="20"/>
        <w:szCs w:val="20"/>
      </w:rPr>
      <w:t>_</w:t>
    </w:r>
    <w:r>
      <w:rPr>
        <w:rFonts w:ascii="Times New Roman" w:hAnsi="Times New Roman" w:cs="Times New Roman"/>
        <w:sz w:val="20"/>
        <w:szCs w:val="20"/>
      </w:rPr>
      <w:t xml:space="preserve">KP </w:t>
    </w:r>
    <w:proofErr w:type="spellStart"/>
    <w:r>
      <w:rPr>
        <w:rFonts w:ascii="Times New Roman" w:hAnsi="Times New Roman" w:cs="Times New Roman"/>
        <w:sz w:val="20"/>
        <w:szCs w:val="20"/>
      </w:rPr>
      <w:t>finansialas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neatkaribas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stiprinasana</w:t>
    </w:r>
    <w:proofErr w:type="spellEnd"/>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 xml:space="preserve">Izziņa par atzinumos sniegtajiem iebildumiem par </w:t>
    </w:r>
    <w:r>
      <w:rPr>
        <w:rFonts w:ascii="Times New Roman" w:hAnsi="Times New Roman" w:cs="Times New Roman"/>
        <w:color w:val="000000" w:themeColor="text1"/>
        <w:sz w:val="20"/>
        <w:szCs w:val="20"/>
      </w:rPr>
      <w:t xml:space="preserve">informatīvo ziņojumu </w:t>
    </w:r>
    <w:r w:rsidRPr="00882FCD">
      <w:rPr>
        <w:rFonts w:ascii="Times New Roman" w:hAnsi="Times New Roman" w:cs="Times New Roman"/>
        <w:color w:val="000000" w:themeColor="text1"/>
        <w:sz w:val="20"/>
        <w:szCs w:val="20"/>
      </w:rPr>
      <w:t>“</w:t>
    </w:r>
    <w:r w:rsidRPr="003717AB">
      <w:rPr>
        <w:rFonts w:ascii="Times New Roman" w:hAnsi="Times New Roman" w:cs="Times New Roman"/>
        <w:color w:val="000000" w:themeColor="text1"/>
        <w:sz w:val="20"/>
        <w:szCs w:val="20"/>
      </w:rPr>
      <w:t xml:space="preserve">Par vienotas konkurences un regulācijas iestādes izveides iespējām”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5A3A" w14:textId="0D963EC5" w:rsidR="005D67A8" w:rsidRPr="003717AB" w:rsidRDefault="005D67A8">
    <w:pPr>
      <w:pStyle w:val="Footer"/>
      <w:rPr>
        <w:rFonts w:ascii="Times New Roman" w:hAnsi="Times New Roman" w:cs="Times New Roman"/>
        <w:color w:val="000000" w:themeColor="text1"/>
        <w:sz w:val="20"/>
        <w:szCs w:val="20"/>
      </w:rPr>
    </w:pPr>
    <w:r w:rsidRPr="00882FCD">
      <w:rPr>
        <w:rFonts w:ascii="Times New Roman" w:hAnsi="Times New Roman" w:cs="Times New Roman"/>
        <w:sz w:val="20"/>
        <w:szCs w:val="20"/>
      </w:rPr>
      <w:t>EMIzz_</w:t>
    </w:r>
    <w:r w:rsidR="009A1A90">
      <w:rPr>
        <w:rFonts w:ascii="Times New Roman" w:hAnsi="Times New Roman" w:cs="Times New Roman"/>
        <w:sz w:val="20"/>
        <w:szCs w:val="20"/>
      </w:rPr>
      <w:t>29</w:t>
    </w:r>
    <w:r w:rsidR="00A1190E">
      <w:rPr>
        <w:rFonts w:ascii="Times New Roman" w:hAnsi="Times New Roman" w:cs="Times New Roman"/>
        <w:sz w:val="20"/>
        <w:szCs w:val="20"/>
      </w:rPr>
      <w:t>08</w:t>
    </w:r>
    <w:r w:rsidR="003717AB">
      <w:rPr>
        <w:rFonts w:ascii="Times New Roman" w:hAnsi="Times New Roman" w:cs="Times New Roman"/>
        <w:sz w:val="20"/>
        <w:szCs w:val="20"/>
      </w:rPr>
      <w:t>19</w:t>
    </w:r>
    <w:r w:rsidRPr="00882FCD">
      <w:rPr>
        <w:rFonts w:ascii="Times New Roman" w:hAnsi="Times New Roman" w:cs="Times New Roman"/>
        <w:sz w:val="20"/>
        <w:szCs w:val="20"/>
      </w:rPr>
      <w:t>_</w:t>
    </w:r>
    <w:r w:rsidR="003717AB">
      <w:rPr>
        <w:rFonts w:ascii="Times New Roman" w:hAnsi="Times New Roman" w:cs="Times New Roman"/>
        <w:sz w:val="20"/>
        <w:szCs w:val="20"/>
      </w:rPr>
      <w:t xml:space="preserve">KP </w:t>
    </w:r>
    <w:proofErr w:type="spellStart"/>
    <w:r w:rsidR="003717AB">
      <w:rPr>
        <w:rFonts w:ascii="Times New Roman" w:hAnsi="Times New Roman" w:cs="Times New Roman"/>
        <w:sz w:val="20"/>
        <w:szCs w:val="20"/>
      </w:rPr>
      <w:t>finansialas</w:t>
    </w:r>
    <w:proofErr w:type="spellEnd"/>
    <w:r w:rsidR="003717AB">
      <w:rPr>
        <w:rFonts w:ascii="Times New Roman" w:hAnsi="Times New Roman" w:cs="Times New Roman"/>
        <w:sz w:val="20"/>
        <w:szCs w:val="20"/>
      </w:rPr>
      <w:t xml:space="preserve"> </w:t>
    </w:r>
    <w:proofErr w:type="spellStart"/>
    <w:r w:rsidR="003717AB">
      <w:rPr>
        <w:rFonts w:ascii="Times New Roman" w:hAnsi="Times New Roman" w:cs="Times New Roman"/>
        <w:sz w:val="20"/>
        <w:szCs w:val="20"/>
      </w:rPr>
      <w:t>neatkaribas</w:t>
    </w:r>
    <w:proofErr w:type="spellEnd"/>
    <w:r w:rsidR="003717AB">
      <w:rPr>
        <w:rFonts w:ascii="Times New Roman" w:hAnsi="Times New Roman" w:cs="Times New Roman"/>
        <w:sz w:val="20"/>
        <w:szCs w:val="20"/>
      </w:rPr>
      <w:t xml:space="preserve"> </w:t>
    </w:r>
    <w:proofErr w:type="spellStart"/>
    <w:r w:rsidR="003717AB">
      <w:rPr>
        <w:rFonts w:ascii="Times New Roman" w:hAnsi="Times New Roman" w:cs="Times New Roman"/>
        <w:sz w:val="20"/>
        <w:szCs w:val="20"/>
      </w:rPr>
      <w:t>stiprinasana</w:t>
    </w:r>
    <w:proofErr w:type="spellEnd"/>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 xml:space="preserve">Izziņa par atzinumos sniegtajiem iebildumiem par </w:t>
    </w:r>
    <w:r>
      <w:rPr>
        <w:rFonts w:ascii="Times New Roman" w:hAnsi="Times New Roman" w:cs="Times New Roman"/>
        <w:color w:val="000000" w:themeColor="text1"/>
        <w:sz w:val="20"/>
        <w:szCs w:val="20"/>
      </w:rPr>
      <w:t xml:space="preserve">informatīvo ziņojumu </w:t>
    </w:r>
    <w:r w:rsidRPr="00882FCD">
      <w:rPr>
        <w:rFonts w:ascii="Times New Roman" w:hAnsi="Times New Roman" w:cs="Times New Roman"/>
        <w:color w:val="000000" w:themeColor="text1"/>
        <w:sz w:val="20"/>
        <w:szCs w:val="20"/>
      </w:rPr>
      <w:t>“</w:t>
    </w:r>
    <w:r w:rsidR="003717AB" w:rsidRPr="003717AB">
      <w:rPr>
        <w:rFonts w:ascii="Times New Roman" w:hAnsi="Times New Roman" w:cs="Times New Roman"/>
        <w:color w:val="000000" w:themeColor="text1"/>
        <w:sz w:val="20"/>
        <w:szCs w:val="20"/>
      </w:rPr>
      <w:t>Par vienotas konkurences un regulācijas iestādes izveides iespējām</w:t>
    </w:r>
    <w:r w:rsidRPr="003717AB">
      <w:rPr>
        <w:rFonts w:ascii="Times New Roman" w:hAnsi="Times New Roman" w:cs="Times New Roman"/>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9BBF3" w14:textId="77777777" w:rsidR="005D67A8" w:rsidRDefault="005D67A8" w:rsidP="00EE4321">
      <w:pPr>
        <w:spacing w:after="0" w:line="240" w:lineRule="auto"/>
      </w:pPr>
      <w:r>
        <w:separator/>
      </w:r>
    </w:p>
  </w:footnote>
  <w:footnote w:type="continuationSeparator" w:id="0">
    <w:p w14:paraId="34AE3F55" w14:textId="77777777" w:rsidR="005D67A8" w:rsidRDefault="005D67A8" w:rsidP="00EE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02165"/>
      <w:docPartObj>
        <w:docPartGallery w:val="Page Numbers (Top of Page)"/>
        <w:docPartUnique/>
      </w:docPartObj>
    </w:sdtPr>
    <w:sdtEndPr>
      <w:rPr>
        <w:rFonts w:ascii="Times New Roman" w:hAnsi="Times New Roman" w:cs="Times New Roman"/>
        <w:noProof/>
        <w:sz w:val="24"/>
        <w:szCs w:val="24"/>
      </w:rPr>
    </w:sdtEndPr>
    <w:sdtContent>
      <w:p w14:paraId="2DCE5E91" w14:textId="77777777" w:rsidR="005D67A8" w:rsidRPr="001D3FFE" w:rsidRDefault="005D67A8">
        <w:pPr>
          <w:pStyle w:val="Header"/>
          <w:jc w:val="center"/>
          <w:rPr>
            <w:rFonts w:ascii="Times New Roman" w:hAnsi="Times New Roman" w:cs="Times New Roman"/>
            <w:sz w:val="24"/>
            <w:szCs w:val="24"/>
          </w:rPr>
        </w:pPr>
        <w:r w:rsidRPr="001D3FFE">
          <w:rPr>
            <w:rFonts w:ascii="Times New Roman" w:hAnsi="Times New Roman" w:cs="Times New Roman"/>
            <w:sz w:val="24"/>
            <w:szCs w:val="24"/>
          </w:rPr>
          <w:fldChar w:fldCharType="begin"/>
        </w:r>
        <w:r w:rsidRPr="001D3FFE">
          <w:rPr>
            <w:rFonts w:ascii="Times New Roman" w:hAnsi="Times New Roman" w:cs="Times New Roman"/>
            <w:sz w:val="24"/>
            <w:szCs w:val="24"/>
          </w:rPr>
          <w:instrText xml:space="preserve"> PAGE   \* MERGEFORMAT </w:instrText>
        </w:r>
        <w:r w:rsidRPr="001D3F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1D3FFE">
          <w:rPr>
            <w:rFonts w:ascii="Times New Roman" w:hAnsi="Times New Roman" w:cs="Times New Roman"/>
            <w:noProof/>
            <w:sz w:val="24"/>
            <w:szCs w:val="24"/>
          </w:rPr>
          <w:fldChar w:fldCharType="end"/>
        </w:r>
      </w:p>
    </w:sdtContent>
  </w:sdt>
  <w:p w14:paraId="610EA934" w14:textId="77777777" w:rsidR="005D67A8" w:rsidRDefault="005D6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63A"/>
    <w:multiLevelType w:val="hybridMultilevel"/>
    <w:tmpl w:val="123830F8"/>
    <w:lvl w:ilvl="0" w:tplc="891ECE18">
      <w:start w:val="1"/>
      <w:numFmt w:val="upperLetter"/>
      <w:lvlText w:val="%1."/>
      <w:lvlJc w:val="left"/>
      <w:pPr>
        <w:ind w:left="-491" w:hanging="360"/>
      </w:pPr>
      <w:rPr>
        <w:rFonts w:hint="default"/>
      </w:rPr>
    </w:lvl>
    <w:lvl w:ilvl="1" w:tplc="04260019" w:tentative="1">
      <w:start w:val="1"/>
      <w:numFmt w:val="lowerLetter"/>
      <w:lvlText w:val="%2."/>
      <w:lvlJc w:val="left"/>
      <w:pPr>
        <w:ind w:left="229" w:hanging="360"/>
      </w:pPr>
    </w:lvl>
    <w:lvl w:ilvl="2" w:tplc="0426001B" w:tentative="1">
      <w:start w:val="1"/>
      <w:numFmt w:val="lowerRoman"/>
      <w:lvlText w:val="%3."/>
      <w:lvlJc w:val="right"/>
      <w:pPr>
        <w:ind w:left="949" w:hanging="180"/>
      </w:pPr>
    </w:lvl>
    <w:lvl w:ilvl="3" w:tplc="0426000F" w:tentative="1">
      <w:start w:val="1"/>
      <w:numFmt w:val="decimal"/>
      <w:lvlText w:val="%4."/>
      <w:lvlJc w:val="left"/>
      <w:pPr>
        <w:ind w:left="1669" w:hanging="360"/>
      </w:pPr>
    </w:lvl>
    <w:lvl w:ilvl="4" w:tplc="04260019" w:tentative="1">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abstractNum w:abstractNumId="1" w15:restartNumberingAfterBreak="0">
    <w:nsid w:val="07294FBB"/>
    <w:multiLevelType w:val="hybridMultilevel"/>
    <w:tmpl w:val="0946382E"/>
    <w:lvl w:ilvl="0" w:tplc="E9CCD086">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2" w15:restartNumberingAfterBreak="0">
    <w:nsid w:val="07A856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7DD4E14"/>
    <w:multiLevelType w:val="hybridMultilevel"/>
    <w:tmpl w:val="22F446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3849B7"/>
    <w:multiLevelType w:val="hybridMultilevel"/>
    <w:tmpl w:val="03565800"/>
    <w:lvl w:ilvl="0" w:tplc="C0C2744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EF027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F815518"/>
    <w:multiLevelType w:val="hybridMultilevel"/>
    <w:tmpl w:val="99A02F46"/>
    <w:lvl w:ilvl="0" w:tplc="643227E4">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7A088B"/>
    <w:multiLevelType w:val="hybridMultilevel"/>
    <w:tmpl w:val="F2429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7764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2C636D4"/>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1" w15:restartNumberingAfterBreak="0">
    <w:nsid w:val="2646147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F726BC8"/>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47CD5"/>
    <w:multiLevelType w:val="multilevel"/>
    <w:tmpl w:val="A4EE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301ED7"/>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3F87DB0"/>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6FD58CE"/>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706120E"/>
    <w:multiLevelType w:val="hybridMultilevel"/>
    <w:tmpl w:val="3334A134"/>
    <w:lvl w:ilvl="0" w:tplc="4E74262E">
      <w:start w:val="1"/>
      <w:numFmt w:val="decimal"/>
      <w:lvlText w:val="%1."/>
      <w:lvlJc w:val="left"/>
      <w:pPr>
        <w:ind w:left="2400" w:hanging="9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6A095B"/>
    <w:multiLevelType w:val="hybridMultilevel"/>
    <w:tmpl w:val="DC8438EE"/>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8B2C43"/>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C803BA3"/>
    <w:multiLevelType w:val="hybridMultilevel"/>
    <w:tmpl w:val="710C5148"/>
    <w:lvl w:ilvl="0" w:tplc="B998A628">
      <w:start w:val="1"/>
      <w:numFmt w:val="lowerLetter"/>
      <w:lvlText w:val="%1)"/>
      <w:lvlJc w:val="left"/>
      <w:pPr>
        <w:ind w:left="-351" w:hanging="360"/>
      </w:pPr>
      <w:rPr>
        <w:rFonts w:ascii="Times New Roman" w:eastAsia="Calibri" w:hAnsi="Times New Roman" w:cs="Times New Roman"/>
      </w:rPr>
    </w:lvl>
    <w:lvl w:ilvl="1" w:tplc="04260003" w:tentative="1">
      <w:start w:val="1"/>
      <w:numFmt w:val="bullet"/>
      <w:lvlText w:val="o"/>
      <w:lvlJc w:val="left"/>
      <w:pPr>
        <w:ind w:left="369" w:hanging="360"/>
      </w:pPr>
      <w:rPr>
        <w:rFonts w:ascii="Courier New" w:hAnsi="Courier New" w:cs="Courier New" w:hint="default"/>
      </w:rPr>
    </w:lvl>
    <w:lvl w:ilvl="2" w:tplc="04260005" w:tentative="1">
      <w:start w:val="1"/>
      <w:numFmt w:val="bullet"/>
      <w:lvlText w:val=""/>
      <w:lvlJc w:val="left"/>
      <w:pPr>
        <w:ind w:left="1089" w:hanging="360"/>
      </w:pPr>
      <w:rPr>
        <w:rFonts w:ascii="Wingdings" w:hAnsi="Wingdings" w:hint="default"/>
      </w:rPr>
    </w:lvl>
    <w:lvl w:ilvl="3" w:tplc="04260001" w:tentative="1">
      <w:start w:val="1"/>
      <w:numFmt w:val="bullet"/>
      <w:lvlText w:val=""/>
      <w:lvlJc w:val="left"/>
      <w:pPr>
        <w:ind w:left="1809" w:hanging="360"/>
      </w:pPr>
      <w:rPr>
        <w:rFonts w:ascii="Symbol" w:hAnsi="Symbol" w:hint="default"/>
      </w:rPr>
    </w:lvl>
    <w:lvl w:ilvl="4" w:tplc="04260003" w:tentative="1">
      <w:start w:val="1"/>
      <w:numFmt w:val="bullet"/>
      <w:lvlText w:val="o"/>
      <w:lvlJc w:val="left"/>
      <w:pPr>
        <w:ind w:left="2529" w:hanging="360"/>
      </w:pPr>
      <w:rPr>
        <w:rFonts w:ascii="Courier New" w:hAnsi="Courier New" w:cs="Courier New" w:hint="default"/>
      </w:rPr>
    </w:lvl>
    <w:lvl w:ilvl="5" w:tplc="04260005" w:tentative="1">
      <w:start w:val="1"/>
      <w:numFmt w:val="bullet"/>
      <w:lvlText w:val=""/>
      <w:lvlJc w:val="left"/>
      <w:pPr>
        <w:ind w:left="3249" w:hanging="360"/>
      </w:pPr>
      <w:rPr>
        <w:rFonts w:ascii="Wingdings" w:hAnsi="Wingdings" w:hint="default"/>
      </w:rPr>
    </w:lvl>
    <w:lvl w:ilvl="6" w:tplc="04260001" w:tentative="1">
      <w:start w:val="1"/>
      <w:numFmt w:val="bullet"/>
      <w:lvlText w:val=""/>
      <w:lvlJc w:val="left"/>
      <w:pPr>
        <w:ind w:left="3969" w:hanging="360"/>
      </w:pPr>
      <w:rPr>
        <w:rFonts w:ascii="Symbol" w:hAnsi="Symbol" w:hint="default"/>
      </w:rPr>
    </w:lvl>
    <w:lvl w:ilvl="7" w:tplc="04260003" w:tentative="1">
      <w:start w:val="1"/>
      <w:numFmt w:val="bullet"/>
      <w:lvlText w:val="o"/>
      <w:lvlJc w:val="left"/>
      <w:pPr>
        <w:ind w:left="4689" w:hanging="360"/>
      </w:pPr>
      <w:rPr>
        <w:rFonts w:ascii="Courier New" w:hAnsi="Courier New" w:cs="Courier New" w:hint="default"/>
      </w:rPr>
    </w:lvl>
    <w:lvl w:ilvl="8" w:tplc="04260005" w:tentative="1">
      <w:start w:val="1"/>
      <w:numFmt w:val="bullet"/>
      <w:lvlText w:val=""/>
      <w:lvlJc w:val="left"/>
      <w:pPr>
        <w:ind w:left="5409" w:hanging="360"/>
      </w:pPr>
      <w:rPr>
        <w:rFonts w:ascii="Wingdings" w:hAnsi="Wingdings" w:hint="default"/>
      </w:rPr>
    </w:lvl>
  </w:abstractNum>
  <w:abstractNum w:abstractNumId="21" w15:restartNumberingAfterBreak="0">
    <w:nsid w:val="3CDA3F71"/>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34737BC"/>
    <w:multiLevelType w:val="hybridMultilevel"/>
    <w:tmpl w:val="B1F0D900"/>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39C6D8A"/>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47555890"/>
    <w:multiLevelType w:val="hybridMultilevel"/>
    <w:tmpl w:val="C93C9BFE"/>
    <w:lvl w:ilvl="0" w:tplc="D31ECB2E">
      <w:start w:val="1"/>
      <w:numFmt w:val="decimal"/>
      <w:lvlText w:val="%1."/>
      <w:lvlJc w:val="left"/>
      <w:pPr>
        <w:ind w:left="720" w:hanging="360"/>
      </w:pPr>
      <w:rPr>
        <w:rFonts w:hint="default"/>
        <w:b w:val="0"/>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C215F"/>
    <w:multiLevelType w:val="hybridMultilevel"/>
    <w:tmpl w:val="03B825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53EF46AE"/>
    <w:multiLevelType w:val="hybridMultilevel"/>
    <w:tmpl w:val="16AE784E"/>
    <w:lvl w:ilvl="0" w:tplc="3D64853E">
      <w:start w:val="1"/>
      <w:numFmt w:val="decimal"/>
      <w:lvlText w:val="%1."/>
      <w:lvlJc w:val="left"/>
      <w:pPr>
        <w:ind w:left="720" w:hanging="360"/>
      </w:pPr>
      <w:rPr>
        <w:rFonts w:ascii="Times New Roman" w:eastAsia="Times New Roman" w:hAnsi="Times New Roman" w:cs="Times New Roman"/>
      </w:rPr>
    </w:lvl>
    <w:lvl w:ilvl="1" w:tplc="392463EA">
      <w:start w:val="1"/>
      <w:numFmt w:val="lowerLetter"/>
      <w:lvlText w:val="%2."/>
      <w:lvlJc w:val="left"/>
      <w:pPr>
        <w:ind w:left="1440" w:hanging="360"/>
      </w:pPr>
    </w:lvl>
    <w:lvl w:ilvl="2" w:tplc="7FC62D0A">
      <w:start w:val="1"/>
      <w:numFmt w:val="lowerRoman"/>
      <w:lvlText w:val="%3."/>
      <w:lvlJc w:val="right"/>
      <w:pPr>
        <w:ind w:left="2160" w:hanging="180"/>
      </w:pPr>
    </w:lvl>
    <w:lvl w:ilvl="3" w:tplc="3C8C3748">
      <w:start w:val="1"/>
      <w:numFmt w:val="decimal"/>
      <w:lvlText w:val="%4."/>
      <w:lvlJc w:val="left"/>
      <w:pPr>
        <w:ind w:left="2880" w:hanging="360"/>
      </w:pPr>
    </w:lvl>
    <w:lvl w:ilvl="4" w:tplc="30243A9A" w:tentative="1">
      <w:start w:val="1"/>
      <w:numFmt w:val="lowerLetter"/>
      <w:lvlText w:val="%5."/>
      <w:lvlJc w:val="left"/>
      <w:pPr>
        <w:ind w:left="3600" w:hanging="360"/>
      </w:pPr>
    </w:lvl>
    <w:lvl w:ilvl="5" w:tplc="8E9454BC" w:tentative="1">
      <w:start w:val="1"/>
      <w:numFmt w:val="lowerRoman"/>
      <w:lvlText w:val="%6."/>
      <w:lvlJc w:val="right"/>
      <w:pPr>
        <w:ind w:left="4320" w:hanging="180"/>
      </w:pPr>
    </w:lvl>
    <w:lvl w:ilvl="6" w:tplc="2FBCCE80" w:tentative="1">
      <w:start w:val="1"/>
      <w:numFmt w:val="decimal"/>
      <w:lvlText w:val="%7."/>
      <w:lvlJc w:val="left"/>
      <w:pPr>
        <w:ind w:left="5040" w:hanging="360"/>
      </w:pPr>
    </w:lvl>
    <w:lvl w:ilvl="7" w:tplc="B2B087C0" w:tentative="1">
      <w:start w:val="1"/>
      <w:numFmt w:val="lowerLetter"/>
      <w:lvlText w:val="%8."/>
      <w:lvlJc w:val="left"/>
      <w:pPr>
        <w:ind w:left="5760" w:hanging="360"/>
      </w:pPr>
    </w:lvl>
    <w:lvl w:ilvl="8" w:tplc="6E7630F8" w:tentative="1">
      <w:start w:val="1"/>
      <w:numFmt w:val="lowerRoman"/>
      <w:lvlText w:val="%9."/>
      <w:lvlJc w:val="right"/>
      <w:pPr>
        <w:ind w:left="6480" w:hanging="180"/>
      </w:pPr>
    </w:lvl>
  </w:abstractNum>
  <w:abstractNum w:abstractNumId="27" w15:restartNumberingAfterBreak="0">
    <w:nsid w:val="55265AC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55E14DB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5C9F0A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60FC0065"/>
    <w:multiLevelType w:val="hybridMultilevel"/>
    <w:tmpl w:val="F214B488"/>
    <w:lvl w:ilvl="0" w:tplc="78B06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4D6880"/>
    <w:multiLevelType w:val="hybridMultilevel"/>
    <w:tmpl w:val="54AE176A"/>
    <w:lvl w:ilvl="0" w:tplc="0409000B">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2" w15:restartNumberingAfterBreak="0">
    <w:nsid w:val="639E7E2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66AA42CA"/>
    <w:multiLevelType w:val="hybridMultilevel"/>
    <w:tmpl w:val="EC9A830C"/>
    <w:lvl w:ilvl="0" w:tplc="73E489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674D5296"/>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5" w15:restartNumberingAfterBreak="0">
    <w:nsid w:val="6961020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6"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CED0A40"/>
    <w:multiLevelType w:val="hybridMultilevel"/>
    <w:tmpl w:val="E1FC1822"/>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3F37DB7"/>
    <w:multiLevelType w:val="hybridMultilevel"/>
    <w:tmpl w:val="8A984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677A0D"/>
    <w:multiLevelType w:val="hybridMultilevel"/>
    <w:tmpl w:val="4194229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0" w15:restartNumberingAfterBreak="0">
    <w:nsid w:val="777F1D95"/>
    <w:multiLevelType w:val="hybridMultilevel"/>
    <w:tmpl w:val="32649BAC"/>
    <w:lvl w:ilvl="0" w:tplc="E9CCD08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8F478FC"/>
    <w:multiLevelType w:val="hybridMultilevel"/>
    <w:tmpl w:val="619C0C90"/>
    <w:lvl w:ilvl="0" w:tplc="0409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21"/>
  </w:num>
  <w:num w:numId="4">
    <w:abstractNumId w:val="29"/>
  </w:num>
  <w:num w:numId="5">
    <w:abstractNumId w:val="16"/>
  </w:num>
  <w:num w:numId="6">
    <w:abstractNumId w:val="27"/>
  </w:num>
  <w:num w:numId="7">
    <w:abstractNumId w:val="35"/>
  </w:num>
  <w:num w:numId="8">
    <w:abstractNumId w:val="5"/>
  </w:num>
  <w:num w:numId="9">
    <w:abstractNumId w:val="2"/>
  </w:num>
  <w:num w:numId="10">
    <w:abstractNumId w:val="19"/>
  </w:num>
  <w:num w:numId="11">
    <w:abstractNumId w:val="15"/>
  </w:num>
  <w:num w:numId="12">
    <w:abstractNumId w:val="28"/>
  </w:num>
  <w:num w:numId="13">
    <w:abstractNumId w:val="32"/>
  </w:num>
  <w:num w:numId="14">
    <w:abstractNumId w:val="17"/>
  </w:num>
  <w:num w:numId="15">
    <w:abstractNumId w:val="33"/>
  </w:num>
  <w:num w:numId="16">
    <w:abstractNumId w:val="7"/>
  </w:num>
  <w:num w:numId="17">
    <w:abstractNumId w:val="8"/>
  </w:num>
  <w:num w:numId="18">
    <w:abstractNumId w:val="11"/>
  </w:num>
  <w:num w:numId="19">
    <w:abstractNumId w:val="12"/>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0"/>
  </w:num>
  <w:num w:numId="24">
    <w:abstractNumId w:val="24"/>
  </w:num>
  <w:num w:numId="25">
    <w:abstractNumId w:val="4"/>
  </w:num>
  <w:num w:numId="26">
    <w:abstractNumId w:val="31"/>
  </w:num>
  <w:num w:numId="27">
    <w:abstractNumId w:val="41"/>
  </w:num>
  <w:num w:numId="28">
    <w:abstractNumId w:val="22"/>
  </w:num>
  <w:num w:numId="29">
    <w:abstractNumId w:val="37"/>
  </w:num>
  <w:num w:numId="30">
    <w:abstractNumId w:val="18"/>
  </w:num>
  <w:num w:numId="31">
    <w:abstractNumId w:val="1"/>
  </w:num>
  <w:num w:numId="32">
    <w:abstractNumId w:val="26"/>
  </w:num>
  <w:num w:numId="33">
    <w:abstractNumId w:val="20"/>
  </w:num>
  <w:num w:numId="34">
    <w:abstractNumId w:val="40"/>
  </w:num>
  <w:num w:numId="35">
    <w:abstractNumId w:val="6"/>
  </w:num>
  <w:num w:numId="36">
    <w:abstractNumId w:val="13"/>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84"/>
    <w:rsid w:val="000007BD"/>
    <w:rsid w:val="000055AE"/>
    <w:rsid w:val="00007BC2"/>
    <w:rsid w:val="00010F6D"/>
    <w:rsid w:val="0001103B"/>
    <w:rsid w:val="00012ED9"/>
    <w:rsid w:val="000218B7"/>
    <w:rsid w:val="00025091"/>
    <w:rsid w:val="000341A0"/>
    <w:rsid w:val="00050A11"/>
    <w:rsid w:val="00053392"/>
    <w:rsid w:val="00060A9B"/>
    <w:rsid w:val="0006500B"/>
    <w:rsid w:val="00066268"/>
    <w:rsid w:val="00072A38"/>
    <w:rsid w:val="0008279D"/>
    <w:rsid w:val="000A4197"/>
    <w:rsid w:val="000A694E"/>
    <w:rsid w:val="000A78D8"/>
    <w:rsid w:val="000B4E86"/>
    <w:rsid w:val="000B6D82"/>
    <w:rsid w:val="000C108D"/>
    <w:rsid w:val="000C135B"/>
    <w:rsid w:val="000C2941"/>
    <w:rsid w:val="000C69DF"/>
    <w:rsid w:val="000D1CD3"/>
    <w:rsid w:val="000E0CED"/>
    <w:rsid w:val="000E3D57"/>
    <w:rsid w:val="000E7AD3"/>
    <w:rsid w:val="000F02FF"/>
    <w:rsid w:val="000F488E"/>
    <w:rsid w:val="001019A5"/>
    <w:rsid w:val="00105F47"/>
    <w:rsid w:val="001072FA"/>
    <w:rsid w:val="00113482"/>
    <w:rsid w:val="001155A9"/>
    <w:rsid w:val="00127BD8"/>
    <w:rsid w:val="001400FA"/>
    <w:rsid w:val="00142A66"/>
    <w:rsid w:val="00155183"/>
    <w:rsid w:val="00156A67"/>
    <w:rsid w:val="001619F3"/>
    <w:rsid w:val="001641A4"/>
    <w:rsid w:val="0017495F"/>
    <w:rsid w:val="001A6177"/>
    <w:rsid w:val="001B127A"/>
    <w:rsid w:val="001C6727"/>
    <w:rsid w:val="001C69ED"/>
    <w:rsid w:val="001C7550"/>
    <w:rsid w:val="001D3FFE"/>
    <w:rsid w:val="001F4837"/>
    <w:rsid w:val="001F512F"/>
    <w:rsid w:val="002005C4"/>
    <w:rsid w:val="00200E5F"/>
    <w:rsid w:val="002044F3"/>
    <w:rsid w:val="00205358"/>
    <w:rsid w:val="00205DDB"/>
    <w:rsid w:val="00223E85"/>
    <w:rsid w:val="002379C9"/>
    <w:rsid w:val="0024112B"/>
    <w:rsid w:val="00242033"/>
    <w:rsid w:val="002523F5"/>
    <w:rsid w:val="0026001B"/>
    <w:rsid w:val="00263C8B"/>
    <w:rsid w:val="00266014"/>
    <w:rsid w:val="00276BFE"/>
    <w:rsid w:val="00287453"/>
    <w:rsid w:val="00290FAD"/>
    <w:rsid w:val="00293430"/>
    <w:rsid w:val="002A05D6"/>
    <w:rsid w:val="002A289B"/>
    <w:rsid w:val="002A2B48"/>
    <w:rsid w:val="002A3AF5"/>
    <w:rsid w:val="002A7ADA"/>
    <w:rsid w:val="002B6AF3"/>
    <w:rsid w:val="002C0FC6"/>
    <w:rsid w:val="002C4799"/>
    <w:rsid w:val="002C7360"/>
    <w:rsid w:val="002D158B"/>
    <w:rsid w:val="002D656E"/>
    <w:rsid w:val="002D7A16"/>
    <w:rsid w:val="002E1301"/>
    <w:rsid w:val="002E2C94"/>
    <w:rsid w:val="002F02A1"/>
    <w:rsid w:val="002F518F"/>
    <w:rsid w:val="002F6EE7"/>
    <w:rsid w:val="0030604D"/>
    <w:rsid w:val="0031215A"/>
    <w:rsid w:val="00314802"/>
    <w:rsid w:val="00316605"/>
    <w:rsid w:val="0032028D"/>
    <w:rsid w:val="00320F81"/>
    <w:rsid w:val="0032126A"/>
    <w:rsid w:val="00324A65"/>
    <w:rsid w:val="003302E9"/>
    <w:rsid w:val="00331366"/>
    <w:rsid w:val="00340D45"/>
    <w:rsid w:val="00344A4E"/>
    <w:rsid w:val="00350A4F"/>
    <w:rsid w:val="00360BC4"/>
    <w:rsid w:val="0036150E"/>
    <w:rsid w:val="003717AB"/>
    <w:rsid w:val="00375873"/>
    <w:rsid w:val="00375B83"/>
    <w:rsid w:val="0037777C"/>
    <w:rsid w:val="003815AF"/>
    <w:rsid w:val="003827BC"/>
    <w:rsid w:val="00387DD8"/>
    <w:rsid w:val="003A2997"/>
    <w:rsid w:val="003A58DC"/>
    <w:rsid w:val="003B5B08"/>
    <w:rsid w:val="003B6E78"/>
    <w:rsid w:val="003C265D"/>
    <w:rsid w:val="003D33EA"/>
    <w:rsid w:val="003E5616"/>
    <w:rsid w:val="003F21F3"/>
    <w:rsid w:val="003F3613"/>
    <w:rsid w:val="003F6997"/>
    <w:rsid w:val="003F7554"/>
    <w:rsid w:val="004016FB"/>
    <w:rsid w:val="0040485D"/>
    <w:rsid w:val="00406288"/>
    <w:rsid w:val="004114BD"/>
    <w:rsid w:val="00411DE1"/>
    <w:rsid w:val="004204EF"/>
    <w:rsid w:val="00422148"/>
    <w:rsid w:val="00424F9A"/>
    <w:rsid w:val="004307FA"/>
    <w:rsid w:val="00436A0F"/>
    <w:rsid w:val="00440DFD"/>
    <w:rsid w:val="00444A17"/>
    <w:rsid w:val="00451F9D"/>
    <w:rsid w:val="00474917"/>
    <w:rsid w:val="0047595F"/>
    <w:rsid w:val="00476A8C"/>
    <w:rsid w:val="004770AF"/>
    <w:rsid w:val="00481B4E"/>
    <w:rsid w:val="004824FB"/>
    <w:rsid w:val="00482782"/>
    <w:rsid w:val="004850BA"/>
    <w:rsid w:val="00485809"/>
    <w:rsid w:val="00485B14"/>
    <w:rsid w:val="00491BEF"/>
    <w:rsid w:val="004946AF"/>
    <w:rsid w:val="0049470F"/>
    <w:rsid w:val="004A3305"/>
    <w:rsid w:val="004A41A3"/>
    <w:rsid w:val="004A60E5"/>
    <w:rsid w:val="004B3804"/>
    <w:rsid w:val="004C100A"/>
    <w:rsid w:val="004D0AEB"/>
    <w:rsid w:val="004D50B9"/>
    <w:rsid w:val="004D7182"/>
    <w:rsid w:val="004E3397"/>
    <w:rsid w:val="004E4801"/>
    <w:rsid w:val="004E54CF"/>
    <w:rsid w:val="004F68A9"/>
    <w:rsid w:val="0050798C"/>
    <w:rsid w:val="00510232"/>
    <w:rsid w:val="00513B5D"/>
    <w:rsid w:val="00514872"/>
    <w:rsid w:val="00531AD3"/>
    <w:rsid w:val="005337DD"/>
    <w:rsid w:val="00534385"/>
    <w:rsid w:val="00534A1F"/>
    <w:rsid w:val="00535D7E"/>
    <w:rsid w:val="005525AA"/>
    <w:rsid w:val="00552BE2"/>
    <w:rsid w:val="005752E9"/>
    <w:rsid w:val="005852EE"/>
    <w:rsid w:val="00586E0E"/>
    <w:rsid w:val="00595FEF"/>
    <w:rsid w:val="005A18AE"/>
    <w:rsid w:val="005A7C0C"/>
    <w:rsid w:val="005B1C48"/>
    <w:rsid w:val="005C71C0"/>
    <w:rsid w:val="005D1FB0"/>
    <w:rsid w:val="005D67A8"/>
    <w:rsid w:val="005E0B69"/>
    <w:rsid w:val="005F2378"/>
    <w:rsid w:val="005F4BCF"/>
    <w:rsid w:val="006038F6"/>
    <w:rsid w:val="006114E3"/>
    <w:rsid w:val="00611C5D"/>
    <w:rsid w:val="00630EB6"/>
    <w:rsid w:val="00644580"/>
    <w:rsid w:val="00654106"/>
    <w:rsid w:val="00654FE0"/>
    <w:rsid w:val="0067232E"/>
    <w:rsid w:val="006773BF"/>
    <w:rsid w:val="006776CE"/>
    <w:rsid w:val="006802A9"/>
    <w:rsid w:val="00683115"/>
    <w:rsid w:val="00686A86"/>
    <w:rsid w:val="00696C6F"/>
    <w:rsid w:val="006B24B3"/>
    <w:rsid w:val="006B3DAD"/>
    <w:rsid w:val="006C1A6F"/>
    <w:rsid w:val="006D1713"/>
    <w:rsid w:val="006D57CF"/>
    <w:rsid w:val="006D6D39"/>
    <w:rsid w:val="006E2101"/>
    <w:rsid w:val="006E6681"/>
    <w:rsid w:val="006E7156"/>
    <w:rsid w:val="006F2CD5"/>
    <w:rsid w:val="006F3158"/>
    <w:rsid w:val="006F7EC9"/>
    <w:rsid w:val="00700A31"/>
    <w:rsid w:val="00711ECE"/>
    <w:rsid w:val="00714047"/>
    <w:rsid w:val="00720347"/>
    <w:rsid w:val="00725D24"/>
    <w:rsid w:val="00726F8D"/>
    <w:rsid w:val="007310A8"/>
    <w:rsid w:val="00731D3D"/>
    <w:rsid w:val="0073723B"/>
    <w:rsid w:val="00765A56"/>
    <w:rsid w:val="00770204"/>
    <w:rsid w:val="0077219B"/>
    <w:rsid w:val="0077689A"/>
    <w:rsid w:val="00781EBA"/>
    <w:rsid w:val="007820FA"/>
    <w:rsid w:val="00793570"/>
    <w:rsid w:val="007A479E"/>
    <w:rsid w:val="007A6132"/>
    <w:rsid w:val="007C0578"/>
    <w:rsid w:val="007C17EC"/>
    <w:rsid w:val="007C5C13"/>
    <w:rsid w:val="007C6793"/>
    <w:rsid w:val="007C7FB9"/>
    <w:rsid w:val="007D3EF4"/>
    <w:rsid w:val="007D64FF"/>
    <w:rsid w:val="007D6B58"/>
    <w:rsid w:val="007E1159"/>
    <w:rsid w:val="007E5D63"/>
    <w:rsid w:val="007E69F4"/>
    <w:rsid w:val="007E72A1"/>
    <w:rsid w:val="007F21B0"/>
    <w:rsid w:val="007F5617"/>
    <w:rsid w:val="008102C2"/>
    <w:rsid w:val="00812343"/>
    <w:rsid w:val="008167C0"/>
    <w:rsid w:val="00822002"/>
    <w:rsid w:val="0082392B"/>
    <w:rsid w:val="00826CC6"/>
    <w:rsid w:val="00827CF6"/>
    <w:rsid w:val="00832D2B"/>
    <w:rsid w:val="00834214"/>
    <w:rsid w:val="00842B86"/>
    <w:rsid w:val="0087089A"/>
    <w:rsid w:val="00882FCD"/>
    <w:rsid w:val="008A02E1"/>
    <w:rsid w:val="008A1992"/>
    <w:rsid w:val="008B510E"/>
    <w:rsid w:val="008B555D"/>
    <w:rsid w:val="008B6E82"/>
    <w:rsid w:val="008C3B41"/>
    <w:rsid w:val="008D1C77"/>
    <w:rsid w:val="008D301B"/>
    <w:rsid w:val="008D6C99"/>
    <w:rsid w:val="008E0AD9"/>
    <w:rsid w:val="008E1DC4"/>
    <w:rsid w:val="008E3657"/>
    <w:rsid w:val="008F099F"/>
    <w:rsid w:val="008F1C84"/>
    <w:rsid w:val="009034A1"/>
    <w:rsid w:val="00915EB2"/>
    <w:rsid w:val="0091617C"/>
    <w:rsid w:val="009168A8"/>
    <w:rsid w:val="0092456B"/>
    <w:rsid w:val="009257D5"/>
    <w:rsid w:val="00925F5D"/>
    <w:rsid w:val="009462AB"/>
    <w:rsid w:val="0094717B"/>
    <w:rsid w:val="00947B45"/>
    <w:rsid w:val="009665DD"/>
    <w:rsid w:val="0096756F"/>
    <w:rsid w:val="00967D0C"/>
    <w:rsid w:val="00973783"/>
    <w:rsid w:val="00975835"/>
    <w:rsid w:val="00986CAC"/>
    <w:rsid w:val="009A1A90"/>
    <w:rsid w:val="009A415C"/>
    <w:rsid w:val="009B1827"/>
    <w:rsid w:val="009B1F55"/>
    <w:rsid w:val="009B54F3"/>
    <w:rsid w:val="009B5E92"/>
    <w:rsid w:val="009C37AC"/>
    <w:rsid w:val="009D4A1C"/>
    <w:rsid w:val="009D77C4"/>
    <w:rsid w:val="009E0004"/>
    <w:rsid w:val="009E6118"/>
    <w:rsid w:val="009E74B9"/>
    <w:rsid w:val="00A02A1F"/>
    <w:rsid w:val="00A06748"/>
    <w:rsid w:val="00A113EA"/>
    <w:rsid w:val="00A1190E"/>
    <w:rsid w:val="00A11B09"/>
    <w:rsid w:val="00A14703"/>
    <w:rsid w:val="00A22109"/>
    <w:rsid w:val="00A22B06"/>
    <w:rsid w:val="00A34867"/>
    <w:rsid w:val="00A47CB9"/>
    <w:rsid w:val="00A56B50"/>
    <w:rsid w:val="00A652E8"/>
    <w:rsid w:val="00A65B92"/>
    <w:rsid w:val="00A77E60"/>
    <w:rsid w:val="00A84CAA"/>
    <w:rsid w:val="00AA287C"/>
    <w:rsid w:val="00AA3443"/>
    <w:rsid w:val="00AB351E"/>
    <w:rsid w:val="00AB3EE7"/>
    <w:rsid w:val="00AC0369"/>
    <w:rsid w:val="00AD08F8"/>
    <w:rsid w:val="00AF2838"/>
    <w:rsid w:val="00B01348"/>
    <w:rsid w:val="00B0726B"/>
    <w:rsid w:val="00B11F66"/>
    <w:rsid w:val="00B15F95"/>
    <w:rsid w:val="00B24603"/>
    <w:rsid w:val="00B2650D"/>
    <w:rsid w:val="00B418BE"/>
    <w:rsid w:val="00B428F5"/>
    <w:rsid w:val="00B54791"/>
    <w:rsid w:val="00B61532"/>
    <w:rsid w:val="00B63195"/>
    <w:rsid w:val="00B63A43"/>
    <w:rsid w:val="00B647D7"/>
    <w:rsid w:val="00B72D82"/>
    <w:rsid w:val="00B82435"/>
    <w:rsid w:val="00B8273D"/>
    <w:rsid w:val="00B86F65"/>
    <w:rsid w:val="00B90ADB"/>
    <w:rsid w:val="00BA1977"/>
    <w:rsid w:val="00BA3737"/>
    <w:rsid w:val="00BB06BE"/>
    <w:rsid w:val="00BB0BE1"/>
    <w:rsid w:val="00BB3972"/>
    <w:rsid w:val="00BB7E3C"/>
    <w:rsid w:val="00BC1EB2"/>
    <w:rsid w:val="00BD0B06"/>
    <w:rsid w:val="00BD22BA"/>
    <w:rsid w:val="00BD297D"/>
    <w:rsid w:val="00BD633C"/>
    <w:rsid w:val="00BD6D33"/>
    <w:rsid w:val="00BD7017"/>
    <w:rsid w:val="00BD77CF"/>
    <w:rsid w:val="00BE3883"/>
    <w:rsid w:val="00BE482D"/>
    <w:rsid w:val="00BE4EFB"/>
    <w:rsid w:val="00BE5050"/>
    <w:rsid w:val="00BE50E7"/>
    <w:rsid w:val="00BE7755"/>
    <w:rsid w:val="00C02A99"/>
    <w:rsid w:val="00C04ED5"/>
    <w:rsid w:val="00C051AD"/>
    <w:rsid w:val="00C10EA2"/>
    <w:rsid w:val="00C117A1"/>
    <w:rsid w:val="00C12CA7"/>
    <w:rsid w:val="00C16275"/>
    <w:rsid w:val="00C16963"/>
    <w:rsid w:val="00C2740F"/>
    <w:rsid w:val="00C34882"/>
    <w:rsid w:val="00C51394"/>
    <w:rsid w:val="00C56766"/>
    <w:rsid w:val="00C600CF"/>
    <w:rsid w:val="00C72758"/>
    <w:rsid w:val="00C86283"/>
    <w:rsid w:val="00C903CE"/>
    <w:rsid w:val="00C956FE"/>
    <w:rsid w:val="00CB0D2A"/>
    <w:rsid w:val="00CC20FF"/>
    <w:rsid w:val="00CC3330"/>
    <w:rsid w:val="00CC7F3A"/>
    <w:rsid w:val="00CD131A"/>
    <w:rsid w:val="00CD1A1C"/>
    <w:rsid w:val="00CD5C28"/>
    <w:rsid w:val="00CD6C12"/>
    <w:rsid w:val="00CE1CA4"/>
    <w:rsid w:val="00CE5A49"/>
    <w:rsid w:val="00CF47AF"/>
    <w:rsid w:val="00D00C6D"/>
    <w:rsid w:val="00D073C3"/>
    <w:rsid w:val="00D10881"/>
    <w:rsid w:val="00D10BFC"/>
    <w:rsid w:val="00D3240C"/>
    <w:rsid w:val="00D34A70"/>
    <w:rsid w:val="00D34F6C"/>
    <w:rsid w:val="00D352EA"/>
    <w:rsid w:val="00D41C3D"/>
    <w:rsid w:val="00D532D5"/>
    <w:rsid w:val="00D6202B"/>
    <w:rsid w:val="00D640B8"/>
    <w:rsid w:val="00D726AB"/>
    <w:rsid w:val="00D74882"/>
    <w:rsid w:val="00D75ADE"/>
    <w:rsid w:val="00D762CC"/>
    <w:rsid w:val="00D77A77"/>
    <w:rsid w:val="00D77CE8"/>
    <w:rsid w:val="00D8085E"/>
    <w:rsid w:val="00D8196C"/>
    <w:rsid w:val="00D8474D"/>
    <w:rsid w:val="00D85046"/>
    <w:rsid w:val="00DA7264"/>
    <w:rsid w:val="00DB1920"/>
    <w:rsid w:val="00DB3816"/>
    <w:rsid w:val="00DB60EC"/>
    <w:rsid w:val="00DC0900"/>
    <w:rsid w:val="00DC44C2"/>
    <w:rsid w:val="00DE0080"/>
    <w:rsid w:val="00DE197D"/>
    <w:rsid w:val="00DE1ADE"/>
    <w:rsid w:val="00DF5540"/>
    <w:rsid w:val="00E03F44"/>
    <w:rsid w:val="00E101EA"/>
    <w:rsid w:val="00E1712E"/>
    <w:rsid w:val="00E232BC"/>
    <w:rsid w:val="00E30459"/>
    <w:rsid w:val="00E31983"/>
    <w:rsid w:val="00E329B7"/>
    <w:rsid w:val="00E3378C"/>
    <w:rsid w:val="00E337B4"/>
    <w:rsid w:val="00E3533D"/>
    <w:rsid w:val="00E432FD"/>
    <w:rsid w:val="00E43C31"/>
    <w:rsid w:val="00E52EA1"/>
    <w:rsid w:val="00E55C53"/>
    <w:rsid w:val="00E6239A"/>
    <w:rsid w:val="00E62A7B"/>
    <w:rsid w:val="00E64B63"/>
    <w:rsid w:val="00E66265"/>
    <w:rsid w:val="00E66BF2"/>
    <w:rsid w:val="00E67CCD"/>
    <w:rsid w:val="00E7661A"/>
    <w:rsid w:val="00E81506"/>
    <w:rsid w:val="00E82649"/>
    <w:rsid w:val="00E82917"/>
    <w:rsid w:val="00EB0C04"/>
    <w:rsid w:val="00EB2BAD"/>
    <w:rsid w:val="00EB2ED9"/>
    <w:rsid w:val="00EB39F9"/>
    <w:rsid w:val="00EB44A0"/>
    <w:rsid w:val="00EB6D75"/>
    <w:rsid w:val="00EC13D1"/>
    <w:rsid w:val="00EC593C"/>
    <w:rsid w:val="00EC5A31"/>
    <w:rsid w:val="00EC6AC6"/>
    <w:rsid w:val="00ED0E9E"/>
    <w:rsid w:val="00ED3840"/>
    <w:rsid w:val="00EE4321"/>
    <w:rsid w:val="00EF41A5"/>
    <w:rsid w:val="00EF4AB9"/>
    <w:rsid w:val="00EF7643"/>
    <w:rsid w:val="00F11F5E"/>
    <w:rsid w:val="00F137C5"/>
    <w:rsid w:val="00F20E34"/>
    <w:rsid w:val="00F228CE"/>
    <w:rsid w:val="00F23CC9"/>
    <w:rsid w:val="00F30260"/>
    <w:rsid w:val="00F33238"/>
    <w:rsid w:val="00F342E1"/>
    <w:rsid w:val="00F36681"/>
    <w:rsid w:val="00F4041F"/>
    <w:rsid w:val="00F41536"/>
    <w:rsid w:val="00F46AF3"/>
    <w:rsid w:val="00F5098D"/>
    <w:rsid w:val="00F57575"/>
    <w:rsid w:val="00F70C8C"/>
    <w:rsid w:val="00F7721A"/>
    <w:rsid w:val="00F85184"/>
    <w:rsid w:val="00F97805"/>
    <w:rsid w:val="00FA15F1"/>
    <w:rsid w:val="00FA1EBE"/>
    <w:rsid w:val="00FA4A0E"/>
    <w:rsid w:val="00FA4F6A"/>
    <w:rsid w:val="00FA6A4B"/>
    <w:rsid w:val="00FA7AA4"/>
    <w:rsid w:val="00FB2369"/>
    <w:rsid w:val="00FE31F1"/>
    <w:rsid w:val="00FE6932"/>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C3D5E2"/>
  <w15:chartTrackingRefBased/>
  <w15:docId w15:val="{10FACD4D-0CE4-4605-832B-8AF19072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748"/>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3">
    <w:name w:val="heading 3"/>
    <w:basedOn w:val="Normal"/>
    <w:next w:val="Normal"/>
    <w:link w:val="Heading3Char"/>
    <w:unhideWhenUsed/>
    <w:qFormat/>
    <w:rsid w:val="00827CF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8F1C8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F1C8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8F1C84"/>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8F1C8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F1C84"/>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F1C84"/>
    <w:pPr>
      <w:spacing w:after="200" w:line="276" w:lineRule="auto"/>
      <w:ind w:left="720"/>
      <w:contextualSpacing/>
    </w:pPr>
    <w:rPr>
      <w:rFonts w:ascii="Calibri" w:eastAsia="Times New Roman" w:hAnsi="Calibri" w:cs="Times New Roman"/>
    </w:rPr>
  </w:style>
  <w:style w:type="character" w:styleId="Hyperlink">
    <w:name w:val="Hyperlink"/>
    <w:uiPriority w:val="99"/>
    <w:rsid w:val="008F1C84"/>
    <w:rPr>
      <w:color w:val="0000FF"/>
      <w:u w:val="single"/>
    </w:rPr>
  </w:style>
  <w:style w:type="character" w:customStyle="1" w:styleId="apple-converted-space">
    <w:name w:val="apple-converted-space"/>
    <w:basedOn w:val="DefaultParagraphFont"/>
    <w:rsid w:val="008F1C84"/>
  </w:style>
  <w:style w:type="character" w:customStyle="1" w:styleId="ListParagraphChar">
    <w:name w:val="List Paragraph Char"/>
    <w:aliases w:val="2 Char"/>
    <w:basedOn w:val="DefaultParagraphFont"/>
    <w:link w:val="ListParagraph"/>
    <w:uiPriority w:val="34"/>
    <w:locked/>
    <w:rsid w:val="00E67CCD"/>
    <w:rPr>
      <w:rFonts w:ascii="Calibri" w:eastAsia="Times New Roman" w:hAnsi="Calibri" w:cs="Times New Roman"/>
    </w:rPr>
  </w:style>
  <w:style w:type="paragraph" w:customStyle="1" w:styleId="tv213">
    <w:name w:val="tv213"/>
    <w:basedOn w:val="Normal"/>
    <w:rsid w:val="00E337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A11B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1B09"/>
    <w:rPr>
      <w:sz w:val="16"/>
      <w:szCs w:val="16"/>
    </w:rPr>
  </w:style>
  <w:style w:type="paragraph" w:styleId="CommentText">
    <w:name w:val="annotation text"/>
    <w:basedOn w:val="Normal"/>
    <w:link w:val="CommentTextChar"/>
    <w:unhideWhenUsed/>
    <w:rsid w:val="00A11B09"/>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11B09"/>
    <w:rPr>
      <w:rFonts w:ascii="Times New Roman" w:eastAsia="Calibri" w:hAnsi="Times New Roman" w:cs="Times New Roman"/>
      <w:sz w:val="20"/>
      <w:szCs w:val="20"/>
    </w:rPr>
  </w:style>
  <w:style w:type="paragraph" w:styleId="Header">
    <w:name w:val="header"/>
    <w:basedOn w:val="Normal"/>
    <w:link w:val="HeaderChar"/>
    <w:uiPriority w:val="99"/>
    <w:unhideWhenUsed/>
    <w:rsid w:val="00EE4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321"/>
  </w:style>
  <w:style w:type="paragraph" w:styleId="Footer">
    <w:name w:val="footer"/>
    <w:basedOn w:val="Normal"/>
    <w:link w:val="FooterChar"/>
    <w:uiPriority w:val="99"/>
    <w:unhideWhenUsed/>
    <w:rsid w:val="00EE4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321"/>
  </w:style>
  <w:style w:type="character" w:styleId="CommentReference">
    <w:name w:val="annotation reference"/>
    <w:basedOn w:val="DefaultParagraphFont"/>
    <w:uiPriority w:val="99"/>
    <w:semiHidden/>
    <w:unhideWhenUsed/>
    <w:rsid w:val="00C02A99"/>
    <w:rPr>
      <w:sz w:val="16"/>
      <w:szCs w:val="16"/>
    </w:rPr>
  </w:style>
  <w:style w:type="paragraph" w:styleId="CommentSubject">
    <w:name w:val="annotation subject"/>
    <w:basedOn w:val="CommentText"/>
    <w:next w:val="CommentText"/>
    <w:link w:val="CommentSubjectChar"/>
    <w:uiPriority w:val="99"/>
    <w:unhideWhenUsed/>
    <w:rsid w:val="00C02A9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C02A9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0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99"/>
    <w:rPr>
      <w:rFonts w:ascii="Segoe UI" w:hAnsi="Segoe UI" w:cs="Segoe UI"/>
      <w:sz w:val="18"/>
      <w:szCs w:val="18"/>
    </w:rPr>
  </w:style>
  <w:style w:type="character" w:customStyle="1" w:styleId="Heading1Char">
    <w:name w:val="Heading 1 Char"/>
    <w:basedOn w:val="DefaultParagraphFont"/>
    <w:link w:val="Heading1"/>
    <w:uiPriority w:val="9"/>
    <w:rsid w:val="00A06748"/>
    <w:rPr>
      <w:rFonts w:ascii="Cambria" w:eastAsia="Times New Roman" w:hAnsi="Cambria" w:cs="Times New Roman"/>
      <w:b/>
      <w:bCs/>
      <w:color w:val="365F91"/>
      <w:sz w:val="28"/>
      <w:szCs w:val="28"/>
      <w:lang w:eastAsia="lv-LV"/>
    </w:rPr>
  </w:style>
  <w:style w:type="table" w:styleId="TableGrid">
    <w:name w:val="Table Grid"/>
    <w:basedOn w:val="TableNormal"/>
    <w:uiPriority w:val="39"/>
    <w:rsid w:val="007A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aliases w:val="Bullet List Char,FooterText Char,Paragraphe de liste1 Char,numbered Char,List Paragraph1 Char,Bulletr List Paragraph Char,列出段落 Char,列出段落1 Char,List Paragraph2 Char,List Paragraph21 Char,Párrafo de lista1 Char,リスト段落1 Char"/>
    <w:link w:val="MediumGrid1-Accent2"/>
    <w:uiPriority w:val="34"/>
    <w:locked/>
    <w:rsid w:val="006C1A6F"/>
    <w:rPr>
      <w:rFonts w:cs="Calibri"/>
      <w:sz w:val="22"/>
      <w:szCs w:val="22"/>
      <w:lang w:val="lv-LV"/>
    </w:rPr>
  </w:style>
  <w:style w:type="table" w:styleId="MediumGrid1-Accent2">
    <w:name w:val="Medium Grid 1 Accent 2"/>
    <w:basedOn w:val="TableNormal"/>
    <w:link w:val="MediumGrid1-Accent2Char"/>
    <w:uiPriority w:val="34"/>
    <w:semiHidden/>
    <w:unhideWhenUsed/>
    <w:rsid w:val="006C1A6F"/>
    <w:pPr>
      <w:spacing w:after="0" w:line="240" w:lineRule="auto"/>
    </w:pPr>
    <w:rPr>
      <w:rFonts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PlainText">
    <w:name w:val="Plain Text"/>
    <w:basedOn w:val="Normal"/>
    <w:link w:val="PlainTextChar"/>
    <w:uiPriority w:val="99"/>
    <w:unhideWhenUsed/>
    <w:rsid w:val="006773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773BF"/>
    <w:rPr>
      <w:rFonts w:ascii="Calibri" w:hAnsi="Calibri" w:cs="Times New Roman"/>
    </w:rPr>
  </w:style>
  <w:style w:type="paragraph" w:styleId="EnvelopeAddress">
    <w:name w:val="envelope address"/>
    <w:basedOn w:val="Normal"/>
    <w:next w:val="Subtitle"/>
    <w:rsid w:val="00B54791"/>
    <w:pPr>
      <w:keepNext/>
      <w:keepLines/>
      <w:widowControl w:val="0"/>
      <w:spacing w:before="60" w:after="60" w:line="240" w:lineRule="auto"/>
      <w:ind w:left="5103"/>
    </w:pPr>
    <w:rPr>
      <w:rFonts w:ascii="Times New Roman" w:eastAsia="Times New Roman" w:hAnsi="Times New Roman" w:cs="Times New Roman"/>
      <w:sz w:val="26"/>
      <w:szCs w:val="20"/>
    </w:rPr>
  </w:style>
  <w:style w:type="paragraph" w:styleId="Subtitle">
    <w:name w:val="Subtitle"/>
    <w:basedOn w:val="Normal"/>
    <w:next w:val="Normal"/>
    <w:link w:val="SubtitleChar"/>
    <w:uiPriority w:val="11"/>
    <w:qFormat/>
    <w:rsid w:val="00B547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791"/>
    <w:rPr>
      <w:rFonts w:eastAsiaTheme="minorEastAsia"/>
      <w:color w:val="5A5A5A" w:themeColor="text1" w:themeTint="A5"/>
      <w:spacing w:val="15"/>
    </w:rPr>
  </w:style>
  <w:style w:type="character" w:styleId="IntenseEmphasis">
    <w:name w:val="Intense Emphasis"/>
    <w:uiPriority w:val="21"/>
    <w:qFormat/>
    <w:rsid w:val="003F21F3"/>
    <w:rPr>
      <w:i/>
      <w:iCs/>
      <w:color w:val="4F81BD"/>
    </w:rPr>
  </w:style>
  <w:style w:type="character" w:customStyle="1" w:styleId="spelle">
    <w:name w:val="spelle"/>
    <w:basedOn w:val="DefaultParagraphFont"/>
    <w:rsid w:val="00B90ADB"/>
  </w:style>
  <w:style w:type="paragraph" w:styleId="BodyTextIndent">
    <w:name w:val="Body Text Indent"/>
    <w:basedOn w:val="Normal"/>
    <w:link w:val="BodyTextIndentChar"/>
    <w:uiPriority w:val="99"/>
    <w:semiHidden/>
    <w:unhideWhenUsed/>
    <w:rsid w:val="0092456B"/>
    <w:pPr>
      <w:spacing w:after="120"/>
      <w:ind w:left="283"/>
    </w:pPr>
  </w:style>
  <w:style w:type="character" w:customStyle="1" w:styleId="BodyTextIndentChar">
    <w:name w:val="Body Text Indent Char"/>
    <w:basedOn w:val="DefaultParagraphFont"/>
    <w:link w:val="BodyTextIndent"/>
    <w:uiPriority w:val="99"/>
    <w:semiHidden/>
    <w:rsid w:val="0092456B"/>
  </w:style>
  <w:style w:type="character" w:customStyle="1" w:styleId="Heading3Char">
    <w:name w:val="Heading 3 Char"/>
    <w:basedOn w:val="DefaultParagraphFont"/>
    <w:link w:val="Heading3"/>
    <w:rsid w:val="00827CF6"/>
    <w:rPr>
      <w:rFonts w:ascii="Calibri Light" w:eastAsia="Times New Roman" w:hAnsi="Calibri Light" w:cs="Times New Roman"/>
      <w:b/>
      <w:bCs/>
      <w:sz w:val="26"/>
      <w:szCs w:val="26"/>
      <w:lang w:eastAsia="lv-LV"/>
    </w:rPr>
  </w:style>
  <w:style w:type="character" w:styleId="FootnoteReference">
    <w:name w:val="footnote reference"/>
    <w:semiHidden/>
    <w:rsid w:val="00827CF6"/>
    <w:rPr>
      <w:vertAlign w:val="superscript"/>
    </w:rPr>
  </w:style>
  <w:style w:type="character" w:styleId="Strong">
    <w:name w:val="Strong"/>
    <w:uiPriority w:val="22"/>
    <w:qFormat/>
    <w:rsid w:val="00827CF6"/>
    <w:rPr>
      <w:b/>
      <w:bCs/>
    </w:rPr>
  </w:style>
  <w:style w:type="paragraph" w:styleId="FootnoteText">
    <w:name w:val="footnote text"/>
    <w:basedOn w:val="Normal"/>
    <w:link w:val="FootnoteTextChar"/>
    <w:uiPriority w:val="99"/>
    <w:semiHidden/>
    <w:unhideWhenUsed/>
    <w:rsid w:val="00C16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963"/>
    <w:rPr>
      <w:sz w:val="20"/>
      <w:szCs w:val="20"/>
    </w:rPr>
  </w:style>
  <w:style w:type="paragraph" w:customStyle="1" w:styleId="tv2071">
    <w:name w:val="tv2071"/>
    <w:basedOn w:val="Normal"/>
    <w:rsid w:val="00E432FD"/>
    <w:pPr>
      <w:spacing w:after="567" w:line="360" w:lineRule="auto"/>
      <w:jc w:val="center"/>
    </w:pPr>
    <w:rPr>
      <w:rFonts w:ascii="Verdana" w:eastAsia="Times New Roman" w:hAnsi="Verdana" w:cs="Times New Roman"/>
      <w:b/>
      <w:bCs/>
      <w:sz w:val="27"/>
      <w:szCs w:val="27"/>
      <w:lang w:eastAsia="lv-LV"/>
    </w:rPr>
  </w:style>
  <w:style w:type="character" w:customStyle="1" w:styleId="at51">
    <w:name w:val="a__t51"/>
    <w:uiPriority w:val="99"/>
    <w:rsid w:val="002D7A16"/>
    <w:rPr>
      <w:b/>
      <w:bCs/>
    </w:rPr>
  </w:style>
  <w:style w:type="character" w:styleId="FollowedHyperlink">
    <w:name w:val="FollowedHyperlink"/>
    <w:basedOn w:val="DefaultParagraphFont"/>
    <w:uiPriority w:val="99"/>
    <w:semiHidden/>
    <w:unhideWhenUsed/>
    <w:rsid w:val="003C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312">
      <w:bodyDiv w:val="1"/>
      <w:marLeft w:val="0"/>
      <w:marRight w:val="0"/>
      <w:marTop w:val="0"/>
      <w:marBottom w:val="0"/>
      <w:divBdr>
        <w:top w:val="none" w:sz="0" w:space="0" w:color="auto"/>
        <w:left w:val="none" w:sz="0" w:space="0" w:color="auto"/>
        <w:bottom w:val="none" w:sz="0" w:space="0" w:color="auto"/>
        <w:right w:val="none" w:sz="0" w:space="0" w:color="auto"/>
      </w:divBdr>
    </w:div>
    <w:div w:id="87359539">
      <w:bodyDiv w:val="1"/>
      <w:marLeft w:val="0"/>
      <w:marRight w:val="0"/>
      <w:marTop w:val="0"/>
      <w:marBottom w:val="0"/>
      <w:divBdr>
        <w:top w:val="none" w:sz="0" w:space="0" w:color="auto"/>
        <w:left w:val="none" w:sz="0" w:space="0" w:color="auto"/>
        <w:bottom w:val="none" w:sz="0" w:space="0" w:color="auto"/>
        <w:right w:val="none" w:sz="0" w:space="0" w:color="auto"/>
      </w:divBdr>
    </w:div>
    <w:div w:id="300039160">
      <w:bodyDiv w:val="1"/>
      <w:marLeft w:val="0"/>
      <w:marRight w:val="0"/>
      <w:marTop w:val="0"/>
      <w:marBottom w:val="0"/>
      <w:divBdr>
        <w:top w:val="none" w:sz="0" w:space="0" w:color="auto"/>
        <w:left w:val="none" w:sz="0" w:space="0" w:color="auto"/>
        <w:bottom w:val="none" w:sz="0" w:space="0" w:color="auto"/>
        <w:right w:val="none" w:sz="0" w:space="0" w:color="auto"/>
      </w:divBdr>
    </w:div>
    <w:div w:id="505898444">
      <w:bodyDiv w:val="1"/>
      <w:marLeft w:val="0"/>
      <w:marRight w:val="0"/>
      <w:marTop w:val="0"/>
      <w:marBottom w:val="0"/>
      <w:divBdr>
        <w:top w:val="none" w:sz="0" w:space="0" w:color="auto"/>
        <w:left w:val="none" w:sz="0" w:space="0" w:color="auto"/>
        <w:bottom w:val="none" w:sz="0" w:space="0" w:color="auto"/>
        <w:right w:val="none" w:sz="0" w:space="0" w:color="auto"/>
      </w:divBdr>
    </w:div>
    <w:div w:id="623467107">
      <w:bodyDiv w:val="1"/>
      <w:marLeft w:val="0"/>
      <w:marRight w:val="0"/>
      <w:marTop w:val="0"/>
      <w:marBottom w:val="0"/>
      <w:divBdr>
        <w:top w:val="none" w:sz="0" w:space="0" w:color="auto"/>
        <w:left w:val="none" w:sz="0" w:space="0" w:color="auto"/>
        <w:bottom w:val="none" w:sz="0" w:space="0" w:color="auto"/>
        <w:right w:val="none" w:sz="0" w:space="0" w:color="auto"/>
      </w:divBdr>
    </w:div>
    <w:div w:id="749739712">
      <w:bodyDiv w:val="1"/>
      <w:marLeft w:val="0"/>
      <w:marRight w:val="0"/>
      <w:marTop w:val="0"/>
      <w:marBottom w:val="0"/>
      <w:divBdr>
        <w:top w:val="none" w:sz="0" w:space="0" w:color="auto"/>
        <w:left w:val="none" w:sz="0" w:space="0" w:color="auto"/>
        <w:bottom w:val="none" w:sz="0" w:space="0" w:color="auto"/>
        <w:right w:val="none" w:sz="0" w:space="0" w:color="auto"/>
      </w:divBdr>
    </w:div>
    <w:div w:id="900797891">
      <w:bodyDiv w:val="1"/>
      <w:marLeft w:val="0"/>
      <w:marRight w:val="0"/>
      <w:marTop w:val="0"/>
      <w:marBottom w:val="0"/>
      <w:divBdr>
        <w:top w:val="none" w:sz="0" w:space="0" w:color="auto"/>
        <w:left w:val="none" w:sz="0" w:space="0" w:color="auto"/>
        <w:bottom w:val="none" w:sz="0" w:space="0" w:color="auto"/>
        <w:right w:val="none" w:sz="0" w:space="0" w:color="auto"/>
      </w:divBdr>
    </w:div>
    <w:div w:id="1030649595">
      <w:bodyDiv w:val="1"/>
      <w:marLeft w:val="0"/>
      <w:marRight w:val="0"/>
      <w:marTop w:val="0"/>
      <w:marBottom w:val="0"/>
      <w:divBdr>
        <w:top w:val="none" w:sz="0" w:space="0" w:color="auto"/>
        <w:left w:val="none" w:sz="0" w:space="0" w:color="auto"/>
        <w:bottom w:val="none" w:sz="0" w:space="0" w:color="auto"/>
        <w:right w:val="none" w:sz="0" w:space="0" w:color="auto"/>
      </w:divBdr>
    </w:div>
    <w:div w:id="1133913762">
      <w:bodyDiv w:val="1"/>
      <w:marLeft w:val="0"/>
      <w:marRight w:val="0"/>
      <w:marTop w:val="0"/>
      <w:marBottom w:val="0"/>
      <w:divBdr>
        <w:top w:val="none" w:sz="0" w:space="0" w:color="auto"/>
        <w:left w:val="none" w:sz="0" w:space="0" w:color="auto"/>
        <w:bottom w:val="none" w:sz="0" w:space="0" w:color="auto"/>
        <w:right w:val="none" w:sz="0" w:space="0" w:color="auto"/>
      </w:divBdr>
    </w:div>
    <w:div w:id="1441797702">
      <w:bodyDiv w:val="1"/>
      <w:marLeft w:val="0"/>
      <w:marRight w:val="0"/>
      <w:marTop w:val="0"/>
      <w:marBottom w:val="0"/>
      <w:divBdr>
        <w:top w:val="none" w:sz="0" w:space="0" w:color="auto"/>
        <w:left w:val="none" w:sz="0" w:space="0" w:color="auto"/>
        <w:bottom w:val="none" w:sz="0" w:space="0" w:color="auto"/>
        <w:right w:val="none" w:sz="0" w:space="0" w:color="auto"/>
      </w:divBdr>
    </w:div>
    <w:div w:id="1664813167">
      <w:bodyDiv w:val="1"/>
      <w:marLeft w:val="0"/>
      <w:marRight w:val="0"/>
      <w:marTop w:val="0"/>
      <w:marBottom w:val="0"/>
      <w:divBdr>
        <w:top w:val="none" w:sz="0" w:space="0" w:color="auto"/>
        <w:left w:val="none" w:sz="0" w:space="0" w:color="auto"/>
        <w:bottom w:val="none" w:sz="0" w:space="0" w:color="auto"/>
        <w:right w:val="none" w:sz="0" w:space="0" w:color="auto"/>
      </w:divBdr>
    </w:div>
    <w:div w:id="1716924427">
      <w:bodyDiv w:val="1"/>
      <w:marLeft w:val="0"/>
      <w:marRight w:val="0"/>
      <w:marTop w:val="0"/>
      <w:marBottom w:val="0"/>
      <w:divBdr>
        <w:top w:val="none" w:sz="0" w:space="0" w:color="auto"/>
        <w:left w:val="none" w:sz="0" w:space="0" w:color="auto"/>
        <w:bottom w:val="none" w:sz="0" w:space="0" w:color="auto"/>
        <w:right w:val="none" w:sz="0" w:space="0" w:color="auto"/>
      </w:divBdr>
    </w:div>
    <w:div w:id="1791584648">
      <w:bodyDiv w:val="1"/>
      <w:marLeft w:val="0"/>
      <w:marRight w:val="0"/>
      <w:marTop w:val="0"/>
      <w:marBottom w:val="0"/>
      <w:divBdr>
        <w:top w:val="none" w:sz="0" w:space="0" w:color="auto"/>
        <w:left w:val="none" w:sz="0" w:space="0" w:color="auto"/>
        <w:bottom w:val="none" w:sz="0" w:space="0" w:color="auto"/>
        <w:right w:val="none" w:sz="0" w:space="0" w:color="auto"/>
      </w:divBdr>
    </w:div>
    <w:div w:id="1801923471">
      <w:bodyDiv w:val="1"/>
      <w:marLeft w:val="0"/>
      <w:marRight w:val="0"/>
      <w:marTop w:val="0"/>
      <w:marBottom w:val="0"/>
      <w:divBdr>
        <w:top w:val="none" w:sz="0" w:space="0" w:color="auto"/>
        <w:left w:val="none" w:sz="0" w:space="0" w:color="auto"/>
        <w:bottom w:val="none" w:sz="0" w:space="0" w:color="auto"/>
        <w:right w:val="none" w:sz="0" w:space="0" w:color="auto"/>
      </w:divBdr>
    </w:div>
    <w:div w:id="1803302293">
      <w:bodyDiv w:val="1"/>
      <w:marLeft w:val="0"/>
      <w:marRight w:val="0"/>
      <w:marTop w:val="0"/>
      <w:marBottom w:val="0"/>
      <w:divBdr>
        <w:top w:val="none" w:sz="0" w:space="0" w:color="auto"/>
        <w:left w:val="none" w:sz="0" w:space="0" w:color="auto"/>
        <w:bottom w:val="none" w:sz="0" w:space="0" w:color="auto"/>
        <w:right w:val="none" w:sz="0" w:space="0" w:color="auto"/>
      </w:divBdr>
    </w:div>
    <w:div w:id="1833327407">
      <w:bodyDiv w:val="1"/>
      <w:marLeft w:val="0"/>
      <w:marRight w:val="0"/>
      <w:marTop w:val="0"/>
      <w:marBottom w:val="0"/>
      <w:divBdr>
        <w:top w:val="none" w:sz="0" w:space="0" w:color="auto"/>
        <w:left w:val="none" w:sz="0" w:space="0" w:color="auto"/>
        <w:bottom w:val="none" w:sz="0" w:space="0" w:color="auto"/>
        <w:right w:val="none" w:sz="0" w:space="0" w:color="auto"/>
      </w:divBdr>
    </w:div>
    <w:div w:id="1854949351">
      <w:bodyDiv w:val="1"/>
      <w:marLeft w:val="0"/>
      <w:marRight w:val="0"/>
      <w:marTop w:val="0"/>
      <w:marBottom w:val="0"/>
      <w:divBdr>
        <w:top w:val="none" w:sz="0" w:space="0" w:color="auto"/>
        <w:left w:val="none" w:sz="0" w:space="0" w:color="auto"/>
        <w:bottom w:val="none" w:sz="0" w:space="0" w:color="auto"/>
        <w:right w:val="none" w:sz="0" w:space="0" w:color="auto"/>
      </w:divBdr>
    </w:div>
    <w:div w:id="1910797591">
      <w:bodyDiv w:val="1"/>
      <w:marLeft w:val="0"/>
      <w:marRight w:val="0"/>
      <w:marTop w:val="0"/>
      <w:marBottom w:val="0"/>
      <w:divBdr>
        <w:top w:val="none" w:sz="0" w:space="0" w:color="auto"/>
        <w:left w:val="none" w:sz="0" w:space="0" w:color="auto"/>
        <w:bottom w:val="none" w:sz="0" w:space="0" w:color="auto"/>
        <w:right w:val="none" w:sz="0" w:space="0" w:color="auto"/>
      </w:divBdr>
    </w:div>
    <w:div w:id="1962758887">
      <w:bodyDiv w:val="1"/>
      <w:marLeft w:val="0"/>
      <w:marRight w:val="0"/>
      <w:marTop w:val="0"/>
      <w:marBottom w:val="0"/>
      <w:divBdr>
        <w:top w:val="none" w:sz="0" w:space="0" w:color="auto"/>
        <w:left w:val="none" w:sz="0" w:space="0" w:color="auto"/>
        <w:bottom w:val="none" w:sz="0" w:space="0" w:color="auto"/>
        <w:right w:val="none" w:sz="0" w:space="0" w:color="auto"/>
      </w:divBdr>
    </w:div>
    <w:div w:id="19813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conomy/latvia-economic-snapshot/" TargetMode="External"/><Relationship Id="rId13" Type="http://schemas.openxmlformats.org/officeDocument/2006/relationships/hyperlink" Target="mailto:Intars.Eglitis@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rs.Eglitis@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conomy/latvia-economic-snapsh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p.gov.lv/par-mums/budzets-un-iepirkumi/budzets-un-iepirkumi" TargetMode="External"/><Relationship Id="rId4" Type="http://schemas.openxmlformats.org/officeDocument/2006/relationships/settings" Target="settings.xml"/><Relationship Id="rId9" Type="http://schemas.openxmlformats.org/officeDocument/2006/relationships/hyperlink" Target="https://www.sprk.gov.lv/content/atalgojuma-politik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951E-F3BF-43CB-966A-1E3E7084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2957</TotalTime>
  <Pages>18</Pages>
  <Words>2964</Words>
  <Characters>21791</Characters>
  <Application>Microsoft Office Word</Application>
  <DocSecurity>0</DocSecurity>
  <Lines>838</Lines>
  <Paragraphs>180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EM</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Ševčuks</dc:creator>
  <cp:keywords/>
  <dc:description>A.Sevcuks, arturs.sevcuks@em.gov.lv</dc:description>
  <cp:lastModifiedBy>Intars Eglītis</cp:lastModifiedBy>
  <cp:revision>102</cp:revision>
  <cp:lastPrinted>2016-10-31T11:50:00Z</cp:lastPrinted>
  <dcterms:created xsi:type="dcterms:W3CDTF">2017-02-10T06:42:00Z</dcterms:created>
  <dcterms:modified xsi:type="dcterms:W3CDTF">2019-08-29T06:36:00Z</dcterms:modified>
  <cp:contentStatus/>
</cp:coreProperties>
</file>