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437BA" w14:textId="77777777" w:rsidR="00742755" w:rsidRDefault="00742755" w:rsidP="00742755">
      <w:pPr>
        <w:pStyle w:val="Title"/>
      </w:pPr>
      <w:r>
        <w:t>Informatīvais ziņojums</w:t>
      </w:r>
    </w:p>
    <w:p w14:paraId="188A9E75" w14:textId="77777777" w:rsidR="00742755" w:rsidRDefault="00742755" w:rsidP="00742755">
      <w:pPr>
        <w:spacing w:before="0" w:after="0" w:line="240" w:lineRule="auto"/>
        <w:jc w:val="center"/>
        <w:rPr>
          <w:b/>
          <w:bCs/>
          <w:sz w:val="28"/>
          <w:lang w:val="lv-LV"/>
        </w:rPr>
      </w:pPr>
    </w:p>
    <w:p w14:paraId="5F801126" w14:textId="5A426375" w:rsidR="00742755" w:rsidRPr="00742755" w:rsidRDefault="00742755" w:rsidP="00742755">
      <w:pPr>
        <w:spacing w:before="0" w:after="0" w:line="240" w:lineRule="auto"/>
        <w:jc w:val="center"/>
        <w:rPr>
          <w:b/>
          <w:bCs/>
          <w:sz w:val="28"/>
          <w:szCs w:val="24"/>
          <w:lang w:val="lv-LV"/>
        </w:rPr>
      </w:pPr>
      <w:r w:rsidRPr="00742755">
        <w:rPr>
          <w:b/>
          <w:bCs/>
          <w:sz w:val="28"/>
          <w:szCs w:val="24"/>
          <w:lang w:val="lv-LV"/>
        </w:rPr>
        <w:t>Par vienotas konkurences un regulācijas iestādes izveides iespējām</w:t>
      </w:r>
    </w:p>
    <w:p w14:paraId="18EDB7B6" w14:textId="26B0963B" w:rsidR="00742755" w:rsidRPr="00742755" w:rsidRDefault="00742755" w:rsidP="00742755">
      <w:pPr>
        <w:spacing w:before="0" w:after="0" w:line="240" w:lineRule="auto"/>
        <w:jc w:val="center"/>
        <w:rPr>
          <w:b/>
          <w:bCs/>
          <w:sz w:val="28"/>
          <w:szCs w:val="24"/>
          <w:lang w:val="lv-LV"/>
        </w:rPr>
      </w:pPr>
    </w:p>
    <w:p w14:paraId="72AD8659" w14:textId="77777777" w:rsidR="00742755" w:rsidRPr="00742755" w:rsidRDefault="00742755" w:rsidP="00742755">
      <w:pPr>
        <w:spacing w:before="0" w:after="0" w:line="240" w:lineRule="auto"/>
        <w:jc w:val="center"/>
        <w:rPr>
          <w:b/>
          <w:bCs/>
          <w:sz w:val="28"/>
          <w:szCs w:val="24"/>
          <w:lang w:val="lv-LV"/>
        </w:rPr>
      </w:pPr>
    </w:p>
    <w:p w14:paraId="5E08CE4F" w14:textId="3EEBA02B" w:rsidR="00B764A9" w:rsidRPr="00E92804" w:rsidRDefault="00B764A9" w:rsidP="00DE6668">
      <w:pPr>
        <w:widowControl/>
        <w:spacing w:before="120" w:after="0" w:line="240" w:lineRule="auto"/>
        <w:rPr>
          <w:szCs w:val="26"/>
          <w:lang w:val="lv-LV"/>
        </w:rPr>
      </w:pPr>
      <w:r w:rsidRPr="00E92804">
        <w:rPr>
          <w:szCs w:val="26"/>
          <w:lang w:val="lv-LV"/>
        </w:rPr>
        <w:t xml:space="preserve">Saskaņā ar </w:t>
      </w:r>
      <w:r w:rsidRPr="00E92804">
        <w:rPr>
          <w:szCs w:val="26"/>
        </w:rPr>
        <w:t>2017.</w:t>
      </w:r>
      <w:r w:rsidR="004B4972">
        <w:rPr>
          <w:szCs w:val="26"/>
        </w:rPr>
        <w:t> </w:t>
      </w:r>
      <w:proofErr w:type="spellStart"/>
      <w:r w:rsidRPr="00E92804">
        <w:rPr>
          <w:szCs w:val="26"/>
        </w:rPr>
        <w:t>gada</w:t>
      </w:r>
      <w:proofErr w:type="spellEnd"/>
      <w:r w:rsidRPr="00E92804">
        <w:rPr>
          <w:szCs w:val="26"/>
        </w:rPr>
        <w:t xml:space="preserve"> 28.</w:t>
      </w:r>
      <w:r w:rsidR="004B4972">
        <w:rPr>
          <w:szCs w:val="26"/>
        </w:rPr>
        <w:t> </w:t>
      </w:r>
      <w:proofErr w:type="spellStart"/>
      <w:r w:rsidRPr="00E92804">
        <w:rPr>
          <w:szCs w:val="26"/>
        </w:rPr>
        <w:t>augusta</w:t>
      </w:r>
      <w:proofErr w:type="spellEnd"/>
      <w:r w:rsidRPr="00E92804">
        <w:rPr>
          <w:szCs w:val="26"/>
        </w:rPr>
        <w:t xml:space="preserve"> </w:t>
      </w:r>
      <w:r w:rsidRPr="00E92804">
        <w:rPr>
          <w:szCs w:val="26"/>
          <w:lang w:val="lv-LV"/>
        </w:rPr>
        <w:t xml:space="preserve">Ministru kabineta sēdes </w:t>
      </w:r>
      <w:proofErr w:type="spellStart"/>
      <w:r w:rsidRPr="00E92804">
        <w:rPr>
          <w:szCs w:val="26"/>
          <w:lang w:val="lv-LV"/>
        </w:rPr>
        <w:t>protokollēmumā</w:t>
      </w:r>
      <w:proofErr w:type="spellEnd"/>
      <w:r w:rsidRPr="00E92804">
        <w:rPr>
          <w:szCs w:val="26"/>
          <w:lang w:val="lv-LV"/>
        </w:rPr>
        <w:t xml:space="preserve"> (Prot. Nr.41, </w:t>
      </w:r>
      <w:bookmarkStart w:id="0" w:name="1"/>
      <w:r w:rsidRPr="00E92804">
        <w:rPr>
          <w:szCs w:val="26"/>
          <w:lang w:val="lv-LV"/>
        </w:rPr>
        <w:t>1.§</w:t>
      </w:r>
      <w:bookmarkEnd w:id="0"/>
      <w:r w:rsidRPr="00E92804">
        <w:rPr>
          <w:szCs w:val="26"/>
          <w:lang w:val="lv-LV"/>
        </w:rPr>
        <w:t xml:space="preserve"> 9.p.) doto uzdevumu Ekonomikas ministrijai, lai nodrošinātu valsts budžeta racionālu izmantošanu un administratīvā sloga mazināšanu un lai sekmētu konkurences</w:t>
      </w:r>
      <w:r w:rsidR="003367C5" w:rsidRPr="00E92804">
        <w:rPr>
          <w:szCs w:val="26"/>
          <w:lang w:val="lv-LV"/>
        </w:rPr>
        <w:t xml:space="preserve"> </w:t>
      </w:r>
      <w:r w:rsidRPr="00E92804">
        <w:rPr>
          <w:szCs w:val="26"/>
          <w:lang w:val="lv-LV"/>
        </w:rPr>
        <w:t>veicināšanu visās tautsaimniecības nozarēs un tādējādi turpmāku ekonomisko izaugsmi, ir jāsagatavo priekšlikumi par vienotas konkurences un regulācijas iestādes izveides iespējām un jāiesniedz izskatīšanai Ministru kabinetā.</w:t>
      </w:r>
    </w:p>
    <w:p w14:paraId="444BB5D9" w14:textId="31C1601F" w:rsidR="00B764A9" w:rsidRPr="00E92804" w:rsidRDefault="00B764A9" w:rsidP="00DE6668">
      <w:pPr>
        <w:widowControl/>
        <w:spacing w:before="120" w:after="0" w:line="240" w:lineRule="auto"/>
        <w:rPr>
          <w:szCs w:val="26"/>
          <w:lang w:val="lv-LV"/>
        </w:rPr>
      </w:pPr>
      <w:r w:rsidRPr="00E92804">
        <w:rPr>
          <w:szCs w:val="26"/>
          <w:lang w:val="lv-LV"/>
        </w:rPr>
        <w:t>Ekonomikas ministrija savulaik iniciēja šād</w:t>
      </w:r>
      <w:r w:rsidR="00B8649F" w:rsidRPr="00E92804">
        <w:rPr>
          <w:szCs w:val="26"/>
          <w:lang w:val="lv-LV"/>
        </w:rPr>
        <w:t>u</w:t>
      </w:r>
      <w:r w:rsidRPr="00E92804">
        <w:rPr>
          <w:szCs w:val="26"/>
          <w:lang w:val="lv-LV"/>
        </w:rPr>
        <w:t xml:space="preserve"> uzdevum</w:t>
      </w:r>
      <w:r w:rsidR="00B8649F" w:rsidRPr="00E92804">
        <w:rPr>
          <w:szCs w:val="26"/>
          <w:lang w:val="lv-LV"/>
        </w:rPr>
        <w:t>u</w:t>
      </w:r>
      <w:r w:rsidRPr="00E92804">
        <w:rPr>
          <w:szCs w:val="26"/>
          <w:lang w:val="lv-LV"/>
        </w:rPr>
        <w:t xml:space="preserve">, lai </w:t>
      </w:r>
      <w:r w:rsidRPr="00E92804">
        <w:rPr>
          <w:b/>
          <w:szCs w:val="26"/>
          <w:lang w:val="lv-LV"/>
        </w:rPr>
        <w:t>pri</w:t>
      </w:r>
      <w:r w:rsidR="008042D2" w:rsidRPr="00E92804">
        <w:rPr>
          <w:b/>
          <w:szCs w:val="26"/>
          <w:lang w:val="lv-LV"/>
        </w:rPr>
        <w:t>oritāri</w:t>
      </w:r>
      <w:r w:rsidRPr="00E92804">
        <w:rPr>
          <w:b/>
          <w:szCs w:val="26"/>
          <w:lang w:val="lv-LV"/>
        </w:rPr>
        <w:t xml:space="preserve"> meklētu iespējamos risinājumus Konkurences padomes </w:t>
      </w:r>
      <w:r w:rsidR="000E5FEA" w:rsidRPr="00E92804">
        <w:rPr>
          <w:b/>
          <w:szCs w:val="26"/>
          <w:lang w:val="lv-LV"/>
        </w:rPr>
        <w:t>(</w:t>
      </w:r>
      <w:r w:rsidR="0059458D" w:rsidRPr="00E92804">
        <w:rPr>
          <w:b/>
          <w:szCs w:val="26"/>
          <w:lang w:val="lv-LV"/>
        </w:rPr>
        <w:t xml:space="preserve">turpmāk – </w:t>
      </w:r>
      <w:r w:rsidR="000E5FEA" w:rsidRPr="00E92804">
        <w:rPr>
          <w:b/>
          <w:szCs w:val="26"/>
          <w:lang w:val="lv-LV"/>
        </w:rPr>
        <w:t xml:space="preserve">KP) </w:t>
      </w:r>
      <w:r w:rsidRPr="00E92804">
        <w:rPr>
          <w:b/>
          <w:szCs w:val="26"/>
          <w:lang w:val="lv-LV"/>
        </w:rPr>
        <w:t>finansiālās neatkarības stiprināšanai</w:t>
      </w:r>
      <w:r w:rsidR="008C3699" w:rsidRPr="00E92804">
        <w:rPr>
          <w:szCs w:val="26"/>
          <w:lang w:val="lv-LV"/>
        </w:rPr>
        <w:t>, ņemot vērā faktisko situāciju iestādē ar hronisku finanšu resursu nepietiekamību pilnvērtīgai konkurences uzraudzības funkciju izpilde</w:t>
      </w:r>
      <w:r w:rsidR="00B8649F" w:rsidRPr="00E92804">
        <w:rPr>
          <w:szCs w:val="26"/>
          <w:lang w:val="lv-LV"/>
        </w:rPr>
        <w:t>i</w:t>
      </w:r>
      <w:r w:rsidR="008C3699" w:rsidRPr="00E92804">
        <w:rPr>
          <w:szCs w:val="26"/>
          <w:lang w:val="lv-LV"/>
        </w:rPr>
        <w:t xml:space="preserve"> un ņemtu vērā arī Ekonomiskās sadarbības un attīstības organizācijas (turpmāk – OECD) un Eiropas Komisijas rekomendācijas attiecībā uz </w:t>
      </w:r>
      <w:r w:rsidR="00094676" w:rsidRPr="00E92804">
        <w:rPr>
          <w:szCs w:val="26"/>
          <w:lang w:val="lv-LV"/>
        </w:rPr>
        <w:t xml:space="preserve">KP </w:t>
      </w:r>
      <w:r w:rsidR="008C3699" w:rsidRPr="00E92804">
        <w:rPr>
          <w:szCs w:val="26"/>
          <w:lang w:val="lv-LV"/>
        </w:rPr>
        <w:t xml:space="preserve"> </w:t>
      </w:r>
      <w:r w:rsidR="00B8649F" w:rsidRPr="00E92804">
        <w:rPr>
          <w:szCs w:val="26"/>
          <w:lang w:val="lv-LV"/>
        </w:rPr>
        <w:t xml:space="preserve">nodrošināšanu ar adekvātiem resursiem un </w:t>
      </w:r>
      <w:r w:rsidR="00094676" w:rsidRPr="00E92804">
        <w:rPr>
          <w:szCs w:val="26"/>
          <w:lang w:val="lv-LV"/>
        </w:rPr>
        <w:t xml:space="preserve">tās </w:t>
      </w:r>
      <w:r w:rsidR="008C3699" w:rsidRPr="00E92804">
        <w:rPr>
          <w:szCs w:val="26"/>
          <w:lang w:val="lv-LV"/>
        </w:rPr>
        <w:t>finansiālās neatkarības stiprināšanu.</w:t>
      </w:r>
    </w:p>
    <w:p w14:paraId="4719BCBE" w14:textId="6E6A73CF" w:rsidR="0059458D" w:rsidRPr="00E92804" w:rsidRDefault="00B8649F" w:rsidP="00DE6668">
      <w:pPr>
        <w:spacing w:before="120" w:after="0" w:line="240" w:lineRule="auto"/>
        <w:rPr>
          <w:szCs w:val="26"/>
          <w:lang w:val="lv-LV"/>
        </w:rPr>
      </w:pPr>
      <w:r w:rsidRPr="00E92804">
        <w:rPr>
          <w:szCs w:val="26"/>
          <w:lang w:val="lv-LV"/>
        </w:rPr>
        <w:t>Iespēja apvienot abas iestādes – KP un Sabiedrisko pakalpojumu regulēšanas komisiju (</w:t>
      </w:r>
      <w:r w:rsidR="0059458D" w:rsidRPr="00E92804">
        <w:rPr>
          <w:szCs w:val="26"/>
          <w:lang w:val="lv-LV"/>
        </w:rPr>
        <w:t xml:space="preserve">turpmāk – </w:t>
      </w:r>
      <w:r w:rsidRPr="00E92804">
        <w:rPr>
          <w:szCs w:val="26"/>
          <w:lang w:val="lv-LV"/>
        </w:rPr>
        <w:t xml:space="preserve">SPRK) </w:t>
      </w:r>
      <w:r w:rsidR="00E92804" w:rsidRPr="00E92804">
        <w:rPr>
          <w:szCs w:val="26"/>
          <w:lang w:val="lv-LV"/>
        </w:rPr>
        <w:t>–</w:t>
      </w:r>
      <w:r w:rsidRPr="00E92804">
        <w:rPr>
          <w:szCs w:val="26"/>
          <w:lang w:val="lv-LV"/>
        </w:rPr>
        <w:t xml:space="preserve"> tika vērtēta, ņemot vērā, ka to uzraudzības funkcijas saskaras </w:t>
      </w:r>
      <w:r w:rsidR="00394D4C" w:rsidRPr="00E92804">
        <w:rPr>
          <w:szCs w:val="26"/>
          <w:lang w:val="lv-LV"/>
        </w:rPr>
        <w:t>sabiedrisko pakalpojumu sektoros</w:t>
      </w:r>
      <w:r w:rsidR="00B13DEF" w:rsidRPr="00E92804">
        <w:rPr>
          <w:szCs w:val="26"/>
          <w:lang w:val="lv-LV"/>
        </w:rPr>
        <w:t xml:space="preserve">. Tajos SPRK </w:t>
      </w:r>
      <w:r w:rsidR="00394D4C" w:rsidRPr="00E92804">
        <w:rPr>
          <w:szCs w:val="26"/>
          <w:lang w:val="lv-LV"/>
        </w:rPr>
        <w:t xml:space="preserve">īsteno regulēšanas pasākumus, </w:t>
      </w:r>
      <w:r w:rsidR="00B13DEF" w:rsidRPr="00E92804">
        <w:rPr>
          <w:szCs w:val="26"/>
          <w:lang w:val="lv-LV"/>
        </w:rPr>
        <w:t xml:space="preserve">savukārt </w:t>
      </w:r>
      <w:r w:rsidR="00394D4C" w:rsidRPr="00E92804">
        <w:rPr>
          <w:szCs w:val="26"/>
          <w:lang w:val="lv-LV"/>
        </w:rPr>
        <w:t xml:space="preserve">KP </w:t>
      </w:r>
      <w:r w:rsidR="00B13DEF" w:rsidRPr="00E92804">
        <w:rPr>
          <w:szCs w:val="26"/>
          <w:lang w:val="lv-LV"/>
        </w:rPr>
        <w:t xml:space="preserve">novērš/nepieļauj </w:t>
      </w:r>
      <w:r w:rsidR="00394D4C" w:rsidRPr="00E92804">
        <w:rPr>
          <w:szCs w:val="26"/>
          <w:lang w:val="lv-LV"/>
        </w:rPr>
        <w:t>dominējošā stāvokļa ļaunprātīg</w:t>
      </w:r>
      <w:r w:rsidR="00B13DEF" w:rsidRPr="00E92804">
        <w:rPr>
          <w:szCs w:val="26"/>
          <w:lang w:val="lv-LV"/>
        </w:rPr>
        <w:t xml:space="preserve">as </w:t>
      </w:r>
      <w:r w:rsidR="00394D4C" w:rsidRPr="00E92804">
        <w:rPr>
          <w:szCs w:val="26"/>
          <w:lang w:val="lv-LV"/>
        </w:rPr>
        <w:t>izma</w:t>
      </w:r>
      <w:r w:rsidR="00B13DEF" w:rsidRPr="00E92804">
        <w:rPr>
          <w:szCs w:val="26"/>
          <w:lang w:val="lv-LV"/>
        </w:rPr>
        <w:t>n</w:t>
      </w:r>
      <w:r w:rsidR="00394D4C" w:rsidRPr="00E92804">
        <w:rPr>
          <w:szCs w:val="26"/>
          <w:lang w:val="lv-LV"/>
        </w:rPr>
        <w:t>tošan</w:t>
      </w:r>
      <w:r w:rsidR="00B13DEF" w:rsidRPr="00E92804">
        <w:rPr>
          <w:szCs w:val="26"/>
          <w:lang w:val="lv-LV"/>
        </w:rPr>
        <w:t xml:space="preserve">as un aizliegtu </w:t>
      </w:r>
      <w:r w:rsidR="00394D4C" w:rsidRPr="00E92804">
        <w:rPr>
          <w:szCs w:val="26"/>
          <w:lang w:val="lv-LV"/>
        </w:rPr>
        <w:t>vienošan</w:t>
      </w:r>
      <w:r w:rsidR="00B13DEF" w:rsidRPr="00E92804">
        <w:rPr>
          <w:szCs w:val="26"/>
          <w:lang w:val="lv-LV"/>
        </w:rPr>
        <w:t>os pārkāpumus, kā arī veic apvienošanos kontroli</w:t>
      </w:r>
      <w:r w:rsidR="00394D4C" w:rsidRPr="00E92804">
        <w:rPr>
          <w:szCs w:val="26"/>
          <w:lang w:val="lv-LV"/>
        </w:rPr>
        <w:t>.</w:t>
      </w:r>
      <w:r w:rsidR="006D4F7C" w:rsidRPr="00E92804">
        <w:rPr>
          <w:szCs w:val="26"/>
          <w:lang w:val="lv-LV"/>
        </w:rPr>
        <w:t xml:space="preserve"> </w:t>
      </w:r>
      <w:r w:rsidR="00B13DEF" w:rsidRPr="00E92804">
        <w:rPr>
          <w:szCs w:val="26"/>
          <w:lang w:val="lv-LV"/>
        </w:rPr>
        <w:t xml:space="preserve">Līdz ar to abām iestādēm </w:t>
      </w:r>
      <w:r w:rsidR="00CE067E" w:rsidRPr="00E92804">
        <w:rPr>
          <w:szCs w:val="26"/>
          <w:lang w:val="lv-LV"/>
        </w:rPr>
        <w:t>ir kop</w:t>
      </w:r>
      <w:r w:rsidR="00B13DEF" w:rsidRPr="00E92804">
        <w:rPr>
          <w:szCs w:val="26"/>
          <w:lang w:val="lv-LV"/>
        </w:rPr>
        <w:t>īgs</w:t>
      </w:r>
      <w:r w:rsidR="00CE067E" w:rsidRPr="00E92804">
        <w:rPr>
          <w:szCs w:val="26"/>
          <w:lang w:val="lv-LV"/>
        </w:rPr>
        <w:t xml:space="preserve"> mērķis – </w:t>
      </w:r>
      <w:r w:rsidR="00B13DEF" w:rsidRPr="00E92804">
        <w:rPr>
          <w:szCs w:val="26"/>
          <w:lang w:val="lv-LV"/>
        </w:rPr>
        <w:t xml:space="preserve">tirgus varas negatīvo seku </w:t>
      </w:r>
      <w:r w:rsidR="00394D4C" w:rsidRPr="00E92804">
        <w:rPr>
          <w:szCs w:val="26"/>
          <w:lang w:val="lv-LV"/>
        </w:rPr>
        <w:t xml:space="preserve">novēršana un </w:t>
      </w:r>
      <w:r w:rsidR="00CE067E" w:rsidRPr="00E92804">
        <w:rPr>
          <w:szCs w:val="26"/>
          <w:lang w:val="lv-LV"/>
        </w:rPr>
        <w:t xml:space="preserve">konkurences veicināšana sabiedrības interesēs </w:t>
      </w:r>
      <w:r w:rsidR="00394D4C" w:rsidRPr="00E92804">
        <w:rPr>
          <w:szCs w:val="26"/>
          <w:lang w:val="lv-LV"/>
        </w:rPr>
        <w:t xml:space="preserve">regulētajos sektoros. </w:t>
      </w:r>
      <w:r w:rsidR="000E5FEA" w:rsidRPr="00E92804">
        <w:rPr>
          <w:szCs w:val="26"/>
          <w:lang w:val="lv-LV"/>
        </w:rPr>
        <w:t>Iestāžu funkcijas nedublējas un ietaupījums no funkciju apvienošanas vienā iestādē iespēja</w:t>
      </w:r>
      <w:bookmarkStart w:id="1" w:name="_GoBack"/>
      <w:bookmarkEnd w:id="1"/>
      <w:r w:rsidR="000E5FEA" w:rsidRPr="00E92804">
        <w:rPr>
          <w:szCs w:val="26"/>
          <w:lang w:val="lv-LV"/>
        </w:rPr>
        <w:t>m</w:t>
      </w:r>
      <w:r w:rsidR="0059458D" w:rsidRPr="00E92804">
        <w:rPr>
          <w:szCs w:val="26"/>
          <w:lang w:val="lv-LV"/>
        </w:rPr>
        <w:t>s varētu</w:t>
      </w:r>
      <w:r w:rsidR="000E5FEA" w:rsidRPr="00E92804">
        <w:rPr>
          <w:szCs w:val="26"/>
          <w:lang w:val="lv-LV"/>
        </w:rPr>
        <w:t xml:space="preserve"> veidot</w:t>
      </w:r>
      <w:r w:rsidR="00460BFA" w:rsidRPr="00E92804">
        <w:rPr>
          <w:szCs w:val="26"/>
          <w:lang w:val="lv-LV"/>
        </w:rPr>
        <w:t>ie</w:t>
      </w:r>
      <w:r w:rsidR="000E5FEA" w:rsidRPr="00E92804">
        <w:rPr>
          <w:szCs w:val="26"/>
          <w:lang w:val="lv-LV"/>
        </w:rPr>
        <w:t xml:space="preserve">s </w:t>
      </w:r>
      <w:r w:rsidR="0059458D" w:rsidRPr="00E92804">
        <w:rPr>
          <w:szCs w:val="26"/>
          <w:lang w:val="lv-LV"/>
        </w:rPr>
        <w:t xml:space="preserve">vienīgi </w:t>
      </w:r>
      <w:r w:rsidR="000E5FEA" w:rsidRPr="00E92804">
        <w:rPr>
          <w:szCs w:val="26"/>
          <w:lang w:val="lv-LV"/>
        </w:rPr>
        <w:t xml:space="preserve">no tā, ka tiktu panākta lielāka regulācijas un konkurences uzraudzības pasākumu koordinācija. </w:t>
      </w:r>
      <w:r w:rsidR="0059458D" w:rsidRPr="00E92804">
        <w:rPr>
          <w:szCs w:val="26"/>
          <w:lang w:val="lv-LV"/>
        </w:rPr>
        <w:t>Tomēr j</w:t>
      </w:r>
      <w:r w:rsidR="00B13DEF" w:rsidRPr="00E92804">
        <w:rPr>
          <w:szCs w:val="26"/>
          <w:lang w:val="lv-LV"/>
        </w:rPr>
        <w:t xml:space="preserve">āatzīmē, ka papildus regulētajiem sektoriem KP </w:t>
      </w:r>
      <w:r w:rsidR="00094676" w:rsidRPr="00E92804">
        <w:rPr>
          <w:szCs w:val="26"/>
          <w:lang w:val="lv-LV"/>
        </w:rPr>
        <w:t>īsteno</w:t>
      </w:r>
      <w:r w:rsidR="00B13DEF" w:rsidRPr="00E92804">
        <w:rPr>
          <w:szCs w:val="26"/>
          <w:lang w:val="lv-LV"/>
        </w:rPr>
        <w:t xml:space="preserve"> konkurences uzraudzību visos tautsaimniecības sektoros.</w:t>
      </w:r>
      <w:r w:rsidR="0059458D" w:rsidRPr="00E92804">
        <w:rPr>
          <w:szCs w:val="26"/>
          <w:lang w:val="lv-LV"/>
        </w:rPr>
        <w:t xml:space="preserve"> </w:t>
      </w:r>
    </w:p>
    <w:p w14:paraId="241046EE" w14:textId="76A38D23" w:rsidR="00460BFA" w:rsidRPr="00E92804" w:rsidRDefault="00460BFA" w:rsidP="00DE6668">
      <w:pPr>
        <w:spacing w:before="120" w:after="0" w:line="240" w:lineRule="auto"/>
        <w:rPr>
          <w:szCs w:val="26"/>
          <w:lang w:val="lv-LV"/>
        </w:rPr>
      </w:pPr>
      <w:r w:rsidRPr="00E92804">
        <w:rPr>
          <w:szCs w:val="26"/>
          <w:lang w:val="lv-LV"/>
        </w:rPr>
        <w:t>Izvērtētas tika arī finanšu resursu optimizācijas iespējas administratīvo funkciju konsolidācijas gadījumā un secināts, ka</w:t>
      </w:r>
      <w:r w:rsidR="001D6B8C" w:rsidRPr="00E92804">
        <w:rPr>
          <w:szCs w:val="26"/>
          <w:lang w:val="lv-LV"/>
        </w:rPr>
        <w:t>, apvienojot KP un SPRK vienotā iestādē</w:t>
      </w:r>
      <w:r w:rsidR="00C176DF" w:rsidRPr="00E92804">
        <w:rPr>
          <w:szCs w:val="26"/>
          <w:lang w:val="lv-LV"/>
        </w:rPr>
        <w:t xml:space="preserve">, </w:t>
      </w:r>
      <w:r w:rsidR="00ED3213" w:rsidRPr="00E92804">
        <w:rPr>
          <w:szCs w:val="26"/>
          <w:lang w:val="lv-LV"/>
        </w:rPr>
        <w:t>apvienotās</w:t>
      </w:r>
      <w:r w:rsidR="00C176DF" w:rsidRPr="00E92804">
        <w:rPr>
          <w:szCs w:val="26"/>
          <w:lang w:val="lv-LV"/>
        </w:rPr>
        <w:t xml:space="preserve"> iestādes darbības pirmajā gadā administratīvo funkciju nodrošināšanai papildus</w:t>
      </w:r>
      <w:r w:rsidR="00844481" w:rsidRPr="00E92804">
        <w:rPr>
          <w:szCs w:val="26"/>
          <w:lang w:val="lv-LV"/>
        </w:rPr>
        <w:t xml:space="preserve"> būtu nepieciešami finanšu resursi</w:t>
      </w:r>
      <w:r w:rsidR="00C176DF" w:rsidRPr="00E92804">
        <w:rPr>
          <w:szCs w:val="26"/>
          <w:lang w:val="lv-LV"/>
        </w:rPr>
        <w:t xml:space="preserve"> </w:t>
      </w:r>
      <w:r w:rsidR="00AB0F1E">
        <w:rPr>
          <w:szCs w:val="26"/>
          <w:lang w:val="lv-LV"/>
        </w:rPr>
        <w:t>54 744</w:t>
      </w:r>
      <w:r w:rsidR="00C176DF" w:rsidRPr="00E92804">
        <w:rPr>
          <w:szCs w:val="26"/>
          <w:lang w:val="lv-LV"/>
        </w:rPr>
        <w:t xml:space="preserve"> </w:t>
      </w:r>
      <w:proofErr w:type="spellStart"/>
      <w:r w:rsidR="009132E8" w:rsidRPr="00E92804">
        <w:rPr>
          <w:i/>
          <w:szCs w:val="26"/>
          <w:lang w:val="lv-LV"/>
        </w:rPr>
        <w:t>euro</w:t>
      </w:r>
      <w:proofErr w:type="spellEnd"/>
      <w:r w:rsidR="00844481" w:rsidRPr="00E92804">
        <w:rPr>
          <w:szCs w:val="26"/>
          <w:lang w:val="lv-LV"/>
        </w:rPr>
        <w:t xml:space="preserve"> apmērā</w:t>
      </w:r>
      <w:r w:rsidR="00C176DF" w:rsidRPr="00E92804">
        <w:rPr>
          <w:szCs w:val="26"/>
          <w:lang w:val="lv-LV"/>
        </w:rPr>
        <w:t xml:space="preserve">, savukārt </w:t>
      </w:r>
      <w:r w:rsidR="00166368" w:rsidRPr="00E92804">
        <w:rPr>
          <w:szCs w:val="26"/>
          <w:lang w:val="lv-LV"/>
        </w:rPr>
        <w:t>nākamajos</w:t>
      </w:r>
      <w:r w:rsidR="00C176DF" w:rsidRPr="00E92804">
        <w:rPr>
          <w:szCs w:val="26"/>
          <w:lang w:val="lv-LV"/>
        </w:rPr>
        <w:t xml:space="preserve"> gados līdz datortehnikas derīgās lietošanas izmantošanas laika beigām </w:t>
      </w:r>
      <w:r w:rsidR="00AB0F1E">
        <w:rPr>
          <w:szCs w:val="26"/>
          <w:lang w:val="lv-LV"/>
        </w:rPr>
        <w:t>9 994</w:t>
      </w:r>
      <w:r w:rsidR="00166368" w:rsidRPr="00E92804">
        <w:rPr>
          <w:szCs w:val="26"/>
          <w:lang w:val="lv-LV"/>
        </w:rPr>
        <w:t xml:space="preserve"> </w:t>
      </w:r>
      <w:proofErr w:type="spellStart"/>
      <w:r w:rsidR="009132E8" w:rsidRPr="00E92804">
        <w:rPr>
          <w:i/>
          <w:szCs w:val="26"/>
          <w:lang w:val="lv-LV"/>
        </w:rPr>
        <w:t>euro</w:t>
      </w:r>
      <w:proofErr w:type="spellEnd"/>
      <w:r w:rsidR="00166368" w:rsidRPr="00E92804">
        <w:rPr>
          <w:szCs w:val="26"/>
          <w:lang w:val="lv-LV"/>
        </w:rPr>
        <w:t xml:space="preserve"> apmērā</w:t>
      </w:r>
      <w:r w:rsidR="000C3246" w:rsidRPr="00E92804">
        <w:rPr>
          <w:szCs w:val="26"/>
          <w:lang w:val="lv-LV"/>
        </w:rPr>
        <w:t xml:space="preserve"> ik gadu</w:t>
      </w:r>
      <w:r w:rsidR="00166368" w:rsidRPr="00E92804">
        <w:rPr>
          <w:szCs w:val="26"/>
          <w:lang w:val="lv-LV"/>
        </w:rPr>
        <w:t xml:space="preserve"> (skatīt pielikumu).</w:t>
      </w:r>
    </w:p>
    <w:p w14:paraId="1BF45351" w14:textId="15C071D3" w:rsidR="00F012E4" w:rsidRPr="00E92804" w:rsidRDefault="000D01AA" w:rsidP="00DE6668">
      <w:pPr>
        <w:spacing w:before="120" w:after="0" w:line="240" w:lineRule="auto"/>
        <w:rPr>
          <w:szCs w:val="26"/>
          <w:lang w:val="lv-LV"/>
        </w:rPr>
      </w:pPr>
      <w:r w:rsidRPr="00E92804">
        <w:rPr>
          <w:szCs w:val="26"/>
          <w:lang w:val="lv-LV"/>
        </w:rPr>
        <w:t xml:space="preserve">Vienlaikus jāņem vērā, ka KP administratīvo funkciju īstenošanu šobrīd daļēji nodrošina Ekonomikas ministrija (grāmatvedības kārtošanu, IT infrastruktūras pakalpojumus, komunālo pakalpojumu </w:t>
      </w:r>
      <w:r w:rsidR="0025428F" w:rsidRPr="00E92804">
        <w:rPr>
          <w:szCs w:val="26"/>
          <w:lang w:val="lv-LV"/>
        </w:rPr>
        <w:t>apmaksu, telpu nomu, uzkopšanu un uzturēšanu, apsardzes pakalpojumus</w:t>
      </w:r>
      <w:r w:rsidR="00750C69" w:rsidRPr="00E92804">
        <w:rPr>
          <w:szCs w:val="26"/>
          <w:lang w:val="lv-LV"/>
        </w:rPr>
        <w:t xml:space="preserve">). Veiktās aplēses liecina, ka </w:t>
      </w:r>
      <w:r w:rsidR="00E60ABD" w:rsidRPr="00E92804">
        <w:rPr>
          <w:szCs w:val="26"/>
          <w:lang w:val="lv-LV"/>
        </w:rPr>
        <w:t>E</w:t>
      </w:r>
      <w:r w:rsidR="004F1AEA" w:rsidRPr="00E92804">
        <w:rPr>
          <w:szCs w:val="26"/>
          <w:lang w:val="lv-LV"/>
        </w:rPr>
        <w:t>konomikas ministrijas</w:t>
      </w:r>
      <w:r w:rsidR="00750C69" w:rsidRPr="00E92804">
        <w:rPr>
          <w:szCs w:val="26"/>
          <w:lang w:val="lv-LV"/>
        </w:rPr>
        <w:t xml:space="preserve"> </w:t>
      </w:r>
      <w:r w:rsidR="00E60ABD" w:rsidRPr="00E92804">
        <w:rPr>
          <w:szCs w:val="26"/>
          <w:lang w:val="lv-LV"/>
        </w:rPr>
        <w:t xml:space="preserve">sniegtais atbalsts KP </w:t>
      </w:r>
      <w:r w:rsidR="004F1AEA" w:rsidRPr="00E92804">
        <w:rPr>
          <w:szCs w:val="26"/>
          <w:lang w:val="lv-LV"/>
        </w:rPr>
        <w:t xml:space="preserve">ik gadu </w:t>
      </w:r>
      <w:r w:rsidR="00E60ABD" w:rsidRPr="00E92804">
        <w:rPr>
          <w:szCs w:val="26"/>
          <w:lang w:val="lv-LV"/>
        </w:rPr>
        <w:t xml:space="preserve">ir novērtējams </w:t>
      </w:r>
      <w:r w:rsidR="00576CC3" w:rsidRPr="00E92804">
        <w:rPr>
          <w:szCs w:val="26"/>
          <w:lang w:val="lv-LV"/>
        </w:rPr>
        <w:t>90</w:t>
      </w:r>
      <w:r w:rsidR="00C816C4" w:rsidRPr="00E92804">
        <w:rPr>
          <w:szCs w:val="26"/>
          <w:lang w:val="lv-LV"/>
        </w:rPr>
        <w:t> </w:t>
      </w:r>
      <w:r w:rsidR="00576CC3" w:rsidRPr="00E92804">
        <w:rPr>
          <w:szCs w:val="26"/>
          <w:lang w:val="lv-LV"/>
        </w:rPr>
        <w:t xml:space="preserve">635 </w:t>
      </w:r>
      <w:proofErr w:type="spellStart"/>
      <w:r w:rsidR="009132E8" w:rsidRPr="00E92804">
        <w:rPr>
          <w:i/>
          <w:szCs w:val="26"/>
          <w:lang w:val="lv-LV"/>
        </w:rPr>
        <w:t>euro</w:t>
      </w:r>
      <w:proofErr w:type="spellEnd"/>
      <w:r w:rsidR="00E60ABD" w:rsidRPr="00E92804">
        <w:rPr>
          <w:szCs w:val="26"/>
          <w:lang w:val="lv-LV"/>
        </w:rPr>
        <w:t xml:space="preserve"> </w:t>
      </w:r>
      <w:r w:rsidR="00E60ABD" w:rsidRPr="00E92804">
        <w:rPr>
          <w:szCs w:val="26"/>
          <w:lang w:val="lv-LV"/>
        </w:rPr>
        <w:lastRenderedPageBreak/>
        <w:t>apmērā</w:t>
      </w:r>
      <w:r w:rsidR="009C1615" w:rsidRPr="00E92804">
        <w:rPr>
          <w:szCs w:val="26"/>
          <w:lang w:val="lv-LV"/>
        </w:rPr>
        <w:t xml:space="preserve">. Tādēļ </w:t>
      </w:r>
      <w:r w:rsidR="00F012E4" w:rsidRPr="00E92804">
        <w:rPr>
          <w:szCs w:val="26"/>
          <w:lang w:val="lv-LV"/>
        </w:rPr>
        <w:t xml:space="preserve">institucionāli neatkarīgas iestādes izveides gadījumā, </w:t>
      </w:r>
      <w:r w:rsidR="009C1615" w:rsidRPr="00E92804">
        <w:rPr>
          <w:szCs w:val="26"/>
          <w:lang w:val="lv-LV"/>
        </w:rPr>
        <w:t xml:space="preserve">iepriekš minēto izmaksu pozīciju turpmākai segšanai </w:t>
      </w:r>
      <w:r w:rsidR="00ED3213" w:rsidRPr="00E92804">
        <w:rPr>
          <w:szCs w:val="26"/>
          <w:lang w:val="lv-LV"/>
        </w:rPr>
        <w:t>apvienotajai</w:t>
      </w:r>
      <w:r w:rsidR="009C1615" w:rsidRPr="00E92804">
        <w:rPr>
          <w:szCs w:val="26"/>
          <w:lang w:val="lv-LV"/>
        </w:rPr>
        <w:t xml:space="preserve"> iestādei bū</w:t>
      </w:r>
      <w:r w:rsidR="000C3246" w:rsidRPr="00E92804">
        <w:rPr>
          <w:szCs w:val="26"/>
          <w:lang w:val="lv-LV"/>
        </w:rPr>
        <w:t>tu</w:t>
      </w:r>
      <w:r w:rsidR="009C1615" w:rsidRPr="00E92804">
        <w:rPr>
          <w:szCs w:val="26"/>
          <w:lang w:val="lv-LV"/>
        </w:rPr>
        <w:t xml:space="preserve"> nepieciešami papildus finanšu resursi no valsts budžeta</w:t>
      </w:r>
      <w:r w:rsidR="00E60ABD" w:rsidRPr="00E92804">
        <w:rPr>
          <w:szCs w:val="26"/>
          <w:lang w:val="lv-LV"/>
        </w:rPr>
        <w:t xml:space="preserve"> dotācijas no vispārējiem ieņēmumiem</w:t>
      </w:r>
      <w:r w:rsidR="009C1615" w:rsidRPr="00E92804">
        <w:rPr>
          <w:szCs w:val="26"/>
          <w:lang w:val="lv-LV"/>
        </w:rPr>
        <w:t>.</w:t>
      </w:r>
      <w:r w:rsidR="00E60ABD" w:rsidRPr="00E92804">
        <w:rPr>
          <w:szCs w:val="26"/>
          <w:lang w:val="lv-LV"/>
        </w:rPr>
        <w:t xml:space="preserve"> </w:t>
      </w:r>
      <w:r w:rsidR="00C262B5" w:rsidRPr="00E92804">
        <w:rPr>
          <w:szCs w:val="26"/>
          <w:lang w:val="lv-LV"/>
        </w:rPr>
        <w:t>Attiecīgi</w:t>
      </w:r>
      <w:r w:rsidR="000C3246" w:rsidRPr="00E92804">
        <w:rPr>
          <w:szCs w:val="26"/>
          <w:lang w:val="lv-LV"/>
        </w:rPr>
        <w:t xml:space="preserve">, ņemot vērā </w:t>
      </w:r>
      <w:r w:rsidR="00F012E4" w:rsidRPr="00E92804">
        <w:rPr>
          <w:szCs w:val="26"/>
          <w:lang w:val="lv-LV"/>
        </w:rPr>
        <w:t xml:space="preserve">iepriekš veiktās aplēses </w:t>
      </w:r>
      <w:r w:rsidR="00ED3213" w:rsidRPr="00E92804">
        <w:rPr>
          <w:szCs w:val="26"/>
          <w:lang w:val="lv-LV"/>
        </w:rPr>
        <w:t xml:space="preserve">un </w:t>
      </w:r>
      <w:r w:rsidR="00F012E4" w:rsidRPr="00E92804">
        <w:rPr>
          <w:szCs w:val="26"/>
          <w:lang w:val="lv-LV"/>
        </w:rPr>
        <w:t xml:space="preserve">minētos apsvērumus, </w:t>
      </w:r>
      <w:r w:rsidR="004F1AEA" w:rsidRPr="00E92804">
        <w:rPr>
          <w:szCs w:val="26"/>
          <w:lang w:val="lv-LV"/>
        </w:rPr>
        <w:t xml:space="preserve">kopumā </w:t>
      </w:r>
      <w:r w:rsidR="00F012E4" w:rsidRPr="00E92804">
        <w:rPr>
          <w:szCs w:val="26"/>
          <w:lang w:val="lv-LV"/>
        </w:rPr>
        <w:t xml:space="preserve">administratīvo funkciju nodrošināšanai apvienotajā iestādē pirmajā darbības gadā no valsts budžeta dotācijas no vispārējiem ieņēmumiem papildus būtu nepieciešami </w:t>
      </w:r>
      <w:r w:rsidR="00AB0F1E">
        <w:rPr>
          <w:szCs w:val="26"/>
          <w:lang w:val="lv-LV"/>
        </w:rPr>
        <w:t>145 379</w:t>
      </w:r>
      <w:r w:rsidR="00F012E4" w:rsidRPr="00E92804">
        <w:rPr>
          <w:szCs w:val="26"/>
          <w:lang w:val="lv-LV"/>
        </w:rPr>
        <w:t xml:space="preserve"> </w:t>
      </w:r>
      <w:proofErr w:type="spellStart"/>
      <w:r w:rsidR="009132E8" w:rsidRPr="00E92804">
        <w:rPr>
          <w:i/>
          <w:szCs w:val="26"/>
          <w:lang w:val="lv-LV"/>
        </w:rPr>
        <w:t>euro</w:t>
      </w:r>
      <w:proofErr w:type="spellEnd"/>
      <w:r w:rsidR="004F1AEA" w:rsidRPr="00E92804">
        <w:rPr>
          <w:szCs w:val="26"/>
          <w:lang w:val="lv-LV"/>
        </w:rPr>
        <w:t xml:space="preserve">, savukārt nākamajos gados līdz datortehnikas derīgās lietošanas izmantošanas laika beigām </w:t>
      </w:r>
      <w:r w:rsidR="00AB0F1E">
        <w:rPr>
          <w:szCs w:val="26"/>
          <w:lang w:val="lv-LV"/>
        </w:rPr>
        <w:t>100 629</w:t>
      </w:r>
      <w:r w:rsidR="004F1AEA" w:rsidRPr="00E92804">
        <w:rPr>
          <w:szCs w:val="26"/>
          <w:lang w:val="lv-LV"/>
        </w:rPr>
        <w:t xml:space="preserve"> </w:t>
      </w:r>
      <w:proofErr w:type="spellStart"/>
      <w:r w:rsidR="009132E8" w:rsidRPr="00E92804">
        <w:rPr>
          <w:i/>
          <w:szCs w:val="26"/>
          <w:lang w:val="lv-LV"/>
        </w:rPr>
        <w:t>euro</w:t>
      </w:r>
      <w:proofErr w:type="spellEnd"/>
      <w:r w:rsidR="004F1AEA" w:rsidRPr="00E92804">
        <w:rPr>
          <w:szCs w:val="26"/>
          <w:lang w:val="lv-LV"/>
        </w:rPr>
        <w:t xml:space="preserve"> ik gadu.</w:t>
      </w:r>
    </w:p>
    <w:p w14:paraId="340B55AB" w14:textId="1A6168F8" w:rsidR="000E5FEA" w:rsidRPr="00E92804" w:rsidRDefault="00F24889" w:rsidP="00DE6668">
      <w:pPr>
        <w:spacing w:before="120" w:after="0" w:line="240" w:lineRule="auto"/>
        <w:rPr>
          <w:szCs w:val="26"/>
          <w:lang w:val="lv-LV"/>
        </w:rPr>
      </w:pPr>
      <w:r w:rsidRPr="00E92804">
        <w:rPr>
          <w:szCs w:val="26"/>
          <w:lang w:val="lv-LV"/>
        </w:rPr>
        <w:t xml:space="preserve">Tādējādi diskusijas par iespējamo KP un </w:t>
      </w:r>
      <w:r w:rsidR="000E5FEA" w:rsidRPr="00E92804">
        <w:rPr>
          <w:szCs w:val="26"/>
          <w:lang w:val="lv-LV"/>
        </w:rPr>
        <w:t xml:space="preserve">SPRK </w:t>
      </w:r>
      <w:r w:rsidRPr="00E92804">
        <w:rPr>
          <w:szCs w:val="26"/>
          <w:lang w:val="lv-LV"/>
        </w:rPr>
        <w:t xml:space="preserve">apvienošanu </w:t>
      </w:r>
      <w:r w:rsidR="0059458D" w:rsidRPr="00E92804">
        <w:rPr>
          <w:szCs w:val="26"/>
          <w:lang w:val="lv-LV"/>
        </w:rPr>
        <w:t xml:space="preserve">galvenokārt </w:t>
      </w:r>
      <w:r w:rsidRPr="00E92804">
        <w:rPr>
          <w:szCs w:val="26"/>
          <w:lang w:val="lv-LV"/>
        </w:rPr>
        <w:t xml:space="preserve">tika aktualizētas, lai risinātu </w:t>
      </w:r>
      <w:r w:rsidRPr="00E92804">
        <w:rPr>
          <w:szCs w:val="26"/>
          <w:u w:val="single"/>
          <w:lang w:val="lv-LV"/>
        </w:rPr>
        <w:t>KP finansiālās neatkarības un kapacitātes stiprināšanas jautājumu</w:t>
      </w:r>
      <w:r w:rsidRPr="00E92804">
        <w:rPr>
          <w:szCs w:val="26"/>
          <w:lang w:val="lv-LV"/>
        </w:rPr>
        <w:t xml:space="preserve">, t.i., nodrošinātu nepieciešamos papildu resursus atalgojuma izlīdzināšanai divās radniecīgās uzraudzības iestādēs. </w:t>
      </w:r>
    </w:p>
    <w:p w14:paraId="3566FB19" w14:textId="1F3616D6" w:rsidR="005E44FA" w:rsidRPr="00E92804" w:rsidRDefault="00E66605" w:rsidP="00DE6668">
      <w:pPr>
        <w:widowControl/>
        <w:spacing w:before="120" w:after="0" w:line="240" w:lineRule="auto"/>
        <w:rPr>
          <w:szCs w:val="26"/>
          <w:lang w:val="lv-LV"/>
        </w:rPr>
      </w:pPr>
      <w:r w:rsidRPr="00E92804">
        <w:rPr>
          <w:szCs w:val="26"/>
          <w:lang w:val="lv-LV"/>
        </w:rPr>
        <w:t>Vērtējot iepriekš minēto aspektu</w:t>
      </w:r>
      <w:r w:rsidR="00595AD6" w:rsidRPr="00E92804">
        <w:rPr>
          <w:szCs w:val="26"/>
          <w:lang w:val="lv-LV"/>
        </w:rPr>
        <w:t xml:space="preserve">, </w:t>
      </w:r>
      <w:r w:rsidR="00203582" w:rsidRPr="00E92804">
        <w:rPr>
          <w:szCs w:val="26"/>
          <w:lang w:val="lv-LV"/>
        </w:rPr>
        <w:t xml:space="preserve">tika </w:t>
      </w:r>
      <w:r w:rsidR="00595AD6" w:rsidRPr="00E92804">
        <w:rPr>
          <w:szCs w:val="26"/>
          <w:lang w:val="lv-LV"/>
        </w:rPr>
        <w:t>ņem</w:t>
      </w:r>
      <w:r w:rsidR="00203582" w:rsidRPr="00E92804">
        <w:rPr>
          <w:szCs w:val="26"/>
          <w:lang w:val="lv-LV"/>
        </w:rPr>
        <w:t>ts</w:t>
      </w:r>
      <w:r w:rsidR="00595AD6" w:rsidRPr="00E92804">
        <w:rPr>
          <w:szCs w:val="26"/>
          <w:lang w:val="lv-LV"/>
        </w:rPr>
        <w:t xml:space="preserve"> vērā, ka </w:t>
      </w:r>
      <w:r w:rsidR="0058504C" w:rsidRPr="00E92804">
        <w:rPr>
          <w:szCs w:val="26"/>
          <w:lang w:val="lv-LV"/>
        </w:rPr>
        <w:t xml:space="preserve">KP darbība tiek </w:t>
      </w:r>
      <w:r w:rsidR="00EE0945" w:rsidRPr="00E92804">
        <w:rPr>
          <w:szCs w:val="26"/>
          <w:lang w:val="lv-LV"/>
        </w:rPr>
        <w:t>f</w:t>
      </w:r>
      <w:r w:rsidR="0058504C" w:rsidRPr="00E92804">
        <w:rPr>
          <w:szCs w:val="26"/>
          <w:lang w:val="lv-LV"/>
        </w:rPr>
        <w:t xml:space="preserve">inansēta no </w:t>
      </w:r>
      <w:r w:rsidR="0058504C" w:rsidRPr="00E92804">
        <w:rPr>
          <w:szCs w:val="26"/>
          <w:u w:val="single"/>
          <w:lang w:val="lv-LV"/>
        </w:rPr>
        <w:t>valsts budžeta līdzekļiem</w:t>
      </w:r>
      <w:r w:rsidR="0058504C" w:rsidRPr="00E92804">
        <w:rPr>
          <w:szCs w:val="26"/>
          <w:lang w:val="lv-LV"/>
        </w:rPr>
        <w:t xml:space="preserve">, savukārt </w:t>
      </w:r>
      <w:r w:rsidR="000E5FEA" w:rsidRPr="00E92804">
        <w:rPr>
          <w:szCs w:val="26"/>
          <w:lang w:val="lv-LV"/>
        </w:rPr>
        <w:t xml:space="preserve">SPRK </w:t>
      </w:r>
      <w:r w:rsidR="0058504C" w:rsidRPr="00E92804">
        <w:rPr>
          <w:szCs w:val="26"/>
          <w:lang w:val="lv-LV"/>
        </w:rPr>
        <w:t xml:space="preserve">darbība </w:t>
      </w:r>
      <w:r w:rsidR="000E5FEA" w:rsidRPr="00E92804">
        <w:rPr>
          <w:szCs w:val="26"/>
          <w:lang w:val="lv-LV"/>
        </w:rPr>
        <w:t xml:space="preserve">- </w:t>
      </w:r>
      <w:r w:rsidR="0058504C" w:rsidRPr="00E92804">
        <w:rPr>
          <w:szCs w:val="26"/>
          <w:u w:val="single"/>
          <w:lang w:val="lv-LV"/>
        </w:rPr>
        <w:t>no valsts nodevas par sabiedrisko pakalpojumu regulēšanu (regulējamo nozaru komersantiem)</w:t>
      </w:r>
      <w:r w:rsidR="0058504C" w:rsidRPr="00E92804">
        <w:rPr>
          <w:szCs w:val="26"/>
          <w:lang w:val="lv-LV"/>
        </w:rPr>
        <w:t xml:space="preserve">. </w:t>
      </w:r>
    </w:p>
    <w:p w14:paraId="11808A34" w14:textId="04E9CDFB" w:rsidR="00094676" w:rsidRPr="00E92804" w:rsidRDefault="005E44FA" w:rsidP="00DE6668">
      <w:pPr>
        <w:widowControl/>
        <w:spacing w:before="120" w:after="0" w:line="240" w:lineRule="auto"/>
        <w:rPr>
          <w:szCs w:val="26"/>
          <w:lang w:val="lv-LV" w:eastAsia="lv-LV"/>
        </w:rPr>
      </w:pPr>
      <w:r w:rsidRPr="00E92804">
        <w:rPr>
          <w:szCs w:val="26"/>
          <w:lang w:val="lv-LV"/>
        </w:rPr>
        <w:t>Izvērtēšanas procesā tostarp tika veikts KP un SPRK finansiālās kapacitātes salīdzinājums un secināts, ka, lai arī KP un SPRK veic radniecīgas funkcijas, tomēr ir novērojamas būtiskas atšķirības iestādēm piešķirto resursu apmērā.</w:t>
      </w:r>
      <w:r w:rsidR="008B32CB" w:rsidRPr="00E92804">
        <w:rPr>
          <w:szCs w:val="26"/>
          <w:lang w:val="lv-LV"/>
        </w:rPr>
        <w:t xml:space="preserve"> </w:t>
      </w:r>
      <w:r w:rsidR="008B2C9B" w:rsidRPr="00E92804">
        <w:rPr>
          <w:szCs w:val="26"/>
          <w:lang w:val="lv-LV"/>
        </w:rPr>
        <w:t xml:space="preserve">Proti, </w:t>
      </w:r>
      <w:r w:rsidR="000E5FEA" w:rsidRPr="00E92804">
        <w:rPr>
          <w:szCs w:val="26"/>
          <w:lang w:val="lv-LV"/>
        </w:rPr>
        <w:t xml:space="preserve">2018.gadā KP </w:t>
      </w:r>
      <w:r w:rsidR="008D7418" w:rsidRPr="00E92804">
        <w:rPr>
          <w:szCs w:val="26"/>
          <w:lang w:val="lv-LV"/>
        </w:rPr>
        <w:t>(</w:t>
      </w:r>
      <w:r w:rsidR="000E5FEA" w:rsidRPr="00E92804">
        <w:rPr>
          <w:szCs w:val="26"/>
          <w:lang w:val="lv-LV"/>
        </w:rPr>
        <w:t>50 darbinieki</w:t>
      </w:r>
      <w:r w:rsidR="008D7418" w:rsidRPr="00E92804">
        <w:rPr>
          <w:szCs w:val="26"/>
          <w:lang w:val="lv-LV"/>
        </w:rPr>
        <w:t>)</w:t>
      </w:r>
      <w:r w:rsidR="000E5FEA" w:rsidRPr="00E92804">
        <w:rPr>
          <w:szCs w:val="26"/>
          <w:lang w:val="lv-LV"/>
        </w:rPr>
        <w:t xml:space="preserve"> atlīdzībām bija piešķirti </w:t>
      </w:r>
      <w:r w:rsidR="008D7418" w:rsidRPr="00E92804">
        <w:rPr>
          <w:szCs w:val="26"/>
          <w:lang w:val="lv-LV"/>
        </w:rPr>
        <w:t xml:space="preserve">1 166 453 </w:t>
      </w:r>
      <w:r w:rsidR="008D7418" w:rsidRPr="00E92804">
        <w:rPr>
          <w:i/>
          <w:szCs w:val="26"/>
          <w:lang w:val="lv-LV"/>
        </w:rPr>
        <w:t>euro</w:t>
      </w:r>
      <w:r w:rsidR="000E5FEA" w:rsidRPr="00E92804">
        <w:rPr>
          <w:szCs w:val="26"/>
          <w:lang w:val="lv-LV"/>
        </w:rPr>
        <w:t xml:space="preserve">, </w:t>
      </w:r>
      <w:r w:rsidR="008B32CB" w:rsidRPr="00E92804">
        <w:rPr>
          <w:szCs w:val="26"/>
          <w:lang w:val="lv-LV"/>
        </w:rPr>
        <w:t xml:space="preserve">savukārt </w:t>
      </w:r>
      <w:r w:rsidR="000E5FEA" w:rsidRPr="00E92804">
        <w:rPr>
          <w:szCs w:val="26"/>
          <w:lang w:val="lv-LV"/>
        </w:rPr>
        <w:t xml:space="preserve">SPRK </w:t>
      </w:r>
      <w:r w:rsidR="008D7418" w:rsidRPr="00E92804">
        <w:rPr>
          <w:szCs w:val="26"/>
          <w:lang w:val="lv-LV"/>
        </w:rPr>
        <w:t>(</w:t>
      </w:r>
      <w:r w:rsidR="00A07B95" w:rsidRPr="00E92804">
        <w:rPr>
          <w:szCs w:val="26"/>
          <w:lang w:val="lv-LV"/>
        </w:rPr>
        <w:t xml:space="preserve">121 </w:t>
      </w:r>
      <w:r w:rsidR="000E5FEA" w:rsidRPr="00E92804">
        <w:rPr>
          <w:szCs w:val="26"/>
          <w:lang w:val="lv-LV"/>
        </w:rPr>
        <w:t>darbinieki</w:t>
      </w:r>
      <w:r w:rsidR="008D7418" w:rsidRPr="00E92804">
        <w:rPr>
          <w:szCs w:val="26"/>
          <w:lang w:val="lv-LV"/>
        </w:rPr>
        <w:t>)</w:t>
      </w:r>
      <w:r w:rsidR="000E5FEA" w:rsidRPr="00E92804">
        <w:rPr>
          <w:szCs w:val="26"/>
          <w:lang w:val="lv-LV"/>
        </w:rPr>
        <w:t xml:space="preserve"> </w:t>
      </w:r>
      <w:r w:rsidR="008D7418" w:rsidRPr="00E92804">
        <w:rPr>
          <w:szCs w:val="26"/>
          <w:lang w:val="lv-LV"/>
        </w:rPr>
        <w:t xml:space="preserve">4 001 183 </w:t>
      </w:r>
      <w:r w:rsidR="008D7418" w:rsidRPr="00E92804">
        <w:rPr>
          <w:i/>
          <w:szCs w:val="26"/>
          <w:lang w:val="lv-LV"/>
        </w:rPr>
        <w:t>euro</w:t>
      </w:r>
      <w:r w:rsidR="000E5FEA" w:rsidRPr="00E92804">
        <w:rPr>
          <w:szCs w:val="26"/>
          <w:lang w:val="lv-LV"/>
        </w:rPr>
        <w:t xml:space="preserve">. </w:t>
      </w:r>
      <w:r w:rsidRPr="00E92804">
        <w:rPr>
          <w:szCs w:val="26"/>
          <w:lang w:val="lv-LV"/>
        </w:rPr>
        <w:t xml:space="preserve">Mēneša vidējā darbinieka bruto atlīdzība </w:t>
      </w:r>
      <w:r w:rsidR="008B2C9B" w:rsidRPr="00E92804">
        <w:rPr>
          <w:szCs w:val="26"/>
          <w:lang w:val="lv-LV"/>
        </w:rPr>
        <w:t xml:space="preserve">KP – 1944 </w:t>
      </w:r>
      <w:r w:rsidR="008B2C9B" w:rsidRPr="00E92804">
        <w:rPr>
          <w:i/>
          <w:szCs w:val="26"/>
          <w:lang w:val="lv-LV"/>
        </w:rPr>
        <w:t xml:space="preserve">euro, </w:t>
      </w:r>
      <w:r w:rsidR="008B2C9B" w:rsidRPr="00E92804">
        <w:rPr>
          <w:szCs w:val="26"/>
          <w:lang w:val="lv-LV"/>
        </w:rPr>
        <w:t xml:space="preserve">savukārt </w:t>
      </w:r>
      <w:r w:rsidRPr="00E92804">
        <w:rPr>
          <w:szCs w:val="26"/>
          <w:lang w:val="lv-LV"/>
        </w:rPr>
        <w:t xml:space="preserve">SPRK – </w:t>
      </w:r>
      <w:r w:rsidR="00A726DB" w:rsidRPr="00E92804">
        <w:rPr>
          <w:szCs w:val="26"/>
          <w:lang w:val="lv-LV"/>
        </w:rPr>
        <w:t>2755</w:t>
      </w:r>
      <w:r w:rsidRPr="00E92804">
        <w:rPr>
          <w:szCs w:val="26"/>
          <w:lang w:val="lv-LV"/>
        </w:rPr>
        <w:t xml:space="preserve"> </w:t>
      </w:r>
      <w:proofErr w:type="spellStart"/>
      <w:r w:rsidRPr="00E92804">
        <w:rPr>
          <w:i/>
          <w:szCs w:val="26"/>
          <w:lang w:val="lv-LV"/>
        </w:rPr>
        <w:t>euro</w:t>
      </w:r>
      <w:proofErr w:type="spellEnd"/>
      <w:r w:rsidRPr="00E92804">
        <w:rPr>
          <w:szCs w:val="26"/>
          <w:lang w:val="lv-LV"/>
        </w:rPr>
        <w:t>.</w:t>
      </w:r>
      <w:r w:rsidR="00273CED" w:rsidRPr="00E92804">
        <w:rPr>
          <w:szCs w:val="26"/>
          <w:lang w:val="lv-LV"/>
        </w:rPr>
        <w:t xml:space="preserve"> </w:t>
      </w:r>
      <w:r w:rsidR="00C149D5" w:rsidRPr="00E92804">
        <w:rPr>
          <w:szCs w:val="26"/>
          <w:lang w:val="lv-LV"/>
        </w:rPr>
        <w:t>Papildus i</w:t>
      </w:r>
      <w:r w:rsidR="00273CED" w:rsidRPr="00E92804">
        <w:rPr>
          <w:szCs w:val="26"/>
          <w:lang w:val="lv-LV"/>
        </w:rPr>
        <w:t xml:space="preserve">nformācija par SPRK </w:t>
      </w:r>
      <w:r w:rsidR="00C149D5" w:rsidRPr="00E92804">
        <w:rPr>
          <w:szCs w:val="26"/>
          <w:lang w:val="lv-LV"/>
        </w:rPr>
        <w:t xml:space="preserve">un KP </w:t>
      </w:r>
      <w:r w:rsidR="00273CED" w:rsidRPr="00E92804">
        <w:rPr>
          <w:szCs w:val="26"/>
          <w:lang w:val="lv-LV"/>
        </w:rPr>
        <w:t xml:space="preserve">amatpersonu un darbinieku </w:t>
      </w:r>
      <w:r w:rsidR="00C149D5" w:rsidRPr="00E92804">
        <w:rPr>
          <w:szCs w:val="26"/>
          <w:lang w:val="lv-LV"/>
        </w:rPr>
        <w:t xml:space="preserve">atlīdzības sistēmu un vidējās </w:t>
      </w:r>
      <w:r w:rsidR="00273CED" w:rsidRPr="00E92804">
        <w:rPr>
          <w:szCs w:val="26"/>
          <w:lang w:val="lv-LV"/>
        </w:rPr>
        <w:t>mēnešalgas apmēr</w:t>
      </w:r>
      <w:r w:rsidR="00C149D5" w:rsidRPr="00E92804">
        <w:rPr>
          <w:szCs w:val="26"/>
          <w:lang w:val="lv-LV"/>
        </w:rPr>
        <w:t xml:space="preserve">iem </w:t>
      </w:r>
      <w:r w:rsidR="00273CED" w:rsidRPr="00E92804">
        <w:rPr>
          <w:szCs w:val="26"/>
          <w:lang w:val="lv-LV"/>
        </w:rPr>
        <w:t xml:space="preserve">ir pieejama </w:t>
      </w:r>
      <w:r w:rsidR="00C149D5" w:rsidRPr="00E92804">
        <w:rPr>
          <w:szCs w:val="26"/>
          <w:lang w:val="lv-LV"/>
        </w:rPr>
        <w:t>abu institūciju tīmekļa vietnēs</w:t>
      </w:r>
      <w:r w:rsidR="00C149D5" w:rsidRPr="00E92804">
        <w:rPr>
          <w:rStyle w:val="FootnoteReference"/>
          <w:szCs w:val="26"/>
          <w:lang w:val="lv-LV"/>
        </w:rPr>
        <w:footnoteReference w:id="1"/>
      </w:r>
      <w:r w:rsidR="00C149D5" w:rsidRPr="00E92804">
        <w:rPr>
          <w:szCs w:val="26"/>
          <w:lang w:val="lv-LV"/>
        </w:rPr>
        <w:t>.</w:t>
      </w:r>
    </w:p>
    <w:p w14:paraId="50DB5F82" w14:textId="0C66F021" w:rsidR="008D7418" w:rsidRPr="00E92804" w:rsidRDefault="00203582" w:rsidP="00DE6668">
      <w:pPr>
        <w:spacing w:before="120" w:after="0" w:line="240" w:lineRule="auto"/>
        <w:ind w:right="85"/>
        <w:rPr>
          <w:szCs w:val="26"/>
          <w:lang w:val="lv-LV"/>
        </w:rPr>
      </w:pPr>
      <w:r w:rsidRPr="00E92804">
        <w:rPr>
          <w:szCs w:val="26"/>
          <w:lang w:val="lv-LV"/>
        </w:rPr>
        <w:t>Ņemot vērā, ka</w:t>
      </w:r>
      <w:r w:rsidR="00595AD6" w:rsidRPr="00E92804">
        <w:rPr>
          <w:szCs w:val="26"/>
          <w:lang w:val="lv-LV"/>
        </w:rPr>
        <w:t xml:space="preserve"> </w:t>
      </w:r>
      <w:r w:rsidR="0058504C" w:rsidRPr="00E92804">
        <w:rPr>
          <w:szCs w:val="26"/>
          <w:u w:val="single"/>
          <w:lang w:val="lv-LV"/>
        </w:rPr>
        <w:t>valsts nodeva par sabiedrisko pakalpojumu regulēšanu regulējamās nozarēs izmantojama vienīgi regulatora darbības nodrošināšanai</w:t>
      </w:r>
      <w:r w:rsidR="0058504C" w:rsidRPr="00E92804">
        <w:rPr>
          <w:szCs w:val="26"/>
          <w:lang w:val="lv-LV"/>
        </w:rPr>
        <w:t xml:space="preserve">, </w:t>
      </w:r>
      <w:r w:rsidRPr="00E92804">
        <w:rPr>
          <w:szCs w:val="26"/>
          <w:lang w:val="lv-LV"/>
        </w:rPr>
        <w:t>tika secināts, ka</w:t>
      </w:r>
      <w:r w:rsidR="0058504C" w:rsidRPr="00E92804">
        <w:rPr>
          <w:szCs w:val="26"/>
          <w:lang w:val="lv-LV"/>
        </w:rPr>
        <w:t xml:space="preserve"> </w:t>
      </w:r>
      <w:r w:rsidR="0058504C" w:rsidRPr="00E92804">
        <w:rPr>
          <w:b/>
          <w:szCs w:val="26"/>
          <w:lang w:val="lv-LV"/>
        </w:rPr>
        <w:t>strukturālu reformu īstenošana</w:t>
      </w:r>
      <w:r w:rsidR="0058504C" w:rsidRPr="00E92804">
        <w:rPr>
          <w:szCs w:val="26"/>
          <w:lang w:val="lv-LV"/>
        </w:rPr>
        <w:t xml:space="preserve">, kas paredz apvienot konkurences aizsardzības un regulējamo nozaru uzraudzības funkcijas vienotā iestādē, pēc būtības </w:t>
      </w:r>
      <w:r w:rsidR="0058504C" w:rsidRPr="00E92804">
        <w:rPr>
          <w:b/>
          <w:szCs w:val="26"/>
          <w:lang w:val="lv-LV"/>
        </w:rPr>
        <w:t xml:space="preserve">nerisina atalgojuma </w:t>
      </w:r>
      <w:r w:rsidR="008D7418" w:rsidRPr="00E92804">
        <w:rPr>
          <w:b/>
          <w:szCs w:val="26"/>
          <w:lang w:val="lv-LV"/>
        </w:rPr>
        <w:t xml:space="preserve">palielināšanas </w:t>
      </w:r>
      <w:r w:rsidR="0058504C" w:rsidRPr="00E92804">
        <w:rPr>
          <w:b/>
          <w:szCs w:val="26"/>
          <w:lang w:val="lv-LV"/>
        </w:rPr>
        <w:t>problēmjautājumu konkurences uzraudzības funkciju īstenotājiem</w:t>
      </w:r>
      <w:r w:rsidR="0058504C" w:rsidRPr="00E92804">
        <w:rPr>
          <w:szCs w:val="26"/>
          <w:lang w:val="lv-LV"/>
        </w:rPr>
        <w:t xml:space="preserve">. Proti, </w:t>
      </w:r>
      <w:r w:rsidR="00F41C3C" w:rsidRPr="00E92804">
        <w:rPr>
          <w:szCs w:val="26"/>
          <w:lang w:val="lv-LV"/>
        </w:rPr>
        <w:t>apvienotās iestādes budžetu veidot</w:t>
      </w:r>
      <w:r w:rsidR="00570122" w:rsidRPr="00E92804">
        <w:rPr>
          <w:szCs w:val="26"/>
          <w:lang w:val="lv-LV"/>
        </w:rPr>
        <w:t>u</w:t>
      </w:r>
      <w:r w:rsidR="00F41C3C" w:rsidRPr="00E92804">
        <w:rPr>
          <w:szCs w:val="26"/>
          <w:lang w:val="lv-LV"/>
        </w:rPr>
        <w:t xml:space="preserve"> kombinēts risinājums</w:t>
      </w:r>
      <w:r w:rsidR="00570122" w:rsidRPr="00E92804">
        <w:rPr>
          <w:szCs w:val="26"/>
          <w:lang w:val="lv-LV"/>
        </w:rPr>
        <w:t xml:space="preserve">, t.i., </w:t>
      </w:r>
      <w:r w:rsidR="00F41C3C" w:rsidRPr="00E92804">
        <w:rPr>
          <w:szCs w:val="26"/>
          <w:lang w:val="lv-LV"/>
        </w:rPr>
        <w:t>funkcijas tik</w:t>
      </w:r>
      <w:r w:rsidR="00570122" w:rsidRPr="00E92804">
        <w:rPr>
          <w:szCs w:val="26"/>
          <w:lang w:val="lv-LV"/>
        </w:rPr>
        <w:t>tu</w:t>
      </w:r>
      <w:r w:rsidR="00F41C3C" w:rsidRPr="00E92804">
        <w:rPr>
          <w:szCs w:val="26"/>
          <w:lang w:val="lv-LV"/>
        </w:rPr>
        <w:t xml:space="preserve"> finansētas no ieņēmumiem, kas gūti, iekasējot valsts nodevu par sabiedrisko pakalpojumu regulēšanu</w:t>
      </w:r>
      <w:r w:rsidR="00F41C3C" w:rsidRPr="00E92804">
        <w:rPr>
          <w:rStyle w:val="FootnoteReference"/>
          <w:szCs w:val="26"/>
        </w:rPr>
        <w:footnoteReference w:id="2"/>
      </w:r>
      <w:r w:rsidR="00570122" w:rsidRPr="00E92804">
        <w:rPr>
          <w:szCs w:val="26"/>
          <w:lang w:val="lv-LV"/>
        </w:rPr>
        <w:t xml:space="preserve"> (regulatīvo funkciju nodrošināšanai)</w:t>
      </w:r>
      <w:r w:rsidR="00F41C3C" w:rsidRPr="00E92804">
        <w:rPr>
          <w:szCs w:val="26"/>
          <w:lang w:val="lv-LV"/>
        </w:rPr>
        <w:t>, un no valsts budžeta dotācijas no  vispārējiem ieņēmumiem</w:t>
      </w:r>
      <w:r w:rsidR="00570122" w:rsidRPr="00E92804">
        <w:rPr>
          <w:szCs w:val="26"/>
          <w:lang w:val="lv-LV"/>
        </w:rPr>
        <w:t xml:space="preserve"> (klasisko konkurences funkciju nodrošināšanai)</w:t>
      </w:r>
      <w:r w:rsidR="00F41C3C" w:rsidRPr="00E92804">
        <w:rPr>
          <w:szCs w:val="26"/>
          <w:lang w:val="lv-LV"/>
        </w:rPr>
        <w:t>.</w:t>
      </w:r>
    </w:p>
    <w:p w14:paraId="6D2EFBBF" w14:textId="77777777" w:rsidR="008B32CB" w:rsidRPr="00E92804" w:rsidRDefault="008B32CB" w:rsidP="00DE6668">
      <w:pPr>
        <w:spacing w:before="120" w:after="0" w:line="240" w:lineRule="auto"/>
        <w:ind w:right="85"/>
        <w:rPr>
          <w:szCs w:val="26"/>
          <w:lang w:val="lv-LV"/>
        </w:rPr>
      </w:pPr>
    </w:p>
    <w:p w14:paraId="4ACDDA01" w14:textId="370ABF2A" w:rsidR="00094676" w:rsidRPr="00E92804" w:rsidRDefault="00094676" w:rsidP="00DE6668">
      <w:pPr>
        <w:widowControl/>
        <w:spacing w:before="120" w:after="0" w:line="240" w:lineRule="auto"/>
        <w:rPr>
          <w:szCs w:val="26"/>
          <w:lang w:val="lv-LV"/>
        </w:rPr>
      </w:pPr>
      <w:r w:rsidRPr="00E92804">
        <w:rPr>
          <w:szCs w:val="26"/>
          <w:lang w:val="lv-LV" w:eastAsia="lv-LV"/>
        </w:rPr>
        <w:lastRenderedPageBreak/>
        <w:t xml:space="preserve">Papildus norādāms, ka Valsts un pašvaldību institūciju amatpersonu un darbinieku atlīdzības likumā </w:t>
      </w:r>
      <w:r w:rsidR="00CF02DD" w:rsidRPr="00E92804">
        <w:rPr>
          <w:szCs w:val="26"/>
          <w:lang w:val="lv-LV" w:eastAsia="lv-LV"/>
        </w:rPr>
        <w:t xml:space="preserve">(turpmāk – Likums) </w:t>
      </w:r>
      <w:r w:rsidRPr="00E92804">
        <w:rPr>
          <w:szCs w:val="26"/>
          <w:lang w:val="lv-LV" w:eastAsia="lv-LV"/>
        </w:rPr>
        <w:t>2017.gadā tika izdarīti grozījumi un kopš</w:t>
      </w:r>
      <w:r w:rsidR="008B2C9B" w:rsidRPr="00E92804">
        <w:rPr>
          <w:szCs w:val="26"/>
          <w:lang w:val="lv-LV" w:eastAsia="lv-LV"/>
        </w:rPr>
        <w:t xml:space="preserve"> gada 1.janvāra</w:t>
      </w:r>
      <w:r w:rsidRPr="00E92804">
        <w:rPr>
          <w:szCs w:val="26"/>
          <w:lang w:val="lv-LV" w:eastAsia="lv-LV"/>
        </w:rPr>
        <w:t xml:space="preserve"> spēkā ir noteikums, ka KP amatpersonu (darbinieku) mēnešalga nedrīkst pārsniegt </w:t>
      </w:r>
      <w:r w:rsidR="00CF02DD" w:rsidRPr="00E92804">
        <w:rPr>
          <w:szCs w:val="26"/>
          <w:lang w:val="lv-LV" w:eastAsia="lv-LV"/>
        </w:rPr>
        <w:t xml:space="preserve">bāzes gada </w:t>
      </w:r>
      <w:r w:rsidRPr="00E92804">
        <w:rPr>
          <w:szCs w:val="26"/>
          <w:u w:val="single"/>
          <w:lang w:val="lv-LV" w:eastAsia="lv-LV"/>
        </w:rPr>
        <w:t>mēneša vidējās darba samaksas apmēru</w:t>
      </w:r>
      <w:r w:rsidRPr="00E92804">
        <w:rPr>
          <w:szCs w:val="26"/>
          <w:lang w:val="lv-LV" w:eastAsia="lv-LV"/>
        </w:rPr>
        <w:t xml:space="preserve">, kas noapaļots pilnos </w:t>
      </w:r>
      <w:r w:rsidRPr="00E92804">
        <w:rPr>
          <w:i/>
          <w:iCs/>
          <w:szCs w:val="26"/>
          <w:lang w:val="lv-LV" w:eastAsia="lv-LV"/>
        </w:rPr>
        <w:t>euro</w:t>
      </w:r>
      <w:r w:rsidRPr="00E92804">
        <w:rPr>
          <w:szCs w:val="26"/>
          <w:lang w:val="lv-LV" w:eastAsia="lv-LV"/>
        </w:rPr>
        <w:t xml:space="preserve"> un kam piemērots koeficients 4,05, savukārt SPRK </w:t>
      </w:r>
      <w:r w:rsidRPr="00E92804">
        <w:rPr>
          <w:szCs w:val="26"/>
          <w:lang w:val="lv-LV"/>
        </w:rPr>
        <w:t xml:space="preserve">amatpersonu </w:t>
      </w:r>
      <w:r w:rsidRPr="00E92804">
        <w:rPr>
          <w:szCs w:val="26"/>
          <w:lang w:val="lv-LV" w:eastAsia="lv-LV"/>
        </w:rPr>
        <w:t xml:space="preserve">(darbinieku) </w:t>
      </w:r>
      <w:r w:rsidRPr="00E92804">
        <w:rPr>
          <w:szCs w:val="26"/>
          <w:lang w:val="lv-LV"/>
        </w:rPr>
        <w:t xml:space="preserve">mēnešalga ir pielīdzināta </w:t>
      </w:r>
      <w:r w:rsidRPr="00E92804">
        <w:rPr>
          <w:szCs w:val="26"/>
          <w:u w:val="single"/>
          <w:lang w:val="lv-LV"/>
        </w:rPr>
        <w:t>elektronisko sakaru un enerģētikas nozares bāzes mēnešalgas apmēram</w:t>
      </w:r>
      <w:r w:rsidRPr="00E92804">
        <w:rPr>
          <w:szCs w:val="26"/>
          <w:lang w:val="lv-LV"/>
        </w:rPr>
        <w:t>, piemērojot koeficientu 4,05.</w:t>
      </w:r>
    </w:p>
    <w:p w14:paraId="56313FB0" w14:textId="1DA438F9" w:rsidR="00094676" w:rsidRPr="00E92804" w:rsidRDefault="009360D1" w:rsidP="00E92804">
      <w:pPr>
        <w:widowControl/>
        <w:spacing w:before="120" w:after="0" w:line="240" w:lineRule="auto"/>
        <w:rPr>
          <w:szCs w:val="26"/>
          <w:lang w:val="lv-LV"/>
        </w:rPr>
      </w:pPr>
      <w:r w:rsidRPr="00E92804">
        <w:rPr>
          <w:szCs w:val="26"/>
          <w:lang w:val="lv-LV"/>
        </w:rPr>
        <w:t xml:space="preserve">Ņemot vērā </w:t>
      </w:r>
      <w:r w:rsidR="00094676" w:rsidRPr="00E92804">
        <w:rPr>
          <w:szCs w:val="26"/>
          <w:lang w:val="lv-LV"/>
        </w:rPr>
        <w:t xml:space="preserve">KP </w:t>
      </w:r>
      <w:r w:rsidRPr="00E92804">
        <w:rPr>
          <w:szCs w:val="26"/>
          <w:lang w:val="lv-LV"/>
        </w:rPr>
        <w:t xml:space="preserve">pieejamos finanšu resursus </w:t>
      </w:r>
      <w:r w:rsidR="00CF02DD" w:rsidRPr="00E92804">
        <w:rPr>
          <w:szCs w:val="26"/>
          <w:lang w:val="lv-LV"/>
        </w:rPr>
        <w:t>atlīdzībām</w:t>
      </w:r>
      <w:r w:rsidRPr="00E92804">
        <w:rPr>
          <w:szCs w:val="26"/>
          <w:lang w:val="lv-LV"/>
        </w:rPr>
        <w:t>, 2018. gadā</w:t>
      </w:r>
      <w:r w:rsidR="00094676" w:rsidRPr="00E92804">
        <w:rPr>
          <w:szCs w:val="26"/>
          <w:lang w:val="lv-LV"/>
        </w:rPr>
        <w:t xml:space="preserve"> piemērotais koeficients iestādē bija 3,7, </w:t>
      </w:r>
      <w:r w:rsidRPr="00E92804">
        <w:rPr>
          <w:szCs w:val="26"/>
          <w:lang w:val="lv-LV"/>
        </w:rPr>
        <w:t>savukārt</w:t>
      </w:r>
      <w:r w:rsidR="00094676" w:rsidRPr="00E92804">
        <w:rPr>
          <w:szCs w:val="26"/>
          <w:lang w:val="lv-LV"/>
        </w:rPr>
        <w:t xml:space="preserve"> 2019.gadā </w:t>
      </w:r>
      <w:r w:rsidRPr="00E92804">
        <w:rPr>
          <w:szCs w:val="26"/>
          <w:lang w:val="lv-LV"/>
        </w:rPr>
        <w:t xml:space="preserve">tas jau ir </w:t>
      </w:r>
      <w:r w:rsidR="00094676" w:rsidRPr="00E92804">
        <w:rPr>
          <w:szCs w:val="26"/>
          <w:lang w:val="lv-LV"/>
        </w:rPr>
        <w:t xml:space="preserve">samazinājies līdz 3,4. </w:t>
      </w:r>
    </w:p>
    <w:p w14:paraId="0A68F425" w14:textId="53BF3537" w:rsidR="00354342" w:rsidRPr="00E92804" w:rsidRDefault="00570122" w:rsidP="00DE6668">
      <w:pPr>
        <w:spacing w:before="120" w:after="0" w:line="240" w:lineRule="auto"/>
        <w:ind w:right="85"/>
        <w:rPr>
          <w:szCs w:val="26"/>
          <w:lang w:val="lv-LV"/>
        </w:rPr>
      </w:pPr>
      <w:r w:rsidRPr="00E92804">
        <w:rPr>
          <w:szCs w:val="26"/>
          <w:lang w:val="lv-LV"/>
        </w:rPr>
        <w:t xml:space="preserve">Attiecīgi, </w:t>
      </w:r>
      <w:r w:rsidR="0058504C" w:rsidRPr="00E92804">
        <w:rPr>
          <w:szCs w:val="26"/>
          <w:lang w:val="lv-LV"/>
        </w:rPr>
        <w:t>lai celtu atalgojumu konkurences uzraudzības funkciju īstenotājiem</w:t>
      </w:r>
      <w:r w:rsidR="008D7418" w:rsidRPr="00E92804">
        <w:rPr>
          <w:szCs w:val="26"/>
          <w:lang w:val="lv-LV"/>
        </w:rPr>
        <w:t xml:space="preserve"> un tādējādi samazinātu profesionālāko darbinieku aizplūšanu uz privāto sektoru</w:t>
      </w:r>
      <w:r w:rsidR="0058504C" w:rsidRPr="00E92804">
        <w:rPr>
          <w:szCs w:val="26"/>
          <w:lang w:val="lv-LV"/>
        </w:rPr>
        <w:t>, jebkurā gadījumā nepieciešams risināt jautājumu par papildu finanšu resur</w:t>
      </w:r>
      <w:r w:rsidR="00203582" w:rsidRPr="00E92804">
        <w:rPr>
          <w:szCs w:val="26"/>
          <w:lang w:val="lv-LV"/>
        </w:rPr>
        <w:t>s</w:t>
      </w:r>
      <w:r w:rsidR="0058504C" w:rsidRPr="00E92804">
        <w:rPr>
          <w:szCs w:val="26"/>
          <w:lang w:val="lv-LV"/>
        </w:rPr>
        <w:t>u piesaisti no valsts budžeta līdzekļiem</w:t>
      </w:r>
      <w:r w:rsidR="008D7418" w:rsidRPr="00E92804">
        <w:rPr>
          <w:szCs w:val="26"/>
          <w:lang w:val="lv-LV"/>
        </w:rPr>
        <w:t>.</w:t>
      </w:r>
      <w:r w:rsidR="00CF02DD" w:rsidRPr="00E92804">
        <w:rPr>
          <w:szCs w:val="26"/>
          <w:u w:val="single"/>
          <w:lang w:val="lv-LV"/>
        </w:rPr>
        <w:t xml:space="preserve"> </w:t>
      </w:r>
      <w:r w:rsidR="008D7418" w:rsidRPr="00E92804">
        <w:rPr>
          <w:b/>
          <w:szCs w:val="26"/>
          <w:lang w:val="lv-LV"/>
        </w:rPr>
        <w:t xml:space="preserve">Nepieciešamais papildu finansējums </w:t>
      </w:r>
      <w:r w:rsidR="005E44FA" w:rsidRPr="00E92804">
        <w:rPr>
          <w:b/>
          <w:szCs w:val="26"/>
          <w:lang w:val="lv-LV"/>
        </w:rPr>
        <w:t xml:space="preserve">KP </w:t>
      </w:r>
      <w:r w:rsidR="008D7418" w:rsidRPr="00E92804">
        <w:rPr>
          <w:b/>
          <w:szCs w:val="26"/>
          <w:lang w:val="lv-LV"/>
        </w:rPr>
        <w:t>atlīdzību palielinājumam</w:t>
      </w:r>
      <w:r w:rsidR="005E44FA" w:rsidRPr="00E92804">
        <w:rPr>
          <w:b/>
          <w:szCs w:val="26"/>
          <w:lang w:val="lv-LV"/>
        </w:rPr>
        <w:t>,</w:t>
      </w:r>
      <w:r w:rsidR="008D7418" w:rsidRPr="00E92804">
        <w:rPr>
          <w:b/>
          <w:szCs w:val="26"/>
          <w:lang w:val="lv-LV"/>
        </w:rPr>
        <w:t xml:space="preserve"> </w:t>
      </w:r>
      <w:r w:rsidR="00CF02DD" w:rsidRPr="00E92804">
        <w:rPr>
          <w:szCs w:val="26"/>
          <w:lang w:val="lv-LV"/>
        </w:rPr>
        <w:t xml:space="preserve">ņemot vērā bāzes mēnešalgas pieaugumu un Likumā noteikto piemērojamo koeficientu 4,05, </w:t>
      </w:r>
      <w:r w:rsidR="008D7418" w:rsidRPr="00E92804">
        <w:rPr>
          <w:b/>
          <w:szCs w:val="26"/>
          <w:lang w:val="lv-LV"/>
        </w:rPr>
        <w:t>salīdzin</w:t>
      </w:r>
      <w:r w:rsidR="005E44FA" w:rsidRPr="00E92804">
        <w:rPr>
          <w:b/>
          <w:szCs w:val="26"/>
          <w:lang w:val="lv-LV"/>
        </w:rPr>
        <w:t xml:space="preserve">ot </w:t>
      </w:r>
      <w:r w:rsidR="008D7418" w:rsidRPr="00E92804">
        <w:rPr>
          <w:b/>
          <w:szCs w:val="26"/>
          <w:lang w:val="lv-LV"/>
        </w:rPr>
        <w:t>ar 2019.</w:t>
      </w:r>
      <w:r w:rsidR="002439A1" w:rsidRPr="00E92804">
        <w:rPr>
          <w:b/>
          <w:szCs w:val="26"/>
          <w:lang w:val="lv-LV"/>
        </w:rPr>
        <w:t> </w:t>
      </w:r>
      <w:r w:rsidR="008D7418" w:rsidRPr="00E92804">
        <w:rPr>
          <w:b/>
          <w:szCs w:val="26"/>
          <w:lang w:val="lv-LV"/>
        </w:rPr>
        <w:t xml:space="preserve">gadu: </w:t>
      </w:r>
      <w:r w:rsidR="002439A1" w:rsidRPr="00E92804">
        <w:rPr>
          <w:b/>
          <w:szCs w:val="26"/>
          <w:lang w:val="lv-LV"/>
        </w:rPr>
        <w:t>436 217</w:t>
      </w:r>
      <w:r w:rsidR="008D7418" w:rsidRPr="00E92804">
        <w:rPr>
          <w:b/>
          <w:szCs w:val="26"/>
          <w:lang w:val="lv-LV"/>
        </w:rPr>
        <w:t xml:space="preserve"> </w:t>
      </w:r>
      <w:proofErr w:type="spellStart"/>
      <w:r w:rsidR="008B2C9B" w:rsidRPr="00E92804">
        <w:rPr>
          <w:b/>
          <w:i/>
          <w:szCs w:val="26"/>
          <w:lang w:val="lv-LV"/>
        </w:rPr>
        <w:t>eu</w:t>
      </w:r>
      <w:r w:rsidR="008D7418" w:rsidRPr="00E92804">
        <w:rPr>
          <w:b/>
          <w:i/>
          <w:szCs w:val="26"/>
          <w:lang w:val="lv-LV"/>
        </w:rPr>
        <w:t>ro</w:t>
      </w:r>
      <w:proofErr w:type="spellEnd"/>
      <w:r w:rsidR="008D7418" w:rsidRPr="00E92804">
        <w:rPr>
          <w:b/>
          <w:szCs w:val="26"/>
          <w:lang w:val="lv-LV"/>
        </w:rPr>
        <w:t xml:space="preserve"> 202</w:t>
      </w:r>
      <w:r w:rsidR="005A2DA1">
        <w:rPr>
          <w:b/>
          <w:szCs w:val="26"/>
          <w:lang w:val="lv-LV"/>
        </w:rPr>
        <w:t>1</w:t>
      </w:r>
      <w:r w:rsidR="008D7418" w:rsidRPr="00E92804">
        <w:rPr>
          <w:b/>
          <w:szCs w:val="26"/>
          <w:lang w:val="lv-LV"/>
        </w:rPr>
        <w:t>.</w:t>
      </w:r>
      <w:r w:rsidR="002439A1" w:rsidRPr="00E92804">
        <w:rPr>
          <w:b/>
          <w:szCs w:val="26"/>
          <w:lang w:val="lv-LV"/>
        </w:rPr>
        <w:t> </w:t>
      </w:r>
      <w:r w:rsidR="008D7418" w:rsidRPr="00E92804">
        <w:rPr>
          <w:b/>
          <w:szCs w:val="26"/>
          <w:lang w:val="lv-LV"/>
        </w:rPr>
        <w:t xml:space="preserve">gadā, </w:t>
      </w:r>
      <w:r w:rsidR="002439A1" w:rsidRPr="00E92804">
        <w:rPr>
          <w:b/>
          <w:szCs w:val="26"/>
          <w:lang w:val="lv-LV"/>
        </w:rPr>
        <w:t>592 865</w:t>
      </w:r>
      <w:r w:rsidR="008D7418" w:rsidRPr="00E92804">
        <w:rPr>
          <w:b/>
          <w:szCs w:val="26"/>
          <w:lang w:val="lv-LV"/>
        </w:rPr>
        <w:t xml:space="preserve"> </w:t>
      </w:r>
      <w:proofErr w:type="spellStart"/>
      <w:r w:rsidR="008D7418" w:rsidRPr="00E92804">
        <w:rPr>
          <w:b/>
          <w:i/>
          <w:szCs w:val="26"/>
          <w:lang w:val="lv-LV"/>
        </w:rPr>
        <w:t>e</w:t>
      </w:r>
      <w:r w:rsidR="008B2C9B" w:rsidRPr="00E92804">
        <w:rPr>
          <w:b/>
          <w:i/>
          <w:szCs w:val="26"/>
          <w:lang w:val="lv-LV"/>
        </w:rPr>
        <w:t>u</w:t>
      </w:r>
      <w:r w:rsidR="008D7418" w:rsidRPr="00E92804">
        <w:rPr>
          <w:b/>
          <w:i/>
          <w:szCs w:val="26"/>
          <w:lang w:val="lv-LV"/>
        </w:rPr>
        <w:t>ro</w:t>
      </w:r>
      <w:proofErr w:type="spellEnd"/>
      <w:r w:rsidR="008D7418" w:rsidRPr="00E92804">
        <w:rPr>
          <w:b/>
          <w:szCs w:val="26"/>
          <w:lang w:val="lv-LV"/>
        </w:rPr>
        <w:t xml:space="preserve"> 202</w:t>
      </w:r>
      <w:r w:rsidR="005A2DA1">
        <w:rPr>
          <w:b/>
          <w:szCs w:val="26"/>
          <w:lang w:val="lv-LV"/>
        </w:rPr>
        <w:t>2</w:t>
      </w:r>
      <w:r w:rsidR="008D7418" w:rsidRPr="00E92804">
        <w:rPr>
          <w:b/>
          <w:szCs w:val="26"/>
          <w:lang w:val="lv-LV"/>
        </w:rPr>
        <w:t>.</w:t>
      </w:r>
      <w:r w:rsidR="002439A1" w:rsidRPr="00E92804">
        <w:rPr>
          <w:b/>
          <w:szCs w:val="26"/>
          <w:lang w:val="lv-LV"/>
        </w:rPr>
        <w:t> </w:t>
      </w:r>
      <w:r w:rsidR="008D7418" w:rsidRPr="00E92804">
        <w:rPr>
          <w:b/>
          <w:szCs w:val="26"/>
          <w:lang w:val="lv-LV"/>
        </w:rPr>
        <w:t xml:space="preserve">gadā, </w:t>
      </w:r>
      <w:r w:rsidR="002439A1" w:rsidRPr="00E92804">
        <w:rPr>
          <w:b/>
          <w:szCs w:val="26"/>
          <w:lang w:val="lv-LV"/>
        </w:rPr>
        <w:t>705 559</w:t>
      </w:r>
      <w:r w:rsidR="008D7418" w:rsidRPr="00E92804">
        <w:rPr>
          <w:b/>
          <w:szCs w:val="26"/>
          <w:lang w:val="lv-LV"/>
        </w:rPr>
        <w:t xml:space="preserve"> </w:t>
      </w:r>
      <w:proofErr w:type="spellStart"/>
      <w:r w:rsidR="008D7418" w:rsidRPr="00E92804">
        <w:rPr>
          <w:b/>
          <w:i/>
          <w:szCs w:val="26"/>
          <w:lang w:val="lv-LV"/>
        </w:rPr>
        <w:t>e</w:t>
      </w:r>
      <w:r w:rsidR="008B2C9B" w:rsidRPr="00E92804">
        <w:rPr>
          <w:b/>
          <w:i/>
          <w:szCs w:val="26"/>
          <w:lang w:val="lv-LV"/>
        </w:rPr>
        <w:t>u</w:t>
      </w:r>
      <w:r w:rsidR="008D7418" w:rsidRPr="00E92804">
        <w:rPr>
          <w:b/>
          <w:i/>
          <w:szCs w:val="26"/>
          <w:lang w:val="lv-LV"/>
        </w:rPr>
        <w:t>ro</w:t>
      </w:r>
      <w:proofErr w:type="spellEnd"/>
      <w:r w:rsidR="008D7418" w:rsidRPr="00E92804">
        <w:rPr>
          <w:b/>
          <w:szCs w:val="26"/>
          <w:lang w:val="lv-LV"/>
        </w:rPr>
        <w:t xml:space="preserve"> 202</w:t>
      </w:r>
      <w:r w:rsidR="005A2DA1">
        <w:rPr>
          <w:b/>
          <w:szCs w:val="26"/>
          <w:lang w:val="lv-LV"/>
        </w:rPr>
        <w:t>3</w:t>
      </w:r>
      <w:r w:rsidR="008D7418" w:rsidRPr="00E92804">
        <w:rPr>
          <w:b/>
          <w:szCs w:val="26"/>
          <w:lang w:val="lv-LV"/>
        </w:rPr>
        <w:t>.gadā</w:t>
      </w:r>
      <w:r w:rsidR="00CF02DD" w:rsidRPr="00E92804">
        <w:rPr>
          <w:rStyle w:val="FootnoteReference"/>
          <w:b/>
          <w:szCs w:val="26"/>
          <w:lang w:val="lv-LV"/>
        </w:rPr>
        <w:footnoteReference w:id="3"/>
      </w:r>
      <w:r w:rsidR="008D7418" w:rsidRPr="00E92804">
        <w:rPr>
          <w:b/>
          <w:szCs w:val="26"/>
          <w:lang w:val="lv-LV"/>
        </w:rPr>
        <w:t>.</w:t>
      </w:r>
      <w:r w:rsidR="008B2C9B" w:rsidRPr="00E92804">
        <w:rPr>
          <w:b/>
          <w:szCs w:val="26"/>
          <w:lang w:val="lv-LV"/>
        </w:rPr>
        <w:t xml:space="preserve"> </w:t>
      </w:r>
      <w:r w:rsidR="00354342" w:rsidRPr="00E92804">
        <w:rPr>
          <w:szCs w:val="26"/>
          <w:lang w:val="lv-LV"/>
        </w:rPr>
        <w:t xml:space="preserve">Papildus </w:t>
      </w:r>
      <w:r w:rsidR="008B2C9B" w:rsidRPr="00E92804">
        <w:rPr>
          <w:szCs w:val="26"/>
          <w:lang w:val="lv-LV"/>
        </w:rPr>
        <w:t>iepriekš minētajam</w:t>
      </w:r>
      <w:r w:rsidR="00354342" w:rsidRPr="00E92804">
        <w:rPr>
          <w:szCs w:val="26"/>
          <w:lang w:val="lv-LV"/>
        </w:rPr>
        <w:t xml:space="preserve"> 202</w:t>
      </w:r>
      <w:r w:rsidR="005A2DA1">
        <w:rPr>
          <w:szCs w:val="26"/>
          <w:lang w:val="lv-LV"/>
        </w:rPr>
        <w:t>1</w:t>
      </w:r>
      <w:r w:rsidR="00354342" w:rsidRPr="00E92804">
        <w:rPr>
          <w:szCs w:val="26"/>
          <w:lang w:val="lv-LV"/>
        </w:rPr>
        <w:t>.</w:t>
      </w:r>
      <w:r w:rsidR="00273CED" w:rsidRPr="00E92804">
        <w:rPr>
          <w:szCs w:val="26"/>
          <w:lang w:val="lv-LV"/>
        </w:rPr>
        <w:t xml:space="preserve"> </w:t>
      </w:r>
      <w:r w:rsidR="008B2C9B" w:rsidRPr="00E92804">
        <w:rPr>
          <w:szCs w:val="26"/>
          <w:lang w:val="lv-LV"/>
        </w:rPr>
        <w:t xml:space="preserve">– </w:t>
      </w:r>
      <w:r w:rsidR="00354342" w:rsidRPr="00E92804">
        <w:rPr>
          <w:szCs w:val="26"/>
          <w:lang w:val="lv-LV"/>
        </w:rPr>
        <w:t>202</w:t>
      </w:r>
      <w:r w:rsidR="005A2DA1">
        <w:rPr>
          <w:szCs w:val="26"/>
          <w:lang w:val="lv-LV"/>
        </w:rPr>
        <w:t>3</w:t>
      </w:r>
      <w:r w:rsidR="00354342" w:rsidRPr="00E92804">
        <w:rPr>
          <w:szCs w:val="26"/>
          <w:lang w:val="lv-LV"/>
        </w:rPr>
        <w:t>.</w:t>
      </w:r>
      <w:r w:rsidR="00DE6668" w:rsidRPr="00E92804">
        <w:rPr>
          <w:szCs w:val="26"/>
          <w:lang w:val="lv-LV"/>
        </w:rPr>
        <w:t> </w:t>
      </w:r>
      <w:r w:rsidR="00354342" w:rsidRPr="00E92804">
        <w:rPr>
          <w:szCs w:val="26"/>
          <w:lang w:val="lv-LV"/>
        </w:rPr>
        <w:t xml:space="preserve">gadā nepieciešams palielināt </w:t>
      </w:r>
      <w:r w:rsidR="008B2C9B" w:rsidRPr="00E92804">
        <w:rPr>
          <w:szCs w:val="26"/>
          <w:lang w:val="lv-LV"/>
        </w:rPr>
        <w:t xml:space="preserve">arī </w:t>
      </w:r>
      <w:r w:rsidR="00354342" w:rsidRPr="00E92804">
        <w:rPr>
          <w:szCs w:val="26"/>
          <w:lang w:val="lv-LV"/>
        </w:rPr>
        <w:t xml:space="preserve">KP finansējumu preču un pakalpojumu iegādei 35 000 </w:t>
      </w:r>
      <w:proofErr w:type="spellStart"/>
      <w:r w:rsidR="00354342" w:rsidRPr="00E92804">
        <w:rPr>
          <w:i/>
          <w:szCs w:val="26"/>
          <w:lang w:val="lv-LV"/>
        </w:rPr>
        <w:t>euro</w:t>
      </w:r>
      <w:proofErr w:type="spellEnd"/>
      <w:r w:rsidR="00354342" w:rsidRPr="00E92804">
        <w:rPr>
          <w:szCs w:val="26"/>
          <w:lang w:val="lv-LV"/>
        </w:rPr>
        <w:t xml:space="preserve"> </w:t>
      </w:r>
      <w:r w:rsidR="008B2C9B" w:rsidRPr="00E92804">
        <w:rPr>
          <w:szCs w:val="26"/>
          <w:lang w:val="lv-LV"/>
        </w:rPr>
        <w:t xml:space="preserve">apmērā </w:t>
      </w:r>
      <w:r w:rsidR="00354342" w:rsidRPr="00E92804">
        <w:rPr>
          <w:szCs w:val="26"/>
          <w:lang w:val="lv-LV"/>
        </w:rPr>
        <w:t>ik gadu.</w:t>
      </w:r>
    </w:p>
    <w:p w14:paraId="43211259" w14:textId="16351CAC" w:rsidR="002439A1" w:rsidRPr="00E92804" w:rsidRDefault="002439A1" w:rsidP="00DE6668">
      <w:pPr>
        <w:spacing w:before="120" w:after="0" w:line="240" w:lineRule="auto"/>
        <w:rPr>
          <w:bCs/>
          <w:szCs w:val="26"/>
          <w:lang w:val="lv-LV"/>
        </w:rPr>
      </w:pPr>
      <w:r w:rsidRPr="00E92804">
        <w:rPr>
          <w:szCs w:val="26"/>
          <w:lang w:val="lv-LV"/>
        </w:rPr>
        <w:t>Norādāms, ka nepieciešamība atkārtoti aktualizēt KP finansiālās neatkarības stiprināšanu izriet arī no 2019.</w:t>
      </w:r>
      <w:r w:rsidR="00E92804" w:rsidRPr="00E92804">
        <w:rPr>
          <w:szCs w:val="26"/>
          <w:lang w:val="lv-LV"/>
        </w:rPr>
        <w:t> </w:t>
      </w:r>
      <w:r w:rsidRPr="00E92804">
        <w:rPr>
          <w:szCs w:val="26"/>
          <w:lang w:val="lv-LV"/>
        </w:rPr>
        <w:t xml:space="preserve">gada </w:t>
      </w:r>
      <w:r w:rsidRPr="00E92804">
        <w:rPr>
          <w:bCs/>
          <w:szCs w:val="26"/>
          <w:lang w:val="lv-LV"/>
        </w:rPr>
        <w:t>4.</w:t>
      </w:r>
      <w:r w:rsidR="00E92804" w:rsidRPr="00E92804">
        <w:rPr>
          <w:bCs/>
          <w:szCs w:val="26"/>
          <w:lang w:val="lv-LV"/>
        </w:rPr>
        <w:t> </w:t>
      </w:r>
      <w:r w:rsidRPr="00E92804">
        <w:rPr>
          <w:bCs/>
          <w:szCs w:val="26"/>
          <w:lang w:val="lv-LV"/>
        </w:rPr>
        <w:t>janvārī Eiropas Savienības Oficiālajā Vēstnesī publicētās Eiropas Parlamenta un Padomes direktīvas (</w:t>
      </w:r>
      <w:r w:rsidRPr="00E92804">
        <w:rPr>
          <w:szCs w:val="26"/>
          <w:lang w:val="lv-LV"/>
        </w:rPr>
        <w:t xml:space="preserve">2019/1) </w:t>
      </w:r>
      <w:r w:rsidRPr="00E92804">
        <w:rPr>
          <w:i/>
          <w:szCs w:val="26"/>
          <w:lang w:val="lv-LV"/>
        </w:rPr>
        <w:t xml:space="preserve">par apstākļu nodrošināšanu nolūkā dot dalībvalstu konkurences iestādēm iespēju efektīvāk izpildīt konkurences noteikumus un par iekšējā tirgus pienācīgas darbības nodrošināšanu </w:t>
      </w:r>
      <w:r w:rsidRPr="00E92804">
        <w:rPr>
          <w:szCs w:val="26"/>
          <w:lang w:val="lv-LV"/>
        </w:rPr>
        <w:t>(turpmāk – Direktīva)</w:t>
      </w:r>
      <w:r w:rsidRPr="00E92804">
        <w:rPr>
          <w:i/>
          <w:szCs w:val="26"/>
          <w:lang w:val="lv-LV"/>
        </w:rPr>
        <w:t xml:space="preserve">, </w:t>
      </w:r>
      <w:r w:rsidRPr="00E92804">
        <w:rPr>
          <w:bCs/>
          <w:szCs w:val="26"/>
          <w:lang w:val="lv-LV"/>
        </w:rPr>
        <w:t xml:space="preserve">kas paredz, ka visām Eiropas Savienības konkurences iestādēm jābūt nodrošinātām ar nepieciešamajiem rīkiem un resursiem efektīvai konkurences tiesību piemērošanai. </w:t>
      </w:r>
    </w:p>
    <w:p w14:paraId="7B132F0A" w14:textId="61461AB1" w:rsidR="002439A1" w:rsidRPr="00E92804" w:rsidRDefault="002439A1" w:rsidP="00DE6668">
      <w:pPr>
        <w:spacing w:before="120" w:after="0" w:line="240" w:lineRule="auto"/>
        <w:ind w:right="85"/>
        <w:rPr>
          <w:bCs/>
          <w:szCs w:val="26"/>
          <w:lang w:val="lv-LV"/>
        </w:rPr>
      </w:pPr>
      <w:r w:rsidRPr="00E92804">
        <w:rPr>
          <w:bCs/>
          <w:szCs w:val="26"/>
          <w:lang w:val="lv-LV"/>
        </w:rPr>
        <w:t xml:space="preserve">Direktīva tostarp uzliek par pienākumu dalībvalstij </w:t>
      </w:r>
      <w:r w:rsidRPr="00E92804">
        <w:rPr>
          <w:b/>
          <w:szCs w:val="26"/>
          <w:lang w:val="lv-LV"/>
        </w:rPr>
        <w:t>nodrošināt, lai valsts konkurences iestādes rīcībā būtu pietiekams skaits kvalificētu darbinieku un pietiekami finanšu, tehniskie un tehnoloģiskie resursi</w:t>
      </w:r>
      <w:r w:rsidRPr="00E92804">
        <w:rPr>
          <w:szCs w:val="26"/>
          <w:lang w:val="lv-LV"/>
        </w:rPr>
        <w:t xml:space="preserve"> pienākumu efektīvai pildīšanai un efektīvai pilnvaru īstenošanai attiecībā uz LESD 101. un 102. panta piemērošanu. </w:t>
      </w:r>
      <w:r w:rsidRPr="00E92804">
        <w:rPr>
          <w:bCs/>
          <w:szCs w:val="26"/>
          <w:lang w:val="lv-LV"/>
        </w:rPr>
        <w:t>Eiropas Komisija norādījusi, ka stingri sekos, kā tiks pildīta iepriekš minētā prasība.</w:t>
      </w:r>
    </w:p>
    <w:p w14:paraId="10F4E0A3" w14:textId="3918CDAD" w:rsidR="008A0A1E" w:rsidRPr="00E92804" w:rsidRDefault="008A0A1E" w:rsidP="00DE6668">
      <w:pPr>
        <w:spacing w:before="120" w:after="0" w:line="240" w:lineRule="auto"/>
        <w:rPr>
          <w:szCs w:val="26"/>
          <w:lang w:val="lv-LV"/>
        </w:rPr>
      </w:pPr>
      <w:r w:rsidRPr="00E92804">
        <w:rPr>
          <w:szCs w:val="26"/>
          <w:lang w:val="lv-LV"/>
        </w:rPr>
        <w:t xml:space="preserve">Arī Ekonomiskās sadarbības un attīstības organizācijas (turpmāk - OECD) </w:t>
      </w:r>
      <w:r w:rsidR="00E92804" w:rsidRPr="00E92804">
        <w:rPr>
          <w:szCs w:val="26"/>
          <w:lang w:val="lv-LV"/>
        </w:rPr>
        <w:t xml:space="preserve">š.g. </w:t>
      </w:r>
      <w:r w:rsidRPr="00E92804">
        <w:rPr>
          <w:szCs w:val="26"/>
          <w:lang w:val="lv-LV"/>
        </w:rPr>
        <w:t>29.</w:t>
      </w:r>
      <w:r w:rsidR="00E92804" w:rsidRPr="00E92804">
        <w:rPr>
          <w:szCs w:val="26"/>
          <w:lang w:val="lv-LV"/>
        </w:rPr>
        <w:t> </w:t>
      </w:r>
      <w:r w:rsidRPr="00E92804">
        <w:rPr>
          <w:szCs w:val="26"/>
          <w:lang w:val="lv-LV"/>
        </w:rPr>
        <w:t xml:space="preserve">maijā publiskotajā </w:t>
      </w:r>
      <w:hyperlink r:id="rId8" w:history="1">
        <w:r w:rsidRPr="00E92804">
          <w:rPr>
            <w:rStyle w:val="Hyperlink"/>
            <w:szCs w:val="26"/>
            <w:lang w:val="lv-LV"/>
          </w:rPr>
          <w:t>ziņojumā par Latvijas ekonomiku</w:t>
        </w:r>
      </w:hyperlink>
      <w:r w:rsidRPr="00E92804">
        <w:rPr>
          <w:szCs w:val="26"/>
          <w:lang w:val="lv-LV"/>
        </w:rPr>
        <w:t xml:space="preserve"> ir ietverta rekomendācija stiprināt KP pilnvaras un </w:t>
      </w:r>
      <w:r w:rsidRPr="00E92804">
        <w:rPr>
          <w:b/>
          <w:szCs w:val="26"/>
          <w:lang w:val="lv-LV"/>
        </w:rPr>
        <w:t xml:space="preserve">nodrošināt pietiekamu finansējumu kvalificētu speciālistu noalgošanai, </w:t>
      </w:r>
      <w:r w:rsidRPr="00E92804">
        <w:rPr>
          <w:szCs w:val="26"/>
          <w:lang w:val="lv-LV"/>
        </w:rPr>
        <w:t>lai veicinātu</w:t>
      </w:r>
      <w:r w:rsidRPr="00E92804">
        <w:rPr>
          <w:b/>
          <w:szCs w:val="26"/>
          <w:lang w:val="lv-LV"/>
        </w:rPr>
        <w:t xml:space="preserve"> </w:t>
      </w:r>
      <w:r w:rsidRPr="00E92804">
        <w:rPr>
          <w:szCs w:val="26"/>
          <w:lang w:val="lv-LV"/>
        </w:rPr>
        <w:t xml:space="preserve">Latvijas ekonomikas </w:t>
      </w:r>
      <w:r w:rsidRPr="00E92804">
        <w:rPr>
          <w:szCs w:val="26"/>
          <w:lang w:val="lv-LV"/>
        </w:rPr>
        <w:lastRenderedPageBreak/>
        <w:t>produktivitāti un konkurētspēju</w:t>
      </w:r>
      <w:r w:rsidRPr="00E92804">
        <w:rPr>
          <w:b/>
          <w:szCs w:val="26"/>
          <w:lang w:val="lv-LV"/>
        </w:rPr>
        <w:t>.</w:t>
      </w:r>
      <w:r w:rsidRPr="00E92804">
        <w:rPr>
          <w:szCs w:val="26"/>
          <w:lang w:val="lv-LV"/>
        </w:rPr>
        <w:t xml:space="preserve"> OECD ģenerālsekretārs </w:t>
      </w:r>
      <w:r w:rsidRPr="00E92804">
        <w:rPr>
          <w:b/>
          <w:szCs w:val="26"/>
          <w:lang w:val="lv-LV"/>
        </w:rPr>
        <w:t xml:space="preserve">Anhels </w:t>
      </w:r>
      <w:proofErr w:type="spellStart"/>
      <w:r w:rsidRPr="00E92804">
        <w:rPr>
          <w:b/>
          <w:szCs w:val="26"/>
          <w:lang w:val="lv-LV"/>
        </w:rPr>
        <w:t>Gurija</w:t>
      </w:r>
      <w:proofErr w:type="spellEnd"/>
      <w:r w:rsidRPr="00E92804">
        <w:rPr>
          <w:b/>
          <w:szCs w:val="26"/>
          <w:lang w:val="lv-LV"/>
        </w:rPr>
        <w:t xml:space="preserve"> </w:t>
      </w:r>
      <w:r w:rsidRPr="00E92804">
        <w:rPr>
          <w:szCs w:val="26"/>
          <w:lang w:val="lv-LV"/>
        </w:rPr>
        <w:t>(</w:t>
      </w:r>
      <w:r w:rsidRPr="00E92804">
        <w:rPr>
          <w:i/>
          <w:szCs w:val="26"/>
          <w:lang w:val="lv-LV"/>
        </w:rPr>
        <w:t xml:space="preserve">Angel </w:t>
      </w:r>
      <w:proofErr w:type="spellStart"/>
      <w:r w:rsidRPr="00E92804">
        <w:rPr>
          <w:i/>
          <w:szCs w:val="26"/>
          <w:lang w:val="lv-LV"/>
        </w:rPr>
        <w:t>Gurría</w:t>
      </w:r>
      <w:proofErr w:type="spellEnd"/>
      <w:r w:rsidRPr="00E92804">
        <w:rPr>
          <w:szCs w:val="26"/>
          <w:lang w:val="lv-LV"/>
        </w:rPr>
        <w:t xml:space="preserve">) vizītes laikā Latvijā uzsvēra, ka ir jāstiprina Konkurences padome, jo spēcīga konkurence gan uzlabo produktivitāti un ekonomisko sniegumu, gan samazina cenas, no kā savukārt iegūst patērētāji. </w:t>
      </w:r>
    </w:p>
    <w:p w14:paraId="6670E115" w14:textId="1377CD08" w:rsidR="008A0A1E" w:rsidRPr="00E92804" w:rsidRDefault="008A0A1E" w:rsidP="00DE6668">
      <w:pPr>
        <w:spacing w:before="120" w:after="0" w:line="240" w:lineRule="auto"/>
        <w:ind w:right="85"/>
        <w:rPr>
          <w:bCs/>
          <w:szCs w:val="26"/>
          <w:lang w:val="lv-LV"/>
        </w:rPr>
      </w:pPr>
    </w:p>
    <w:p w14:paraId="030AFC39" w14:textId="77777777" w:rsidR="008A0A1E" w:rsidRPr="00E92804" w:rsidRDefault="00D65D8F" w:rsidP="00DE6668">
      <w:pPr>
        <w:spacing w:before="120" w:after="0" w:line="240" w:lineRule="auto"/>
        <w:rPr>
          <w:b/>
          <w:szCs w:val="26"/>
          <w:lang w:val="lv-LV"/>
        </w:rPr>
      </w:pPr>
      <w:r w:rsidRPr="00E92804">
        <w:rPr>
          <w:szCs w:val="26"/>
          <w:lang w:val="lv-LV"/>
        </w:rPr>
        <w:t xml:space="preserve">Ņemot vērā </w:t>
      </w:r>
      <w:r w:rsidR="008A0A1E" w:rsidRPr="00E92804">
        <w:rPr>
          <w:szCs w:val="26"/>
          <w:lang w:val="lv-LV"/>
        </w:rPr>
        <w:t xml:space="preserve">informatīvajā ziņojumā </w:t>
      </w:r>
      <w:r w:rsidRPr="00E92804">
        <w:rPr>
          <w:szCs w:val="26"/>
          <w:lang w:val="lv-LV"/>
        </w:rPr>
        <w:t>iepriekš minēto</w:t>
      </w:r>
      <w:r w:rsidR="00637516" w:rsidRPr="00E92804">
        <w:rPr>
          <w:szCs w:val="26"/>
          <w:lang w:val="lv-LV"/>
        </w:rPr>
        <w:t xml:space="preserve">s apsvērumus, </w:t>
      </w:r>
      <w:r w:rsidR="000F7F24" w:rsidRPr="00E92804">
        <w:rPr>
          <w:szCs w:val="26"/>
          <w:lang w:val="lv-LV"/>
        </w:rPr>
        <w:t>ir pamats uzskatīt</w:t>
      </w:r>
      <w:r w:rsidR="00930954" w:rsidRPr="00E92804">
        <w:rPr>
          <w:szCs w:val="26"/>
          <w:lang w:val="lv-LV"/>
        </w:rPr>
        <w:t xml:space="preserve">, ka </w:t>
      </w:r>
      <w:r w:rsidRPr="00E92804">
        <w:rPr>
          <w:b/>
          <w:szCs w:val="26"/>
          <w:lang w:val="lv-LV"/>
        </w:rPr>
        <w:t>būtu saglabājams pašreizējais KP</w:t>
      </w:r>
      <w:r w:rsidR="00930954" w:rsidRPr="00E92804">
        <w:rPr>
          <w:b/>
          <w:szCs w:val="26"/>
          <w:lang w:val="lv-LV"/>
        </w:rPr>
        <w:t xml:space="preserve"> un </w:t>
      </w:r>
      <w:r w:rsidR="005E44FA" w:rsidRPr="00E92804">
        <w:rPr>
          <w:b/>
          <w:szCs w:val="26"/>
          <w:lang w:val="lv-LV"/>
        </w:rPr>
        <w:t xml:space="preserve">SPRK </w:t>
      </w:r>
      <w:r w:rsidRPr="00E92804">
        <w:rPr>
          <w:b/>
          <w:szCs w:val="26"/>
          <w:lang w:val="lv-LV"/>
        </w:rPr>
        <w:t xml:space="preserve">institucionālais statuss, vienlaikus </w:t>
      </w:r>
      <w:r w:rsidR="008A0A1E" w:rsidRPr="00E92804">
        <w:rPr>
          <w:b/>
          <w:szCs w:val="26"/>
          <w:lang w:val="lv-LV"/>
        </w:rPr>
        <w:t>nepieciešams stiprināt KP finansiālo neatkarību.</w:t>
      </w:r>
    </w:p>
    <w:p w14:paraId="0A7B3BF8" w14:textId="6C8A8B67" w:rsidR="00BE6544" w:rsidRPr="00E92804" w:rsidRDefault="00783FBD" w:rsidP="00DE6668">
      <w:pPr>
        <w:spacing w:before="120" w:after="0" w:line="240" w:lineRule="auto"/>
        <w:rPr>
          <w:szCs w:val="26"/>
          <w:lang w:val="lv-LV"/>
        </w:rPr>
      </w:pPr>
      <w:r w:rsidRPr="00E92804">
        <w:rPr>
          <w:szCs w:val="26"/>
          <w:lang w:val="lv-LV"/>
        </w:rPr>
        <w:t xml:space="preserve">Attiecīgi </w:t>
      </w:r>
      <w:r w:rsidR="008B2C26" w:rsidRPr="00E92804">
        <w:rPr>
          <w:szCs w:val="26"/>
          <w:lang w:val="lv-LV"/>
        </w:rPr>
        <w:t>jautājums par papildus nepieciešam</w:t>
      </w:r>
      <w:r w:rsidR="00615407" w:rsidRPr="00E92804">
        <w:rPr>
          <w:szCs w:val="26"/>
          <w:lang w:val="lv-LV"/>
        </w:rPr>
        <w:t>o</w:t>
      </w:r>
      <w:r w:rsidR="008B2C26" w:rsidRPr="00E92804">
        <w:rPr>
          <w:szCs w:val="26"/>
          <w:lang w:val="lv-LV"/>
        </w:rPr>
        <w:t xml:space="preserve"> finansējuma piešķiršanu Konkurences padomei </w:t>
      </w:r>
      <w:r w:rsidR="00010308" w:rsidRPr="00E92804">
        <w:rPr>
          <w:i/>
          <w:szCs w:val="26"/>
          <w:lang w:val="lv-LV"/>
        </w:rPr>
        <w:t>Eiropas Parlamenta un Padomes Direktīvas (ES) 2019/1 (2018.gada 11.decembris) par apstākļu nodrošināšanu nolūkā dot dalībvalstu konkurences iestādēm efektīvāk izpildīt konkurences noteikumus par iekšējā tirgus pienācīgas darbības nodrošināšanu</w:t>
      </w:r>
      <w:r w:rsidR="00010308" w:rsidRPr="00E92804">
        <w:rPr>
          <w:szCs w:val="26"/>
          <w:lang w:val="lv-LV"/>
        </w:rPr>
        <w:t xml:space="preserve"> prasību izpildei attiecībā </w:t>
      </w:r>
      <w:r w:rsidR="00615407" w:rsidRPr="00E92804">
        <w:rPr>
          <w:szCs w:val="26"/>
          <w:lang w:val="lv-LV"/>
        </w:rPr>
        <w:t>pietiekamu finanšu, tehnisko un tehnoloģisko resursu pieejamību pienākumu efektīvai pildīšanai un efektīvai pilnvaru īstenošanai attiecībā uz Līguma par Eiropas Savienības darbību 101. un 102.</w:t>
      </w:r>
      <w:r w:rsidR="00E92804" w:rsidRPr="00E92804">
        <w:rPr>
          <w:szCs w:val="26"/>
          <w:lang w:val="lv-LV"/>
        </w:rPr>
        <w:t> </w:t>
      </w:r>
      <w:r w:rsidR="00615407" w:rsidRPr="00E92804">
        <w:rPr>
          <w:szCs w:val="26"/>
          <w:lang w:val="lv-LV"/>
        </w:rPr>
        <w:t>panta piemērošanu būtu izskatāms Ministru kabinetā vienlaikus ar visu ministriju un citu centrālo valsts iestāžu iesniegtajiem prioritārajiem pasākumiem likumprojekta "Par valsts budžetu 202</w:t>
      </w:r>
      <w:r w:rsidR="005A2DA1">
        <w:rPr>
          <w:szCs w:val="26"/>
          <w:lang w:val="lv-LV"/>
        </w:rPr>
        <w:t>1</w:t>
      </w:r>
      <w:r w:rsidR="00615407" w:rsidRPr="00E92804">
        <w:rPr>
          <w:szCs w:val="26"/>
          <w:lang w:val="lv-LV"/>
        </w:rPr>
        <w:t>. gadam" un likumprojekta "Par vidēja termiņa budžeta ietvaru 202</w:t>
      </w:r>
      <w:r w:rsidR="005A2DA1">
        <w:rPr>
          <w:szCs w:val="26"/>
          <w:lang w:val="lv-LV"/>
        </w:rPr>
        <w:t>1</w:t>
      </w:r>
      <w:r w:rsidR="00615407" w:rsidRPr="00E92804">
        <w:rPr>
          <w:szCs w:val="26"/>
          <w:lang w:val="lv-LV"/>
        </w:rPr>
        <w:t>., 202</w:t>
      </w:r>
      <w:r w:rsidR="005A2DA1">
        <w:rPr>
          <w:szCs w:val="26"/>
          <w:lang w:val="lv-LV"/>
        </w:rPr>
        <w:t>2</w:t>
      </w:r>
      <w:r w:rsidR="00615407" w:rsidRPr="00E92804">
        <w:rPr>
          <w:szCs w:val="26"/>
          <w:lang w:val="lv-LV"/>
        </w:rPr>
        <w:t>. un 202</w:t>
      </w:r>
      <w:r w:rsidR="005A2DA1">
        <w:rPr>
          <w:szCs w:val="26"/>
          <w:lang w:val="lv-LV"/>
        </w:rPr>
        <w:t>3</w:t>
      </w:r>
      <w:r w:rsidR="00615407" w:rsidRPr="00E92804">
        <w:rPr>
          <w:szCs w:val="26"/>
          <w:lang w:val="lv-LV"/>
        </w:rPr>
        <w:t>. gadam" sagatavošanas procesā.</w:t>
      </w:r>
      <w:r w:rsidR="00010308" w:rsidRPr="00E92804">
        <w:rPr>
          <w:szCs w:val="26"/>
          <w:lang w:val="lv-LV"/>
        </w:rPr>
        <w:t xml:space="preserve"> </w:t>
      </w:r>
    </w:p>
    <w:p w14:paraId="68BE4904" w14:textId="11D56DC2" w:rsidR="00930954" w:rsidRPr="00E92804" w:rsidRDefault="00930954" w:rsidP="00D65D8F">
      <w:pPr>
        <w:spacing w:line="240" w:lineRule="auto"/>
        <w:rPr>
          <w:bCs/>
          <w:szCs w:val="26"/>
          <w:lang w:val="lv-LV"/>
        </w:rPr>
      </w:pPr>
    </w:p>
    <w:p w14:paraId="549F9D99" w14:textId="26CE8FB8" w:rsidR="004C1D76" w:rsidRPr="00E92804" w:rsidRDefault="004C1D76" w:rsidP="00D65D8F">
      <w:pPr>
        <w:spacing w:line="240" w:lineRule="auto"/>
        <w:rPr>
          <w:szCs w:val="26"/>
          <w:lang w:val="lv-LV"/>
        </w:rPr>
      </w:pPr>
    </w:p>
    <w:p w14:paraId="651A4A68" w14:textId="77777777" w:rsidR="004C1D76" w:rsidRPr="00E92804" w:rsidRDefault="004C1D76" w:rsidP="004C1D76">
      <w:pPr>
        <w:pStyle w:val="Footer"/>
        <w:tabs>
          <w:tab w:val="clear" w:pos="4153"/>
          <w:tab w:val="clear" w:pos="8306"/>
        </w:tabs>
        <w:rPr>
          <w:sz w:val="26"/>
          <w:szCs w:val="26"/>
        </w:rPr>
      </w:pPr>
    </w:p>
    <w:p w14:paraId="30C56991" w14:textId="54823CEE" w:rsidR="004C1D76" w:rsidRPr="00E92804" w:rsidRDefault="004C1D76" w:rsidP="004C1D76">
      <w:pPr>
        <w:ind w:firstLine="0"/>
        <w:rPr>
          <w:szCs w:val="26"/>
        </w:rPr>
      </w:pPr>
      <w:proofErr w:type="spellStart"/>
      <w:r w:rsidRPr="00E92804">
        <w:rPr>
          <w:szCs w:val="26"/>
        </w:rPr>
        <w:t>Ekonomikas</w:t>
      </w:r>
      <w:proofErr w:type="spellEnd"/>
      <w:r w:rsidRPr="00E92804">
        <w:rPr>
          <w:szCs w:val="26"/>
        </w:rPr>
        <w:t xml:space="preserve"> </w:t>
      </w:r>
      <w:proofErr w:type="spellStart"/>
      <w:r w:rsidRPr="00E92804">
        <w:rPr>
          <w:szCs w:val="26"/>
        </w:rPr>
        <w:t>ministrs</w:t>
      </w:r>
      <w:proofErr w:type="spellEnd"/>
      <w:r w:rsidRPr="00E92804">
        <w:rPr>
          <w:szCs w:val="26"/>
        </w:rPr>
        <w:tab/>
      </w:r>
      <w:r w:rsidRPr="00E92804">
        <w:rPr>
          <w:szCs w:val="26"/>
        </w:rPr>
        <w:tab/>
      </w:r>
      <w:r w:rsidRPr="00E92804">
        <w:rPr>
          <w:szCs w:val="26"/>
        </w:rPr>
        <w:tab/>
      </w:r>
      <w:r w:rsidRPr="00E92804">
        <w:rPr>
          <w:szCs w:val="26"/>
        </w:rPr>
        <w:tab/>
      </w:r>
      <w:r w:rsidRPr="00E92804">
        <w:rPr>
          <w:szCs w:val="26"/>
        </w:rPr>
        <w:tab/>
      </w:r>
      <w:r w:rsidRPr="00E92804">
        <w:rPr>
          <w:szCs w:val="26"/>
        </w:rPr>
        <w:tab/>
        <w:t>R. </w:t>
      </w:r>
      <w:proofErr w:type="spellStart"/>
      <w:r w:rsidRPr="00E92804">
        <w:rPr>
          <w:szCs w:val="26"/>
        </w:rPr>
        <w:t>Nemiro</w:t>
      </w:r>
      <w:proofErr w:type="spellEnd"/>
    </w:p>
    <w:p w14:paraId="206FBB2A" w14:textId="77777777" w:rsidR="004C1D76" w:rsidRPr="00E92804" w:rsidRDefault="004C1D76" w:rsidP="004C1D76">
      <w:pPr>
        <w:rPr>
          <w:bCs/>
          <w:szCs w:val="26"/>
        </w:rPr>
      </w:pPr>
    </w:p>
    <w:p w14:paraId="796C0BC7" w14:textId="77777777" w:rsidR="004C1D76" w:rsidRPr="00E92804" w:rsidRDefault="004C1D76" w:rsidP="004C1D76">
      <w:pPr>
        <w:spacing w:after="0" w:line="240" w:lineRule="auto"/>
        <w:ind w:firstLine="0"/>
        <w:rPr>
          <w:bCs/>
          <w:szCs w:val="26"/>
        </w:rPr>
      </w:pPr>
      <w:proofErr w:type="spellStart"/>
      <w:r w:rsidRPr="00E92804">
        <w:rPr>
          <w:bCs/>
          <w:szCs w:val="26"/>
        </w:rPr>
        <w:t>Vīza</w:t>
      </w:r>
      <w:proofErr w:type="spellEnd"/>
      <w:r w:rsidRPr="00E92804">
        <w:rPr>
          <w:bCs/>
          <w:szCs w:val="26"/>
        </w:rPr>
        <w:t xml:space="preserve">: </w:t>
      </w:r>
    </w:p>
    <w:p w14:paraId="410CC31C" w14:textId="23685E77" w:rsidR="004C1D76" w:rsidRPr="00E92804" w:rsidRDefault="004C1D76" w:rsidP="004C1D76">
      <w:pPr>
        <w:ind w:firstLine="0"/>
        <w:rPr>
          <w:bCs/>
          <w:szCs w:val="26"/>
        </w:rPr>
      </w:pPr>
      <w:proofErr w:type="spellStart"/>
      <w:r w:rsidRPr="00E92804">
        <w:rPr>
          <w:bCs/>
          <w:szCs w:val="26"/>
        </w:rPr>
        <w:t>Valsts</w:t>
      </w:r>
      <w:proofErr w:type="spellEnd"/>
      <w:r w:rsidRPr="00E92804">
        <w:rPr>
          <w:bCs/>
          <w:szCs w:val="26"/>
        </w:rPr>
        <w:t xml:space="preserve"> </w:t>
      </w:r>
      <w:proofErr w:type="spellStart"/>
      <w:r w:rsidRPr="00E92804">
        <w:rPr>
          <w:bCs/>
          <w:szCs w:val="26"/>
        </w:rPr>
        <w:t>sekretārs</w:t>
      </w:r>
      <w:proofErr w:type="spellEnd"/>
      <w:r w:rsidRPr="00E92804">
        <w:rPr>
          <w:bCs/>
          <w:szCs w:val="26"/>
        </w:rPr>
        <w:tab/>
      </w:r>
      <w:r w:rsidRPr="00E92804">
        <w:rPr>
          <w:bCs/>
          <w:szCs w:val="26"/>
        </w:rPr>
        <w:tab/>
      </w:r>
      <w:r w:rsidRPr="00E92804">
        <w:rPr>
          <w:bCs/>
          <w:szCs w:val="26"/>
        </w:rPr>
        <w:tab/>
      </w:r>
      <w:r w:rsidRPr="00E92804">
        <w:rPr>
          <w:bCs/>
          <w:szCs w:val="26"/>
        </w:rPr>
        <w:tab/>
      </w:r>
      <w:r w:rsidRPr="00E92804">
        <w:rPr>
          <w:bCs/>
          <w:szCs w:val="26"/>
        </w:rPr>
        <w:tab/>
      </w:r>
      <w:r w:rsidRPr="00E92804">
        <w:rPr>
          <w:bCs/>
          <w:szCs w:val="26"/>
        </w:rPr>
        <w:tab/>
      </w:r>
      <w:r w:rsidRPr="00E92804">
        <w:rPr>
          <w:bCs/>
          <w:szCs w:val="26"/>
        </w:rPr>
        <w:tab/>
        <w:t>Ē. Eglītis</w:t>
      </w:r>
    </w:p>
    <w:p w14:paraId="21A5DFB7" w14:textId="77777777" w:rsidR="004C1D76" w:rsidRDefault="004C1D76" w:rsidP="004C1D76">
      <w:pPr>
        <w:pStyle w:val="BodyTextIndent"/>
        <w:suppressAutoHyphens/>
        <w:ind w:left="0" w:right="-341"/>
        <w:jc w:val="both"/>
        <w:rPr>
          <w:sz w:val="26"/>
          <w:szCs w:val="26"/>
          <w:lang w:val="lv-LV"/>
        </w:rPr>
      </w:pPr>
    </w:p>
    <w:p w14:paraId="73844173" w14:textId="77777777" w:rsidR="004C1D76" w:rsidRPr="00DF6BF1" w:rsidRDefault="004C1D76" w:rsidP="004C1D76">
      <w:pPr>
        <w:pStyle w:val="BodyTextIndent"/>
        <w:suppressAutoHyphens/>
        <w:ind w:left="0" w:right="-341"/>
        <w:jc w:val="both"/>
        <w:rPr>
          <w:sz w:val="26"/>
          <w:szCs w:val="26"/>
          <w:lang w:val="lv-LV"/>
        </w:rPr>
      </w:pPr>
    </w:p>
    <w:p w14:paraId="33CFCE0B" w14:textId="77777777" w:rsidR="004C1D76" w:rsidRPr="00507AB7" w:rsidRDefault="004C1D76" w:rsidP="004C1D76">
      <w:pPr>
        <w:spacing w:before="0" w:after="0" w:line="240" w:lineRule="auto"/>
        <w:rPr>
          <w:sz w:val="20"/>
        </w:rPr>
      </w:pPr>
    </w:p>
    <w:p w14:paraId="462039D0" w14:textId="77777777" w:rsidR="004C1D76" w:rsidRPr="00507AB7" w:rsidRDefault="004C1D76" w:rsidP="004C1D76">
      <w:pPr>
        <w:spacing w:before="0" w:after="0" w:line="240" w:lineRule="auto"/>
        <w:ind w:firstLine="0"/>
        <w:rPr>
          <w:sz w:val="20"/>
        </w:rPr>
      </w:pPr>
      <w:proofErr w:type="spellStart"/>
      <w:r w:rsidRPr="00507AB7">
        <w:rPr>
          <w:sz w:val="20"/>
        </w:rPr>
        <w:t>I.Eglītis</w:t>
      </w:r>
      <w:proofErr w:type="spellEnd"/>
    </w:p>
    <w:p w14:paraId="5D56B4C8" w14:textId="77777777" w:rsidR="004C1D76" w:rsidRPr="00072BD1" w:rsidRDefault="004C1D76" w:rsidP="004C1D76">
      <w:pPr>
        <w:spacing w:before="0" w:after="0" w:line="240" w:lineRule="auto"/>
        <w:ind w:firstLine="0"/>
        <w:rPr>
          <w:sz w:val="20"/>
        </w:rPr>
      </w:pPr>
      <w:r w:rsidRPr="00507AB7">
        <w:rPr>
          <w:sz w:val="20"/>
        </w:rPr>
        <w:t>67013236, Intars.Eglitis@em.gov.lv</w:t>
      </w:r>
      <w:bookmarkStart w:id="2" w:name="_1383384029"/>
      <w:bookmarkEnd w:id="2"/>
    </w:p>
    <w:p w14:paraId="6AC8C12C" w14:textId="77777777" w:rsidR="004C1D76" w:rsidRPr="00D6345F" w:rsidRDefault="004C1D76" w:rsidP="004C1D76">
      <w:pPr>
        <w:spacing w:before="0" w:after="0" w:line="240" w:lineRule="auto"/>
        <w:rPr>
          <w:szCs w:val="26"/>
          <w:lang w:val="lv-LV"/>
        </w:rPr>
      </w:pPr>
    </w:p>
    <w:sectPr w:rsidR="004C1D76" w:rsidRPr="00D6345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AA4D7" w14:textId="77777777" w:rsidR="00D33973" w:rsidRDefault="00D33973" w:rsidP="00D65D8F">
      <w:pPr>
        <w:spacing w:before="0" w:after="0" w:line="240" w:lineRule="auto"/>
      </w:pPr>
      <w:r>
        <w:separator/>
      </w:r>
    </w:p>
  </w:endnote>
  <w:endnote w:type="continuationSeparator" w:id="0">
    <w:p w14:paraId="69255333" w14:textId="77777777" w:rsidR="00D33973" w:rsidRDefault="00D33973" w:rsidP="00D65D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CC0C" w14:textId="71129C25" w:rsidR="00BF3009" w:rsidRDefault="00BF3009" w:rsidP="00BF3009">
    <w:pPr>
      <w:pStyle w:val="Footer"/>
      <w:jc w:val="both"/>
    </w:pPr>
    <w:r w:rsidRPr="00DB12D5">
      <w:rPr>
        <w:sz w:val="20"/>
        <w:szCs w:val="20"/>
      </w:rPr>
      <w:t>EMZino_</w:t>
    </w:r>
    <w:r w:rsidR="005A2DA1">
      <w:rPr>
        <w:sz w:val="20"/>
        <w:szCs w:val="20"/>
      </w:rPr>
      <w:t>29</w:t>
    </w:r>
    <w:r w:rsidR="0047716A">
      <w:rPr>
        <w:sz w:val="20"/>
        <w:szCs w:val="20"/>
      </w:rPr>
      <w:t>08</w:t>
    </w:r>
    <w:r>
      <w:rPr>
        <w:sz w:val="20"/>
        <w:szCs w:val="20"/>
      </w:rPr>
      <w:t>19</w:t>
    </w:r>
    <w:r w:rsidR="00560806">
      <w:rPr>
        <w:sz w:val="20"/>
        <w:szCs w:val="20"/>
      </w:rPr>
      <w:t xml:space="preserve">_KP </w:t>
    </w:r>
    <w:proofErr w:type="spellStart"/>
    <w:r w:rsidR="00560806">
      <w:rPr>
        <w:sz w:val="20"/>
        <w:szCs w:val="20"/>
      </w:rPr>
      <w:t>finansialas</w:t>
    </w:r>
    <w:proofErr w:type="spellEnd"/>
    <w:r w:rsidR="00560806">
      <w:rPr>
        <w:sz w:val="20"/>
        <w:szCs w:val="20"/>
      </w:rPr>
      <w:t xml:space="preserve"> </w:t>
    </w:r>
    <w:proofErr w:type="spellStart"/>
    <w:r w:rsidR="00560806">
      <w:rPr>
        <w:sz w:val="20"/>
        <w:szCs w:val="20"/>
      </w:rPr>
      <w:t>neatkaribas</w:t>
    </w:r>
    <w:proofErr w:type="spellEnd"/>
    <w:r w:rsidR="00560806">
      <w:rPr>
        <w:sz w:val="20"/>
        <w:szCs w:val="20"/>
      </w:rPr>
      <w:t xml:space="preserve"> </w:t>
    </w:r>
    <w:proofErr w:type="spellStart"/>
    <w:r w:rsidR="00560806">
      <w:rPr>
        <w:sz w:val="20"/>
        <w:szCs w:val="20"/>
      </w:rPr>
      <w:t>stiprinasana</w:t>
    </w:r>
    <w:proofErr w:type="spellEnd"/>
    <w:r w:rsidRPr="00DB12D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292C" w14:textId="77777777" w:rsidR="00D33973" w:rsidRDefault="00D33973" w:rsidP="00D65D8F">
      <w:pPr>
        <w:spacing w:before="0" w:after="0" w:line="240" w:lineRule="auto"/>
      </w:pPr>
      <w:r>
        <w:separator/>
      </w:r>
    </w:p>
  </w:footnote>
  <w:footnote w:type="continuationSeparator" w:id="0">
    <w:p w14:paraId="7F32190E" w14:textId="77777777" w:rsidR="00D33973" w:rsidRDefault="00D33973" w:rsidP="00D65D8F">
      <w:pPr>
        <w:spacing w:before="0" w:after="0" w:line="240" w:lineRule="auto"/>
      </w:pPr>
      <w:r>
        <w:continuationSeparator/>
      </w:r>
    </w:p>
  </w:footnote>
  <w:footnote w:id="1">
    <w:p w14:paraId="3C25B554" w14:textId="54AB60C7" w:rsidR="00C149D5" w:rsidRDefault="00C149D5" w:rsidP="00C149D5">
      <w:pPr>
        <w:pStyle w:val="FootnoteText"/>
        <w:ind w:firstLine="0"/>
        <w:rPr>
          <w:rStyle w:val="Hyperlink"/>
          <w:sz w:val="24"/>
          <w:szCs w:val="24"/>
        </w:rPr>
      </w:pPr>
      <w:r>
        <w:rPr>
          <w:rStyle w:val="FootnoteReference"/>
        </w:rPr>
        <w:footnoteRef/>
      </w:r>
      <w:r>
        <w:t xml:space="preserve"> </w:t>
      </w:r>
      <w:r w:rsidRPr="00C149D5">
        <w:rPr>
          <w:lang w:val="lv-LV"/>
        </w:rPr>
        <w:t xml:space="preserve">SPRK tīmekļa vietnē: </w:t>
      </w:r>
      <w:hyperlink r:id="rId1" w:history="1">
        <w:r w:rsidRPr="00C149D5">
          <w:rPr>
            <w:rStyle w:val="Hyperlink"/>
            <w:lang w:val="lv-LV"/>
          </w:rPr>
          <w:t>https://www.sprk.gov.lv/content/atalgojuma-politika</w:t>
        </w:r>
      </w:hyperlink>
      <w:r w:rsidRPr="00C149D5">
        <w:rPr>
          <w:rStyle w:val="Hyperlink"/>
        </w:rPr>
        <w:t xml:space="preserve">; KP </w:t>
      </w:r>
      <w:proofErr w:type="spellStart"/>
      <w:r w:rsidRPr="00C149D5">
        <w:rPr>
          <w:rStyle w:val="Hyperlink"/>
        </w:rPr>
        <w:t>tīmekļa</w:t>
      </w:r>
      <w:proofErr w:type="spellEnd"/>
      <w:r w:rsidRPr="00C149D5">
        <w:rPr>
          <w:rStyle w:val="Hyperlink"/>
        </w:rPr>
        <w:t xml:space="preserve"> </w:t>
      </w:r>
      <w:proofErr w:type="spellStart"/>
      <w:r w:rsidRPr="00C149D5">
        <w:rPr>
          <w:rStyle w:val="Hyperlink"/>
        </w:rPr>
        <w:t>vietnē</w:t>
      </w:r>
      <w:proofErr w:type="spellEnd"/>
      <w:r w:rsidRPr="00C149D5">
        <w:rPr>
          <w:rStyle w:val="Hyperlink"/>
        </w:rPr>
        <w:t xml:space="preserve">: </w:t>
      </w:r>
      <w:hyperlink r:id="rId2" w:history="1">
        <w:r w:rsidRPr="00C149D5">
          <w:rPr>
            <w:rStyle w:val="Hyperlink"/>
            <w:lang w:val="lv-LV"/>
          </w:rPr>
          <w:t>https://www.kp.gov.lv/par-mums/budzets-un-iepirkumi/budzets-un-iepirkumi</w:t>
        </w:r>
      </w:hyperlink>
      <w:r w:rsidRPr="00C149D5">
        <w:rPr>
          <w:rStyle w:val="Hyperlink"/>
        </w:rPr>
        <w:t>.</w:t>
      </w:r>
    </w:p>
    <w:p w14:paraId="004B3B5F" w14:textId="77777777" w:rsidR="00C149D5" w:rsidRPr="00C149D5" w:rsidRDefault="00C149D5">
      <w:pPr>
        <w:pStyle w:val="FootnoteText"/>
        <w:rPr>
          <w:lang w:val="lv-LV"/>
        </w:rPr>
      </w:pPr>
    </w:p>
  </w:footnote>
  <w:footnote w:id="2">
    <w:p w14:paraId="385530A2" w14:textId="77777777" w:rsidR="00F41C3C" w:rsidRPr="009132E8" w:rsidRDefault="00F41C3C" w:rsidP="008B2C9B">
      <w:pPr>
        <w:pStyle w:val="FootnoteText"/>
        <w:ind w:firstLine="0"/>
        <w:rPr>
          <w:lang w:val="lv-LV"/>
        </w:rPr>
      </w:pPr>
      <w:r w:rsidRPr="00440C88">
        <w:rPr>
          <w:rStyle w:val="FootnoteReference"/>
        </w:rPr>
        <w:footnoteRef/>
      </w:r>
      <w:r w:rsidRPr="009132E8">
        <w:rPr>
          <w:lang w:val="lv-LV"/>
        </w:rPr>
        <w:t xml:space="preserve"> Saskaņā ar likuma “Par sabiedrisko pakalpojumu regulatoriem” 30.pantu sabiedrisko pakalpojumu regulēšanas nodrošināšanai visi regulējamo nozaru sabiedrisko pakalpojumu sniedzēji maksā valsts nodevu par sabiedrisko pakalpojumu regulēšanu. Šobrīd valsts nodeva ir noteikta 0,2 procentu apmērā no komersanta sniegtā attiecīgā sabiedriskā pakalpojuma veida neto apgrozījuma iepriekšējā kalendāra gadā.</w:t>
      </w:r>
    </w:p>
  </w:footnote>
  <w:footnote w:id="3">
    <w:p w14:paraId="41701233" w14:textId="38E4770E" w:rsidR="00CF02DD" w:rsidRDefault="00CF02DD" w:rsidP="008B2C9B">
      <w:pPr>
        <w:widowControl/>
        <w:spacing w:before="0" w:after="0" w:line="240" w:lineRule="auto"/>
        <w:ind w:firstLine="0"/>
        <w:rPr>
          <w:lang w:val="lv-LV"/>
        </w:rPr>
      </w:pPr>
      <w:r>
        <w:rPr>
          <w:rStyle w:val="FootnoteReference"/>
        </w:rPr>
        <w:footnoteRef/>
      </w:r>
      <w:r w:rsidRPr="002439A1">
        <w:rPr>
          <w:lang w:val="lv-LV"/>
        </w:rPr>
        <w:t xml:space="preserve"> </w:t>
      </w:r>
      <w:r w:rsidRPr="002439A1">
        <w:rPr>
          <w:sz w:val="20"/>
          <w:lang w:val="lv-LV"/>
        </w:rPr>
        <w:t>N</w:t>
      </w:r>
      <w:r w:rsidRPr="008B2C9B">
        <w:rPr>
          <w:sz w:val="20"/>
          <w:lang w:val="lv-LV"/>
        </w:rPr>
        <w:t xml:space="preserve">epieciešamais papildu finansējums uz turpmākajiem trim gadiem aprēķināts, ņemot vērā </w:t>
      </w:r>
      <w:r>
        <w:rPr>
          <w:sz w:val="20"/>
          <w:lang w:val="lv-LV"/>
        </w:rPr>
        <w:t>Likumā noteikto uz atalgojuma noteikšanu attiecināmā bāzes gada vidējo darba samaksu</w:t>
      </w:r>
      <w:r w:rsidRPr="008B2C9B">
        <w:rPr>
          <w:sz w:val="20"/>
          <w:lang w:val="lv-LV"/>
        </w:rPr>
        <w:t xml:space="preserve"> </w:t>
      </w:r>
      <w:r>
        <w:rPr>
          <w:sz w:val="20"/>
          <w:lang w:val="lv-LV"/>
        </w:rPr>
        <w:t xml:space="preserve">(2020.gadam – 982 euro, 2021.gadam - 1040 euro, 2022.gadam – 1103 euro) </w:t>
      </w:r>
      <w:r w:rsidRPr="008B2C9B">
        <w:rPr>
          <w:sz w:val="20"/>
          <w:lang w:val="lv-LV"/>
        </w:rPr>
        <w:t>un tam piemērojamo koeficientu 4,05.</w:t>
      </w:r>
    </w:p>
    <w:p w14:paraId="596830DE" w14:textId="4574B656" w:rsidR="00CF02DD" w:rsidRPr="008B2C9B" w:rsidRDefault="00CF02DD">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3D7D"/>
    <w:multiLevelType w:val="hybridMultilevel"/>
    <w:tmpl w:val="30B4E7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586FE5"/>
    <w:multiLevelType w:val="hybridMultilevel"/>
    <w:tmpl w:val="E9CCCA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7A23D6"/>
    <w:multiLevelType w:val="hybridMultilevel"/>
    <w:tmpl w:val="CBBED4D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A544087"/>
    <w:multiLevelType w:val="hybridMultilevel"/>
    <w:tmpl w:val="1EEA55D0"/>
    <w:lvl w:ilvl="0" w:tplc="CCF0D0B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CA106DD"/>
    <w:multiLevelType w:val="hybridMultilevel"/>
    <w:tmpl w:val="E5A0B4D8"/>
    <w:lvl w:ilvl="0" w:tplc="E9CCD08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115338A"/>
    <w:multiLevelType w:val="hybridMultilevel"/>
    <w:tmpl w:val="EFB24432"/>
    <w:lvl w:ilvl="0" w:tplc="D676E76A">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C23E15"/>
    <w:multiLevelType w:val="hybridMultilevel"/>
    <w:tmpl w:val="F960A220"/>
    <w:lvl w:ilvl="0" w:tplc="04260005">
      <w:start w:val="1"/>
      <w:numFmt w:val="bullet"/>
      <w:lvlText w:val=""/>
      <w:lvlJc w:val="left"/>
      <w:pPr>
        <w:ind w:left="360" w:hanging="360"/>
      </w:pPr>
      <w:rPr>
        <w:rFonts w:ascii="Wingdings" w:hAnsi="Wingdings" w:cs="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9A8173B"/>
    <w:multiLevelType w:val="hybridMultilevel"/>
    <w:tmpl w:val="ECF2AB54"/>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46"/>
    <w:rsid w:val="00010308"/>
    <w:rsid w:val="00094676"/>
    <w:rsid w:val="000B361F"/>
    <w:rsid w:val="000C3246"/>
    <w:rsid w:val="000D01AA"/>
    <w:rsid w:val="000E5FEA"/>
    <w:rsid w:val="000F7F24"/>
    <w:rsid w:val="001139B8"/>
    <w:rsid w:val="00157375"/>
    <w:rsid w:val="00166368"/>
    <w:rsid w:val="001D6B8C"/>
    <w:rsid w:val="00203582"/>
    <w:rsid w:val="00212628"/>
    <w:rsid w:val="00217C01"/>
    <w:rsid w:val="00231E5C"/>
    <w:rsid w:val="002439A1"/>
    <w:rsid w:val="0025428F"/>
    <w:rsid w:val="002647A9"/>
    <w:rsid w:val="00273CED"/>
    <w:rsid w:val="002A7B57"/>
    <w:rsid w:val="002B6160"/>
    <w:rsid w:val="002C23B0"/>
    <w:rsid w:val="002C4D31"/>
    <w:rsid w:val="0030476A"/>
    <w:rsid w:val="003367C5"/>
    <w:rsid w:val="00354342"/>
    <w:rsid w:val="00394D4C"/>
    <w:rsid w:val="003B5ABE"/>
    <w:rsid w:val="003C3DD5"/>
    <w:rsid w:val="003C6099"/>
    <w:rsid w:val="003F53BC"/>
    <w:rsid w:val="00413D20"/>
    <w:rsid w:val="00460BFA"/>
    <w:rsid w:val="00472D6A"/>
    <w:rsid w:val="00476A6C"/>
    <w:rsid w:val="0047716A"/>
    <w:rsid w:val="004A50BB"/>
    <w:rsid w:val="004B4972"/>
    <w:rsid w:val="004C1D76"/>
    <w:rsid w:val="004D7C99"/>
    <w:rsid w:val="004E28DE"/>
    <w:rsid w:val="004F1AEA"/>
    <w:rsid w:val="004F63A6"/>
    <w:rsid w:val="005457A9"/>
    <w:rsid w:val="00560806"/>
    <w:rsid w:val="00570122"/>
    <w:rsid w:val="00576CC3"/>
    <w:rsid w:val="0058504C"/>
    <w:rsid w:val="0059458D"/>
    <w:rsid w:val="00595AD6"/>
    <w:rsid w:val="00596626"/>
    <w:rsid w:val="005A2DA1"/>
    <w:rsid w:val="005A397D"/>
    <w:rsid w:val="005D395E"/>
    <w:rsid w:val="005E44FA"/>
    <w:rsid w:val="0060366C"/>
    <w:rsid w:val="00615407"/>
    <w:rsid w:val="00637516"/>
    <w:rsid w:val="006D4F7C"/>
    <w:rsid w:val="00720E1C"/>
    <w:rsid w:val="00742755"/>
    <w:rsid w:val="00750C69"/>
    <w:rsid w:val="00783FBD"/>
    <w:rsid w:val="007D7F07"/>
    <w:rsid w:val="007F3846"/>
    <w:rsid w:val="008042D2"/>
    <w:rsid w:val="00844481"/>
    <w:rsid w:val="008716C4"/>
    <w:rsid w:val="00882A5F"/>
    <w:rsid w:val="008A0A1E"/>
    <w:rsid w:val="008B2C26"/>
    <w:rsid w:val="008B2C9B"/>
    <w:rsid w:val="008B32CB"/>
    <w:rsid w:val="008C3699"/>
    <w:rsid w:val="008C46C7"/>
    <w:rsid w:val="008D7418"/>
    <w:rsid w:val="008D7726"/>
    <w:rsid w:val="009042EF"/>
    <w:rsid w:val="009132E8"/>
    <w:rsid w:val="00923ED6"/>
    <w:rsid w:val="00930954"/>
    <w:rsid w:val="009360D1"/>
    <w:rsid w:val="00971CC4"/>
    <w:rsid w:val="009C1615"/>
    <w:rsid w:val="009E04CB"/>
    <w:rsid w:val="00A07B95"/>
    <w:rsid w:val="00A15BCA"/>
    <w:rsid w:val="00A52BCF"/>
    <w:rsid w:val="00A726DB"/>
    <w:rsid w:val="00AB0F1E"/>
    <w:rsid w:val="00AC605E"/>
    <w:rsid w:val="00B13DEF"/>
    <w:rsid w:val="00B17530"/>
    <w:rsid w:val="00B4787A"/>
    <w:rsid w:val="00B53852"/>
    <w:rsid w:val="00B764A9"/>
    <w:rsid w:val="00B8649F"/>
    <w:rsid w:val="00B87C13"/>
    <w:rsid w:val="00B90307"/>
    <w:rsid w:val="00BE6544"/>
    <w:rsid w:val="00BF3009"/>
    <w:rsid w:val="00C04DB0"/>
    <w:rsid w:val="00C149D5"/>
    <w:rsid w:val="00C176DF"/>
    <w:rsid w:val="00C262B5"/>
    <w:rsid w:val="00C3274D"/>
    <w:rsid w:val="00C45E41"/>
    <w:rsid w:val="00C816C4"/>
    <w:rsid w:val="00C84E7F"/>
    <w:rsid w:val="00CE067E"/>
    <w:rsid w:val="00CF02DD"/>
    <w:rsid w:val="00D21C5C"/>
    <w:rsid w:val="00D33973"/>
    <w:rsid w:val="00D6223A"/>
    <w:rsid w:val="00D6345F"/>
    <w:rsid w:val="00D65D8F"/>
    <w:rsid w:val="00D667EC"/>
    <w:rsid w:val="00D713A3"/>
    <w:rsid w:val="00DA2059"/>
    <w:rsid w:val="00DD2F0A"/>
    <w:rsid w:val="00DD7747"/>
    <w:rsid w:val="00DE6668"/>
    <w:rsid w:val="00DF7558"/>
    <w:rsid w:val="00E0547D"/>
    <w:rsid w:val="00E1656D"/>
    <w:rsid w:val="00E60ABD"/>
    <w:rsid w:val="00E66605"/>
    <w:rsid w:val="00E900DC"/>
    <w:rsid w:val="00E92804"/>
    <w:rsid w:val="00ED09EE"/>
    <w:rsid w:val="00ED3213"/>
    <w:rsid w:val="00EE0945"/>
    <w:rsid w:val="00F012E4"/>
    <w:rsid w:val="00F24889"/>
    <w:rsid w:val="00F41C3C"/>
    <w:rsid w:val="00F80725"/>
    <w:rsid w:val="00FC594E"/>
    <w:rsid w:val="00FE76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9314"/>
  <w15:chartTrackingRefBased/>
  <w15:docId w15:val="{9769E968-EDB5-4659-856D-0CB7F276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46"/>
    <w:pPr>
      <w:widowControl w:val="0"/>
      <w:spacing w:before="60" w:after="60" w:line="360" w:lineRule="auto"/>
      <w:ind w:firstLine="720"/>
      <w:jc w:val="both"/>
    </w:pPr>
    <w:rPr>
      <w:rFonts w:ascii="Times New Roman" w:eastAsia="Times New Roman" w:hAnsi="Times New Roman" w:cs="Times New Roman"/>
      <w:sz w:val="26"/>
      <w:szCs w:val="20"/>
      <w:lang w:val="en-AU"/>
    </w:rPr>
  </w:style>
  <w:style w:type="paragraph" w:styleId="Heading1">
    <w:name w:val="heading 1"/>
    <w:basedOn w:val="Normal"/>
    <w:next w:val="Normal"/>
    <w:link w:val="Heading1Char"/>
    <w:uiPriority w:val="9"/>
    <w:qFormat/>
    <w:rsid w:val="00BF3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73C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846"/>
    <w:pPr>
      <w:widowControl/>
      <w:spacing w:before="100" w:beforeAutospacing="1" w:after="100" w:afterAutospacing="1" w:line="240" w:lineRule="auto"/>
      <w:ind w:firstLine="0"/>
      <w:jc w:val="left"/>
    </w:pPr>
    <w:rPr>
      <w:sz w:val="24"/>
      <w:szCs w:val="24"/>
      <w:lang w:val="lv-LV" w:eastAsia="lv-LV"/>
    </w:rPr>
  </w:style>
  <w:style w:type="character" w:customStyle="1" w:styleId="apple-style-span">
    <w:name w:val="apple-style-span"/>
    <w:basedOn w:val="DefaultParagraphFont"/>
    <w:uiPriority w:val="99"/>
    <w:rsid w:val="008C46C7"/>
    <w:rPr>
      <w:rFonts w:cs="Times New Roman"/>
    </w:rPr>
  </w:style>
  <w:style w:type="table" w:styleId="TableGridLight">
    <w:name w:val="Grid Table Light"/>
    <w:basedOn w:val="TableNormal"/>
    <w:uiPriority w:val="40"/>
    <w:rsid w:val="00D65D8F"/>
    <w:pPr>
      <w:spacing w:after="0" w:line="240" w:lineRule="auto"/>
    </w:pPr>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D65D8F"/>
    <w:pPr>
      <w:spacing w:before="0" w:after="0" w:line="240" w:lineRule="auto"/>
    </w:pPr>
    <w:rPr>
      <w:sz w:val="20"/>
    </w:rPr>
  </w:style>
  <w:style w:type="character" w:customStyle="1" w:styleId="FootnoteTextChar">
    <w:name w:val="Footnote Text Char"/>
    <w:basedOn w:val="DefaultParagraphFont"/>
    <w:link w:val="FootnoteText"/>
    <w:uiPriority w:val="99"/>
    <w:rsid w:val="00D65D8F"/>
    <w:rPr>
      <w:rFonts w:ascii="Times New Roman" w:eastAsia="Times New Roman" w:hAnsi="Times New Roman" w:cs="Times New Roman"/>
      <w:sz w:val="20"/>
      <w:szCs w:val="20"/>
      <w:lang w:val="en-AU"/>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basedOn w:val="DefaultParagraphFont"/>
    <w:uiPriority w:val="99"/>
    <w:unhideWhenUsed/>
    <w:rsid w:val="00D65D8F"/>
    <w:rPr>
      <w:vertAlign w:val="superscript"/>
    </w:rPr>
  </w:style>
  <w:style w:type="paragraph" w:styleId="Title">
    <w:name w:val="Title"/>
    <w:basedOn w:val="Normal"/>
    <w:link w:val="TitleChar"/>
    <w:qFormat/>
    <w:rsid w:val="00742755"/>
    <w:pPr>
      <w:widowControl/>
      <w:spacing w:before="0" w:after="0" w:line="240" w:lineRule="auto"/>
      <w:ind w:firstLine="0"/>
      <w:jc w:val="center"/>
    </w:pPr>
    <w:rPr>
      <w:b/>
      <w:bCs/>
      <w:sz w:val="28"/>
      <w:szCs w:val="24"/>
      <w:lang w:val="lv-LV"/>
    </w:rPr>
  </w:style>
  <w:style w:type="character" w:customStyle="1" w:styleId="TitleChar">
    <w:name w:val="Title Char"/>
    <w:basedOn w:val="DefaultParagraphFont"/>
    <w:link w:val="Title"/>
    <w:rsid w:val="00742755"/>
    <w:rPr>
      <w:rFonts w:ascii="Times New Roman" w:eastAsia="Times New Roman" w:hAnsi="Times New Roman" w:cs="Times New Roman"/>
      <w:b/>
      <w:bCs/>
      <w:sz w:val="28"/>
      <w:szCs w:val="24"/>
    </w:rPr>
  </w:style>
  <w:style w:type="paragraph" w:styleId="ListParagraph">
    <w:name w:val="List Paragraph"/>
    <w:basedOn w:val="Normal"/>
    <w:uiPriority w:val="34"/>
    <w:qFormat/>
    <w:rsid w:val="00D667EC"/>
    <w:pPr>
      <w:ind w:left="720"/>
      <w:contextualSpacing/>
    </w:pPr>
  </w:style>
  <w:style w:type="character" w:styleId="Hyperlink">
    <w:name w:val="Hyperlink"/>
    <w:basedOn w:val="DefaultParagraphFont"/>
    <w:uiPriority w:val="99"/>
    <w:unhideWhenUsed/>
    <w:rsid w:val="00930954"/>
    <w:rPr>
      <w:color w:val="0000FF"/>
      <w:u w:val="single"/>
    </w:rPr>
  </w:style>
  <w:style w:type="character" w:styleId="FollowedHyperlink">
    <w:name w:val="FollowedHyperlink"/>
    <w:basedOn w:val="DefaultParagraphFont"/>
    <w:uiPriority w:val="99"/>
    <w:semiHidden/>
    <w:unhideWhenUsed/>
    <w:rsid w:val="00D6345F"/>
    <w:rPr>
      <w:color w:val="954F72" w:themeColor="followedHyperlink"/>
      <w:u w:val="single"/>
    </w:rPr>
  </w:style>
  <w:style w:type="paragraph" w:customStyle="1" w:styleId="doc-ti">
    <w:name w:val="doc-ti"/>
    <w:basedOn w:val="Normal"/>
    <w:rsid w:val="00D6345F"/>
    <w:pPr>
      <w:widowControl/>
      <w:spacing w:before="100" w:beforeAutospacing="1" w:after="100" w:afterAutospacing="1" w:line="240" w:lineRule="auto"/>
      <w:ind w:firstLine="0"/>
      <w:jc w:val="left"/>
    </w:pPr>
    <w:rPr>
      <w:sz w:val="24"/>
      <w:szCs w:val="24"/>
      <w:lang w:val="lv-LV" w:eastAsia="lv-LV"/>
    </w:rPr>
  </w:style>
  <w:style w:type="paragraph" w:styleId="Footer">
    <w:name w:val="footer"/>
    <w:basedOn w:val="Normal"/>
    <w:link w:val="FooterChar"/>
    <w:rsid w:val="004C1D76"/>
    <w:pPr>
      <w:widowControl/>
      <w:tabs>
        <w:tab w:val="center" w:pos="4153"/>
        <w:tab w:val="right" w:pos="8306"/>
      </w:tabs>
      <w:spacing w:before="0" w:after="0" w:line="240" w:lineRule="auto"/>
      <w:ind w:firstLine="0"/>
      <w:jc w:val="left"/>
    </w:pPr>
    <w:rPr>
      <w:rFonts w:eastAsia="Calibri"/>
      <w:sz w:val="24"/>
      <w:szCs w:val="24"/>
      <w:lang w:val="lv-LV" w:eastAsia="lv-LV"/>
    </w:rPr>
  </w:style>
  <w:style w:type="character" w:customStyle="1" w:styleId="FooterChar">
    <w:name w:val="Footer Char"/>
    <w:basedOn w:val="DefaultParagraphFont"/>
    <w:link w:val="Footer"/>
    <w:rsid w:val="004C1D76"/>
    <w:rPr>
      <w:rFonts w:ascii="Times New Roman" w:eastAsia="Calibri" w:hAnsi="Times New Roman" w:cs="Times New Roman"/>
      <w:sz w:val="24"/>
      <w:szCs w:val="24"/>
      <w:lang w:eastAsia="lv-LV"/>
    </w:rPr>
  </w:style>
  <w:style w:type="paragraph" w:styleId="BodyTextIndent">
    <w:name w:val="Body Text Indent"/>
    <w:basedOn w:val="Normal"/>
    <w:link w:val="BodyTextIndentChar"/>
    <w:uiPriority w:val="99"/>
    <w:rsid w:val="004C1D76"/>
    <w:pPr>
      <w:widowControl/>
      <w:spacing w:before="0" w:after="0" w:line="240" w:lineRule="auto"/>
      <w:ind w:left="5760" w:firstLine="0"/>
      <w:jc w:val="left"/>
    </w:pPr>
    <w:rPr>
      <w:sz w:val="24"/>
      <w:lang w:val="x-none" w:eastAsia="lv-LV"/>
    </w:rPr>
  </w:style>
  <w:style w:type="character" w:customStyle="1" w:styleId="BodyTextIndentChar">
    <w:name w:val="Body Text Indent Char"/>
    <w:basedOn w:val="DefaultParagraphFont"/>
    <w:link w:val="BodyTextIndent"/>
    <w:uiPriority w:val="99"/>
    <w:rsid w:val="004C1D76"/>
    <w:rPr>
      <w:rFonts w:ascii="Times New Roman" w:eastAsia="Times New Roman" w:hAnsi="Times New Roman" w:cs="Times New Roman"/>
      <w:sz w:val="24"/>
      <w:szCs w:val="20"/>
      <w:lang w:val="x-none" w:eastAsia="lv-LV"/>
    </w:rPr>
  </w:style>
  <w:style w:type="paragraph" w:styleId="Header">
    <w:name w:val="header"/>
    <w:basedOn w:val="Normal"/>
    <w:link w:val="HeaderChar"/>
    <w:uiPriority w:val="99"/>
    <w:unhideWhenUsed/>
    <w:rsid w:val="00BF3009"/>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BF3009"/>
    <w:rPr>
      <w:rFonts w:ascii="Times New Roman" w:eastAsia="Times New Roman" w:hAnsi="Times New Roman" w:cs="Times New Roman"/>
      <w:sz w:val="26"/>
      <w:szCs w:val="20"/>
      <w:lang w:val="en-AU"/>
    </w:rPr>
  </w:style>
  <w:style w:type="character" w:customStyle="1" w:styleId="Heading1Char">
    <w:name w:val="Heading 1 Char"/>
    <w:basedOn w:val="DefaultParagraphFont"/>
    <w:link w:val="Heading1"/>
    <w:uiPriority w:val="9"/>
    <w:rsid w:val="00BF3009"/>
    <w:rPr>
      <w:rFonts w:asciiTheme="majorHAnsi" w:eastAsiaTheme="majorEastAsia" w:hAnsiTheme="majorHAnsi" w:cstheme="majorBidi"/>
      <w:color w:val="2F5496" w:themeColor="accent1" w:themeShade="BF"/>
      <w:sz w:val="32"/>
      <w:szCs w:val="32"/>
      <w:lang w:val="en-AU"/>
    </w:rPr>
  </w:style>
  <w:style w:type="table" w:styleId="ListTable3-Accent5">
    <w:name w:val="List Table 3 Accent 5"/>
    <w:basedOn w:val="TableNormal"/>
    <w:uiPriority w:val="48"/>
    <w:rsid w:val="00DD774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tv2131">
    <w:name w:val="tv2131"/>
    <w:basedOn w:val="Normal"/>
    <w:rsid w:val="00F41C3C"/>
    <w:pPr>
      <w:widowControl/>
      <w:spacing w:before="0" w:after="0"/>
      <w:ind w:firstLine="300"/>
      <w:jc w:val="left"/>
    </w:pPr>
    <w:rPr>
      <w:color w:val="414142"/>
      <w:sz w:val="20"/>
      <w:lang w:val="lv-LV" w:eastAsia="lv-LV"/>
    </w:rPr>
  </w:style>
  <w:style w:type="paragraph" w:styleId="BalloonText">
    <w:name w:val="Balloon Text"/>
    <w:basedOn w:val="Normal"/>
    <w:link w:val="BalloonTextChar"/>
    <w:uiPriority w:val="99"/>
    <w:semiHidden/>
    <w:unhideWhenUsed/>
    <w:rsid w:val="00394D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4C"/>
    <w:rPr>
      <w:rFonts w:ascii="Segoe UI" w:eastAsia="Times New Roman" w:hAnsi="Segoe UI" w:cs="Segoe UI"/>
      <w:sz w:val="18"/>
      <w:szCs w:val="18"/>
      <w:lang w:val="en-AU"/>
    </w:rPr>
  </w:style>
  <w:style w:type="character" w:styleId="CommentReference">
    <w:name w:val="annotation reference"/>
    <w:basedOn w:val="DefaultParagraphFont"/>
    <w:semiHidden/>
    <w:unhideWhenUsed/>
    <w:rsid w:val="00B8649F"/>
    <w:rPr>
      <w:sz w:val="16"/>
      <w:szCs w:val="16"/>
    </w:rPr>
  </w:style>
  <w:style w:type="paragraph" w:styleId="CommentText">
    <w:name w:val="annotation text"/>
    <w:basedOn w:val="Normal"/>
    <w:link w:val="CommentTextChar"/>
    <w:semiHidden/>
    <w:unhideWhenUsed/>
    <w:rsid w:val="00B8649F"/>
    <w:pPr>
      <w:spacing w:line="240" w:lineRule="auto"/>
    </w:pPr>
    <w:rPr>
      <w:sz w:val="20"/>
    </w:rPr>
  </w:style>
  <w:style w:type="character" w:customStyle="1" w:styleId="CommentTextChar">
    <w:name w:val="Comment Text Char"/>
    <w:basedOn w:val="DefaultParagraphFont"/>
    <w:link w:val="CommentText"/>
    <w:semiHidden/>
    <w:rsid w:val="00B8649F"/>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8649F"/>
    <w:rPr>
      <w:b/>
      <w:bCs/>
    </w:rPr>
  </w:style>
  <w:style w:type="character" w:customStyle="1" w:styleId="CommentSubjectChar">
    <w:name w:val="Comment Subject Char"/>
    <w:basedOn w:val="CommentTextChar"/>
    <w:link w:val="CommentSubject"/>
    <w:uiPriority w:val="99"/>
    <w:semiHidden/>
    <w:rsid w:val="00B8649F"/>
    <w:rPr>
      <w:rFonts w:ascii="Times New Roman" w:eastAsia="Times New Roman" w:hAnsi="Times New Roman" w:cs="Times New Roman"/>
      <w:b/>
      <w:bCs/>
      <w:sz w:val="20"/>
      <w:szCs w:val="20"/>
      <w:lang w:val="en-AU"/>
    </w:rPr>
  </w:style>
  <w:style w:type="character" w:customStyle="1" w:styleId="Heading3Char">
    <w:name w:val="Heading 3 Char"/>
    <w:basedOn w:val="DefaultParagraphFont"/>
    <w:link w:val="Heading3"/>
    <w:uiPriority w:val="9"/>
    <w:semiHidden/>
    <w:rsid w:val="00273CED"/>
    <w:rPr>
      <w:rFonts w:asciiTheme="majorHAnsi" w:eastAsiaTheme="majorEastAsia" w:hAnsiTheme="majorHAnsi" w:cstheme="majorBidi"/>
      <w:color w:val="1F3763" w:themeColor="accent1" w:themeShade="7F"/>
      <w:sz w:val="24"/>
      <w:szCs w:val="24"/>
      <w:lang w:val="en-AU"/>
    </w:rPr>
  </w:style>
  <w:style w:type="character" w:styleId="Strong">
    <w:name w:val="Strong"/>
    <w:basedOn w:val="DefaultParagraphFont"/>
    <w:uiPriority w:val="22"/>
    <w:qFormat/>
    <w:rsid w:val="00273CED"/>
    <w:rPr>
      <w:b/>
      <w:bCs/>
    </w:rPr>
  </w:style>
  <w:style w:type="character" w:customStyle="1" w:styleId="spelle">
    <w:name w:val="spelle"/>
    <w:basedOn w:val="DefaultParagraphFont"/>
    <w:rsid w:val="00615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2706">
      <w:bodyDiv w:val="1"/>
      <w:marLeft w:val="0"/>
      <w:marRight w:val="0"/>
      <w:marTop w:val="0"/>
      <w:marBottom w:val="0"/>
      <w:divBdr>
        <w:top w:val="none" w:sz="0" w:space="0" w:color="auto"/>
        <w:left w:val="none" w:sz="0" w:space="0" w:color="auto"/>
        <w:bottom w:val="none" w:sz="0" w:space="0" w:color="auto"/>
        <w:right w:val="none" w:sz="0" w:space="0" w:color="auto"/>
      </w:divBdr>
    </w:div>
    <w:div w:id="555967177">
      <w:bodyDiv w:val="1"/>
      <w:marLeft w:val="0"/>
      <w:marRight w:val="0"/>
      <w:marTop w:val="0"/>
      <w:marBottom w:val="0"/>
      <w:divBdr>
        <w:top w:val="none" w:sz="0" w:space="0" w:color="auto"/>
        <w:left w:val="none" w:sz="0" w:space="0" w:color="auto"/>
        <w:bottom w:val="none" w:sz="0" w:space="0" w:color="auto"/>
        <w:right w:val="none" w:sz="0" w:space="0" w:color="auto"/>
      </w:divBdr>
    </w:div>
    <w:div w:id="603535061">
      <w:bodyDiv w:val="1"/>
      <w:marLeft w:val="0"/>
      <w:marRight w:val="0"/>
      <w:marTop w:val="0"/>
      <w:marBottom w:val="0"/>
      <w:divBdr>
        <w:top w:val="none" w:sz="0" w:space="0" w:color="auto"/>
        <w:left w:val="none" w:sz="0" w:space="0" w:color="auto"/>
        <w:bottom w:val="none" w:sz="0" w:space="0" w:color="auto"/>
        <w:right w:val="none" w:sz="0" w:space="0" w:color="auto"/>
      </w:divBdr>
    </w:div>
    <w:div w:id="939995516">
      <w:bodyDiv w:val="1"/>
      <w:marLeft w:val="0"/>
      <w:marRight w:val="0"/>
      <w:marTop w:val="0"/>
      <w:marBottom w:val="0"/>
      <w:divBdr>
        <w:top w:val="none" w:sz="0" w:space="0" w:color="auto"/>
        <w:left w:val="none" w:sz="0" w:space="0" w:color="auto"/>
        <w:bottom w:val="none" w:sz="0" w:space="0" w:color="auto"/>
        <w:right w:val="none" w:sz="0" w:space="0" w:color="auto"/>
      </w:divBdr>
    </w:div>
    <w:div w:id="1923953186">
      <w:bodyDiv w:val="1"/>
      <w:marLeft w:val="0"/>
      <w:marRight w:val="0"/>
      <w:marTop w:val="0"/>
      <w:marBottom w:val="0"/>
      <w:divBdr>
        <w:top w:val="none" w:sz="0" w:space="0" w:color="auto"/>
        <w:left w:val="none" w:sz="0" w:space="0" w:color="auto"/>
        <w:bottom w:val="none" w:sz="0" w:space="0" w:color="auto"/>
        <w:right w:val="none" w:sz="0" w:space="0" w:color="auto"/>
      </w:divBdr>
    </w:div>
    <w:div w:id="198642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economy/latvia-economic-snapsh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kp.gov.lv/par-mums/budzets-un-iepirkumi/budzets-un-iepirkumi" TargetMode="External"/><Relationship Id="rId1" Type="http://schemas.openxmlformats.org/officeDocument/2006/relationships/hyperlink" Target="https://www.sprk.gov.lv/content/atalgojum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8AF81-11EA-4013-9403-3C82A18F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Pages>
  <Words>6010</Words>
  <Characters>3427</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vienotas konkurences un regulācijas iestādes izveides iespējām</vt:lpstr>
      <vt:lpstr>Par vienotas konkurences un regulācijas iestādes izveides iespējām</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vienotas konkurences un regulācijas iestādes izveides iespējām</dc:title>
  <dc:subject/>
  <dc:creator>Intars Eglītis</dc:creator>
  <cp:keywords>Informativais ziņojums</cp:keywords>
  <dc:description>Intars.Eglitis@em.gov.lv
67013236</dc:description>
  <cp:lastModifiedBy>Intars Eglītis</cp:lastModifiedBy>
  <cp:revision>14</cp:revision>
  <dcterms:created xsi:type="dcterms:W3CDTF">2019-06-04T06:02:00Z</dcterms:created>
  <dcterms:modified xsi:type="dcterms:W3CDTF">2019-08-29T06:33:00Z</dcterms:modified>
</cp:coreProperties>
</file>