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7AE4" w14:textId="13936FA1" w:rsidR="005A2ACB" w:rsidRDefault="003F5A60" w:rsidP="009B5AF2">
      <w:pPr>
        <w:spacing w:before="100" w:beforeAutospacing="1" w:after="240"/>
        <w:jc w:val="center"/>
        <w:rPr>
          <w:rStyle w:val="Strong"/>
        </w:rPr>
      </w:pPr>
      <w:r w:rsidRPr="00C927DB">
        <w:rPr>
          <w:rStyle w:val="Strong"/>
        </w:rPr>
        <w:t xml:space="preserve">Ministru kabineta noteikumu projekta </w:t>
      </w:r>
      <w:r w:rsidR="00371C8B">
        <w:rPr>
          <w:rStyle w:val="Strong"/>
        </w:rPr>
        <w:t>“</w:t>
      </w:r>
      <w:r w:rsidR="00FE4651" w:rsidRPr="00FE4651">
        <w:rPr>
          <w:rStyle w:val="Strong"/>
        </w:rPr>
        <w:t>Grozījumi Ministru kabineta 2015.gada 30.jūnija noteikumos Nr.333 „Noteikumi par Latvijas būvnormatīvu LBN 201-15 “Būvju ugunsdrošība””</w:t>
      </w:r>
      <w:r w:rsidR="00CE4D99">
        <w:rPr>
          <w:rStyle w:val="Strong"/>
        </w:rPr>
        <w:t xml:space="preserve"> </w:t>
      </w:r>
      <w:r w:rsidR="005A2ACB" w:rsidRPr="00C927DB">
        <w:rPr>
          <w:rStyle w:val="Strong"/>
        </w:rPr>
        <w:t>sākotnējās ietekmes novērtējuma ziņojums (anotācija)</w:t>
      </w:r>
    </w:p>
    <w:tbl>
      <w:tblPr>
        <w:tblStyle w:val="TableGrid"/>
        <w:tblW w:w="9067" w:type="dxa"/>
        <w:tblBorders>
          <w:top w:val="thickThinLargeGap" w:sz="12" w:space="0" w:color="BFBFBF" w:themeColor="background1" w:themeShade="BF"/>
          <w:left w:val="thickThinLargeGap" w:sz="12" w:space="0" w:color="BFBFBF" w:themeColor="background1" w:themeShade="BF"/>
          <w:bottom w:val="thickThinLargeGap" w:sz="12" w:space="0" w:color="BFBFBF" w:themeColor="background1" w:themeShade="BF"/>
          <w:right w:val="thickThinLargeGap" w:sz="12" w:space="0" w:color="BFBFBF" w:themeColor="background1" w:themeShade="BF"/>
          <w:insideH w:val="thickThinLargeGap" w:sz="12" w:space="0" w:color="BFBFBF" w:themeColor="background1" w:themeShade="BF"/>
          <w:insideV w:val="thickThinLargeGap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2A633C" w14:paraId="32DA7A31" w14:textId="77777777" w:rsidTr="002A3126">
        <w:tc>
          <w:tcPr>
            <w:tcW w:w="9067" w:type="dxa"/>
            <w:gridSpan w:val="2"/>
          </w:tcPr>
          <w:p w14:paraId="73CDA25B" w14:textId="5D8F56BE" w:rsidR="002A633C" w:rsidRPr="00A14AD8" w:rsidRDefault="002A633C" w:rsidP="002A633C">
            <w:pPr>
              <w:spacing w:before="100" w:beforeAutospacing="1" w:after="240"/>
              <w:jc w:val="center"/>
              <w:rPr>
                <w:rFonts w:eastAsia="SimSun" w:cs="Times New Roman"/>
                <w:szCs w:val="28"/>
                <w:lang w:eastAsia="zh-CN"/>
              </w:rPr>
            </w:pPr>
            <w:r w:rsidRPr="002A633C">
              <w:rPr>
                <w:rStyle w:val="Strong"/>
              </w:rPr>
              <w:t>Tiesību akta projekta anotācijas kopsavilkums</w:t>
            </w:r>
          </w:p>
        </w:tc>
      </w:tr>
      <w:tr w:rsidR="00A14AD8" w14:paraId="2923772B" w14:textId="77777777" w:rsidTr="002A3126">
        <w:tc>
          <w:tcPr>
            <w:tcW w:w="3114" w:type="dxa"/>
          </w:tcPr>
          <w:p w14:paraId="63CB5A61" w14:textId="7A0585A2" w:rsidR="00A14AD8" w:rsidRDefault="00A14AD8" w:rsidP="00A14AD8">
            <w:pPr>
              <w:ind w:left="82" w:right="97" w:firstLine="284"/>
              <w:jc w:val="both"/>
              <w:rPr>
                <w:rStyle w:val="Strong"/>
              </w:rPr>
            </w:pPr>
            <w:r w:rsidRPr="00A14AD8">
              <w:rPr>
                <w:rFonts w:eastAsia="Times New Roman" w:cs="Times New Roman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953" w:type="dxa"/>
          </w:tcPr>
          <w:p w14:paraId="0B572497" w14:textId="419FCBCA" w:rsidR="00A14AD8" w:rsidRDefault="00A14AD8" w:rsidP="00A14AD8">
            <w:pPr>
              <w:spacing w:before="100" w:beforeAutospacing="1" w:after="240"/>
              <w:rPr>
                <w:rStyle w:val="Strong"/>
              </w:rPr>
            </w:pPr>
            <w:r w:rsidRPr="00A14AD8">
              <w:rPr>
                <w:rFonts w:eastAsia="SimSun" w:cs="Times New Roman"/>
                <w:szCs w:val="28"/>
                <w:lang w:eastAsia="zh-CN"/>
              </w:rPr>
              <w:t>Nav attiecināms.</w:t>
            </w:r>
          </w:p>
        </w:tc>
      </w:tr>
    </w:tbl>
    <w:p w14:paraId="61CA7516" w14:textId="6E727599" w:rsidR="00C21FFA" w:rsidRDefault="00C21FFA" w:rsidP="002A633C">
      <w:pPr>
        <w:spacing w:before="120" w:after="120"/>
        <w:jc w:val="center"/>
        <w:rPr>
          <w:rStyle w:val="Strong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404"/>
        <w:gridCol w:w="6180"/>
      </w:tblGrid>
      <w:tr w:rsidR="005A2ACB" w:rsidRPr="005C7D63" w14:paraId="2B379A03" w14:textId="77777777" w:rsidTr="009B5AF2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50C0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5A2ACB" w:rsidRPr="005C7D63" w14:paraId="41DE1FB4" w14:textId="77777777" w:rsidTr="002A633C">
        <w:trPr>
          <w:trHeight w:val="40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2AC7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1C4EC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Pamatojums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2C90" w14:textId="4C2EBEDC" w:rsidR="000077FD" w:rsidRDefault="000A549B" w:rsidP="003D7F1F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  <w:r w:rsidRPr="005C7D63">
              <w:rPr>
                <w:rFonts w:eastAsia="SimSun" w:cs="Times New Roman"/>
                <w:szCs w:val="28"/>
                <w:lang w:eastAsia="zh-CN"/>
              </w:rPr>
              <w:t>Ministru kabine</w:t>
            </w:r>
            <w:r w:rsidR="00046AC9">
              <w:rPr>
                <w:rFonts w:eastAsia="SimSun" w:cs="Times New Roman"/>
                <w:szCs w:val="28"/>
                <w:lang w:eastAsia="zh-CN"/>
              </w:rPr>
              <w:t xml:space="preserve">ta noteikumu projekts </w:t>
            </w:r>
            <w:r w:rsidR="00371C8B">
              <w:rPr>
                <w:rFonts w:eastAsia="SimSun" w:cs="Times New Roman"/>
                <w:szCs w:val="28"/>
                <w:lang w:eastAsia="zh-CN"/>
              </w:rPr>
              <w:t>“</w:t>
            </w:r>
            <w:r w:rsidR="00371C8B" w:rsidRPr="00371C8B">
              <w:rPr>
                <w:rFonts w:eastAsia="SimSun" w:cs="Times New Roman"/>
                <w:szCs w:val="28"/>
                <w:lang w:eastAsia="zh-CN"/>
              </w:rPr>
              <w:t>Grozījumi Ministru kabineta 2015.gada 30.jūnija noteikumos Nr.333 „Noteikumi par Latvijas būvnormatīvu LBN 201-15 “Būvju ugunsdrošība””</w:t>
            </w:r>
            <w:r w:rsidRPr="005C7D63">
              <w:rPr>
                <w:rFonts w:eastAsia="SimSun" w:cs="Times New Roman"/>
                <w:szCs w:val="28"/>
                <w:lang w:eastAsia="zh-CN"/>
              </w:rPr>
              <w:t xml:space="preserve"> (turpmāk – noteikumu projekts) ir izstrādāts </w:t>
            </w:r>
            <w:r w:rsidR="00C21FFA">
              <w:rPr>
                <w:rFonts w:eastAsia="SimSun" w:cs="Times New Roman"/>
                <w:szCs w:val="28"/>
                <w:lang w:eastAsia="zh-CN"/>
              </w:rPr>
              <w:t xml:space="preserve">pēc Ekonomikas ministrijas iniciatīvas. </w:t>
            </w:r>
          </w:p>
          <w:p w14:paraId="385CE852" w14:textId="77777777" w:rsidR="0084049B" w:rsidRDefault="0084049B" w:rsidP="003D7F1F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</w:p>
          <w:p w14:paraId="470C6727" w14:textId="68BCC270" w:rsidR="008E6B98" w:rsidRPr="005C7D63" w:rsidRDefault="008E6B98" w:rsidP="003D7F1F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</w:p>
        </w:tc>
      </w:tr>
      <w:tr w:rsidR="005A2ACB" w:rsidRPr="005C7D63" w14:paraId="05232394" w14:textId="77777777" w:rsidTr="002A633C"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322BF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8B182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90878" w14:textId="3ABE59F8" w:rsidR="003F7B65" w:rsidRDefault="00371C8B" w:rsidP="00BD63DB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 w:rsidRPr="00371C8B">
              <w:rPr>
                <w:rFonts w:eastAsia="Times New Roman" w:cs="Times New Roman"/>
                <w:szCs w:val="28"/>
              </w:rPr>
              <w:t>Latvijas būvnormatīv</w:t>
            </w:r>
            <w:r>
              <w:rPr>
                <w:rFonts w:eastAsia="Times New Roman" w:cs="Times New Roman"/>
                <w:szCs w:val="28"/>
              </w:rPr>
              <w:t>a</w:t>
            </w:r>
            <w:r w:rsidRPr="00371C8B">
              <w:rPr>
                <w:rFonts w:eastAsia="Times New Roman" w:cs="Times New Roman"/>
                <w:szCs w:val="28"/>
              </w:rPr>
              <w:t xml:space="preserve"> LBN 201-15 “Būvju ugunsdrošība”</w:t>
            </w:r>
            <w:r w:rsidR="00184B22">
              <w:rPr>
                <w:rFonts w:eastAsia="Times New Roman" w:cs="Times New Roman"/>
                <w:szCs w:val="28"/>
              </w:rPr>
              <w:t xml:space="preserve"> (turpmāk – </w:t>
            </w:r>
            <w:r>
              <w:rPr>
                <w:rFonts w:eastAsia="Times New Roman" w:cs="Times New Roman"/>
                <w:szCs w:val="28"/>
              </w:rPr>
              <w:t>LBN 201-15</w:t>
            </w:r>
            <w:r w:rsidR="00184B22">
              <w:rPr>
                <w:rFonts w:eastAsia="Times New Roman" w:cs="Times New Roman"/>
                <w:szCs w:val="28"/>
              </w:rPr>
              <w:t>)</w:t>
            </w:r>
            <w:r w:rsidR="00411D03" w:rsidRPr="005C7D63">
              <w:rPr>
                <w:rFonts w:eastAsia="Times New Roman" w:cs="Times New Roman"/>
                <w:szCs w:val="28"/>
              </w:rPr>
              <w:t xml:space="preserve">  </w:t>
            </w:r>
            <w:r w:rsidR="00B94408">
              <w:rPr>
                <w:rFonts w:eastAsia="Times New Roman" w:cs="Times New Roman"/>
                <w:szCs w:val="28"/>
              </w:rPr>
              <w:t>15.</w:t>
            </w:r>
            <w:r w:rsidR="00411D03" w:rsidRPr="005C7D63">
              <w:rPr>
                <w:rFonts w:eastAsia="Times New Roman" w:cs="Times New Roman"/>
                <w:szCs w:val="28"/>
              </w:rPr>
              <w:t>punk</w:t>
            </w:r>
            <w:r w:rsidR="00EB6323">
              <w:rPr>
                <w:rFonts w:eastAsia="Times New Roman" w:cs="Times New Roman"/>
                <w:szCs w:val="28"/>
              </w:rPr>
              <w:t>ts nosaka</w:t>
            </w:r>
            <w:r w:rsidR="00B94408">
              <w:rPr>
                <w:rFonts w:eastAsia="Times New Roman" w:cs="Times New Roman"/>
                <w:szCs w:val="28"/>
              </w:rPr>
              <w:t>, ka</w:t>
            </w:r>
            <w:r w:rsidR="00EB6323">
              <w:rPr>
                <w:rFonts w:eastAsia="Times New Roman" w:cs="Times New Roman"/>
                <w:szCs w:val="28"/>
              </w:rPr>
              <w:t xml:space="preserve"> </w:t>
            </w:r>
            <w:r w:rsidR="00B94408">
              <w:rPr>
                <w:rFonts w:eastAsia="Times New Roman" w:cs="Times New Roman"/>
                <w:szCs w:val="28"/>
              </w:rPr>
              <w:t>u</w:t>
            </w:r>
            <w:r w:rsidR="00B94408" w:rsidRPr="00B94408">
              <w:rPr>
                <w:rFonts w:eastAsia="Times New Roman" w:cs="Times New Roman"/>
                <w:szCs w:val="28"/>
              </w:rPr>
              <w:t xml:space="preserve">gunsdrošo durvju ugunsizturību klasificē atbilstoši standartam LVS EN 14600:2007 </w:t>
            </w:r>
            <w:r w:rsidR="00B94408">
              <w:rPr>
                <w:rFonts w:eastAsia="Times New Roman" w:cs="Times New Roman"/>
                <w:szCs w:val="28"/>
              </w:rPr>
              <w:t>“</w:t>
            </w:r>
            <w:r w:rsidR="00B94408" w:rsidRPr="00B94408">
              <w:rPr>
                <w:rFonts w:eastAsia="Times New Roman" w:cs="Times New Roman"/>
                <w:szCs w:val="28"/>
              </w:rPr>
              <w:t>Durvju bloki un atverami logi ar ugunsizturības un/vai dūmu kontroles raksturlielumiem. Prasības un klasifikācija</w:t>
            </w:r>
            <w:r w:rsidR="00B94408">
              <w:rPr>
                <w:rFonts w:eastAsia="Times New Roman" w:cs="Times New Roman"/>
                <w:szCs w:val="28"/>
              </w:rPr>
              <w:t>”</w:t>
            </w:r>
            <w:r w:rsidR="00B94408" w:rsidRPr="00B94408">
              <w:rPr>
                <w:rFonts w:eastAsia="Times New Roman" w:cs="Times New Roman"/>
                <w:szCs w:val="28"/>
              </w:rPr>
              <w:t>.</w:t>
            </w:r>
            <w:r w:rsidR="00B94408">
              <w:rPr>
                <w:rFonts w:eastAsia="Times New Roman" w:cs="Times New Roman"/>
                <w:szCs w:val="28"/>
              </w:rPr>
              <w:t xml:space="preserve"> Savukārt LBN 201-15 16.punkts nosaka, ka u</w:t>
            </w:r>
            <w:r w:rsidR="00B94408" w:rsidRPr="00B94408">
              <w:rPr>
                <w:rFonts w:eastAsia="Times New Roman" w:cs="Times New Roman"/>
                <w:szCs w:val="28"/>
              </w:rPr>
              <w:t xml:space="preserve">gunsdrošo stiklu ugunsizturību klasificē atbilstoši standartam LVS EN 357:2007 </w:t>
            </w:r>
            <w:r w:rsidR="00E5552E">
              <w:rPr>
                <w:rFonts w:eastAsia="Times New Roman" w:cs="Times New Roman"/>
                <w:szCs w:val="28"/>
              </w:rPr>
              <w:t>“</w:t>
            </w:r>
            <w:r w:rsidR="00B94408" w:rsidRPr="00B94408">
              <w:rPr>
                <w:rFonts w:eastAsia="Times New Roman" w:cs="Times New Roman"/>
                <w:szCs w:val="28"/>
              </w:rPr>
              <w:t>Stikls būvniecībā. Ugunsizturīgie stiklotie elementi ar caurredzamu vai caurspīdīgu stikla izstrādājumu. Ugunsizturības klasifikācija</w:t>
            </w:r>
            <w:r w:rsidR="00E5552E">
              <w:rPr>
                <w:rFonts w:eastAsia="Times New Roman" w:cs="Times New Roman"/>
                <w:szCs w:val="28"/>
              </w:rPr>
              <w:t>”</w:t>
            </w:r>
            <w:r w:rsidR="00B94408" w:rsidRPr="00B94408">
              <w:rPr>
                <w:rFonts w:eastAsia="Times New Roman" w:cs="Times New Roman"/>
                <w:szCs w:val="28"/>
              </w:rPr>
              <w:t>.</w:t>
            </w:r>
          </w:p>
          <w:p w14:paraId="703738CE" w14:textId="64A5F197" w:rsidR="003F7B65" w:rsidRDefault="001C7137" w:rsidP="00EB6323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Ņemot vērā,</w:t>
            </w:r>
            <w:r w:rsidR="003F7B65">
              <w:rPr>
                <w:rFonts w:eastAsia="Times New Roman" w:cs="Times New Roman"/>
                <w:szCs w:val="28"/>
              </w:rPr>
              <w:t xml:space="preserve"> k</w:t>
            </w:r>
            <w:r w:rsidR="00B94408">
              <w:rPr>
                <w:rFonts w:eastAsia="Times New Roman" w:cs="Times New Roman"/>
                <w:szCs w:val="28"/>
              </w:rPr>
              <w:t>a</w:t>
            </w:r>
            <w:r w:rsidR="003F7B65">
              <w:rPr>
                <w:rFonts w:eastAsia="Times New Roman" w:cs="Times New Roman"/>
                <w:szCs w:val="28"/>
              </w:rPr>
              <w:t xml:space="preserve"> </w:t>
            </w:r>
            <w:r w:rsidR="00B94408">
              <w:rPr>
                <w:rFonts w:eastAsia="Times New Roman" w:cs="Times New Roman"/>
                <w:szCs w:val="28"/>
              </w:rPr>
              <w:t xml:space="preserve">standarts </w:t>
            </w:r>
            <w:r w:rsidR="00E5552E" w:rsidRPr="00E5552E">
              <w:rPr>
                <w:rFonts w:eastAsia="Times New Roman" w:cs="Times New Roman"/>
                <w:szCs w:val="28"/>
              </w:rPr>
              <w:t>LVS EN 14600:2007 “Durvju bloki un atverami logi ar ugunsizturības un/vai dūmu kontroles raksturlielumiem. Prasības un klasifikācija”</w:t>
            </w:r>
            <w:r w:rsidR="00E5552E">
              <w:rPr>
                <w:rFonts w:eastAsia="Times New Roman" w:cs="Times New Roman"/>
                <w:szCs w:val="28"/>
              </w:rPr>
              <w:t xml:space="preserve"> </w:t>
            </w:r>
            <w:r w:rsidR="00B94408">
              <w:rPr>
                <w:rFonts w:eastAsia="Times New Roman" w:cs="Times New Roman"/>
                <w:szCs w:val="28"/>
              </w:rPr>
              <w:t xml:space="preserve">un standarts </w:t>
            </w:r>
            <w:r w:rsidR="00E5552E" w:rsidRPr="00E5552E">
              <w:rPr>
                <w:rFonts w:eastAsia="Times New Roman" w:cs="Times New Roman"/>
                <w:szCs w:val="28"/>
              </w:rPr>
              <w:t xml:space="preserve">LVS EN 357:2007 </w:t>
            </w:r>
            <w:r w:rsidR="00E5552E">
              <w:rPr>
                <w:rFonts w:eastAsia="Times New Roman" w:cs="Times New Roman"/>
                <w:szCs w:val="28"/>
              </w:rPr>
              <w:t>“</w:t>
            </w:r>
            <w:r w:rsidR="00E5552E" w:rsidRPr="00E5552E">
              <w:rPr>
                <w:rFonts w:eastAsia="Times New Roman" w:cs="Times New Roman"/>
                <w:szCs w:val="28"/>
              </w:rPr>
              <w:t>Stikls būvniecībā. Ugunsizturīgie stiklotie elementi ar caurredzamu vai caurspīdīgu stikla izstrādājumu. Ugunsizturības klasifikācija</w:t>
            </w:r>
            <w:r w:rsidR="00E5552E">
              <w:rPr>
                <w:rFonts w:eastAsia="Times New Roman" w:cs="Times New Roman"/>
                <w:szCs w:val="28"/>
              </w:rPr>
              <w:t xml:space="preserve">” </w:t>
            </w:r>
            <w:r w:rsidR="00B94408">
              <w:rPr>
                <w:rFonts w:eastAsia="Times New Roman" w:cs="Times New Roman"/>
                <w:szCs w:val="28"/>
              </w:rPr>
              <w:t xml:space="preserve">ir </w:t>
            </w:r>
            <w:r w:rsidR="00B94408">
              <w:rPr>
                <w:rFonts w:eastAsia="Times New Roman" w:cs="Times New Roman"/>
                <w:szCs w:val="28"/>
              </w:rPr>
              <w:lastRenderedPageBreak/>
              <w:t>atcelt</w:t>
            </w:r>
            <w:r w:rsidR="00992A57">
              <w:rPr>
                <w:rFonts w:eastAsia="Times New Roman" w:cs="Times New Roman"/>
                <w:szCs w:val="28"/>
              </w:rPr>
              <w:t>i</w:t>
            </w:r>
            <w:r w:rsidR="00B94408">
              <w:rPr>
                <w:rFonts w:eastAsia="Times New Roman" w:cs="Times New Roman"/>
                <w:szCs w:val="28"/>
              </w:rPr>
              <w:t>, noteikum</w:t>
            </w:r>
            <w:r w:rsidR="00992A57">
              <w:rPr>
                <w:rFonts w:eastAsia="Times New Roman" w:cs="Times New Roman"/>
                <w:szCs w:val="28"/>
              </w:rPr>
              <w:t>u projektā</w:t>
            </w:r>
            <w:r w:rsidR="00B94408">
              <w:rPr>
                <w:rFonts w:eastAsia="Times New Roman" w:cs="Times New Roman"/>
                <w:szCs w:val="28"/>
              </w:rPr>
              <w:t xml:space="preserve"> </w:t>
            </w:r>
            <w:r w:rsidR="00992A57">
              <w:rPr>
                <w:rFonts w:eastAsia="Times New Roman" w:cs="Times New Roman"/>
                <w:szCs w:val="28"/>
              </w:rPr>
              <w:t xml:space="preserve">ir iekļautas atsauces uz </w:t>
            </w:r>
            <w:r w:rsidR="00B94408">
              <w:rPr>
                <w:rFonts w:eastAsia="Times New Roman" w:cs="Times New Roman"/>
                <w:szCs w:val="28"/>
              </w:rPr>
              <w:t xml:space="preserve"> spēkā esoš</w:t>
            </w:r>
            <w:r w:rsidR="00E5552E">
              <w:rPr>
                <w:rFonts w:eastAsia="Times New Roman" w:cs="Times New Roman"/>
                <w:szCs w:val="28"/>
              </w:rPr>
              <w:t>iem</w:t>
            </w:r>
            <w:r w:rsidR="00B94408">
              <w:rPr>
                <w:rFonts w:eastAsia="Times New Roman" w:cs="Times New Roman"/>
                <w:szCs w:val="28"/>
              </w:rPr>
              <w:t xml:space="preserve"> standart</w:t>
            </w:r>
            <w:r w:rsidR="00E5552E">
              <w:rPr>
                <w:rFonts w:eastAsia="Times New Roman" w:cs="Times New Roman"/>
                <w:szCs w:val="28"/>
              </w:rPr>
              <w:t>iem</w:t>
            </w:r>
            <w:r w:rsidR="00B94408">
              <w:rPr>
                <w:rFonts w:eastAsia="Times New Roman" w:cs="Times New Roman"/>
                <w:szCs w:val="28"/>
              </w:rPr>
              <w:t xml:space="preserve">. </w:t>
            </w:r>
          </w:p>
          <w:p w14:paraId="2D92E165" w14:textId="120D7134" w:rsidR="00992A57" w:rsidRPr="00992A57" w:rsidRDefault="00992A57" w:rsidP="00992A57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Vienlaikus ar noteikumu projektu tiks atrisināts jautājums par </w:t>
            </w:r>
            <w:r w:rsidR="00AE3E9A">
              <w:rPr>
                <w:rFonts w:eastAsia="Times New Roman" w:cs="Times New Roman"/>
                <w:szCs w:val="28"/>
              </w:rPr>
              <w:t xml:space="preserve">prasībām </w:t>
            </w:r>
            <w:r>
              <w:rPr>
                <w:rFonts w:eastAsia="Times New Roman" w:cs="Times New Roman"/>
                <w:szCs w:val="28"/>
              </w:rPr>
              <w:t>iekšēj</w:t>
            </w:r>
            <w:r w:rsidR="00AE3E9A">
              <w:rPr>
                <w:rFonts w:eastAsia="Times New Roman" w:cs="Times New Roman"/>
                <w:szCs w:val="28"/>
              </w:rPr>
              <w:t xml:space="preserve">ām </w:t>
            </w:r>
            <w:proofErr w:type="spellStart"/>
            <w:r>
              <w:rPr>
                <w:rFonts w:eastAsia="Times New Roman" w:cs="Times New Roman"/>
                <w:szCs w:val="28"/>
              </w:rPr>
              <w:t>ugunsdrosības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durv</w:t>
            </w:r>
            <w:r w:rsidR="00AE3E9A">
              <w:rPr>
                <w:rFonts w:eastAsia="Times New Roman" w:cs="Times New Roman"/>
                <w:szCs w:val="28"/>
              </w:rPr>
              <w:t>īm.</w:t>
            </w:r>
            <w:r>
              <w:rPr>
                <w:rFonts w:eastAsia="Times New Roman" w:cs="Times New Roman"/>
                <w:szCs w:val="28"/>
              </w:rPr>
              <w:t xml:space="preserve"> Eiropas Savienības Oficiālajā Vēstnesī publicētajā būvizstrādājumu saskaņoto standartu sarakstā noteikts, ka n</w:t>
            </w:r>
            <w:r w:rsidRPr="00992A57">
              <w:rPr>
                <w:rFonts w:eastAsia="Times New Roman" w:cs="Times New Roman"/>
                <w:szCs w:val="28"/>
              </w:rPr>
              <w:t xml:space="preserve">o 2019.gada 1.novembra būs obligāti piemērojams standarts EN 16034:2014 </w:t>
            </w:r>
            <w:r w:rsidR="00AE3E9A">
              <w:rPr>
                <w:rFonts w:eastAsia="Times New Roman" w:cs="Times New Roman"/>
                <w:szCs w:val="28"/>
              </w:rPr>
              <w:t>“</w:t>
            </w:r>
            <w:r w:rsidR="00AE3E9A" w:rsidRPr="00AE3E9A">
              <w:rPr>
                <w:rFonts w:eastAsia="Times New Roman" w:cs="Times New Roman"/>
                <w:szCs w:val="28"/>
              </w:rPr>
              <w:t>Durvju bloki, industriālo, tirdzniecības iestāžu, garāžu durvis un atverami logi. Izstrādājumu standarts, veiktspējas prasības. Ugunsizturības un/vai dūmu kontroles raksturlielumi</w:t>
            </w:r>
            <w:r w:rsidR="00AE3E9A">
              <w:rPr>
                <w:rFonts w:eastAsia="Times New Roman" w:cs="Times New Roman"/>
                <w:szCs w:val="28"/>
              </w:rPr>
              <w:t>”.</w:t>
            </w:r>
            <w:r w:rsidRPr="00992A57">
              <w:rPr>
                <w:rFonts w:eastAsia="Times New Roman" w:cs="Times New Roman"/>
                <w:szCs w:val="28"/>
              </w:rPr>
              <w:t xml:space="preserve"> Standarts var tikt piemērots tikai kopā ar citiem saskaņotajiem standartiem EN 13241:2003+A2:2016 (garāžas, industriālas durvis un vārti) vai EN 14351-1:2006+A2:2016 (logi un ārdurvis). </w:t>
            </w:r>
          </w:p>
          <w:p w14:paraId="4D320E4A" w14:textId="50DFC39F" w:rsidR="00992A57" w:rsidRDefault="00992A57" w:rsidP="00AE3E9A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 w:rsidRPr="00992A57">
              <w:rPr>
                <w:rFonts w:eastAsia="Times New Roman" w:cs="Times New Roman"/>
                <w:szCs w:val="28"/>
              </w:rPr>
              <w:t xml:space="preserve">Šobrīd uz ugunsdrošajām durvīm iekļautās normas ir LBN 201-15 - Ugunsdrošo durvju ugunsizturību klasificē atbilstoši standartam LVS EN 14600:2007 </w:t>
            </w:r>
            <w:r w:rsidR="00AE3E9A">
              <w:rPr>
                <w:rFonts w:eastAsia="Times New Roman" w:cs="Times New Roman"/>
                <w:szCs w:val="28"/>
              </w:rPr>
              <w:t>“</w:t>
            </w:r>
            <w:r w:rsidRPr="00992A57">
              <w:rPr>
                <w:rFonts w:eastAsia="Times New Roman" w:cs="Times New Roman"/>
                <w:szCs w:val="28"/>
              </w:rPr>
              <w:t>Durvju bloki un atverami logi ar ugunsizturības un/vai dūmu kontroles raksturlielumiem. Prasības un klasifikācija</w:t>
            </w:r>
            <w:r w:rsidR="00AE3E9A">
              <w:rPr>
                <w:rFonts w:eastAsia="Times New Roman" w:cs="Times New Roman"/>
                <w:szCs w:val="28"/>
              </w:rPr>
              <w:t>”</w:t>
            </w:r>
            <w:r w:rsidRPr="00992A57">
              <w:rPr>
                <w:rFonts w:eastAsia="Times New Roman" w:cs="Times New Roman"/>
                <w:szCs w:val="28"/>
              </w:rPr>
              <w:t>. Šīs prasības nav specifiskas iekšdurvīm vai ārdurvīm.</w:t>
            </w:r>
          </w:p>
          <w:p w14:paraId="33609C81" w14:textId="7FBC7207" w:rsidR="00AE3E9A" w:rsidRDefault="00AE3E9A" w:rsidP="00AE3E9A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Līdz ar to pēc 2019.gada 1.novembra obligāti piemērojamais standarts </w:t>
            </w:r>
            <w:r w:rsidRPr="00AE3E9A">
              <w:rPr>
                <w:rFonts w:eastAsia="Times New Roman" w:cs="Times New Roman"/>
                <w:szCs w:val="28"/>
              </w:rPr>
              <w:t>EN 16034:2014 “Durvju bloki, industriālo, tirdzniecības iestāžu, garāžu durvis un atverami logi. Izstrādājumu standarts, veiktspējas prasības. Ugunsizturības un/vai dūmu kontroles raksturlielumi”</w:t>
            </w:r>
            <w:r>
              <w:rPr>
                <w:rFonts w:eastAsia="Times New Roman" w:cs="Times New Roman"/>
                <w:szCs w:val="28"/>
              </w:rPr>
              <w:t xml:space="preserve"> noteiks prasības ugunsdrošām ārdurvīm un garāžu industriālām durvīm un vārtiem,</w:t>
            </w:r>
            <w:r w:rsidR="00BD63DB">
              <w:rPr>
                <w:rFonts w:eastAsia="Times New Roman" w:cs="Times New Roman"/>
                <w:szCs w:val="28"/>
              </w:rPr>
              <w:t xml:space="preserve"> bet LBN 201-15 noteiks ugunsdrošības prasības iekšējām ugunsdrošības durvīm.</w:t>
            </w:r>
          </w:p>
          <w:p w14:paraId="5E5BDC66" w14:textId="0228CEC7" w:rsidR="00181092" w:rsidRPr="00321A9A" w:rsidRDefault="00181092" w:rsidP="00D169E1">
            <w:pPr>
              <w:ind w:right="196"/>
              <w:jc w:val="both"/>
              <w:rPr>
                <w:rFonts w:eastAsia="SimSun" w:cs="Times New Roman"/>
                <w:color w:val="FF0000"/>
                <w:szCs w:val="28"/>
                <w:lang w:eastAsia="zh-CN"/>
              </w:rPr>
            </w:pPr>
            <w:r w:rsidRPr="00321A9A">
              <w:rPr>
                <w:rFonts w:eastAsia="SimSun" w:cs="Times New Roman"/>
                <w:szCs w:val="28"/>
                <w:lang w:eastAsia="zh-CN"/>
              </w:rPr>
              <w:t xml:space="preserve"> </w:t>
            </w:r>
          </w:p>
        </w:tc>
      </w:tr>
      <w:tr w:rsidR="005A2ACB" w:rsidRPr="005C7D63" w14:paraId="5979CC7F" w14:textId="77777777" w:rsidTr="002A633C"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8952C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7980" w14:textId="185E02C8" w:rsidR="005A2ACB" w:rsidRPr="005C7D63" w:rsidRDefault="001C3951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1C3951">
              <w:rPr>
                <w:rFonts w:eastAsia="Times New Roman" w:cs="Times New Roman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4E609" w14:textId="64AE3E93" w:rsidR="005A2ACB" w:rsidRPr="005C7D63" w:rsidRDefault="00A75945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Ekonomikas</w:t>
            </w:r>
            <w:r w:rsidR="000B4C1D" w:rsidRPr="005C7D63">
              <w:rPr>
                <w:rFonts w:eastAsia="Times New Roman" w:cs="Times New Roman"/>
                <w:szCs w:val="28"/>
                <w:lang w:eastAsia="lv-LV"/>
              </w:rPr>
              <w:t xml:space="preserve"> ministrija, </w:t>
            </w:r>
            <w:r w:rsidR="00B94408">
              <w:rPr>
                <w:rFonts w:eastAsia="Times New Roman" w:cs="Times New Roman"/>
                <w:szCs w:val="28"/>
                <w:lang w:eastAsia="lv-LV"/>
              </w:rPr>
              <w:t>Valsts ugunsd</w:t>
            </w:r>
            <w:r w:rsidR="009B3C95">
              <w:rPr>
                <w:rFonts w:eastAsia="Times New Roman" w:cs="Times New Roman"/>
                <w:szCs w:val="28"/>
                <w:lang w:eastAsia="lv-LV"/>
              </w:rPr>
              <w:t>zēsības</w:t>
            </w:r>
            <w:r w:rsidR="00B94408">
              <w:rPr>
                <w:rFonts w:eastAsia="Times New Roman" w:cs="Times New Roman"/>
                <w:szCs w:val="28"/>
                <w:lang w:eastAsia="lv-LV"/>
              </w:rPr>
              <w:t xml:space="preserve"> un glābšanas dienests, </w:t>
            </w:r>
            <w:r w:rsidR="004E4BBF" w:rsidRPr="005C7D63">
              <w:rPr>
                <w:rFonts w:eastAsia="Times New Roman" w:cs="Times New Roman"/>
                <w:szCs w:val="28"/>
                <w:lang w:eastAsia="lv-LV"/>
              </w:rPr>
              <w:t>Patērētāju tiesību aizsardzības centrs.</w:t>
            </w:r>
          </w:p>
        </w:tc>
      </w:tr>
      <w:tr w:rsidR="005A2ACB" w:rsidRPr="005C7D63" w14:paraId="6A6D1AA4" w14:textId="77777777" w:rsidTr="002A633C">
        <w:trPr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70D30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1B73E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F7FF8" w14:textId="77777777" w:rsidR="005A2ACB" w:rsidRPr="005C7D63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14:paraId="76A405B4" w14:textId="77777777" w:rsidR="005A2ACB" w:rsidRPr="005C7D63" w:rsidRDefault="005A2ACB" w:rsidP="00EA086E">
      <w:pPr>
        <w:rPr>
          <w:rFonts w:eastAsia="Times New Roman" w:cs="Times New Roman"/>
          <w:szCs w:val="28"/>
          <w:lang w:eastAsia="lv-LV"/>
        </w:rPr>
      </w:pPr>
      <w:r w:rsidRPr="005C7D63">
        <w:rPr>
          <w:rFonts w:eastAsia="Times New Roman" w:cs="Times New Roman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0"/>
        <w:gridCol w:w="5763"/>
      </w:tblGrid>
      <w:tr w:rsidR="005A2ACB" w:rsidRPr="005C7D63" w14:paraId="5ED35516" w14:textId="77777777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BB76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A2ACB" w:rsidRPr="005C7D63" w14:paraId="73010FDC" w14:textId="77777777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4282C" w14:textId="77777777" w:rsidR="005A2ACB" w:rsidRPr="005C7D63" w:rsidRDefault="005A2ACB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1180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 xml:space="preserve">Sabiedrības </w:t>
            </w:r>
            <w:proofErr w:type="spellStart"/>
            <w:r w:rsidRPr="005C7D63">
              <w:rPr>
                <w:rFonts w:eastAsia="Times New Roman" w:cs="Times New Roman"/>
                <w:szCs w:val="28"/>
                <w:lang w:eastAsia="lv-LV"/>
              </w:rPr>
              <w:t>mērķgrupas</w:t>
            </w:r>
            <w:proofErr w:type="spellEnd"/>
            <w:r w:rsidRPr="005C7D63">
              <w:rPr>
                <w:rFonts w:eastAsia="Times New Roman" w:cs="Times New Roman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55D1" w14:textId="77777777" w:rsidR="007F71CA" w:rsidRDefault="00A37016" w:rsidP="003B2C2B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  <w:r w:rsidRPr="00A37016">
              <w:rPr>
                <w:rFonts w:cs="Times New Roman"/>
                <w:iCs/>
                <w:szCs w:val="28"/>
              </w:rPr>
              <w:t>Noteikumu projekta regulējums var ietekmēt jebkuru personu, kura ierosinās un veiks jaunas būves būvniecību, esošas būves atjaunošanu vai pārbūvi, kā arī institūcijas, kuras iesaistītas būvniecības procesā</w:t>
            </w:r>
            <w:r w:rsidR="00636B98">
              <w:rPr>
                <w:rFonts w:cs="Times New Roman"/>
                <w:iCs/>
                <w:szCs w:val="28"/>
              </w:rPr>
              <w:t xml:space="preserve">, </w:t>
            </w:r>
            <w:r w:rsidRPr="00A37016">
              <w:rPr>
                <w:rFonts w:cs="Times New Roman"/>
                <w:iCs/>
                <w:szCs w:val="28"/>
              </w:rPr>
              <w:t>Valsts ugunsdzēsības un glābšanas dienestu</w:t>
            </w:r>
            <w:r w:rsidR="00636B98">
              <w:rPr>
                <w:rFonts w:cs="Times New Roman"/>
                <w:iCs/>
                <w:szCs w:val="28"/>
              </w:rPr>
              <w:t xml:space="preserve"> un Patērētāju tiesību aizsardzības centru</w:t>
            </w:r>
            <w:r w:rsidRPr="00A37016">
              <w:rPr>
                <w:rFonts w:cs="Times New Roman"/>
                <w:iCs/>
                <w:szCs w:val="28"/>
              </w:rPr>
              <w:t>.</w:t>
            </w:r>
          </w:p>
          <w:p w14:paraId="184A3C89" w14:textId="5F4968EE" w:rsidR="0084049B" w:rsidRPr="005C7D63" w:rsidRDefault="0084049B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A2ACB" w:rsidRPr="005C7D63" w14:paraId="45FCBB75" w14:textId="77777777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5EB1" w14:textId="77777777" w:rsidR="005A2ACB" w:rsidRPr="005C7D63" w:rsidRDefault="005A2ACB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F51D8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D672" w14:textId="77777777" w:rsidR="003F5A60" w:rsidRDefault="00F4212C" w:rsidP="003B2C2B">
            <w:pPr>
              <w:ind w:left="208" w:right="140" w:firstLine="284"/>
              <w:jc w:val="both"/>
              <w:rPr>
                <w:rFonts w:eastAsia="Times New Roman" w:cs="Times New Roman"/>
                <w:iCs/>
                <w:szCs w:val="28"/>
                <w:lang w:eastAsia="lv-LV"/>
              </w:rPr>
            </w:pP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 xml:space="preserve">Šīs sadaļas 1. punktā minētajām sabiedrības </w:t>
            </w:r>
            <w:proofErr w:type="spellStart"/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mērķgrupām</w:t>
            </w:r>
            <w:proofErr w:type="spellEnd"/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 xml:space="preserve"> projekta tiesiskais regulējums pamatā nemaina tiesības un pienākumus, kā arī veicamās darbības salīdzinājumā ar iepriekšējo regulējumu.</w:t>
            </w:r>
          </w:p>
          <w:p w14:paraId="4B137F05" w14:textId="4B280738" w:rsidR="0084049B" w:rsidRPr="005C7D63" w:rsidRDefault="0084049B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A2ACB" w:rsidRPr="005C7D63" w14:paraId="328475F4" w14:textId="77777777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04CC7" w14:textId="77777777" w:rsidR="005A2ACB" w:rsidRPr="005C7D63" w:rsidRDefault="005A2ACB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E1689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27A3" w14:textId="5C7B4996" w:rsidR="005A2ACB" w:rsidRPr="005C7D63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  <w:tr w:rsidR="001C3951" w:rsidRPr="005C7D63" w14:paraId="3EEEF073" w14:textId="77777777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36262" w14:textId="7F6DDDD3" w:rsidR="001C3951" w:rsidRPr="005C7D63" w:rsidRDefault="001C3951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234AC" w14:textId="10F414D1" w:rsidR="001C3951" w:rsidRPr="005C7D63" w:rsidRDefault="001C3951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1C3951">
              <w:rPr>
                <w:rFonts w:eastAsia="Times New Roman" w:cs="Times New Roman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B99FA" w14:textId="00C2EDDE" w:rsidR="001C3951" w:rsidRPr="005C7D63" w:rsidRDefault="001C3951" w:rsidP="003B2C2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Projekts šo jomu neskar</w:t>
            </w:r>
          </w:p>
        </w:tc>
      </w:tr>
      <w:tr w:rsidR="005A2ACB" w:rsidRPr="005C7D63" w14:paraId="19C4CD51" w14:textId="77777777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DCE09" w14:textId="181BACBE" w:rsidR="005A2ACB" w:rsidRPr="005C7D63" w:rsidRDefault="001C3951" w:rsidP="003B2C2B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5A2ACB" w:rsidRPr="005C7D6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F22F" w14:textId="77777777" w:rsidR="005A2ACB" w:rsidRPr="005C7D63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8B06B" w14:textId="77777777" w:rsidR="005A2ACB" w:rsidRPr="005C7D63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14:paraId="2E056B1A" w14:textId="6247288D" w:rsidR="005A2ACB" w:rsidRDefault="005A2ACB" w:rsidP="00EA086E">
      <w:pPr>
        <w:rPr>
          <w:rFonts w:eastAsia="Times New Roman" w:cs="Times New Roman"/>
          <w:szCs w:val="28"/>
          <w:lang w:eastAsia="lv-LV"/>
        </w:rPr>
      </w:pPr>
      <w:r w:rsidRPr="005C7D63">
        <w:rPr>
          <w:rFonts w:eastAsia="Times New Roman" w:cs="Times New Roman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41C79" w:rsidRPr="005C7D63" w14:paraId="30DE04C0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B016" w14:textId="1C6628D4" w:rsidR="00641C79" w:rsidRPr="005C7D63" w:rsidRDefault="00641C79" w:rsidP="00641C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641C79" w:rsidRPr="005C7D63" w14:paraId="5EE7850F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85F94" w14:textId="78ADA802" w:rsidR="00641C79" w:rsidRPr="00641C79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14:paraId="5EEB9B30" w14:textId="6E18038F" w:rsidR="00321A9A" w:rsidRDefault="00321A9A" w:rsidP="00EA086E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41C79" w:rsidRPr="005C7D63" w14:paraId="00D6412E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3306" w14:textId="395D42E0" w:rsidR="00641C79" w:rsidRPr="005C7D63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641C79" w:rsidRPr="005C7D63" w14:paraId="2CC7BD55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F2694" w14:textId="604B55F7" w:rsidR="00641C79" w:rsidRPr="00641C79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14:paraId="2A4D70DA" w14:textId="4982442C" w:rsidR="00641C79" w:rsidRDefault="00641C79" w:rsidP="00EA086E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41C79" w:rsidRPr="005C7D63" w14:paraId="512A2609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0687" w14:textId="01D928A4" w:rsidR="00641C79" w:rsidRPr="005C7D63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641C79" w:rsidRPr="005C7D63" w14:paraId="3C1CAA6A" w14:textId="77777777" w:rsidTr="009F7942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1FB90" w14:textId="3ADF0994" w:rsidR="00641C79" w:rsidRPr="00641C79" w:rsidRDefault="00641C79" w:rsidP="009F794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14:paraId="257E1AD0" w14:textId="77777777" w:rsidR="00641C79" w:rsidRDefault="00641C79" w:rsidP="00EA086E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2800"/>
        <w:gridCol w:w="5762"/>
      </w:tblGrid>
      <w:tr w:rsidR="00B37986" w:rsidRPr="005C7D63" w14:paraId="622EFA8E" w14:textId="77777777" w:rsidTr="005B186D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93A6" w14:textId="77777777" w:rsidR="00B37986" w:rsidRPr="005C7D63" w:rsidRDefault="00B37986" w:rsidP="005B18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F4212C" w:rsidRPr="005C7D63" w14:paraId="18B2FDE0" w14:textId="77777777" w:rsidTr="004A033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EFCB7" w14:textId="77777777" w:rsidR="00B37986" w:rsidRPr="005C7D63" w:rsidRDefault="00B37986" w:rsidP="005B186D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1DE3B" w14:textId="77777777" w:rsidR="00B37986" w:rsidRPr="005C7D63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3A46C" w14:textId="553A72D9" w:rsidR="00B37986" w:rsidRDefault="00F4212C" w:rsidP="00E748F1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  <w:r w:rsidRPr="00F4212C">
              <w:rPr>
                <w:rFonts w:cs="Times New Roman"/>
                <w:iCs/>
                <w:szCs w:val="28"/>
              </w:rPr>
              <w:t>Noteikumu projekts sabiedrībai publiski ir pieejams kopš 201</w:t>
            </w:r>
            <w:r>
              <w:rPr>
                <w:rFonts w:cs="Times New Roman"/>
                <w:iCs/>
                <w:szCs w:val="28"/>
              </w:rPr>
              <w:t>9</w:t>
            </w:r>
            <w:r w:rsidRPr="00F4212C">
              <w:rPr>
                <w:rFonts w:cs="Times New Roman"/>
                <w:iCs/>
                <w:szCs w:val="28"/>
              </w:rPr>
              <w:t>.gada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="00862EDD">
              <w:rPr>
                <w:rFonts w:cs="Times New Roman"/>
                <w:iCs/>
                <w:szCs w:val="28"/>
              </w:rPr>
              <w:t>24.jūlija</w:t>
            </w:r>
            <w:r w:rsidRPr="00F4212C">
              <w:rPr>
                <w:rFonts w:cs="Times New Roman"/>
                <w:iCs/>
                <w:szCs w:val="28"/>
              </w:rPr>
              <w:t xml:space="preserve"> Ekonomikas ministrijas tīmekļvietn</w:t>
            </w:r>
            <w:r w:rsidR="00E748F1">
              <w:rPr>
                <w:rFonts w:cs="Times New Roman"/>
                <w:iCs/>
                <w:szCs w:val="28"/>
              </w:rPr>
              <w:t>es</w:t>
            </w:r>
            <w:r w:rsidR="00E748F1">
              <w:t xml:space="preserve"> </w:t>
            </w:r>
            <w:r w:rsidR="00E748F1" w:rsidRPr="00E748F1">
              <w:rPr>
                <w:rFonts w:cs="Times New Roman"/>
                <w:iCs/>
                <w:szCs w:val="28"/>
              </w:rPr>
              <w:t>sadaļā “Sabiedrības līdzdalība”</w:t>
            </w:r>
            <w:r w:rsidRPr="00F4212C">
              <w:rPr>
                <w:rFonts w:cs="Times New Roman"/>
                <w:iCs/>
                <w:szCs w:val="28"/>
              </w:rPr>
              <w:t xml:space="preserve">, </w:t>
            </w:r>
            <w:r w:rsidR="00E462F3">
              <w:rPr>
                <w:rFonts w:cs="Times New Roman"/>
                <w:iCs/>
                <w:szCs w:val="28"/>
              </w:rPr>
              <w:t>savukārt</w:t>
            </w:r>
            <w:bookmarkStart w:id="0" w:name="_GoBack"/>
            <w:bookmarkEnd w:id="0"/>
            <w:r w:rsidRPr="00F4212C">
              <w:rPr>
                <w:rFonts w:cs="Times New Roman"/>
                <w:iCs/>
                <w:szCs w:val="28"/>
              </w:rPr>
              <w:t xml:space="preserve"> pēc izsludināšanas </w:t>
            </w:r>
            <w:r w:rsidR="005B622C">
              <w:rPr>
                <w:rFonts w:cs="Times New Roman"/>
                <w:iCs/>
                <w:szCs w:val="28"/>
              </w:rPr>
              <w:t>2019.gada 22.augusta</w:t>
            </w:r>
            <w:r w:rsidR="005B622C" w:rsidRPr="00F4212C">
              <w:rPr>
                <w:rFonts w:cs="Times New Roman"/>
                <w:iCs/>
                <w:szCs w:val="28"/>
              </w:rPr>
              <w:t xml:space="preserve"> </w:t>
            </w:r>
            <w:r w:rsidRPr="00F4212C">
              <w:rPr>
                <w:rFonts w:cs="Times New Roman"/>
                <w:iCs/>
                <w:szCs w:val="28"/>
              </w:rPr>
              <w:t>Valsts sekretār</w:t>
            </w:r>
            <w:r>
              <w:rPr>
                <w:rFonts w:cs="Times New Roman"/>
                <w:iCs/>
                <w:szCs w:val="28"/>
              </w:rPr>
              <w:t>u</w:t>
            </w:r>
            <w:r w:rsidRPr="00F4212C">
              <w:rPr>
                <w:rFonts w:cs="Times New Roman"/>
                <w:iCs/>
                <w:szCs w:val="28"/>
              </w:rPr>
              <w:t xml:space="preserve"> sanāksmē pieejams Ministru kabineta tīmekļvietnē.</w:t>
            </w:r>
            <w:r w:rsidR="00FC0AE0">
              <w:rPr>
                <w:rFonts w:cs="Times New Roman"/>
                <w:iCs/>
                <w:szCs w:val="28"/>
              </w:rPr>
              <w:t xml:space="preserve"> </w:t>
            </w:r>
            <w:r w:rsidR="009B1955">
              <w:rPr>
                <w:rFonts w:cs="Times New Roman"/>
                <w:iCs/>
                <w:szCs w:val="28"/>
              </w:rPr>
              <w:t>Noteikumu projekts 2019.gada 26.jūlijā tika nosūtīts Latvijas Būvniecības padomes locekļiem</w:t>
            </w:r>
            <w:r w:rsidR="00FC0AE0">
              <w:rPr>
                <w:rFonts w:cs="Times New Roman"/>
                <w:iCs/>
                <w:szCs w:val="28"/>
              </w:rPr>
              <w:t>.</w:t>
            </w:r>
          </w:p>
          <w:p w14:paraId="596B6C6C" w14:textId="77777777" w:rsidR="0084049B" w:rsidRDefault="0084049B" w:rsidP="005B186D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</w:p>
          <w:p w14:paraId="7DF770E5" w14:textId="677D33A8" w:rsidR="008E6B98" w:rsidRPr="005C7D63" w:rsidRDefault="008E6B98" w:rsidP="005B186D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F4212C" w:rsidRPr="005C7D63" w14:paraId="6FA08ACF" w14:textId="77777777" w:rsidTr="004A033E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23772" w14:textId="77777777" w:rsidR="00B37986" w:rsidRPr="005C7D63" w:rsidRDefault="00B37986" w:rsidP="005B186D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C551" w14:textId="77777777" w:rsidR="00B37986" w:rsidRPr="005C7D63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4C4A0" w14:textId="092B5569" w:rsidR="00792AE6" w:rsidRDefault="00F4212C" w:rsidP="005B186D">
            <w:pPr>
              <w:ind w:left="208" w:right="140" w:firstLine="284"/>
              <w:jc w:val="both"/>
              <w:rPr>
                <w:rFonts w:eastAsia="Times New Roman" w:cs="Times New Roman"/>
                <w:iCs/>
                <w:szCs w:val="28"/>
                <w:lang w:eastAsia="lv-LV"/>
              </w:rPr>
            </w:pP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Noteikumu projekts 201</w:t>
            </w:r>
            <w:r>
              <w:rPr>
                <w:rFonts w:eastAsia="Times New Roman" w:cs="Times New Roman"/>
                <w:iCs/>
                <w:szCs w:val="28"/>
                <w:lang w:eastAsia="lv-LV"/>
              </w:rPr>
              <w:t>9</w:t>
            </w: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.gada</w:t>
            </w:r>
            <w:r>
              <w:rPr>
                <w:rFonts w:eastAsia="Times New Roman" w:cs="Times New Roman"/>
                <w:iCs/>
                <w:szCs w:val="28"/>
                <w:lang w:eastAsia="lv-LV"/>
              </w:rPr>
              <w:t xml:space="preserve"> </w:t>
            </w:r>
            <w:r w:rsidR="00E86936">
              <w:rPr>
                <w:rFonts w:eastAsia="Times New Roman" w:cs="Times New Roman"/>
                <w:iCs/>
                <w:szCs w:val="28"/>
                <w:lang w:eastAsia="lv-LV"/>
              </w:rPr>
              <w:t>24.jūlijā</w:t>
            </w: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 xml:space="preserve"> tika publicēts Ekonomikas ministrijas tīmekļvietnes sadaļā “Sabiedrības līdzdalība”, aicinot sabiedrības pārstāvjiem </w:t>
            </w:r>
            <w:proofErr w:type="spellStart"/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rakstveidā</w:t>
            </w:r>
            <w:proofErr w:type="spellEnd"/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 xml:space="preserve"> sniegt viedokli par noteikumu projektu līdz š.g. </w:t>
            </w:r>
            <w:r w:rsidR="00E86936">
              <w:rPr>
                <w:rFonts w:eastAsia="Times New Roman" w:cs="Times New Roman"/>
                <w:iCs/>
                <w:szCs w:val="28"/>
                <w:lang w:eastAsia="lv-LV"/>
              </w:rPr>
              <w:t>8.augustam</w:t>
            </w:r>
            <w:r w:rsidRPr="00F4212C">
              <w:rPr>
                <w:rFonts w:eastAsia="Times New Roman" w:cs="Times New Roman"/>
                <w:iCs/>
                <w:szCs w:val="28"/>
                <w:lang w:eastAsia="lv-LV"/>
              </w:rPr>
              <w:t>.</w:t>
            </w:r>
          </w:p>
          <w:p w14:paraId="5E785F61" w14:textId="77777777" w:rsidR="0084049B" w:rsidRDefault="0084049B" w:rsidP="005B186D">
            <w:pPr>
              <w:ind w:left="208" w:right="140" w:firstLine="284"/>
              <w:jc w:val="both"/>
              <w:rPr>
                <w:rFonts w:eastAsia="Times New Roman" w:cs="Times New Roman"/>
                <w:iCs/>
                <w:szCs w:val="28"/>
                <w:lang w:eastAsia="lv-LV"/>
              </w:rPr>
            </w:pPr>
          </w:p>
          <w:p w14:paraId="71FF710A" w14:textId="702CAEC3" w:rsidR="00B37986" w:rsidRPr="005C7D63" w:rsidRDefault="00B37986" w:rsidP="00792AE6">
            <w:pPr>
              <w:ind w:right="140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F4212C" w:rsidRPr="005C7D63" w14:paraId="2C23F635" w14:textId="77777777" w:rsidTr="004A033E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A22E7" w14:textId="77777777" w:rsidR="00B37986" w:rsidRPr="005C7D63" w:rsidRDefault="00B37986" w:rsidP="005B186D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F3ED" w14:textId="77777777" w:rsidR="00B37986" w:rsidRPr="005C7D63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BB7C" w14:textId="341859F2" w:rsidR="00B37986" w:rsidRDefault="0084049B" w:rsidP="005B186D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Priekšlikumi p</w:t>
            </w:r>
            <w:r w:rsidR="009B1955">
              <w:rPr>
                <w:rFonts w:eastAsia="Times New Roman" w:cs="Times New Roman"/>
                <w:szCs w:val="28"/>
                <w:lang w:eastAsia="lv-LV"/>
              </w:rPr>
              <w:t>ar izstrādāto noteikumu projektu līdz 2019.gada 8.augustam netika saņemti.</w:t>
            </w:r>
          </w:p>
          <w:p w14:paraId="253F63D8" w14:textId="77777777" w:rsidR="0084049B" w:rsidRDefault="0084049B" w:rsidP="005B186D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  <w:p w14:paraId="35AF9640" w14:textId="153AB1B9" w:rsidR="008E6B98" w:rsidRPr="005C7D63" w:rsidRDefault="008E6B98" w:rsidP="005B186D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F4212C" w:rsidRPr="005C7D63" w14:paraId="2AECAD88" w14:textId="77777777" w:rsidTr="004A033E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2ABD" w14:textId="77777777" w:rsidR="00B37986" w:rsidRPr="005C7D63" w:rsidRDefault="00B37986" w:rsidP="005B186D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98C8C" w14:textId="77777777" w:rsidR="00B37986" w:rsidRPr="005C7D63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1A250" w14:textId="77777777" w:rsidR="00B37986" w:rsidRPr="005C7D63" w:rsidRDefault="00B37986" w:rsidP="005B186D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14:paraId="54CA0569" w14:textId="77777777" w:rsidR="00B37986" w:rsidRPr="005C7D63" w:rsidRDefault="00B37986" w:rsidP="00EA086E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255"/>
        <w:gridCol w:w="4320"/>
      </w:tblGrid>
      <w:tr w:rsidR="005A2ACB" w:rsidRPr="005C7D63" w14:paraId="24FC0EFD" w14:textId="77777777" w:rsidTr="00B26993"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602A" w14:textId="77777777" w:rsidR="005A2ACB" w:rsidRPr="005C7D63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5C7D63" w14:paraId="2AB373B0" w14:textId="77777777" w:rsidTr="00B26993">
        <w:trPr>
          <w:trHeight w:val="42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D0AE" w14:textId="77777777" w:rsidR="005A2ACB" w:rsidRPr="005C7D63" w:rsidRDefault="005A2ACB" w:rsidP="002A42FF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9C13" w14:textId="77777777" w:rsidR="005A2ACB" w:rsidRPr="005C7D63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D32B" w14:textId="77777777" w:rsidR="005A2ACB" w:rsidRDefault="00F4212C" w:rsidP="00CB1EF6">
            <w:pPr>
              <w:ind w:left="138" w:right="140" w:firstLine="142"/>
              <w:jc w:val="both"/>
              <w:rPr>
                <w:rFonts w:cs="Times New Roman"/>
                <w:iCs/>
                <w:szCs w:val="28"/>
              </w:rPr>
            </w:pPr>
            <w:r w:rsidRPr="00F4212C">
              <w:rPr>
                <w:rFonts w:cs="Times New Roman"/>
                <w:iCs/>
                <w:szCs w:val="28"/>
              </w:rPr>
              <w:t>Pašvaldības būvvaldes un institūcijas, kas kontrolē būvniecības procesu, Valsts ugunsdzēsības un glābšanas dienests</w:t>
            </w:r>
            <w:r>
              <w:rPr>
                <w:rFonts w:cs="Times New Roman"/>
                <w:iCs/>
                <w:szCs w:val="28"/>
              </w:rPr>
              <w:t xml:space="preserve">, </w:t>
            </w:r>
            <w:r w:rsidR="00CB1EF6" w:rsidRPr="005C7D63">
              <w:rPr>
                <w:rFonts w:cs="Times New Roman"/>
                <w:iCs/>
                <w:szCs w:val="28"/>
              </w:rPr>
              <w:t>Patērētāju</w:t>
            </w:r>
            <w:r w:rsidR="00376DAF" w:rsidRPr="005C7D63">
              <w:rPr>
                <w:rFonts w:cs="Times New Roman"/>
                <w:iCs/>
                <w:szCs w:val="28"/>
              </w:rPr>
              <w:t xml:space="preserve"> tiesību aizsardzības centrs</w:t>
            </w:r>
            <w:r w:rsidR="002A42FF" w:rsidRPr="005C7D63">
              <w:rPr>
                <w:rFonts w:cs="Times New Roman"/>
                <w:iCs/>
                <w:szCs w:val="28"/>
              </w:rPr>
              <w:t>.</w:t>
            </w:r>
          </w:p>
          <w:p w14:paraId="060937EF" w14:textId="0BE62186" w:rsidR="0084049B" w:rsidRPr="005C7D63" w:rsidRDefault="0084049B" w:rsidP="00CB1EF6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A2ACB" w:rsidRPr="005C7D63" w14:paraId="7470D8CA" w14:textId="77777777" w:rsidTr="00B26993">
        <w:trPr>
          <w:trHeight w:val="45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9F2B1" w14:textId="77777777" w:rsidR="005A2ACB" w:rsidRPr="005C7D63" w:rsidRDefault="005A2ACB" w:rsidP="002A42FF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03C48" w14:textId="77777777" w:rsidR="005A2ACB" w:rsidRPr="005C7D63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706550AC" w14:textId="77777777" w:rsidR="005A2ACB" w:rsidRPr="005C7D63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11691" w14:textId="77777777" w:rsidR="00F4212C" w:rsidRPr="00F4212C" w:rsidRDefault="00F4212C" w:rsidP="00F4212C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F4212C">
              <w:rPr>
                <w:rFonts w:eastAsia="Times New Roman" w:cs="Times New Roman"/>
                <w:szCs w:val="28"/>
                <w:lang w:eastAsia="lv-LV"/>
              </w:rPr>
              <w:t>Noteikumu projekta īstenošana tiks veikta esošo institūciju un cilvēkresursu ietvaros.</w:t>
            </w:r>
          </w:p>
          <w:p w14:paraId="39E53AD6" w14:textId="77777777" w:rsidR="005A2ACB" w:rsidRDefault="00F4212C" w:rsidP="00F4212C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F4212C">
              <w:rPr>
                <w:rFonts w:eastAsia="Times New Roman" w:cs="Times New Roman"/>
                <w:szCs w:val="28"/>
                <w:lang w:eastAsia="lv-LV"/>
              </w:rPr>
              <w:t>Jaunas institūcijas netiks veidotas un nav nepieciešams likvidēt vai reorganizēt esošās institūcijas. Līdz ar to noteikumu projekta izpilde neietekmēs institūciju cilvēkresursus.</w:t>
            </w:r>
          </w:p>
          <w:p w14:paraId="79D4D15D" w14:textId="32D1E905" w:rsidR="0084049B" w:rsidRPr="005C7D63" w:rsidRDefault="0084049B" w:rsidP="00F4212C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A2ACB" w:rsidRPr="005C7D63" w14:paraId="6DE621AD" w14:textId="77777777" w:rsidTr="00B26993">
        <w:trPr>
          <w:trHeight w:val="39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AEE7" w14:textId="77777777" w:rsidR="005A2ACB" w:rsidRPr="005C7D63" w:rsidRDefault="005A2ACB" w:rsidP="002A42FF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78E96" w14:textId="77777777" w:rsidR="005A2ACB" w:rsidRPr="005C7D63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F2F2" w14:textId="77777777" w:rsidR="005A2ACB" w:rsidRPr="005C7D63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14:paraId="0C571E87" w14:textId="77777777" w:rsidR="00733BFD" w:rsidRPr="005C7D63" w:rsidRDefault="00733BFD" w:rsidP="00733BFD">
      <w:pPr>
        <w:rPr>
          <w:rFonts w:cs="Times New Roman"/>
          <w:szCs w:val="28"/>
        </w:rPr>
      </w:pPr>
    </w:p>
    <w:p w14:paraId="053ADA4B" w14:textId="77777777" w:rsidR="00733BFD" w:rsidRPr="005C7D63" w:rsidRDefault="00733BFD" w:rsidP="00733BFD">
      <w:pPr>
        <w:rPr>
          <w:rFonts w:cs="Times New Roman"/>
          <w:bCs/>
          <w:szCs w:val="28"/>
        </w:rPr>
      </w:pPr>
      <w:r w:rsidRPr="005C7D63">
        <w:rPr>
          <w:rFonts w:cs="Times New Roman"/>
          <w:bCs/>
          <w:szCs w:val="28"/>
        </w:rPr>
        <w:t xml:space="preserve">Iesniedzējs: </w:t>
      </w:r>
    </w:p>
    <w:p w14:paraId="335473E2" w14:textId="7B4B00EA" w:rsidR="00572459" w:rsidRPr="005C7D63" w:rsidRDefault="00804BED" w:rsidP="00572459"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Ekonomikas ministrs</w:t>
      </w:r>
      <w:r w:rsidR="00572459" w:rsidRPr="005C7D63">
        <w:rPr>
          <w:rFonts w:eastAsia="Times New Roman" w:cs="Times New Roman"/>
          <w:bCs/>
          <w:szCs w:val="28"/>
        </w:rPr>
        <w:t xml:space="preserve"> </w:t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  <w:t xml:space="preserve"> </w:t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</w:r>
      <w:r w:rsidR="00572459" w:rsidRPr="005C7D63">
        <w:rPr>
          <w:rFonts w:eastAsia="Times New Roman" w:cs="Times New Roman"/>
          <w:bCs/>
          <w:szCs w:val="28"/>
        </w:rPr>
        <w:tab/>
        <w:t>     </w:t>
      </w:r>
      <w:r w:rsidRPr="00804BED">
        <w:rPr>
          <w:rFonts w:eastAsia="Times New Roman" w:cs="Times New Roman"/>
          <w:bCs/>
          <w:szCs w:val="28"/>
        </w:rPr>
        <w:t xml:space="preserve">Ralfs </w:t>
      </w:r>
      <w:proofErr w:type="spellStart"/>
      <w:r w:rsidRPr="00804BED">
        <w:rPr>
          <w:rFonts w:eastAsia="Times New Roman" w:cs="Times New Roman"/>
          <w:bCs/>
          <w:szCs w:val="28"/>
        </w:rPr>
        <w:t>Nemiro</w:t>
      </w:r>
      <w:proofErr w:type="spellEnd"/>
    </w:p>
    <w:p w14:paraId="49EE69CF" w14:textId="77777777" w:rsidR="00572459" w:rsidRPr="005C7D63" w:rsidRDefault="00572459" w:rsidP="0057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 </w:t>
      </w:r>
    </w:p>
    <w:p w14:paraId="5A5E19B1" w14:textId="77777777" w:rsidR="00572459" w:rsidRPr="005C7D63" w:rsidRDefault="00572459" w:rsidP="0057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Vīza: </w:t>
      </w:r>
    </w:p>
    <w:p w14:paraId="44F03E2B" w14:textId="04B27A67" w:rsidR="00641C79" w:rsidRDefault="00572459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  <w:r w:rsidRPr="005C7D63">
        <w:rPr>
          <w:rFonts w:eastAsia="Times New Roman" w:cs="Times New Roman"/>
          <w:szCs w:val="28"/>
        </w:rPr>
        <w:t>Valsts sekretārs</w:t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  <w:t>     </w:t>
      </w:r>
      <w:r w:rsidR="00861BCB">
        <w:rPr>
          <w:rFonts w:eastAsia="Times New Roman" w:cs="Times New Roman"/>
          <w:szCs w:val="28"/>
        </w:rPr>
        <w:t>Ē</w:t>
      </w:r>
      <w:r w:rsidR="00804BED">
        <w:rPr>
          <w:rFonts w:eastAsia="Times New Roman" w:cs="Times New Roman"/>
          <w:szCs w:val="28"/>
        </w:rPr>
        <w:t xml:space="preserve">riks </w:t>
      </w:r>
      <w:r w:rsidR="00861BCB">
        <w:rPr>
          <w:rFonts w:eastAsia="Times New Roman" w:cs="Times New Roman"/>
          <w:szCs w:val="28"/>
        </w:rPr>
        <w:t>Eglītis</w:t>
      </w:r>
      <w:bookmarkStart w:id="1" w:name="OLE_LINK1"/>
      <w:bookmarkStart w:id="2" w:name="OLE_LINK2"/>
      <w:bookmarkStart w:id="3" w:name="OLE_LINK3"/>
      <w:bookmarkStart w:id="4" w:name="OLE_LINK4"/>
    </w:p>
    <w:p w14:paraId="4E0E6AED" w14:textId="578D986B" w:rsidR="00804BED" w:rsidRDefault="00804BED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6E1D1D55" w14:textId="2A0EEB4D" w:rsidR="00804BED" w:rsidRDefault="00804BED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1965AE5C" w14:textId="6CDEBA8A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37A72609" w14:textId="226B024F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7E445EC5" w14:textId="1FF4B61C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09FB2478" w14:textId="02B2D056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20EF2453" w14:textId="115136A9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73AAA5D7" w14:textId="74A92F00" w:rsidR="0084049B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197D039F" w14:textId="77777777" w:rsidR="0084049B" w:rsidRPr="00804BED" w:rsidRDefault="0084049B" w:rsidP="0080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14:paraId="128FAA66" w14:textId="77777777"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14:paraId="2C88C281" w14:textId="77777777" w:rsidR="002A42FF" w:rsidRPr="002A42FF" w:rsidRDefault="001A1755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sectPr w:rsidR="002A42FF" w:rsidRPr="002A42FF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F447" w14:textId="77777777" w:rsidR="001A1755" w:rsidRDefault="001A1755" w:rsidP="003F5A60">
      <w:r>
        <w:separator/>
      </w:r>
    </w:p>
  </w:endnote>
  <w:endnote w:type="continuationSeparator" w:id="0">
    <w:p w14:paraId="7A3EF996" w14:textId="77777777" w:rsidR="001A1755" w:rsidRDefault="001A1755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5FED" w14:textId="2288A053" w:rsidR="003F5A60" w:rsidRPr="007A016B" w:rsidRDefault="00585C9E" w:rsidP="007A016B">
    <w:pPr>
      <w:pStyle w:val="Footer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E748F1">
      <w:rPr>
        <w:noProof/>
        <w:sz w:val="22"/>
      </w:rPr>
      <w:t>EManot_180919_LBN201-15.docx</w:t>
    </w:r>
    <w:r w:rsidRPr="005E6216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D3DA" w14:textId="57AC1644"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E748F1">
      <w:rPr>
        <w:noProof/>
        <w:sz w:val="22"/>
      </w:rPr>
      <w:t>EManot_180919_LBN201-15.docx</w:t>
    </w:r>
    <w:r w:rsidRPr="005E6216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9E6B" w14:textId="77777777" w:rsidR="001A1755" w:rsidRDefault="001A1755" w:rsidP="003F5A60">
      <w:r>
        <w:separator/>
      </w:r>
    </w:p>
  </w:footnote>
  <w:footnote w:type="continuationSeparator" w:id="0">
    <w:p w14:paraId="244ED609" w14:textId="77777777" w:rsidR="001A1755" w:rsidRDefault="001A1755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7CD6B7A" w14:textId="27AB3C8A"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B21247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673EE"/>
    <w:multiLevelType w:val="hybridMultilevel"/>
    <w:tmpl w:val="65029564"/>
    <w:lvl w:ilvl="0" w:tplc="0426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CB"/>
    <w:rsid w:val="000077FD"/>
    <w:rsid w:val="00010940"/>
    <w:rsid w:val="00043C26"/>
    <w:rsid w:val="00046AC9"/>
    <w:rsid w:val="000937CE"/>
    <w:rsid w:val="000A549B"/>
    <w:rsid w:val="000B4C1D"/>
    <w:rsid w:val="000C3B91"/>
    <w:rsid w:val="000E3507"/>
    <w:rsid w:val="000E3BB0"/>
    <w:rsid w:val="000E6A47"/>
    <w:rsid w:val="000F355C"/>
    <w:rsid w:val="00107FAE"/>
    <w:rsid w:val="001141BA"/>
    <w:rsid w:val="0013332F"/>
    <w:rsid w:val="001449C1"/>
    <w:rsid w:val="001466D0"/>
    <w:rsid w:val="001773AE"/>
    <w:rsid w:val="00181092"/>
    <w:rsid w:val="001821FB"/>
    <w:rsid w:val="00184B22"/>
    <w:rsid w:val="001926D1"/>
    <w:rsid w:val="001A1755"/>
    <w:rsid w:val="001B0AE7"/>
    <w:rsid w:val="001B1B37"/>
    <w:rsid w:val="001C3951"/>
    <w:rsid w:val="001C7137"/>
    <w:rsid w:val="001D084F"/>
    <w:rsid w:val="001E28B5"/>
    <w:rsid w:val="001E49DF"/>
    <w:rsid w:val="0020005E"/>
    <w:rsid w:val="00205A17"/>
    <w:rsid w:val="00225515"/>
    <w:rsid w:val="00240021"/>
    <w:rsid w:val="002646F4"/>
    <w:rsid w:val="00291AA5"/>
    <w:rsid w:val="002A3126"/>
    <w:rsid w:val="002A42FF"/>
    <w:rsid w:val="002A633C"/>
    <w:rsid w:val="002B3762"/>
    <w:rsid w:val="002D026B"/>
    <w:rsid w:val="002D5DC6"/>
    <w:rsid w:val="002F0D3D"/>
    <w:rsid w:val="0031092A"/>
    <w:rsid w:val="003158B0"/>
    <w:rsid w:val="00321A9A"/>
    <w:rsid w:val="0034651F"/>
    <w:rsid w:val="0036132A"/>
    <w:rsid w:val="00371C8B"/>
    <w:rsid w:val="00376BF2"/>
    <w:rsid w:val="00376DAF"/>
    <w:rsid w:val="00377AF8"/>
    <w:rsid w:val="003851A1"/>
    <w:rsid w:val="003A3175"/>
    <w:rsid w:val="003B1DB9"/>
    <w:rsid w:val="003B2C2B"/>
    <w:rsid w:val="003D6F25"/>
    <w:rsid w:val="003D7F1F"/>
    <w:rsid w:val="003E6E20"/>
    <w:rsid w:val="003F1657"/>
    <w:rsid w:val="003F5A60"/>
    <w:rsid w:val="003F7B65"/>
    <w:rsid w:val="00411D03"/>
    <w:rsid w:val="0042674D"/>
    <w:rsid w:val="00447D82"/>
    <w:rsid w:val="00466D77"/>
    <w:rsid w:val="00467A2D"/>
    <w:rsid w:val="004846F5"/>
    <w:rsid w:val="00486F09"/>
    <w:rsid w:val="004936B3"/>
    <w:rsid w:val="004A033E"/>
    <w:rsid w:val="004A4E49"/>
    <w:rsid w:val="004B5426"/>
    <w:rsid w:val="004B594F"/>
    <w:rsid w:val="004C2752"/>
    <w:rsid w:val="004D0675"/>
    <w:rsid w:val="004E4BBF"/>
    <w:rsid w:val="00540A1C"/>
    <w:rsid w:val="005552B9"/>
    <w:rsid w:val="00565402"/>
    <w:rsid w:val="00571B0A"/>
    <w:rsid w:val="00572459"/>
    <w:rsid w:val="00574538"/>
    <w:rsid w:val="00585C9E"/>
    <w:rsid w:val="005A0087"/>
    <w:rsid w:val="005A2ACB"/>
    <w:rsid w:val="005A5012"/>
    <w:rsid w:val="005A555C"/>
    <w:rsid w:val="005B622C"/>
    <w:rsid w:val="005C5348"/>
    <w:rsid w:val="005C7D63"/>
    <w:rsid w:val="005E1E70"/>
    <w:rsid w:val="006205D8"/>
    <w:rsid w:val="006330B0"/>
    <w:rsid w:val="006348E2"/>
    <w:rsid w:val="00636B98"/>
    <w:rsid w:val="00641C79"/>
    <w:rsid w:val="0064540E"/>
    <w:rsid w:val="0064625D"/>
    <w:rsid w:val="006636FF"/>
    <w:rsid w:val="00673896"/>
    <w:rsid w:val="006838E4"/>
    <w:rsid w:val="006927CE"/>
    <w:rsid w:val="006C1C3C"/>
    <w:rsid w:val="006D03B0"/>
    <w:rsid w:val="006D441F"/>
    <w:rsid w:val="007274A4"/>
    <w:rsid w:val="00733BFD"/>
    <w:rsid w:val="00765932"/>
    <w:rsid w:val="00776262"/>
    <w:rsid w:val="0079298C"/>
    <w:rsid w:val="00792AE6"/>
    <w:rsid w:val="00796AEF"/>
    <w:rsid w:val="007A016B"/>
    <w:rsid w:val="007A25ED"/>
    <w:rsid w:val="007A2714"/>
    <w:rsid w:val="007F062A"/>
    <w:rsid w:val="007F71CA"/>
    <w:rsid w:val="00804BED"/>
    <w:rsid w:val="0082515C"/>
    <w:rsid w:val="008258A7"/>
    <w:rsid w:val="00827605"/>
    <w:rsid w:val="0084049B"/>
    <w:rsid w:val="00847CB8"/>
    <w:rsid w:val="00861BCB"/>
    <w:rsid w:val="00862BDB"/>
    <w:rsid w:val="00862EDD"/>
    <w:rsid w:val="008704BE"/>
    <w:rsid w:val="0087223A"/>
    <w:rsid w:val="008722DF"/>
    <w:rsid w:val="00876FA6"/>
    <w:rsid w:val="00883F14"/>
    <w:rsid w:val="008B0472"/>
    <w:rsid w:val="008B4CDF"/>
    <w:rsid w:val="008D1E6A"/>
    <w:rsid w:val="008E26B3"/>
    <w:rsid w:val="008E6B98"/>
    <w:rsid w:val="008F7FD2"/>
    <w:rsid w:val="009166A0"/>
    <w:rsid w:val="00916ECF"/>
    <w:rsid w:val="00923747"/>
    <w:rsid w:val="00947E99"/>
    <w:rsid w:val="009565B3"/>
    <w:rsid w:val="0095716E"/>
    <w:rsid w:val="009722EA"/>
    <w:rsid w:val="009917D7"/>
    <w:rsid w:val="00992A57"/>
    <w:rsid w:val="00996739"/>
    <w:rsid w:val="00996DB1"/>
    <w:rsid w:val="00997CFA"/>
    <w:rsid w:val="009B1955"/>
    <w:rsid w:val="009B3C95"/>
    <w:rsid w:val="009B5AF2"/>
    <w:rsid w:val="009B6BB0"/>
    <w:rsid w:val="009D4526"/>
    <w:rsid w:val="009E5083"/>
    <w:rsid w:val="009F6217"/>
    <w:rsid w:val="00A14AD8"/>
    <w:rsid w:val="00A36E08"/>
    <w:rsid w:val="00A37016"/>
    <w:rsid w:val="00A40820"/>
    <w:rsid w:val="00A57D7F"/>
    <w:rsid w:val="00A75945"/>
    <w:rsid w:val="00A76ED5"/>
    <w:rsid w:val="00A84CB4"/>
    <w:rsid w:val="00A9041E"/>
    <w:rsid w:val="00AB5CE5"/>
    <w:rsid w:val="00AC1523"/>
    <w:rsid w:val="00AC31A2"/>
    <w:rsid w:val="00AD0B23"/>
    <w:rsid w:val="00AE25C4"/>
    <w:rsid w:val="00AE3E9A"/>
    <w:rsid w:val="00AE5508"/>
    <w:rsid w:val="00AE5C6D"/>
    <w:rsid w:val="00B017E8"/>
    <w:rsid w:val="00B21247"/>
    <w:rsid w:val="00B22F9F"/>
    <w:rsid w:val="00B26993"/>
    <w:rsid w:val="00B37986"/>
    <w:rsid w:val="00B702AB"/>
    <w:rsid w:val="00B94408"/>
    <w:rsid w:val="00BA6B06"/>
    <w:rsid w:val="00BB7344"/>
    <w:rsid w:val="00BD63DB"/>
    <w:rsid w:val="00BF2756"/>
    <w:rsid w:val="00BF380B"/>
    <w:rsid w:val="00C02E47"/>
    <w:rsid w:val="00C041F1"/>
    <w:rsid w:val="00C17105"/>
    <w:rsid w:val="00C21FFA"/>
    <w:rsid w:val="00C2613C"/>
    <w:rsid w:val="00C363A4"/>
    <w:rsid w:val="00C927DB"/>
    <w:rsid w:val="00CA0CD4"/>
    <w:rsid w:val="00CB1EF6"/>
    <w:rsid w:val="00CB4971"/>
    <w:rsid w:val="00CB6882"/>
    <w:rsid w:val="00CC3C32"/>
    <w:rsid w:val="00CD02B2"/>
    <w:rsid w:val="00CD0861"/>
    <w:rsid w:val="00CD4A47"/>
    <w:rsid w:val="00CD5BD2"/>
    <w:rsid w:val="00CE4D99"/>
    <w:rsid w:val="00CE526E"/>
    <w:rsid w:val="00CF1933"/>
    <w:rsid w:val="00D169E1"/>
    <w:rsid w:val="00D202E3"/>
    <w:rsid w:val="00D205C2"/>
    <w:rsid w:val="00D22C37"/>
    <w:rsid w:val="00D52911"/>
    <w:rsid w:val="00D560DB"/>
    <w:rsid w:val="00D57131"/>
    <w:rsid w:val="00D87F78"/>
    <w:rsid w:val="00D96370"/>
    <w:rsid w:val="00DC6897"/>
    <w:rsid w:val="00DC7EA7"/>
    <w:rsid w:val="00DD4ABD"/>
    <w:rsid w:val="00E06B80"/>
    <w:rsid w:val="00E07E16"/>
    <w:rsid w:val="00E231C6"/>
    <w:rsid w:val="00E2739F"/>
    <w:rsid w:val="00E44233"/>
    <w:rsid w:val="00E462F3"/>
    <w:rsid w:val="00E5552E"/>
    <w:rsid w:val="00E7186D"/>
    <w:rsid w:val="00E748F1"/>
    <w:rsid w:val="00E86936"/>
    <w:rsid w:val="00E90DF1"/>
    <w:rsid w:val="00E926D4"/>
    <w:rsid w:val="00EA086E"/>
    <w:rsid w:val="00EA243F"/>
    <w:rsid w:val="00EB6323"/>
    <w:rsid w:val="00EC4649"/>
    <w:rsid w:val="00EC47AF"/>
    <w:rsid w:val="00EC75A1"/>
    <w:rsid w:val="00ED21A7"/>
    <w:rsid w:val="00F065E5"/>
    <w:rsid w:val="00F2278C"/>
    <w:rsid w:val="00F2694F"/>
    <w:rsid w:val="00F33FC5"/>
    <w:rsid w:val="00F4212C"/>
    <w:rsid w:val="00F53C75"/>
    <w:rsid w:val="00FA0673"/>
    <w:rsid w:val="00FA3BE6"/>
    <w:rsid w:val="00FB0B20"/>
    <w:rsid w:val="00FC0AE0"/>
    <w:rsid w:val="00FE4651"/>
    <w:rsid w:val="00FF0CE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003C25"/>
  <w15:docId w15:val="{D42C0012-6C52-4395-9821-4C24545D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B22"/>
    <w:pPr>
      <w:ind w:left="720"/>
      <w:contextualSpacing/>
    </w:pPr>
  </w:style>
  <w:style w:type="table" w:styleId="TableGrid">
    <w:name w:val="Table Grid"/>
    <w:basedOn w:val="TableNormal"/>
    <w:uiPriority w:val="59"/>
    <w:rsid w:val="0082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4180</Words>
  <Characters>2383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2014.gada 25.marta noteikumos Nr.156 "Būvizstrādājumu tirgus uzraudzības kārtība"</vt:lpstr>
      <vt:lpstr>Grozījumi MK 2014.gada 25.marta noteikumos Nr.156 "Būvizstrādājumu tirgus uzraudzības kārtība"</vt:lpstr>
    </vt:vector>
  </TitlesOfParts>
  <Company>Ekonomikas ministrija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2014.gada 25.marta noteikumos Nr.156 "Būvizstrādājumu tirgus uzraudzības kārtība"</dc:title>
  <dc:subject>Sākotnējās ietekmes novērtējuma ziņojums (anotācija)</dc:subject>
  <dc:creator>Andris Mālnieks</dc:creator>
  <dc:description>67013086, Andris.Malnieks@em.gov.lv</dc:description>
  <cp:lastModifiedBy>Andris Mālnieks</cp:lastModifiedBy>
  <cp:revision>6</cp:revision>
  <cp:lastPrinted>2017-08-02T08:16:00Z</cp:lastPrinted>
  <dcterms:created xsi:type="dcterms:W3CDTF">2019-09-18T14:28:00Z</dcterms:created>
  <dcterms:modified xsi:type="dcterms:W3CDTF">2019-09-18T14:36:00Z</dcterms:modified>
</cp:coreProperties>
</file>