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4F58" w14:textId="77777777" w:rsidR="002E33E8" w:rsidRPr="005C31F5" w:rsidRDefault="002E33E8" w:rsidP="00D9221E">
      <w:pPr>
        <w:jc w:val="center"/>
        <w:rPr>
          <w:b/>
          <w:sz w:val="40"/>
          <w:szCs w:val="40"/>
          <w:lang w:val="lv-LV"/>
        </w:rPr>
      </w:pPr>
    </w:p>
    <w:p w14:paraId="0FE1CB6C" w14:textId="77777777" w:rsidR="002E33E8" w:rsidRPr="005C31F5" w:rsidRDefault="002E33E8" w:rsidP="00D9221E">
      <w:pPr>
        <w:jc w:val="center"/>
        <w:rPr>
          <w:b/>
          <w:sz w:val="40"/>
          <w:szCs w:val="40"/>
          <w:lang w:val="lv-LV"/>
        </w:rPr>
      </w:pPr>
    </w:p>
    <w:p w14:paraId="6445A9CD" w14:textId="77777777" w:rsidR="002E33E8" w:rsidRPr="005C31F5" w:rsidRDefault="002E33E8" w:rsidP="00D9221E">
      <w:pPr>
        <w:jc w:val="center"/>
        <w:rPr>
          <w:b/>
          <w:sz w:val="40"/>
          <w:szCs w:val="40"/>
          <w:lang w:val="lv-LV"/>
        </w:rPr>
      </w:pPr>
    </w:p>
    <w:p w14:paraId="5F9006D2" w14:textId="77777777" w:rsidR="002E33E8" w:rsidRPr="005C31F5" w:rsidRDefault="002E33E8" w:rsidP="00D9221E">
      <w:pPr>
        <w:jc w:val="center"/>
        <w:rPr>
          <w:b/>
          <w:sz w:val="40"/>
          <w:szCs w:val="40"/>
          <w:lang w:val="lv-LV"/>
        </w:rPr>
      </w:pPr>
    </w:p>
    <w:p w14:paraId="33628EF7" w14:textId="77777777" w:rsidR="002E33E8" w:rsidRPr="005C31F5" w:rsidRDefault="002E33E8" w:rsidP="00D9221E">
      <w:pPr>
        <w:jc w:val="center"/>
        <w:rPr>
          <w:b/>
          <w:sz w:val="40"/>
          <w:szCs w:val="40"/>
          <w:lang w:val="lv-LV"/>
        </w:rPr>
      </w:pPr>
    </w:p>
    <w:p w14:paraId="67136A0D" w14:textId="77777777" w:rsidR="002E33E8" w:rsidRPr="005C31F5" w:rsidRDefault="002E33E8" w:rsidP="00D9221E">
      <w:pPr>
        <w:jc w:val="center"/>
        <w:rPr>
          <w:b/>
          <w:sz w:val="40"/>
          <w:szCs w:val="40"/>
          <w:lang w:val="lv-LV"/>
        </w:rPr>
      </w:pPr>
    </w:p>
    <w:p w14:paraId="6ED86A22" w14:textId="77777777" w:rsidR="002E33E8" w:rsidRPr="005C31F5" w:rsidRDefault="002E33E8" w:rsidP="00D9221E">
      <w:pPr>
        <w:jc w:val="center"/>
        <w:rPr>
          <w:b/>
          <w:sz w:val="40"/>
          <w:szCs w:val="40"/>
          <w:lang w:val="lv-LV"/>
        </w:rPr>
      </w:pPr>
    </w:p>
    <w:p w14:paraId="7F6C8C64" w14:textId="77777777" w:rsidR="002A3EA4" w:rsidRPr="005C31F5" w:rsidRDefault="00D20B58" w:rsidP="00D9221E">
      <w:pPr>
        <w:jc w:val="center"/>
        <w:rPr>
          <w:b/>
          <w:sz w:val="40"/>
          <w:szCs w:val="40"/>
          <w:lang w:val="lv-LV"/>
        </w:rPr>
      </w:pPr>
      <w:r w:rsidRPr="005C31F5">
        <w:rPr>
          <w:b/>
          <w:sz w:val="40"/>
          <w:szCs w:val="40"/>
          <w:lang w:val="lv-LV"/>
        </w:rPr>
        <w:t>Informatīvais ziņojums</w:t>
      </w:r>
    </w:p>
    <w:p w14:paraId="0252C3DB" w14:textId="77777777" w:rsidR="00AD7AA5" w:rsidRPr="005C31F5" w:rsidRDefault="00D20B58" w:rsidP="00D9221E">
      <w:pPr>
        <w:jc w:val="center"/>
        <w:rPr>
          <w:b/>
          <w:sz w:val="40"/>
          <w:szCs w:val="40"/>
          <w:lang w:val="lv-LV"/>
        </w:rPr>
      </w:pPr>
      <w:r w:rsidRPr="005C31F5">
        <w:rPr>
          <w:b/>
          <w:sz w:val="40"/>
          <w:szCs w:val="40"/>
          <w:lang w:val="lv-LV"/>
        </w:rPr>
        <w:t>par</w:t>
      </w:r>
      <w:r w:rsidR="005C75BF" w:rsidRPr="005C31F5">
        <w:rPr>
          <w:b/>
          <w:sz w:val="40"/>
          <w:szCs w:val="40"/>
          <w:lang w:val="lv-LV"/>
        </w:rPr>
        <w:t xml:space="preserve"> </w:t>
      </w:r>
      <w:r w:rsidR="00A12D13" w:rsidRPr="005C31F5">
        <w:rPr>
          <w:b/>
          <w:sz w:val="40"/>
          <w:szCs w:val="40"/>
          <w:lang w:val="lv-LV"/>
        </w:rPr>
        <w:t>Direktīvā 2009/72/EK </w:t>
      </w:r>
      <w:r w:rsidR="00CB4EAE" w:rsidRPr="005C31F5">
        <w:rPr>
          <w:b/>
          <w:sz w:val="40"/>
          <w:szCs w:val="40"/>
          <w:lang w:val="lv-LV"/>
        </w:rPr>
        <w:t>noteikto prasību</w:t>
      </w:r>
    </w:p>
    <w:p w14:paraId="3C304ED9" w14:textId="77777777" w:rsidR="00D20B58" w:rsidRPr="005C31F5" w:rsidRDefault="00CB4EAE" w:rsidP="00D9221E">
      <w:pPr>
        <w:jc w:val="center"/>
        <w:rPr>
          <w:b/>
          <w:sz w:val="40"/>
          <w:szCs w:val="40"/>
          <w:lang w:val="lv-LV"/>
        </w:rPr>
      </w:pPr>
      <w:r w:rsidRPr="005C31F5">
        <w:rPr>
          <w:b/>
          <w:sz w:val="40"/>
          <w:szCs w:val="40"/>
          <w:lang w:val="lv-LV"/>
        </w:rPr>
        <w:t>elektroenerģijas pārvades sistēmas operatora nodalīšanai ieviešanas pārvērtēšanu</w:t>
      </w:r>
    </w:p>
    <w:p w14:paraId="244DADB5" w14:textId="77777777" w:rsidR="00D20B58" w:rsidRPr="005C31F5" w:rsidRDefault="00D20B58">
      <w:pPr>
        <w:rPr>
          <w:lang w:val="lv-LV"/>
        </w:rPr>
      </w:pPr>
    </w:p>
    <w:p w14:paraId="530DBF30" w14:textId="77777777" w:rsidR="002E35A4" w:rsidRPr="005C31F5" w:rsidRDefault="002E35A4" w:rsidP="001D1B75">
      <w:pPr>
        <w:spacing w:after="160" w:line="259" w:lineRule="auto"/>
        <w:jc w:val="center"/>
        <w:rPr>
          <w:b/>
          <w:sz w:val="32"/>
          <w:szCs w:val="32"/>
          <w:lang w:val="lv-LV"/>
        </w:rPr>
      </w:pPr>
      <w:r w:rsidRPr="005C31F5">
        <w:rPr>
          <w:lang w:val="lv-LV"/>
        </w:rPr>
        <w:br w:type="page"/>
      </w:r>
      <w:r w:rsidRPr="005C31F5">
        <w:rPr>
          <w:b/>
          <w:sz w:val="32"/>
          <w:szCs w:val="32"/>
          <w:lang w:val="lv-LV"/>
        </w:rPr>
        <w:lastRenderedPageBreak/>
        <w:t>Saturs</w:t>
      </w:r>
    </w:p>
    <w:sdt>
      <w:sdtPr>
        <w:rPr>
          <w:rFonts w:ascii="Times New Roman" w:eastAsia="Times New Roman" w:hAnsi="Times New Roman" w:cs="Times New Roman"/>
          <w:b w:val="0"/>
          <w:color w:val="auto"/>
          <w:sz w:val="24"/>
          <w:szCs w:val="24"/>
          <w:lang w:val="lv-LV"/>
        </w:rPr>
        <w:id w:val="-520784586"/>
        <w:docPartObj>
          <w:docPartGallery w:val="Table of Contents"/>
          <w:docPartUnique/>
        </w:docPartObj>
      </w:sdtPr>
      <w:sdtEndPr>
        <w:rPr>
          <w:bCs/>
          <w:smallCaps/>
          <w:noProof/>
          <w:sz w:val="28"/>
          <w:szCs w:val="28"/>
        </w:rPr>
      </w:sdtEndPr>
      <w:sdtContent>
        <w:p w14:paraId="516C6463" w14:textId="77777777" w:rsidR="003D3C87" w:rsidRPr="005C31F5" w:rsidRDefault="003D3C87">
          <w:pPr>
            <w:pStyle w:val="TOCHeading"/>
            <w:rPr>
              <w:sz w:val="28"/>
              <w:szCs w:val="28"/>
              <w:lang w:val="lv-LV"/>
            </w:rPr>
          </w:pPr>
        </w:p>
        <w:p w14:paraId="4653FC89" w14:textId="77777777" w:rsidR="00E67883" w:rsidRPr="005C31F5" w:rsidRDefault="003D3C87" w:rsidP="00E67883">
          <w:pPr>
            <w:pStyle w:val="TOC2"/>
            <w:rPr>
              <w:rFonts w:ascii="Times New Roman" w:eastAsiaTheme="minorEastAsia" w:hAnsi="Times New Roman"/>
              <w:b w:val="0"/>
              <w:bCs w:val="0"/>
              <w:noProof/>
              <w:sz w:val="28"/>
              <w:szCs w:val="28"/>
              <w:lang w:val="lv-LV" w:eastAsia="lv-LV"/>
            </w:rPr>
          </w:pPr>
          <w:r w:rsidRPr="005C31F5">
            <w:rPr>
              <w:rFonts w:ascii="Times New Roman" w:hAnsi="Times New Roman"/>
              <w:b w:val="0"/>
              <w:sz w:val="28"/>
              <w:szCs w:val="28"/>
              <w:lang w:val="lv-LV"/>
            </w:rPr>
            <w:fldChar w:fldCharType="begin"/>
          </w:r>
          <w:r w:rsidRPr="005C31F5">
            <w:rPr>
              <w:rFonts w:ascii="Times New Roman" w:hAnsi="Times New Roman"/>
              <w:b w:val="0"/>
              <w:sz w:val="28"/>
              <w:szCs w:val="28"/>
              <w:lang w:val="lv-LV"/>
            </w:rPr>
            <w:instrText xml:space="preserve"> TOC \o "1-3" \h \z \u </w:instrText>
          </w:r>
          <w:r w:rsidRPr="005C31F5">
            <w:rPr>
              <w:rFonts w:ascii="Times New Roman" w:hAnsi="Times New Roman"/>
              <w:b w:val="0"/>
              <w:sz w:val="28"/>
              <w:szCs w:val="28"/>
              <w:lang w:val="lv-LV"/>
            </w:rPr>
            <w:fldChar w:fldCharType="separate"/>
          </w:r>
          <w:hyperlink w:anchor="_Toc3205701" w:history="1">
            <w:r w:rsidR="00E67883" w:rsidRPr="005C31F5">
              <w:rPr>
                <w:rStyle w:val="Hyperlink"/>
                <w:rFonts w:ascii="Times New Roman" w:hAnsi="Times New Roman"/>
                <w:b w:val="0"/>
                <w:noProof/>
                <w:sz w:val="28"/>
                <w:szCs w:val="28"/>
                <w:u w:val="none"/>
                <w:lang w:val="lv-LV"/>
              </w:rPr>
              <w:t>Ievads</w:t>
            </w:r>
            <w:r w:rsidR="00E67883" w:rsidRPr="005C31F5">
              <w:rPr>
                <w:rFonts w:ascii="Times New Roman" w:hAnsi="Times New Roman"/>
                <w:b w:val="0"/>
                <w:noProof/>
                <w:webHidden/>
                <w:sz w:val="28"/>
                <w:szCs w:val="28"/>
                <w:lang w:val="lv-LV"/>
              </w:rPr>
              <w:tab/>
            </w:r>
            <w:r w:rsidR="00E67883" w:rsidRPr="005C31F5">
              <w:rPr>
                <w:rFonts w:ascii="Times New Roman" w:hAnsi="Times New Roman"/>
                <w:b w:val="0"/>
                <w:noProof/>
                <w:webHidden/>
                <w:sz w:val="28"/>
                <w:szCs w:val="28"/>
                <w:lang w:val="lv-LV"/>
              </w:rPr>
              <w:fldChar w:fldCharType="begin"/>
            </w:r>
            <w:r w:rsidR="00E67883" w:rsidRPr="005C31F5">
              <w:rPr>
                <w:rFonts w:ascii="Times New Roman" w:hAnsi="Times New Roman"/>
                <w:b w:val="0"/>
                <w:noProof/>
                <w:webHidden/>
                <w:sz w:val="28"/>
                <w:szCs w:val="28"/>
                <w:lang w:val="lv-LV"/>
              </w:rPr>
              <w:instrText xml:space="preserve"> PAGEREF _Toc3205701 \h </w:instrText>
            </w:r>
            <w:r w:rsidR="00E67883" w:rsidRPr="005C31F5">
              <w:rPr>
                <w:rFonts w:ascii="Times New Roman" w:hAnsi="Times New Roman"/>
                <w:b w:val="0"/>
                <w:noProof/>
                <w:webHidden/>
                <w:sz w:val="28"/>
                <w:szCs w:val="28"/>
                <w:lang w:val="lv-LV"/>
              </w:rPr>
            </w:r>
            <w:r w:rsidR="00E67883" w:rsidRPr="005C31F5">
              <w:rPr>
                <w:rFonts w:ascii="Times New Roman" w:hAnsi="Times New Roman"/>
                <w:b w:val="0"/>
                <w:noProof/>
                <w:webHidden/>
                <w:sz w:val="28"/>
                <w:szCs w:val="28"/>
                <w:lang w:val="lv-LV"/>
              </w:rPr>
              <w:fldChar w:fldCharType="separate"/>
            </w:r>
            <w:r w:rsidR="00E67883" w:rsidRPr="005C31F5">
              <w:rPr>
                <w:rFonts w:ascii="Times New Roman" w:hAnsi="Times New Roman"/>
                <w:b w:val="0"/>
                <w:noProof/>
                <w:webHidden/>
                <w:sz w:val="28"/>
                <w:szCs w:val="28"/>
                <w:lang w:val="lv-LV"/>
              </w:rPr>
              <w:t>3</w:t>
            </w:r>
            <w:r w:rsidR="00E67883" w:rsidRPr="005C31F5">
              <w:rPr>
                <w:rFonts w:ascii="Times New Roman" w:hAnsi="Times New Roman"/>
                <w:b w:val="0"/>
                <w:noProof/>
                <w:webHidden/>
                <w:sz w:val="28"/>
                <w:szCs w:val="28"/>
                <w:lang w:val="lv-LV"/>
              </w:rPr>
              <w:fldChar w:fldCharType="end"/>
            </w:r>
          </w:hyperlink>
        </w:p>
        <w:p w14:paraId="1F0BF40E" w14:textId="77777777" w:rsidR="00E67883" w:rsidRPr="005C31F5" w:rsidRDefault="00B80A13" w:rsidP="00E67883">
          <w:pPr>
            <w:pStyle w:val="TOC3"/>
            <w:rPr>
              <w:rFonts w:ascii="Times New Roman" w:eastAsiaTheme="minorEastAsia" w:hAnsi="Times New Roman"/>
              <w:noProof/>
              <w:sz w:val="28"/>
              <w:szCs w:val="28"/>
              <w:lang w:val="lv-LV" w:eastAsia="lv-LV"/>
            </w:rPr>
          </w:pPr>
          <w:hyperlink w:anchor="_Toc3205702" w:history="1">
            <w:r w:rsidR="00E67883" w:rsidRPr="005C31F5">
              <w:rPr>
                <w:rStyle w:val="Hyperlink"/>
                <w:rFonts w:ascii="Times New Roman" w:hAnsi="Times New Roman"/>
                <w:noProof/>
                <w:sz w:val="28"/>
                <w:szCs w:val="28"/>
                <w:u w:val="none"/>
                <w:lang w:val="lv-LV"/>
              </w:rPr>
              <w:t>1.</w:t>
            </w:r>
            <w:r w:rsidR="00E67883" w:rsidRPr="005C31F5">
              <w:rPr>
                <w:rFonts w:ascii="Times New Roman" w:eastAsiaTheme="minorEastAsia" w:hAnsi="Times New Roman"/>
                <w:noProof/>
                <w:sz w:val="28"/>
                <w:szCs w:val="28"/>
                <w:lang w:val="lv-LV" w:eastAsia="lv-LV"/>
              </w:rPr>
              <w:tab/>
            </w:r>
            <w:r w:rsidR="00E67883" w:rsidRPr="005C31F5">
              <w:rPr>
                <w:rStyle w:val="Hyperlink"/>
                <w:rFonts w:ascii="Times New Roman" w:hAnsi="Times New Roman"/>
                <w:noProof/>
                <w:sz w:val="28"/>
                <w:szCs w:val="28"/>
                <w:u w:val="none"/>
                <w:lang w:val="lv-LV"/>
              </w:rPr>
              <w:t>Direktīvas 2009/72/EK prasības un tās ieviešanas prakse</w:t>
            </w:r>
            <w:r w:rsidR="00E67883" w:rsidRPr="005C31F5">
              <w:rPr>
                <w:rFonts w:ascii="Times New Roman" w:hAnsi="Times New Roman"/>
                <w:noProof/>
                <w:webHidden/>
                <w:sz w:val="28"/>
                <w:szCs w:val="28"/>
                <w:lang w:val="lv-LV"/>
              </w:rPr>
              <w:tab/>
            </w:r>
            <w:r w:rsidR="00E67883" w:rsidRPr="005C31F5">
              <w:rPr>
                <w:rFonts w:ascii="Times New Roman" w:hAnsi="Times New Roman"/>
                <w:noProof/>
                <w:webHidden/>
                <w:sz w:val="28"/>
                <w:szCs w:val="28"/>
                <w:lang w:val="lv-LV"/>
              </w:rPr>
              <w:fldChar w:fldCharType="begin"/>
            </w:r>
            <w:r w:rsidR="00E67883" w:rsidRPr="005C31F5">
              <w:rPr>
                <w:rFonts w:ascii="Times New Roman" w:hAnsi="Times New Roman"/>
                <w:noProof/>
                <w:webHidden/>
                <w:sz w:val="28"/>
                <w:szCs w:val="28"/>
                <w:lang w:val="lv-LV"/>
              </w:rPr>
              <w:instrText xml:space="preserve"> PAGEREF _Toc3205702 \h </w:instrText>
            </w:r>
            <w:r w:rsidR="00E67883" w:rsidRPr="005C31F5">
              <w:rPr>
                <w:rFonts w:ascii="Times New Roman" w:hAnsi="Times New Roman"/>
                <w:noProof/>
                <w:webHidden/>
                <w:sz w:val="28"/>
                <w:szCs w:val="28"/>
                <w:lang w:val="lv-LV"/>
              </w:rPr>
            </w:r>
            <w:r w:rsidR="00E67883" w:rsidRPr="005C31F5">
              <w:rPr>
                <w:rFonts w:ascii="Times New Roman" w:hAnsi="Times New Roman"/>
                <w:noProof/>
                <w:webHidden/>
                <w:sz w:val="28"/>
                <w:szCs w:val="28"/>
                <w:lang w:val="lv-LV"/>
              </w:rPr>
              <w:fldChar w:fldCharType="separate"/>
            </w:r>
            <w:r w:rsidR="00E67883" w:rsidRPr="005C31F5">
              <w:rPr>
                <w:rFonts w:ascii="Times New Roman" w:hAnsi="Times New Roman"/>
                <w:noProof/>
                <w:webHidden/>
                <w:sz w:val="28"/>
                <w:szCs w:val="28"/>
                <w:lang w:val="lv-LV"/>
              </w:rPr>
              <w:t>4</w:t>
            </w:r>
            <w:r w:rsidR="00E67883" w:rsidRPr="005C31F5">
              <w:rPr>
                <w:rFonts w:ascii="Times New Roman" w:hAnsi="Times New Roman"/>
                <w:noProof/>
                <w:webHidden/>
                <w:sz w:val="28"/>
                <w:szCs w:val="28"/>
                <w:lang w:val="lv-LV"/>
              </w:rPr>
              <w:fldChar w:fldCharType="end"/>
            </w:r>
          </w:hyperlink>
        </w:p>
        <w:p w14:paraId="289E8039" w14:textId="77777777" w:rsidR="00E67883" w:rsidRPr="005C31F5" w:rsidRDefault="00B80A13" w:rsidP="00E67883">
          <w:pPr>
            <w:pStyle w:val="TOC3"/>
            <w:rPr>
              <w:rFonts w:ascii="Times New Roman" w:eastAsiaTheme="minorEastAsia" w:hAnsi="Times New Roman"/>
              <w:noProof/>
              <w:sz w:val="28"/>
              <w:szCs w:val="28"/>
              <w:lang w:val="lv-LV" w:eastAsia="lv-LV"/>
            </w:rPr>
          </w:pPr>
          <w:hyperlink w:anchor="_Toc3205703" w:history="1">
            <w:r w:rsidR="00E67883" w:rsidRPr="005C31F5">
              <w:rPr>
                <w:rStyle w:val="Hyperlink"/>
                <w:rFonts w:ascii="Times New Roman" w:hAnsi="Times New Roman"/>
                <w:noProof/>
                <w:sz w:val="28"/>
                <w:szCs w:val="28"/>
                <w:u w:val="none"/>
                <w:lang w:val="lv-LV"/>
              </w:rPr>
              <w:t>2.</w:t>
            </w:r>
            <w:r w:rsidR="00E67883" w:rsidRPr="005C31F5">
              <w:rPr>
                <w:rFonts w:ascii="Times New Roman" w:eastAsiaTheme="minorEastAsia" w:hAnsi="Times New Roman"/>
                <w:noProof/>
                <w:sz w:val="28"/>
                <w:szCs w:val="28"/>
                <w:lang w:val="lv-LV" w:eastAsia="lv-LV"/>
              </w:rPr>
              <w:tab/>
            </w:r>
            <w:r w:rsidR="00E67883" w:rsidRPr="005C31F5">
              <w:rPr>
                <w:rStyle w:val="Hyperlink"/>
                <w:rFonts w:ascii="Times New Roman" w:hAnsi="Times New Roman"/>
                <w:noProof/>
                <w:sz w:val="28"/>
                <w:szCs w:val="28"/>
                <w:u w:val="none"/>
                <w:lang w:val="lv-LV"/>
              </w:rPr>
              <w:t>Direktīvas 2009/72/EK prasību ieviešana Latvijā</w:t>
            </w:r>
            <w:r w:rsidR="00E67883" w:rsidRPr="005C31F5">
              <w:rPr>
                <w:rFonts w:ascii="Times New Roman" w:hAnsi="Times New Roman"/>
                <w:noProof/>
                <w:webHidden/>
                <w:sz w:val="28"/>
                <w:szCs w:val="28"/>
                <w:lang w:val="lv-LV"/>
              </w:rPr>
              <w:tab/>
            </w:r>
            <w:r w:rsidR="00E67883" w:rsidRPr="005C31F5">
              <w:rPr>
                <w:rFonts w:ascii="Times New Roman" w:hAnsi="Times New Roman"/>
                <w:noProof/>
                <w:webHidden/>
                <w:sz w:val="28"/>
                <w:szCs w:val="28"/>
                <w:lang w:val="lv-LV"/>
              </w:rPr>
              <w:fldChar w:fldCharType="begin"/>
            </w:r>
            <w:r w:rsidR="00E67883" w:rsidRPr="005C31F5">
              <w:rPr>
                <w:rFonts w:ascii="Times New Roman" w:hAnsi="Times New Roman"/>
                <w:noProof/>
                <w:webHidden/>
                <w:sz w:val="28"/>
                <w:szCs w:val="28"/>
                <w:lang w:val="lv-LV"/>
              </w:rPr>
              <w:instrText xml:space="preserve"> PAGEREF _Toc3205703 \h </w:instrText>
            </w:r>
            <w:r w:rsidR="00E67883" w:rsidRPr="005C31F5">
              <w:rPr>
                <w:rFonts w:ascii="Times New Roman" w:hAnsi="Times New Roman"/>
                <w:noProof/>
                <w:webHidden/>
                <w:sz w:val="28"/>
                <w:szCs w:val="28"/>
                <w:lang w:val="lv-LV"/>
              </w:rPr>
            </w:r>
            <w:r w:rsidR="00E67883" w:rsidRPr="005C31F5">
              <w:rPr>
                <w:rFonts w:ascii="Times New Roman" w:hAnsi="Times New Roman"/>
                <w:noProof/>
                <w:webHidden/>
                <w:sz w:val="28"/>
                <w:szCs w:val="28"/>
                <w:lang w:val="lv-LV"/>
              </w:rPr>
              <w:fldChar w:fldCharType="separate"/>
            </w:r>
            <w:r w:rsidR="00E67883" w:rsidRPr="005C31F5">
              <w:rPr>
                <w:rFonts w:ascii="Times New Roman" w:hAnsi="Times New Roman"/>
                <w:noProof/>
                <w:webHidden/>
                <w:sz w:val="28"/>
                <w:szCs w:val="28"/>
                <w:lang w:val="lv-LV"/>
              </w:rPr>
              <w:t>7</w:t>
            </w:r>
            <w:r w:rsidR="00E67883" w:rsidRPr="005C31F5">
              <w:rPr>
                <w:rFonts w:ascii="Times New Roman" w:hAnsi="Times New Roman"/>
                <w:noProof/>
                <w:webHidden/>
                <w:sz w:val="28"/>
                <w:szCs w:val="28"/>
                <w:lang w:val="lv-LV"/>
              </w:rPr>
              <w:fldChar w:fldCharType="end"/>
            </w:r>
          </w:hyperlink>
        </w:p>
        <w:p w14:paraId="63A9DAF4" w14:textId="77777777" w:rsidR="00E67883" w:rsidRPr="005C31F5" w:rsidRDefault="00B80A13" w:rsidP="00E67883">
          <w:pPr>
            <w:pStyle w:val="TOC3"/>
            <w:rPr>
              <w:rFonts w:ascii="Times New Roman" w:eastAsiaTheme="minorEastAsia" w:hAnsi="Times New Roman"/>
              <w:noProof/>
              <w:sz w:val="28"/>
              <w:szCs w:val="28"/>
              <w:lang w:val="lv-LV" w:eastAsia="lv-LV"/>
            </w:rPr>
          </w:pPr>
          <w:hyperlink w:anchor="_Toc3205704" w:history="1">
            <w:r w:rsidR="00E67883" w:rsidRPr="005C31F5">
              <w:rPr>
                <w:rStyle w:val="Hyperlink"/>
                <w:rFonts w:ascii="Times New Roman" w:hAnsi="Times New Roman"/>
                <w:noProof/>
                <w:sz w:val="28"/>
                <w:szCs w:val="28"/>
                <w:u w:val="none"/>
                <w:lang w:val="lv-LV"/>
              </w:rPr>
              <w:t>3.</w:t>
            </w:r>
            <w:r w:rsidR="00E67883" w:rsidRPr="005C31F5">
              <w:rPr>
                <w:rFonts w:ascii="Times New Roman" w:eastAsiaTheme="minorEastAsia" w:hAnsi="Times New Roman"/>
                <w:noProof/>
                <w:sz w:val="28"/>
                <w:szCs w:val="28"/>
                <w:lang w:val="lv-LV" w:eastAsia="lv-LV"/>
              </w:rPr>
              <w:tab/>
            </w:r>
            <w:r w:rsidR="00E67883" w:rsidRPr="005C31F5">
              <w:rPr>
                <w:rStyle w:val="Hyperlink"/>
                <w:rFonts w:ascii="Times New Roman" w:hAnsi="Times New Roman"/>
                <w:noProof/>
                <w:sz w:val="28"/>
                <w:szCs w:val="28"/>
                <w:u w:val="none"/>
                <w:lang w:val="lv-LV"/>
              </w:rPr>
              <w:t>PSO darbība šobrīd</w:t>
            </w:r>
            <w:r w:rsidR="00E67883" w:rsidRPr="005C31F5">
              <w:rPr>
                <w:rFonts w:ascii="Times New Roman" w:hAnsi="Times New Roman"/>
                <w:noProof/>
                <w:webHidden/>
                <w:sz w:val="28"/>
                <w:szCs w:val="28"/>
                <w:lang w:val="lv-LV"/>
              </w:rPr>
              <w:tab/>
            </w:r>
            <w:r w:rsidR="00E67883" w:rsidRPr="005C31F5">
              <w:rPr>
                <w:rFonts w:ascii="Times New Roman" w:hAnsi="Times New Roman"/>
                <w:noProof/>
                <w:webHidden/>
                <w:sz w:val="28"/>
                <w:szCs w:val="28"/>
                <w:lang w:val="lv-LV"/>
              </w:rPr>
              <w:fldChar w:fldCharType="begin"/>
            </w:r>
            <w:r w:rsidR="00E67883" w:rsidRPr="005C31F5">
              <w:rPr>
                <w:rFonts w:ascii="Times New Roman" w:hAnsi="Times New Roman"/>
                <w:noProof/>
                <w:webHidden/>
                <w:sz w:val="28"/>
                <w:szCs w:val="28"/>
                <w:lang w:val="lv-LV"/>
              </w:rPr>
              <w:instrText xml:space="preserve"> PAGEREF _Toc3205704 \h </w:instrText>
            </w:r>
            <w:r w:rsidR="00E67883" w:rsidRPr="005C31F5">
              <w:rPr>
                <w:rFonts w:ascii="Times New Roman" w:hAnsi="Times New Roman"/>
                <w:noProof/>
                <w:webHidden/>
                <w:sz w:val="28"/>
                <w:szCs w:val="28"/>
                <w:lang w:val="lv-LV"/>
              </w:rPr>
            </w:r>
            <w:r w:rsidR="00E67883" w:rsidRPr="005C31F5">
              <w:rPr>
                <w:rFonts w:ascii="Times New Roman" w:hAnsi="Times New Roman"/>
                <w:noProof/>
                <w:webHidden/>
                <w:sz w:val="28"/>
                <w:szCs w:val="28"/>
                <w:lang w:val="lv-LV"/>
              </w:rPr>
              <w:fldChar w:fldCharType="separate"/>
            </w:r>
            <w:r w:rsidR="00E67883" w:rsidRPr="005C31F5">
              <w:rPr>
                <w:rFonts w:ascii="Times New Roman" w:hAnsi="Times New Roman"/>
                <w:noProof/>
                <w:webHidden/>
                <w:sz w:val="28"/>
                <w:szCs w:val="28"/>
                <w:lang w:val="lv-LV"/>
              </w:rPr>
              <w:t>10</w:t>
            </w:r>
            <w:r w:rsidR="00E67883" w:rsidRPr="005C31F5">
              <w:rPr>
                <w:rFonts w:ascii="Times New Roman" w:hAnsi="Times New Roman"/>
                <w:noProof/>
                <w:webHidden/>
                <w:sz w:val="28"/>
                <w:szCs w:val="28"/>
                <w:lang w:val="lv-LV"/>
              </w:rPr>
              <w:fldChar w:fldCharType="end"/>
            </w:r>
          </w:hyperlink>
        </w:p>
        <w:p w14:paraId="0641B117" w14:textId="77777777" w:rsidR="00E67883" w:rsidRPr="005C31F5" w:rsidRDefault="00B80A13" w:rsidP="00E67883">
          <w:pPr>
            <w:pStyle w:val="TOC3"/>
            <w:rPr>
              <w:rFonts w:ascii="Times New Roman" w:eastAsiaTheme="minorEastAsia" w:hAnsi="Times New Roman"/>
              <w:noProof/>
              <w:sz w:val="28"/>
              <w:szCs w:val="28"/>
              <w:lang w:val="lv-LV" w:eastAsia="lv-LV"/>
            </w:rPr>
          </w:pPr>
          <w:hyperlink w:anchor="_Toc3205705" w:history="1">
            <w:r w:rsidR="00E67883" w:rsidRPr="005C31F5">
              <w:rPr>
                <w:rStyle w:val="Hyperlink"/>
                <w:rFonts w:ascii="Times New Roman" w:hAnsi="Times New Roman"/>
                <w:noProof/>
                <w:sz w:val="28"/>
                <w:szCs w:val="28"/>
                <w:u w:val="none"/>
                <w:lang w:val="lv-LV"/>
              </w:rPr>
              <w:t>4.</w:t>
            </w:r>
            <w:r w:rsidR="00E67883" w:rsidRPr="005C31F5">
              <w:rPr>
                <w:rFonts w:ascii="Times New Roman" w:eastAsiaTheme="minorEastAsia" w:hAnsi="Times New Roman"/>
                <w:noProof/>
                <w:sz w:val="28"/>
                <w:szCs w:val="28"/>
                <w:lang w:val="lv-LV" w:eastAsia="lv-LV"/>
              </w:rPr>
              <w:tab/>
            </w:r>
            <w:r w:rsidR="00E67883" w:rsidRPr="005C31F5">
              <w:rPr>
                <w:rStyle w:val="Hyperlink"/>
                <w:rFonts w:ascii="Times New Roman" w:hAnsi="Times New Roman"/>
                <w:noProof/>
                <w:sz w:val="28"/>
                <w:szCs w:val="28"/>
                <w:u w:val="none"/>
                <w:lang w:val="lv-LV"/>
              </w:rPr>
              <w:t>Pārvades sistēmas aktīvu raksturojums</w:t>
            </w:r>
            <w:r w:rsidR="00E67883" w:rsidRPr="005C31F5">
              <w:rPr>
                <w:rFonts w:ascii="Times New Roman" w:hAnsi="Times New Roman"/>
                <w:noProof/>
                <w:webHidden/>
                <w:sz w:val="28"/>
                <w:szCs w:val="28"/>
                <w:lang w:val="lv-LV"/>
              </w:rPr>
              <w:tab/>
            </w:r>
            <w:r w:rsidR="00E67883" w:rsidRPr="005C31F5">
              <w:rPr>
                <w:rFonts w:ascii="Times New Roman" w:hAnsi="Times New Roman"/>
                <w:noProof/>
                <w:webHidden/>
                <w:sz w:val="28"/>
                <w:szCs w:val="28"/>
                <w:lang w:val="lv-LV"/>
              </w:rPr>
              <w:fldChar w:fldCharType="begin"/>
            </w:r>
            <w:r w:rsidR="00E67883" w:rsidRPr="005C31F5">
              <w:rPr>
                <w:rFonts w:ascii="Times New Roman" w:hAnsi="Times New Roman"/>
                <w:noProof/>
                <w:webHidden/>
                <w:sz w:val="28"/>
                <w:szCs w:val="28"/>
                <w:lang w:val="lv-LV"/>
              </w:rPr>
              <w:instrText xml:space="preserve"> PAGEREF _Toc3205705 \h </w:instrText>
            </w:r>
            <w:r w:rsidR="00E67883" w:rsidRPr="005C31F5">
              <w:rPr>
                <w:rFonts w:ascii="Times New Roman" w:hAnsi="Times New Roman"/>
                <w:noProof/>
                <w:webHidden/>
                <w:sz w:val="28"/>
                <w:szCs w:val="28"/>
                <w:lang w:val="lv-LV"/>
              </w:rPr>
            </w:r>
            <w:r w:rsidR="00E67883" w:rsidRPr="005C31F5">
              <w:rPr>
                <w:rFonts w:ascii="Times New Roman" w:hAnsi="Times New Roman"/>
                <w:noProof/>
                <w:webHidden/>
                <w:sz w:val="28"/>
                <w:szCs w:val="28"/>
                <w:lang w:val="lv-LV"/>
              </w:rPr>
              <w:fldChar w:fldCharType="separate"/>
            </w:r>
            <w:r w:rsidR="00E67883" w:rsidRPr="005C31F5">
              <w:rPr>
                <w:rFonts w:ascii="Times New Roman" w:hAnsi="Times New Roman"/>
                <w:noProof/>
                <w:webHidden/>
                <w:sz w:val="28"/>
                <w:szCs w:val="28"/>
                <w:lang w:val="lv-LV"/>
              </w:rPr>
              <w:t>13</w:t>
            </w:r>
            <w:r w:rsidR="00E67883" w:rsidRPr="005C31F5">
              <w:rPr>
                <w:rFonts w:ascii="Times New Roman" w:hAnsi="Times New Roman"/>
                <w:noProof/>
                <w:webHidden/>
                <w:sz w:val="28"/>
                <w:szCs w:val="28"/>
                <w:lang w:val="lv-LV"/>
              </w:rPr>
              <w:fldChar w:fldCharType="end"/>
            </w:r>
          </w:hyperlink>
        </w:p>
        <w:p w14:paraId="213368CB" w14:textId="77777777" w:rsidR="00E67883" w:rsidRPr="005C31F5" w:rsidRDefault="00B80A13" w:rsidP="00E67883">
          <w:pPr>
            <w:pStyle w:val="TOC3"/>
            <w:rPr>
              <w:rFonts w:ascii="Times New Roman" w:eastAsiaTheme="minorEastAsia" w:hAnsi="Times New Roman"/>
              <w:noProof/>
              <w:sz w:val="28"/>
              <w:szCs w:val="28"/>
              <w:lang w:val="lv-LV" w:eastAsia="lv-LV"/>
            </w:rPr>
          </w:pPr>
          <w:hyperlink w:anchor="_Toc3205706" w:history="1">
            <w:r w:rsidR="00E67883" w:rsidRPr="005C31F5">
              <w:rPr>
                <w:rStyle w:val="Hyperlink"/>
                <w:rFonts w:ascii="Times New Roman" w:hAnsi="Times New Roman"/>
                <w:noProof/>
                <w:sz w:val="28"/>
                <w:szCs w:val="28"/>
                <w:u w:val="none"/>
                <w:lang w:val="lv-LV"/>
              </w:rPr>
              <w:t>5.</w:t>
            </w:r>
            <w:r w:rsidR="00E67883" w:rsidRPr="005C31F5">
              <w:rPr>
                <w:rFonts w:ascii="Times New Roman" w:eastAsiaTheme="minorEastAsia" w:hAnsi="Times New Roman"/>
                <w:noProof/>
                <w:sz w:val="28"/>
                <w:szCs w:val="28"/>
                <w:lang w:val="lv-LV" w:eastAsia="lv-LV"/>
              </w:rPr>
              <w:tab/>
            </w:r>
            <w:r w:rsidR="00E67883" w:rsidRPr="005C31F5">
              <w:rPr>
                <w:rStyle w:val="Hyperlink"/>
                <w:rFonts w:ascii="Times New Roman" w:hAnsi="Times New Roman"/>
                <w:noProof/>
                <w:sz w:val="28"/>
                <w:szCs w:val="28"/>
                <w:u w:val="none"/>
                <w:shd w:val="clear" w:color="auto" w:fill="FFFFFF"/>
                <w:lang w:val="lv-LV"/>
              </w:rPr>
              <w:t xml:space="preserve">Pārvades sistēmas </w:t>
            </w:r>
            <w:r w:rsidR="00E67883" w:rsidRPr="005C31F5">
              <w:rPr>
                <w:rStyle w:val="Hyperlink"/>
                <w:rFonts w:ascii="Times New Roman" w:hAnsi="Times New Roman"/>
                <w:noProof/>
                <w:sz w:val="28"/>
                <w:szCs w:val="28"/>
                <w:u w:val="none"/>
                <w:lang w:val="lv-LV"/>
              </w:rPr>
              <w:t>aktīvu piederības maiņas</w:t>
            </w:r>
            <w:r w:rsidR="00E67883" w:rsidRPr="005C31F5">
              <w:rPr>
                <w:rStyle w:val="Hyperlink"/>
                <w:rFonts w:ascii="Times New Roman" w:hAnsi="Times New Roman"/>
                <w:noProof/>
                <w:sz w:val="28"/>
                <w:szCs w:val="28"/>
                <w:u w:val="none"/>
                <w:shd w:val="clear" w:color="auto" w:fill="FFFFFF"/>
                <w:lang w:val="lv-LV"/>
              </w:rPr>
              <w:t xml:space="preserve"> ietekme uz iesaistītajām pusēm un Baltijas elektroenerģijas tirgus attīstību</w:t>
            </w:r>
            <w:r w:rsidR="00E67883" w:rsidRPr="005C31F5">
              <w:rPr>
                <w:rFonts w:ascii="Times New Roman" w:hAnsi="Times New Roman"/>
                <w:noProof/>
                <w:webHidden/>
                <w:sz w:val="28"/>
                <w:szCs w:val="28"/>
                <w:lang w:val="lv-LV"/>
              </w:rPr>
              <w:tab/>
            </w:r>
            <w:r w:rsidR="00E67883" w:rsidRPr="005C31F5">
              <w:rPr>
                <w:rFonts w:ascii="Times New Roman" w:hAnsi="Times New Roman"/>
                <w:noProof/>
                <w:webHidden/>
                <w:sz w:val="28"/>
                <w:szCs w:val="28"/>
                <w:lang w:val="lv-LV"/>
              </w:rPr>
              <w:fldChar w:fldCharType="begin"/>
            </w:r>
            <w:r w:rsidR="00E67883" w:rsidRPr="005C31F5">
              <w:rPr>
                <w:rFonts w:ascii="Times New Roman" w:hAnsi="Times New Roman"/>
                <w:noProof/>
                <w:webHidden/>
                <w:sz w:val="28"/>
                <w:szCs w:val="28"/>
                <w:lang w:val="lv-LV"/>
              </w:rPr>
              <w:instrText xml:space="preserve"> PAGEREF _Toc3205706 \h </w:instrText>
            </w:r>
            <w:r w:rsidR="00E67883" w:rsidRPr="005C31F5">
              <w:rPr>
                <w:rFonts w:ascii="Times New Roman" w:hAnsi="Times New Roman"/>
                <w:noProof/>
                <w:webHidden/>
                <w:sz w:val="28"/>
                <w:szCs w:val="28"/>
                <w:lang w:val="lv-LV"/>
              </w:rPr>
            </w:r>
            <w:r w:rsidR="00E67883" w:rsidRPr="005C31F5">
              <w:rPr>
                <w:rFonts w:ascii="Times New Roman" w:hAnsi="Times New Roman"/>
                <w:noProof/>
                <w:webHidden/>
                <w:sz w:val="28"/>
                <w:szCs w:val="28"/>
                <w:lang w:val="lv-LV"/>
              </w:rPr>
              <w:fldChar w:fldCharType="separate"/>
            </w:r>
            <w:r w:rsidR="00E67883" w:rsidRPr="005C31F5">
              <w:rPr>
                <w:rFonts w:ascii="Times New Roman" w:hAnsi="Times New Roman"/>
                <w:noProof/>
                <w:webHidden/>
                <w:sz w:val="28"/>
                <w:szCs w:val="28"/>
                <w:lang w:val="lv-LV"/>
              </w:rPr>
              <w:t>17</w:t>
            </w:r>
            <w:r w:rsidR="00E67883" w:rsidRPr="005C31F5">
              <w:rPr>
                <w:rFonts w:ascii="Times New Roman" w:hAnsi="Times New Roman"/>
                <w:noProof/>
                <w:webHidden/>
                <w:sz w:val="28"/>
                <w:szCs w:val="28"/>
                <w:lang w:val="lv-LV"/>
              </w:rPr>
              <w:fldChar w:fldCharType="end"/>
            </w:r>
          </w:hyperlink>
        </w:p>
        <w:p w14:paraId="4C47F861" w14:textId="77777777" w:rsidR="00E67883" w:rsidRPr="005C31F5" w:rsidRDefault="00B80A13" w:rsidP="00E67883">
          <w:pPr>
            <w:pStyle w:val="TOC1"/>
            <w:spacing w:before="0" w:after="0"/>
            <w:rPr>
              <w:rFonts w:eastAsiaTheme="minorEastAsia"/>
              <w:b w:val="0"/>
              <w:caps w:val="0"/>
              <w:smallCaps/>
              <w:sz w:val="28"/>
              <w:szCs w:val="28"/>
              <w:lang w:eastAsia="lv-LV"/>
            </w:rPr>
          </w:pPr>
          <w:hyperlink w:anchor="_Toc3205707" w:history="1">
            <w:r w:rsidR="00E67883" w:rsidRPr="005C31F5">
              <w:rPr>
                <w:rStyle w:val="Hyperlink"/>
                <w:b w:val="0"/>
                <w:caps w:val="0"/>
                <w:smallCaps/>
                <w:sz w:val="28"/>
                <w:szCs w:val="28"/>
                <w:u w:val="none"/>
              </w:rPr>
              <w:t xml:space="preserve">5.1 Ietekme uz AS “Latvenergo” un </w:t>
            </w:r>
            <w:r w:rsidR="00E67883" w:rsidRPr="005C31F5">
              <w:rPr>
                <w:rStyle w:val="Hyperlink"/>
                <w:b w:val="0"/>
                <w:i/>
                <w:caps w:val="0"/>
                <w:smallCaps/>
                <w:sz w:val="28"/>
                <w:szCs w:val="28"/>
                <w:u w:val="none"/>
              </w:rPr>
              <w:t>Latvenergo</w:t>
            </w:r>
            <w:r w:rsidR="00E67883" w:rsidRPr="005C31F5">
              <w:rPr>
                <w:rStyle w:val="Hyperlink"/>
                <w:b w:val="0"/>
                <w:caps w:val="0"/>
                <w:smallCaps/>
                <w:sz w:val="28"/>
                <w:szCs w:val="28"/>
                <w:u w:val="none"/>
              </w:rPr>
              <w:t xml:space="preserve"> koncernu</w:t>
            </w:r>
            <w:r w:rsidR="00E67883" w:rsidRPr="005C31F5">
              <w:rPr>
                <w:b w:val="0"/>
                <w:caps w:val="0"/>
                <w:smallCaps/>
                <w:webHidden/>
                <w:sz w:val="28"/>
                <w:szCs w:val="28"/>
              </w:rPr>
              <w:tab/>
            </w:r>
            <w:r w:rsidR="00E67883" w:rsidRPr="005C31F5">
              <w:rPr>
                <w:b w:val="0"/>
                <w:caps w:val="0"/>
                <w:smallCaps/>
                <w:webHidden/>
                <w:sz w:val="28"/>
                <w:szCs w:val="28"/>
              </w:rPr>
              <w:fldChar w:fldCharType="begin"/>
            </w:r>
            <w:r w:rsidR="00E67883" w:rsidRPr="005C31F5">
              <w:rPr>
                <w:b w:val="0"/>
                <w:caps w:val="0"/>
                <w:smallCaps/>
                <w:webHidden/>
                <w:sz w:val="28"/>
                <w:szCs w:val="28"/>
              </w:rPr>
              <w:instrText xml:space="preserve"> PAGEREF _Toc3205707 \h </w:instrText>
            </w:r>
            <w:r w:rsidR="00E67883" w:rsidRPr="005C31F5">
              <w:rPr>
                <w:b w:val="0"/>
                <w:caps w:val="0"/>
                <w:smallCaps/>
                <w:webHidden/>
                <w:sz w:val="28"/>
                <w:szCs w:val="28"/>
              </w:rPr>
            </w:r>
            <w:r w:rsidR="00E67883" w:rsidRPr="005C31F5">
              <w:rPr>
                <w:b w:val="0"/>
                <w:caps w:val="0"/>
                <w:smallCaps/>
                <w:webHidden/>
                <w:sz w:val="28"/>
                <w:szCs w:val="28"/>
              </w:rPr>
              <w:fldChar w:fldCharType="separate"/>
            </w:r>
            <w:r w:rsidR="00E67883" w:rsidRPr="005C31F5">
              <w:rPr>
                <w:b w:val="0"/>
                <w:caps w:val="0"/>
                <w:smallCaps/>
                <w:webHidden/>
                <w:sz w:val="28"/>
                <w:szCs w:val="28"/>
              </w:rPr>
              <w:t>17</w:t>
            </w:r>
            <w:r w:rsidR="00E67883" w:rsidRPr="005C31F5">
              <w:rPr>
                <w:b w:val="0"/>
                <w:caps w:val="0"/>
                <w:smallCaps/>
                <w:webHidden/>
                <w:sz w:val="28"/>
                <w:szCs w:val="28"/>
              </w:rPr>
              <w:fldChar w:fldCharType="end"/>
            </w:r>
          </w:hyperlink>
        </w:p>
        <w:p w14:paraId="001089C4" w14:textId="77777777" w:rsidR="00E67883" w:rsidRPr="005C31F5" w:rsidRDefault="00B80A13" w:rsidP="00E67883">
          <w:pPr>
            <w:pStyle w:val="TOC1"/>
            <w:spacing w:before="0" w:after="0"/>
            <w:rPr>
              <w:rFonts w:eastAsiaTheme="minorEastAsia"/>
              <w:b w:val="0"/>
              <w:caps w:val="0"/>
              <w:smallCaps/>
              <w:sz w:val="28"/>
              <w:szCs w:val="28"/>
              <w:lang w:eastAsia="lv-LV"/>
            </w:rPr>
          </w:pPr>
          <w:hyperlink w:anchor="_Toc3205708" w:history="1">
            <w:r w:rsidR="00E67883" w:rsidRPr="005C31F5">
              <w:rPr>
                <w:rStyle w:val="Hyperlink"/>
                <w:b w:val="0"/>
                <w:caps w:val="0"/>
                <w:smallCaps/>
                <w:sz w:val="28"/>
                <w:szCs w:val="28"/>
                <w:u w:val="none"/>
              </w:rPr>
              <w:t>5.2 Ietekme uz elektroenerģijas pārvades tīkla attīstību un AST</w:t>
            </w:r>
            <w:r w:rsidR="00E67883" w:rsidRPr="005C31F5">
              <w:rPr>
                <w:b w:val="0"/>
                <w:caps w:val="0"/>
                <w:smallCaps/>
                <w:webHidden/>
                <w:sz w:val="28"/>
                <w:szCs w:val="28"/>
              </w:rPr>
              <w:tab/>
            </w:r>
            <w:r w:rsidR="00E67883" w:rsidRPr="005C31F5">
              <w:rPr>
                <w:b w:val="0"/>
                <w:caps w:val="0"/>
                <w:smallCaps/>
                <w:webHidden/>
                <w:sz w:val="28"/>
                <w:szCs w:val="28"/>
              </w:rPr>
              <w:fldChar w:fldCharType="begin"/>
            </w:r>
            <w:r w:rsidR="00E67883" w:rsidRPr="005C31F5">
              <w:rPr>
                <w:b w:val="0"/>
                <w:caps w:val="0"/>
                <w:smallCaps/>
                <w:webHidden/>
                <w:sz w:val="28"/>
                <w:szCs w:val="28"/>
              </w:rPr>
              <w:instrText xml:space="preserve"> PAGEREF _Toc3205708 \h </w:instrText>
            </w:r>
            <w:r w:rsidR="00E67883" w:rsidRPr="005C31F5">
              <w:rPr>
                <w:b w:val="0"/>
                <w:caps w:val="0"/>
                <w:smallCaps/>
                <w:webHidden/>
                <w:sz w:val="28"/>
                <w:szCs w:val="28"/>
              </w:rPr>
            </w:r>
            <w:r w:rsidR="00E67883" w:rsidRPr="005C31F5">
              <w:rPr>
                <w:b w:val="0"/>
                <w:caps w:val="0"/>
                <w:smallCaps/>
                <w:webHidden/>
                <w:sz w:val="28"/>
                <w:szCs w:val="28"/>
              </w:rPr>
              <w:fldChar w:fldCharType="separate"/>
            </w:r>
            <w:r w:rsidR="00E67883" w:rsidRPr="005C31F5">
              <w:rPr>
                <w:b w:val="0"/>
                <w:caps w:val="0"/>
                <w:smallCaps/>
                <w:webHidden/>
                <w:sz w:val="28"/>
                <w:szCs w:val="28"/>
              </w:rPr>
              <w:t>19</w:t>
            </w:r>
            <w:r w:rsidR="00E67883" w:rsidRPr="005C31F5">
              <w:rPr>
                <w:b w:val="0"/>
                <w:caps w:val="0"/>
                <w:smallCaps/>
                <w:webHidden/>
                <w:sz w:val="28"/>
                <w:szCs w:val="28"/>
              </w:rPr>
              <w:fldChar w:fldCharType="end"/>
            </w:r>
          </w:hyperlink>
        </w:p>
        <w:p w14:paraId="1581E698" w14:textId="77777777" w:rsidR="00E67883" w:rsidRPr="005C31F5" w:rsidRDefault="00B80A13" w:rsidP="00E67883">
          <w:pPr>
            <w:pStyle w:val="TOC1"/>
            <w:spacing w:before="0" w:after="0"/>
            <w:rPr>
              <w:rFonts w:eastAsiaTheme="minorEastAsia"/>
              <w:b w:val="0"/>
              <w:caps w:val="0"/>
              <w:smallCaps/>
              <w:sz w:val="28"/>
              <w:szCs w:val="28"/>
              <w:lang w:eastAsia="lv-LV"/>
            </w:rPr>
          </w:pPr>
          <w:hyperlink w:anchor="_Toc3205709" w:history="1">
            <w:r w:rsidR="00E67883" w:rsidRPr="005C31F5">
              <w:rPr>
                <w:rStyle w:val="Hyperlink"/>
                <w:b w:val="0"/>
                <w:caps w:val="0"/>
                <w:smallCaps/>
                <w:sz w:val="28"/>
                <w:szCs w:val="28"/>
                <w:u w:val="none"/>
              </w:rPr>
              <w:t>5.3 Ietekme uz tarifu</w:t>
            </w:r>
            <w:r w:rsidR="00E67883" w:rsidRPr="005C31F5">
              <w:rPr>
                <w:b w:val="0"/>
                <w:caps w:val="0"/>
                <w:smallCaps/>
                <w:webHidden/>
                <w:sz w:val="28"/>
                <w:szCs w:val="28"/>
              </w:rPr>
              <w:tab/>
            </w:r>
            <w:r w:rsidR="00E67883" w:rsidRPr="005C31F5">
              <w:rPr>
                <w:b w:val="0"/>
                <w:caps w:val="0"/>
                <w:smallCaps/>
                <w:webHidden/>
                <w:sz w:val="28"/>
                <w:szCs w:val="28"/>
              </w:rPr>
              <w:fldChar w:fldCharType="begin"/>
            </w:r>
            <w:r w:rsidR="00E67883" w:rsidRPr="005C31F5">
              <w:rPr>
                <w:b w:val="0"/>
                <w:caps w:val="0"/>
                <w:smallCaps/>
                <w:webHidden/>
                <w:sz w:val="28"/>
                <w:szCs w:val="28"/>
              </w:rPr>
              <w:instrText xml:space="preserve"> PAGEREF _Toc3205709 \h </w:instrText>
            </w:r>
            <w:r w:rsidR="00E67883" w:rsidRPr="005C31F5">
              <w:rPr>
                <w:b w:val="0"/>
                <w:caps w:val="0"/>
                <w:smallCaps/>
                <w:webHidden/>
                <w:sz w:val="28"/>
                <w:szCs w:val="28"/>
              </w:rPr>
            </w:r>
            <w:r w:rsidR="00E67883" w:rsidRPr="005C31F5">
              <w:rPr>
                <w:b w:val="0"/>
                <w:caps w:val="0"/>
                <w:smallCaps/>
                <w:webHidden/>
                <w:sz w:val="28"/>
                <w:szCs w:val="28"/>
              </w:rPr>
              <w:fldChar w:fldCharType="separate"/>
            </w:r>
            <w:r w:rsidR="00E67883" w:rsidRPr="005C31F5">
              <w:rPr>
                <w:b w:val="0"/>
                <w:caps w:val="0"/>
                <w:smallCaps/>
                <w:webHidden/>
                <w:sz w:val="28"/>
                <w:szCs w:val="28"/>
              </w:rPr>
              <w:t>20</w:t>
            </w:r>
            <w:r w:rsidR="00E67883" w:rsidRPr="005C31F5">
              <w:rPr>
                <w:b w:val="0"/>
                <w:caps w:val="0"/>
                <w:smallCaps/>
                <w:webHidden/>
                <w:sz w:val="28"/>
                <w:szCs w:val="28"/>
              </w:rPr>
              <w:fldChar w:fldCharType="end"/>
            </w:r>
          </w:hyperlink>
        </w:p>
        <w:p w14:paraId="33780626" w14:textId="77777777" w:rsidR="00E67883" w:rsidRPr="005C31F5" w:rsidRDefault="00B80A13" w:rsidP="00E67883">
          <w:pPr>
            <w:pStyle w:val="TOC1"/>
            <w:spacing w:before="0" w:after="0"/>
            <w:rPr>
              <w:rFonts w:eastAsiaTheme="minorEastAsia"/>
              <w:b w:val="0"/>
              <w:caps w:val="0"/>
              <w:smallCaps/>
              <w:sz w:val="28"/>
              <w:szCs w:val="28"/>
              <w:lang w:eastAsia="lv-LV"/>
            </w:rPr>
          </w:pPr>
          <w:hyperlink w:anchor="_Toc3205710" w:history="1">
            <w:r w:rsidR="00E67883" w:rsidRPr="005C31F5">
              <w:rPr>
                <w:rStyle w:val="Hyperlink"/>
                <w:b w:val="0"/>
                <w:caps w:val="0"/>
                <w:smallCaps/>
                <w:sz w:val="28"/>
                <w:szCs w:val="28"/>
                <w:u w:val="none"/>
              </w:rPr>
              <w:t>5.4 Ietekme uz valsts budžetu</w:t>
            </w:r>
            <w:r w:rsidR="00E67883" w:rsidRPr="005C31F5">
              <w:rPr>
                <w:b w:val="0"/>
                <w:caps w:val="0"/>
                <w:smallCaps/>
                <w:webHidden/>
                <w:sz w:val="28"/>
                <w:szCs w:val="28"/>
              </w:rPr>
              <w:tab/>
            </w:r>
            <w:r w:rsidR="00E67883" w:rsidRPr="005C31F5">
              <w:rPr>
                <w:b w:val="0"/>
                <w:caps w:val="0"/>
                <w:smallCaps/>
                <w:webHidden/>
                <w:sz w:val="28"/>
                <w:szCs w:val="28"/>
              </w:rPr>
              <w:fldChar w:fldCharType="begin"/>
            </w:r>
            <w:r w:rsidR="00E67883" w:rsidRPr="005C31F5">
              <w:rPr>
                <w:b w:val="0"/>
                <w:caps w:val="0"/>
                <w:smallCaps/>
                <w:webHidden/>
                <w:sz w:val="28"/>
                <w:szCs w:val="28"/>
              </w:rPr>
              <w:instrText xml:space="preserve"> PAGEREF _Toc3205710 \h </w:instrText>
            </w:r>
            <w:r w:rsidR="00E67883" w:rsidRPr="005C31F5">
              <w:rPr>
                <w:b w:val="0"/>
                <w:caps w:val="0"/>
                <w:smallCaps/>
                <w:webHidden/>
                <w:sz w:val="28"/>
                <w:szCs w:val="28"/>
              </w:rPr>
            </w:r>
            <w:r w:rsidR="00E67883" w:rsidRPr="005C31F5">
              <w:rPr>
                <w:b w:val="0"/>
                <w:caps w:val="0"/>
                <w:smallCaps/>
                <w:webHidden/>
                <w:sz w:val="28"/>
                <w:szCs w:val="28"/>
              </w:rPr>
              <w:fldChar w:fldCharType="separate"/>
            </w:r>
            <w:r w:rsidR="00E67883" w:rsidRPr="005C31F5">
              <w:rPr>
                <w:b w:val="0"/>
                <w:caps w:val="0"/>
                <w:smallCaps/>
                <w:webHidden/>
                <w:sz w:val="28"/>
                <w:szCs w:val="28"/>
              </w:rPr>
              <w:t>21</w:t>
            </w:r>
            <w:r w:rsidR="00E67883" w:rsidRPr="005C31F5">
              <w:rPr>
                <w:b w:val="0"/>
                <w:caps w:val="0"/>
                <w:smallCaps/>
                <w:webHidden/>
                <w:sz w:val="28"/>
                <w:szCs w:val="28"/>
              </w:rPr>
              <w:fldChar w:fldCharType="end"/>
            </w:r>
          </w:hyperlink>
        </w:p>
        <w:p w14:paraId="1E90B864" w14:textId="77777777" w:rsidR="00E67883" w:rsidRPr="005C31F5" w:rsidRDefault="00B80A13" w:rsidP="00E67883">
          <w:pPr>
            <w:pStyle w:val="TOC3"/>
            <w:rPr>
              <w:rFonts w:ascii="Times New Roman" w:eastAsiaTheme="minorEastAsia" w:hAnsi="Times New Roman"/>
              <w:noProof/>
              <w:sz w:val="28"/>
              <w:szCs w:val="28"/>
              <w:lang w:val="lv-LV" w:eastAsia="lv-LV"/>
            </w:rPr>
          </w:pPr>
          <w:hyperlink w:anchor="_Toc3205711" w:history="1">
            <w:r w:rsidR="00E67883" w:rsidRPr="005C31F5">
              <w:rPr>
                <w:rStyle w:val="Hyperlink"/>
                <w:rFonts w:ascii="Times New Roman" w:hAnsi="Times New Roman"/>
                <w:noProof/>
                <w:sz w:val="28"/>
                <w:szCs w:val="28"/>
                <w:u w:val="none"/>
                <w:lang w:val="lv-LV"/>
              </w:rPr>
              <w:t>6.</w:t>
            </w:r>
            <w:r w:rsidR="00E67883" w:rsidRPr="005C31F5">
              <w:rPr>
                <w:rFonts w:ascii="Times New Roman" w:eastAsiaTheme="minorEastAsia" w:hAnsi="Times New Roman"/>
                <w:noProof/>
                <w:sz w:val="28"/>
                <w:szCs w:val="28"/>
                <w:lang w:val="lv-LV" w:eastAsia="lv-LV"/>
              </w:rPr>
              <w:tab/>
            </w:r>
            <w:r w:rsidR="00E67883" w:rsidRPr="005C31F5">
              <w:rPr>
                <w:rStyle w:val="Hyperlink"/>
                <w:rFonts w:ascii="Times New Roman" w:hAnsi="Times New Roman"/>
                <w:noProof/>
                <w:sz w:val="28"/>
                <w:szCs w:val="28"/>
                <w:u w:val="none"/>
                <w:lang w:val="lv-LV"/>
              </w:rPr>
              <w:t>Secinājumi</w:t>
            </w:r>
            <w:r w:rsidR="00E67883" w:rsidRPr="005C31F5">
              <w:rPr>
                <w:rFonts w:ascii="Times New Roman" w:hAnsi="Times New Roman"/>
                <w:noProof/>
                <w:webHidden/>
                <w:sz w:val="28"/>
                <w:szCs w:val="28"/>
                <w:lang w:val="lv-LV"/>
              </w:rPr>
              <w:tab/>
            </w:r>
            <w:r w:rsidR="00E67883" w:rsidRPr="005C31F5">
              <w:rPr>
                <w:rFonts w:ascii="Times New Roman" w:hAnsi="Times New Roman"/>
                <w:noProof/>
                <w:webHidden/>
                <w:sz w:val="28"/>
                <w:szCs w:val="28"/>
                <w:lang w:val="lv-LV"/>
              </w:rPr>
              <w:fldChar w:fldCharType="begin"/>
            </w:r>
            <w:r w:rsidR="00E67883" w:rsidRPr="005C31F5">
              <w:rPr>
                <w:rFonts w:ascii="Times New Roman" w:hAnsi="Times New Roman"/>
                <w:noProof/>
                <w:webHidden/>
                <w:sz w:val="28"/>
                <w:szCs w:val="28"/>
                <w:lang w:val="lv-LV"/>
              </w:rPr>
              <w:instrText xml:space="preserve"> PAGEREF _Toc3205711 \h </w:instrText>
            </w:r>
            <w:r w:rsidR="00E67883" w:rsidRPr="005C31F5">
              <w:rPr>
                <w:rFonts w:ascii="Times New Roman" w:hAnsi="Times New Roman"/>
                <w:noProof/>
                <w:webHidden/>
                <w:sz w:val="28"/>
                <w:szCs w:val="28"/>
                <w:lang w:val="lv-LV"/>
              </w:rPr>
            </w:r>
            <w:r w:rsidR="00E67883" w:rsidRPr="005C31F5">
              <w:rPr>
                <w:rFonts w:ascii="Times New Roman" w:hAnsi="Times New Roman"/>
                <w:noProof/>
                <w:webHidden/>
                <w:sz w:val="28"/>
                <w:szCs w:val="28"/>
                <w:lang w:val="lv-LV"/>
              </w:rPr>
              <w:fldChar w:fldCharType="separate"/>
            </w:r>
            <w:r w:rsidR="00E67883" w:rsidRPr="005C31F5">
              <w:rPr>
                <w:rFonts w:ascii="Times New Roman" w:hAnsi="Times New Roman"/>
                <w:noProof/>
                <w:webHidden/>
                <w:sz w:val="28"/>
                <w:szCs w:val="28"/>
                <w:lang w:val="lv-LV"/>
              </w:rPr>
              <w:t>23</w:t>
            </w:r>
            <w:r w:rsidR="00E67883" w:rsidRPr="005C31F5">
              <w:rPr>
                <w:rFonts w:ascii="Times New Roman" w:hAnsi="Times New Roman"/>
                <w:noProof/>
                <w:webHidden/>
                <w:sz w:val="28"/>
                <w:szCs w:val="28"/>
                <w:lang w:val="lv-LV"/>
              </w:rPr>
              <w:fldChar w:fldCharType="end"/>
            </w:r>
          </w:hyperlink>
        </w:p>
        <w:p w14:paraId="30FE9AC3" w14:textId="77777777" w:rsidR="00E67883" w:rsidRPr="005C31F5" w:rsidRDefault="00B80A13" w:rsidP="00E67883">
          <w:pPr>
            <w:pStyle w:val="TOC3"/>
            <w:rPr>
              <w:rFonts w:ascii="Times New Roman" w:eastAsiaTheme="minorEastAsia" w:hAnsi="Times New Roman"/>
              <w:noProof/>
              <w:sz w:val="28"/>
              <w:szCs w:val="28"/>
              <w:lang w:val="lv-LV" w:eastAsia="lv-LV"/>
            </w:rPr>
          </w:pPr>
          <w:hyperlink w:anchor="_Toc3205712" w:history="1">
            <w:r w:rsidR="00E67883" w:rsidRPr="005C31F5">
              <w:rPr>
                <w:rStyle w:val="Hyperlink"/>
                <w:rFonts w:ascii="Times New Roman" w:hAnsi="Times New Roman"/>
                <w:noProof/>
                <w:sz w:val="28"/>
                <w:szCs w:val="28"/>
                <w:u w:val="none"/>
                <w:lang w:val="lv-LV"/>
              </w:rPr>
              <w:t>7.</w:t>
            </w:r>
            <w:r w:rsidR="00E67883" w:rsidRPr="005C31F5">
              <w:rPr>
                <w:rFonts w:ascii="Times New Roman" w:eastAsiaTheme="minorEastAsia" w:hAnsi="Times New Roman"/>
                <w:noProof/>
                <w:sz w:val="28"/>
                <w:szCs w:val="28"/>
                <w:lang w:val="lv-LV" w:eastAsia="lv-LV"/>
              </w:rPr>
              <w:tab/>
            </w:r>
            <w:r w:rsidR="00E67883" w:rsidRPr="005C31F5">
              <w:rPr>
                <w:rStyle w:val="Hyperlink"/>
                <w:rFonts w:ascii="Times New Roman" w:hAnsi="Times New Roman"/>
                <w:noProof/>
                <w:sz w:val="28"/>
                <w:szCs w:val="28"/>
                <w:u w:val="none"/>
                <w:shd w:val="clear" w:color="auto" w:fill="FFFFFF"/>
                <w:lang w:val="lv-LV"/>
              </w:rPr>
              <w:t>Turpmākie soļi un izmaiņas tiesību aktos, kas nepieciešamas, ieviešot modeli “</w:t>
            </w:r>
            <w:r w:rsidR="00E67883" w:rsidRPr="005C31F5">
              <w:rPr>
                <w:rStyle w:val="Hyperlink"/>
                <w:rFonts w:ascii="Times New Roman" w:hAnsi="Times New Roman"/>
                <w:iCs/>
                <w:noProof/>
                <w:sz w:val="28"/>
                <w:szCs w:val="28"/>
                <w:u w:val="none"/>
                <w:lang w:val="lv-LV"/>
              </w:rPr>
              <w:t>Pilnīga īpašumtiesību nodalīšana”</w:t>
            </w:r>
            <w:r w:rsidR="00E67883" w:rsidRPr="005C31F5">
              <w:rPr>
                <w:rFonts w:ascii="Times New Roman" w:hAnsi="Times New Roman"/>
                <w:noProof/>
                <w:webHidden/>
                <w:sz w:val="28"/>
                <w:szCs w:val="28"/>
                <w:lang w:val="lv-LV"/>
              </w:rPr>
              <w:tab/>
            </w:r>
            <w:r w:rsidR="00E67883" w:rsidRPr="005C31F5">
              <w:rPr>
                <w:rFonts w:ascii="Times New Roman" w:hAnsi="Times New Roman"/>
                <w:noProof/>
                <w:webHidden/>
                <w:sz w:val="28"/>
                <w:szCs w:val="28"/>
                <w:lang w:val="lv-LV"/>
              </w:rPr>
              <w:fldChar w:fldCharType="begin"/>
            </w:r>
            <w:r w:rsidR="00E67883" w:rsidRPr="005C31F5">
              <w:rPr>
                <w:rFonts w:ascii="Times New Roman" w:hAnsi="Times New Roman"/>
                <w:noProof/>
                <w:webHidden/>
                <w:sz w:val="28"/>
                <w:szCs w:val="28"/>
                <w:lang w:val="lv-LV"/>
              </w:rPr>
              <w:instrText xml:space="preserve"> PAGEREF _Toc3205712 \h </w:instrText>
            </w:r>
            <w:r w:rsidR="00E67883" w:rsidRPr="005C31F5">
              <w:rPr>
                <w:rFonts w:ascii="Times New Roman" w:hAnsi="Times New Roman"/>
                <w:noProof/>
                <w:webHidden/>
                <w:sz w:val="28"/>
                <w:szCs w:val="28"/>
                <w:lang w:val="lv-LV"/>
              </w:rPr>
            </w:r>
            <w:r w:rsidR="00E67883" w:rsidRPr="005C31F5">
              <w:rPr>
                <w:rFonts w:ascii="Times New Roman" w:hAnsi="Times New Roman"/>
                <w:noProof/>
                <w:webHidden/>
                <w:sz w:val="28"/>
                <w:szCs w:val="28"/>
                <w:lang w:val="lv-LV"/>
              </w:rPr>
              <w:fldChar w:fldCharType="separate"/>
            </w:r>
            <w:r w:rsidR="00E67883" w:rsidRPr="005C31F5">
              <w:rPr>
                <w:rFonts w:ascii="Times New Roman" w:hAnsi="Times New Roman"/>
                <w:noProof/>
                <w:webHidden/>
                <w:sz w:val="28"/>
                <w:szCs w:val="28"/>
                <w:lang w:val="lv-LV"/>
              </w:rPr>
              <w:t>24</w:t>
            </w:r>
            <w:r w:rsidR="00E67883" w:rsidRPr="005C31F5">
              <w:rPr>
                <w:rFonts w:ascii="Times New Roman" w:hAnsi="Times New Roman"/>
                <w:noProof/>
                <w:webHidden/>
                <w:sz w:val="28"/>
                <w:szCs w:val="28"/>
                <w:lang w:val="lv-LV"/>
              </w:rPr>
              <w:fldChar w:fldCharType="end"/>
            </w:r>
          </w:hyperlink>
        </w:p>
        <w:p w14:paraId="3283FACA" w14:textId="77777777" w:rsidR="003D3C87" w:rsidRPr="005C31F5" w:rsidRDefault="003D3C87" w:rsidP="003D3C87">
          <w:pPr>
            <w:rPr>
              <w:smallCaps/>
              <w:sz w:val="28"/>
              <w:szCs w:val="28"/>
              <w:lang w:val="lv-LV"/>
            </w:rPr>
          </w:pPr>
          <w:r w:rsidRPr="005C31F5">
            <w:rPr>
              <w:bCs/>
              <w:smallCaps/>
              <w:noProof/>
              <w:sz w:val="28"/>
              <w:szCs w:val="28"/>
              <w:lang w:val="lv-LV"/>
            </w:rPr>
            <w:fldChar w:fldCharType="end"/>
          </w:r>
        </w:p>
      </w:sdtContent>
    </w:sdt>
    <w:p w14:paraId="0C38E9F5" w14:textId="77777777" w:rsidR="00D9221E" w:rsidRPr="005C31F5" w:rsidRDefault="00D9221E">
      <w:pPr>
        <w:spacing w:after="160" w:line="259" w:lineRule="auto"/>
        <w:rPr>
          <w:lang w:val="lv-LV"/>
        </w:rPr>
      </w:pPr>
    </w:p>
    <w:p w14:paraId="7E7415EC" w14:textId="77777777" w:rsidR="00D20B58" w:rsidRPr="005C31F5" w:rsidRDefault="00D9221E" w:rsidP="001D1B75">
      <w:pPr>
        <w:spacing w:after="160" w:line="259" w:lineRule="auto"/>
        <w:rPr>
          <w:lang w:val="lv-LV"/>
        </w:rPr>
      </w:pPr>
      <w:r w:rsidRPr="005C31F5">
        <w:rPr>
          <w:lang w:val="lv-LV"/>
        </w:rPr>
        <w:br w:type="page"/>
      </w:r>
    </w:p>
    <w:p w14:paraId="4679E83C" w14:textId="77777777" w:rsidR="00CF1820" w:rsidRPr="005C31F5" w:rsidRDefault="00CF1820" w:rsidP="007D2A4D">
      <w:pPr>
        <w:pStyle w:val="Heading2"/>
        <w:rPr>
          <w:b/>
          <w:lang w:val="lv-LV"/>
        </w:rPr>
      </w:pPr>
      <w:bookmarkStart w:id="0" w:name="_Toc524621711"/>
      <w:bookmarkStart w:id="1" w:name="_Toc3205701"/>
      <w:r w:rsidRPr="005C31F5">
        <w:rPr>
          <w:b/>
          <w:lang w:val="lv-LV"/>
        </w:rPr>
        <w:lastRenderedPageBreak/>
        <w:t>Ievads</w:t>
      </w:r>
      <w:bookmarkEnd w:id="0"/>
      <w:bookmarkEnd w:id="1"/>
    </w:p>
    <w:p w14:paraId="4DCF160B" w14:textId="77777777" w:rsidR="00CF1820" w:rsidRPr="005C31F5" w:rsidRDefault="00CF1820" w:rsidP="000121DF">
      <w:pPr>
        <w:tabs>
          <w:tab w:val="center" w:pos="4535"/>
          <w:tab w:val="left" w:pos="6405"/>
        </w:tabs>
        <w:ind w:firstLine="851"/>
        <w:rPr>
          <w:color w:val="000000"/>
          <w:sz w:val="26"/>
          <w:szCs w:val="26"/>
          <w:lang w:val="lv-LV"/>
        </w:rPr>
      </w:pPr>
    </w:p>
    <w:p w14:paraId="1C8D9271" w14:textId="20B07D3C" w:rsidR="00573BA4" w:rsidRPr="005C31F5" w:rsidRDefault="00CF1820" w:rsidP="00117423">
      <w:pPr>
        <w:ind w:firstLine="720"/>
        <w:jc w:val="both"/>
        <w:rPr>
          <w:sz w:val="28"/>
          <w:szCs w:val="28"/>
          <w:lang w:val="lv-LV"/>
        </w:rPr>
      </w:pPr>
      <w:r w:rsidRPr="005C31F5">
        <w:rPr>
          <w:sz w:val="28"/>
          <w:szCs w:val="28"/>
          <w:lang w:val="lv-LV"/>
        </w:rPr>
        <w:t xml:space="preserve">Informatīvais ziņojums ir sagatavots </w:t>
      </w:r>
      <w:r w:rsidR="005C75BF" w:rsidRPr="005C31F5">
        <w:rPr>
          <w:sz w:val="28"/>
          <w:szCs w:val="28"/>
          <w:lang w:val="lv-LV"/>
        </w:rPr>
        <w:t>atbilstoši</w:t>
      </w:r>
      <w:r w:rsidRPr="005C31F5">
        <w:rPr>
          <w:sz w:val="28"/>
          <w:szCs w:val="28"/>
          <w:lang w:val="lv-LV"/>
        </w:rPr>
        <w:t xml:space="preserve"> </w:t>
      </w:r>
      <w:r w:rsidR="00D94BA9" w:rsidRPr="005C31F5">
        <w:rPr>
          <w:sz w:val="28"/>
          <w:szCs w:val="28"/>
          <w:lang w:val="lv-LV"/>
        </w:rPr>
        <w:t xml:space="preserve">Ministru kabineta </w:t>
      </w:r>
      <w:r w:rsidRPr="005C31F5">
        <w:rPr>
          <w:sz w:val="28"/>
          <w:szCs w:val="28"/>
          <w:lang w:val="lv-LV"/>
        </w:rPr>
        <w:t>2011.gada 12.janvāra  rīkojuma Nr.12 ”</w:t>
      </w:r>
      <w:r w:rsidRPr="005C31F5">
        <w:rPr>
          <w:bCs/>
          <w:i/>
          <w:sz w:val="28"/>
          <w:szCs w:val="28"/>
          <w:shd w:val="clear" w:color="auto" w:fill="FFFFFF"/>
          <w:lang w:val="lv-LV"/>
        </w:rPr>
        <w:t>Par Koncepciju par nepieciešamajām darbībām Eiropas Parlamenta un Padomes 2009.gada 13.jūlija Direktīvā </w:t>
      </w:r>
      <w:hyperlink r:id="rId8" w:tgtFrame="_blank" w:history="1">
        <w:r w:rsidRPr="005C31F5">
          <w:rPr>
            <w:rStyle w:val="Hyperlink"/>
            <w:bCs/>
            <w:i/>
            <w:color w:val="auto"/>
            <w:sz w:val="28"/>
            <w:szCs w:val="28"/>
            <w:u w:val="none"/>
            <w:shd w:val="clear" w:color="auto" w:fill="FFFFFF"/>
            <w:lang w:val="lv-LV"/>
          </w:rPr>
          <w:t>2009/72/EK</w:t>
        </w:r>
      </w:hyperlink>
      <w:r w:rsidRPr="005C31F5">
        <w:rPr>
          <w:bCs/>
          <w:i/>
          <w:sz w:val="28"/>
          <w:szCs w:val="28"/>
          <w:shd w:val="clear" w:color="auto" w:fill="FFFFFF"/>
          <w:lang w:val="lv-LV"/>
        </w:rPr>
        <w:t> par kopīgiem noteikumiem attiecībā uz elektroenerģijas iekšējo tirgu un par Direktīvas </w:t>
      </w:r>
      <w:hyperlink r:id="rId9" w:tgtFrame="_blank" w:history="1">
        <w:r w:rsidRPr="005C31F5">
          <w:rPr>
            <w:rStyle w:val="Hyperlink"/>
            <w:bCs/>
            <w:i/>
            <w:color w:val="auto"/>
            <w:sz w:val="28"/>
            <w:szCs w:val="28"/>
            <w:u w:val="none"/>
            <w:shd w:val="clear" w:color="auto" w:fill="FFFFFF"/>
            <w:lang w:val="lv-LV"/>
          </w:rPr>
          <w:t>2003/54/EK</w:t>
        </w:r>
      </w:hyperlink>
      <w:r w:rsidRPr="005C31F5">
        <w:rPr>
          <w:bCs/>
          <w:i/>
          <w:sz w:val="28"/>
          <w:szCs w:val="28"/>
          <w:shd w:val="clear" w:color="auto" w:fill="FFFFFF"/>
          <w:lang w:val="lv-LV"/>
        </w:rPr>
        <w:t> atcelšanu noteiktajai elektroenerģijas pārvades sistēmas operatora nodalīšanai</w:t>
      </w:r>
      <w:r w:rsidRPr="005C31F5">
        <w:rPr>
          <w:bCs/>
          <w:sz w:val="28"/>
          <w:szCs w:val="28"/>
          <w:shd w:val="clear" w:color="auto" w:fill="FFFFFF"/>
          <w:lang w:val="lv-LV"/>
        </w:rPr>
        <w:t xml:space="preserve">” (turpmāk – </w:t>
      </w:r>
      <w:r w:rsidR="00F2409A" w:rsidRPr="005C31F5">
        <w:rPr>
          <w:bCs/>
          <w:sz w:val="28"/>
          <w:szCs w:val="28"/>
          <w:shd w:val="clear" w:color="auto" w:fill="FFFFFF"/>
          <w:lang w:val="lv-LV"/>
        </w:rPr>
        <w:t>MK rīkojums</w:t>
      </w:r>
      <w:r w:rsidRPr="005C31F5">
        <w:rPr>
          <w:bCs/>
          <w:sz w:val="28"/>
          <w:szCs w:val="28"/>
          <w:shd w:val="clear" w:color="auto" w:fill="FFFFFF"/>
          <w:lang w:val="lv-LV"/>
        </w:rPr>
        <w:t xml:space="preserve"> Nr.12)  kopsavilkuma III </w:t>
      </w:r>
      <w:r w:rsidR="00B92F45" w:rsidRPr="005C31F5">
        <w:rPr>
          <w:bCs/>
          <w:sz w:val="28"/>
          <w:szCs w:val="28"/>
          <w:shd w:val="clear" w:color="auto" w:fill="FFFFFF"/>
          <w:lang w:val="lv-LV"/>
        </w:rPr>
        <w:t>daļ</w:t>
      </w:r>
      <w:r w:rsidR="00B92F45">
        <w:rPr>
          <w:bCs/>
          <w:sz w:val="28"/>
          <w:szCs w:val="28"/>
          <w:shd w:val="clear" w:color="auto" w:fill="FFFFFF"/>
          <w:lang w:val="lv-LV"/>
        </w:rPr>
        <w:t>ā</w:t>
      </w:r>
      <w:r w:rsidR="00B92F45" w:rsidRPr="005C31F5">
        <w:rPr>
          <w:bCs/>
          <w:sz w:val="28"/>
          <w:szCs w:val="28"/>
          <w:shd w:val="clear" w:color="auto" w:fill="FFFFFF"/>
          <w:lang w:val="lv-LV"/>
        </w:rPr>
        <w:t xml:space="preserve"> </w:t>
      </w:r>
      <w:r w:rsidR="005C75BF" w:rsidRPr="005C31F5">
        <w:rPr>
          <w:bCs/>
          <w:sz w:val="28"/>
          <w:szCs w:val="28"/>
          <w:shd w:val="clear" w:color="auto" w:fill="FFFFFF"/>
          <w:lang w:val="lv-LV"/>
        </w:rPr>
        <w:t>dotajam uzdevumam</w:t>
      </w:r>
      <w:r w:rsidRPr="005C31F5">
        <w:rPr>
          <w:bCs/>
          <w:sz w:val="28"/>
          <w:szCs w:val="28"/>
          <w:shd w:val="clear" w:color="auto" w:fill="FFFFFF"/>
          <w:lang w:val="lv-LV"/>
        </w:rPr>
        <w:t xml:space="preserve">, </w:t>
      </w:r>
      <w:r w:rsidR="005C75BF" w:rsidRPr="005C31F5">
        <w:rPr>
          <w:sz w:val="28"/>
          <w:szCs w:val="28"/>
          <w:shd w:val="clear" w:color="auto" w:fill="FFFFFF"/>
          <w:lang w:val="lv-LV"/>
        </w:rPr>
        <w:t xml:space="preserve">Ekonomikas ministrijai, </w:t>
      </w:r>
      <w:r w:rsidRPr="005C31F5">
        <w:rPr>
          <w:sz w:val="28"/>
          <w:szCs w:val="28"/>
          <w:shd w:val="clear" w:color="auto" w:fill="FFFFFF"/>
          <w:lang w:val="lv-LV"/>
        </w:rPr>
        <w:t>izvērtējot izvēl</w:t>
      </w:r>
      <w:r w:rsidR="00B6116C" w:rsidRPr="005C31F5">
        <w:rPr>
          <w:sz w:val="28"/>
          <w:szCs w:val="28"/>
          <w:shd w:val="clear" w:color="auto" w:fill="FFFFFF"/>
          <w:lang w:val="lv-LV"/>
        </w:rPr>
        <w:t xml:space="preserve">ētā pārvades sistēmas operatora </w:t>
      </w:r>
      <w:r w:rsidRPr="005C31F5">
        <w:rPr>
          <w:sz w:val="28"/>
          <w:szCs w:val="28"/>
          <w:shd w:val="clear" w:color="auto" w:fill="FFFFFF"/>
          <w:lang w:val="lv-LV"/>
        </w:rPr>
        <w:t>īpašumtiesību nodalīšanas modeļa ietekmi uz Baltijas elektroene</w:t>
      </w:r>
      <w:r w:rsidR="008275FB" w:rsidRPr="005C31F5">
        <w:rPr>
          <w:sz w:val="28"/>
          <w:szCs w:val="28"/>
          <w:shd w:val="clear" w:color="auto" w:fill="FFFFFF"/>
          <w:lang w:val="lv-LV"/>
        </w:rPr>
        <w:t xml:space="preserve">rģijas tirgus attīstību un </w:t>
      </w:r>
      <w:r w:rsidR="008275FB" w:rsidRPr="005C31F5">
        <w:rPr>
          <w:i/>
          <w:sz w:val="28"/>
          <w:szCs w:val="28"/>
          <w:shd w:val="clear" w:color="auto" w:fill="FFFFFF"/>
          <w:lang w:val="lv-LV"/>
        </w:rPr>
        <w:t>Latvenergo</w:t>
      </w:r>
      <w:r w:rsidRPr="005C31F5">
        <w:rPr>
          <w:sz w:val="28"/>
          <w:szCs w:val="28"/>
          <w:shd w:val="clear" w:color="auto" w:fill="FFFFFF"/>
          <w:lang w:val="lv-LV"/>
        </w:rPr>
        <w:t xml:space="preserve"> koncerna finanšu situāciju,</w:t>
      </w:r>
      <w:r w:rsidR="005C75BF" w:rsidRPr="005C31F5">
        <w:rPr>
          <w:sz w:val="28"/>
          <w:szCs w:val="28"/>
          <w:shd w:val="clear" w:color="auto" w:fill="FFFFFF"/>
          <w:lang w:val="lv-LV"/>
        </w:rPr>
        <w:t xml:space="preserve"> izskatīt iespēju ieviest pilnī</w:t>
      </w:r>
      <w:r w:rsidR="008275FB" w:rsidRPr="005C31F5">
        <w:rPr>
          <w:sz w:val="28"/>
          <w:szCs w:val="28"/>
          <w:shd w:val="clear" w:color="auto" w:fill="FFFFFF"/>
          <w:lang w:val="lv-LV"/>
        </w:rPr>
        <w:t xml:space="preserve">gu </w:t>
      </w:r>
      <w:r w:rsidR="00A9411D" w:rsidRPr="005C31F5">
        <w:rPr>
          <w:sz w:val="28"/>
          <w:szCs w:val="28"/>
          <w:shd w:val="clear" w:color="auto" w:fill="FFFFFF"/>
          <w:lang w:val="lv-LV"/>
        </w:rPr>
        <w:t>pārvades sistēmas operatora (turpmāk -</w:t>
      </w:r>
      <w:r w:rsidR="007421E6" w:rsidRPr="005C31F5">
        <w:rPr>
          <w:sz w:val="28"/>
          <w:szCs w:val="28"/>
          <w:shd w:val="clear" w:color="auto" w:fill="FFFFFF"/>
          <w:lang w:val="lv-LV"/>
        </w:rPr>
        <w:t xml:space="preserve"> </w:t>
      </w:r>
      <w:r w:rsidR="008275FB" w:rsidRPr="005C31F5">
        <w:rPr>
          <w:sz w:val="28"/>
          <w:szCs w:val="28"/>
          <w:shd w:val="clear" w:color="auto" w:fill="FFFFFF"/>
          <w:lang w:val="lv-LV"/>
        </w:rPr>
        <w:t>PSO</w:t>
      </w:r>
      <w:r w:rsidR="00A9411D" w:rsidRPr="005C31F5">
        <w:rPr>
          <w:sz w:val="28"/>
          <w:szCs w:val="28"/>
          <w:shd w:val="clear" w:color="auto" w:fill="FFFFFF"/>
          <w:lang w:val="lv-LV"/>
        </w:rPr>
        <w:t>)</w:t>
      </w:r>
      <w:r w:rsidR="008275FB" w:rsidRPr="005C31F5">
        <w:rPr>
          <w:sz w:val="28"/>
          <w:szCs w:val="28"/>
          <w:shd w:val="clear" w:color="auto" w:fill="FFFFFF"/>
          <w:lang w:val="lv-LV"/>
        </w:rPr>
        <w:t xml:space="preserve"> ī</w:t>
      </w:r>
      <w:r w:rsidR="00117423" w:rsidRPr="005C31F5">
        <w:rPr>
          <w:sz w:val="28"/>
          <w:szCs w:val="28"/>
          <w:shd w:val="clear" w:color="auto" w:fill="FFFFFF"/>
          <w:lang w:val="lv-LV"/>
        </w:rPr>
        <w:t>pašumtiesību nodalīšanu</w:t>
      </w:r>
      <w:r w:rsidR="00A9411D" w:rsidRPr="005C31F5">
        <w:rPr>
          <w:sz w:val="28"/>
          <w:szCs w:val="28"/>
          <w:shd w:val="clear" w:color="auto" w:fill="FFFFFF"/>
          <w:lang w:val="lv-LV"/>
        </w:rPr>
        <w:t>.</w:t>
      </w:r>
      <w:r w:rsidR="00117423" w:rsidRPr="005C31F5">
        <w:rPr>
          <w:sz w:val="28"/>
          <w:szCs w:val="28"/>
          <w:shd w:val="clear" w:color="auto" w:fill="FFFFFF"/>
          <w:lang w:val="lv-LV"/>
        </w:rPr>
        <w:t xml:space="preserve"> </w:t>
      </w:r>
    </w:p>
    <w:p w14:paraId="7E37C8D9" w14:textId="4D47AAB8" w:rsidR="00DA1DC0" w:rsidRPr="005C31F5" w:rsidRDefault="00B6116C" w:rsidP="000121DF">
      <w:pPr>
        <w:autoSpaceDE w:val="0"/>
        <w:autoSpaceDN w:val="0"/>
        <w:adjustRightInd w:val="0"/>
        <w:ind w:firstLine="851"/>
        <w:jc w:val="both"/>
        <w:rPr>
          <w:sz w:val="28"/>
          <w:szCs w:val="28"/>
          <w:shd w:val="clear" w:color="auto" w:fill="FFFFFF"/>
          <w:lang w:val="lv-LV"/>
        </w:rPr>
      </w:pPr>
      <w:r w:rsidRPr="005C31F5">
        <w:rPr>
          <w:sz w:val="28"/>
          <w:szCs w:val="28"/>
          <w:lang w:val="lv-LV"/>
        </w:rPr>
        <w:t xml:space="preserve">Eiropas Parlamenta un Padomes </w:t>
      </w:r>
      <w:r w:rsidR="0054277A" w:rsidRPr="005C31F5">
        <w:rPr>
          <w:sz w:val="28"/>
          <w:szCs w:val="28"/>
          <w:lang w:val="lv-LV"/>
        </w:rPr>
        <w:t xml:space="preserve">2009.gada 13.jūlija </w:t>
      </w:r>
      <w:r w:rsidRPr="005C31F5">
        <w:rPr>
          <w:sz w:val="28"/>
          <w:szCs w:val="28"/>
          <w:lang w:val="lv-LV"/>
        </w:rPr>
        <w:t>D</w:t>
      </w:r>
      <w:r w:rsidR="00872E65" w:rsidRPr="005C31F5">
        <w:rPr>
          <w:sz w:val="28"/>
          <w:szCs w:val="28"/>
          <w:lang w:val="lv-LV"/>
        </w:rPr>
        <w:t>irektīva 200</w:t>
      </w:r>
      <w:r w:rsidR="0054277A" w:rsidRPr="005C31F5">
        <w:rPr>
          <w:sz w:val="28"/>
          <w:szCs w:val="28"/>
          <w:lang w:val="lv-LV"/>
        </w:rPr>
        <w:t xml:space="preserve">9/72/EK </w:t>
      </w:r>
      <w:r w:rsidR="00872E65" w:rsidRPr="005C31F5">
        <w:rPr>
          <w:sz w:val="28"/>
          <w:szCs w:val="28"/>
          <w:lang w:val="lv-LV"/>
        </w:rPr>
        <w:t xml:space="preserve">par kopīgiem noteikumiem attiecībā uz elektroenerģijas iekšējo tirgu un par Direktīvas 2003/54/EK atcelšanu (turpmāk – </w:t>
      </w:r>
      <w:r w:rsidRPr="005C31F5">
        <w:rPr>
          <w:sz w:val="28"/>
          <w:szCs w:val="28"/>
          <w:lang w:val="lv-LV"/>
        </w:rPr>
        <w:t>Direktīva 2009/72/EK) ietilpst T</w:t>
      </w:r>
      <w:r w:rsidR="00872E65" w:rsidRPr="005C31F5">
        <w:rPr>
          <w:sz w:val="28"/>
          <w:szCs w:val="28"/>
          <w:lang w:val="lv-LV"/>
        </w:rPr>
        <w:t>reš</w:t>
      </w:r>
      <w:r w:rsidR="00DA549F" w:rsidRPr="005C31F5">
        <w:rPr>
          <w:sz w:val="28"/>
          <w:szCs w:val="28"/>
          <w:lang w:val="lv-LV"/>
        </w:rPr>
        <w:t xml:space="preserve">ajā enerģētikas </w:t>
      </w:r>
      <w:proofErr w:type="spellStart"/>
      <w:r w:rsidR="00896C3B" w:rsidRPr="005C31F5">
        <w:rPr>
          <w:sz w:val="28"/>
          <w:szCs w:val="28"/>
          <w:lang w:val="lv-LV"/>
        </w:rPr>
        <w:t>pakotnē</w:t>
      </w:r>
      <w:proofErr w:type="spellEnd"/>
      <w:r w:rsidR="00DA549F" w:rsidRPr="005C31F5">
        <w:rPr>
          <w:sz w:val="28"/>
          <w:szCs w:val="28"/>
          <w:lang w:val="lv-LV"/>
        </w:rPr>
        <w:t xml:space="preserve"> un tajā</w:t>
      </w:r>
      <w:r w:rsidR="00872E65" w:rsidRPr="005C31F5">
        <w:rPr>
          <w:sz w:val="28"/>
          <w:szCs w:val="28"/>
          <w:lang w:val="lv-LV"/>
        </w:rPr>
        <w:t xml:space="preserve"> ir ietvertas galvenās tiesību normas </w:t>
      </w:r>
      <w:r w:rsidRPr="005C31F5">
        <w:rPr>
          <w:sz w:val="28"/>
          <w:szCs w:val="28"/>
          <w:lang w:val="lv-LV"/>
        </w:rPr>
        <w:t>elektro</w:t>
      </w:r>
      <w:r w:rsidR="00872E65" w:rsidRPr="005C31F5">
        <w:rPr>
          <w:sz w:val="28"/>
          <w:szCs w:val="28"/>
          <w:lang w:val="lv-LV"/>
        </w:rPr>
        <w:t>enerģijas tirgu</w:t>
      </w:r>
      <w:r w:rsidRPr="005C31F5">
        <w:rPr>
          <w:sz w:val="28"/>
          <w:szCs w:val="28"/>
          <w:lang w:val="lv-LV"/>
        </w:rPr>
        <w:t>s</w:t>
      </w:r>
      <w:r w:rsidR="00872E65" w:rsidRPr="005C31F5">
        <w:rPr>
          <w:sz w:val="28"/>
          <w:szCs w:val="28"/>
          <w:lang w:val="lv-LV"/>
        </w:rPr>
        <w:t xml:space="preserve"> pareizas darbības nodrošināšanai, tostarp</w:t>
      </w:r>
      <w:r w:rsidR="004F45E2" w:rsidRPr="005C31F5">
        <w:rPr>
          <w:sz w:val="28"/>
          <w:szCs w:val="28"/>
          <w:lang w:val="lv-LV"/>
        </w:rPr>
        <w:t>,</w:t>
      </w:r>
      <w:r w:rsidR="00872E65" w:rsidRPr="005C31F5">
        <w:rPr>
          <w:sz w:val="28"/>
          <w:szCs w:val="28"/>
          <w:lang w:val="lv-LV"/>
        </w:rPr>
        <w:t xml:space="preserve"> noteikumi par </w:t>
      </w:r>
      <w:r w:rsidR="0054277A" w:rsidRPr="005C31F5">
        <w:rPr>
          <w:sz w:val="28"/>
          <w:szCs w:val="28"/>
          <w:lang w:val="lv-LV"/>
        </w:rPr>
        <w:t xml:space="preserve">PSO </w:t>
      </w:r>
      <w:r w:rsidR="00872E65" w:rsidRPr="005C31F5">
        <w:rPr>
          <w:sz w:val="28"/>
          <w:szCs w:val="28"/>
          <w:lang w:val="lv-LV"/>
        </w:rPr>
        <w:t xml:space="preserve">nodalīšanu no </w:t>
      </w:r>
      <w:r w:rsidR="007F5740" w:rsidRPr="005C31F5">
        <w:rPr>
          <w:sz w:val="28"/>
          <w:szCs w:val="28"/>
          <w:lang w:val="lv-LV"/>
        </w:rPr>
        <w:t>elektro</w:t>
      </w:r>
      <w:r w:rsidR="00872E65" w:rsidRPr="005C31F5">
        <w:rPr>
          <w:sz w:val="28"/>
          <w:szCs w:val="28"/>
          <w:lang w:val="lv-LV"/>
        </w:rPr>
        <w:t xml:space="preserve">enerģijas piegādātājiem un ražotājiem. </w:t>
      </w:r>
      <w:r w:rsidR="00DA549F" w:rsidRPr="005C31F5">
        <w:rPr>
          <w:sz w:val="28"/>
          <w:szCs w:val="28"/>
          <w:lang w:val="lv-LV"/>
        </w:rPr>
        <w:t>Ziņojums izstrādāts, atsaucoties uz Direktīvas 2009/72/EK IV nodaļas un V nodaļas pantu prasībām</w:t>
      </w:r>
      <w:r w:rsidR="00B9343F" w:rsidRPr="005C31F5">
        <w:rPr>
          <w:sz w:val="28"/>
          <w:szCs w:val="28"/>
          <w:lang w:val="lv-LV"/>
        </w:rPr>
        <w:t>.</w:t>
      </w:r>
      <w:r w:rsidR="00DA549F" w:rsidRPr="005C31F5">
        <w:rPr>
          <w:sz w:val="28"/>
          <w:szCs w:val="28"/>
          <w:lang w:val="lv-LV"/>
        </w:rPr>
        <w:t xml:space="preserve"> </w:t>
      </w:r>
      <w:r w:rsidR="00872E65" w:rsidRPr="005C31F5">
        <w:rPr>
          <w:sz w:val="28"/>
          <w:szCs w:val="28"/>
          <w:lang w:val="lv-LV"/>
        </w:rPr>
        <w:t xml:space="preserve">Lai ieviestu Direktīvas 2009/72/EK prasības </w:t>
      </w:r>
      <w:r w:rsidR="00D94BA9" w:rsidRPr="005C31F5">
        <w:rPr>
          <w:sz w:val="28"/>
          <w:szCs w:val="28"/>
          <w:lang w:val="lv-LV"/>
        </w:rPr>
        <w:t xml:space="preserve">normatīvajos aktos </w:t>
      </w:r>
      <w:r w:rsidR="00872E65" w:rsidRPr="005C31F5">
        <w:rPr>
          <w:sz w:val="28"/>
          <w:szCs w:val="28"/>
          <w:lang w:val="lv-LV"/>
        </w:rPr>
        <w:t>Latvij</w:t>
      </w:r>
      <w:r w:rsidR="00D94BA9" w:rsidRPr="005C31F5">
        <w:rPr>
          <w:sz w:val="28"/>
          <w:szCs w:val="28"/>
          <w:lang w:val="lv-LV"/>
        </w:rPr>
        <w:t>ā</w:t>
      </w:r>
      <w:r w:rsidR="00872E65" w:rsidRPr="005C31F5">
        <w:rPr>
          <w:sz w:val="28"/>
          <w:szCs w:val="28"/>
          <w:lang w:val="lv-LV"/>
        </w:rPr>
        <w:t xml:space="preserve"> un </w:t>
      </w:r>
      <w:r w:rsidR="006B19E1" w:rsidRPr="005C31F5">
        <w:rPr>
          <w:sz w:val="28"/>
          <w:szCs w:val="28"/>
          <w:lang w:val="lv-LV"/>
        </w:rPr>
        <w:t>noteiktu elektroenerģijas PSO</w:t>
      </w:r>
      <w:r w:rsidR="00872E65" w:rsidRPr="005C31F5">
        <w:rPr>
          <w:sz w:val="28"/>
          <w:szCs w:val="28"/>
          <w:lang w:val="lv-LV"/>
        </w:rPr>
        <w:t xml:space="preserve"> nodalīšanas modeli, 2011.gadā tika izstrādāta “Koncepcij</w:t>
      </w:r>
      <w:r w:rsidR="00B92F45">
        <w:rPr>
          <w:sz w:val="28"/>
          <w:szCs w:val="28"/>
          <w:lang w:val="lv-LV"/>
        </w:rPr>
        <w:t>a</w:t>
      </w:r>
      <w:r w:rsidR="00F176D8">
        <w:rPr>
          <w:sz w:val="28"/>
          <w:szCs w:val="28"/>
          <w:lang w:val="lv-LV"/>
        </w:rPr>
        <w:t xml:space="preserve"> </w:t>
      </w:r>
      <w:r w:rsidR="00872E65" w:rsidRPr="005C31F5">
        <w:rPr>
          <w:sz w:val="28"/>
          <w:szCs w:val="28"/>
          <w:lang w:val="lv-LV"/>
        </w:rPr>
        <w:t xml:space="preserve">par nepieciešamajām darbībām Eiropas Parlamenta un Padomes 2009.gada 13.jūlija Direktīvā 2009/72/EK par kopīgiem noteikumiem attiecībā uz elektroenerģijas iekšējo tirgu un par Direktīvas 2003/54/EK atcelšanu noteiktajai elektroenerģijas pārvades sistēmas operatora nodalīšanai” (turpmāk – Koncepcija). Koncepcijas </w:t>
      </w:r>
      <w:r w:rsidR="00A7744C" w:rsidRPr="005C31F5">
        <w:rPr>
          <w:sz w:val="28"/>
          <w:szCs w:val="28"/>
          <w:lang w:val="lv-LV"/>
        </w:rPr>
        <w:t xml:space="preserve">ietvaros tika izvēlēts un </w:t>
      </w:r>
      <w:r w:rsidR="00DA549F" w:rsidRPr="005C31F5">
        <w:rPr>
          <w:sz w:val="28"/>
          <w:szCs w:val="28"/>
          <w:lang w:val="lv-LV"/>
        </w:rPr>
        <w:t>secīgi</w:t>
      </w:r>
      <w:r w:rsidR="00872E65" w:rsidRPr="005C31F5">
        <w:rPr>
          <w:sz w:val="28"/>
          <w:szCs w:val="28"/>
          <w:lang w:val="lv-LV"/>
        </w:rPr>
        <w:t xml:space="preserve"> ieviests</w:t>
      </w:r>
      <w:r w:rsidR="00DA1DC0" w:rsidRPr="005C31F5">
        <w:rPr>
          <w:sz w:val="28"/>
          <w:szCs w:val="28"/>
          <w:lang w:val="lv-LV"/>
        </w:rPr>
        <w:t xml:space="preserve"> modelis, kas paredz neatkarīga sistēmas operatora izveidošanu. Vienlaikus tika n</w:t>
      </w:r>
      <w:r w:rsidR="00A7744C" w:rsidRPr="005C31F5">
        <w:rPr>
          <w:sz w:val="28"/>
          <w:szCs w:val="28"/>
          <w:lang w:val="lv-LV"/>
        </w:rPr>
        <w:t xml:space="preserve">oteikts 2015.gadā </w:t>
      </w:r>
      <w:r w:rsidR="00DA1DC0" w:rsidRPr="005C31F5">
        <w:rPr>
          <w:sz w:val="28"/>
          <w:szCs w:val="28"/>
          <w:lang w:val="lv-LV"/>
        </w:rPr>
        <w:t xml:space="preserve">izskatīt iespēju </w:t>
      </w:r>
      <w:r w:rsidR="00DA1DC0" w:rsidRPr="005C31F5">
        <w:rPr>
          <w:sz w:val="28"/>
          <w:szCs w:val="28"/>
          <w:shd w:val="clear" w:color="auto" w:fill="FFFFFF"/>
          <w:lang w:val="lv-LV"/>
        </w:rPr>
        <w:t>ieviest pilnīg</w:t>
      </w:r>
      <w:r w:rsidR="00217803" w:rsidRPr="005C31F5">
        <w:rPr>
          <w:sz w:val="28"/>
          <w:szCs w:val="28"/>
          <w:shd w:val="clear" w:color="auto" w:fill="FFFFFF"/>
          <w:lang w:val="lv-LV"/>
        </w:rPr>
        <w:t>as</w:t>
      </w:r>
      <w:r w:rsidR="00DA1DC0" w:rsidRPr="005C31F5">
        <w:rPr>
          <w:sz w:val="28"/>
          <w:szCs w:val="28"/>
          <w:shd w:val="clear" w:color="auto" w:fill="FFFFFF"/>
          <w:lang w:val="lv-LV"/>
        </w:rPr>
        <w:t xml:space="preserve"> PSO īpašumtiesību nodalīšanas modeli.</w:t>
      </w:r>
    </w:p>
    <w:p w14:paraId="3D2117D5" w14:textId="77777777" w:rsidR="00573BA4" w:rsidRPr="005C31F5" w:rsidRDefault="00573BA4" w:rsidP="000121DF">
      <w:pPr>
        <w:autoSpaceDE w:val="0"/>
        <w:autoSpaceDN w:val="0"/>
        <w:adjustRightInd w:val="0"/>
        <w:ind w:firstLine="851"/>
        <w:jc w:val="both"/>
        <w:rPr>
          <w:sz w:val="28"/>
          <w:szCs w:val="28"/>
          <w:shd w:val="clear" w:color="auto" w:fill="FFFFFF"/>
          <w:lang w:val="lv-LV"/>
        </w:rPr>
      </w:pPr>
    </w:p>
    <w:p w14:paraId="399C088B" w14:textId="77777777" w:rsidR="008D4754" w:rsidRPr="005C31F5" w:rsidRDefault="00CF1820" w:rsidP="00C46385">
      <w:pPr>
        <w:autoSpaceDE w:val="0"/>
        <w:autoSpaceDN w:val="0"/>
        <w:adjustRightInd w:val="0"/>
        <w:ind w:firstLine="720"/>
        <w:jc w:val="both"/>
        <w:rPr>
          <w:sz w:val="28"/>
          <w:szCs w:val="28"/>
          <w:shd w:val="clear" w:color="auto" w:fill="FFFFFF"/>
          <w:lang w:val="lv-LV"/>
        </w:rPr>
      </w:pPr>
      <w:r w:rsidRPr="005C31F5">
        <w:rPr>
          <w:sz w:val="28"/>
          <w:szCs w:val="28"/>
          <w:shd w:val="clear" w:color="auto" w:fill="FFFFFF"/>
          <w:lang w:val="lv-LV"/>
        </w:rPr>
        <w:t xml:space="preserve">Ziņojuma mērķis ir </w:t>
      </w:r>
      <w:r w:rsidR="00DA1DC0" w:rsidRPr="005C31F5">
        <w:rPr>
          <w:sz w:val="28"/>
          <w:szCs w:val="28"/>
          <w:shd w:val="clear" w:color="auto" w:fill="FFFFFF"/>
          <w:lang w:val="lv-LV"/>
        </w:rPr>
        <w:t xml:space="preserve">izskatīt </w:t>
      </w:r>
      <w:r w:rsidR="00DA549F" w:rsidRPr="005C31F5">
        <w:rPr>
          <w:sz w:val="28"/>
          <w:szCs w:val="28"/>
          <w:shd w:val="clear" w:color="auto" w:fill="FFFFFF"/>
          <w:lang w:val="lv-LV"/>
        </w:rPr>
        <w:t>pilnīga</w:t>
      </w:r>
      <w:r w:rsidR="00217803" w:rsidRPr="005C31F5">
        <w:rPr>
          <w:sz w:val="28"/>
          <w:szCs w:val="28"/>
          <w:shd w:val="clear" w:color="auto" w:fill="FFFFFF"/>
          <w:lang w:val="lv-LV"/>
        </w:rPr>
        <w:t>s</w:t>
      </w:r>
      <w:r w:rsidR="00DA549F" w:rsidRPr="005C31F5">
        <w:rPr>
          <w:sz w:val="28"/>
          <w:szCs w:val="28"/>
          <w:shd w:val="clear" w:color="auto" w:fill="FFFFFF"/>
          <w:lang w:val="lv-LV"/>
        </w:rPr>
        <w:t xml:space="preserve"> īpašumtiesību nodalīšanas modeļa</w:t>
      </w:r>
      <w:r w:rsidR="00DA1DC0" w:rsidRPr="005C31F5">
        <w:rPr>
          <w:sz w:val="28"/>
          <w:szCs w:val="28"/>
          <w:shd w:val="clear" w:color="auto" w:fill="FFFFFF"/>
          <w:lang w:val="lv-LV"/>
        </w:rPr>
        <w:t xml:space="preserve"> iev</w:t>
      </w:r>
      <w:r w:rsidR="008D72DC" w:rsidRPr="005C31F5">
        <w:rPr>
          <w:sz w:val="28"/>
          <w:szCs w:val="28"/>
          <w:shd w:val="clear" w:color="auto" w:fill="FFFFFF"/>
          <w:lang w:val="lv-LV"/>
        </w:rPr>
        <w:t>i</w:t>
      </w:r>
      <w:r w:rsidR="00DA1DC0" w:rsidRPr="005C31F5">
        <w:rPr>
          <w:sz w:val="28"/>
          <w:szCs w:val="28"/>
          <w:shd w:val="clear" w:color="auto" w:fill="FFFFFF"/>
          <w:lang w:val="lv-LV"/>
        </w:rPr>
        <w:t xml:space="preserve">ešanas </w:t>
      </w:r>
      <w:r w:rsidR="00872747" w:rsidRPr="005C31F5">
        <w:rPr>
          <w:sz w:val="28"/>
          <w:szCs w:val="28"/>
          <w:shd w:val="clear" w:color="auto" w:fill="FFFFFF"/>
          <w:lang w:val="lv-LV"/>
        </w:rPr>
        <w:t>iespēju</w:t>
      </w:r>
      <w:r w:rsidR="008E44F2" w:rsidRPr="005C31F5">
        <w:rPr>
          <w:sz w:val="28"/>
          <w:szCs w:val="28"/>
          <w:shd w:val="clear" w:color="auto" w:fill="FFFFFF"/>
          <w:lang w:val="lv-LV"/>
        </w:rPr>
        <w:t>.</w:t>
      </w:r>
    </w:p>
    <w:p w14:paraId="32007EE2" w14:textId="77777777" w:rsidR="00F80F40" w:rsidRPr="005C31F5" w:rsidRDefault="00F80F40">
      <w:pPr>
        <w:spacing w:after="160" w:line="259" w:lineRule="auto"/>
        <w:rPr>
          <w:rFonts w:eastAsiaTheme="minorHAnsi"/>
          <w:lang w:val="lv-LV"/>
        </w:rPr>
      </w:pPr>
      <w:r w:rsidRPr="005C31F5">
        <w:rPr>
          <w:rFonts w:eastAsiaTheme="minorHAnsi"/>
          <w:lang w:val="lv-LV"/>
        </w:rPr>
        <w:br w:type="page"/>
      </w:r>
    </w:p>
    <w:p w14:paraId="58107B64" w14:textId="77777777" w:rsidR="005C4AE2" w:rsidRPr="005C31F5" w:rsidRDefault="00F2409A" w:rsidP="00C73D07">
      <w:pPr>
        <w:pStyle w:val="Heading3"/>
        <w:rPr>
          <w:lang w:val="lv-LV"/>
        </w:rPr>
      </w:pPr>
      <w:bookmarkStart w:id="2" w:name="_Toc524621712"/>
      <w:bookmarkStart w:id="3" w:name="_Toc3205702"/>
      <w:r w:rsidRPr="005C31F5">
        <w:rPr>
          <w:lang w:val="lv-LV"/>
        </w:rPr>
        <w:lastRenderedPageBreak/>
        <w:t>Direktīvas 2009/72/EK prasības un tās ieviešanas prakse</w:t>
      </w:r>
      <w:bookmarkEnd w:id="2"/>
      <w:bookmarkEnd w:id="3"/>
    </w:p>
    <w:p w14:paraId="0B5A9CA0" w14:textId="77777777" w:rsidR="00075473" w:rsidRPr="005C31F5" w:rsidRDefault="00075473" w:rsidP="000121DF">
      <w:pPr>
        <w:pStyle w:val="Heading1"/>
        <w:ind w:firstLine="851"/>
        <w:jc w:val="both"/>
        <w:rPr>
          <w:szCs w:val="28"/>
          <w:lang w:val="lv-LV"/>
        </w:rPr>
      </w:pPr>
    </w:p>
    <w:p w14:paraId="2E374BD1" w14:textId="77777777" w:rsidR="00134EE4" w:rsidRPr="005C31F5" w:rsidRDefault="005C4AE2" w:rsidP="001D1B75">
      <w:pPr>
        <w:ind w:firstLine="720"/>
        <w:jc w:val="both"/>
        <w:rPr>
          <w:sz w:val="28"/>
          <w:szCs w:val="28"/>
          <w:lang w:val="lv-LV"/>
        </w:rPr>
      </w:pPr>
      <w:r w:rsidRPr="005C31F5">
        <w:rPr>
          <w:sz w:val="28"/>
          <w:szCs w:val="28"/>
          <w:lang w:val="lv-LV"/>
        </w:rPr>
        <w:t xml:space="preserve">Saskaņā ar </w:t>
      </w:r>
      <w:r w:rsidR="00B9343F" w:rsidRPr="005C31F5">
        <w:rPr>
          <w:sz w:val="28"/>
          <w:szCs w:val="28"/>
          <w:lang w:val="lv-LV"/>
        </w:rPr>
        <w:t>Direktīvu</w:t>
      </w:r>
      <w:r w:rsidR="00573BA4" w:rsidRPr="005C31F5">
        <w:rPr>
          <w:sz w:val="28"/>
          <w:szCs w:val="28"/>
          <w:lang w:val="lv-LV"/>
        </w:rPr>
        <w:t xml:space="preserve"> 2009/72/EK</w:t>
      </w:r>
      <w:r w:rsidRPr="005C31F5">
        <w:rPr>
          <w:sz w:val="28"/>
          <w:szCs w:val="28"/>
          <w:lang w:val="lv-LV"/>
        </w:rPr>
        <w:t xml:space="preserve"> Eiropas </w:t>
      </w:r>
      <w:r w:rsidR="00E3665D" w:rsidRPr="005C31F5">
        <w:rPr>
          <w:sz w:val="28"/>
          <w:szCs w:val="28"/>
          <w:lang w:val="lv-LV"/>
        </w:rPr>
        <w:t>S</w:t>
      </w:r>
      <w:r w:rsidRPr="005C31F5">
        <w:rPr>
          <w:sz w:val="28"/>
          <w:szCs w:val="28"/>
          <w:lang w:val="lv-LV"/>
        </w:rPr>
        <w:t xml:space="preserve">avienības (turpmāk - ES) dalībvalstīm ar 2012.gada 3.martu </w:t>
      </w:r>
      <w:r w:rsidR="00161C93" w:rsidRPr="005C31F5">
        <w:rPr>
          <w:sz w:val="28"/>
          <w:szCs w:val="28"/>
          <w:lang w:val="lv-LV"/>
        </w:rPr>
        <w:t xml:space="preserve">jānodrošina, ka </w:t>
      </w:r>
      <w:r w:rsidRPr="005C31F5">
        <w:rPr>
          <w:sz w:val="28"/>
          <w:szCs w:val="28"/>
          <w:lang w:val="lv-LV"/>
        </w:rPr>
        <w:t xml:space="preserve">visi uzņēmumi, kam pieder pārvades sistēma, darbojas kā </w:t>
      </w:r>
      <w:r w:rsidR="008275FB" w:rsidRPr="005C31F5">
        <w:rPr>
          <w:sz w:val="28"/>
          <w:szCs w:val="28"/>
          <w:lang w:val="lv-LV"/>
        </w:rPr>
        <w:t>PSO</w:t>
      </w:r>
      <w:r w:rsidR="00D04702" w:rsidRPr="005C31F5">
        <w:rPr>
          <w:rStyle w:val="FootnoteReference"/>
          <w:sz w:val="28"/>
          <w:szCs w:val="28"/>
          <w:lang w:val="lv-LV"/>
        </w:rPr>
        <w:footnoteReference w:id="2"/>
      </w:r>
      <w:r w:rsidR="00161C93" w:rsidRPr="005C31F5">
        <w:rPr>
          <w:sz w:val="28"/>
          <w:szCs w:val="28"/>
          <w:lang w:val="lv-LV"/>
        </w:rPr>
        <w:t>.</w:t>
      </w:r>
      <w:r w:rsidR="00865705" w:rsidRPr="005C31F5">
        <w:rPr>
          <w:sz w:val="28"/>
          <w:szCs w:val="28"/>
          <w:lang w:val="lv-LV"/>
        </w:rPr>
        <w:t xml:space="preserve"> Tāpat, </w:t>
      </w:r>
      <w:r w:rsidR="00A12D13" w:rsidRPr="005C31F5">
        <w:rPr>
          <w:sz w:val="28"/>
          <w:szCs w:val="28"/>
          <w:lang w:val="lv-LV"/>
        </w:rPr>
        <w:t>PSO</w:t>
      </w:r>
      <w:r w:rsidR="00865705" w:rsidRPr="005C31F5">
        <w:rPr>
          <w:sz w:val="28"/>
          <w:szCs w:val="28"/>
          <w:lang w:val="lv-LV"/>
        </w:rPr>
        <w:t xml:space="preserve"> </w:t>
      </w:r>
      <w:r w:rsidR="008275FB" w:rsidRPr="005C31F5">
        <w:rPr>
          <w:color w:val="000000"/>
          <w:sz w:val="28"/>
          <w:szCs w:val="28"/>
          <w:shd w:val="clear" w:color="auto" w:fill="FFFFFF"/>
          <w:lang w:val="lv-LV"/>
        </w:rPr>
        <w:t xml:space="preserve">rīcībā ir vajadzīgie cilvēkresursi, tehniskie, fiziskie un finanšu resursi, lai tie varētu pildīt </w:t>
      </w:r>
      <w:r w:rsidR="008275FB" w:rsidRPr="005C31F5">
        <w:rPr>
          <w:sz w:val="28"/>
          <w:szCs w:val="28"/>
          <w:lang w:val="lv-LV"/>
        </w:rPr>
        <w:t>Direktīvā 2009/72/EK</w:t>
      </w:r>
      <w:r w:rsidR="008275FB" w:rsidRPr="005C31F5">
        <w:rPr>
          <w:color w:val="000000"/>
          <w:sz w:val="28"/>
          <w:szCs w:val="28"/>
          <w:shd w:val="clear" w:color="auto" w:fill="FFFFFF"/>
          <w:lang w:val="lv-LV"/>
        </w:rPr>
        <w:t xml:space="preserve"> noteiktos pienākumus un veikt elektroenerģijas pārvades darbības</w:t>
      </w:r>
      <w:r w:rsidR="00865705" w:rsidRPr="005C31F5">
        <w:rPr>
          <w:rStyle w:val="FootnoteReference"/>
          <w:sz w:val="28"/>
          <w:szCs w:val="28"/>
          <w:lang w:val="lv-LV"/>
        </w:rPr>
        <w:footnoteReference w:id="3"/>
      </w:r>
      <w:r w:rsidR="00134EE4" w:rsidRPr="005C31F5">
        <w:rPr>
          <w:sz w:val="28"/>
          <w:szCs w:val="28"/>
          <w:lang w:val="lv-LV"/>
        </w:rPr>
        <w:t xml:space="preserve">. </w:t>
      </w:r>
    </w:p>
    <w:p w14:paraId="1A64526A" w14:textId="77777777" w:rsidR="008202D2" w:rsidRPr="005C31F5" w:rsidRDefault="008202D2" w:rsidP="001D1B75">
      <w:pPr>
        <w:ind w:firstLine="720"/>
        <w:jc w:val="both"/>
        <w:rPr>
          <w:color w:val="000000"/>
          <w:sz w:val="28"/>
          <w:szCs w:val="28"/>
          <w:lang w:val="lv-LV"/>
        </w:rPr>
      </w:pPr>
      <w:r w:rsidRPr="005C31F5">
        <w:rPr>
          <w:color w:val="000000"/>
          <w:sz w:val="28"/>
          <w:szCs w:val="28"/>
          <w:lang w:val="lv-LV"/>
        </w:rPr>
        <w:t xml:space="preserve">Direktīva </w:t>
      </w:r>
      <w:r w:rsidR="00AE2776" w:rsidRPr="005C31F5">
        <w:rPr>
          <w:color w:val="000000"/>
          <w:sz w:val="28"/>
          <w:szCs w:val="28"/>
          <w:lang w:val="lv-LV"/>
        </w:rPr>
        <w:t>2009/72</w:t>
      </w:r>
      <w:r w:rsidR="00A12D13" w:rsidRPr="005C31F5">
        <w:rPr>
          <w:color w:val="000000"/>
          <w:sz w:val="28"/>
          <w:szCs w:val="28"/>
          <w:lang w:val="lv-LV"/>
        </w:rPr>
        <w:t xml:space="preserve">/EK </w:t>
      </w:r>
      <w:r w:rsidRPr="005C31F5">
        <w:rPr>
          <w:color w:val="000000"/>
          <w:sz w:val="28"/>
          <w:szCs w:val="28"/>
          <w:lang w:val="lv-LV"/>
        </w:rPr>
        <w:t xml:space="preserve">definē </w:t>
      </w:r>
      <w:r w:rsidR="00B9343F" w:rsidRPr="005C31F5">
        <w:rPr>
          <w:color w:val="000000"/>
          <w:sz w:val="28"/>
          <w:szCs w:val="28"/>
          <w:lang w:val="lv-LV"/>
        </w:rPr>
        <w:t>trīs</w:t>
      </w:r>
      <w:r w:rsidRPr="005C31F5">
        <w:rPr>
          <w:color w:val="000000"/>
          <w:sz w:val="28"/>
          <w:szCs w:val="28"/>
          <w:lang w:val="lv-LV"/>
        </w:rPr>
        <w:t xml:space="preserve"> īpašumtiesību nodalīšanas modeļus.</w:t>
      </w:r>
    </w:p>
    <w:p w14:paraId="15BA7CE9" w14:textId="77777777" w:rsidR="00172F5C" w:rsidRPr="005C31F5" w:rsidRDefault="00172F5C" w:rsidP="001D1B75">
      <w:pPr>
        <w:ind w:firstLine="720"/>
        <w:jc w:val="both"/>
        <w:rPr>
          <w:color w:val="000000"/>
          <w:sz w:val="28"/>
          <w:szCs w:val="28"/>
          <w:lang w:val="lv-LV"/>
        </w:rPr>
      </w:pPr>
    </w:p>
    <w:p w14:paraId="2E56A64D" w14:textId="77777777" w:rsidR="008202D2" w:rsidRPr="005C31F5" w:rsidRDefault="008202D2" w:rsidP="000121DF">
      <w:pPr>
        <w:keepLines/>
        <w:autoSpaceDE w:val="0"/>
        <w:autoSpaceDN w:val="0"/>
        <w:adjustRightInd w:val="0"/>
        <w:jc w:val="both"/>
        <w:rPr>
          <w:b/>
          <w:bCs/>
          <w:iCs/>
          <w:color w:val="000000"/>
          <w:sz w:val="28"/>
          <w:szCs w:val="28"/>
          <w:lang w:val="lv-LV"/>
        </w:rPr>
      </w:pPr>
      <w:r w:rsidRPr="005C31F5">
        <w:rPr>
          <w:b/>
          <w:bCs/>
          <w:iCs/>
          <w:color w:val="000000"/>
          <w:sz w:val="28"/>
          <w:szCs w:val="28"/>
          <w:lang w:val="lv-LV"/>
        </w:rPr>
        <w:t>1.modelis - pil</w:t>
      </w:r>
      <w:r w:rsidR="00A12D13" w:rsidRPr="005C31F5">
        <w:rPr>
          <w:b/>
          <w:bCs/>
          <w:iCs/>
          <w:color w:val="000000"/>
          <w:sz w:val="28"/>
          <w:szCs w:val="28"/>
          <w:lang w:val="lv-LV"/>
        </w:rPr>
        <w:t xml:space="preserve">nīga īpašumtiesību nodalīšana </w:t>
      </w:r>
    </w:p>
    <w:p w14:paraId="4D369F87" w14:textId="77777777" w:rsidR="00172F5C" w:rsidRPr="005C31F5" w:rsidRDefault="00172F5C" w:rsidP="000121DF">
      <w:pPr>
        <w:keepLines/>
        <w:autoSpaceDE w:val="0"/>
        <w:autoSpaceDN w:val="0"/>
        <w:adjustRightInd w:val="0"/>
        <w:jc w:val="both"/>
        <w:rPr>
          <w:b/>
          <w:bCs/>
          <w:iCs/>
          <w:color w:val="000000"/>
          <w:sz w:val="28"/>
          <w:szCs w:val="28"/>
          <w:lang w:val="lv-LV"/>
        </w:rPr>
      </w:pPr>
    </w:p>
    <w:p w14:paraId="4392E9CA" w14:textId="4823417D" w:rsidR="008202D2" w:rsidRPr="005C31F5" w:rsidRDefault="008202D2" w:rsidP="00AD7AA5">
      <w:pPr>
        <w:keepLines/>
        <w:autoSpaceDE w:val="0"/>
        <w:autoSpaceDN w:val="0"/>
        <w:adjustRightInd w:val="0"/>
        <w:jc w:val="both"/>
        <w:rPr>
          <w:color w:val="000000"/>
          <w:sz w:val="28"/>
          <w:szCs w:val="28"/>
          <w:lang w:val="lv-LV"/>
        </w:rPr>
      </w:pPr>
      <w:r w:rsidRPr="005C31F5">
        <w:rPr>
          <w:color w:val="000000"/>
          <w:sz w:val="28"/>
          <w:szCs w:val="28"/>
          <w:lang w:val="lv-LV"/>
        </w:rPr>
        <w:t>Modelis paredz, ka gan pārvades sistēmas operatora funkcijas, gan pārvades sistēmas pakalpojumu nodrošināšanai nepieciešamie aktīvi ir jānodala no v</w:t>
      </w:r>
      <w:r w:rsidR="00B9343F" w:rsidRPr="005C31F5">
        <w:rPr>
          <w:color w:val="000000"/>
          <w:sz w:val="28"/>
          <w:szCs w:val="28"/>
          <w:lang w:val="lv-LV"/>
        </w:rPr>
        <w:t>ertikāli integrētā komersanta (skat</w:t>
      </w:r>
      <w:r w:rsidR="00F176D8">
        <w:rPr>
          <w:color w:val="000000"/>
          <w:sz w:val="28"/>
          <w:szCs w:val="28"/>
          <w:lang w:val="lv-LV"/>
        </w:rPr>
        <w:t>īt</w:t>
      </w:r>
      <w:r w:rsidR="00B9343F" w:rsidRPr="005C31F5">
        <w:rPr>
          <w:color w:val="000000"/>
          <w:sz w:val="28"/>
          <w:szCs w:val="28"/>
          <w:lang w:val="lv-LV"/>
        </w:rPr>
        <w:t xml:space="preserve"> 1.attēlu).</w:t>
      </w:r>
    </w:p>
    <w:p w14:paraId="761FCBDD" w14:textId="77777777" w:rsidR="00B9343F" w:rsidRPr="005C31F5" w:rsidRDefault="00B9343F" w:rsidP="00B9343F">
      <w:pPr>
        <w:keepLines/>
        <w:autoSpaceDE w:val="0"/>
        <w:autoSpaceDN w:val="0"/>
        <w:adjustRightInd w:val="0"/>
        <w:ind w:firstLine="851"/>
        <w:jc w:val="right"/>
        <w:rPr>
          <w:color w:val="000000"/>
          <w:sz w:val="28"/>
          <w:szCs w:val="28"/>
          <w:lang w:val="lv-LV"/>
        </w:rPr>
      </w:pPr>
      <w:r w:rsidRPr="005C31F5">
        <w:rPr>
          <w:color w:val="000000"/>
          <w:sz w:val="28"/>
          <w:szCs w:val="28"/>
          <w:lang w:val="lv-LV"/>
        </w:rPr>
        <w:t>1.attēls</w:t>
      </w:r>
    </w:p>
    <w:p w14:paraId="3CDCC330" w14:textId="77777777" w:rsidR="00B9343F" w:rsidRPr="005C31F5" w:rsidRDefault="00B9343F" w:rsidP="00B9343F">
      <w:pPr>
        <w:keepLines/>
        <w:autoSpaceDE w:val="0"/>
        <w:autoSpaceDN w:val="0"/>
        <w:adjustRightInd w:val="0"/>
        <w:ind w:firstLine="851"/>
        <w:jc w:val="center"/>
        <w:rPr>
          <w:i/>
          <w:color w:val="000000"/>
          <w:sz w:val="28"/>
          <w:szCs w:val="28"/>
          <w:lang w:val="lv-LV"/>
        </w:rPr>
      </w:pPr>
      <w:r w:rsidRPr="005C31F5">
        <w:rPr>
          <w:i/>
          <w:color w:val="000000"/>
          <w:sz w:val="28"/>
          <w:szCs w:val="28"/>
          <w:lang w:val="lv-LV"/>
        </w:rPr>
        <w:t>Pilnīgas īpašumtiesību nodalīšanas modelis</w:t>
      </w:r>
    </w:p>
    <w:p w14:paraId="7C38E379" w14:textId="77777777" w:rsidR="00751CCF" w:rsidRPr="005C31F5" w:rsidRDefault="009864F0" w:rsidP="009864F0">
      <w:pPr>
        <w:keepLines/>
        <w:autoSpaceDE w:val="0"/>
        <w:autoSpaceDN w:val="0"/>
        <w:adjustRightInd w:val="0"/>
        <w:jc w:val="center"/>
        <w:rPr>
          <w:color w:val="000000"/>
          <w:sz w:val="28"/>
          <w:szCs w:val="28"/>
          <w:lang w:val="lv-LV"/>
        </w:rPr>
      </w:pPr>
      <w:r w:rsidRPr="005C31F5">
        <w:rPr>
          <w:noProof/>
          <w:lang w:val="lv-LV" w:eastAsia="lv-LV"/>
        </w:rPr>
        <w:drawing>
          <wp:inline distT="0" distB="0" distL="0" distR="0" wp14:anchorId="3039FA55" wp14:editId="3B45626D">
            <wp:extent cx="539115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150" cy="990600"/>
                    </a:xfrm>
                    <a:prstGeom prst="rect">
                      <a:avLst/>
                    </a:prstGeom>
                  </pic:spPr>
                </pic:pic>
              </a:graphicData>
            </a:graphic>
          </wp:inline>
        </w:drawing>
      </w:r>
    </w:p>
    <w:p w14:paraId="2D7B8D66" w14:textId="77777777" w:rsidR="00AD7AA5" w:rsidRPr="005C31F5" w:rsidRDefault="008202D2" w:rsidP="00AD7AA5">
      <w:pPr>
        <w:keepLines/>
        <w:autoSpaceDE w:val="0"/>
        <w:autoSpaceDN w:val="0"/>
        <w:adjustRightInd w:val="0"/>
        <w:jc w:val="both"/>
        <w:rPr>
          <w:b/>
          <w:bCs/>
          <w:iCs/>
          <w:color w:val="000000"/>
          <w:sz w:val="28"/>
          <w:szCs w:val="28"/>
          <w:lang w:val="lv-LV"/>
        </w:rPr>
      </w:pPr>
      <w:r w:rsidRPr="005C31F5">
        <w:rPr>
          <w:b/>
          <w:bCs/>
          <w:iCs/>
          <w:color w:val="000000"/>
          <w:sz w:val="28"/>
          <w:szCs w:val="28"/>
          <w:lang w:val="lv-LV"/>
        </w:rPr>
        <w:t xml:space="preserve">2.modelis -  </w:t>
      </w:r>
      <w:r w:rsidR="00A12D13" w:rsidRPr="005C31F5">
        <w:rPr>
          <w:b/>
          <w:bCs/>
          <w:iCs/>
          <w:color w:val="000000"/>
          <w:sz w:val="28"/>
          <w:szCs w:val="28"/>
          <w:lang w:val="lv-LV"/>
        </w:rPr>
        <w:t xml:space="preserve">neatkarīgs sistēmas </w:t>
      </w:r>
      <w:r w:rsidR="008D72DC" w:rsidRPr="005C31F5">
        <w:rPr>
          <w:b/>
          <w:bCs/>
          <w:iCs/>
          <w:color w:val="000000"/>
          <w:sz w:val="28"/>
          <w:szCs w:val="28"/>
          <w:lang w:val="lv-LV"/>
        </w:rPr>
        <w:t>operators</w:t>
      </w:r>
    </w:p>
    <w:p w14:paraId="77EC4004" w14:textId="77777777" w:rsidR="00172F5C" w:rsidRPr="005C31F5" w:rsidRDefault="00172F5C" w:rsidP="00AD7AA5">
      <w:pPr>
        <w:keepLines/>
        <w:autoSpaceDE w:val="0"/>
        <w:autoSpaceDN w:val="0"/>
        <w:adjustRightInd w:val="0"/>
        <w:jc w:val="both"/>
        <w:rPr>
          <w:b/>
          <w:bCs/>
          <w:iCs/>
          <w:color w:val="000000"/>
          <w:sz w:val="28"/>
          <w:szCs w:val="28"/>
          <w:lang w:val="lv-LV"/>
        </w:rPr>
      </w:pPr>
    </w:p>
    <w:p w14:paraId="3D60E1F9" w14:textId="43CD6F68" w:rsidR="00F80F40" w:rsidRPr="005C31F5" w:rsidRDefault="00345001" w:rsidP="00F80F40">
      <w:pPr>
        <w:jc w:val="both"/>
        <w:rPr>
          <w:bCs/>
          <w:iCs/>
          <w:color w:val="000000"/>
          <w:sz w:val="28"/>
          <w:szCs w:val="28"/>
          <w:lang w:val="lv-LV"/>
        </w:rPr>
      </w:pPr>
      <w:r w:rsidRPr="005C31F5">
        <w:rPr>
          <w:bCs/>
          <w:iCs/>
          <w:color w:val="000000"/>
          <w:sz w:val="28"/>
          <w:szCs w:val="28"/>
          <w:lang w:val="lv-LV"/>
        </w:rPr>
        <w:tab/>
      </w:r>
      <w:r w:rsidR="00AD7AA5" w:rsidRPr="005C31F5">
        <w:rPr>
          <w:bCs/>
          <w:iCs/>
          <w:color w:val="000000"/>
          <w:sz w:val="28"/>
          <w:szCs w:val="28"/>
          <w:lang w:val="lv-LV"/>
        </w:rPr>
        <w:t xml:space="preserve">Modelis nosaka, ka pārvades operatora funkcijas nodala no vertikāli integrētā komersanta, bet pārvades sistēmas aktīvus pārvalda atsevišķa persona, kura ietilpst vertikāli integrētā komersanta sastāvā. Lai nodrošinātu maksimālu šo modeļa darbības efektivitāti, regulatīvai iestādei tiek dotas īpašas tiesības </w:t>
      </w:r>
      <w:r w:rsidR="00E3665D" w:rsidRPr="005C31F5">
        <w:rPr>
          <w:bCs/>
          <w:iCs/>
          <w:color w:val="000000"/>
          <w:sz w:val="28"/>
          <w:szCs w:val="28"/>
          <w:lang w:val="lv-LV"/>
        </w:rPr>
        <w:t>uz</w:t>
      </w:r>
      <w:r w:rsidR="00AD7AA5" w:rsidRPr="005C31F5">
        <w:rPr>
          <w:bCs/>
          <w:iCs/>
          <w:color w:val="000000"/>
          <w:sz w:val="28"/>
          <w:szCs w:val="28"/>
          <w:lang w:val="lv-LV"/>
        </w:rPr>
        <w:t>raudzīt pārvades sistēmas operatora un sistēmas aktīvu īpašnieka savstarpējās attiecības, kā arī izdot saistošus lēmumus, lai nodrošinātu pārvades sistēmas operatora neatkarības prasību ievērošanu. Šo prasību nodrošināšanai, pārvades operatoram un sistēmas aktīvu īpašniekam ir pienākums reizi gadā iesniegt regulatīvajai iestādei ziņojumus par to atbilstību sertificēšanas prasībām, spēju ievērot saistības un par neatkarības atbilstības programmas izpildi (skat</w:t>
      </w:r>
      <w:r w:rsidR="00F176D8">
        <w:rPr>
          <w:bCs/>
          <w:iCs/>
          <w:color w:val="000000"/>
          <w:sz w:val="28"/>
          <w:szCs w:val="28"/>
          <w:lang w:val="lv-LV"/>
        </w:rPr>
        <w:t>īt</w:t>
      </w:r>
      <w:r w:rsidR="00AD7AA5" w:rsidRPr="005C31F5">
        <w:rPr>
          <w:bCs/>
          <w:iCs/>
          <w:color w:val="000000"/>
          <w:sz w:val="28"/>
          <w:szCs w:val="28"/>
          <w:lang w:val="lv-LV"/>
        </w:rPr>
        <w:t xml:space="preserve"> 2.attēlu).</w:t>
      </w:r>
    </w:p>
    <w:p w14:paraId="48C9E57F" w14:textId="77777777" w:rsidR="009864F0" w:rsidRPr="005C31F5" w:rsidRDefault="009864F0" w:rsidP="009864F0">
      <w:pPr>
        <w:spacing w:after="160" w:line="259" w:lineRule="auto"/>
        <w:rPr>
          <w:bCs/>
          <w:iCs/>
          <w:color w:val="000000"/>
          <w:sz w:val="28"/>
          <w:szCs w:val="28"/>
          <w:lang w:val="lv-LV"/>
        </w:rPr>
      </w:pPr>
      <w:r w:rsidRPr="005C31F5">
        <w:rPr>
          <w:bCs/>
          <w:iCs/>
          <w:color w:val="000000"/>
          <w:sz w:val="28"/>
          <w:szCs w:val="28"/>
          <w:lang w:val="lv-LV"/>
        </w:rPr>
        <w:br w:type="page"/>
      </w:r>
    </w:p>
    <w:p w14:paraId="04762364" w14:textId="77777777" w:rsidR="009864F0" w:rsidRPr="005C31F5" w:rsidRDefault="009864F0" w:rsidP="00B9343F">
      <w:pPr>
        <w:keepLines/>
        <w:autoSpaceDE w:val="0"/>
        <w:autoSpaceDN w:val="0"/>
        <w:adjustRightInd w:val="0"/>
        <w:ind w:firstLine="851"/>
        <w:jc w:val="right"/>
        <w:rPr>
          <w:color w:val="000000"/>
          <w:sz w:val="28"/>
          <w:szCs w:val="28"/>
          <w:lang w:val="lv-LV"/>
        </w:rPr>
      </w:pPr>
      <w:r w:rsidRPr="005C31F5">
        <w:rPr>
          <w:color w:val="000000"/>
          <w:sz w:val="28"/>
          <w:szCs w:val="28"/>
          <w:lang w:val="lv-LV"/>
        </w:rPr>
        <w:lastRenderedPageBreak/>
        <w:t>2.attēls</w:t>
      </w:r>
    </w:p>
    <w:p w14:paraId="4338562B" w14:textId="77777777" w:rsidR="009864F0" w:rsidRPr="005C31F5" w:rsidRDefault="009864F0" w:rsidP="009864F0">
      <w:pPr>
        <w:keepLines/>
        <w:autoSpaceDE w:val="0"/>
        <w:autoSpaceDN w:val="0"/>
        <w:adjustRightInd w:val="0"/>
        <w:ind w:firstLine="851"/>
        <w:jc w:val="center"/>
        <w:rPr>
          <w:i/>
          <w:color w:val="000000"/>
          <w:sz w:val="28"/>
          <w:szCs w:val="28"/>
          <w:lang w:val="lv-LV"/>
        </w:rPr>
      </w:pPr>
      <w:r w:rsidRPr="005C31F5">
        <w:rPr>
          <w:i/>
          <w:color w:val="000000"/>
          <w:sz w:val="28"/>
          <w:szCs w:val="28"/>
          <w:lang w:val="lv-LV"/>
        </w:rPr>
        <w:t>Neatkarīga sistēmas operatora modelis</w:t>
      </w:r>
    </w:p>
    <w:p w14:paraId="634E9B37" w14:textId="77777777" w:rsidR="009864F0" w:rsidRPr="005C31F5" w:rsidRDefault="009864F0" w:rsidP="00B9343F">
      <w:pPr>
        <w:keepLines/>
        <w:autoSpaceDE w:val="0"/>
        <w:autoSpaceDN w:val="0"/>
        <w:adjustRightInd w:val="0"/>
        <w:ind w:firstLine="851"/>
        <w:jc w:val="right"/>
        <w:rPr>
          <w:color w:val="000000"/>
          <w:sz w:val="28"/>
          <w:szCs w:val="28"/>
          <w:lang w:val="lv-LV"/>
        </w:rPr>
      </w:pPr>
    </w:p>
    <w:p w14:paraId="59A586E3" w14:textId="77777777" w:rsidR="0054277A" w:rsidRPr="005C31F5" w:rsidRDefault="009864F0" w:rsidP="009864F0">
      <w:pPr>
        <w:keepLines/>
        <w:autoSpaceDE w:val="0"/>
        <w:autoSpaceDN w:val="0"/>
        <w:adjustRightInd w:val="0"/>
        <w:rPr>
          <w:color w:val="000000"/>
          <w:sz w:val="28"/>
          <w:szCs w:val="28"/>
          <w:lang w:val="lv-LV"/>
        </w:rPr>
      </w:pPr>
      <w:r w:rsidRPr="005C31F5">
        <w:rPr>
          <w:noProof/>
          <w:lang w:val="lv-LV" w:eastAsia="lv-LV"/>
        </w:rPr>
        <w:drawing>
          <wp:inline distT="0" distB="0" distL="0" distR="0" wp14:anchorId="6FDDB760" wp14:editId="27D0DE87">
            <wp:extent cx="5800725" cy="1123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00725" cy="1123950"/>
                    </a:xfrm>
                    <a:prstGeom prst="rect">
                      <a:avLst/>
                    </a:prstGeom>
                  </pic:spPr>
                </pic:pic>
              </a:graphicData>
            </a:graphic>
          </wp:inline>
        </w:drawing>
      </w:r>
    </w:p>
    <w:p w14:paraId="3E34A09C" w14:textId="77777777" w:rsidR="00172F5C" w:rsidRPr="005C31F5" w:rsidRDefault="008202D2" w:rsidP="000121DF">
      <w:pPr>
        <w:keepLines/>
        <w:autoSpaceDE w:val="0"/>
        <w:autoSpaceDN w:val="0"/>
        <w:adjustRightInd w:val="0"/>
        <w:jc w:val="both"/>
        <w:rPr>
          <w:b/>
          <w:bCs/>
          <w:iCs/>
          <w:color w:val="000000"/>
          <w:sz w:val="28"/>
          <w:szCs w:val="28"/>
          <w:lang w:val="lv-LV"/>
        </w:rPr>
      </w:pPr>
      <w:r w:rsidRPr="005C31F5">
        <w:rPr>
          <w:b/>
          <w:bCs/>
          <w:iCs/>
          <w:color w:val="000000"/>
          <w:sz w:val="28"/>
          <w:szCs w:val="28"/>
          <w:lang w:val="lv-LV"/>
        </w:rPr>
        <w:t xml:space="preserve">3.modelis </w:t>
      </w:r>
      <w:r w:rsidR="00A12D13" w:rsidRPr="005C31F5">
        <w:rPr>
          <w:b/>
          <w:bCs/>
          <w:iCs/>
          <w:color w:val="000000"/>
          <w:sz w:val="28"/>
          <w:szCs w:val="28"/>
          <w:lang w:val="lv-LV"/>
        </w:rPr>
        <w:t>- neatkarīgs pārvades operators</w:t>
      </w:r>
    </w:p>
    <w:p w14:paraId="04025AF7" w14:textId="77777777" w:rsidR="008202D2" w:rsidRPr="005C31F5" w:rsidRDefault="00A12D13" w:rsidP="000121DF">
      <w:pPr>
        <w:keepLines/>
        <w:autoSpaceDE w:val="0"/>
        <w:autoSpaceDN w:val="0"/>
        <w:adjustRightInd w:val="0"/>
        <w:jc w:val="both"/>
        <w:rPr>
          <w:b/>
          <w:bCs/>
          <w:iCs/>
          <w:color w:val="000000"/>
          <w:sz w:val="28"/>
          <w:szCs w:val="28"/>
          <w:lang w:val="lv-LV"/>
        </w:rPr>
      </w:pPr>
      <w:r w:rsidRPr="005C31F5">
        <w:rPr>
          <w:b/>
          <w:bCs/>
          <w:iCs/>
          <w:color w:val="000000"/>
          <w:sz w:val="28"/>
          <w:szCs w:val="28"/>
          <w:lang w:val="lv-LV"/>
        </w:rPr>
        <w:t xml:space="preserve"> </w:t>
      </w:r>
    </w:p>
    <w:p w14:paraId="6968647C" w14:textId="58EE490D" w:rsidR="008202D2" w:rsidRPr="005C31F5" w:rsidRDefault="00345001" w:rsidP="00AD7AA5">
      <w:pPr>
        <w:pStyle w:val="doc-ti"/>
        <w:spacing w:before="0" w:beforeAutospacing="0" w:after="0" w:afterAutospacing="0"/>
        <w:jc w:val="both"/>
        <w:rPr>
          <w:color w:val="000000"/>
          <w:sz w:val="28"/>
          <w:szCs w:val="28"/>
          <w:lang w:val="lv-LV"/>
        </w:rPr>
      </w:pPr>
      <w:r w:rsidRPr="005C31F5">
        <w:rPr>
          <w:color w:val="000000"/>
          <w:sz w:val="28"/>
          <w:szCs w:val="28"/>
          <w:lang w:val="lv-LV"/>
        </w:rPr>
        <w:tab/>
      </w:r>
      <w:r w:rsidR="008202D2" w:rsidRPr="005C31F5">
        <w:rPr>
          <w:color w:val="000000"/>
          <w:sz w:val="28"/>
          <w:szCs w:val="28"/>
          <w:lang w:val="lv-LV"/>
        </w:rPr>
        <w:t>Neatkarīga pārvades operatora modelis paredz, ka pārvades funkciju veic nodalīts pārvades sistēmas operators un pārvades sistēmas pakalpojumu sniegšanai nepieciešamie aktīvi pieder pārvades sistēmas operatoram, bet pats operators paliek iekļauts vertikāli integrētā uzņēmuma sastāvā. Lai nodrošinātu pārvades operatora neatkarības prasību maksimāli efektīvu uzraudzību, šim nosacījumam tiek veidots īpašs uzraudzības orgāns uzņēmuma sastāvā – uzraudzības padome. Tāpat regulatīvai iestādei tiek dotas īpašas pilnvaras uzraudzīt pārvades sistēmas operatora un vertikāli integrētā uzņēmuma savstarpējās attiecības, kā arī izdot saistošus lēmumus, lai nodrošinātu pārvades sistēmas operatora</w:t>
      </w:r>
      <w:r w:rsidR="00B9343F" w:rsidRPr="005C31F5">
        <w:rPr>
          <w:color w:val="000000"/>
          <w:sz w:val="28"/>
          <w:szCs w:val="28"/>
          <w:lang w:val="lv-LV"/>
        </w:rPr>
        <w:t xml:space="preserve"> neatkarības prasību ievērošanu (skat</w:t>
      </w:r>
      <w:r w:rsidR="00F176D8">
        <w:rPr>
          <w:color w:val="000000"/>
          <w:sz w:val="28"/>
          <w:szCs w:val="28"/>
          <w:lang w:val="lv-LV"/>
        </w:rPr>
        <w:t>īt</w:t>
      </w:r>
      <w:r w:rsidR="00B9343F" w:rsidRPr="005C31F5">
        <w:rPr>
          <w:color w:val="000000"/>
          <w:sz w:val="28"/>
          <w:szCs w:val="28"/>
          <w:lang w:val="lv-LV"/>
        </w:rPr>
        <w:t xml:space="preserve"> 3.attēlu).</w:t>
      </w:r>
    </w:p>
    <w:p w14:paraId="64E3D012" w14:textId="77777777" w:rsidR="00B9343F" w:rsidRPr="005C31F5" w:rsidRDefault="00B9343F" w:rsidP="00B9343F">
      <w:pPr>
        <w:pStyle w:val="doc-ti"/>
        <w:spacing w:before="0" w:beforeAutospacing="0" w:after="0" w:afterAutospacing="0"/>
        <w:ind w:firstLine="851"/>
        <w:jc w:val="right"/>
        <w:rPr>
          <w:color w:val="000000"/>
          <w:sz w:val="28"/>
          <w:szCs w:val="28"/>
          <w:lang w:val="lv-LV"/>
        </w:rPr>
      </w:pPr>
      <w:r w:rsidRPr="005C31F5">
        <w:rPr>
          <w:color w:val="000000"/>
          <w:sz w:val="28"/>
          <w:szCs w:val="28"/>
          <w:lang w:val="lv-LV"/>
        </w:rPr>
        <w:t>3.attēls</w:t>
      </w:r>
    </w:p>
    <w:p w14:paraId="12B23961" w14:textId="77777777" w:rsidR="00B9343F" w:rsidRPr="005C31F5" w:rsidRDefault="00B9343F" w:rsidP="00B9343F">
      <w:pPr>
        <w:pStyle w:val="doc-ti"/>
        <w:spacing w:before="0" w:beforeAutospacing="0" w:after="0" w:afterAutospacing="0"/>
        <w:ind w:firstLine="851"/>
        <w:jc w:val="center"/>
        <w:rPr>
          <w:i/>
          <w:color w:val="000000"/>
          <w:sz w:val="28"/>
          <w:szCs w:val="28"/>
          <w:lang w:val="lv-LV"/>
        </w:rPr>
      </w:pPr>
      <w:r w:rsidRPr="005C31F5">
        <w:rPr>
          <w:i/>
          <w:color w:val="000000"/>
          <w:sz w:val="28"/>
          <w:szCs w:val="28"/>
          <w:lang w:val="lv-LV"/>
        </w:rPr>
        <w:t>Neatkarīga pārvades operatora modelis</w:t>
      </w:r>
    </w:p>
    <w:p w14:paraId="5A4FF4DC" w14:textId="77777777" w:rsidR="00CA317D" w:rsidRPr="005C31F5" w:rsidRDefault="009864F0" w:rsidP="009864F0">
      <w:pPr>
        <w:pStyle w:val="doc-ti"/>
        <w:spacing w:before="0" w:beforeAutospacing="0" w:after="0" w:afterAutospacing="0"/>
        <w:jc w:val="center"/>
        <w:rPr>
          <w:color w:val="000000"/>
          <w:sz w:val="28"/>
          <w:szCs w:val="28"/>
          <w:lang w:val="lv-LV"/>
        </w:rPr>
      </w:pPr>
      <w:r w:rsidRPr="005C31F5">
        <w:rPr>
          <w:noProof/>
          <w:lang w:val="lv-LV" w:eastAsia="lv-LV"/>
        </w:rPr>
        <w:drawing>
          <wp:inline distT="0" distB="0" distL="0" distR="0" wp14:anchorId="12F5B63D" wp14:editId="775D09CA">
            <wp:extent cx="5410200" cy="1066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0200" cy="1066800"/>
                    </a:xfrm>
                    <a:prstGeom prst="rect">
                      <a:avLst/>
                    </a:prstGeom>
                  </pic:spPr>
                </pic:pic>
              </a:graphicData>
            </a:graphic>
          </wp:inline>
        </w:drawing>
      </w:r>
    </w:p>
    <w:p w14:paraId="487185B8" w14:textId="77777777" w:rsidR="00537459" w:rsidRPr="005C31F5" w:rsidRDefault="00B03AC8" w:rsidP="00C071F2">
      <w:pPr>
        <w:ind w:firstLine="709"/>
        <w:jc w:val="both"/>
        <w:rPr>
          <w:sz w:val="28"/>
          <w:szCs w:val="28"/>
          <w:shd w:val="clear" w:color="auto" w:fill="FFFFFF"/>
          <w:lang w:val="lv-LV"/>
        </w:rPr>
      </w:pPr>
      <w:r w:rsidRPr="005C31F5">
        <w:rPr>
          <w:sz w:val="28"/>
          <w:szCs w:val="28"/>
          <w:shd w:val="clear" w:color="auto" w:fill="FFFFFF"/>
          <w:lang w:val="lv-LV"/>
        </w:rPr>
        <w:t xml:space="preserve">Lai ieviestu </w:t>
      </w:r>
      <w:r w:rsidR="0027558A" w:rsidRPr="005C31F5">
        <w:rPr>
          <w:sz w:val="28"/>
          <w:szCs w:val="28"/>
          <w:shd w:val="clear" w:color="auto" w:fill="FFFFFF"/>
          <w:lang w:val="lv-LV"/>
        </w:rPr>
        <w:t>T</w:t>
      </w:r>
      <w:r w:rsidR="0054277A" w:rsidRPr="005C31F5">
        <w:rPr>
          <w:sz w:val="28"/>
          <w:szCs w:val="28"/>
          <w:shd w:val="clear" w:color="auto" w:fill="FFFFFF"/>
          <w:lang w:val="lv-LV"/>
        </w:rPr>
        <w:t xml:space="preserve">rešo enerģētikas </w:t>
      </w:r>
      <w:proofErr w:type="spellStart"/>
      <w:r w:rsidR="0054277A" w:rsidRPr="005C31F5">
        <w:rPr>
          <w:sz w:val="28"/>
          <w:szCs w:val="28"/>
          <w:shd w:val="clear" w:color="auto" w:fill="FFFFFF"/>
          <w:lang w:val="lv-LV"/>
        </w:rPr>
        <w:t>pakotni</w:t>
      </w:r>
      <w:proofErr w:type="spellEnd"/>
      <w:r w:rsidRPr="005C31F5">
        <w:rPr>
          <w:sz w:val="28"/>
          <w:szCs w:val="28"/>
          <w:shd w:val="clear" w:color="auto" w:fill="FFFFFF"/>
          <w:lang w:val="lv-LV"/>
        </w:rPr>
        <w:t>, ES dalībvalstis izvēlējās sev piemērotāko no trim PSO īpašumtiesību nodalīšanas modeļiem</w:t>
      </w:r>
      <w:r w:rsidR="00C071F2" w:rsidRPr="005C31F5">
        <w:rPr>
          <w:color w:val="000000"/>
          <w:sz w:val="28"/>
          <w:szCs w:val="28"/>
          <w:lang w:val="lv-LV"/>
        </w:rPr>
        <w:t xml:space="preserve">, kas </w:t>
      </w:r>
      <w:r w:rsidR="00983357" w:rsidRPr="005C31F5">
        <w:rPr>
          <w:color w:val="000000"/>
          <w:sz w:val="28"/>
          <w:szCs w:val="28"/>
          <w:lang w:val="lv-LV"/>
        </w:rPr>
        <w:t>atbilst Direktīvā</w:t>
      </w:r>
      <w:r w:rsidR="00EA116E" w:rsidRPr="005C31F5">
        <w:rPr>
          <w:color w:val="000000"/>
          <w:sz w:val="28"/>
          <w:szCs w:val="28"/>
          <w:lang w:val="lv-LV"/>
        </w:rPr>
        <w:t xml:space="preserve"> </w:t>
      </w:r>
      <w:r w:rsidR="00EA116E" w:rsidRPr="005C31F5">
        <w:rPr>
          <w:sz w:val="28"/>
          <w:szCs w:val="28"/>
          <w:lang w:val="lv-LV"/>
        </w:rPr>
        <w:t>2009/72/EK</w:t>
      </w:r>
      <w:r w:rsidR="00983357" w:rsidRPr="005C31F5">
        <w:rPr>
          <w:color w:val="000000"/>
          <w:sz w:val="28"/>
          <w:szCs w:val="28"/>
          <w:lang w:val="lv-LV"/>
        </w:rPr>
        <w:t xml:space="preserve"> iekļautajam regulējuma pamatmērķim, proti, novērst jebkādus interešu konfliktus starp pārvades operatoru un ražotājiem un tirgotājiem.</w:t>
      </w:r>
    </w:p>
    <w:p w14:paraId="4623CFF7" w14:textId="47E06562" w:rsidR="00DB5A57" w:rsidRPr="005C31F5" w:rsidRDefault="00F5381A" w:rsidP="00673C93">
      <w:pPr>
        <w:autoSpaceDE w:val="0"/>
        <w:autoSpaceDN w:val="0"/>
        <w:adjustRightInd w:val="0"/>
        <w:ind w:firstLine="567"/>
        <w:jc w:val="both"/>
        <w:rPr>
          <w:color w:val="000000"/>
          <w:sz w:val="28"/>
          <w:szCs w:val="28"/>
          <w:lang w:val="lv-LV"/>
        </w:rPr>
      </w:pPr>
      <w:r w:rsidRPr="005C31F5">
        <w:rPr>
          <w:sz w:val="28"/>
          <w:szCs w:val="28"/>
          <w:shd w:val="clear" w:color="auto" w:fill="FFFFFF"/>
          <w:lang w:val="lv-LV"/>
        </w:rPr>
        <w:t>Saskaņā ar ENTSO-E 2018.gadā veikto aptauju,</w:t>
      </w:r>
      <w:r w:rsidR="00E725BE" w:rsidRPr="005C31F5">
        <w:rPr>
          <w:sz w:val="28"/>
          <w:szCs w:val="28"/>
          <w:shd w:val="clear" w:color="auto" w:fill="FFFFFF"/>
          <w:lang w:val="lv-LV"/>
        </w:rPr>
        <w:t xml:space="preserve"> kuras rezultātus</w:t>
      </w:r>
      <w:r w:rsidR="007871C1" w:rsidRPr="005C31F5">
        <w:rPr>
          <w:sz w:val="28"/>
          <w:szCs w:val="28"/>
          <w:shd w:val="clear" w:color="auto" w:fill="FFFFFF"/>
          <w:lang w:val="lv-LV"/>
        </w:rPr>
        <w:t xml:space="preserve"> prezentēja AST, </w:t>
      </w:r>
      <w:r w:rsidRPr="005C31F5">
        <w:rPr>
          <w:sz w:val="28"/>
          <w:szCs w:val="28"/>
          <w:shd w:val="clear" w:color="auto" w:fill="FFFFFF"/>
          <w:lang w:val="lv-LV"/>
        </w:rPr>
        <w:t xml:space="preserve">pilnīgs īpašumtiesību nodalīšanas modelis ieviests 14 ES dalībvalstīs, neatkarīga pārvades operatora modelis – 6 ES dalībvalstīs, neatkarīga sistēmas operatora modelis – </w:t>
      </w:r>
      <w:r w:rsidR="009D2E82">
        <w:rPr>
          <w:sz w:val="28"/>
          <w:szCs w:val="28"/>
          <w:shd w:val="clear" w:color="auto" w:fill="FFFFFF"/>
          <w:lang w:val="lv-LV"/>
        </w:rPr>
        <w:t>vienā</w:t>
      </w:r>
      <w:r w:rsidR="000973C8" w:rsidRPr="005C31F5">
        <w:rPr>
          <w:sz w:val="28"/>
          <w:szCs w:val="28"/>
          <w:shd w:val="clear" w:color="auto" w:fill="FFFFFF"/>
          <w:lang w:val="lv-LV"/>
        </w:rPr>
        <w:t xml:space="preserve"> </w:t>
      </w:r>
      <w:r w:rsidRPr="005C31F5">
        <w:rPr>
          <w:sz w:val="28"/>
          <w:szCs w:val="28"/>
          <w:shd w:val="clear" w:color="auto" w:fill="FFFFFF"/>
          <w:lang w:val="lv-LV"/>
        </w:rPr>
        <w:t xml:space="preserve">ES </w:t>
      </w:r>
      <w:r w:rsidR="000973C8" w:rsidRPr="005C31F5">
        <w:rPr>
          <w:sz w:val="28"/>
          <w:szCs w:val="28"/>
          <w:shd w:val="clear" w:color="auto" w:fill="FFFFFF"/>
          <w:lang w:val="lv-LV"/>
        </w:rPr>
        <w:t>dalībvalst</w:t>
      </w:r>
      <w:r w:rsidR="000973C8">
        <w:rPr>
          <w:sz w:val="28"/>
          <w:szCs w:val="28"/>
          <w:shd w:val="clear" w:color="auto" w:fill="FFFFFF"/>
          <w:lang w:val="lv-LV"/>
        </w:rPr>
        <w:t>ī – Latvijā</w:t>
      </w:r>
      <w:r w:rsidRPr="005C31F5">
        <w:rPr>
          <w:sz w:val="28"/>
          <w:szCs w:val="28"/>
          <w:shd w:val="clear" w:color="auto" w:fill="FFFFFF"/>
          <w:lang w:val="lv-LV"/>
        </w:rPr>
        <w:t>. Detalizēts īpašumtiesību modeļu sadalījums</w:t>
      </w:r>
      <w:r w:rsidR="007871C1" w:rsidRPr="005C31F5">
        <w:rPr>
          <w:sz w:val="28"/>
          <w:szCs w:val="28"/>
          <w:shd w:val="clear" w:color="auto" w:fill="FFFFFF"/>
          <w:lang w:val="lv-LV"/>
        </w:rPr>
        <w:t xml:space="preserve"> ES </w:t>
      </w:r>
      <w:r w:rsidRPr="005C31F5">
        <w:rPr>
          <w:sz w:val="28"/>
          <w:szCs w:val="28"/>
          <w:shd w:val="clear" w:color="auto" w:fill="FFFFFF"/>
          <w:lang w:val="lv-LV"/>
        </w:rPr>
        <w:t>dalībvalstī</w:t>
      </w:r>
      <w:r w:rsidR="007871C1" w:rsidRPr="005C31F5">
        <w:rPr>
          <w:sz w:val="28"/>
          <w:szCs w:val="28"/>
          <w:shd w:val="clear" w:color="auto" w:fill="FFFFFF"/>
          <w:lang w:val="lv-LV"/>
        </w:rPr>
        <w:t>s</w:t>
      </w:r>
      <w:r w:rsidRPr="005C31F5">
        <w:rPr>
          <w:sz w:val="28"/>
          <w:szCs w:val="28"/>
          <w:shd w:val="clear" w:color="auto" w:fill="FFFFFF"/>
          <w:lang w:val="lv-LV"/>
        </w:rPr>
        <w:t xml:space="preserve"> norādīts 4.attēlā.</w:t>
      </w:r>
    </w:p>
    <w:p w14:paraId="0D548E5A" w14:textId="77777777" w:rsidR="009D2E82" w:rsidRPr="005C31F5" w:rsidRDefault="009D2E82" w:rsidP="00345001">
      <w:pPr>
        <w:ind w:firstLine="709"/>
        <w:jc w:val="both"/>
        <w:rPr>
          <w:sz w:val="28"/>
          <w:szCs w:val="28"/>
          <w:shd w:val="clear" w:color="auto" w:fill="FFFFFF"/>
          <w:lang w:val="lv-LV"/>
        </w:rPr>
      </w:pPr>
    </w:p>
    <w:p w14:paraId="29933992" w14:textId="00696A3E" w:rsidR="00C31C51" w:rsidRDefault="00C31C51">
      <w:pPr>
        <w:spacing w:after="160" w:line="259" w:lineRule="auto"/>
        <w:rPr>
          <w:sz w:val="28"/>
          <w:szCs w:val="28"/>
          <w:shd w:val="clear" w:color="auto" w:fill="FFFFFF"/>
          <w:lang w:val="lv-LV"/>
        </w:rPr>
      </w:pPr>
      <w:r>
        <w:rPr>
          <w:sz w:val="28"/>
          <w:szCs w:val="28"/>
          <w:shd w:val="clear" w:color="auto" w:fill="FFFFFF"/>
          <w:lang w:val="lv-LV"/>
        </w:rPr>
        <w:br w:type="page"/>
      </w:r>
    </w:p>
    <w:p w14:paraId="671D7FD9" w14:textId="77777777" w:rsidR="001D1221" w:rsidRPr="005C31F5" w:rsidRDefault="001D1221" w:rsidP="00345001">
      <w:pPr>
        <w:ind w:firstLine="709"/>
        <w:jc w:val="both"/>
        <w:rPr>
          <w:sz w:val="28"/>
          <w:szCs w:val="28"/>
          <w:shd w:val="clear" w:color="auto" w:fill="FFFFFF"/>
          <w:lang w:val="lv-LV"/>
        </w:rPr>
      </w:pPr>
    </w:p>
    <w:p w14:paraId="510A197E" w14:textId="08EA7291" w:rsidR="000001B0" w:rsidRPr="005C31F5" w:rsidRDefault="00924363" w:rsidP="00924363">
      <w:pPr>
        <w:ind w:firstLine="709"/>
        <w:jc w:val="right"/>
        <w:rPr>
          <w:sz w:val="28"/>
          <w:szCs w:val="28"/>
          <w:shd w:val="clear" w:color="auto" w:fill="FFFFFF"/>
          <w:lang w:val="lv-LV"/>
        </w:rPr>
      </w:pPr>
      <w:r w:rsidRPr="005C31F5">
        <w:rPr>
          <w:sz w:val="28"/>
          <w:szCs w:val="28"/>
          <w:shd w:val="clear" w:color="auto" w:fill="FFFFFF"/>
          <w:lang w:val="lv-LV"/>
        </w:rPr>
        <w:t>4.attēls</w:t>
      </w:r>
    </w:p>
    <w:p w14:paraId="0B80D99B" w14:textId="0B43B6D5" w:rsidR="009864F0" w:rsidRPr="005C31F5" w:rsidRDefault="009864F0" w:rsidP="009864F0">
      <w:pPr>
        <w:jc w:val="center"/>
        <w:rPr>
          <w:bCs/>
          <w:i/>
          <w:sz w:val="28"/>
          <w:szCs w:val="28"/>
          <w:shd w:val="clear" w:color="auto" w:fill="FFFFFF"/>
          <w:lang w:val="lv-LV"/>
        </w:rPr>
      </w:pPr>
      <w:r w:rsidRPr="005C31F5">
        <w:rPr>
          <w:bCs/>
          <w:i/>
          <w:sz w:val="28"/>
          <w:szCs w:val="28"/>
          <w:shd w:val="clear" w:color="auto" w:fill="FFFFFF"/>
          <w:lang w:val="lv-LV"/>
        </w:rPr>
        <w:t>Īpašumtiesību tiesību modeļu sadalījums ES elektroenerģijā</w:t>
      </w:r>
      <w:r w:rsidR="002375F5" w:rsidRPr="005C31F5">
        <w:rPr>
          <w:bCs/>
          <w:i/>
          <w:sz w:val="28"/>
          <w:szCs w:val="28"/>
          <w:shd w:val="clear" w:color="auto" w:fill="FFFFFF"/>
          <w:lang w:val="lv-LV"/>
        </w:rPr>
        <w:t xml:space="preserve"> saskaņā ar ENTSO-E 2018. gada aptaujas rezultātiem</w:t>
      </w:r>
    </w:p>
    <w:p w14:paraId="093A36C1" w14:textId="799C0A91" w:rsidR="002375F5" w:rsidRPr="005C31F5" w:rsidRDefault="002375F5" w:rsidP="009864F0">
      <w:pPr>
        <w:jc w:val="center"/>
        <w:rPr>
          <w:bCs/>
          <w:i/>
          <w:sz w:val="28"/>
          <w:szCs w:val="28"/>
          <w:shd w:val="clear" w:color="auto" w:fill="FFFFFF"/>
          <w:lang w:val="lv-LV"/>
        </w:rPr>
      </w:pPr>
    </w:p>
    <w:p w14:paraId="2ADE8AFA" w14:textId="326FA1D9" w:rsidR="002375F5" w:rsidRPr="005C31F5" w:rsidRDefault="002375F5" w:rsidP="002375F5">
      <w:pPr>
        <w:rPr>
          <w:i/>
          <w:sz w:val="28"/>
          <w:szCs w:val="28"/>
          <w:shd w:val="clear" w:color="auto" w:fill="FFFFFF"/>
          <w:lang w:val="lv-LV"/>
        </w:rPr>
      </w:pPr>
      <w:r w:rsidRPr="005C31F5">
        <w:rPr>
          <w:i/>
          <w:noProof/>
          <w:sz w:val="28"/>
          <w:szCs w:val="28"/>
          <w:shd w:val="clear" w:color="auto" w:fill="FFFFFF"/>
          <w:lang w:val="lv-LV"/>
        </w:rPr>
        <w:drawing>
          <wp:anchor distT="0" distB="0" distL="114300" distR="114300" simplePos="0" relativeHeight="251658240" behindDoc="0" locked="0" layoutInCell="1" allowOverlap="1" wp14:anchorId="784DCE82" wp14:editId="584090DB">
            <wp:simplePos x="0" y="0"/>
            <wp:positionH relativeFrom="column">
              <wp:posOffset>0</wp:posOffset>
            </wp:positionH>
            <wp:positionV relativeFrom="paragraph">
              <wp:posOffset>1270</wp:posOffset>
            </wp:positionV>
            <wp:extent cx="4589730" cy="4751626"/>
            <wp:effectExtent l="0" t="0" r="1905" b="0"/>
            <wp:wrapThrough wrapText="bothSides">
              <wp:wrapPolygon edited="0">
                <wp:start x="0" y="0"/>
                <wp:lineTo x="0" y="21479"/>
                <wp:lineTo x="21519" y="21479"/>
                <wp:lineTo x="21519" y="0"/>
                <wp:lineTo x="0" y="0"/>
              </wp:wrapPolygon>
            </wp:wrapThrough>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89730" cy="4751626"/>
                    </a:xfrm>
                    <a:prstGeom prst="rect">
                      <a:avLst/>
                    </a:prstGeom>
                  </pic:spPr>
                </pic:pic>
              </a:graphicData>
            </a:graphic>
          </wp:anchor>
        </w:drawing>
      </w:r>
    </w:p>
    <w:p w14:paraId="6928D930" w14:textId="583DF351" w:rsidR="009864F0" w:rsidRPr="005C31F5" w:rsidRDefault="002375F5" w:rsidP="00924363">
      <w:pPr>
        <w:ind w:firstLine="709"/>
        <w:jc w:val="right"/>
        <w:rPr>
          <w:sz w:val="28"/>
          <w:szCs w:val="28"/>
          <w:shd w:val="clear" w:color="auto" w:fill="FFFFFF"/>
          <w:lang w:val="lv-LV"/>
        </w:rPr>
      </w:pPr>
      <w:r w:rsidRPr="005C31F5">
        <w:rPr>
          <w:noProof/>
          <w:sz w:val="28"/>
          <w:szCs w:val="28"/>
          <w:shd w:val="clear" w:color="auto" w:fill="FFFFFF"/>
          <w:lang w:val="lv-LV"/>
        </w:rPr>
        <mc:AlternateContent>
          <mc:Choice Requires="wps">
            <w:drawing>
              <wp:anchor distT="0" distB="0" distL="114300" distR="114300" simplePos="0" relativeHeight="251664384" behindDoc="0" locked="0" layoutInCell="1" allowOverlap="1" wp14:anchorId="763FCA05" wp14:editId="0399D4BD">
                <wp:simplePos x="0" y="0"/>
                <wp:positionH relativeFrom="page">
                  <wp:posOffset>5836920</wp:posOffset>
                </wp:positionH>
                <wp:positionV relativeFrom="paragraph">
                  <wp:posOffset>4025900</wp:posOffset>
                </wp:positionV>
                <wp:extent cx="1760220" cy="487680"/>
                <wp:effectExtent l="0" t="0" r="11430" b="26670"/>
                <wp:wrapNone/>
                <wp:docPr id="13" name="Rectangle 6"/>
                <wp:cNvGraphicFramePr/>
                <a:graphic xmlns:a="http://schemas.openxmlformats.org/drawingml/2006/main">
                  <a:graphicData uri="http://schemas.microsoft.com/office/word/2010/wordprocessingShape">
                    <wps:wsp>
                      <wps:cNvSpPr/>
                      <wps:spPr>
                        <a:xfrm>
                          <a:off x="0" y="0"/>
                          <a:ext cx="1760220" cy="487680"/>
                        </a:xfrm>
                        <a:prstGeom prst="rect">
                          <a:avLst/>
                        </a:prstGeom>
                        <a:solidFill>
                          <a:srgbClr val="000066"/>
                        </a:solidFill>
                      </wps:spPr>
                      <wps:style>
                        <a:lnRef idx="1">
                          <a:schemeClr val="accent1"/>
                        </a:lnRef>
                        <a:fillRef idx="3">
                          <a:schemeClr val="accent1"/>
                        </a:fillRef>
                        <a:effectRef idx="2">
                          <a:schemeClr val="accent1"/>
                        </a:effectRef>
                        <a:fontRef idx="minor">
                          <a:schemeClr val="lt1"/>
                        </a:fontRef>
                      </wps:style>
                      <wps:txbx>
                        <w:txbxContent>
                          <w:p w14:paraId="6C1681BB" w14:textId="5C7FFF83" w:rsidR="00B92F45" w:rsidRPr="00F5381A" w:rsidRDefault="00B92F45" w:rsidP="002375F5">
                            <w:pPr>
                              <w:pStyle w:val="NormalWeb"/>
                              <w:spacing w:before="0" w:beforeAutospacing="0" w:after="0" w:afterAutospacing="0"/>
                              <w:jc w:val="center"/>
                            </w:pPr>
                            <w:r w:rsidRPr="00930836">
                              <w:rPr>
                                <w:color w:val="FFFFFF" w:themeColor="light1"/>
                                <w:kern w:val="24"/>
                                <w:sz w:val="16"/>
                                <w:szCs w:val="16"/>
                              </w:rPr>
                              <w:t>PSO</w:t>
                            </w:r>
                            <w:r w:rsidRPr="00930836">
                              <w:rPr>
                                <w:color w:val="FFFFFF" w:themeColor="light1"/>
                                <w:kern w:val="24"/>
                                <w:sz w:val="16"/>
                                <w:szCs w:val="16"/>
                                <w:lang w:val="lv-LV"/>
                              </w:rPr>
                              <w:t>, kas nepiedalījās aptaujā (7)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63FCA05" id="Rectangle 6" o:spid="_x0000_s1026" style="position:absolute;left:0;text-align:left;margin-left:459.6pt;margin-top:317pt;width:138.6pt;height:38.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" fillcolor="#006" strokecolor="#5b9bd5 [3204]" strokeweight=".5pt">
                <v:textbox>
                  <w:txbxContent>
                    <w:p w14:paraId="6C1681BB" w14:textId="5C7FFF83" w:rsidR="00B92F45" w:rsidRPr="00F5381A" w:rsidRDefault="00B92F45" w:rsidP="002375F5">
                      <w:pPr>
                        <w:pStyle w:val="NormalWeb"/>
                        <w:spacing w:before="0" w:beforeAutospacing="0" w:after="0" w:afterAutospacing="0"/>
                        <w:jc w:val="center"/>
                      </w:pPr>
                      <w:r w:rsidRPr="00930836">
                        <w:rPr>
                          <w:color w:val="FFFFFF" w:themeColor="light1"/>
                          <w:kern w:val="24"/>
                          <w:sz w:val="16"/>
                          <w:szCs w:val="16"/>
                        </w:rPr>
                        <w:t>PSO</w:t>
                      </w:r>
                      <w:r w:rsidRPr="00930836">
                        <w:rPr>
                          <w:color w:val="FFFFFF" w:themeColor="light1"/>
                          <w:kern w:val="24"/>
                          <w:sz w:val="16"/>
                          <w:szCs w:val="16"/>
                          <w:lang w:val="lv-LV"/>
                        </w:rPr>
                        <w:t>, kas nepiedalījās aptaujā (7)</w:t>
                      </w:r>
                    </w:p>
                  </w:txbxContent>
                </v:textbox>
                <w10:wrap anchorx="page"/>
              </v:rect>
            </w:pict>
          </mc:Fallback>
        </mc:AlternateContent>
      </w:r>
      <w:r w:rsidRPr="005C31F5">
        <w:rPr>
          <w:noProof/>
          <w:sz w:val="28"/>
          <w:szCs w:val="28"/>
          <w:shd w:val="clear" w:color="auto" w:fill="FFFFFF"/>
          <w:lang w:val="lv-LV"/>
        </w:rPr>
        <mc:AlternateContent>
          <mc:Choice Requires="wps">
            <w:drawing>
              <wp:anchor distT="0" distB="0" distL="114300" distR="114300" simplePos="0" relativeHeight="251665408" behindDoc="0" locked="0" layoutInCell="1" allowOverlap="1" wp14:anchorId="1FD24AD8" wp14:editId="6C5DC518">
                <wp:simplePos x="0" y="0"/>
                <wp:positionH relativeFrom="page">
                  <wp:posOffset>5814060</wp:posOffset>
                </wp:positionH>
                <wp:positionV relativeFrom="paragraph">
                  <wp:posOffset>3469640</wp:posOffset>
                </wp:positionV>
                <wp:extent cx="1767840" cy="457200"/>
                <wp:effectExtent l="0" t="0" r="22860" b="19050"/>
                <wp:wrapNone/>
                <wp:docPr id="14" name="Rectangle 6"/>
                <wp:cNvGraphicFramePr/>
                <a:graphic xmlns:a="http://schemas.openxmlformats.org/drawingml/2006/main">
                  <a:graphicData uri="http://schemas.microsoft.com/office/word/2010/wordprocessingShape">
                    <wps:wsp>
                      <wps:cNvSpPr/>
                      <wps:spPr>
                        <a:xfrm>
                          <a:off x="0" y="0"/>
                          <a:ext cx="1767840" cy="457200"/>
                        </a:xfrm>
                        <a:prstGeom prst="rect">
                          <a:avLst/>
                        </a:prstGeom>
                        <a:solidFill>
                          <a:srgbClr val="DDDDFF"/>
                        </a:solidFill>
                      </wps:spPr>
                      <wps:style>
                        <a:lnRef idx="1">
                          <a:schemeClr val="accent1"/>
                        </a:lnRef>
                        <a:fillRef idx="3">
                          <a:schemeClr val="accent1"/>
                        </a:fillRef>
                        <a:effectRef idx="2">
                          <a:schemeClr val="accent1"/>
                        </a:effectRef>
                        <a:fontRef idx="minor">
                          <a:schemeClr val="lt1"/>
                        </a:fontRef>
                      </wps:style>
                      <wps:txbx>
                        <w:txbxContent>
                          <w:p w14:paraId="486F76C7" w14:textId="2AC1E4F4" w:rsidR="00B92F45" w:rsidRPr="00930836" w:rsidRDefault="00B92F45" w:rsidP="002375F5">
                            <w:pPr>
                              <w:pStyle w:val="NormalWeb"/>
                              <w:spacing w:before="0" w:beforeAutospacing="0" w:after="0" w:afterAutospacing="0"/>
                              <w:jc w:val="center"/>
                              <w:rPr>
                                <w:lang w:val="lv-LV"/>
                              </w:rPr>
                            </w:pPr>
                            <w:r w:rsidRPr="00930836">
                              <w:rPr>
                                <w:color w:val="000000" w:themeColor="text1" w:themeShade="BF"/>
                                <w:kern w:val="24"/>
                                <w:sz w:val="20"/>
                                <w:szCs w:val="20"/>
                                <w:lang w:val="lv-LV"/>
                              </w:rPr>
                              <w:t>Nav informācijas attiecībā uz sertifikāciju (2)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FD24AD8" id="_x0000_s1027" style="position:absolute;left:0;text-align:left;margin-left:457.8pt;margin-top:273.2pt;width:139.2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" fillcolor="#ddf" strokecolor="#5b9bd5 [3204]" strokeweight=".5pt">
                <v:textbox>
                  <w:txbxContent>
                    <w:p w14:paraId="486F76C7" w14:textId="2AC1E4F4" w:rsidR="00B92F45" w:rsidRPr="00930836" w:rsidRDefault="00B92F45" w:rsidP="002375F5">
                      <w:pPr>
                        <w:pStyle w:val="NormalWeb"/>
                        <w:spacing w:before="0" w:beforeAutospacing="0" w:after="0" w:afterAutospacing="0"/>
                        <w:jc w:val="center"/>
                        <w:rPr>
                          <w:lang w:val="lv-LV"/>
                        </w:rPr>
                      </w:pPr>
                      <w:r w:rsidRPr="00930836">
                        <w:rPr>
                          <w:color w:val="000000" w:themeColor="text1" w:themeShade="BF"/>
                          <w:kern w:val="24"/>
                          <w:sz w:val="20"/>
                          <w:szCs w:val="20"/>
                          <w:lang w:val="lv-LV"/>
                        </w:rPr>
                        <w:t>Nav informācijas attiecībā uz sertifikāciju (2)</w:t>
                      </w:r>
                    </w:p>
                  </w:txbxContent>
                </v:textbox>
                <w10:wrap anchorx="page"/>
              </v:rect>
            </w:pict>
          </mc:Fallback>
        </mc:AlternateContent>
      </w:r>
      <w:r w:rsidRPr="005C31F5">
        <w:rPr>
          <w:noProof/>
          <w:sz w:val="28"/>
          <w:szCs w:val="28"/>
          <w:shd w:val="clear" w:color="auto" w:fill="FFFFFF"/>
          <w:lang w:val="lv-LV"/>
        </w:rPr>
        <mc:AlternateContent>
          <mc:Choice Requires="wps">
            <w:drawing>
              <wp:anchor distT="0" distB="0" distL="114300" distR="114300" simplePos="0" relativeHeight="251663360" behindDoc="0" locked="0" layoutInCell="1" allowOverlap="1" wp14:anchorId="2D2358DC" wp14:editId="1ED6ED05">
                <wp:simplePos x="0" y="0"/>
                <wp:positionH relativeFrom="column">
                  <wp:posOffset>4686300</wp:posOffset>
                </wp:positionH>
                <wp:positionV relativeFrom="paragraph">
                  <wp:posOffset>1572260</wp:posOffset>
                </wp:positionV>
                <wp:extent cx="1767840" cy="1821180"/>
                <wp:effectExtent l="0" t="0" r="22860" b="26670"/>
                <wp:wrapNone/>
                <wp:docPr id="9" name="Rectangle 6"/>
                <wp:cNvGraphicFramePr/>
                <a:graphic xmlns:a="http://schemas.openxmlformats.org/drawingml/2006/main">
                  <a:graphicData uri="http://schemas.microsoft.com/office/word/2010/wordprocessingShape">
                    <wps:wsp>
                      <wps:cNvSpPr/>
                      <wps:spPr>
                        <a:xfrm>
                          <a:off x="0" y="0"/>
                          <a:ext cx="1767840" cy="1821180"/>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2C2163E1" w14:textId="77777777" w:rsidR="00B92F45" w:rsidRPr="00930836" w:rsidRDefault="00B92F45" w:rsidP="002375F5">
                            <w:pPr>
                              <w:pStyle w:val="NormalWeb"/>
                              <w:spacing w:before="0" w:beforeAutospacing="0" w:after="0" w:afterAutospacing="0"/>
                              <w:rPr>
                                <w:lang w:val="lv-LV"/>
                              </w:rPr>
                            </w:pPr>
                            <w:r w:rsidRPr="00930836">
                              <w:rPr>
                                <w:color w:val="FFFFFF" w:themeColor="light1"/>
                                <w:kern w:val="24"/>
                                <w:sz w:val="20"/>
                                <w:szCs w:val="20"/>
                                <w:lang w:val="lv-LV"/>
                              </w:rPr>
                              <w:t>(5)</w:t>
                            </w:r>
                          </w:p>
                          <w:p w14:paraId="18018668" w14:textId="101455F5" w:rsidR="00B92F45" w:rsidRPr="00930836" w:rsidRDefault="00B92F45" w:rsidP="002375F5">
                            <w:pPr>
                              <w:pStyle w:val="NormalWeb"/>
                              <w:spacing w:before="0" w:beforeAutospacing="0" w:after="0" w:afterAutospacing="0"/>
                              <w:rPr>
                                <w:lang w:val="lv-LV"/>
                              </w:rPr>
                            </w:pPr>
                            <w:r w:rsidRPr="00930836">
                              <w:rPr>
                                <w:color w:val="FFFFFF" w:themeColor="light1"/>
                                <w:kern w:val="24"/>
                                <w:sz w:val="20"/>
                                <w:szCs w:val="20"/>
                                <w:lang w:val="lv-LV"/>
                              </w:rPr>
                              <w:t xml:space="preserve">Vācija (DE): 50Hertz </w:t>
                            </w:r>
                            <w:r>
                              <w:rPr>
                                <w:color w:val="FFFFFF" w:themeColor="light1"/>
                                <w:kern w:val="24"/>
                                <w:sz w:val="20"/>
                                <w:szCs w:val="20"/>
                                <w:lang w:val="lv-LV"/>
                              </w:rPr>
                              <w:t xml:space="preserve">un </w:t>
                            </w:r>
                            <w:r w:rsidRPr="00930836">
                              <w:rPr>
                                <w:color w:val="FFFFFF" w:themeColor="light1"/>
                                <w:kern w:val="24"/>
                                <w:sz w:val="20"/>
                                <w:szCs w:val="20"/>
                                <w:lang w:val="lv-LV"/>
                              </w:rPr>
                              <w:t xml:space="preserve">TenneT: OU; Amprion </w:t>
                            </w:r>
                            <w:r>
                              <w:rPr>
                                <w:color w:val="FFFFFF" w:themeColor="light1"/>
                                <w:kern w:val="24"/>
                                <w:sz w:val="20"/>
                                <w:szCs w:val="20"/>
                                <w:lang w:val="lv-LV"/>
                              </w:rPr>
                              <w:t>un</w:t>
                            </w:r>
                            <w:r w:rsidRPr="00930836">
                              <w:rPr>
                                <w:color w:val="FFFFFF" w:themeColor="light1"/>
                                <w:kern w:val="24"/>
                                <w:sz w:val="20"/>
                                <w:szCs w:val="20"/>
                                <w:lang w:val="lv-LV"/>
                              </w:rPr>
                              <w:t xml:space="preserve"> TransnetBW: ITO</w:t>
                            </w:r>
                          </w:p>
                          <w:p w14:paraId="0D8E0B31" w14:textId="1C51FB7F" w:rsidR="00B92F45" w:rsidRPr="00930836" w:rsidRDefault="00B92F45" w:rsidP="002375F5">
                            <w:pPr>
                              <w:pStyle w:val="NormalWeb"/>
                              <w:spacing w:before="0" w:beforeAutospacing="0" w:after="0" w:afterAutospacing="0"/>
                              <w:rPr>
                                <w:lang w:val="lv-LV"/>
                              </w:rPr>
                            </w:pPr>
                            <w:r w:rsidRPr="00930836">
                              <w:rPr>
                                <w:color w:val="FFFFFF" w:themeColor="light1"/>
                                <w:kern w:val="24"/>
                                <w:sz w:val="20"/>
                                <w:szCs w:val="20"/>
                                <w:lang w:val="lv-LV"/>
                              </w:rPr>
                              <w:t>Norvēģija (NO): OU sertifikācija vēl norit</w:t>
                            </w:r>
                          </w:p>
                          <w:p w14:paraId="1D500E40" w14:textId="2078A5B7" w:rsidR="00B92F45" w:rsidRPr="00930836" w:rsidRDefault="00B92F45" w:rsidP="002375F5">
                            <w:pPr>
                              <w:pStyle w:val="NormalWeb"/>
                              <w:spacing w:before="0" w:beforeAutospacing="0" w:after="0" w:afterAutospacing="0"/>
                              <w:rPr>
                                <w:lang w:val="lv-LV"/>
                              </w:rPr>
                            </w:pPr>
                            <w:r w:rsidRPr="00930836">
                              <w:rPr>
                                <w:color w:val="FFFFFF" w:themeColor="light1"/>
                                <w:kern w:val="24"/>
                                <w:sz w:val="20"/>
                                <w:szCs w:val="20"/>
                                <w:lang w:val="lv-LV"/>
                              </w:rPr>
                              <w:t xml:space="preserve">Kipra (CY) </w:t>
                            </w:r>
                            <w:r>
                              <w:rPr>
                                <w:color w:val="FFFFFF" w:themeColor="light1"/>
                                <w:kern w:val="24"/>
                                <w:sz w:val="20"/>
                                <w:szCs w:val="20"/>
                                <w:lang w:val="lv-LV"/>
                              </w:rPr>
                              <w:t>un</w:t>
                            </w:r>
                            <w:r w:rsidRPr="00930836">
                              <w:rPr>
                                <w:color w:val="FFFFFF" w:themeColor="light1"/>
                                <w:kern w:val="24"/>
                                <w:sz w:val="20"/>
                                <w:szCs w:val="20"/>
                                <w:lang w:val="lv-LV"/>
                              </w:rPr>
                              <w:t xml:space="preserve"> Šveice (CH): nav attiecināms</w:t>
                            </w:r>
                          </w:p>
                          <w:p w14:paraId="233F709D" w14:textId="66B79447" w:rsidR="00B92F45" w:rsidRPr="00930836" w:rsidRDefault="00B92F45" w:rsidP="002375F5">
                            <w:pPr>
                              <w:pStyle w:val="NormalWeb"/>
                              <w:spacing w:before="0" w:beforeAutospacing="0" w:after="0" w:afterAutospacing="0"/>
                              <w:rPr>
                                <w:lang w:val="lv-LV"/>
                              </w:rPr>
                            </w:pPr>
                            <w:r w:rsidRPr="00930836">
                              <w:rPr>
                                <w:color w:val="FFFFFF" w:themeColor="light1"/>
                                <w:kern w:val="24"/>
                                <w:sz w:val="20"/>
                                <w:szCs w:val="20"/>
                                <w:lang w:val="lv-LV"/>
                              </w:rPr>
                              <w:t>Zviedrija (SE): PSO sertificēts tikai saskaņā ar Zviedrijas normatīvo aktu prasībām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2358DC" id="_x0000_s1028" style="position:absolute;left:0;text-align:left;margin-left:369pt;margin-top:123.8pt;width:139.2pt;height:14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" fillcolor="#bfbfbf [2412]" strokecolor="#5b9bd5 [3204]" strokeweight=".5pt">
                <v:textbox>
                  <w:txbxContent>
                    <w:p w14:paraId="2C2163E1" w14:textId="77777777" w:rsidR="00B92F45" w:rsidRPr="00930836" w:rsidRDefault="00B92F45" w:rsidP="002375F5">
                      <w:pPr>
                        <w:pStyle w:val="NormalWeb"/>
                        <w:spacing w:before="0" w:beforeAutospacing="0" w:after="0" w:afterAutospacing="0"/>
                        <w:rPr>
                          <w:lang w:val="lv-LV"/>
                        </w:rPr>
                      </w:pPr>
                      <w:r w:rsidRPr="00930836">
                        <w:rPr>
                          <w:color w:val="FFFFFF" w:themeColor="light1"/>
                          <w:kern w:val="24"/>
                          <w:sz w:val="20"/>
                          <w:szCs w:val="20"/>
                          <w:lang w:val="lv-LV"/>
                        </w:rPr>
                        <w:t>(5)</w:t>
                      </w:r>
                    </w:p>
                    <w:p w14:paraId="18018668" w14:textId="101455F5" w:rsidR="00B92F45" w:rsidRPr="00930836" w:rsidRDefault="00B92F45" w:rsidP="002375F5">
                      <w:pPr>
                        <w:pStyle w:val="NormalWeb"/>
                        <w:spacing w:before="0" w:beforeAutospacing="0" w:after="0" w:afterAutospacing="0"/>
                        <w:rPr>
                          <w:lang w:val="lv-LV"/>
                        </w:rPr>
                      </w:pPr>
                      <w:r w:rsidRPr="00930836">
                        <w:rPr>
                          <w:color w:val="FFFFFF" w:themeColor="light1"/>
                          <w:kern w:val="24"/>
                          <w:sz w:val="20"/>
                          <w:szCs w:val="20"/>
                          <w:lang w:val="lv-LV"/>
                        </w:rPr>
                        <w:t xml:space="preserve">Vācija (DE): 50Hertz </w:t>
                      </w:r>
                      <w:r>
                        <w:rPr>
                          <w:color w:val="FFFFFF" w:themeColor="light1"/>
                          <w:kern w:val="24"/>
                          <w:sz w:val="20"/>
                          <w:szCs w:val="20"/>
                          <w:lang w:val="lv-LV"/>
                        </w:rPr>
                        <w:t xml:space="preserve">un </w:t>
                      </w:r>
                      <w:proofErr w:type="spellStart"/>
                      <w:r w:rsidRPr="00930836">
                        <w:rPr>
                          <w:color w:val="FFFFFF" w:themeColor="light1"/>
                          <w:kern w:val="24"/>
                          <w:sz w:val="20"/>
                          <w:szCs w:val="20"/>
                          <w:lang w:val="lv-LV"/>
                        </w:rPr>
                        <w:t>TenneT</w:t>
                      </w:r>
                      <w:proofErr w:type="spellEnd"/>
                      <w:r w:rsidRPr="00930836">
                        <w:rPr>
                          <w:color w:val="FFFFFF" w:themeColor="light1"/>
                          <w:kern w:val="24"/>
                          <w:sz w:val="20"/>
                          <w:szCs w:val="20"/>
                          <w:lang w:val="lv-LV"/>
                        </w:rPr>
                        <w:t xml:space="preserve">: OU; </w:t>
                      </w:r>
                      <w:proofErr w:type="spellStart"/>
                      <w:r w:rsidRPr="00930836">
                        <w:rPr>
                          <w:color w:val="FFFFFF" w:themeColor="light1"/>
                          <w:kern w:val="24"/>
                          <w:sz w:val="20"/>
                          <w:szCs w:val="20"/>
                          <w:lang w:val="lv-LV"/>
                        </w:rPr>
                        <w:t>Amprion</w:t>
                      </w:r>
                      <w:proofErr w:type="spellEnd"/>
                      <w:r w:rsidRPr="00930836">
                        <w:rPr>
                          <w:color w:val="FFFFFF" w:themeColor="light1"/>
                          <w:kern w:val="24"/>
                          <w:sz w:val="20"/>
                          <w:szCs w:val="20"/>
                          <w:lang w:val="lv-LV"/>
                        </w:rPr>
                        <w:t xml:space="preserve"> </w:t>
                      </w:r>
                      <w:r>
                        <w:rPr>
                          <w:color w:val="FFFFFF" w:themeColor="light1"/>
                          <w:kern w:val="24"/>
                          <w:sz w:val="20"/>
                          <w:szCs w:val="20"/>
                          <w:lang w:val="lv-LV"/>
                        </w:rPr>
                        <w:t>un</w:t>
                      </w:r>
                      <w:r w:rsidRPr="00930836">
                        <w:rPr>
                          <w:color w:val="FFFFFF" w:themeColor="light1"/>
                          <w:kern w:val="24"/>
                          <w:sz w:val="20"/>
                          <w:szCs w:val="20"/>
                          <w:lang w:val="lv-LV"/>
                        </w:rPr>
                        <w:t xml:space="preserve"> </w:t>
                      </w:r>
                      <w:proofErr w:type="spellStart"/>
                      <w:r w:rsidRPr="00930836">
                        <w:rPr>
                          <w:color w:val="FFFFFF" w:themeColor="light1"/>
                          <w:kern w:val="24"/>
                          <w:sz w:val="20"/>
                          <w:szCs w:val="20"/>
                          <w:lang w:val="lv-LV"/>
                        </w:rPr>
                        <w:t>TransnetBW</w:t>
                      </w:r>
                      <w:proofErr w:type="spellEnd"/>
                      <w:r w:rsidRPr="00930836">
                        <w:rPr>
                          <w:color w:val="FFFFFF" w:themeColor="light1"/>
                          <w:kern w:val="24"/>
                          <w:sz w:val="20"/>
                          <w:szCs w:val="20"/>
                          <w:lang w:val="lv-LV"/>
                        </w:rPr>
                        <w:t>: ITO</w:t>
                      </w:r>
                    </w:p>
                    <w:p w14:paraId="0D8E0B31" w14:textId="1C51FB7F" w:rsidR="00B92F45" w:rsidRPr="00930836" w:rsidRDefault="00B92F45" w:rsidP="002375F5">
                      <w:pPr>
                        <w:pStyle w:val="NormalWeb"/>
                        <w:spacing w:before="0" w:beforeAutospacing="0" w:after="0" w:afterAutospacing="0"/>
                        <w:rPr>
                          <w:lang w:val="lv-LV"/>
                        </w:rPr>
                      </w:pPr>
                      <w:r w:rsidRPr="00930836">
                        <w:rPr>
                          <w:color w:val="FFFFFF" w:themeColor="light1"/>
                          <w:kern w:val="24"/>
                          <w:sz w:val="20"/>
                          <w:szCs w:val="20"/>
                          <w:lang w:val="lv-LV"/>
                        </w:rPr>
                        <w:t>Norvēģija (NO): OU sertifikācija vēl norit</w:t>
                      </w:r>
                    </w:p>
                    <w:p w14:paraId="1D500E40" w14:textId="2078A5B7" w:rsidR="00B92F45" w:rsidRPr="00930836" w:rsidRDefault="00B92F45" w:rsidP="002375F5">
                      <w:pPr>
                        <w:pStyle w:val="NormalWeb"/>
                        <w:spacing w:before="0" w:beforeAutospacing="0" w:after="0" w:afterAutospacing="0"/>
                        <w:rPr>
                          <w:lang w:val="lv-LV"/>
                        </w:rPr>
                      </w:pPr>
                      <w:r w:rsidRPr="00930836">
                        <w:rPr>
                          <w:color w:val="FFFFFF" w:themeColor="light1"/>
                          <w:kern w:val="24"/>
                          <w:sz w:val="20"/>
                          <w:szCs w:val="20"/>
                          <w:lang w:val="lv-LV"/>
                        </w:rPr>
                        <w:t xml:space="preserve">Kipra (CY) </w:t>
                      </w:r>
                      <w:r>
                        <w:rPr>
                          <w:color w:val="FFFFFF" w:themeColor="light1"/>
                          <w:kern w:val="24"/>
                          <w:sz w:val="20"/>
                          <w:szCs w:val="20"/>
                          <w:lang w:val="lv-LV"/>
                        </w:rPr>
                        <w:t>un</w:t>
                      </w:r>
                      <w:r w:rsidRPr="00930836">
                        <w:rPr>
                          <w:color w:val="FFFFFF" w:themeColor="light1"/>
                          <w:kern w:val="24"/>
                          <w:sz w:val="20"/>
                          <w:szCs w:val="20"/>
                          <w:lang w:val="lv-LV"/>
                        </w:rPr>
                        <w:t xml:space="preserve"> Šveice (CH): nav attiecināms</w:t>
                      </w:r>
                    </w:p>
                    <w:p w14:paraId="233F709D" w14:textId="66B79447" w:rsidR="00B92F45" w:rsidRPr="00930836" w:rsidRDefault="00B92F45" w:rsidP="002375F5">
                      <w:pPr>
                        <w:pStyle w:val="NormalWeb"/>
                        <w:spacing w:before="0" w:beforeAutospacing="0" w:after="0" w:afterAutospacing="0"/>
                        <w:rPr>
                          <w:lang w:val="lv-LV"/>
                        </w:rPr>
                      </w:pPr>
                      <w:r w:rsidRPr="00930836">
                        <w:rPr>
                          <w:color w:val="FFFFFF" w:themeColor="light1"/>
                          <w:kern w:val="24"/>
                          <w:sz w:val="20"/>
                          <w:szCs w:val="20"/>
                          <w:lang w:val="lv-LV"/>
                        </w:rPr>
                        <w:t>Zviedrija (SE): PSO sertificēts tikai saskaņā ar Zviedrijas normatīvo aktu prasībām</w:t>
                      </w:r>
                    </w:p>
                  </w:txbxContent>
                </v:textbox>
              </v:rect>
            </w:pict>
          </mc:Fallback>
        </mc:AlternateContent>
      </w:r>
      <w:r w:rsidRPr="005C31F5">
        <w:rPr>
          <w:noProof/>
          <w:sz w:val="28"/>
          <w:szCs w:val="28"/>
          <w:shd w:val="clear" w:color="auto" w:fill="FFFFFF"/>
          <w:lang w:val="lv-LV"/>
        </w:rPr>
        <mc:AlternateContent>
          <mc:Choice Requires="wps">
            <w:drawing>
              <wp:anchor distT="0" distB="0" distL="114300" distR="114300" simplePos="0" relativeHeight="251662336" behindDoc="0" locked="0" layoutInCell="1" allowOverlap="1" wp14:anchorId="40711904" wp14:editId="22D6BEEB">
                <wp:simplePos x="0" y="0"/>
                <wp:positionH relativeFrom="column">
                  <wp:posOffset>4671060</wp:posOffset>
                </wp:positionH>
                <wp:positionV relativeFrom="paragraph">
                  <wp:posOffset>1107440</wp:posOffset>
                </wp:positionV>
                <wp:extent cx="1783080" cy="403860"/>
                <wp:effectExtent l="0" t="0" r="26670" b="15240"/>
                <wp:wrapNone/>
                <wp:docPr id="8" name="Rectangle 19"/>
                <wp:cNvGraphicFramePr/>
                <a:graphic xmlns:a="http://schemas.openxmlformats.org/drawingml/2006/main">
                  <a:graphicData uri="http://schemas.microsoft.com/office/word/2010/wordprocessingShape">
                    <wps:wsp>
                      <wps:cNvSpPr/>
                      <wps:spPr>
                        <a:xfrm>
                          <a:off x="0" y="0"/>
                          <a:ext cx="1783080" cy="403860"/>
                        </a:xfrm>
                        <a:prstGeom prst="rect">
                          <a:avLst/>
                        </a:prstGeom>
                        <a:solidFill>
                          <a:srgbClr val="FF9966"/>
                        </a:solidFill>
                      </wps:spPr>
                      <wps:style>
                        <a:lnRef idx="1">
                          <a:schemeClr val="accent1"/>
                        </a:lnRef>
                        <a:fillRef idx="3">
                          <a:schemeClr val="accent1"/>
                        </a:fillRef>
                        <a:effectRef idx="2">
                          <a:schemeClr val="accent1"/>
                        </a:effectRef>
                        <a:fontRef idx="minor">
                          <a:schemeClr val="lt1"/>
                        </a:fontRef>
                      </wps:style>
                      <wps:txbx>
                        <w:txbxContent>
                          <w:p w14:paraId="3EA02BAB" w14:textId="7CF60D0A" w:rsidR="00B92F45" w:rsidRPr="00930836" w:rsidRDefault="00B92F45" w:rsidP="002375F5">
                            <w:pPr>
                              <w:pStyle w:val="NormalWeb"/>
                              <w:spacing w:before="0" w:beforeAutospacing="0" w:after="0" w:afterAutospacing="0"/>
                              <w:jc w:val="center"/>
                              <w:rPr>
                                <w:lang w:val="lv-LV"/>
                              </w:rPr>
                            </w:pPr>
                            <w:r w:rsidRPr="00930836">
                              <w:rPr>
                                <w:color w:val="FFFFFF" w:themeColor="light1"/>
                                <w:kern w:val="24"/>
                                <w:sz w:val="20"/>
                                <w:szCs w:val="20"/>
                                <w:lang w:val="lv-LV"/>
                              </w:rPr>
                              <w:t>Neatkarīgs sistēmas operators (ISO)  (1)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711904" id="Rectangle 19" o:spid="_x0000_s1029" style="position:absolute;left:0;text-align:left;margin-left:367.8pt;margin-top:87.2pt;width:140.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" fillcolor="#f96" strokecolor="#5b9bd5 [3204]" strokeweight=".5pt">
                <v:textbox>
                  <w:txbxContent>
                    <w:p w14:paraId="3EA02BAB" w14:textId="7CF60D0A" w:rsidR="00B92F45" w:rsidRPr="00930836" w:rsidRDefault="00B92F45" w:rsidP="002375F5">
                      <w:pPr>
                        <w:pStyle w:val="NormalWeb"/>
                        <w:spacing w:before="0" w:beforeAutospacing="0" w:after="0" w:afterAutospacing="0"/>
                        <w:jc w:val="center"/>
                        <w:rPr>
                          <w:lang w:val="lv-LV"/>
                        </w:rPr>
                      </w:pPr>
                      <w:r w:rsidRPr="00930836">
                        <w:rPr>
                          <w:color w:val="FFFFFF" w:themeColor="light1"/>
                          <w:kern w:val="24"/>
                          <w:sz w:val="20"/>
                          <w:szCs w:val="20"/>
                          <w:lang w:val="lv-LV"/>
                        </w:rPr>
                        <w:t>Neatkarīgs sistēmas operators (ISO)  (1)</w:t>
                      </w:r>
                    </w:p>
                  </w:txbxContent>
                </v:textbox>
              </v:rect>
            </w:pict>
          </mc:Fallback>
        </mc:AlternateContent>
      </w:r>
      <w:r w:rsidRPr="005C31F5">
        <w:rPr>
          <w:noProof/>
          <w:sz w:val="28"/>
          <w:szCs w:val="28"/>
          <w:shd w:val="clear" w:color="auto" w:fill="FFFFFF"/>
          <w:lang w:val="lv-LV"/>
        </w:rPr>
        <mc:AlternateContent>
          <mc:Choice Requires="wps">
            <w:drawing>
              <wp:anchor distT="0" distB="0" distL="114300" distR="114300" simplePos="0" relativeHeight="251661312" behindDoc="0" locked="0" layoutInCell="1" allowOverlap="1" wp14:anchorId="4348C9AD" wp14:editId="30C9A469">
                <wp:simplePos x="0" y="0"/>
                <wp:positionH relativeFrom="column">
                  <wp:posOffset>4678680</wp:posOffset>
                </wp:positionH>
                <wp:positionV relativeFrom="paragraph">
                  <wp:posOffset>535940</wp:posOffset>
                </wp:positionV>
                <wp:extent cx="1760220" cy="4953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1760220" cy="495300"/>
                        </a:xfrm>
                        <a:prstGeom prst="rect">
                          <a:avLst/>
                        </a:prstGeom>
                        <a:solidFill>
                          <a:srgbClr val="92D050"/>
                        </a:solidFill>
                      </wps:spPr>
                      <wps:style>
                        <a:lnRef idx="1">
                          <a:schemeClr val="accent1"/>
                        </a:lnRef>
                        <a:fillRef idx="3">
                          <a:schemeClr val="accent1"/>
                        </a:fillRef>
                        <a:effectRef idx="2">
                          <a:schemeClr val="accent1"/>
                        </a:effectRef>
                        <a:fontRef idx="minor">
                          <a:schemeClr val="lt1"/>
                        </a:fontRef>
                      </wps:style>
                      <wps:txbx>
                        <w:txbxContent>
                          <w:p w14:paraId="31CD9E8B" w14:textId="480BF912" w:rsidR="00B92F45" w:rsidRPr="00930836" w:rsidRDefault="00B92F45" w:rsidP="002375F5">
                            <w:pPr>
                              <w:pStyle w:val="NormalWeb"/>
                              <w:spacing w:before="0" w:beforeAutospacing="0" w:after="0" w:afterAutospacing="0"/>
                              <w:jc w:val="center"/>
                              <w:rPr>
                                <w:lang w:val="lv-LV"/>
                              </w:rPr>
                            </w:pPr>
                            <w:r w:rsidRPr="00930836">
                              <w:rPr>
                                <w:color w:val="FFFFFF" w:themeColor="light1"/>
                                <w:kern w:val="24"/>
                                <w:sz w:val="20"/>
                                <w:szCs w:val="20"/>
                                <w:lang w:val="lv-LV"/>
                              </w:rPr>
                              <w:t>Neatkarīgs pārvades operators (ITO)  (6)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48C9AD" id="Rectangle 2" o:spid="_x0000_s1030" style="position:absolute;left:0;text-align:left;margin-left:368.4pt;margin-top:42.2pt;width:138.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" fillcolor="#92d050" strokecolor="#5b9bd5 [3204]" strokeweight=".5pt">
                <v:textbox>
                  <w:txbxContent>
                    <w:p w14:paraId="31CD9E8B" w14:textId="480BF912" w:rsidR="00B92F45" w:rsidRPr="00930836" w:rsidRDefault="00B92F45" w:rsidP="002375F5">
                      <w:pPr>
                        <w:pStyle w:val="NormalWeb"/>
                        <w:spacing w:before="0" w:beforeAutospacing="0" w:after="0" w:afterAutospacing="0"/>
                        <w:jc w:val="center"/>
                        <w:rPr>
                          <w:lang w:val="lv-LV"/>
                        </w:rPr>
                      </w:pPr>
                      <w:r w:rsidRPr="00930836">
                        <w:rPr>
                          <w:color w:val="FFFFFF" w:themeColor="light1"/>
                          <w:kern w:val="24"/>
                          <w:sz w:val="20"/>
                          <w:szCs w:val="20"/>
                          <w:lang w:val="lv-LV"/>
                        </w:rPr>
                        <w:t>Neatkarīgs pārvades operators (ITO)  (6)</w:t>
                      </w:r>
                    </w:p>
                  </w:txbxContent>
                </v:textbox>
              </v:rect>
            </w:pict>
          </mc:Fallback>
        </mc:AlternateContent>
      </w:r>
      <w:r w:rsidRPr="005C31F5">
        <w:rPr>
          <w:noProof/>
          <w:sz w:val="28"/>
          <w:szCs w:val="28"/>
          <w:shd w:val="clear" w:color="auto" w:fill="FFFFFF"/>
          <w:lang w:val="lv-LV"/>
        </w:rPr>
        <mc:AlternateContent>
          <mc:Choice Requires="wps">
            <w:drawing>
              <wp:anchor distT="0" distB="0" distL="114300" distR="114300" simplePos="0" relativeHeight="251660288" behindDoc="0" locked="0" layoutInCell="1" allowOverlap="1" wp14:anchorId="1CF7B670" wp14:editId="0A4EE136">
                <wp:simplePos x="0" y="0"/>
                <wp:positionH relativeFrom="column">
                  <wp:posOffset>4671060</wp:posOffset>
                </wp:positionH>
                <wp:positionV relativeFrom="paragraph">
                  <wp:posOffset>10160</wp:posOffset>
                </wp:positionV>
                <wp:extent cx="1753870" cy="464820"/>
                <wp:effectExtent l="0" t="0" r="17780" b="11430"/>
                <wp:wrapNone/>
                <wp:docPr id="6" name="Rectangle 6"/>
                <wp:cNvGraphicFramePr/>
                <a:graphic xmlns:a="http://schemas.openxmlformats.org/drawingml/2006/main">
                  <a:graphicData uri="http://schemas.microsoft.com/office/word/2010/wordprocessingShape">
                    <wps:wsp>
                      <wps:cNvSpPr/>
                      <wps:spPr>
                        <a:xfrm flipH="1">
                          <a:off x="0" y="0"/>
                          <a:ext cx="1753870" cy="464820"/>
                        </a:xfrm>
                        <a:prstGeom prst="rect">
                          <a:avLst/>
                        </a:prstGeom>
                        <a:solidFill>
                          <a:srgbClr val="00A3BD"/>
                        </a:solidFill>
                      </wps:spPr>
                      <wps:style>
                        <a:lnRef idx="1">
                          <a:schemeClr val="accent1"/>
                        </a:lnRef>
                        <a:fillRef idx="3">
                          <a:schemeClr val="accent1"/>
                        </a:fillRef>
                        <a:effectRef idx="2">
                          <a:schemeClr val="accent1"/>
                        </a:effectRef>
                        <a:fontRef idx="minor">
                          <a:schemeClr val="lt1"/>
                        </a:fontRef>
                      </wps:style>
                      <wps:txbx>
                        <w:txbxContent>
                          <w:p w14:paraId="01E1DFA8" w14:textId="6B68F2E0" w:rsidR="00B92F45" w:rsidRPr="00930836" w:rsidRDefault="00B92F45" w:rsidP="002375F5">
                            <w:pPr>
                              <w:pStyle w:val="NormalWeb"/>
                              <w:spacing w:before="0" w:beforeAutospacing="0" w:after="0" w:afterAutospacing="0"/>
                              <w:jc w:val="center"/>
                              <w:rPr>
                                <w:lang w:val="lv-LV"/>
                              </w:rPr>
                            </w:pPr>
                            <w:r w:rsidRPr="00930836">
                              <w:rPr>
                                <w:color w:val="FFFFFF" w:themeColor="light1"/>
                                <w:kern w:val="24"/>
                                <w:sz w:val="20"/>
                                <w:szCs w:val="20"/>
                                <w:lang w:val="lv-LV"/>
                              </w:rPr>
                              <w:t>Pilnīga īpašumtiesību nodalīšana (OU)  (14)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CF7B670" id="_x0000_s1031" style="position:absolute;left:0;text-align:left;margin-left:367.8pt;margin-top:.8pt;width:138.1pt;height:36.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" fillcolor="#00a3bd" strokecolor="#5b9bd5 [3204]" strokeweight=".5pt">
                <v:textbox>
                  <w:txbxContent>
                    <w:p w14:paraId="01E1DFA8" w14:textId="6B68F2E0" w:rsidR="00B92F45" w:rsidRPr="00930836" w:rsidRDefault="00B92F45" w:rsidP="002375F5">
                      <w:pPr>
                        <w:pStyle w:val="NormalWeb"/>
                        <w:spacing w:before="0" w:beforeAutospacing="0" w:after="0" w:afterAutospacing="0"/>
                        <w:jc w:val="center"/>
                        <w:rPr>
                          <w:lang w:val="lv-LV"/>
                        </w:rPr>
                      </w:pPr>
                      <w:r w:rsidRPr="00930836">
                        <w:rPr>
                          <w:color w:val="FFFFFF" w:themeColor="light1"/>
                          <w:kern w:val="24"/>
                          <w:sz w:val="20"/>
                          <w:szCs w:val="20"/>
                          <w:lang w:val="lv-LV"/>
                        </w:rPr>
                        <w:t>Pilnīga īpašumtiesību nodalīšana (OU)  (14)</w:t>
                      </w:r>
                    </w:p>
                  </w:txbxContent>
                </v:textbox>
              </v:rect>
            </w:pict>
          </mc:Fallback>
        </mc:AlternateContent>
      </w:r>
    </w:p>
    <w:p w14:paraId="0BD88F01" w14:textId="77777777" w:rsidR="009864F0" w:rsidRPr="005C31F5" w:rsidRDefault="009864F0" w:rsidP="00611AB6">
      <w:pPr>
        <w:rPr>
          <w:sz w:val="28"/>
          <w:szCs w:val="28"/>
          <w:shd w:val="clear" w:color="auto" w:fill="FFFFFF"/>
          <w:lang w:val="lv-LV"/>
        </w:rPr>
      </w:pPr>
    </w:p>
    <w:p w14:paraId="0DF2BE28" w14:textId="77777777" w:rsidR="00611AB6" w:rsidRPr="005C31F5" w:rsidRDefault="00611AB6" w:rsidP="00611AB6">
      <w:pPr>
        <w:rPr>
          <w:sz w:val="28"/>
          <w:szCs w:val="28"/>
          <w:shd w:val="clear" w:color="auto" w:fill="FFFFFF"/>
          <w:lang w:val="lv-LV"/>
        </w:rPr>
      </w:pPr>
    </w:p>
    <w:p w14:paraId="3475BF20" w14:textId="77777777" w:rsidR="00CA317D" w:rsidRPr="005C31F5" w:rsidRDefault="00CA317D" w:rsidP="001B2310">
      <w:pPr>
        <w:pStyle w:val="doc-ti"/>
        <w:spacing w:before="0" w:beforeAutospacing="0" w:after="0" w:afterAutospacing="0"/>
        <w:rPr>
          <w:sz w:val="28"/>
          <w:szCs w:val="28"/>
          <w:shd w:val="clear" w:color="auto" w:fill="FFFFFF"/>
          <w:lang w:val="lv-LV"/>
        </w:rPr>
      </w:pPr>
    </w:p>
    <w:p w14:paraId="24320A1D" w14:textId="77777777" w:rsidR="00EC335F" w:rsidRPr="005C31F5" w:rsidRDefault="00DB5A57" w:rsidP="00C46385">
      <w:pPr>
        <w:spacing w:after="160" w:line="259" w:lineRule="auto"/>
        <w:rPr>
          <w:sz w:val="28"/>
          <w:szCs w:val="28"/>
          <w:shd w:val="clear" w:color="auto" w:fill="FFFFFF"/>
          <w:lang w:val="lv-LV"/>
        </w:rPr>
      </w:pPr>
      <w:r w:rsidRPr="005C31F5">
        <w:rPr>
          <w:sz w:val="28"/>
          <w:szCs w:val="28"/>
          <w:shd w:val="clear" w:color="auto" w:fill="FFFFFF"/>
          <w:lang w:val="lv-LV"/>
        </w:rPr>
        <w:br w:type="page"/>
      </w:r>
    </w:p>
    <w:p w14:paraId="2EBACC0F" w14:textId="77777777" w:rsidR="00CF1B6C" w:rsidRPr="005C31F5" w:rsidRDefault="00CF1B6C" w:rsidP="00CF1B6C">
      <w:pPr>
        <w:pStyle w:val="Heading3"/>
        <w:rPr>
          <w:lang w:val="lv-LV"/>
        </w:rPr>
      </w:pPr>
      <w:bookmarkStart w:id="4" w:name="_Toc256000022"/>
      <w:bookmarkStart w:id="5" w:name="_Toc256000009"/>
      <w:bookmarkStart w:id="6" w:name="_Toc256000003"/>
      <w:bookmarkStart w:id="7" w:name="_Toc524621713"/>
      <w:bookmarkStart w:id="8" w:name="_Toc3205703"/>
      <w:r w:rsidRPr="005C31F5">
        <w:rPr>
          <w:lang w:val="lv-LV"/>
        </w:rPr>
        <w:lastRenderedPageBreak/>
        <w:t>Direktīvas 2009/72/EK prasību ieviešana Latvijā</w:t>
      </w:r>
      <w:bookmarkEnd w:id="4"/>
      <w:bookmarkEnd w:id="5"/>
      <w:bookmarkEnd w:id="6"/>
      <w:bookmarkEnd w:id="7"/>
      <w:bookmarkEnd w:id="8"/>
      <w:r w:rsidRPr="005C31F5">
        <w:rPr>
          <w:lang w:val="lv-LV"/>
        </w:rPr>
        <w:t xml:space="preserve"> </w:t>
      </w:r>
    </w:p>
    <w:p w14:paraId="4F3326E7" w14:textId="77777777" w:rsidR="00CF1B6C" w:rsidRPr="005C31F5" w:rsidRDefault="00CF1B6C" w:rsidP="00CF1B6C">
      <w:pPr>
        <w:pStyle w:val="doc-ti"/>
        <w:spacing w:before="0" w:beforeAutospacing="0" w:after="0" w:afterAutospacing="0"/>
        <w:ind w:firstLine="851"/>
        <w:rPr>
          <w:shd w:val="clear" w:color="auto" w:fill="FFFFFF"/>
          <w:lang w:val="lv-LV"/>
        </w:rPr>
      </w:pPr>
    </w:p>
    <w:p w14:paraId="78684262" w14:textId="77777777" w:rsidR="00CF1B6C" w:rsidRPr="005C31F5" w:rsidRDefault="00CF1B6C" w:rsidP="00CF1B6C">
      <w:pPr>
        <w:pStyle w:val="doc-ti"/>
        <w:spacing w:before="0" w:beforeAutospacing="0" w:after="0" w:afterAutospacing="0"/>
        <w:ind w:firstLine="851"/>
        <w:jc w:val="both"/>
        <w:rPr>
          <w:bCs/>
          <w:sz w:val="28"/>
          <w:szCs w:val="28"/>
          <w:shd w:val="clear" w:color="auto" w:fill="FFFFFF"/>
          <w:lang w:val="lv-LV"/>
        </w:rPr>
      </w:pPr>
      <w:r w:rsidRPr="005C31F5">
        <w:rPr>
          <w:sz w:val="28"/>
          <w:szCs w:val="28"/>
          <w:shd w:val="clear" w:color="auto" w:fill="FFFFFF"/>
          <w:lang w:val="lv-LV"/>
        </w:rPr>
        <w:t>Ar MK rīkojumu Nr.12</w:t>
      </w:r>
      <w:r w:rsidRPr="005C31F5">
        <w:rPr>
          <w:rStyle w:val="FootnoteReference"/>
          <w:bCs/>
          <w:sz w:val="28"/>
          <w:szCs w:val="28"/>
          <w:shd w:val="clear" w:color="auto" w:fill="FFFFFF"/>
          <w:lang w:val="lv-LV"/>
        </w:rPr>
        <w:footnoteReference w:id="4"/>
      </w:r>
      <w:r w:rsidRPr="005C31F5">
        <w:rPr>
          <w:bCs/>
          <w:sz w:val="28"/>
          <w:szCs w:val="28"/>
          <w:shd w:val="clear" w:color="auto" w:fill="FFFFFF"/>
          <w:lang w:val="lv-LV"/>
        </w:rPr>
        <w:t xml:space="preserve"> Latvijas Republikā tika ieviests noteikts PSO modelis, kas paredz dalītu operatora un pārvades sistēmas aktīvu īpašnieku darbību, t.i., izvēlēts neatkarīga sistēmas operatora modelis. Direktīvā 2009/72/EK noteiktās prasības Latvijā tika īstenotas pakāpeniski.</w:t>
      </w:r>
    </w:p>
    <w:p w14:paraId="52C79AF8" w14:textId="77777777" w:rsidR="00CF1B6C" w:rsidRPr="005C31F5" w:rsidRDefault="00CF1B6C" w:rsidP="00CF1B6C">
      <w:pPr>
        <w:pStyle w:val="doc-ti"/>
        <w:spacing w:before="0" w:beforeAutospacing="0" w:after="0" w:afterAutospacing="0"/>
        <w:ind w:firstLine="851"/>
        <w:jc w:val="both"/>
        <w:rPr>
          <w:bCs/>
          <w:sz w:val="28"/>
          <w:szCs w:val="28"/>
          <w:shd w:val="clear" w:color="auto" w:fill="FFFFFF"/>
          <w:lang w:val="lv-LV"/>
        </w:rPr>
      </w:pPr>
      <w:r w:rsidRPr="005C31F5">
        <w:rPr>
          <w:bCs/>
          <w:sz w:val="28"/>
          <w:szCs w:val="28"/>
          <w:shd w:val="clear" w:color="auto" w:fill="FFFFFF"/>
          <w:lang w:val="lv-LV"/>
        </w:rPr>
        <w:t>2011.gadā tika izveidota akciju sabiedrības “Latvenergo” (turpmāk – AS “Latvenergo”) meitas sabiedrība akciju sabiedrība “Latvijas elektriskie tīkli” (turpmāk – LET), kas veica pārvades sistēmas īpašnieka funkciju izpildi. LET tika ieguldīti pārvades sistēmas tehnoloģiskie aktīvi (apakšstaciju iekārtas, līnijas)</w:t>
      </w:r>
      <w:r w:rsidR="008941AD" w:rsidRPr="005C31F5">
        <w:rPr>
          <w:bCs/>
          <w:sz w:val="28"/>
          <w:szCs w:val="28"/>
          <w:shd w:val="clear" w:color="auto" w:fill="FFFFFF"/>
          <w:lang w:val="lv-LV"/>
        </w:rPr>
        <w:t>,</w:t>
      </w:r>
      <w:r w:rsidRPr="005C31F5">
        <w:rPr>
          <w:bCs/>
          <w:sz w:val="28"/>
          <w:szCs w:val="28"/>
          <w:shd w:val="clear" w:color="auto" w:fill="FFFFFF"/>
          <w:lang w:val="lv-LV"/>
        </w:rPr>
        <w:t xml:space="preserve"> ar pārvades pakalpojumu sniegšanu saistītajam nekustamajam īpašumam (apakšstaciju vadības ēkas, zeme u.c.) paliekot </w:t>
      </w:r>
      <w:r w:rsidR="00A656AC" w:rsidRPr="005C31F5">
        <w:rPr>
          <w:bCs/>
          <w:sz w:val="28"/>
          <w:szCs w:val="28"/>
          <w:shd w:val="clear" w:color="auto" w:fill="FFFFFF"/>
          <w:lang w:val="lv-LV"/>
        </w:rPr>
        <w:t>AS "</w:t>
      </w:r>
      <w:r w:rsidRPr="005C31F5">
        <w:rPr>
          <w:bCs/>
          <w:sz w:val="28"/>
          <w:szCs w:val="28"/>
          <w:shd w:val="clear" w:color="auto" w:fill="FFFFFF"/>
          <w:lang w:val="lv-LV"/>
        </w:rPr>
        <w:t>Latvenergo</w:t>
      </w:r>
      <w:r w:rsidR="00A656AC" w:rsidRPr="005C31F5">
        <w:rPr>
          <w:bCs/>
          <w:sz w:val="28"/>
          <w:szCs w:val="28"/>
          <w:shd w:val="clear" w:color="auto" w:fill="FFFFFF"/>
          <w:lang w:val="lv-LV"/>
        </w:rPr>
        <w:t>"</w:t>
      </w:r>
      <w:r w:rsidRPr="005C31F5">
        <w:rPr>
          <w:bCs/>
          <w:sz w:val="28"/>
          <w:szCs w:val="28"/>
          <w:shd w:val="clear" w:color="auto" w:fill="FFFFFF"/>
          <w:lang w:val="lv-LV"/>
        </w:rPr>
        <w:t xml:space="preserve"> īpašumā. LET vienlaicīgi veica arī pārvades tīkla ekspluatācijas un attīstības funkcijas. Tikmēr akciju sabiedrību “Augstsprieguma tīkls” (turpmāk – AST) īstenoja sistēmas operatīvo vadību.</w:t>
      </w:r>
    </w:p>
    <w:p w14:paraId="4E90EF30" w14:textId="6A86C229" w:rsidR="00CF1B6C" w:rsidRPr="005C31F5" w:rsidRDefault="00CF1B6C" w:rsidP="00CF1B6C">
      <w:pPr>
        <w:pStyle w:val="doc-ti"/>
        <w:spacing w:before="0" w:beforeAutospacing="0" w:after="0" w:afterAutospacing="0"/>
        <w:ind w:firstLine="851"/>
        <w:jc w:val="both"/>
        <w:rPr>
          <w:bCs/>
          <w:sz w:val="28"/>
          <w:szCs w:val="28"/>
          <w:shd w:val="clear" w:color="auto" w:fill="FFFFFF"/>
          <w:lang w:val="lv-LV"/>
        </w:rPr>
      </w:pPr>
      <w:r w:rsidRPr="005C31F5">
        <w:rPr>
          <w:bCs/>
          <w:sz w:val="28"/>
          <w:szCs w:val="28"/>
          <w:shd w:val="clear" w:color="auto" w:fill="FFFFFF"/>
          <w:lang w:val="lv-LV"/>
        </w:rPr>
        <w:t>Saskaņā ar Ministru kabineta 2011.gada 5.decembra rīkojumu Nr.635 “Par akciju sabiedrības “Augstsprieguma tīkls” akciju pirkšanu un akciju turētāju” Latvijas valsts nopirka no AS “Latvenergo” tās meitas</w:t>
      </w:r>
      <w:r w:rsidRPr="005C31F5">
        <w:rPr>
          <w:sz w:val="28"/>
          <w:szCs w:val="28"/>
          <w:lang w:val="lv-LV"/>
        </w:rPr>
        <w:t xml:space="preserve"> uzņēmumu </w:t>
      </w:r>
      <w:r w:rsidRPr="005C31F5">
        <w:rPr>
          <w:bCs/>
          <w:sz w:val="28"/>
          <w:szCs w:val="28"/>
          <w:shd w:val="clear" w:color="auto" w:fill="FFFFFF"/>
          <w:lang w:val="lv-LV"/>
        </w:rPr>
        <w:t xml:space="preserve">akciju sabiedrību AST </w:t>
      </w:r>
      <w:r w:rsidRPr="005C31F5">
        <w:rPr>
          <w:sz w:val="28"/>
          <w:szCs w:val="28"/>
          <w:lang w:val="lv-LV"/>
        </w:rPr>
        <w:t xml:space="preserve">un par kapitāla daļu turētāju noteica Finanšu ministriju. </w:t>
      </w:r>
      <w:r w:rsidRPr="005C31F5">
        <w:rPr>
          <w:bCs/>
          <w:sz w:val="28"/>
          <w:szCs w:val="28"/>
          <w:shd w:val="clear" w:color="auto" w:fill="FFFFFF"/>
          <w:lang w:val="lv-LV"/>
        </w:rPr>
        <w:t xml:space="preserve">AST tika nodalīta no </w:t>
      </w:r>
      <w:r w:rsidRPr="005C31F5">
        <w:rPr>
          <w:bCs/>
          <w:i/>
          <w:sz w:val="28"/>
          <w:szCs w:val="28"/>
          <w:shd w:val="clear" w:color="auto" w:fill="FFFFFF"/>
          <w:lang w:val="lv-LV"/>
        </w:rPr>
        <w:t>Latvenergo</w:t>
      </w:r>
      <w:r w:rsidRPr="005C31F5">
        <w:rPr>
          <w:bCs/>
          <w:sz w:val="28"/>
          <w:szCs w:val="28"/>
          <w:shd w:val="clear" w:color="auto" w:fill="FFFFFF"/>
          <w:lang w:val="lv-LV"/>
        </w:rPr>
        <w:t xml:space="preserve"> koncerna un līdz šim brīdim īsteno elektroenerģijas pārvades sistēmas operatora funkcijas, lai </w:t>
      </w:r>
      <w:r w:rsidR="00E47EFE">
        <w:rPr>
          <w:bCs/>
          <w:sz w:val="28"/>
          <w:szCs w:val="28"/>
          <w:shd w:val="clear" w:color="auto" w:fill="FFFFFF"/>
          <w:lang w:val="lv-LV"/>
        </w:rPr>
        <w:t>izpildītu</w:t>
      </w:r>
      <w:r w:rsidR="00E47EFE" w:rsidRPr="005C31F5">
        <w:rPr>
          <w:bCs/>
          <w:sz w:val="28"/>
          <w:szCs w:val="28"/>
          <w:shd w:val="clear" w:color="auto" w:fill="FFFFFF"/>
          <w:lang w:val="lv-LV"/>
        </w:rPr>
        <w:t xml:space="preserve"> </w:t>
      </w:r>
      <w:r w:rsidRPr="005C31F5">
        <w:rPr>
          <w:sz w:val="28"/>
          <w:szCs w:val="28"/>
          <w:lang w:val="lv-LV"/>
        </w:rPr>
        <w:t>Direktīvas 2009/72/EK</w:t>
      </w:r>
      <w:r w:rsidRPr="005C31F5">
        <w:rPr>
          <w:bCs/>
          <w:sz w:val="28"/>
          <w:szCs w:val="28"/>
          <w:shd w:val="clear" w:color="auto" w:fill="FFFFFF"/>
          <w:lang w:val="lv-LV"/>
        </w:rPr>
        <w:t xml:space="preserve"> prasības par neatkarīgu PSO. AST funkciju izpildei nepieciešamie pārvades sistēmas aktīvi (turpmāk arī – aktīvi) un tās ekspluatācijas un attīstības darbības tika nodrošinātas kā aktīvu nomas pakalpojums, ko sniedza </w:t>
      </w:r>
      <w:r w:rsidRPr="005C31F5">
        <w:rPr>
          <w:bCs/>
          <w:i/>
          <w:sz w:val="28"/>
          <w:szCs w:val="28"/>
          <w:shd w:val="clear" w:color="auto" w:fill="FFFFFF"/>
          <w:lang w:val="lv-LV"/>
        </w:rPr>
        <w:t>Latvenergo</w:t>
      </w:r>
      <w:r w:rsidRPr="005C31F5">
        <w:rPr>
          <w:bCs/>
          <w:sz w:val="28"/>
          <w:szCs w:val="28"/>
          <w:shd w:val="clear" w:color="auto" w:fill="FFFFFF"/>
          <w:lang w:val="lv-LV"/>
        </w:rPr>
        <w:t xml:space="preserve"> koncernā ietilpstošā LET – tika ieviests īpašumtiesību nodalīšanas modelis </w:t>
      </w:r>
      <w:r w:rsidRPr="005C31F5">
        <w:rPr>
          <w:bCs/>
          <w:i/>
          <w:sz w:val="28"/>
          <w:szCs w:val="28"/>
          <w:shd w:val="clear" w:color="auto" w:fill="FFFFFF"/>
          <w:lang w:val="lv-LV"/>
        </w:rPr>
        <w:t>Neatkarīgs sistēmas operators</w:t>
      </w:r>
      <w:r w:rsidR="00E47EFE">
        <w:rPr>
          <w:bCs/>
          <w:i/>
          <w:sz w:val="28"/>
          <w:szCs w:val="28"/>
          <w:shd w:val="clear" w:color="auto" w:fill="FFFFFF"/>
          <w:lang w:val="lv-LV"/>
        </w:rPr>
        <w:t xml:space="preserve"> </w:t>
      </w:r>
      <w:r w:rsidR="00E47EFE">
        <w:rPr>
          <w:bCs/>
          <w:sz w:val="28"/>
          <w:szCs w:val="28"/>
          <w:shd w:val="clear" w:color="auto" w:fill="FFFFFF"/>
          <w:lang w:val="lv-LV"/>
        </w:rPr>
        <w:t>(ISO)</w:t>
      </w:r>
      <w:r w:rsidRPr="005C31F5">
        <w:rPr>
          <w:bCs/>
          <w:i/>
          <w:sz w:val="28"/>
          <w:szCs w:val="28"/>
          <w:shd w:val="clear" w:color="auto" w:fill="FFFFFF"/>
          <w:lang w:val="lv-LV"/>
        </w:rPr>
        <w:t>.</w:t>
      </w:r>
    </w:p>
    <w:p w14:paraId="2934EF23" w14:textId="77777777" w:rsidR="00CF1B6C" w:rsidRPr="005C31F5" w:rsidRDefault="00CF1B6C" w:rsidP="00CF1B6C">
      <w:pPr>
        <w:pStyle w:val="doc-ti"/>
        <w:spacing w:before="0" w:beforeAutospacing="0" w:after="0" w:afterAutospacing="0"/>
        <w:ind w:firstLine="851"/>
        <w:jc w:val="both"/>
        <w:rPr>
          <w:bCs/>
          <w:sz w:val="28"/>
          <w:szCs w:val="28"/>
          <w:shd w:val="clear" w:color="auto" w:fill="FFFFFF"/>
          <w:lang w:val="lv-LV"/>
        </w:rPr>
      </w:pPr>
      <w:r w:rsidRPr="005C31F5">
        <w:rPr>
          <w:bCs/>
          <w:sz w:val="28"/>
          <w:szCs w:val="28"/>
          <w:shd w:val="clear" w:color="auto" w:fill="FFFFFF"/>
          <w:lang w:val="lv-LV"/>
        </w:rPr>
        <w:t>MK rīkojumā Nr.12 ieviestajam īpašumtiesību nodalīšanas modelim – neatkarīgam sistēmas operatoram, tika saskatītas šādas priekšrocības:</w:t>
      </w:r>
    </w:p>
    <w:p w14:paraId="6EC6DE5D" w14:textId="77777777" w:rsidR="00CF1B6C" w:rsidRPr="005C31F5" w:rsidRDefault="00CF1B6C" w:rsidP="00CF1B6C">
      <w:pPr>
        <w:pStyle w:val="doc-ti"/>
        <w:numPr>
          <w:ilvl w:val="0"/>
          <w:numId w:val="1"/>
        </w:numPr>
        <w:spacing w:before="0" w:beforeAutospacing="0" w:after="0" w:afterAutospacing="0"/>
        <w:ind w:left="1134" w:firstLine="0"/>
        <w:jc w:val="both"/>
        <w:rPr>
          <w:bCs/>
          <w:sz w:val="28"/>
          <w:szCs w:val="28"/>
          <w:shd w:val="clear" w:color="auto" w:fill="FFFFFF"/>
          <w:lang w:val="lv-LV"/>
        </w:rPr>
      </w:pPr>
      <w:r w:rsidRPr="005C31F5">
        <w:rPr>
          <w:sz w:val="28"/>
          <w:szCs w:val="28"/>
          <w:shd w:val="clear" w:color="auto" w:fill="FFFFFF"/>
          <w:lang w:val="lv-LV"/>
        </w:rPr>
        <w:t>nav ietekmes uz valsts budžetu;</w:t>
      </w:r>
    </w:p>
    <w:p w14:paraId="5E4D8F05" w14:textId="77777777" w:rsidR="00CF1B6C" w:rsidRPr="005C31F5" w:rsidRDefault="00CF1B6C" w:rsidP="00CF1B6C">
      <w:pPr>
        <w:pStyle w:val="doc-ti"/>
        <w:numPr>
          <w:ilvl w:val="0"/>
          <w:numId w:val="1"/>
        </w:numPr>
        <w:spacing w:before="0" w:beforeAutospacing="0" w:after="0" w:afterAutospacing="0"/>
        <w:ind w:left="1134" w:firstLine="0"/>
        <w:jc w:val="both"/>
        <w:rPr>
          <w:bCs/>
          <w:sz w:val="28"/>
          <w:szCs w:val="28"/>
          <w:shd w:val="clear" w:color="auto" w:fill="FFFFFF"/>
          <w:lang w:val="lv-LV"/>
        </w:rPr>
      </w:pPr>
      <w:r w:rsidRPr="005C31F5">
        <w:rPr>
          <w:sz w:val="28"/>
          <w:szCs w:val="28"/>
          <w:shd w:val="clear" w:color="auto" w:fill="FFFFFF"/>
          <w:lang w:val="lv-LV"/>
        </w:rPr>
        <w:t>salīdzinājumā ar pilnīgu īpašumtiesību nodalīšanu vai neatkarīgu pārvades operatoru mazāka ietekme uz vertikāli integrēta uzņēmuma - AS "Latvenergo" aizņēmumu portfeli;</w:t>
      </w:r>
    </w:p>
    <w:p w14:paraId="607488C2" w14:textId="77777777" w:rsidR="00CF1B6C" w:rsidRPr="005C31F5" w:rsidRDefault="00CF1B6C" w:rsidP="00CF1B6C">
      <w:pPr>
        <w:pStyle w:val="doc-ti"/>
        <w:numPr>
          <w:ilvl w:val="0"/>
          <w:numId w:val="1"/>
        </w:numPr>
        <w:spacing w:before="0" w:beforeAutospacing="0" w:after="0" w:afterAutospacing="0"/>
        <w:ind w:left="1134" w:firstLine="0"/>
        <w:jc w:val="both"/>
        <w:rPr>
          <w:bCs/>
          <w:sz w:val="28"/>
          <w:szCs w:val="28"/>
          <w:shd w:val="clear" w:color="auto" w:fill="FFFFFF"/>
          <w:lang w:val="lv-LV"/>
        </w:rPr>
      </w:pPr>
      <w:r w:rsidRPr="005C31F5">
        <w:rPr>
          <w:sz w:val="28"/>
          <w:szCs w:val="28"/>
          <w:shd w:val="clear" w:color="auto" w:fill="FFFFFF"/>
          <w:lang w:val="lv-LV"/>
        </w:rPr>
        <w:t>kontrolējams izmaksu pieaugums, kas būtiski neietekmē elektroenerģijas gala tarifus;</w:t>
      </w:r>
    </w:p>
    <w:p w14:paraId="71AF616D" w14:textId="77777777" w:rsidR="00CF1B6C" w:rsidRPr="005C31F5" w:rsidRDefault="00CF1B6C" w:rsidP="00CF1B6C">
      <w:pPr>
        <w:pStyle w:val="doc-ti"/>
        <w:numPr>
          <w:ilvl w:val="0"/>
          <w:numId w:val="1"/>
        </w:numPr>
        <w:spacing w:before="0" w:beforeAutospacing="0" w:after="0" w:afterAutospacing="0"/>
        <w:ind w:left="1134" w:firstLine="0"/>
        <w:jc w:val="both"/>
        <w:rPr>
          <w:bCs/>
          <w:sz w:val="28"/>
          <w:szCs w:val="28"/>
          <w:shd w:val="clear" w:color="auto" w:fill="FFFFFF"/>
          <w:lang w:val="lv-LV"/>
        </w:rPr>
      </w:pPr>
      <w:r w:rsidRPr="005C31F5">
        <w:rPr>
          <w:sz w:val="28"/>
          <w:szCs w:val="28"/>
          <w:shd w:val="clear" w:color="auto" w:fill="FFFFFF"/>
          <w:lang w:val="lv-LV"/>
        </w:rPr>
        <w:t>tiek nodrošināta PSO darbības nepārtrauktība, jo PSO nav jāslēdz jauni līgumi un no jauna jāapstiprina sistēmas pakalpojumu tarifi.</w:t>
      </w:r>
    </w:p>
    <w:p w14:paraId="70398277" w14:textId="77777777" w:rsidR="00CF1B6C" w:rsidRPr="005C31F5" w:rsidRDefault="00CF1B6C" w:rsidP="00CF1B6C">
      <w:pPr>
        <w:pStyle w:val="doc-ti"/>
        <w:spacing w:before="0" w:beforeAutospacing="0" w:after="0" w:afterAutospacing="0"/>
        <w:ind w:firstLine="709"/>
        <w:jc w:val="both"/>
        <w:rPr>
          <w:bCs/>
          <w:sz w:val="28"/>
          <w:szCs w:val="28"/>
          <w:shd w:val="clear" w:color="auto" w:fill="FFFFFF"/>
          <w:lang w:val="lv-LV"/>
        </w:rPr>
      </w:pPr>
      <w:r w:rsidRPr="005C31F5">
        <w:rPr>
          <w:sz w:val="28"/>
          <w:szCs w:val="28"/>
          <w:lang w:val="lv-LV"/>
        </w:rPr>
        <w:lastRenderedPageBreak/>
        <w:t xml:space="preserve">Vienlaikus tika apzināti izvēlētā risinājuma trūkumi (galvenokārt, palielināts administratīvais un izmaksu slogs) un </w:t>
      </w:r>
      <w:r w:rsidRPr="005C31F5">
        <w:rPr>
          <w:bCs/>
          <w:sz w:val="28"/>
          <w:szCs w:val="28"/>
          <w:shd w:val="clear" w:color="auto" w:fill="FFFFFF"/>
          <w:lang w:val="lv-LV"/>
        </w:rPr>
        <w:t>MK rīkojumā Nr.12 tika iekļauts nosacījums pārvērtēt PSO ieviešanas modeli 2015.gadā, izskatot iespēju veikt pilnīgu īpašumtiesību nodalīšanu.</w:t>
      </w:r>
    </w:p>
    <w:p w14:paraId="694EF069" w14:textId="47F2A737" w:rsidR="00CF1B6C" w:rsidRPr="005C31F5" w:rsidRDefault="00CF1B6C" w:rsidP="00CF1B6C">
      <w:pPr>
        <w:pStyle w:val="doc-ti"/>
        <w:spacing w:before="0" w:beforeAutospacing="0" w:after="0" w:afterAutospacing="0"/>
        <w:ind w:firstLine="851"/>
        <w:jc w:val="both"/>
        <w:rPr>
          <w:sz w:val="28"/>
          <w:szCs w:val="28"/>
          <w:lang w:val="lv-LV"/>
        </w:rPr>
      </w:pPr>
      <w:r w:rsidRPr="005C31F5">
        <w:rPr>
          <w:sz w:val="28"/>
          <w:szCs w:val="28"/>
          <w:shd w:val="clear" w:color="auto" w:fill="FFFFFF"/>
          <w:lang w:val="lv-LV"/>
        </w:rPr>
        <w:t xml:space="preserve">Arī pilnīgas īpašumtiesību nodalīšanas modelis tika atzīts par piemērotu, jo ar to </w:t>
      </w:r>
      <w:r w:rsidRPr="005C31F5">
        <w:rPr>
          <w:sz w:val="28"/>
          <w:szCs w:val="28"/>
          <w:lang w:val="lv-LV"/>
        </w:rPr>
        <w:t xml:space="preserve">sasniedzams Direktīvā 2009/72/EK izvirzītais mērķis – nodrošināt neatkarīga PSO izveidošanu, </w:t>
      </w:r>
      <w:r w:rsidR="0042140A" w:rsidRPr="005C31F5">
        <w:rPr>
          <w:sz w:val="28"/>
          <w:szCs w:val="28"/>
          <w:lang w:val="lv-LV"/>
        </w:rPr>
        <w:t>neatstājot</w:t>
      </w:r>
      <w:r w:rsidRPr="005C31F5">
        <w:rPr>
          <w:sz w:val="28"/>
          <w:szCs w:val="28"/>
          <w:lang w:val="lv-LV"/>
        </w:rPr>
        <w:t xml:space="preserve"> ietekm</w:t>
      </w:r>
      <w:r w:rsidR="0042140A" w:rsidRPr="005C31F5">
        <w:rPr>
          <w:sz w:val="28"/>
          <w:szCs w:val="28"/>
          <w:lang w:val="lv-LV"/>
        </w:rPr>
        <w:t>i</w:t>
      </w:r>
      <w:r w:rsidRPr="005C31F5">
        <w:rPr>
          <w:sz w:val="28"/>
          <w:szCs w:val="28"/>
          <w:lang w:val="lv-LV"/>
        </w:rPr>
        <w:t xml:space="preserve"> uz valsts budžetu</w:t>
      </w:r>
      <w:r w:rsidR="00E47EFE">
        <w:rPr>
          <w:sz w:val="28"/>
          <w:szCs w:val="28"/>
          <w:lang w:val="lv-LV"/>
        </w:rPr>
        <w:t>,</w:t>
      </w:r>
      <w:r w:rsidR="0042140A" w:rsidRPr="005C31F5">
        <w:rPr>
          <w:sz w:val="28"/>
          <w:szCs w:val="28"/>
          <w:lang w:val="lv-LV"/>
        </w:rPr>
        <w:t xml:space="preserve"> vienlaikus samazinot</w:t>
      </w:r>
      <w:r w:rsidRPr="005C31F5">
        <w:rPr>
          <w:sz w:val="28"/>
          <w:szCs w:val="28"/>
          <w:lang w:val="lv-LV"/>
        </w:rPr>
        <w:t xml:space="preserve"> administratīv</w:t>
      </w:r>
      <w:r w:rsidR="0042140A" w:rsidRPr="005C31F5">
        <w:rPr>
          <w:sz w:val="28"/>
          <w:szCs w:val="28"/>
          <w:lang w:val="lv-LV"/>
        </w:rPr>
        <w:t>ās</w:t>
      </w:r>
      <w:r w:rsidRPr="005C31F5">
        <w:rPr>
          <w:sz w:val="28"/>
          <w:szCs w:val="28"/>
          <w:lang w:val="lv-LV"/>
        </w:rPr>
        <w:t xml:space="preserve"> izmaks</w:t>
      </w:r>
      <w:r w:rsidR="0042140A" w:rsidRPr="005C31F5">
        <w:rPr>
          <w:sz w:val="28"/>
          <w:szCs w:val="28"/>
          <w:lang w:val="lv-LV"/>
        </w:rPr>
        <w:t>as</w:t>
      </w:r>
      <w:r w:rsidRPr="005C31F5">
        <w:rPr>
          <w:sz w:val="28"/>
          <w:szCs w:val="28"/>
          <w:lang w:val="lv-LV"/>
        </w:rPr>
        <w:t>.</w:t>
      </w:r>
    </w:p>
    <w:p w14:paraId="60CE6297" w14:textId="77777777" w:rsidR="00222FD6" w:rsidRPr="005C31F5" w:rsidRDefault="00222FD6" w:rsidP="00222FD6">
      <w:pPr>
        <w:pStyle w:val="doc-ti"/>
        <w:spacing w:before="0" w:beforeAutospacing="0" w:after="0" w:afterAutospacing="0"/>
        <w:ind w:firstLine="851"/>
        <w:jc w:val="both"/>
        <w:rPr>
          <w:sz w:val="28"/>
          <w:szCs w:val="28"/>
          <w:lang w:val="lv-LV"/>
        </w:rPr>
      </w:pPr>
      <w:r>
        <w:rPr>
          <w:rFonts w:eastAsiaTheme="minorHAnsi"/>
          <w:color w:val="000000"/>
          <w:sz w:val="28"/>
          <w:szCs w:val="28"/>
          <w:lang w:val="lv-LV"/>
        </w:rPr>
        <w:t>2011.gadā tika uzskatīts, ka pilnīgas īpašumtiesību nodalīšanas rezultātā ievērojami palielināsies AS “Latvenergo” aizņēmumu izmaksas sakarā ar to, ka pasliktināsies uzņēmuma kredītspēju. Tā kā Direktīvas 2009/72/EK ieviešana notika laikā, kad AS “Latvenergo” bija piesaistījusi finansējumu (iepriekšējos periodos) ar ļoti izdevīgiem finansēšanas nosacījumiem un finanšu krīzes sekas finanšu tirgos vēl nebija pārvarētas, bet pilnīga īpašumtiesību nodalīšana dotu aizdevējiem tiesības atprasīt aizdevumus vai pārskatīt finansējuma cenu, kas rezultētos būtiskā finanšu izmaksu pieaugumā,  2011.gadā netika ieviests pilnīgas īpašumtiesību nodalīšanas modelis</w:t>
      </w:r>
      <w:r>
        <w:rPr>
          <w:sz w:val="28"/>
          <w:szCs w:val="28"/>
          <w:lang w:val="lv-LV"/>
        </w:rPr>
        <w:t>.</w:t>
      </w:r>
    </w:p>
    <w:p w14:paraId="3C413F2A" w14:textId="77777777" w:rsidR="00CF1B6C" w:rsidRPr="005C31F5" w:rsidRDefault="00CF1B6C" w:rsidP="00CF1B6C">
      <w:pPr>
        <w:pStyle w:val="doc-ti"/>
        <w:spacing w:before="0" w:beforeAutospacing="0" w:after="0" w:afterAutospacing="0"/>
        <w:ind w:firstLine="851"/>
        <w:jc w:val="both"/>
        <w:rPr>
          <w:sz w:val="28"/>
          <w:szCs w:val="28"/>
          <w:shd w:val="clear" w:color="auto" w:fill="FFFFFF"/>
          <w:lang w:val="lv-LV"/>
        </w:rPr>
      </w:pPr>
      <w:r w:rsidRPr="005C31F5">
        <w:rPr>
          <w:sz w:val="28"/>
          <w:szCs w:val="28"/>
          <w:lang w:val="lv-LV"/>
        </w:rPr>
        <w:t>Ar Sabiedrisko pakalpojumu regulēšanas komisijas (turpmāk – Regulators) padomes 2013.gada 30.janvāra lēmumu Nr.18 „Par elektroenerģijas pārvades sistēmas operatora sertificēšanu” (turpmāk - Lēmums) Regulators sertificēja un apstiprināja AST kā neatkarīgu PSO, vienlaikus uzdodot 24 mēnešu laikā no Lēmuma pieņemšanas brīža pārņemt pārvades tīkla ekspluatācijas un attīstīšanas funkciju.</w:t>
      </w:r>
    </w:p>
    <w:p w14:paraId="2E20F6B7" w14:textId="7555C2CD" w:rsidR="00CF1B6C" w:rsidRPr="005C31F5" w:rsidRDefault="00CF1B6C" w:rsidP="00CF1B6C">
      <w:pPr>
        <w:pStyle w:val="doc-ti"/>
        <w:spacing w:before="0" w:beforeAutospacing="0" w:after="0" w:afterAutospacing="0"/>
        <w:ind w:firstLine="851"/>
        <w:jc w:val="both"/>
        <w:rPr>
          <w:sz w:val="28"/>
          <w:szCs w:val="28"/>
          <w:shd w:val="clear" w:color="auto" w:fill="FFFFFF"/>
          <w:lang w:val="lv-LV"/>
        </w:rPr>
      </w:pPr>
      <w:r w:rsidRPr="005C31F5">
        <w:rPr>
          <w:sz w:val="28"/>
          <w:szCs w:val="28"/>
          <w:shd w:val="clear" w:color="auto" w:fill="FFFFFF"/>
          <w:lang w:val="lv-LV"/>
        </w:rPr>
        <w:t xml:space="preserve">Attiecīgi, izpildot Lēmumu, </w:t>
      </w:r>
      <w:bookmarkStart w:id="9" w:name="_Hlk536689176"/>
      <w:r w:rsidRPr="005C31F5">
        <w:rPr>
          <w:sz w:val="28"/>
          <w:szCs w:val="28"/>
          <w:shd w:val="clear" w:color="auto" w:fill="FFFFFF"/>
          <w:lang w:val="lv-LV"/>
        </w:rPr>
        <w:t xml:space="preserve">2015.gada 1.janvārī AST pārņēma pārvades tīkla ekspluatācijas un attīstīšanas funkciju (aktīvu ikdienas uzturēšana un jaunu aktīvu radīšana). AST valdījumā (uz nomas līguma pamata) nonāca aktīvi, 430 darbinieki, ražošanas līdzekļi. </w:t>
      </w:r>
      <w:r w:rsidRPr="005C31F5">
        <w:rPr>
          <w:bCs/>
          <w:sz w:val="28"/>
          <w:szCs w:val="28"/>
          <w:shd w:val="clear" w:color="auto" w:fill="FFFFFF"/>
          <w:lang w:val="lv-LV"/>
        </w:rPr>
        <w:t>LET darbība tika sašaurināta līdz aktīvu iznomāšanas un finanšu plūsmas pakalpojumu sniegšanai (8 darbinieki uz 31.12.</w:t>
      </w:r>
      <w:r w:rsidR="00506614" w:rsidRPr="005C31F5">
        <w:rPr>
          <w:bCs/>
          <w:sz w:val="28"/>
          <w:szCs w:val="28"/>
          <w:shd w:val="clear" w:color="auto" w:fill="FFFFFF"/>
          <w:lang w:val="lv-LV"/>
        </w:rPr>
        <w:t>2018</w:t>
      </w:r>
      <w:r w:rsidRPr="005C31F5">
        <w:rPr>
          <w:bCs/>
          <w:sz w:val="28"/>
          <w:szCs w:val="28"/>
          <w:shd w:val="clear" w:color="auto" w:fill="FFFFFF"/>
          <w:lang w:val="lv-LV"/>
        </w:rPr>
        <w:t>.).</w:t>
      </w:r>
      <w:bookmarkEnd w:id="9"/>
      <w:r w:rsidRPr="005C31F5">
        <w:rPr>
          <w:bCs/>
          <w:sz w:val="28"/>
          <w:szCs w:val="28"/>
          <w:shd w:val="clear" w:color="auto" w:fill="FFFFFF"/>
          <w:lang w:val="lv-LV"/>
        </w:rPr>
        <w:t xml:space="preserve"> </w:t>
      </w:r>
      <w:r w:rsidRPr="005C31F5">
        <w:rPr>
          <w:sz w:val="28"/>
          <w:szCs w:val="28"/>
          <w:shd w:val="clear" w:color="auto" w:fill="FFFFFF"/>
          <w:lang w:val="lv-LV"/>
        </w:rPr>
        <w:t>Ar pārvadi saistītā nekustamā īpašuma apsaimniekošanu un attīstīšanu turpināja veikt tā īpašnieks AS ''Latvenergo''.</w:t>
      </w:r>
    </w:p>
    <w:p w14:paraId="41A596C2" w14:textId="719B89A6" w:rsidR="00BE52B6" w:rsidRPr="005C31F5" w:rsidRDefault="00CF1B6C" w:rsidP="00CF1B6C">
      <w:pPr>
        <w:pStyle w:val="doc-ti"/>
        <w:spacing w:before="0" w:beforeAutospacing="0" w:after="0" w:afterAutospacing="0"/>
        <w:ind w:firstLine="851"/>
        <w:jc w:val="both"/>
        <w:rPr>
          <w:sz w:val="28"/>
          <w:szCs w:val="28"/>
          <w:lang w:val="lv-LV"/>
        </w:rPr>
      </w:pPr>
      <w:r w:rsidRPr="005C31F5">
        <w:rPr>
          <w:sz w:val="28"/>
          <w:szCs w:val="28"/>
          <w:lang w:val="lv-LV"/>
        </w:rPr>
        <w:t>Saskaņā ar Elektroenerģijas tirgus likuma 11.</w:t>
      </w:r>
      <w:r w:rsidRPr="005C31F5">
        <w:rPr>
          <w:sz w:val="28"/>
          <w:szCs w:val="28"/>
          <w:vertAlign w:val="superscript"/>
          <w:lang w:val="lv-LV"/>
        </w:rPr>
        <w:t>1</w:t>
      </w:r>
      <w:r w:rsidRPr="005C31F5">
        <w:rPr>
          <w:sz w:val="28"/>
          <w:szCs w:val="28"/>
          <w:lang w:val="lv-LV"/>
        </w:rPr>
        <w:t xml:space="preserve"> panta desmito daļu PSO katru gadu Regulatora noteiktajā kārtībā iesniedz ziņojumu par PSO atbilstību sertificēšanas prasībām, savukārt, elektroenerģijas sistēmas īpašnieks katru gadu Regulatora noteiktajā kārtībā iesniedz ziņojumu par elektroenerģijas sistēmas īpašnieka spēju ievērot saistības, kas izriet no Elektroenerģijas tirgus likuma 21.</w:t>
      </w:r>
      <w:r w:rsidRPr="005C31F5">
        <w:rPr>
          <w:sz w:val="28"/>
          <w:szCs w:val="28"/>
          <w:vertAlign w:val="superscript"/>
          <w:lang w:val="lv-LV"/>
        </w:rPr>
        <w:t>2</w:t>
      </w:r>
      <w:r w:rsidRPr="005C31F5">
        <w:rPr>
          <w:sz w:val="28"/>
          <w:szCs w:val="28"/>
          <w:lang w:val="lv-LV"/>
        </w:rPr>
        <w:t xml:space="preserve"> panta. Regulators 2018.gada 26.jūlijā pieņēma ikgadējo lēmumu, ar kuru atzina, ka AST atbilst sertificēšanas prasībām</w:t>
      </w:r>
      <w:r w:rsidRPr="005C31F5">
        <w:rPr>
          <w:rStyle w:val="FootnoteReference"/>
          <w:sz w:val="28"/>
          <w:szCs w:val="28"/>
          <w:lang w:val="lv-LV"/>
        </w:rPr>
        <w:footnoteReference w:id="5"/>
      </w:r>
      <w:r w:rsidRPr="005C31F5">
        <w:rPr>
          <w:sz w:val="28"/>
          <w:szCs w:val="28"/>
          <w:lang w:val="lv-LV"/>
        </w:rPr>
        <w:t xml:space="preserve">, vienlaikus nosakot, ka līdz 2019.gada 1.aprīlim PSO ir jāpārņem ar aktīviem saistītā nomātā nekustamā īpašuma attīstība, </w:t>
      </w:r>
      <w:r w:rsidRPr="005C31F5">
        <w:rPr>
          <w:sz w:val="28"/>
          <w:szCs w:val="28"/>
          <w:lang w:val="lv-LV"/>
        </w:rPr>
        <w:lastRenderedPageBreak/>
        <w:t>jaunbūve, atjaunošanas, uzturēšanas, remonta un apkalpošanas darbi.</w:t>
      </w:r>
      <w:r w:rsidR="00F42612">
        <w:rPr>
          <w:sz w:val="28"/>
          <w:szCs w:val="28"/>
          <w:lang w:val="lv-LV"/>
        </w:rPr>
        <w:t xml:space="preserve"> Iznomātais</w:t>
      </w:r>
      <w:r w:rsidR="009D2E82">
        <w:rPr>
          <w:sz w:val="28"/>
          <w:szCs w:val="28"/>
          <w:lang w:val="lv-LV"/>
        </w:rPr>
        <w:t>,</w:t>
      </w:r>
      <w:r w:rsidR="00F42612">
        <w:rPr>
          <w:sz w:val="28"/>
          <w:szCs w:val="28"/>
          <w:lang w:val="lv-LV"/>
        </w:rPr>
        <w:t xml:space="preserve"> ar pārvades sistēmu saistītais</w:t>
      </w:r>
      <w:r w:rsidR="009D2E82">
        <w:rPr>
          <w:sz w:val="28"/>
          <w:szCs w:val="28"/>
          <w:lang w:val="lv-LV"/>
        </w:rPr>
        <w:t>,</w:t>
      </w:r>
      <w:r w:rsidR="00F42612">
        <w:rPr>
          <w:sz w:val="28"/>
          <w:szCs w:val="28"/>
          <w:lang w:val="lv-LV"/>
        </w:rPr>
        <w:t xml:space="preserve"> nekustamais īpašums ir AS "Latvenergo" īpašumā. </w:t>
      </w:r>
    </w:p>
    <w:p w14:paraId="185B29A6" w14:textId="2611D4E2" w:rsidR="009D2E82" w:rsidRDefault="00EC3D22" w:rsidP="008C7F66">
      <w:pPr>
        <w:pStyle w:val="doc-ti"/>
        <w:spacing w:before="0" w:beforeAutospacing="0" w:after="0" w:afterAutospacing="0"/>
        <w:ind w:firstLine="851"/>
        <w:jc w:val="both"/>
        <w:rPr>
          <w:sz w:val="28"/>
          <w:szCs w:val="28"/>
          <w:lang w:val="lv-LV"/>
        </w:rPr>
      </w:pPr>
      <w:r w:rsidRPr="005C31F5">
        <w:rPr>
          <w:sz w:val="28"/>
          <w:szCs w:val="28"/>
          <w:lang w:val="lv-LV"/>
        </w:rPr>
        <w:t>Par  nekustamā īpašuma apsaimniekošanas un uzturēšanas funkciju pārņemšanu ir n</w:t>
      </w:r>
      <w:r w:rsidR="00AD22E4" w:rsidRPr="005C31F5">
        <w:rPr>
          <w:sz w:val="28"/>
          <w:szCs w:val="28"/>
          <w:lang w:val="lv-LV"/>
        </w:rPr>
        <w:t>oslēgta vienošanās starp LET un AST</w:t>
      </w:r>
      <w:r w:rsidR="00BF5523" w:rsidRPr="005C31F5">
        <w:rPr>
          <w:sz w:val="28"/>
          <w:szCs w:val="28"/>
          <w:lang w:val="lv-LV"/>
        </w:rPr>
        <w:t>,</w:t>
      </w:r>
      <w:r w:rsidRPr="005C31F5">
        <w:rPr>
          <w:sz w:val="28"/>
          <w:szCs w:val="28"/>
          <w:lang w:val="lv-LV"/>
        </w:rPr>
        <w:t xml:space="preserve"> un šo funkciju pārņemšana</w:t>
      </w:r>
      <w:r w:rsidR="00954289" w:rsidRPr="005C31F5">
        <w:rPr>
          <w:sz w:val="28"/>
          <w:szCs w:val="28"/>
          <w:lang w:val="lv-LV"/>
        </w:rPr>
        <w:t xml:space="preserve"> </w:t>
      </w:r>
      <w:r w:rsidR="00BF5523" w:rsidRPr="005C31F5">
        <w:rPr>
          <w:sz w:val="28"/>
          <w:szCs w:val="28"/>
          <w:lang w:val="lv-LV"/>
        </w:rPr>
        <w:t>ieviesta</w:t>
      </w:r>
      <w:r w:rsidR="00954289" w:rsidRPr="005C31F5">
        <w:rPr>
          <w:sz w:val="28"/>
          <w:szCs w:val="28"/>
          <w:lang w:val="lv-LV"/>
        </w:rPr>
        <w:t xml:space="preserve"> </w:t>
      </w:r>
      <w:r w:rsidR="00BE1550" w:rsidRPr="005C31F5">
        <w:rPr>
          <w:sz w:val="28"/>
          <w:szCs w:val="28"/>
          <w:lang w:val="lv-LV"/>
        </w:rPr>
        <w:t>ar</w:t>
      </w:r>
      <w:r w:rsidR="00AD22E4" w:rsidRPr="005C31F5">
        <w:rPr>
          <w:sz w:val="28"/>
          <w:szCs w:val="28"/>
          <w:lang w:val="lv-LV"/>
        </w:rPr>
        <w:t xml:space="preserve"> </w:t>
      </w:r>
      <w:r w:rsidR="00954289" w:rsidRPr="005C31F5">
        <w:rPr>
          <w:sz w:val="28"/>
          <w:szCs w:val="28"/>
          <w:lang w:val="lv-LV"/>
        </w:rPr>
        <w:t>2019.gada 1.februāri.</w:t>
      </w:r>
    </w:p>
    <w:p w14:paraId="1520B653" w14:textId="77777777" w:rsidR="00222FD6" w:rsidRPr="008C7F66" w:rsidRDefault="00222FD6" w:rsidP="008C7F66">
      <w:pPr>
        <w:pStyle w:val="doc-ti"/>
        <w:spacing w:before="0" w:beforeAutospacing="0" w:after="0" w:afterAutospacing="0"/>
        <w:ind w:firstLine="851"/>
        <w:jc w:val="both"/>
        <w:rPr>
          <w:rFonts w:eastAsia="Calibri"/>
          <w:sz w:val="28"/>
          <w:szCs w:val="28"/>
          <w:lang w:val="lv-LV"/>
        </w:rPr>
      </w:pPr>
    </w:p>
    <w:p w14:paraId="796ACC7F" w14:textId="77777777" w:rsidR="00CF1B6C" w:rsidRPr="005C31F5" w:rsidRDefault="00CF1B6C" w:rsidP="00CF1B6C">
      <w:pPr>
        <w:pStyle w:val="Heading3"/>
        <w:rPr>
          <w:lang w:val="lv-LV"/>
        </w:rPr>
      </w:pPr>
      <w:bookmarkStart w:id="10" w:name="_Toc256000025"/>
      <w:bookmarkStart w:id="11" w:name="_Toc256000012"/>
      <w:bookmarkStart w:id="12" w:name="_Toc256000004"/>
      <w:bookmarkStart w:id="13" w:name="_Toc3205704"/>
      <w:r w:rsidRPr="005C31F5">
        <w:rPr>
          <w:lang w:val="lv-LV"/>
        </w:rPr>
        <w:t>PSO darbība šobrīd</w:t>
      </w:r>
      <w:bookmarkEnd w:id="10"/>
      <w:bookmarkEnd w:id="11"/>
      <w:bookmarkEnd w:id="12"/>
      <w:bookmarkEnd w:id="13"/>
    </w:p>
    <w:p w14:paraId="11342DDC" w14:textId="77777777" w:rsidR="00CF1B6C" w:rsidRPr="005C31F5" w:rsidRDefault="00CF1B6C" w:rsidP="00CF1B6C">
      <w:pPr>
        <w:pStyle w:val="Heading2"/>
        <w:rPr>
          <w:lang w:val="lv-LV"/>
        </w:rPr>
      </w:pPr>
    </w:p>
    <w:p w14:paraId="19CFFF01" w14:textId="77777777" w:rsidR="00CF1B6C" w:rsidRPr="005C31F5" w:rsidRDefault="00CF1B6C" w:rsidP="00CF1B6C">
      <w:pPr>
        <w:pStyle w:val="doc-ti"/>
        <w:spacing w:before="0" w:beforeAutospacing="0" w:after="0" w:afterAutospacing="0"/>
        <w:ind w:firstLine="720"/>
        <w:jc w:val="both"/>
        <w:rPr>
          <w:sz w:val="28"/>
          <w:szCs w:val="28"/>
          <w:lang w:val="lv-LV"/>
        </w:rPr>
      </w:pPr>
      <w:r w:rsidRPr="005C31F5">
        <w:rPr>
          <w:sz w:val="28"/>
          <w:szCs w:val="28"/>
          <w:lang w:val="lv-LV"/>
        </w:rPr>
        <w:t>PSO ir atbildīgs par elektroapgādes drošumu, elektroenerģijas ražošanas un starpvalstu savienojumu jaudu rezervēšanu un enerģijas plūsmu vadību, ņemot vērā elektroenerģijas apmaiņu ar citām savienotām pārvades sistēmām, nodrošinot pienācīgu pārvades tīkla jaudu un stabilu sistēmas darbību. PSO, attīstot pārvades sistēmu, ir atbildīgs par jaunu pārvades infrastruktūras objektu plānošanu, būvniecību un nodošanu ekspluatācijā.</w:t>
      </w:r>
      <w:r w:rsidRPr="005C31F5">
        <w:rPr>
          <w:vertAlign w:val="superscript"/>
          <w:lang w:val="lv-LV"/>
        </w:rPr>
        <w:footnoteReference w:id="6"/>
      </w:r>
    </w:p>
    <w:p w14:paraId="5B769809" w14:textId="77777777" w:rsidR="00CF1B6C" w:rsidRPr="005C31F5" w:rsidRDefault="00CF1B6C" w:rsidP="00CF1B6C">
      <w:pPr>
        <w:pStyle w:val="doc-ti"/>
        <w:spacing w:before="0" w:beforeAutospacing="0" w:after="0" w:afterAutospacing="0"/>
        <w:ind w:firstLine="851"/>
        <w:jc w:val="both"/>
        <w:rPr>
          <w:sz w:val="28"/>
          <w:szCs w:val="28"/>
          <w:lang w:val="lv-LV"/>
        </w:rPr>
      </w:pPr>
      <w:r w:rsidRPr="005C31F5">
        <w:rPr>
          <w:sz w:val="28"/>
          <w:szCs w:val="28"/>
          <w:lang w:val="lv-LV"/>
        </w:rPr>
        <w:t xml:space="preserve">PSO  nodrošina elektroenerģijas plūsmu transportēšanu no elektroenerģijas ražotājiem un starpvalstu savienojumiem līdz lietotājiem (t.sk. sadales sistēmas operatoriem) vai tranzītu Latvijas Republikas teritorijā. </w:t>
      </w:r>
    </w:p>
    <w:p w14:paraId="6FB386D4" w14:textId="628DA669" w:rsidR="00CF1B6C" w:rsidRPr="005C31F5" w:rsidRDefault="00CF1B6C" w:rsidP="00CF1B6C">
      <w:pPr>
        <w:pStyle w:val="doc-ti"/>
        <w:spacing w:before="0" w:beforeAutospacing="0" w:after="0" w:afterAutospacing="0"/>
        <w:ind w:firstLine="709"/>
        <w:jc w:val="both"/>
        <w:rPr>
          <w:sz w:val="28"/>
          <w:szCs w:val="28"/>
          <w:lang w:val="lv-LV"/>
        </w:rPr>
      </w:pPr>
      <w:r w:rsidRPr="005C31F5">
        <w:rPr>
          <w:sz w:val="28"/>
          <w:szCs w:val="28"/>
          <w:lang w:val="lv-LV"/>
        </w:rPr>
        <w:t>AST patstāvīgi uztur nepieciešamo personālu (</w:t>
      </w:r>
      <w:r w:rsidR="006168C8" w:rsidRPr="005C31F5">
        <w:rPr>
          <w:sz w:val="28"/>
          <w:szCs w:val="28"/>
          <w:lang w:val="lv-LV"/>
        </w:rPr>
        <w:t xml:space="preserve">552 </w:t>
      </w:r>
      <w:r w:rsidRPr="005C31F5">
        <w:rPr>
          <w:sz w:val="28"/>
          <w:szCs w:val="28"/>
          <w:lang w:val="lv-LV"/>
        </w:rPr>
        <w:t>darbinieki</w:t>
      </w:r>
      <w:r w:rsidR="006168C8" w:rsidRPr="005C31F5">
        <w:rPr>
          <w:sz w:val="28"/>
          <w:szCs w:val="28"/>
          <w:lang w:val="lv-LV"/>
        </w:rPr>
        <w:t xml:space="preserve"> uz 31.12.2018.</w:t>
      </w:r>
      <w:r w:rsidRPr="005C31F5">
        <w:rPr>
          <w:sz w:val="28"/>
          <w:szCs w:val="28"/>
          <w:lang w:val="lv-LV"/>
        </w:rPr>
        <w:t>) un tehnisko kompetenci savas darbības nodrošināšanai.</w:t>
      </w:r>
    </w:p>
    <w:p w14:paraId="554872FE" w14:textId="77777777" w:rsidR="00CF1B6C" w:rsidRPr="005C31F5" w:rsidRDefault="00CF1B6C" w:rsidP="00CF1B6C">
      <w:pPr>
        <w:pStyle w:val="doc-ti"/>
        <w:spacing w:before="0" w:beforeAutospacing="0" w:after="0" w:afterAutospacing="0"/>
        <w:ind w:firstLine="709"/>
        <w:jc w:val="both"/>
        <w:rPr>
          <w:sz w:val="28"/>
          <w:szCs w:val="28"/>
          <w:lang w:val="lv-LV"/>
        </w:rPr>
      </w:pPr>
      <w:r w:rsidRPr="005C31F5">
        <w:rPr>
          <w:sz w:val="28"/>
          <w:szCs w:val="28"/>
          <w:lang w:val="lv-LV"/>
        </w:rPr>
        <w:t xml:space="preserve">Pamatdarbībai nepieciešamos pārvades sistēmas tehnoloģiskos aktīvus (augstsprieguma pārvades līnijas un apakšstacijas), AST nomā no LET, tai skaitā nomas darījumā iekļaujot arī to aktīvu daļu, kas pieder AS “Latvenergo” (tehnoloģiskās un biroju ēkas, zemes īpašumi, </w:t>
      </w:r>
      <w:r w:rsidR="00A96754" w:rsidRPr="005C31F5">
        <w:rPr>
          <w:sz w:val="28"/>
          <w:szCs w:val="28"/>
          <w:lang w:val="lv-LV"/>
        </w:rPr>
        <w:t xml:space="preserve">daļa no OPGW troses elektriskās daļas </w:t>
      </w:r>
      <w:proofErr w:type="spellStart"/>
      <w:r w:rsidR="00A96754" w:rsidRPr="005C31F5">
        <w:rPr>
          <w:sz w:val="28"/>
          <w:szCs w:val="28"/>
          <w:lang w:val="lv-LV"/>
        </w:rPr>
        <w:t>pārsprieguma</w:t>
      </w:r>
      <w:proofErr w:type="spellEnd"/>
      <w:r w:rsidR="00A96754" w:rsidRPr="005C31F5">
        <w:rPr>
          <w:sz w:val="28"/>
          <w:szCs w:val="28"/>
          <w:lang w:val="lv-LV"/>
        </w:rPr>
        <w:t xml:space="preserve"> aizsardzībai) un SIA "Lattelecom" (daļa no OPGW troses elektriskās daļas </w:t>
      </w:r>
      <w:proofErr w:type="spellStart"/>
      <w:r w:rsidR="00A96754" w:rsidRPr="005C31F5">
        <w:rPr>
          <w:sz w:val="28"/>
          <w:szCs w:val="28"/>
          <w:lang w:val="lv-LV"/>
        </w:rPr>
        <w:t>pārsprieguma</w:t>
      </w:r>
      <w:proofErr w:type="spellEnd"/>
      <w:r w:rsidR="00A96754" w:rsidRPr="005C31F5">
        <w:rPr>
          <w:sz w:val="28"/>
          <w:szCs w:val="28"/>
          <w:lang w:val="lv-LV"/>
        </w:rPr>
        <w:t xml:space="preserve"> aizsardzībai) (skat. 1.tabulu). No jauna radītie pārvades sistēmas aktīvi kļūst</w:t>
      </w:r>
      <w:r w:rsidRPr="005C31F5">
        <w:rPr>
          <w:sz w:val="28"/>
          <w:szCs w:val="28"/>
          <w:lang w:val="lv-LV"/>
        </w:rPr>
        <w:t xml:space="preserve"> par LET īpašumu un tiek iekļauti nomāto aktīvu bāzē. LET nodrošina finansējumu no jauna radāmo aktīvu izbūvei. Nomas maksa tiek noteikta atbilstoši Regulatora apstiprinātai metodikai un tiek iekļauta pārvades sistēmas pakalpojumu tarifā.</w:t>
      </w:r>
    </w:p>
    <w:p w14:paraId="57705D67" w14:textId="77777777" w:rsidR="00CF1B6C" w:rsidRPr="005C31F5" w:rsidRDefault="00CF1B6C" w:rsidP="00CF1B6C">
      <w:pPr>
        <w:pStyle w:val="doc-ti"/>
        <w:spacing w:before="0" w:beforeAutospacing="0" w:after="0" w:afterAutospacing="0"/>
        <w:ind w:firstLine="709"/>
        <w:jc w:val="right"/>
        <w:rPr>
          <w:sz w:val="28"/>
          <w:szCs w:val="28"/>
          <w:lang w:val="lv-LV"/>
        </w:rPr>
      </w:pPr>
      <w:r w:rsidRPr="005C31F5">
        <w:rPr>
          <w:sz w:val="28"/>
          <w:szCs w:val="28"/>
          <w:lang w:val="lv-LV"/>
        </w:rPr>
        <w:t>1.tabula</w:t>
      </w:r>
    </w:p>
    <w:p w14:paraId="0CBC1E2D" w14:textId="77777777" w:rsidR="00CF1B6C" w:rsidRPr="005C31F5" w:rsidRDefault="00CF1B6C" w:rsidP="00CF1B6C">
      <w:pPr>
        <w:pStyle w:val="doc-ti"/>
        <w:spacing w:before="0" w:beforeAutospacing="0" w:after="0" w:afterAutospacing="0"/>
        <w:ind w:firstLine="709"/>
        <w:jc w:val="center"/>
        <w:rPr>
          <w:i/>
          <w:sz w:val="28"/>
          <w:szCs w:val="28"/>
          <w:lang w:val="lv-LV"/>
        </w:rPr>
      </w:pPr>
      <w:r w:rsidRPr="005C31F5">
        <w:rPr>
          <w:i/>
          <w:color w:val="000000"/>
          <w:sz w:val="28"/>
          <w:szCs w:val="28"/>
          <w:lang w:val="lv-LV" w:eastAsia="lv-LV"/>
        </w:rPr>
        <w:t>Pārvades aktīvu gada nomas maksa, milj. EUR</w:t>
      </w:r>
    </w:p>
    <w:tbl>
      <w:tblPr>
        <w:tblW w:w="9209" w:type="dxa"/>
        <w:tblInd w:w="113" w:type="dxa"/>
        <w:tblLook w:val="04A0" w:firstRow="1" w:lastRow="0" w:firstColumn="1" w:lastColumn="0" w:noHBand="0" w:noVBand="1"/>
      </w:tblPr>
      <w:tblGrid>
        <w:gridCol w:w="3964"/>
        <w:gridCol w:w="1418"/>
        <w:gridCol w:w="1276"/>
        <w:gridCol w:w="1275"/>
        <w:gridCol w:w="1276"/>
      </w:tblGrid>
      <w:tr w:rsidR="00CF1B6C" w:rsidRPr="005C31F5" w14:paraId="3F33C940" w14:textId="77777777" w:rsidTr="004A19A0">
        <w:trPr>
          <w:trHeight w:val="28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E4B16" w14:textId="77777777" w:rsidR="00CF1B6C" w:rsidRPr="005C31F5" w:rsidRDefault="00CF1B6C" w:rsidP="004A19A0">
            <w:pPr>
              <w:rPr>
                <w:b/>
                <w:bCs/>
                <w:color w:val="000000"/>
                <w:sz w:val="28"/>
                <w:szCs w:val="28"/>
                <w:lang w:val="lv-LV" w:eastAsia="lv-LV"/>
              </w:rPr>
            </w:pPr>
            <w:r w:rsidRPr="005C31F5">
              <w:rPr>
                <w:b/>
                <w:bCs/>
                <w:color w:val="000000"/>
                <w:sz w:val="28"/>
                <w:szCs w:val="28"/>
                <w:lang w:val="lv-LV" w:eastAsia="lv-LV"/>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5F36150" w14:textId="77777777" w:rsidR="00CF1B6C" w:rsidRPr="005C31F5" w:rsidRDefault="00CF1B6C" w:rsidP="004A19A0">
            <w:pPr>
              <w:jc w:val="right"/>
              <w:rPr>
                <w:b/>
                <w:bCs/>
                <w:color w:val="000000"/>
                <w:sz w:val="28"/>
                <w:szCs w:val="28"/>
                <w:lang w:val="lv-LV" w:eastAsia="lv-LV"/>
              </w:rPr>
            </w:pPr>
            <w:r w:rsidRPr="005C31F5">
              <w:rPr>
                <w:b/>
                <w:bCs/>
                <w:color w:val="000000"/>
                <w:sz w:val="28"/>
                <w:szCs w:val="28"/>
                <w:lang w:val="lv-LV" w:eastAsia="lv-LV"/>
              </w:rPr>
              <w:t>2018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E8F721" w14:textId="77777777" w:rsidR="00CF1B6C" w:rsidRPr="005C31F5" w:rsidRDefault="00CF1B6C" w:rsidP="004A19A0">
            <w:pPr>
              <w:jc w:val="right"/>
              <w:rPr>
                <w:b/>
                <w:bCs/>
                <w:color w:val="000000"/>
                <w:sz w:val="28"/>
                <w:szCs w:val="28"/>
                <w:lang w:val="lv-LV" w:eastAsia="lv-LV"/>
              </w:rPr>
            </w:pPr>
            <w:r w:rsidRPr="005C31F5">
              <w:rPr>
                <w:b/>
                <w:bCs/>
                <w:color w:val="000000"/>
                <w:sz w:val="28"/>
                <w:szCs w:val="28"/>
                <w:lang w:val="lv-LV" w:eastAsia="lv-LV"/>
              </w:rPr>
              <w:t>2017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85D8840" w14:textId="77777777" w:rsidR="00CF1B6C" w:rsidRPr="005C31F5" w:rsidRDefault="00CF1B6C" w:rsidP="004A19A0">
            <w:pPr>
              <w:jc w:val="right"/>
              <w:rPr>
                <w:b/>
                <w:bCs/>
                <w:color w:val="000000"/>
                <w:sz w:val="28"/>
                <w:szCs w:val="28"/>
                <w:lang w:val="lv-LV" w:eastAsia="lv-LV"/>
              </w:rPr>
            </w:pPr>
            <w:r w:rsidRPr="005C31F5">
              <w:rPr>
                <w:b/>
                <w:bCs/>
                <w:color w:val="000000"/>
                <w:sz w:val="28"/>
                <w:szCs w:val="28"/>
                <w:lang w:val="lv-LV" w:eastAsia="lv-LV"/>
              </w:rPr>
              <w:t>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40E23A" w14:textId="77777777" w:rsidR="00CF1B6C" w:rsidRPr="005C31F5" w:rsidRDefault="00CF1B6C" w:rsidP="004A19A0">
            <w:pPr>
              <w:jc w:val="right"/>
              <w:rPr>
                <w:b/>
                <w:bCs/>
                <w:color w:val="000000"/>
                <w:sz w:val="28"/>
                <w:szCs w:val="28"/>
                <w:lang w:val="lv-LV" w:eastAsia="lv-LV"/>
              </w:rPr>
            </w:pPr>
            <w:r w:rsidRPr="005C31F5">
              <w:rPr>
                <w:b/>
                <w:bCs/>
                <w:color w:val="000000"/>
                <w:sz w:val="28"/>
                <w:szCs w:val="28"/>
                <w:lang w:val="lv-LV" w:eastAsia="lv-LV"/>
              </w:rPr>
              <w:t>2015</w:t>
            </w:r>
          </w:p>
        </w:tc>
      </w:tr>
      <w:tr w:rsidR="00CF1B6C" w:rsidRPr="005C31F5" w14:paraId="553894EA" w14:textId="77777777" w:rsidTr="004A19A0">
        <w:trPr>
          <w:trHeight w:val="28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0BC7198" w14:textId="77777777" w:rsidR="00CF1B6C" w:rsidRPr="005C31F5" w:rsidRDefault="00CF1B6C" w:rsidP="004A19A0">
            <w:pPr>
              <w:rPr>
                <w:color w:val="000000"/>
                <w:sz w:val="28"/>
                <w:szCs w:val="28"/>
                <w:lang w:val="lv-LV" w:eastAsia="lv-LV"/>
              </w:rPr>
            </w:pPr>
            <w:r w:rsidRPr="005C31F5">
              <w:rPr>
                <w:color w:val="000000"/>
                <w:sz w:val="28"/>
                <w:szCs w:val="28"/>
                <w:lang w:val="lv-LV" w:eastAsia="lv-LV"/>
              </w:rPr>
              <w:t>Pārvades aktīvu gada nomas maksa, milj. EUR</w:t>
            </w:r>
          </w:p>
        </w:tc>
        <w:tc>
          <w:tcPr>
            <w:tcW w:w="1418" w:type="dxa"/>
            <w:tcBorders>
              <w:top w:val="nil"/>
              <w:left w:val="nil"/>
              <w:bottom w:val="single" w:sz="4" w:space="0" w:color="auto"/>
              <w:right w:val="single" w:sz="4" w:space="0" w:color="auto"/>
            </w:tcBorders>
            <w:shd w:val="clear" w:color="auto" w:fill="auto"/>
            <w:noWrap/>
            <w:vAlign w:val="center"/>
            <w:hideMark/>
          </w:tcPr>
          <w:p w14:paraId="185EA9CA" w14:textId="4AF3F214" w:rsidR="00CF1B6C" w:rsidRPr="005C31F5" w:rsidRDefault="00CF1B6C" w:rsidP="004A19A0">
            <w:pPr>
              <w:jc w:val="right"/>
              <w:rPr>
                <w:color w:val="000000"/>
                <w:sz w:val="28"/>
                <w:szCs w:val="28"/>
                <w:lang w:val="lv-LV" w:eastAsia="lv-LV"/>
              </w:rPr>
            </w:pPr>
            <w:r w:rsidRPr="005C31F5">
              <w:rPr>
                <w:color w:val="000000"/>
                <w:sz w:val="28"/>
                <w:szCs w:val="28"/>
                <w:lang w:val="lv-LV" w:eastAsia="lv-LV"/>
              </w:rPr>
              <w:t>38,</w:t>
            </w:r>
            <w:r w:rsidR="00D03476" w:rsidRPr="005C31F5">
              <w:rPr>
                <w:color w:val="000000"/>
                <w:sz w:val="28"/>
                <w:szCs w:val="28"/>
                <w:lang w:val="lv-LV" w:eastAsia="lv-LV"/>
              </w:rPr>
              <w:t>934</w:t>
            </w:r>
          </w:p>
        </w:tc>
        <w:tc>
          <w:tcPr>
            <w:tcW w:w="1276" w:type="dxa"/>
            <w:tcBorders>
              <w:top w:val="nil"/>
              <w:left w:val="nil"/>
              <w:bottom w:val="single" w:sz="4" w:space="0" w:color="auto"/>
              <w:right w:val="single" w:sz="4" w:space="0" w:color="auto"/>
            </w:tcBorders>
            <w:shd w:val="clear" w:color="auto" w:fill="auto"/>
            <w:noWrap/>
            <w:vAlign w:val="center"/>
            <w:hideMark/>
          </w:tcPr>
          <w:p w14:paraId="02A46E7F" w14:textId="77777777" w:rsidR="00CF1B6C" w:rsidRPr="005C31F5" w:rsidRDefault="00CF1B6C" w:rsidP="004A19A0">
            <w:pPr>
              <w:jc w:val="right"/>
              <w:rPr>
                <w:color w:val="000000"/>
                <w:sz w:val="28"/>
                <w:szCs w:val="28"/>
                <w:lang w:val="lv-LV" w:eastAsia="lv-LV"/>
              </w:rPr>
            </w:pPr>
            <w:r w:rsidRPr="005C31F5">
              <w:rPr>
                <w:color w:val="000000"/>
                <w:sz w:val="28"/>
                <w:szCs w:val="28"/>
                <w:lang w:val="lv-LV" w:eastAsia="lv-LV"/>
              </w:rPr>
              <w:t>43,673</w:t>
            </w:r>
          </w:p>
        </w:tc>
        <w:tc>
          <w:tcPr>
            <w:tcW w:w="1275" w:type="dxa"/>
            <w:tcBorders>
              <w:top w:val="nil"/>
              <w:left w:val="nil"/>
              <w:bottom w:val="single" w:sz="4" w:space="0" w:color="auto"/>
              <w:right w:val="single" w:sz="4" w:space="0" w:color="auto"/>
            </w:tcBorders>
            <w:shd w:val="clear" w:color="auto" w:fill="auto"/>
            <w:noWrap/>
            <w:vAlign w:val="center"/>
            <w:hideMark/>
          </w:tcPr>
          <w:p w14:paraId="792FB5E1" w14:textId="77777777" w:rsidR="00CF1B6C" w:rsidRPr="005C31F5" w:rsidRDefault="00CF1B6C" w:rsidP="004A19A0">
            <w:pPr>
              <w:jc w:val="right"/>
              <w:rPr>
                <w:color w:val="000000"/>
                <w:sz w:val="28"/>
                <w:szCs w:val="28"/>
                <w:lang w:val="lv-LV" w:eastAsia="lv-LV"/>
              </w:rPr>
            </w:pPr>
            <w:r w:rsidRPr="005C31F5">
              <w:rPr>
                <w:color w:val="000000"/>
                <w:sz w:val="28"/>
                <w:szCs w:val="28"/>
                <w:lang w:val="lv-LV" w:eastAsia="lv-LV"/>
              </w:rPr>
              <w:t>45,392</w:t>
            </w:r>
          </w:p>
        </w:tc>
        <w:tc>
          <w:tcPr>
            <w:tcW w:w="1276" w:type="dxa"/>
            <w:tcBorders>
              <w:top w:val="nil"/>
              <w:left w:val="nil"/>
              <w:bottom w:val="single" w:sz="4" w:space="0" w:color="auto"/>
              <w:right w:val="single" w:sz="4" w:space="0" w:color="auto"/>
            </w:tcBorders>
            <w:shd w:val="clear" w:color="auto" w:fill="auto"/>
            <w:noWrap/>
            <w:vAlign w:val="center"/>
            <w:hideMark/>
          </w:tcPr>
          <w:p w14:paraId="36617E57" w14:textId="77777777" w:rsidR="00CF1B6C" w:rsidRPr="005C31F5" w:rsidRDefault="00CF1B6C" w:rsidP="004A19A0">
            <w:pPr>
              <w:jc w:val="right"/>
              <w:rPr>
                <w:color w:val="000000"/>
                <w:sz w:val="28"/>
                <w:szCs w:val="28"/>
                <w:lang w:val="lv-LV" w:eastAsia="lv-LV"/>
              </w:rPr>
            </w:pPr>
            <w:r w:rsidRPr="005C31F5">
              <w:rPr>
                <w:color w:val="000000"/>
                <w:sz w:val="28"/>
                <w:szCs w:val="28"/>
                <w:lang w:val="lv-LV" w:eastAsia="lv-LV"/>
              </w:rPr>
              <w:t>43,608</w:t>
            </w:r>
          </w:p>
        </w:tc>
      </w:tr>
    </w:tbl>
    <w:p w14:paraId="76B5AF85" w14:textId="77777777" w:rsidR="00CF1B6C" w:rsidRPr="005C31F5" w:rsidRDefault="00CF1B6C" w:rsidP="00CF1B6C">
      <w:pPr>
        <w:pStyle w:val="doc-ti"/>
        <w:spacing w:before="0" w:beforeAutospacing="0" w:after="0" w:afterAutospacing="0"/>
        <w:ind w:firstLine="851"/>
        <w:jc w:val="both"/>
        <w:rPr>
          <w:bCs/>
          <w:sz w:val="28"/>
          <w:szCs w:val="28"/>
          <w:shd w:val="clear" w:color="auto" w:fill="FFFFFF"/>
          <w:lang w:val="lv-LV"/>
        </w:rPr>
      </w:pPr>
    </w:p>
    <w:p w14:paraId="7EBCE423" w14:textId="7B6823FF" w:rsidR="00CF1B6C" w:rsidRPr="005C31F5" w:rsidRDefault="00CF1B6C" w:rsidP="004B538B">
      <w:pPr>
        <w:pStyle w:val="doc-ti"/>
        <w:spacing w:before="0" w:beforeAutospacing="0" w:after="0" w:afterAutospacing="0"/>
        <w:ind w:firstLine="709"/>
        <w:jc w:val="both"/>
        <w:rPr>
          <w:bCs/>
          <w:sz w:val="28"/>
          <w:szCs w:val="28"/>
          <w:shd w:val="clear" w:color="auto" w:fill="FFFFFF"/>
          <w:lang w:val="lv-LV"/>
        </w:rPr>
      </w:pPr>
      <w:r w:rsidRPr="005C31F5">
        <w:rPr>
          <w:sz w:val="28"/>
          <w:szCs w:val="28"/>
          <w:lang w:val="lv-LV"/>
        </w:rPr>
        <w:t xml:space="preserve">No jauna radāmie aktīvi (pārvades līnijas, apakšstacijas) AST ir </w:t>
      </w:r>
      <w:r w:rsidR="00251D8F" w:rsidRPr="005C31F5">
        <w:rPr>
          <w:sz w:val="28"/>
          <w:szCs w:val="28"/>
          <w:lang w:val="lv-LV"/>
        </w:rPr>
        <w:t>jāizbūvē</w:t>
      </w:r>
      <w:r w:rsidRPr="005C31F5">
        <w:rPr>
          <w:sz w:val="28"/>
          <w:szCs w:val="28"/>
          <w:lang w:val="lv-LV"/>
        </w:rPr>
        <w:t xml:space="preserve">, rīkojoties trešo personu (LET un AS "Latvenergo") vārdā, kas rada papildus darbības. </w:t>
      </w:r>
      <w:bookmarkStart w:id="14" w:name="_Hlk536690256"/>
      <w:r w:rsidRPr="005C31F5">
        <w:rPr>
          <w:sz w:val="28"/>
          <w:szCs w:val="28"/>
          <w:lang w:val="lv-LV"/>
        </w:rPr>
        <w:t>Kapitālieguldījumu saskaņošana ir jāveic arī ar LET un AS "Latvenergo"</w:t>
      </w:r>
      <w:bookmarkEnd w:id="14"/>
      <w:r w:rsidR="004B538B">
        <w:rPr>
          <w:sz w:val="28"/>
          <w:szCs w:val="28"/>
          <w:lang w:val="lv-LV"/>
        </w:rPr>
        <w:t>.</w:t>
      </w:r>
    </w:p>
    <w:p w14:paraId="2F891D2F" w14:textId="77777777" w:rsidR="00CF1B6C" w:rsidRPr="005C31F5" w:rsidRDefault="00CF1B6C" w:rsidP="00CF1B6C">
      <w:pPr>
        <w:pStyle w:val="doc-ti"/>
        <w:spacing w:before="0" w:beforeAutospacing="0" w:after="0" w:afterAutospacing="0"/>
        <w:ind w:firstLine="851"/>
        <w:jc w:val="both"/>
        <w:rPr>
          <w:bCs/>
          <w:sz w:val="28"/>
          <w:szCs w:val="28"/>
          <w:shd w:val="clear" w:color="auto" w:fill="FFFFFF"/>
          <w:lang w:val="lv-LV"/>
        </w:rPr>
      </w:pPr>
    </w:p>
    <w:p w14:paraId="3A316153" w14:textId="11F74C6B" w:rsidR="00CF1B6C" w:rsidRDefault="00CF1B6C" w:rsidP="00CF1B6C">
      <w:pPr>
        <w:pStyle w:val="doc-ti"/>
        <w:spacing w:before="0" w:beforeAutospacing="0" w:after="0" w:afterAutospacing="0"/>
        <w:ind w:firstLine="709"/>
        <w:jc w:val="both"/>
        <w:rPr>
          <w:bCs/>
          <w:sz w:val="28"/>
          <w:szCs w:val="28"/>
          <w:shd w:val="clear" w:color="auto" w:fill="FFFFFF"/>
          <w:lang w:val="lv-LV"/>
        </w:rPr>
      </w:pPr>
      <w:r w:rsidRPr="005C31F5">
        <w:rPr>
          <w:sz w:val="28"/>
          <w:szCs w:val="28"/>
          <w:lang w:val="lv-LV"/>
        </w:rPr>
        <w:t>PSO neatkarības prasību ievērošanu uzrauga Regulators, kuram ir papildus jāveic arī sistēmas īpašnieka – LET uzraudzība</w:t>
      </w:r>
      <w:r w:rsidRPr="005C31F5">
        <w:rPr>
          <w:bCs/>
          <w:sz w:val="28"/>
          <w:szCs w:val="28"/>
          <w:shd w:val="clear" w:color="auto" w:fill="FFFFFF"/>
          <w:lang w:val="lv-LV"/>
        </w:rPr>
        <w:t xml:space="preserve">. </w:t>
      </w:r>
    </w:p>
    <w:p w14:paraId="556175E1" w14:textId="77777777" w:rsidR="00805371" w:rsidRDefault="00805371" w:rsidP="00CF1B6C">
      <w:pPr>
        <w:pStyle w:val="doc-ti"/>
        <w:spacing w:before="0" w:beforeAutospacing="0" w:after="0" w:afterAutospacing="0"/>
        <w:ind w:firstLine="709"/>
        <w:jc w:val="both"/>
        <w:rPr>
          <w:sz w:val="28"/>
          <w:szCs w:val="28"/>
          <w:shd w:val="clear" w:color="auto" w:fill="FFFFFF"/>
          <w:lang w:val="lv-LV"/>
        </w:rPr>
      </w:pPr>
      <w:r w:rsidRPr="00805371">
        <w:rPr>
          <w:bCs/>
          <w:sz w:val="28"/>
          <w:szCs w:val="28"/>
          <w:shd w:val="clear" w:color="auto" w:fill="FFFFFF"/>
          <w:lang w:val="lv-LV"/>
        </w:rPr>
        <w:t>Neatkarīga sistēmas operatora modeļa ietvaros LET</w:t>
      </w:r>
      <w:r>
        <w:rPr>
          <w:bCs/>
          <w:sz w:val="28"/>
          <w:szCs w:val="28"/>
          <w:shd w:val="clear" w:color="auto" w:fill="FFFFFF"/>
          <w:lang w:val="lv-LV"/>
        </w:rPr>
        <w:t xml:space="preserve"> </w:t>
      </w:r>
      <w:r w:rsidRPr="00805371">
        <w:rPr>
          <w:bCs/>
          <w:sz w:val="28"/>
          <w:szCs w:val="28"/>
          <w:shd w:val="clear" w:color="auto" w:fill="FFFFFF"/>
          <w:lang w:val="lv-LV"/>
        </w:rPr>
        <w:t>kā pārvades sistēmas aktīvu īpašnieks finansējumu saskaņo</w:t>
      </w:r>
      <w:r>
        <w:rPr>
          <w:bCs/>
          <w:sz w:val="28"/>
          <w:szCs w:val="28"/>
          <w:shd w:val="clear" w:color="auto" w:fill="FFFFFF"/>
          <w:lang w:val="lv-LV"/>
        </w:rPr>
        <w:t>,</w:t>
      </w:r>
      <w:r w:rsidRPr="00805371">
        <w:rPr>
          <w:bCs/>
          <w:sz w:val="28"/>
          <w:szCs w:val="28"/>
          <w:shd w:val="clear" w:color="auto" w:fill="FFFFFF"/>
          <w:lang w:val="lv-LV"/>
        </w:rPr>
        <w:t xml:space="preserve"> pamatojoties </w:t>
      </w:r>
      <w:r>
        <w:rPr>
          <w:bCs/>
          <w:sz w:val="28"/>
          <w:szCs w:val="28"/>
          <w:shd w:val="clear" w:color="auto" w:fill="FFFFFF"/>
          <w:lang w:val="lv-LV"/>
        </w:rPr>
        <w:t xml:space="preserve">gan </w:t>
      </w:r>
      <w:r w:rsidRPr="00805371">
        <w:rPr>
          <w:bCs/>
          <w:sz w:val="28"/>
          <w:szCs w:val="28"/>
          <w:shd w:val="clear" w:color="auto" w:fill="FFFFFF"/>
          <w:lang w:val="lv-LV"/>
        </w:rPr>
        <w:t xml:space="preserve">uz </w:t>
      </w:r>
      <w:r>
        <w:rPr>
          <w:bCs/>
          <w:sz w:val="28"/>
          <w:szCs w:val="28"/>
          <w:shd w:val="clear" w:color="auto" w:fill="FFFFFF"/>
          <w:lang w:val="lv-LV"/>
        </w:rPr>
        <w:t>Regulatora</w:t>
      </w:r>
      <w:r w:rsidRPr="00805371">
        <w:rPr>
          <w:bCs/>
          <w:sz w:val="28"/>
          <w:szCs w:val="28"/>
          <w:shd w:val="clear" w:color="auto" w:fill="FFFFFF"/>
          <w:lang w:val="lv-LV"/>
        </w:rPr>
        <w:t xml:space="preserve"> apstiprināto 10 gadu attīstības plānu, gan uz AST pieņemt</w:t>
      </w:r>
      <w:r>
        <w:rPr>
          <w:bCs/>
          <w:sz w:val="28"/>
          <w:szCs w:val="28"/>
          <w:shd w:val="clear" w:color="auto" w:fill="FFFFFF"/>
          <w:lang w:val="lv-LV"/>
        </w:rPr>
        <w:t>o</w:t>
      </w:r>
      <w:r w:rsidRPr="00805371">
        <w:rPr>
          <w:bCs/>
          <w:sz w:val="28"/>
          <w:szCs w:val="28"/>
          <w:shd w:val="clear" w:color="auto" w:fill="FFFFFF"/>
          <w:lang w:val="lv-LV"/>
        </w:rPr>
        <w:t xml:space="preserve"> lēmum</w:t>
      </w:r>
      <w:r>
        <w:rPr>
          <w:bCs/>
          <w:sz w:val="28"/>
          <w:szCs w:val="28"/>
          <w:shd w:val="clear" w:color="auto" w:fill="FFFFFF"/>
          <w:lang w:val="lv-LV"/>
        </w:rPr>
        <w:t>u</w:t>
      </w:r>
      <w:r w:rsidRPr="00805371">
        <w:rPr>
          <w:bCs/>
          <w:sz w:val="28"/>
          <w:szCs w:val="28"/>
          <w:shd w:val="clear" w:color="auto" w:fill="FFFFFF"/>
          <w:lang w:val="lv-LV"/>
        </w:rPr>
        <w:t xml:space="preserve"> pamata.</w:t>
      </w:r>
      <w:r>
        <w:rPr>
          <w:bCs/>
          <w:sz w:val="28"/>
          <w:szCs w:val="28"/>
          <w:shd w:val="clear" w:color="auto" w:fill="FFFFFF"/>
          <w:lang w:val="lv-LV"/>
        </w:rPr>
        <w:t xml:space="preserve"> Nepieciešamo saskaņojumu process pašlaik ir laikietilpīgs un komplicēts. Tāpat, </w:t>
      </w:r>
      <w:r w:rsidRPr="005C31F5">
        <w:rPr>
          <w:sz w:val="28"/>
          <w:szCs w:val="28"/>
          <w:shd w:val="clear" w:color="auto" w:fill="FFFFFF"/>
          <w:lang w:val="lv-LV"/>
        </w:rPr>
        <w:t xml:space="preserve">AST ir ierobežotas patstāvīgas finanšu līdzekļu aizņemšanās iespējas un </w:t>
      </w:r>
      <w:r>
        <w:rPr>
          <w:sz w:val="28"/>
          <w:szCs w:val="28"/>
          <w:shd w:val="clear" w:color="auto" w:fill="FFFFFF"/>
          <w:lang w:val="lv-LV"/>
        </w:rPr>
        <w:t xml:space="preserve">apgrūtinātas iespējas veikt </w:t>
      </w:r>
      <w:r w:rsidRPr="005C31F5">
        <w:rPr>
          <w:sz w:val="28"/>
          <w:szCs w:val="28"/>
          <w:shd w:val="clear" w:color="auto" w:fill="FFFFFF"/>
          <w:lang w:val="lv-LV"/>
        </w:rPr>
        <w:t>ieguldījums PSO aktīvos</w:t>
      </w:r>
      <w:r>
        <w:rPr>
          <w:sz w:val="28"/>
          <w:szCs w:val="28"/>
          <w:shd w:val="clear" w:color="auto" w:fill="FFFFFF"/>
          <w:lang w:val="lv-LV"/>
        </w:rPr>
        <w:t xml:space="preserve"> esošā īpašumtiesību modeļa ievaros</w:t>
      </w:r>
      <w:r w:rsidRPr="005C31F5">
        <w:rPr>
          <w:sz w:val="28"/>
          <w:szCs w:val="28"/>
          <w:shd w:val="clear" w:color="auto" w:fill="FFFFFF"/>
          <w:lang w:val="lv-LV"/>
        </w:rPr>
        <w:t>.</w:t>
      </w:r>
      <w:r>
        <w:rPr>
          <w:sz w:val="28"/>
          <w:szCs w:val="28"/>
          <w:shd w:val="clear" w:color="auto" w:fill="FFFFFF"/>
          <w:lang w:val="lv-LV"/>
        </w:rPr>
        <w:t xml:space="preserve"> </w:t>
      </w:r>
    </w:p>
    <w:p w14:paraId="573B66CF" w14:textId="16F421A4" w:rsidR="007048B4" w:rsidRPr="005C31F5" w:rsidRDefault="00805371" w:rsidP="00CF1B6C">
      <w:pPr>
        <w:pStyle w:val="doc-ti"/>
        <w:spacing w:before="0" w:beforeAutospacing="0" w:after="0" w:afterAutospacing="0"/>
        <w:ind w:firstLine="709"/>
        <w:jc w:val="both"/>
        <w:rPr>
          <w:bCs/>
          <w:sz w:val="28"/>
          <w:szCs w:val="28"/>
          <w:shd w:val="clear" w:color="auto" w:fill="FFFFFF"/>
          <w:lang w:val="lv-LV"/>
        </w:rPr>
      </w:pPr>
      <w:r w:rsidRPr="00805371">
        <w:rPr>
          <w:bCs/>
          <w:sz w:val="28"/>
          <w:szCs w:val="28"/>
          <w:shd w:val="clear" w:color="auto" w:fill="FFFFFF"/>
          <w:lang w:val="lv-LV"/>
        </w:rPr>
        <w:t>Reizi gadā LET akcionāram tiek sniegta informāciju par projektu realizācijai nepieciešamajām investīcijām, lai tādējādi varētu piesaistīt finansējumu pārvades sistēmai nepieciešamo investīciju finansēšanai</w:t>
      </w:r>
      <w:r>
        <w:rPr>
          <w:bCs/>
          <w:sz w:val="28"/>
          <w:szCs w:val="28"/>
          <w:shd w:val="clear" w:color="auto" w:fill="FFFFFF"/>
          <w:lang w:val="lv-LV"/>
        </w:rPr>
        <w:t>.</w:t>
      </w:r>
    </w:p>
    <w:p w14:paraId="3A2A1DF8" w14:textId="04B1071B" w:rsidR="00CF1B6C" w:rsidRPr="005C31F5" w:rsidRDefault="00CF1B6C" w:rsidP="00CF1B6C">
      <w:pPr>
        <w:ind w:firstLine="720"/>
        <w:jc w:val="both"/>
        <w:rPr>
          <w:sz w:val="28"/>
          <w:szCs w:val="28"/>
          <w:shd w:val="clear" w:color="auto" w:fill="FFFFFF"/>
          <w:lang w:val="lv-LV"/>
        </w:rPr>
      </w:pPr>
      <w:bookmarkStart w:id="15" w:name="_Hlk536690199"/>
      <w:r w:rsidRPr="005C31F5">
        <w:rPr>
          <w:sz w:val="28"/>
          <w:szCs w:val="28"/>
          <w:shd w:val="clear" w:color="auto" w:fill="FFFFFF"/>
          <w:lang w:val="lv-LV"/>
        </w:rPr>
        <w:t>Tā kā jaunradīto pārvades sistēmas aktīvu īpašniek</w:t>
      </w:r>
      <w:r w:rsidR="000A6A89" w:rsidRPr="005C31F5">
        <w:rPr>
          <w:sz w:val="28"/>
          <w:szCs w:val="28"/>
          <w:shd w:val="clear" w:color="auto" w:fill="FFFFFF"/>
          <w:lang w:val="lv-LV"/>
        </w:rPr>
        <w:t>s ir LET nevis PSO</w:t>
      </w:r>
      <w:r w:rsidR="00A40612" w:rsidRPr="005C31F5">
        <w:rPr>
          <w:sz w:val="28"/>
          <w:szCs w:val="28"/>
          <w:shd w:val="clear" w:color="auto" w:fill="FFFFFF"/>
          <w:lang w:val="lv-LV"/>
        </w:rPr>
        <w:t xml:space="preserve">, </w:t>
      </w:r>
      <w:r w:rsidRPr="005C31F5">
        <w:rPr>
          <w:sz w:val="28"/>
          <w:szCs w:val="28"/>
          <w:shd w:val="clear" w:color="auto" w:fill="FFFFFF"/>
          <w:lang w:val="lv-LV"/>
        </w:rPr>
        <w:t xml:space="preserve">šobrīd </w:t>
      </w:r>
      <w:proofErr w:type="spellStart"/>
      <w:r w:rsidRPr="005C31F5">
        <w:rPr>
          <w:sz w:val="28"/>
          <w:szCs w:val="28"/>
          <w:shd w:val="clear" w:color="auto" w:fill="FFFFFF"/>
          <w:lang w:val="lv-LV"/>
        </w:rPr>
        <w:t>grantu</w:t>
      </w:r>
      <w:proofErr w:type="spellEnd"/>
      <w:r w:rsidRPr="005C31F5">
        <w:rPr>
          <w:sz w:val="28"/>
          <w:szCs w:val="28"/>
          <w:shd w:val="clear" w:color="auto" w:fill="FFFFFF"/>
          <w:lang w:val="lv-LV"/>
        </w:rPr>
        <w:t xml:space="preserve"> līgumi pārvades sistēmas attīstības projektiem tiek slēgti trīspusēji – starp AST, LET un Eiropas inovāciju un tīklu </w:t>
      </w:r>
      <w:proofErr w:type="spellStart"/>
      <w:r w:rsidRPr="005C31F5">
        <w:rPr>
          <w:sz w:val="28"/>
          <w:szCs w:val="28"/>
          <w:shd w:val="clear" w:color="auto" w:fill="FFFFFF"/>
          <w:lang w:val="lv-LV"/>
        </w:rPr>
        <w:t>izpildaģentūru</w:t>
      </w:r>
      <w:proofErr w:type="spellEnd"/>
      <w:r w:rsidRPr="005C31F5">
        <w:rPr>
          <w:sz w:val="28"/>
          <w:szCs w:val="28"/>
          <w:shd w:val="clear" w:color="auto" w:fill="FFFFFF"/>
          <w:lang w:val="lv-LV"/>
        </w:rPr>
        <w:t xml:space="preserve"> (turpmāk - INEA).</w:t>
      </w:r>
    </w:p>
    <w:bookmarkEnd w:id="15"/>
    <w:p w14:paraId="7CCC8F1A" w14:textId="77777777" w:rsidR="00CF1B6C" w:rsidRPr="005C31F5" w:rsidRDefault="00CF1B6C" w:rsidP="00CF1B6C">
      <w:pPr>
        <w:ind w:firstLine="720"/>
        <w:jc w:val="right"/>
        <w:rPr>
          <w:sz w:val="28"/>
          <w:szCs w:val="28"/>
          <w:shd w:val="clear" w:color="auto" w:fill="FFFFFF"/>
          <w:lang w:val="lv-LV"/>
        </w:rPr>
      </w:pPr>
      <w:r w:rsidRPr="005C31F5">
        <w:rPr>
          <w:sz w:val="28"/>
          <w:szCs w:val="28"/>
          <w:shd w:val="clear" w:color="auto" w:fill="FFFFFF"/>
          <w:lang w:val="lv-LV"/>
        </w:rPr>
        <w:t>2.tabula</w:t>
      </w:r>
    </w:p>
    <w:p w14:paraId="4E9ADABF" w14:textId="77777777" w:rsidR="00CF1B6C" w:rsidRPr="005C31F5" w:rsidRDefault="00CF1B6C" w:rsidP="00CF1B6C">
      <w:pPr>
        <w:pStyle w:val="doc-ti"/>
        <w:spacing w:before="0" w:beforeAutospacing="0" w:after="0" w:afterAutospacing="0"/>
        <w:ind w:hanging="142"/>
        <w:jc w:val="center"/>
        <w:rPr>
          <w:i/>
          <w:sz w:val="28"/>
          <w:szCs w:val="28"/>
          <w:shd w:val="clear" w:color="auto" w:fill="FFFFFF"/>
          <w:lang w:val="lv-LV"/>
        </w:rPr>
      </w:pPr>
      <w:r w:rsidRPr="005C31F5">
        <w:rPr>
          <w:i/>
          <w:sz w:val="28"/>
          <w:szCs w:val="28"/>
          <w:shd w:val="clear" w:color="auto" w:fill="FFFFFF"/>
          <w:lang w:val="lv-LV"/>
        </w:rPr>
        <w:t>AST īstenotie pārvades sistēmas projekti ar ES līdzfinansējuma piesaisti</w:t>
      </w:r>
      <w:r w:rsidR="00217803" w:rsidRPr="005C31F5">
        <w:rPr>
          <w:i/>
          <w:sz w:val="28"/>
          <w:szCs w:val="28"/>
          <w:shd w:val="clear" w:color="auto" w:fill="FFFFFF"/>
          <w:lang w:val="lv-LV"/>
        </w:rPr>
        <w:t xml:space="preserve"> </w:t>
      </w:r>
    </w:p>
    <w:tbl>
      <w:tblPr>
        <w:tblStyle w:val="TableGrid"/>
        <w:tblW w:w="9268" w:type="dxa"/>
        <w:tblLook w:val="04A0" w:firstRow="1" w:lastRow="0" w:firstColumn="1" w:lastColumn="0" w:noHBand="0" w:noVBand="1"/>
      </w:tblPr>
      <w:tblGrid>
        <w:gridCol w:w="1620"/>
        <w:gridCol w:w="1294"/>
        <w:gridCol w:w="1717"/>
        <w:gridCol w:w="1601"/>
        <w:gridCol w:w="1619"/>
        <w:gridCol w:w="1417"/>
      </w:tblGrid>
      <w:tr w:rsidR="00CF1B6C" w:rsidRPr="005C31F5" w14:paraId="2F4AD707" w14:textId="77777777" w:rsidTr="004A19A0">
        <w:trPr>
          <w:trHeight w:val="600"/>
        </w:trPr>
        <w:tc>
          <w:tcPr>
            <w:tcW w:w="1620" w:type="dxa"/>
            <w:hideMark/>
          </w:tcPr>
          <w:p w14:paraId="25C6A66F" w14:textId="77777777" w:rsidR="00CF1B6C" w:rsidRPr="005C31F5" w:rsidRDefault="00CF1B6C" w:rsidP="004A19A0">
            <w:pPr>
              <w:rPr>
                <w:b/>
                <w:bCs/>
                <w:color w:val="000000"/>
                <w:sz w:val="20"/>
                <w:szCs w:val="20"/>
                <w:lang w:val="lv-LV"/>
              </w:rPr>
            </w:pPr>
          </w:p>
        </w:tc>
        <w:tc>
          <w:tcPr>
            <w:tcW w:w="1294" w:type="dxa"/>
            <w:hideMark/>
          </w:tcPr>
          <w:p w14:paraId="50EBAA05" w14:textId="77777777" w:rsidR="00CF1B6C" w:rsidRPr="005C31F5" w:rsidRDefault="00CF1B6C" w:rsidP="004A19A0">
            <w:pPr>
              <w:jc w:val="center"/>
              <w:rPr>
                <w:b/>
                <w:bCs/>
                <w:color w:val="000000"/>
                <w:sz w:val="20"/>
                <w:szCs w:val="20"/>
                <w:lang w:val="lv-LV"/>
              </w:rPr>
            </w:pPr>
            <w:r w:rsidRPr="005C31F5">
              <w:rPr>
                <w:b/>
                <w:bCs/>
                <w:color w:val="000000"/>
                <w:sz w:val="20"/>
                <w:szCs w:val="20"/>
                <w:lang w:val="lv-LV"/>
              </w:rPr>
              <w:t>Kurzemes loks</w:t>
            </w:r>
          </w:p>
        </w:tc>
        <w:tc>
          <w:tcPr>
            <w:tcW w:w="1717" w:type="dxa"/>
            <w:hideMark/>
          </w:tcPr>
          <w:p w14:paraId="7BE65668" w14:textId="77777777" w:rsidR="00CF1B6C" w:rsidRPr="005C31F5" w:rsidRDefault="00CF1B6C" w:rsidP="004A19A0">
            <w:pPr>
              <w:jc w:val="center"/>
              <w:rPr>
                <w:b/>
                <w:bCs/>
                <w:color w:val="000000"/>
                <w:sz w:val="20"/>
                <w:szCs w:val="20"/>
                <w:lang w:val="lv-LV"/>
              </w:rPr>
            </w:pPr>
            <w:r w:rsidRPr="005C31F5">
              <w:rPr>
                <w:b/>
                <w:bCs/>
                <w:color w:val="000000"/>
                <w:sz w:val="20"/>
                <w:szCs w:val="20"/>
                <w:lang w:val="lv-LV"/>
              </w:rPr>
              <w:t xml:space="preserve">Igaunijas - Latvijas 3. </w:t>
            </w:r>
            <w:proofErr w:type="spellStart"/>
            <w:r w:rsidRPr="005C31F5">
              <w:rPr>
                <w:b/>
                <w:bCs/>
                <w:color w:val="000000"/>
                <w:sz w:val="20"/>
                <w:szCs w:val="20"/>
                <w:lang w:val="lv-LV"/>
              </w:rPr>
              <w:t>starpsavienojums</w:t>
            </w:r>
            <w:proofErr w:type="spellEnd"/>
          </w:p>
        </w:tc>
        <w:tc>
          <w:tcPr>
            <w:tcW w:w="1601" w:type="dxa"/>
            <w:hideMark/>
          </w:tcPr>
          <w:p w14:paraId="4E8DD6C1" w14:textId="77777777" w:rsidR="00CF1B6C" w:rsidRPr="005C31F5" w:rsidRDefault="00CF1B6C" w:rsidP="004A19A0">
            <w:pPr>
              <w:jc w:val="center"/>
              <w:rPr>
                <w:b/>
                <w:bCs/>
                <w:color w:val="000000"/>
                <w:sz w:val="20"/>
                <w:szCs w:val="20"/>
                <w:lang w:val="lv-LV"/>
              </w:rPr>
            </w:pPr>
            <w:r w:rsidRPr="005C31F5">
              <w:rPr>
                <w:b/>
                <w:bCs/>
                <w:color w:val="000000"/>
                <w:sz w:val="20"/>
                <w:szCs w:val="20"/>
                <w:lang w:val="lv-LV"/>
              </w:rPr>
              <w:t>Rīgas TEC-2 - Rīgas HES līnija</w:t>
            </w:r>
          </w:p>
        </w:tc>
        <w:tc>
          <w:tcPr>
            <w:tcW w:w="1619" w:type="dxa"/>
            <w:hideMark/>
          </w:tcPr>
          <w:p w14:paraId="3274976F" w14:textId="77777777" w:rsidR="00CF1B6C" w:rsidRPr="005C31F5" w:rsidRDefault="00CF1B6C" w:rsidP="004A19A0">
            <w:pPr>
              <w:jc w:val="center"/>
              <w:rPr>
                <w:b/>
                <w:bCs/>
                <w:color w:val="000000"/>
                <w:sz w:val="20"/>
                <w:szCs w:val="20"/>
                <w:lang w:val="lv-LV"/>
              </w:rPr>
            </w:pPr>
            <w:r w:rsidRPr="005C31F5">
              <w:rPr>
                <w:b/>
                <w:bCs/>
                <w:color w:val="000000"/>
                <w:sz w:val="20"/>
                <w:szCs w:val="20"/>
                <w:lang w:val="lv-LV"/>
              </w:rPr>
              <w:t>Valmiera (LV) - Tartu (EE) līnija</w:t>
            </w:r>
          </w:p>
        </w:tc>
        <w:tc>
          <w:tcPr>
            <w:tcW w:w="1417" w:type="dxa"/>
            <w:hideMark/>
          </w:tcPr>
          <w:p w14:paraId="3DE257B0" w14:textId="77777777" w:rsidR="00CF1B6C" w:rsidRPr="005C31F5" w:rsidRDefault="00CF1B6C" w:rsidP="004A19A0">
            <w:pPr>
              <w:jc w:val="center"/>
              <w:rPr>
                <w:b/>
                <w:bCs/>
                <w:color w:val="000000"/>
                <w:sz w:val="20"/>
                <w:szCs w:val="20"/>
                <w:lang w:val="lv-LV"/>
              </w:rPr>
            </w:pPr>
            <w:r w:rsidRPr="005C31F5">
              <w:rPr>
                <w:b/>
                <w:bCs/>
                <w:color w:val="000000"/>
                <w:sz w:val="20"/>
                <w:szCs w:val="20"/>
                <w:lang w:val="lv-LV"/>
              </w:rPr>
              <w:t xml:space="preserve">Valmiera (LV) - </w:t>
            </w:r>
            <w:proofErr w:type="spellStart"/>
            <w:r w:rsidRPr="005C31F5">
              <w:rPr>
                <w:b/>
                <w:bCs/>
                <w:color w:val="000000"/>
                <w:sz w:val="20"/>
                <w:szCs w:val="20"/>
                <w:lang w:val="lv-LV"/>
              </w:rPr>
              <w:t>Tsirgulina</w:t>
            </w:r>
            <w:proofErr w:type="spellEnd"/>
            <w:r w:rsidRPr="005C31F5">
              <w:rPr>
                <w:b/>
                <w:bCs/>
                <w:color w:val="000000"/>
                <w:sz w:val="20"/>
                <w:szCs w:val="20"/>
                <w:lang w:val="lv-LV"/>
              </w:rPr>
              <w:t xml:space="preserve"> (EE) līnija</w:t>
            </w:r>
          </w:p>
        </w:tc>
      </w:tr>
      <w:tr w:rsidR="00CF1B6C" w:rsidRPr="005C31F5" w14:paraId="61134E6C" w14:textId="77777777" w:rsidTr="004A19A0">
        <w:trPr>
          <w:trHeight w:val="600"/>
        </w:trPr>
        <w:tc>
          <w:tcPr>
            <w:tcW w:w="1620" w:type="dxa"/>
            <w:hideMark/>
          </w:tcPr>
          <w:p w14:paraId="6527E415" w14:textId="77777777" w:rsidR="00CF1B6C" w:rsidRPr="005C31F5" w:rsidRDefault="00CF1B6C" w:rsidP="004A19A0">
            <w:pPr>
              <w:rPr>
                <w:color w:val="000000"/>
                <w:sz w:val="20"/>
                <w:szCs w:val="20"/>
                <w:lang w:val="lv-LV"/>
              </w:rPr>
            </w:pPr>
            <w:r w:rsidRPr="005C31F5">
              <w:rPr>
                <w:color w:val="000000"/>
                <w:sz w:val="20"/>
                <w:szCs w:val="20"/>
                <w:lang w:val="lv-LV"/>
              </w:rPr>
              <w:t>Plānotais realizēšanas gads</w:t>
            </w:r>
          </w:p>
        </w:tc>
        <w:tc>
          <w:tcPr>
            <w:tcW w:w="1294" w:type="dxa"/>
            <w:hideMark/>
          </w:tcPr>
          <w:p w14:paraId="4665F0D7" w14:textId="77777777" w:rsidR="00CF1B6C" w:rsidRPr="005C31F5" w:rsidRDefault="00CF1B6C" w:rsidP="004A19A0">
            <w:pPr>
              <w:jc w:val="center"/>
              <w:rPr>
                <w:color w:val="000000"/>
                <w:sz w:val="20"/>
                <w:szCs w:val="20"/>
                <w:lang w:val="lv-LV"/>
              </w:rPr>
            </w:pPr>
            <w:r w:rsidRPr="005C31F5">
              <w:rPr>
                <w:color w:val="000000"/>
                <w:sz w:val="20"/>
                <w:szCs w:val="20"/>
                <w:lang w:val="lv-LV"/>
              </w:rPr>
              <w:t>2019</w:t>
            </w:r>
          </w:p>
        </w:tc>
        <w:tc>
          <w:tcPr>
            <w:tcW w:w="1717" w:type="dxa"/>
            <w:hideMark/>
          </w:tcPr>
          <w:p w14:paraId="4FD54192" w14:textId="77777777" w:rsidR="00CF1B6C" w:rsidRPr="005C31F5" w:rsidRDefault="00CF1B6C" w:rsidP="004A19A0">
            <w:pPr>
              <w:jc w:val="center"/>
              <w:rPr>
                <w:color w:val="000000"/>
                <w:sz w:val="20"/>
                <w:szCs w:val="20"/>
                <w:lang w:val="lv-LV"/>
              </w:rPr>
            </w:pPr>
            <w:r w:rsidRPr="005C31F5">
              <w:rPr>
                <w:color w:val="000000"/>
                <w:sz w:val="20"/>
                <w:szCs w:val="20"/>
                <w:lang w:val="lv-LV"/>
              </w:rPr>
              <w:t>2020</w:t>
            </w:r>
          </w:p>
        </w:tc>
        <w:tc>
          <w:tcPr>
            <w:tcW w:w="1601" w:type="dxa"/>
            <w:hideMark/>
          </w:tcPr>
          <w:p w14:paraId="4341533C" w14:textId="77777777" w:rsidR="00CF1B6C" w:rsidRPr="005C31F5" w:rsidRDefault="00CF1B6C" w:rsidP="004A19A0">
            <w:pPr>
              <w:jc w:val="center"/>
              <w:rPr>
                <w:color w:val="000000"/>
                <w:sz w:val="20"/>
                <w:szCs w:val="20"/>
                <w:lang w:val="lv-LV"/>
              </w:rPr>
            </w:pPr>
            <w:r w:rsidRPr="005C31F5">
              <w:rPr>
                <w:color w:val="000000"/>
                <w:sz w:val="20"/>
                <w:szCs w:val="20"/>
                <w:lang w:val="lv-LV"/>
              </w:rPr>
              <w:t>2020</w:t>
            </w:r>
          </w:p>
        </w:tc>
        <w:tc>
          <w:tcPr>
            <w:tcW w:w="1619" w:type="dxa"/>
            <w:hideMark/>
          </w:tcPr>
          <w:p w14:paraId="3C22EC6E" w14:textId="77777777" w:rsidR="00CF1B6C" w:rsidRPr="005C31F5" w:rsidRDefault="00CF1B6C" w:rsidP="004A19A0">
            <w:pPr>
              <w:jc w:val="center"/>
              <w:rPr>
                <w:color w:val="000000"/>
                <w:sz w:val="20"/>
                <w:szCs w:val="20"/>
                <w:lang w:val="lv-LV"/>
              </w:rPr>
            </w:pPr>
            <w:r w:rsidRPr="005C31F5">
              <w:rPr>
                <w:color w:val="000000"/>
                <w:sz w:val="20"/>
                <w:szCs w:val="20"/>
                <w:lang w:val="lv-LV"/>
              </w:rPr>
              <w:t>2023</w:t>
            </w:r>
          </w:p>
        </w:tc>
        <w:tc>
          <w:tcPr>
            <w:tcW w:w="1417" w:type="dxa"/>
            <w:hideMark/>
          </w:tcPr>
          <w:p w14:paraId="22D50451" w14:textId="77777777" w:rsidR="00CF1B6C" w:rsidRPr="005C31F5" w:rsidRDefault="00CF1B6C" w:rsidP="004A19A0">
            <w:pPr>
              <w:ind w:left="-391" w:firstLine="391"/>
              <w:jc w:val="center"/>
              <w:rPr>
                <w:color w:val="000000"/>
                <w:sz w:val="20"/>
                <w:szCs w:val="20"/>
                <w:lang w:val="lv-LV"/>
              </w:rPr>
            </w:pPr>
            <w:r w:rsidRPr="005C31F5">
              <w:rPr>
                <w:color w:val="000000"/>
                <w:sz w:val="20"/>
                <w:szCs w:val="20"/>
                <w:lang w:val="lv-LV"/>
              </w:rPr>
              <w:t>2024</w:t>
            </w:r>
          </w:p>
        </w:tc>
      </w:tr>
      <w:tr w:rsidR="00CF1B6C" w:rsidRPr="005C31F5" w14:paraId="709614D5" w14:textId="77777777" w:rsidTr="004A19A0">
        <w:trPr>
          <w:trHeight w:val="600"/>
        </w:trPr>
        <w:tc>
          <w:tcPr>
            <w:tcW w:w="1620" w:type="dxa"/>
            <w:hideMark/>
          </w:tcPr>
          <w:p w14:paraId="3CB46B83" w14:textId="77777777" w:rsidR="00CF1B6C" w:rsidRPr="005C31F5" w:rsidRDefault="00CF1B6C" w:rsidP="004A19A0">
            <w:pPr>
              <w:rPr>
                <w:color w:val="000000"/>
                <w:sz w:val="20"/>
                <w:szCs w:val="20"/>
                <w:lang w:val="lv-LV"/>
              </w:rPr>
            </w:pPr>
            <w:r w:rsidRPr="005C31F5">
              <w:rPr>
                <w:color w:val="000000"/>
                <w:sz w:val="20"/>
                <w:szCs w:val="20"/>
                <w:lang w:val="lv-LV"/>
              </w:rPr>
              <w:t>Apstiprinātās kopējās izmaksas, tai skaitā:</w:t>
            </w:r>
          </w:p>
        </w:tc>
        <w:tc>
          <w:tcPr>
            <w:tcW w:w="1294" w:type="dxa"/>
            <w:hideMark/>
          </w:tcPr>
          <w:p w14:paraId="708D581A" w14:textId="77777777" w:rsidR="00CF1B6C" w:rsidRPr="005C31F5" w:rsidRDefault="00CF1B6C" w:rsidP="004A19A0">
            <w:pPr>
              <w:jc w:val="center"/>
              <w:rPr>
                <w:color w:val="000000"/>
                <w:sz w:val="20"/>
                <w:szCs w:val="20"/>
                <w:lang w:val="lv-LV"/>
              </w:rPr>
            </w:pPr>
            <w:r w:rsidRPr="005C31F5">
              <w:rPr>
                <w:color w:val="000000"/>
                <w:sz w:val="20"/>
                <w:szCs w:val="20"/>
                <w:lang w:val="lv-LV"/>
              </w:rPr>
              <w:t>127.4 MEUR</w:t>
            </w:r>
          </w:p>
        </w:tc>
        <w:tc>
          <w:tcPr>
            <w:tcW w:w="1717" w:type="dxa"/>
            <w:hideMark/>
          </w:tcPr>
          <w:p w14:paraId="7979E3A4" w14:textId="77777777" w:rsidR="00CF1B6C" w:rsidRPr="005C31F5" w:rsidRDefault="00CF1B6C" w:rsidP="004A19A0">
            <w:pPr>
              <w:jc w:val="center"/>
              <w:rPr>
                <w:sz w:val="20"/>
                <w:szCs w:val="20"/>
                <w:lang w:val="lv-LV"/>
              </w:rPr>
            </w:pPr>
            <w:r w:rsidRPr="005C31F5">
              <w:rPr>
                <w:sz w:val="20"/>
                <w:szCs w:val="20"/>
                <w:lang w:val="lv-LV"/>
              </w:rPr>
              <w:t>102.4 MEUR</w:t>
            </w:r>
          </w:p>
        </w:tc>
        <w:tc>
          <w:tcPr>
            <w:tcW w:w="1601" w:type="dxa"/>
            <w:hideMark/>
          </w:tcPr>
          <w:p w14:paraId="541EF0B4" w14:textId="77777777" w:rsidR="00CF1B6C" w:rsidRPr="005C31F5" w:rsidRDefault="00CF1B6C" w:rsidP="004A19A0">
            <w:pPr>
              <w:jc w:val="center"/>
              <w:rPr>
                <w:color w:val="000000"/>
                <w:sz w:val="20"/>
                <w:szCs w:val="20"/>
                <w:lang w:val="lv-LV"/>
              </w:rPr>
            </w:pPr>
            <w:r w:rsidRPr="005C31F5">
              <w:rPr>
                <w:color w:val="000000"/>
                <w:sz w:val="20"/>
                <w:szCs w:val="20"/>
                <w:lang w:val="lv-LV"/>
              </w:rPr>
              <w:t>19.98 MEUR</w:t>
            </w:r>
          </w:p>
        </w:tc>
        <w:tc>
          <w:tcPr>
            <w:tcW w:w="1619" w:type="dxa"/>
            <w:hideMark/>
          </w:tcPr>
          <w:p w14:paraId="42051969" w14:textId="77777777" w:rsidR="00CF1B6C" w:rsidRPr="005C31F5" w:rsidRDefault="00CF1B6C" w:rsidP="004A19A0">
            <w:pPr>
              <w:jc w:val="center"/>
              <w:rPr>
                <w:color w:val="000000"/>
                <w:sz w:val="20"/>
                <w:szCs w:val="20"/>
                <w:lang w:val="lv-LV"/>
              </w:rPr>
            </w:pPr>
            <w:r w:rsidRPr="005C31F5">
              <w:rPr>
                <w:color w:val="000000"/>
                <w:sz w:val="20"/>
                <w:szCs w:val="20"/>
                <w:lang w:val="lv-LV"/>
              </w:rPr>
              <w:t>23</w:t>
            </w:r>
          </w:p>
        </w:tc>
        <w:tc>
          <w:tcPr>
            <w:tcW w:w="1417" w:type="dxa"/>
            <w:hideMark/>
          </w:tcPr>
          <w:p w14:paraId="58AC99D3" w14:textId="77777777" w:rsidR="00CF1B6C" w:rsidRPr="005C31F5" w:rsidRDefault="00CF1B6C" w:rsidP="004A19A0">
            <w:pPr>
              <w:jc w:val="center"/>
              <w:rPr>
                <w:color w:val="000000"/>
                <w:sz w:val="20"/>
                <w:szCs w:val="20"/>
                <w:lang w:val="lv-LV"/>
              </w:rPr>
            </w:pPr>
            <w:r w:rsidRPr="005C31F5">
              <w:rPr>
                <w:color w:val="000000"/>
                <w:sz w:val="20"/>
                <w:szCs w:val="20"/>
                <w:lang w:val="lv-LV"/>
              </w:rPr>
              <w:t>22</w:t>
            </w:r>
          </w:p>
        </w:tc>
      </w:tr>
      <w:tr w:rsidR="00CF1B6C" w:rsidRPr="005C31F5" w14:paraId="0D695D36" w14:textId="77777777" w:rsidTr="004A19A0">
        <w:trPr>
          <w:trHeight w:val="600"/>
        </w:trPr>
        <w:tc>
          <w:tcPr>
            <w:tcW w:w="1620" w:type="dxa"/>
            <w:hideMark/>
          </w:tcPr>
          <w:p w14:paraId="48AA1FC5" w14:textId="77777777" w:rsidR="00CF1B6C" w:rsidRPr="005C31F5" w:rsidRDefault="00CF1B6C" w:rsidP="004A19A0">
            <w:pPr>
              <w:rPr>
                <w:color w:val="000000"/>
                <w:sz w:val="20"/>
                <w:szCs w:val="20"/>
                <w:lang w:val="lv-LV"/>
              </w:rPr>
            </w:pPr>
            <w:r w:rsidRPr="005C31F5">
              <w:rPr>
                <w:color w:val="000000"/>
                <w:sz w:val="20"/>
                <w:szCs w:val="20"/>
                <w:lang w:val="lv-LV"/>
              </w:rPr>
              <w:t>ES līdzfinansējums</w:t>
            </w:r>
          </w:p>
        </w:tc>
        <w:tc>
          <w:tcPr>
            <w:tcW w:w="1294" w:type="dxa"/>
            <w:hideMark/>
          </w:tcPr>
          <w:p w14:paraId="4191B417" w14:textId="77777777" w:rsidR="00CF1B6C" w:rsidRPr="005C31F5" w:rsidRDefault="00CF1B6C" w:rsidP="004A19A0">
            <w:pPr>
              <w:jc w:val="center"/>
              <w:rPr>
                <w:color w:val="000000"/>
                <w:sz w:val="20"/>
                <w:szCs w:val="20"/>
                <w:lang w:val="lv-LV"/>
              </w:rPr>
            </w:pPr>
            <w:r w:rsidRPr="005C31F5">
              <w:rPr>
                <w:color w:val="000000"/>
                <w:sz w:val="20"/>
                <w:szCs w:val="20"/>
                <w:lang w:val="lv-LV"/>
              </w:rPr>
              <w:t>55.1 MEUR</w:t>
            </w:r>
          </w:p>
        </w:tc>
        <w:tc>
          <w:tcPr>
            <w:tcW w:w="1717" w:type="dxa"/>
            <w:hideMark/>
          </w:tcPr>
          <w:p w14:paraId="0DB6A2F0" w14:textId="77777777" w:rsidR="00CF1B6C" w:rsidRPr="005C31F5" w:rsidRDefault="00CF1B6C" w:rsidP="004A19A0">
            <w:pPr>
              <w:jc w:val="center"/>
              <w:rPr>
                <w:color w:val="000000"/>
                <w:sz w:val="20"/>
                <w:szCs w:val="20"/>
                <w:lang w:val="lv-LV"/>
              </w:rPr>
            </w:pPr>
            <w:r w:rsidRPr="005C31F5">
              <w:rPr>
                <w:color w:val="000000"/>
                <w:sz w:val="20"/>
                <w:szCs w:val="20"/>
                <w:lang w:val="lv-LV"/>
              </w:rPr>
              <w:t>63.4 MEUR</w:t>
            </w:r>
          </w:p>
        </w:tc>
        <w:tc>
          <w:tcPr>
            <w:tcW w:w="1601" w:type="dxa"/>
            <w:hideMark/>
          </w:tcPr>
          <w:p w14:paraId="329576BA" w14:textId="77777777" w:rsidR="00CF1B6C" w:rsidRPr="005C31F5" w:rsidRDefault="00CF1B6C" w:rsidP="004A19A0">
            <w:pPr>
              <w:jc w:val="center"/>
              <w:rPr>
                <w:color w:val="000000"/>
                <w:sz w:val="20"/>
                <w:szCs w:val="20"/>
                <w:lang w:val="lv-LV"/>
              </w:rPr>
            </w:pPr>
            <w:r w:rsidRPr="005C31F5">
              <w:rPr>
                <w:color w:val="000000"/>
                <w:sz w:val="20"/>
                <w:szCs w:val="20"/>
                <w:lang w:val="lv-LV"/>
              </w:rPr>
              <w:t>9.99 MEUR</w:t>
            </w:r>
          </w:p>
        </w:tc>
        <w:tc>
          <w:tcPr>
            <w:tcW w:w="1619" w:type="dxa"/>
            <w:hideMark/>
          </w:tcPr>
          <w:p w14:paraId="2AF8977C" w14:textId="507F7E53" w:rsidR="00CF1B6C" w:rsidRPr="005C31F5" w:rsidRDefault="006168C8" w:rsidP="004A19A0">
            <w:pPr>
              <w:jc w:val="center"/>
              <w:rPr>
                <w:color w:val="000000"/>
                <w:sz w:val="20"/>
                <w:szCs w:val="20"/>
                <w:lang w:val="lv-LV"/>
              </w:rPr>
            </w:pPr>
            <w:r w:rsidRPr="005C31F5">
              <w:rPr>
                <w:color w:val="000000"/>
                <w:sz w:val="20"/>
                <w:szCs w:val="20"/>
                <w:lang w:val="lv-LV"/>
              </w:rPr>
              <w:t>17.25 MEUR</w:t>
            </w:r>
          </w:p>
        </w:tc>
        <w:tc>
          <w:tcPr>
            <w:tcW w:w="1417" w:type="dxa"/>
            <w:hideMark/>
          </w:tcPr>
          <w:p w14:paraId="1DD848B1" w14:textId="0B104CAC" w:rsidR="00CF1B6C" w:rsidRPr="005C31F5" w:rsidRDefault="006168C8" w:rsidP="004A19A0">
            <w:pPr>
              <w:jc w:val="center"/>
              <w:rPr>
                <w:color w:val="000000"/>
                <w:sz w:val="20"/>
                <w:szCs w:val="20"/>
                <w:lang w:val="lv-LV"/>
              </w:rPr>
            </w:pPr>
            <w:r w:rsidRPr="005C31F5">
              <w:rPr>
                <w:color w:val="000000"/>
                <w:sz w:val="20"/>
                <w:szCs w:val="20"/>
                <w:lang w:val="lv-LV"/>
              </w:rPr>
              <w:t>16.50 MEUR</w:t>
            </w:r>
          </w:p>
        </w:tc>
      </w:tr>
      <w:tr w:rsidR="00CF1B6C" w:rsidRPr="005C31F5" w14:paraId="5885676B" w14:textId="77777777" w:rsidTr="004A19A0">
        <w:trPr>
          <w:trHeight w:val="1122"/>
        </w:trPr>
        <w:tc>
          <w:tcPr>
            <w:tcW w:w="1620" w:type="dxa"/>
            <w:hideMark/>
          </w:tcPr>
          <w:p w14:paraId="1E2988DB" w14:textId="77777777" w:rsidR="00CF1B6C" w:rsidRPr="005C31F5" w:rsidRDefault="00CF1B6C" w:rsidP="004A19A0">
            <w:pPr>
              <w:rPr>
                <w:color w:val="000000"/>
                <w:sz w:val="20"/>
                <w:szCs w:val="20"/>
                <w:lang w:val="lv-LV"/>
              </w:rPr>
            </w:pPr>
            <w:r w:rsidRPr="005C31F5">
              <w:rPr>
                <w:color w:val="000000"/>
                <w:sz w:val="20"/>
                <w:szCs w:val="20"/>
                <w:lang w:val="lv-LV"/>
              </w:rPr>
              <w:t>Pārslodzes maksas ieņēmumi (AST)</w:t>
            </w:r>
          </w:p>
        </w:tc>
        <w:tc>
          <w:tcPr>
            <w:tcW w:w="1294" w:type="dxa"/>
            <w:hideMark/>
          </w:tcPr>
          <w:p w14:paraId="3A7401CA" w14:textId="77777777" w:rsidR="00CF1B6C" w:rsidRPr="005C31F5" w:rsidRDefault="00CF1B6C" w:rsidP="004A19A0">
            <w:pPr>
              <w:jc w:val="center"/>
              <w:rPr>
                <w:color w:val="000000"/>
                <w:sz w:val="20"/>
                <w:szCs w:val="20"/>
                <w:lang w:val="lv-LV"/>
              </w:rPr>
            </w:pPr>
            <w:r w:rsidRPr="005C31F5">
              <w:rPr>
                <w:color w:val="000000"/>
                <w:sz w:val="20"/>
                <w:szCs w:val="20"/>
                <w:lang w:val="lv-LV"/>
              </w:rPr>
              <w:t>6.9 MEUR</w:t>
            </w:r>
          </w:p>
        </w:tc>
        <w:tc>
          <w:tcPr>
            <w:tcW w:w="1717" w:type="dxa"/>
            <w:hideMark/>
          </w:tcPr>
          <w:p w14:paraId="0F75801F" w14:textId="77777777" w:rsidR="00CF1B6C" w:rsidRPr="005C31F5" w:rsidRDefault="00CF1B6C" w:rsidP="004A19A0">
            <w:pPr>
              <w:jc w:val="center"/>
              <w:rPr>
                <w:color w:val="000000"/>
                <w:sz w:val="20"/>
                <w:szCs w:val="20"/>
                <w:lang w:val="lv-LV"/>
              </w:rPr>
            </w:pPr>
            <w:r w:rsidRPr="005C31F5">
              <w:rPr>
                <w:color w:val="000000"/>
                <w:sz w:val="20"/>
                <w:szCs w:val="20"/>
                <w:lang w:val="lv-LV"/>
              </w:rPr>
              <w:t>38.4 MEUR</w:t>
            </w:r>
          </w:p>
        </w:tc>
        <w:tc>
          <w:tcPr>
            <w:tcW w:w="1601" w:type="dxa"/>
            <w:hideMark/>
          </w:tcPr>
          <w:p w14:paraId="29C0E1A8" w14:textId="77777777" w:rsidR="00CF1B6C" w:rsidRPr="005C31F5" w:rsidRDefault="00CF1B6C" w:rsidP="004A19A0">
            <w:pPr>
              <w:jc w:val="center"/>
              <w:rPr>
                <w:color w:val="000000"/>
                <w:sz w:val="20"/>
                <w:szCs w:val="20"/>
                <w:lang w:val="lv-LV"/>
              </w:rPr>
            </w:pPr>
            <w:r w:rsidRPr="005C31F5">
              <w:rPr>
                <w:color w:val="000000"/>
                <w:sz w:val="20"/>
                <w:szCs w:val="20"/>
                <w:lang w:val="lv-LV"/>
              </w:rPr>
              <w:t>9.89 MEUR</w:t>
            </w:r>
          </w:p>
        </w:tc>
        <w:tc>
          <w:tcPr>
            <w:tcW w:w="1619" w:type="dxa"/>
            <w:hideMark/>
          </w:tcPr>
          <w:p w14:paraId="679DACF1" w14:textId="0B5A1A4F" w:rsidR="00CF1B6C" w:rsidRPr="005C31F5" w:rsidRDefault="006168C8" w:rsidP="004A19A0">
            <w:pPr>
              <w:jc w:val="center"/>
              <w:rPr>
                <w:color w:val="000000"/>
                <w:sz w:val="20"/>
                <w:szCs w:val="20"/>
                <w:lang w:val="lv-LV"/>
              </w:rPr>
            </w:pPr>
            <w:r w:rsidRPr="005C31F5">
              <w:rPr>
                <w:color w:val="000000"/>
                <w:sz w:val="20"/>
                <w:szCs w:val="20"/>
                <w:lang w:val="lv-LV"/>
              </w:rPr>
              <w:t>5.69MEUR</w:t>
            </w:r>
          </w:p>
        </w:tc>
        <w:tc>
          <w:tcPr>
            <w:tcW w:w="1417" w:type="dxa"/>
            <w:hideMark/>
          </w:tcPr>
          <w:p w14:paraId="27007B42" w14:textId="1AB0088A" w:rsidR="00CF1B6C" w:rsidRPr="005C31F5" w:rsidRDefault="006168C8" w:rsidP="004A19A0">
            <w:pPr>
              <w:jc w:val="center"/>
              <w:rPr>
                <w:color w:val="000000"/>
                <w:sz w:val="20"/>
                <w:szCs w:val="20"/>
                <w:lang w:val="lv-LV"/>
              </w:rPr>
            </w:pPr>
            <w:r w:rsidRPr="005C31F5">
              <w:rPr>
                <w:color w:val="000000"/>
                <w:sz w:val="20"/>
                <w:szCs w:val="20"/>
                <w:lang w:val="lv-LV"/>
              </w:rPr>
              <w:t>5.445MEUR</w:t>
            </w:r>
          </w:p>
        </w:tc>
      </w:tr>
      <w:tr w:rsidR="00CF1B6C" w:rsidRPr="005C31F5" w14:paraId="0E8DF72A" w14:textId="77777777" w:rsidTr="004A19A0">
        <w:trPr>
          <w:trHeight w:val="300"/>
        </w:trPr>
        <w:tc>
          <w:tcPr>
            <w:tcW w:w="1620" w:type="dxa"/>
            <w:hideMark/>
          </w:tcPr>
          <w:p w14:paraId="10DD68EA" w14:textId="77777777" w:rsidR="00CF1B6C" w:rsidRPr="005C31F5" w:rsidRDefault="00CF1B6C" w:rsidP="004A19A0">
            <w:pPr>
              <w:rPr>
                <w:color w:val="000000"/>
                <w:sz w:val="20"/>
                <w:szCs w:val="20"/>
                <w:lang w:val="lv-LV"/>
              </w:rPr>
            </w:pPr>
            <w:r w:rsidRPr="005C31F5">
              <w:rPr>
                <w:color w:val="000000"/>
                <w:sz w:val="20"/>
                <w:szCs w:val="20"/>
                <w:lang w:val="lv-LV"/>
              </w:rPr>
              <w:t>Kopējais garums</w:t>
            </w:r>
          </w:p>
        </w:tc>
        <w:tc>
          <w:tcPr>
            <w:tcW w:w="1294" w:type="dxa"/>
            <w:hideMark/>
          </w:tcPr>
          <w:p w14:paraId="190E81D9" w14:textId="77777777" w:rsidR="00CF1B6C" w:rsidRPr="005C31F5" w:rsidRDefault="00CF1B6C" w:rsidP="004A19A0">
            <w:pPr>
              <w:jc w:val="center"/>
              <w:rPr>
                <w:color w:val="000000"/>
                <w:sz w:val="20"/>
                <w:szCs w:val="20"/>
                <w:lang w:val="lv-LV"/>
              </w:rPr>
            </w:pPr>
            <w:r w:rsidRPr="005C31F5">
              <w:rPr>
                <w:color w:val="000000"/>
                <w:sz w:val="20"/>
                <w:szCs w:val="20"/>
                <w:lang w:val="lv-LV"/>
              </w:rPr>
              <w:t>214.3 km</w:t>
            </w:r>
          </w:p>
        </w:tc>
        <w:tc>
          <w:tcPr>
            <w:tcW w:w="1717" w:type="dxa"/>
            <w:hideMark/>
          </w:tcPr>
          <w:p w14:paraId="5C981515" w14:textId="77777777" w:rsidR="00CF1B6C" w:rsidRPr="005C31F5" w:rsidRDefault="00CF1B6C" w:rsidP="004A19A0">
            <w:pPr>
              <w:jc w:val="center"/>
              <w:rPr>
                <w:color w:val="000000"/>
                <w:sz w:val="20"/>
                <w:szCs w:val="20"/>
                <w:lang w:val="lv-LV"/>
              </w:rPr>
            </w:pPr>
            <w:r w:rsidRPr="005C31F5">
              <w:rPr>
                <w:color w:val="000000"/>
                <w:sz w:val="20"/>
                <w:szCs w:val="20"/>
                <w:lang w:val="lv-LV"/>
              </w:rPr>
              <w:t>180 km</w:t>
            </w:r>
          </w:p>
        </w:tc>
        <w:tc>
          <w:tcPr>
            <w:tcW w:w="1601" w:type="dxa"/>
            <w:hideMark/>
          </w:tcPr>
          <w:p w14:paraId="516DA9C2" w14:textId="77777777" w:rsidR="00CF1B6C" w:rsidRPr="005C31F5" w:rsidRDefault="00CF1B6C" w:rsidP="004A19A0">
            <w:pPr>
              <w:jc w:val="center"/>
              <w:rPr>
                <w:color w:val="000000"/>
                <w:sz w:val="20"/>
                <w:szCs w:val="20"/>
                <w:lang w:val="lv-LV"/>
              </w:rPr>
            </w:pPr>
            <w:r w:rsidRPr="005C31F5">
              <w:rPr>
                <w:color w:val="000000"/>
                <w:sz w:val="20"/>
                <w:szCs w:val="20"/>
                <w:lang w:val="lv-LV"/>
              </w:rPr>
              <w:t>13 km</w:t>
            </w:r>
          </w:p>
        </w:tc>
        <w:tc>
          <w:tcPr>
            <w:tcW w:w="1619" w:type="dxa"/>
            <w:hideMark/>
          </w:tcPr>
          <w:p w14:paraId="77165D3A" w14:textId="77777777" w:rsidR="00CF1B6C" w:rsidRPr="005C31F5" w:rsidRDefault="00CF1B6C" w:rsidP="004A19A0">
            <w:pPr>
              <w:jc w:val="center"/>
              <w:rPr>
                <w:color w:val="000000"/>
                <w:sz w:val="20"/>
                <w:szCs w:val="20"/>
                <w:lang w:val="lv-LV"/>
              </w:rPr>
            </w:pPr>
            <w:r w:rsidRPr="005C31F5">
              <w:rPr>
                <w:color w:val="000000"/>
                <w:sz w:val="20"/>
                <w:szCs w:val="20"/>
                <w:lang w:val="lv-LV"/>
              </w:rPr>
              <w:t>49 km</w:t>
            </w:r>
          </w:p>
        </w:tc>
        <w:tc>
          <w:tcPr>
            <w:tcW w:w="1417" w:type="dxa"/>
            <w:hideMark/>
          </w:tcPr>
          <w:p w14:paraId="30036D89" w14:textId="77777777" w:rsidR="00CF1B6C" w:rsidRPr="005C31F5" w:rsidRDefault="00CF1B6C" w:rsidP="004A19A0">
            <w:pPr>
              <w:jc w:val="center"/>
              <w:rPr>
                <w:color w:val="000000"/>
                <w:sz w:val="20"/>
                <w:szCs w:val="20"/>
                <w:lang w:val="lv-LV"/>
              </w:rPr>
            </w:pPr>
            <w:r w:rsidRPr="005C31F5">
              <w:rPr>
                <w:color w:val="000000"/>
                <w:sz w:val="20"/>
                <w:szCs w:val="20"/>
                <w:lang w:val="lv-LV"/>
              </w:rPr>
              <w:t>49 km</w:t>
            </w:r>
          </w:p>
        </w:tc>
      </w:tr>
    </w:tbl>
    <w:p w14:paraId="774FCA4A" w14:textId="77777777" w:rsidR="00CF1B6C" w:rsidRPr="005C31F5" w:rsidRDefault="00CF1B6C" w:rsidP="00CF1B6C">
      <w:pPr>
        <w:jc w:val="both"/>
        <w:rPr>
          <w:sz w:val="28"/>
          <w:szCs w:val="28"/>
          <w:lang w:val="lv-LV"/>
        </w:rPr>
      </w:pPr>
    </w:p>
    <w:p w14:paraId="4B107663" w14:textId="6E4466AE" w:rsidR="00CF1B6C" w:rsidRPr="005C31F5" w:rsidRDefault="00CF1B6C" w:rsidP="00CF1B6C">
      <w:pPr>
        <w:ind w:firstLine="720"/>
        <w:jc w:val="both"/>
        <w:rPr>
          <w:sz w:val="28"/>
          <w:szCs w:val="28"/>
          <w:lang w:val="lv-LV"/>
        </w:rPr>
      </w:pPr>
      <w:r w:rsidRPr="005C31F5">
        <w:rPr>
          <w:sz w:val="28"/>
          <w:szCs w:val="28"/>
          <w:lang w:val="lv-LV"/>
        </w:rPr>
        <w:t xml:space="preserve">2018.gada oktobrī iesniegts pieteikums ES līdzfinansējuma saņemšanai projektam „Baltijas valstu elektroenerģijas pārvades sistēmas integrācija un sinhronizēšana ar Eiropas tīkliem 1.posms'', projekta kopējās izmaksas 77,720 milj. EUR, </w:t>
      </w:r>
      <w:r w:rsidR="006168C8" w:rsidRPr="005C31F5">
        <w:rPr>
          <w:sz w:val="28"/>
          <w:szCs w:val="28"/>
          <w:lang w:val="lv-LV"/>
        </w:rPr>
        <w:t xml:space="preserve">saņemtais </w:t>
      </w:r>
      <w:r w:rsidRPr="005C31F5">
        <w:rPr>
          <w:sz w:val="28"/>
          <w:szCs w:val="28"/>
          <w:lang w:val="lv-LV"/>
        </w:rPr>
        <w:t>ES līdzfinansējums līdz 75% vai 58,290 milj. EUR no projekta izmaksām.</w:t>
      </w:r>
    </w:p>
    <w:p w14:paraId="32AED8F5" w14:textId="032914A4" w:rsidR="00CF1B6C" w:rsidRPr="005C31F5" w:rsidRDefault="00CF1B6C" w:rsidP="00362451">
      <w:pPr>
        <w:pStyle w:val="doc-ti"/>
        <w:spacing w:before="0" w:beforeAutospacing="0" w:after="0" w:afterAutospacing="0"/>
        <w:ind w:firstLine="851"/>
        <w:jc w:val="both"/>
        <w:rPr>
          <w:sz w:val="28"/>
          <w:szCs w:val="28"/>
          <w:lang w:val="lv-LV"/>
        </w:rPr>
      </w:pPr>
      <w:r w:rsidRPr="005C31F5">
        <w:rPr>
          <w:bCs/>
          <w:sz w:val="28"/>
          <w:szCs w:val="28"/>
          <w:shd w:val="clear" w:color="auto" w:fill="FFFFFF"/>
          <w:lang w:val="lv-LV"/>
        </w:rPr>
        <w:t>Pēc 2017.gada datiem AST Latvijā darbojas kā PSO ar pašu kapitālu 8,449 milj. EUR (31.12.2017.)</w:t>
      </w:r>
      <w:r w:rsidRPr="005C31F5">
        <w:rPr>
          <w:rStyle w:val="FootnoteReference"/>
          <w:bCs/>
          <w:sz w:val="28"/>
          <w:szCs w:val="28"/>
          <w:shd w:val="clear" w:color="auto" w:fill="FFFFFF"/>
          <w:lang w:val="lv-LV"/>
        </w:rPr>
        <w:footnoteReference w:id="7"/>
      </w:r>
      <w:r w:rsidRPr="005C31F5">
        <w:rPr>
          <w:bCs/>
          <w:sz w:val="28"/>
          <w:szCs w:val="28"/>
          <w:shd w:val="clear" w:color="auto" w:fill="FFFFFF"/>
          <w:lang w:val="lv-LV"/>
        </w:rPr>
        <w:t xml:space="preserve"> apmērā. </w:t>
      </w:r>
      <w:r w:rsidRPr="005C31F5">
        <w:rPr>
          <w:sz w:val="28"/>
          <w:szCs w:val="28"/>
          <w:lang w:val="lv-LV"/>
        </w:rPr>
        <w:t xml:space="preserve">No 2018.gada AST ir īpašnieks 34,36% akciju </w:t>
      </w:r>
      <w:r w:rsidRPr="005C31F5">
        <w:rPr>
          <w:sz w:val="28"/>
          <w:szCs w:val="28"/>
          <w:lang w:val="lv-LV"/>
        </w:rPr>
        <w:lastRenderedPageBreak/>
        <w:t>sabiedrības "</w:t>
      </w:r>
      <w:proofErr w:type="spellStart"/>
      <w:r w:rsidRPr="005C31F5">
        <w:rPr>
          <w:sz w:val="28"/>
          <w:szCs w:val="28"/>
          <w:lang w:val="lv-LV"/>
        </w:rPr>
        <w:t>Conexus</w:t>
      </w:r>
      <w:proofErr w:type="spellEnd"/>
      <w:r w:rsidRPr="005C31F5">
        <w:rPr>
          <w:sz w:val="28"/>
          <w:szCs w:val="28"/>
          <w:lang w:val="lv-LV"/>
        </w:rPr>
        <w:t xml:space="preserve"> </w:t>
      </w:r>
      <w:proofErr w:type="spellStart"/>
      <w:r w:rsidRPr="005C31F5">
        <w:rPr>
          <w:sz w:val="28"/>
          <w:szCs w:val="28"/>
          <w:lang w:val="lv-LV"/>
        </w:rPr>
        <w:t>Baltic</w:t>
      </w:r>
      <w:proofErr w:type="spellEnd"/>
      <w:r w:rsidRPr="005C31F5">
        <w:rPr>
          <w:sz w:val="28"/>
          <w:szCs w:val="28"/>
          <w:lang w:val="lv-LV"/>
        </w:rPr>
        <w:t xml:space="preserve"> Grid" akciju kapitāla, un īsteno akcionāram piekritīgās funkcijas attiecība uz dabasgāzes pārvades un uzglabāšanas operatoru</w:t>
      </w:r>
      <w:r w:rsidR="00522B48" w:rsidRPr="005C31F5">
        <w:rPr>
          <w:sz w:val="28"/>
          <w:szCs w:val="28"/>
          <w:lang w:val="lv-LV"/>
        </w:rPr>
        <w:t>. AST pašu kapitāls uz 2018. gada beigām ir 70,344 milj. EUR</w:t>
      </w:r>
      <w:r w:rsidR="000A6A89" w:rsidRPr="005C31F5">
        <w:rPr>
          <w:rStyle w:val="FootnoteReference"/>
          <w:sz w:val="28"/>
          <w:szCs w:val="28"/>
          <w:lang w:val="lv-LV"/>
        </w:rPr>
        <w:footnoteReference w:id="8"/>
      </w:r>
      <w:r w:rsidRPr="005C31F5">
        <w:rPr>
          <w:sz w:val="28"/>
          <w:szCs w:val="28"/>
          <w:lang w:val="lv-LV"/>
        </w:rPr>
        <w:t>.</w:t>
      </w:r>
      <w:r w:rsidRPr="005C31F5">
        <w:rPr>
          <w:sz w:val="28"/>
          <w:szCs w:val="28"/>
          <w:shd w:val="clear" w:color="auto" w:fill="FFFFFF"/>
          <w:lang w:val="lv-LV"/>
        </w:rPr>
        <w:br w:type="page"/>
      </w:r>
    </w:p>
    <w:p w14:paraId="78C5EB9E" w14:textId="5089782B" w:rsidR="00CF1B6C" w:rsidRPr="005C31F5" w:rsidRDefault="009D0F78" w:rsidP="00CF1B6C">
      <w:pPr>
        <w:pStyle w:val="Heading3"/>
        <w:rPr>
          <w:lang w:val="lv-LV"/>
        </w:rPr>
      </w:pPr>
      <w:bookmarkStart w:id="16" w:name="_Toc256000031"/>
      <w:bookmarkStart w:id="17" w:name="_Toc256000018"/>
      <w:bookmarkStart w:id="18" w:name="_Toc256000006"/>
      <w:bookmarkStart w:id="19" w:name="_Toc524621714"/>
      <w:bookmarkStart w:id="20" w:name="_Toc3205705"/>
      <w:r>
        <w:rPr>
          <w:lang w:val="lv-LV"/>
        </w:rPr>
        <w:lastRenderedPageBreak/>
        <w:t>Nomāto p</w:t>
      </w:r>
      <w:r w:rsidR="00CF1B6C" w:rsidRPr="005C31F5">
        <w:rPr>
          <w:lang w:val="lv-LV"/>
        </w:rPr>
        <w:t>ārvades sistēmas aktīvu raksturojums</w:t>
      </w:r>
      <w:bookmarkEnd w:id="16"/>
      <w:bookmarkEnd w:id="17"/>
      <w:bookmarkEnd w:id="18"/>
      <w:bookmarkEnd w:id="19"/>
      <w:bookmarkEnd w:id="20"/>
    </w:p>
    <w:p w14:paraId="5BED0A94" w14:textId="77777777" w:rsidR="00CF1B6C" w:rsidRPr="005C31F5" w:rsidRDefault="00CF1B6C" w:rsidP="00CF1B6C">
      <w:pPr>
        <w:pStyle w:val="Heading2"/>
        <w:ind w:firstLine="851"/>
        <w:rPr>
          <w:sz w:val="28"/>
          <w:szCs w:val="28"/>
          <w:lang w:val="lv-LV"/>
        </w:rPr>
      </w:pPr>
    </w:p>
    <w:p w14:paraId="12847DEF" w14:textId="4317B47F" w:rsidR="00D257D4" w:rsidRDefault="00CF1B6C" w:rsidP="00CF1B6C">
      <w:pPr>
        <w:ind w:firstLine="720"/>
        <w:jc w:val="both"/>
        <w:rPr>
          <w:sz w:val="28"/>
          <w:szCs w:val="28"/>
          <w:lang w:val="lv-LV"/>
        </w:rPr>
      </w:pPr>
      <w:r w:rsidRPr="005C31F5">
        <w:rPr>
          <w:sz w:val="28"/>
          <w:szCs w:val="28"/>
          <w:lang w:val="lv-LV"/>
        </w:rPr>
        <w:t>Atbilstoši Regulatora padomes 2015.gada 26.februāra lēmumam Nr. 1/6 “Elektroenerģijas pārvades sistēmas pakalpojumu tarifu aprēķināšanas metodika”</w:t>
      </w:r>
      <w:r w:rsidRPr="005C31F5">
        <w:rPr>
          <w:rStyle w:val="FootnoteReference"/>
          <w:sz w:val="28"/>
          <w:szCs w:val="28"/>
          <w:lang w:val="lv-LV"/>
        </w:rPr>
        <w:footnoteReference w:id="9"/>
      </w:r>
      <w:r w:rsidRPr="005C31F5">
        <w:rPr>
          <w:sz w:val="28"/>
          <w:szCs w:val="28"/>
          <w:lang w:val="lv-LV"/>
        </w:rPr>
        <w:t xml:space="preserve"> no aktīvu kopuma ir izdalāma regulējamo aktīvu bāze, kas ir attiecināma uz pārvades sistēmas aktīvu nomu un pārvades tarifu. </w:t>
      </w:r>
      <w:r w:rsidRPr="005C31F5">
        <w:rPr>
          <w:sz w:val="28"/>
          <w:szCs w:val="28"/>
          <w:u w:val="single"/>
          <w:lang w:val="lv-LV"/>
        </w:rPr>
        <w:t>Regulējamo aktīvu bāz</w:t>
      </w:r>
      <w:r w:rsidR="00EA55C8">
        <w:rPr>
          <w:sz w:val="28"/>
          <w:szCs w:val="28"/>
          <w:u w:val="single"/>
          <w:lang w:val="lv-LV"/>
        </w:rPr>
        <w:t>i</w:t>
      </w:r>
      <w:r w:rsidR="00FC7A86" w:rsidRPr="005C31F5">
        <w:rPr>
          <w:sz w:val="28"/>
          <w:szCs w:val="28"/>
          <w:u w:val="single"/>
          <w:lang w:val="lv-LV"/>
        </w:rPr>
        <w:t xml:space="preserve"> (turpmāk </w:t>
      </w:r>
      <w:r w:rsidR="003131A0" w:rsidRPr="005C31F5">
        <w:rPr>
          <w:sz w:val="28"/>
          <w:szCs w:val="28"/>
          <w:u w:val="single"/>
          <w:lang w:val="lv-LV"/>
        </w:rPr>
        <w:t>– RAB)</w:t>
      </w:r>
      <w:r w:rsidRPr="005C31F5">
        <w:rPr>
          <w:sz w:val="28"/>
          <w:szCs w:val="28"/>
          <w:lang w:val="lv-LV"/>
        </w:rPr>
        <w:t xml:space="preserve"> </w:t>
      </w:r>
      <w:r w:rsidR="00EA55C8">
        <w:rPr>
          <w:sz w:val="28"/>
          <w:szCs w:val="28"/>
          <w:lang w:val="lv-LV"/>
        </w:rPr>
        <w:t>veido pārvades</w:t>
      </w:r>
      <w:r w:rsidR="00EA55C8" w:rsidRPr="005C31F5">
        <w:rPr>
          <w:sz w:val="28"/>
          <w:szCs w:val="28"/>
          <w:lang w:val="lv-LV"/>
        </w:rPr>
        <w:t xml:space="preserve"> </w:t>
      </w:r>
      <w:r w:rsidR="005E14CC" w:rsidRPr="005C31F5">
        <w:rPr>
          <w:sz w:val="28"/>
          <w:szCs w:val="28"/>
          <w:lang w:val="lv-LV"/>
        </w:rPr>
        <w:t>sistēmas operatora aktīvi vai to daļa, kas nepieciešami efektīvai pārvades sistēmas pakalpojuma sniegšanai.</w:t>
      </w:r>
      <w:r w:rsidR="006933D1" w:rsidRPr="005C31F5">
        <w:rPr>
          <w:sz w:val="28"/>
          <w:szCs w:val="28"/>
          <w:lang w:val="lv-LV"/>
        </w:rPr>
        <w:t xml:space="preserve"> </w:t>
      </w:r>
    </w:p>
    <w:p w14:paraId="2FBBA51C" w14:textId="1D4EF284" w:rsidR="00CF1B6C" w:rsidRPr="005C31F5" w:rsidRDefault="006933D1" w:rsidP="00CF1B6C">
      <w:pPr>
        <w:ind w:firstLine="720"/>
        <w:jc w:val="both"/>
        <w:rPr>
          <w:sz w:val="28"/>
          <w:szCs w:val="28"/>
          <w:lang w:val="lv-LV"/>
        </w:rPr>
      </w:pPr>
      <w:r w:rsidRPr="005C31F5">
        <w:rPr>
          <w:sz w:val="28"/>
          <w:szCs w:val="28"/>
          <w:lang w:val="lv-LV"/>
        </w:rPr>
        <w:t xml:space="preserve">RAB vērtībā neietilpst finanšu ieguldījumi, debitoru parādi, vērtspapīri un līdzdalība kapitālos, naudas līdzekļi, krājumi, pamatlīdzekļu izveidošanas un nepabeigto celtniecības objektu izmaksas, kā arī pamatlīdzekļu vērtības daļa, kas finansēta no valsts, pašvaldības, ārvalsts, </w:t>
      </w:r>
      <w:r w:rsidR="00DF41A3" w:rsidRPr="005C31F5">
        <w:rPr>
          <w:sz w:val="28"/>
          <w:szCs w:val="28"/>
          <w:lang w:val="lv-LV"/>
        </w:rPr>
        <w:t>ES</w:t>
      </w:r>
      <w:r w:rsidRPr="005C31F5">
        <w:rPr>
          <w:sz w:val="28"/>
          <w:szCs w:val="28"/>
          <w:lang w:val="lv-LV"/>
        </w:rPr>
        <w:t>, citas starptautiskas organizācijas un institūcijas finanšu palīdzības vai finanšu atbalsta.</w:t>
      </w:r>
      <w:r w:rsidR="00263A9B" w:rsidRPr="00D257D4">
        <w:rPr>
          <w:sz w:val="28"/>
          <w:szCs w:val="28"/>
          <w:lang w:val="lv-LV"/>
        </w:rPr>
        <w:t xml:space="preserve"> RAB </w:t>
      </w:r>
      <w:r w:rsidR="009C3D8E" w:rsidRPr="00D257D4">
        <w:rPr>
          <w:sz w:val="28"/>
          <w:szCs w:val="28"/>
          <w:lang w:val="lv-LV"/>
        </w:rPr>
        <w:t>neietver</w:t>
      </w:r>
      <w:r w:rsidR="00263A9B" w:rsidRPr="00D257D4">
        <w:rPr>
          <w:sz w:val="28"/>
          <w:szCs w:val="28"/>
          <w:lang w:val="lv-LV"/>
        </w:rPr>
        <w:t xml:space="preserve"> </w:t>
      </w:r>
      <w:proofErr w:type="spellStart"/>
      <w:r w:rsidR="009C3D8E" w:rsidRPr="00D257D4">
        <w:rPr>
          <w:sz w:val="28"/>
          <w:szCs w:val="28"/>
          <w:lang w:val="lv-LV"/>
        </w:rPr>
        <w:t>energopārvades</w:t>
      </w:r>
      <w:proofErr w:type="spellEnd"/>
      <w:r w:rsidR="009C3D8E" w:rsidRPr="00D257D4">
        <w:rPr>
          <w:sz w:val="28"/>
          <w:szCs w:val="28"/>
          <w:lang w:val="lv-LV"/>
        </w:rPr>
        <w:t xml:space="preserve"> līniju balstos uzstādīt</w:t>
      </w:r>
      <w:r w:rsidR="00222FC1" w:rsidRPr="00D257D4">
        <w:rPr>
          <w:sz w:val="28"/>
          <w:szCs w:val="28"/>
          <w:lang w:val="lv-LV"/>
        </w:rPr>
        <w:t>ās</w:t>
      </w:r>
      <w:r w:rsidR="009C3D8E" w:rsidRPr="00D257D4">
        <w:rPr>
          <w:sz w:val="28"/>
          <w:szCs w:val="28"/>
          <w:lang w:val="lv-LV"/>
        </w:rPr>
        <w:t xml:space="preserve"> </w:t>
      </w:r>
      <w:proofErr w:type="spellStart"/>
      <w:r w:rsidR="009C3D8E" w:rsidRPr="00D257D4">
        <w:rPr>
          <w:sz w:val="28"/>
          <w:szCs w:val="28"/>
          <w:lang w:val="lv-LV"/>
        </w:rPr>
        <w:t>zibensaizsardzības</w:t>
      </w:r>
      <w:proofErr w:type="spellEnd"/>
      <w:r w:rsidR="009C3D8E" w:rsidRPr="00D257D4">
        <w:rPr>
          <w:sz w:val="28"/>
          <w:szCs w:val="28"/>
          <w:lang w:val="lv-LV"/>
        </w:rPr>
        <w:t xml:space="preserve"> tros</w:t>
      </w:r>
      <w:r w:rsidR="00222FC1" w:rsidRPr="00D257D4">
        <w:rPr>
          <w:sz w:val="28"/>
          <w:szCs w:val="28"/>
          <w:lang w:val="lv-LV"/>
        </w:rPr>
        <w:t>es</w:t>
      </w:r>
      <w:r w:rsidR="009C3D8E" w:rsidRPr="00D257D4">
        <w:rPr>
          <w:sz w:val="28"/>
          <w:szCs w:val="28"/>
          <w:lang w:val="lv-LV"/>
        </w:rPr>
        <w:t xml:space="preserve"> ar iebūvētu optisko šķiedru kabeli</w:t>
      </w:r>
      <w:r w:rsidR="00D457D1" w:rsidRPr="00D257D4">
        <w:rPr>
          <w:sz w:val="28"/>
          <w:szCs w:val="28"/>
          <w:lang w:val="lv-LV"/>
        </w:rPr>
        <w:t xml:space="preserve"> (turpmāk – OPGW)</w:t>
      </w:r>
      <w:r w:rsidR="009C3D8E" w:rsidRPr="00D257D4">
        <w:rPr>
          <w:sz w:val="28"/>
          <w:szCs w:val="28"/>
          <w:lang w:val="lv-LV"/>
        </w:rPr>
        <w:t xml:space="preserve"> un dielektrisk</w:t>
      </w:r>
      <w:r w:rsidR="00D457D1" w:rsidRPr="00D257D4">
        <w:rPr>
          <w:sz w:val="28"/>
          <w:szCs w:val="28"/>
          <w:lang w:val="lv-LV"/>
        </w:rPr>
        <w:t>o</w:t>
      </w:r>
      <w:r w:rsidR="009C3D8E" w:rsidRPr="00D257D4">
        <w:rPr>
          <w:sz w:val="28"/>
          <w:szCs w:val="28"/>
          <w:lang w:val="lv-LV"/>
        </w:rPr>
        <w:t xml:space="preserve"> </w:t>
      </w:r>
      <w:proofErr w:type="spellStart"/>
      <w:r w:rsidR="009C3D8E" w:rsidRPr="00D257D4">
        <w:rPr>
          <w:sz w:val="28"/>
          <w:szCs w:val="28"/>
          <w:lang w:val="lv-LV"/>
        </w:rPr>
        <w:t>pašnesoš</w:t>
      </w:r>
      <w:r w:rsidR="00222FC1" w:rsidRPr="00D257D4">
        <w:rPr>
          <w:sz w:val="28"/>
          <w:szCs w:val="28"/>
          <w:lang w:val="lv-LV"/>
        </w:rPr>
        <w:t>ā</w:t>
      </w:r>
      <w:proofErr w:type="spellEnd"/>
      <w:r w:rsidR="009C3D8E" w:rsidRPr="00D257D4">
        <w:rPr>
          <w:sz w:val="28"/>
          <w:szCs w:val="28"/>
          <w:lang w:val="lv-LV"/>
        </w:rPr>
        <w:t xml:space="preserve"> optisko šķiedru kabe</w:t>
      </w:r>
      <w:r w:rsidR="00222FC1" w:rsidRPr="00D257D4">
        <w:rPr>
          <w:sz w:val="28"/>
          <w:szCs w:val="28"/>
          <w:lang w:val="lv-LV"/>
        </w:rPr>
        <w:t xml:space="preserve">ļa </w:t>
      </w:r>
      <w:r w:rsidR="00D457D1" w:rsidRPr="00D257D4">
        <w:rPr>
          <w:sz w:val="28"/>
          <w:szCs w:val="28"/>
          <w:lang w:val="lv-LV"/>
        </w:rPr>
        <w:t>(turpmāk – ADSS)</w:t>
      </w:r>
      <w:r w:rsidR="009C3D8E" w:rsidRPr="00D257D4">
        <w:rPr>
          <w:sz w:val="28"/>
          <w:szCs w:val="28"/>
          <w:lang w:val="lv-LV"/>
        </w:rPr>
        <w:t xml:space="preserve"> gaisvadu līnijas, kā arī pazemes </w:t>
      </w:r>
      <w:r w:rsidR="00EA55C8" w:rsidRPr="00D257D4">
        <w:rPr>
          <w:sz w:val="28"/>
          <w:szCs w:val="28"/>
          <w:lang w:val="lv-LV"/>
        </w:rPr>
        <w:t xml:space="preserve">sakaru </w:t>
      </w:r>
      <w:r w:rsidR="009C3D8E" w:rsidRPr="00D257D4">
        <w:rPr>
          <w:sz w:val="28"/>
          <w:szCs w:val="28"/>
          <w:lang w:val="lv-LV"/>
        </w:rPr>
        <w:t>līnijas.</w:t>
      </w:r>
      <w:r w:rsidR="00821A52" w:rsidRPr="00D257D4">
        <w:rPr>
          <w:sz w:val="28"/>
          <w:szCs w:val="28"/>
          <w:lang w:val="lv-LV"/>
        </w:rPr>
        <w:t xml:space="preserve"> </w:t>
      </w:r>
      <w:r w:rsidR="00EA55C8" w:rsidRPr="00D257D4">
        <w:rPr>
          <w:sz w:val="28"/>
          <w:szCs w:val="28"/>
          <w:lang w:val="lv-LV"/>
        </w:rPr>
        <w:t>Attiecīgi a</w:t>
      </w:r>
      <w:r w:rsidR="00821A52" w:rsidRPr="00D257D4">
        <w:rPr>
          <w:sz w:val="28"/>
          <w:szCs w:val="28"/>
          <w:lang w:val="lv-LV"/>
        </w:rPr>
        <w:t>r šīs infrastruktūras izmantošanu saistīti</w:t>
      </w:r>
      <w:r w:rsidR="00D257D4" w:rsidRPr="00D257D4">
        <w:rPr>
          <w:sz w:val="28"/>
          <w:szCs w:val="28"/>
          <w:lang w:val="lv-LV"/>
        </w:rPr>
        <w:t>e</w:t>
      </w:r>
      <w:r w:rsidR="00821A52" w:rsidRPr="00D257D4">
        <w:rPr>
          <w:sz w:val="28"/>
          <w:szCs w:val="28"/>
          <w:lang w:val="lv-LV"/>
        </w:rPr>
        <w:t xml:space="preserve"> </w:t>
      </w:r>
      <w:r w:rsidR="00EA55C8" w:rsidRPr="00D257D4">
        <w:rPr>
          <w:sz w:val="28"/>
          <w:szCs w:val="28"/>
          <w:lang w:val="lv-LV"/>
        </w:rPr>
        <w:t>pārvades sistēmas operatora funkciju veikšanai nepieciešami</w:t>
      </w:r>
      <w:r w:rsidR="009D2E82">
        <w:rPr>
          <w:sz w:val="28"/>
          <w:szCs w:val="28"/>
          <w:lang w:val="lv-LV"/>
        </w:rPr>
        <w:t>e</w:t>
      </w:r>
      <w:r w:rsidR="00EA55C8" w:rsidRPr="00D257D4">
        <w:rPr>
          <w:sz w:val="28"/>
          <w:szCs w:val="28"/>
          <w:lang w:val="lv-LV"/>
        </w:rPr>
        <w:t xml:space="preserve"> </w:t>
      </w:r>
      <w:r w:rsidR="00821A52" w:rsidRPr="00D257D4">
        <w:rPr>
          <w:sz w:val="28"/>
          <w:szCs w:val="28"/>
          <w:lang w:val="lv-LV"/>
        </w:rPr>
        <w:t xml:space="preserve">pakalpojumi, kā piemēram, </w:t>
      </w:r>
      <w:proofErr w:type="spellStart"/>
      <w:r w:rsidR="00821A52" w:rsidRPr="00D257D4">
        <w:rPr>
          <w:sz w:val="28"/>
          <w:szCs w:val="28"/>
          <w:lang w:val="lv-LV"/>
        </w:rPr>
        <w:t>zibensaizsardzības</w:t>
      </w:r>
      <w:proofErr w:type="spellEnd"/>
      <w:r w:rsidR="00821A52" w:rsidRPr="00D257D4">
        <w:rPr>
          <w:sz w:val="28"/>
          <w:szCs w:val="28"/>
          <w:lang w:val="lv-LV"/>
        </w:rPr>
        <w:t xml:space="preserve"> pakalpojums</w:t>
      </w:r>
      <w:r w:rsidR="00EA55C8" w:rsidRPr="00D257D4">
        <w:rPr>
          <w:sz w:val="28"/>
          <w:szCs w:val="28"/>
          <w:lang w:val="lv-LV"/>
        </w:rPr>
        <w:t>,</w:t>
      </w:r>
      <w:r w:rsidR="00821A52" w:rsidRPr="00D257D4">
        <w:rPr>
          <w:sz w:val="28"/>
          <w:szCs w:val="28"/>
          <w:lang w:val="lv-LV"/>
        </w:rPr>
        <w:t xml:space="preserve"> </w:t>
      </w:r>
      <w:r w:rsidR="00D457D1" w:rsidRPr="00D257D4">
        <w:rPr>
          <w:sz w:val="28"/>
          <w:szCs w:val="28"/>
          <w:lang w:val="lv-LV"/>
        </w:rPr>
        <w:t>PSO</w:t>
      </w:r>
      <w:r w:rsidR="00821A52" w:rsidRPr="00D257D4">
        <w:rPr>
          <w:sz w:val="28"/>
          <w:szCs w:val="28"/>
          <w:lang w:val="lv-LV"/>
        </w:rPr>
        <w:t xml:space="preserve"> tiek </w:t>
      </w:r>
      <w:r w:rsidR="00EE533F" w:rsidRPr="00D257D4">
        <w:rPr>
          <w:sz w:val="28"/>
          <w:szCs w:val="28"/>
          <w:lang w:val="lv-LV"/>
        </w:rPr>
        <w:t>sniegti</w:t>
      </w:r>
      <w:r w:rsidR="00D457D1" w:rsidRPr="00D257D4">
        <w:rPr>
          <w:sz w:val="28"/>
          <w:szCs w:val="28"/>
          <w:lang w:val="lv-LV"/>
        </w:rPr>
        <w:t>,</w:t>
      </w:r>
      <w:r w:rsidR="00EE533F" w:rsidRPr="00D257D4">
        <w:rPr>
          <w:sz w:val="28"/>
          <w:szCs w:val="28"/>
          <w:lang w:val="lv-LV"/>
        </w:rPr>
        <w:t xml:space="preserve"> </w:t>
      </w:r>
      <w:r w:rsidR="00821A52" w:rsidRPr="00D257D4">
        <w:rPr>
          <w:sz w:val="28"/>
          <w:szCs w:val="28"/>
          <w:lang w:val="lv-LV"/>
        </w:rPr>
        <w:t xml:space="preserve">neiznomājot visu </w:t>
      </w:r>
      <w:r w:rsidR="00D457D1" w:rsidRPr="00D257D4">
        <w:rPr>
          <w:sz w:val="28"/>
          <w:szCs w:val="28"/>
          <w:lang w:val="lv-LV"/>
        </w:rPr>
        <w:t>minēto</w:t>
      </w:r>
      <w:r w:rsidR="00821A52" w:rsidRPr="00D257D4">
        <w:rPr>
          <w:sz w:val="28"/>
          <w:szCs w:val="28"/>
          <w:lang w:val="lv-LV"/>
        </w:rPr>
        <w:t xml:space="preserve"> infrastruktūru, bet gan tikai noteiktu tehnisku daļu no šīs infrastruktūras.</w:t>
      </w:r>
    </w:p>
    <w:p w14:paraId="4CB9F8BD" w14:textId="14636E1C" w:rsidR="00CF1B6C" w:rsidRPr="005C31F5" w:rsidRDefault="00CF1B6C" w:rsidP="00CF1B6C">
      <w:pPr>
        <w:ind w:firstLine="720"/>
        <w:jc w:val="both"/>
        <w:rPr>
          <w:sz w:val="28"/>
          <w:szCs w:val="28"/>
          <w:lang w:val="lv-LV"/>
        </w:rPr>
      </w:pPr>
      <w:bookmarkStart w:id="21" w:name="_Hlk536690653"/>
      <w:r w:rsidRPr="005C31F5">
        <w:rPr>
          <w:sz w:val="28"/>
          <w:szCs w:val="28"/>
          <w:lang w:val="lv-LV"/>
        </w:rPr>
        <w:t xml:space="preserve">Nomāto aktīvu kopējā vērtība </w:t>
      </w:r>
      <w:r w:rsidR="00993031" w:rsidRPr="005C31F5">
        <w:rPr>
          <w:sz w:val="28"/>
          <w:szCs w:val="28"/>
          <w:lang w:val="lv-LV"/>
        </w:rPr>
        <w:t>2019</w:t>
      </w:r>
      <w:r w:rsidRPr="005C31F5">
        <w:rPr>
          <w:sz w:val="28"/>
          <w:szCs w:val="28"/>
          <w:lang w:val="lv-LV"/>
        </w:rPr>
        <w:t>.gad</w:t>
      </w:r>
      <w:r w:rsidR="006933D1" w:rsidRPr="005C31F5">
        <w:rPr>
          <w:sz w:val="28"/>
          <w:szCs w:val="28"/>
          <w:lang w:val="lv-LV"/>
        </w:rPr>
        <w:t>a 1.janvārī</w:t>
      </w:r>
      <w:r w:rsidRPr="005C31F5">
        <w:rPr>
          <w:sz w:val="28"/>
          <w:szCs w:val="28"/>
          <w:lang w:val="lv-LV"/>
        </w:rPr>
        <w:t xml:space="preserve"> </w:t>
      </w:r>
      <w:r w:rsidR="006933D1" w:rsidRPr="005C31F5">
        <w:rPr>
          <w:sz w:val="28"/>
          <w:szCs w:val="28"/>
          <w:lang w:val="lv-LV"/>
        </w:rPr>
        <w:t>ir</w:t>
      </w:r>
      <w:r w:rsidRPr="005C31F5">
        <w:rPr>
          <w:sz w:val="28"/>
          <w:szCs w:val="28"/>
          <w:lang w:val="lv-LV"/>
        </w:rPr>
        <w:t xml:space="preserve"> </w:t>
      </w:r>
      <w:r w:rsidR="00993031" w:rsidRPr="005C31F5">
        <w:rPr>
          <w:sz w:val="28"/>
          <w:szCs w:val="28"/>
          <w:lang w:val="lv-LV"/>
        </w:rPr>
        <w:t>426</w:t>
      </w:r>
      <w:r w:rsidRPr="005C31F5">
        <w:rPr>
          <w:sz w:val="28"/>
          <w:szCs w:val="28"/>
          <w:lang w:val="lv-LV"/>
        </w:rPr>
        <w:t>,</w:t>
      </w:r>
      <w:r w:rsidR="00993031" w:rsidRPr="005C31F5">
        <w:rPr>
          <w:sz w:val="28"/>
          <w:szCs w:val="28"/>
          <w:lang w:val="lv-LV"/>
        </w:rPr>
        <w:t xml:space="preserve">1 </w:t>
      </w:r>
      <w:r w:rsidRPr="005C31F5">
        <w:rPr>
          <w:sz w:val="28"/>
          <w:szCs w:val="28"/>
          <w:lang w:val="lv-LV"/>
        </w:rPr>
        <w:t xml:space="preserve">milj. EUR, kas dalās starp īpašniekiem: LET pieder aktīvi </w:t>
      </w:r>
      <w:r w:rsidR="00993031" w:rsidRPr="005C31F5">
        <w:rPr>
          <w:sz w:val="28"/>
          <w:szCs w:val="28"/>
          <w:lang w:val="lv-LV"/>
        </w:rPr>
        <w:t>396</w:t>
      </w:r>
      <w:r w:rsidRPr="005C31F5">
        <w:rPr>
          <w:sz w:val="28"/>
          <w:szCs w:val="28"/>
          <w:lang w:val="lv-LV"/>
        </w:rPr>
        <w:t>,</w:t>
      </w:r>
      <w:r w:rsidR="00993031" w:rsidRPr="005C31F5">
        <w:rPr>
          <w:sz w:val="28"/>
          <w:szCs w:val="28"/>
          <w:lang w:val="lv-LV"/>
        </w:rPr>
        <w:t xml:space="preserve">9 </w:t>
      </w:r>
      <w:r w:rsidRPr="005C31F5">
        <w:rPr>
          <w:sz w:val="28"/>
          <w:szCs w:val="28"/>
          <w:lang w:val="lv-LV"/>
        </w:rPr>
        <w:t xml:space="preserve">milj. EUR apmērā un AS “Latvenergo” pieder aktīvi </w:t>
      </w:r>
      <w:r w:rsidR="00993031" w:rsidRPr="005C31F5">
        <w:rPr>
          <w:sz w:val="28"/>
          <w:szCs w:val="28"/>
          <w:lang w:val="lv-LV"/>
        </w:rPr>
        <w:t>29</w:t>
      </w:r>
      <w:r w:rsidRPr="005C31F5">
        <w:rPr>
          <w:sz w:val="28"/>
          <w:szCs w:val="28"/>
          <w:lang w:val="lv-LV"/>
        </w:rPr>
        <w:t>,</w:t>
      </w:r>
      <w:r w:rsidR="00993031" w:rsidRPr="005C31F5">
        <w:rPr>
          <w:sz w:val="28"/>
          <w:szCs w:val="28"/>
          <w:lang w:val="lv-LV"/>
        </w:rPr>
        <w:t xml:space="preserve">2 </w:t>
      </w:r>
      <w:r w:rsidRPr="005C31F5">
        <w:rPr>
          <w:sz w:val="28"/>
          <w:szCs w:val="28"/>
          <w:lang w:val="lv-LV"/>
        </w:rPr>
        <w:t xml:space="preserve">milj. EUR apmērā. </w:t>
      </w:r>
    </w:p>
    <w:bookmarkEnd w:id="21"/>
    <w:p w14:paraId="15885523" w14:textId="2A60E91F" w:rsidR="00CF1B6C" w:rsidRPr="005C31F5" w:rsidRDefault="00CF1B6C" w:rsidP="00CF1B6C">
      <w:pPr>
        <w:ind w:firstLine="720"/>
        <w:jc w:val="both"/>
        <w:rPr>
          <w:sz w:val="28"/>
          <w:szCs w:val="28"/>
          <w:lang w:val="lv-LV"/>
        </w:rPr>
      </w:pPr>
      <w:r w:rsidRPr="005C31F5">
        <w:rPr>
          <w:sz w:val="28"/>
          <w:szCs w:val="28"/>
          <w:lang w:val="lv-LV"/>
        </w:rPr>
        <w:t xml:space="preserve">No </w:t>
      </w:r>
      <w:r w:rsidR="00993031" w:rsidRPr="005C31F5">
        <w:rPr>
          <w:sz w:val="28"/>
          <w:szCs w:val="28"/>
          <w:lang w:val="lv-LV"/>
        </w:rPr>
        <w:t>426</w:t>
      </w:r>
      <w:r w:rsidRPr="005C31F5">
        <w:rPr>
          <w:sz w:val="28"/>
          <w:szCs w:val="28"/>
          <w:lang w:val="lv-LV"/>
        </w:rPr>
        <w:t>,</w:t>
      </w:r>
      <w:r w:rsidR="00993031" w:rsidRPr="005C31F5">
        <w:rPr>
          <w:sz w:val="28"/>
          <w:szCs w:val="28"/>
          <w:lang w:val="lv-LV"/>
        </w:rPr>
        <w:t xml:space="preserve">1 </w:t>
      </w:r>
      <w:r w:rsidRPr="005C31F5">
        <w:rPr>
          <w:sz w:val="28"/>
          <w:szCs w:val="28"/>
          <w:lang w:val="lv-LV"/>
        </w:rPr>
        <w:t xml:space="preserve">milj. EUR aktīvu vērtības </w:t>
      </w:r>
      <w:bookmarkStart w:id="22" w:name="_Hlk536690695"/>
      <w:r w:rsidR="00993031" w:rsidRPr="005C31F5">
        <w:rPr>
          <w:sz w:val="28"/>
          <w:szCs w:val="28"/>
          <w:lang w:val="lv-LV"/>
        </w:rPr>
        <w:t>34</w:t>
      </w:r>
      <w:r w:rsidRPr="005C31F5">
        <w:rPr>
          <w:sz w:val="28"/>
          <w:szCs w:val="28"/>
          <w:lang w:val="lv-LV"/>
        </w:rPr>
        <w:t>,</w:t>
      </w:r>
      <w:r w:rsidR="00993031" w:rsidRPr="005C31F5">
        <w:rPr>
          <w:sz w:val="28"/>
          <w:szCs w:val="28"/>
          <w:lang w:val="lv-LV"/>
        </w:rPr>
        <w:t xml:space="preserve">9 </w:t>
      </w:r>
      <w:r w:rsidRPr="005C31F5">
        <w:rPr>
          <w:sz w:val="28"/>
          <w:szCs w:val="28"/>
          <w:lang w:val="lv-LV"/>
        </w:rPr>
        <w:t>milj. EUR sastāda ES fondu līdzfinansētie līdzekļi</w:t>
      </w:r>
      <w:bookmarkEnd w:id="22"/>
      <w:r w:rsidRPr="005C31F5">
        <w:rPr>
          <w:sz w:val="28"/>
          <w:szCs w:val="28"/>
          <w:lang w:val="lv-LV"/>
        </w:rPr>
        <w:t xml:space="preserve"> un saņemtā pieslēguma maksa </w:t>
      </w:r>
      <w:r w:rsidR="00993031" w:rsidRPr="005C31F5">
        <w:rPr>
          <w:sz w:val="28"/>
          <w:szCs w:val="28"/>
          <w:lang w:val="lv-LV"/>
        </w:rPr>
        <w:t xml:space="preserve">43,4 </w:t>
      </w:r>
      <w:r w:rsidRPr="005C31F5">
        <w:rPr>
          <w:sz w:val="28"/>
          <w:szCs w:val="28"/>
          <w:lang w:val="lv-LV"/>
        </w:rPr>
        <w:t xml:space="preserve">milj. EUR no sistēmas lietotājiem, bet </w:t>
      </w:r>
      <w:r w:rsidR="00993031" w:rsidRPr="005C31F5">
        <w:rPr>
          <w:sz w:val="28"/>
          <w:szCs w:val="28"/>
          <w:lang w:val="lv-LV"/>
        </w:rPr>
        <w:t>347,</w:t>
      </w:r>
      <w:r w:rsidR="00D947FD" w:rsidRPr="005C31F5">
        <w:rPr>
          <w:sz w:val="28"/>
          <w:szCs w:val="28"/>
          <w:lang w:val="lv-LV"/>
        </w:rPr>
        <w:t>6</w:t>
      </w:r>
      <w:r w:rsidR="00993031" w:rsidRPr="005C31F5">
        <w:rPr>
          <w:sz w:val="28"/>
          <w:szCs w:val="28"/>
          <w:lang w:val="lv-LV"/>
        </w:rPr>
        <w:t xml:space="preserve"> </w:t>
      </w:r>
      <w:r w:rsidRPr="005C31F5">
        <w:rPr>
          <w:sz w:val="28"/>
          <w:szCs w:val="28"/>
          <w:lang w:val="lv-LV"/>
        </w:rPr>
        <w:t>milj. EUR ir regulējamo aktīvu bāze (skat</w:t>
      </w:r>
      <w:r w:rsidR="00362451" w:rsidRPr="005C31F5">
        <w:rPr>
          <w:sz w:val="28"/>
          <w:szCs w:val="28"/>
          <w:lang w:val="lv-LV"/>
        </w:rPr>
        <w:t>īt</w:t>
      </w:r>
      <w:r w:rsidRPr="005C31F5">
        <w:rPr>
          <w:sz w:val="28"/>
          <w:szCs w:val="28"/>
          <w:lang w:val="lv-LV"/>
        </w:rPr>
        <w:t xml:space="preserve"> </w:t>
      </w:r>
      <w:r w:rsidR="00FC0B7B">
        <w:rPr>
          <w:sz w:val="28"/>
          <w:szCs w:val="28"/>
          <w:lang w:val="lv-LV"/>
        </w:rPr>
        <w:t>5</w:t>
      </w:r>
      <w:r w:rsidRPr="005C31F5">
        <w:rPr>
          <w:sz w:val="28"/>
          <w:szCs w:val="28"/>
          <w:lang w:val="lv-LV"/>
        </w:rPr>
        <w:t>.attēlu), kas tiek attiecināta uz pārvades sistēmas nomas maksu un iekļauta pārvades sistēmas tarifā.</w:t>
      </w:r>
      <w:r w:rsidR="006933D1" w:rsidRPr="005C31F5">
        <w:rPr>
          <w:sz w:val="28"/>
          <w:szCs w:val="28"/>
          <w:lang w:val="lv-LV"/>
        </w:rPr>
        <w:t xml:space="preserve"> Bez RAB LET ir arī nepabeigtās celtniecības aktīvi, kas pēc projektu pabeigšanas tiks iekļauti regulējamo aktīvu bāzē un apgrozāmie līdzekļi, kuru vērtība 2018.gada </w:t>
      </w:r>
      <w:r w:rsidR="00993031" w:rsidRPr="005C31F5">
        <w:rPr>
          <w:sz w:val="28"/>
          <w:szCs w:val="28"/>
          <w:lang w:val="lv-LV"/>
        </w:rPr>
        <w:t>31</w:t>
      </w:r>
      <w:r w:rsidR="006933D1" w:rsidRPr="005C31F5">
        <w:rPr>
          <w:sz w:val="28"/>
          <w:szCs w:val="28"/>
          <w:lang w:val="lv-LV"/>
        </w:rPr>
        <w:t>.</w:t>
      </w:r>
      <w:r w:rsidR="00993031" w:rsidRPr="005C31F5">
        <w:rPr>
          <w:sz w:val="28"/>
          <w:szCs w:val="28"/>
          <w:lang w:val="lv-LV"/>
        </w:rPr>
        <w:t>decembrī</w:t>
      </w:r>
      <w:r w:rsidR="006933D1" w:rsidRPr="005C31F5">
        <w:rPr>
          <w:sz w:val="28"/>
          <w:szCs w:val="28"/>
          <w:lang w:val="lv-LV"/>
        </w:rPr>
        <w:t xml:space="preserve"> ir </w:t>
      </w:r>
      <w:r w:rsidR="0022537F" w:rsidRPr="005C31F5">
        <w:rPr>
          <w:sz w:val="28"/>
          <w:szCs w:val="28"/>
          <w:lang w:val="lv-LV"/>
        </w:rPr>
        <w:t>64,2</w:t>
      </w:r>
      <w:r w:rsidR="006933D1" w:rsidRPr="005C31F5">
        <w:rPr>
          <w:sz w:val="28"/>
          <w:szCs w:val="28"/>
          <w:lang w:val="lv-LV"/>
        </w:rPr>
        <w:t xml:space="preserve"> milj. EUR (neto).</w:t>
      </w:r>
    </w:p>
    <w:p w14:paraId="2A36D777" w14:textId="77777777" w:rsidR="006933D1" w:rsidRPr="005C31F5" w:rsidRDefault="006933D1" w:rsidP="006933D1">
      <w:pPr>
        <w:spacing w:after="160" w:line="259" w:lineRule="auto"/>
        <w:rPr>
          <w:sz w:val="28"/>
          <w:szCs w:val="28"/>
          <w:lang w:val="lv-LV"/>
        </w:rPr>
      </w:pPr>
      <w:r w:rsidRPr="005C31F5">
        <w:rPr>
          <w:sz w:val="28"/>
          <w:szCs w:val="28"/>
          <w:lang w:val="lv-LV"/>
        </w:rPr>
        <w:br w:type="page"/>
      </w:r>
    </w:p>
    <w:p w14:paraId="14F4A91B" w14:textId="11D6D324" w:rsidR="00CF1B6C" w:rsidRPr="005C31F5" w:rsidRDefault="00FC0B7B" w:rsidP="00CF1B6C">
      <w:pPr>
        <w:ind w:firstLine="720"/>
        <w:jc w:val="right"/>
        <w:rPr>
          <w:sz w:val="28"/>
          <w:szCs w:val="28"/>
          <w:lang w:val="lv-LV"/>
        </w:rPr>
      </w:pPr>
      <w:r>
        <w:rPr>
          <w:sz w:val="28"/>
          <w:szCs w:val="28"/>
          <w:lang w:val="lv-LV"/>
        </w:rPr>
        <w:lastRenderedPageBreak/>
        <w:t>5</w:t>
      </w:r>
      <w:r w:rsidR="00CF1B6C" w:rsidRPr="005C31F5">
        <w:rPr>
          <w:sz w:val="28"/>
          <w:szCs w:val="28"/>
          <w:lang w:val="lv-LV"/>
        </w:rPr>
        <w:t>.attēls</w:t>
      </w:r>
    </w:p>
    <w:p w14:paraId="1D2F3045" w14:textId="7FD61A23" w:rsidR="00854FFE" w:rsidRPr="005C31F5" w:rsidRDefault="00CF1B6C" w:rsidP="00362451">
      <w:pPr>
        <w:ind w:firstLine="720"/>
        <w:jc w:val="center"/>
        <w:rPr>
          <w:sz w:val="28"/>
          <w:szCs w:val="28"/>
          <w:lang w:val="lv-LV"/>
        </w:rPr>
      </w:pPr>
      <w:r w:rsidRPr="005C31F5">
        <w:rPr>
          <w:i/>
          <w:sz w:val="28"/>
          <w:szCs w:val="28"/>
          <w:lang w:val="lv-LV"/>
        </w:rPr>
        <w:t>Pārvades sistēmas aktīvu vērtība, milj. EUR</w:t>
      </w:r>
      <w:r w:rsidR="00FF29C2" w:rsidRPr="005C31F5">
        <w:rPr>
          <w:i/>
          <w:sz w:val="28"/>
          <w:szCs w:val="28"/>
          <w:lang w:val="lv-LV"/>
        </w:rPr>
        <w:t xml:space="preserve"> (2018.g.)</w:t>
      </w:r>
      <w:r w:rsidR="00975BCA" w:rsidRPr="005C31F5">
        <w:rPr>
          <w:noProof/>
          <w:sz w:val="28"/>
          <w:szCs w:val="28"/>
          <w:lang w:val="lv-LV"/>
        </w:rPr>
        <w:drawing>
          <wp:inline distT="0" distB="0" distL="0" distR="0" wp14:anchorId="51D71597" wp14:editId="2C43318E">
            <wp:extent cx="4710023" cy="184616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8603" cy="1853448"/>
                    </a:xfrm>
                    <a:prstGeom prst="rect">
                      <a:avLst/>
                    </a:prstGeom>
                    <a:noFill/>
                  </pic:spPr>
                </pic:pic>
              </a:graphicData>
            </a:graphic>
          </wp:inline>
        </w:drawing>
      </w:r>
    </w:p>
    <w:p w14:paraId="367F64BC" w14:textId="25AED226" w:rsidR="00CF1B6C" w:rsidRPr="005C31F5" w:rsidRDefault="00CF1B6C" w:rsidP="00CF1B6C">
      <w:pPr>
        <w:ind w:firstLine="720"/>
        <w:jc w:val="both"/>
        <w:rPr>
          <w:sz w:val="28"/>
          <w:szCs w:val="28"/>
          <w:shd w:val="clear" w:color="auto" w:fill="FFFFFF"/>
          <w:lang w:val="lv-LV"/>
        </w:rPr>
      </w:pPr>
      <w:r w:rsidRPr="005C31F5">
        <w:rPr>
          <w:sz w:val="28"/>
          <w:szCs w:val="28"/>
          <w:lang w:val="lv-LV"/>
        </w:rPr>
        <w:t xml:space="preserve"> </w:t>
      </w:r>
      <w:r w:rsidR="003131A0" w:rsidRPr="005C31F5">
        <w:rPr>
          <w:sz w:val="28"/>
          <w:szCs w:val="28"/>
          <w:lang w:val="lv-LV"/>
        </w:rPr>
        <w:t>RAB</w:t>
      </w:r>
      <w:r w:rsidRPr="005C31F5">
        <w:rPr>
          <w:sz w:val="28"/>
          <w:szCs w:val="28"/>
          <w:lang w:val="lv-LV"/>
        </w:rPr>
        <w:t xml:space="preserve"> </w:t>
      </w:r>
      <w:bookmarkStart w:id="23" w:name="_Hlk536692104"/>
      <w:r w:rsidRPr="005C31F5">
        <w:rPr>
          <w:sz w:val="28"/>
          <w:szCs w:val="28"/>
          <w:lang w:val="lv-LV"/>
        </w:rPr>
        <w:t xml:space="preserve">ietilpst </w:t>
      </w:r>
      <w:r w:rsidRPr="005C31F5">
        <w:rPr>
          <w:sz w:val="28"/>
          <w:szCs w:val="28"/>
          <w:shd w:val="clear" w:color="auto" w:fill="FFFFFF"/>
          <w:lang w:val="lv-LV"/>
        </w:rPr>
        <w:t>330kV un 110kV pārvades līnijas, iekārtas, inženierbūves, telekomunikāciju</w:t>
      </w:r>
      <w:r w:rsidR="00624C9F" w:rsidRPr="005C31F5">
        <w:rPr>
          <w:sz w:val="28"/>
          <w:szCs w:val="28"/>
          <w:shd w:val="clear" w:color="auto" w:fill="FFFFFF"/>
          <w:lang w:val="lv-LV"/>
        </w:rPr>
        <w:t xml:space="preserve"> (izņemot </w:t>
      </w:r>
      <w:r w:rsidR="00624C9F" w:rsidRPr="005C31F5">
        <w:rPr>
          <w:sz w:val="28"/>
          <w:szCs w:val="28"/>
          <w:lang w:val="lv-LV"/>
        </w:rPr>
        <w:t>OPGW</w:t>
      </w:r>
      <w:r w:rsidR="00687E55" w:rsidRPr="005C31F5">
        <w:rPr>
          <w:sz w:val="28"/>
          <w:szCs w:val="28"/>
          <w:lang w:val="lv-LV"/>
        </w:rPr>
        <w:t xml:space="preserve"> (</w:t>
      </w:r>
      <w:proofErr w:type="spellStart"/>
      <w:r w:rsidR="00687E55" w:rsidRPr="005C31F5">
        <w:rPr>
          <w:sz w:val="28"/>
          <w:szCs w:val="28"/>
          <w:lang w:val="lv-LV"/>
        </w:rPr>
        <w:t>zibensaizsardzības</w:t>
      </w:r>
      <w:proofErr w:type="spellEnd"/>
      <w:r w:rsidR="00687E55" w:rsidRPr="005C31F5">
        <w:rPr>
          <w:sz w:val="28"/>
          <w:szCs w:val="28"/>
          <w:lang w:val="lv-LV"/>
        </w:rPr>
        <w:t xml:space="preserve"> trosi ar iebūvētu optisko šķiedru kabeli)</w:t>
      </w:r>
      <w:r w:rsidR="00624C9F" w:rsidRPr="005C31F5">
        <w:rPr>
          <w:sz w:val="28"/>
          <w:szCs w:val="28"/>
          <w:lang w:val="lv-LV"/>
        </w:rPr>
        <w:t xml:space="preserve"> un ADSS gaisvadu līnijas, kā arī pazemes </w:t>
      </w:r>
      <w:r w:rsidR="00D257D4">
        <w:rPr>
          <w:sz w:val="28"/>
          <w:szCs w:val="28"/>
          <w:lang w:val="lv-LV"/>
        </w:rPr>
        <w:t xml:space="preserve">sakaru </w:t>
      </w:r>
      <w:r w:rsidR="00624C9F" w:rsidRPr="005C31F5">
        <w:rPr>
          <w:sz w:val="28"/>
          <w:szCs w:val="28"/>
          <w:lang w:val="lv-LV"/>
        </w:rPr>
        <w:t>līnijas</w:t>
      </w:r>
      <w:r w:rsidR="00222FC1" w:rsidRPr="005C31F5">
        <w:rPr>
          <w:sz w:val="28"/>
          <w:szCs w:val="28"/>
          <w:lang w:val="lv-LV"/>
        </w:rPr>
        <w:t>)</w:t>
      </w:r>
      <w:r w:rsidR="008D6806" w:rsidRPr="005C31F5">
        <w:rPr>
          <w:sz w:val="28"/>
          <w:szCs w:val="28"/>
          <w:lang w:val="lv-LV"/>
        </w:rPr>
        <w:t xml:space="preserve"> </w:t>
      </w:r>
      <w:r w:rsidRPr="005C31F5">
        <w:rPr>
          <w:sz w:val="28"/>
          <w:szCs w:val="28"/>
          <w:shd w:val="clear" w:color="auto" w:fill="FFFFFF"/>
          <w:lang w:val="lv-LV"/>
        </w:rPr>
        <w:t xml:space="preserve">un citu palīgtelpu kopums, tajā skaitā, nomātais </w:t>
      </w:r>
      <w:r w:rsidR="00D257D4" w:rsidRPr="005C31F5">
        <w:rPr>
          <w:sz w:val="28"/>
          <w:szCs w:val="28"/>
          <w:shd w:val="clear" w:color="auto" w:fill="FFFFFF"/>
          <w:lang w:val="lv-LV"/>
        </w:rPr>
        <w:t xml:space="preserve">AS “Latvenergo” </w:t>
      </w:r>
      <w:r w:rsidRPr="005C31F5">
        <w:rPr>
          <w:sz w:val="28"/>
          <w:szCs w:val="28"/>
          <w:shd w:val="clear" w:color="auto" w:fill="FFFFFF"/>
          <w:lang w:val="lv-LV"/>
        </w:rPr>
        <w:t>nekustamais īpašums (</w:t>
      </w:r>
      <w:r w:rsidR="00D257D4" w:rsidRPr="00D257D4">
        <w:rPr>
          <w:sz w:val="28"/>
          <w:szCs w:val="28"/>
          <w:shd w:val="clear" w:color="auto" w:fill="FFFFFF"/>
          <w:lang w:val="lv-LV"/>
        </w:rPr>
        <w:t>apakšstaciju vadības ēkas, zeme u.c.</w:t>
      </w:r>
      <w:r w:rsidRPr="005C31F5">
        <w:rPr>
          <w:sz w:val="28"/>
          <w:szCs w:val="28"/>
          <w:shd w:val="clear" w:color="auto" w:fill="FFFFFF"/>
          <w:lang w:val="lv-LV"/>
        </w:rPr>
        <w:t xml:space="preserve">). </w:t>
      </w:r>
      <w:bookmarkEnd w:id="23"/>
      <w:r w:rsidR="00917AC5" w:rsidRPr="005C31F5">
        <w:rPr>
          <w:sz w:val="28"/>
          <w:szCs w:val="28"/>
          <w:shd w:val="clear" w:color="auto" w:fill="FFFFFF"/>
          <w:lang w:val="lv-LV"/>
        </w:rPr>
        <w:t>Jautājums p</w:t>
      </w:r>
      <w:r w:rsidR="00B146E1" w:rsidRPr="005C31F5">
        <w:rPr>
          <w:sz w:val="28"/>
          <w:szCs w:val="28"/>
          <w:shd w:val="clear" w:color="auto" w:fill="FFFFFF"/>
          <w:lang w:val="lv-LV"/>
        </w:rPr>
        <w:t>ar īpašumtiesībām attiecībā uz energosistēmas elektronisko sakaru tīkla infrastruktūru</w:t>
      </w:r>
      <w:r w:rsidR="00917AC5" w:rsidRPr="005C31F5">
        <w:rPr>
          <w:sz w:val="28"/>
          <w:szCs w:val="28"/>
          <w:shd w:val="clear" w:color="auto" w:fill="FFFFFF"/>
          <w:lang w:val="lv-LV"/>
        </w:rPr>
        <w:t xml:space="preserve"> pilnīgas īpašumtiesību nodalīšanas modeļa ieviešanas procesā </w:t>
      </w:r>
      <w:r w:rsidR="00D257D4" w:rsidRPr="005C31F5">
        <w:rPr>
          <w:sz w:val="28"/>
          <w:szCs w:val="28"/>
          <w:shd w:val="clear" w:color="auto" w:fill="FFFFFF"/>
          <w:lang w:val="lv-LV"/>
        </w:rPr>
        <w:t>starp AS “Latvenergo</w:t>
      </w:r>
      <w:r w:rsidR="00D257D4">
        <w:rPr>
          <w:sz w:val="28"/>
          <w:szCs w:val="28"/>
          <w:shd w:val="clear" w:color="auto" w:fill="FFFFFF"/>
          <w:lang w:val="lv-LV"/>
        </w:rPr>
        <w:t>"</w:t>
      </w:r>
      <w:r w:rsidR="00D257D4" w:rsidRPr="005C31F5">
        <w:rPr>
          <w:sz w:val="28"/>
          <w:szCs w:val="28"/>
          <w:shd w:val="clear" w:color="auto" w:fill="FFFFFF"/>
          <w:lang w:val="lv-LV"/>
        </w:rPr>
        <w:t xml:space="preserve"> un AST </w:t>
      </w:r>
      <w:r w:rsidR="009D2E82">
        <w:rPr>
          <w:sz w:val="28"/>
          <w:szCs w:val="28"/>
          <w:shd w:val="clear" w:color="auto" w:fill="FFFFFF"/>
          <w:lang w:val="lv-LV"/>
        </w:rPr>
        <w:t xml:space="preserve">šajā ziņojumā </w:t>
      </w:r>
      <w:r w:rsidR="005B5D09">
        <w:rPr>
          <w:sz w:val="28"/>
          <w:szCs w:val="28"/>
          <w:shd w:val="clear" w:color="auto" w:fill="FFFFFF"/>
          <w:lang w:val="lv-LV"/>
        </w:rPr>
        <w:t>netiek risināts</w:t>
      </w:r>
      <w:r w:rsidR="00917AC5" w:rsidRPr="005C31F5">
        <w:rPr>
          <w:sz w:val="28"/>
          <w:szCs w:val="28"/>
          <w:shd w:val="clear" w:color="auto" w:fill="FFFFFF"/>
          <w:lang w:val="lv-LV"/>
        </w:rPr>
        <w:t>.</w:t>
      </w:r>
    </w:p>
    <w:p w14:paraId="7F0A89EB" w14:textId="38C5FC3B" w:rsidR="00CF1B6C" w:rsidRPr="005C31F5" w:rsidRDefault="00CF1B6C" w:rsidP="005F77AD">
      <w:pPr>
        <w:ind w:firstLine="720"/>
        <w:jc w:val="both"/>
        <w:rPr>
          <w:sz w:val="28"/>
          <w:szCs w:val="28"/>
          <w:lang w:val="lv-LV"/>
        </w:rPr>
      </w:pPr>
      <w:r w:rsidRPr="005C31F5">
        <w:rPr>
          <w:sz w:val="28"/>
          <w:szCs w:val="28"/>
          <w:lang w:val="lv-LV"/>
        </w:rPr>
        <w:t xml:space="preserve">Daļu no </w:t>
      </w:r>
      <w:r w:rsidR="005B5D09">
        <w:rPr>
          <w:sz w:val="28"/>
          <w:szCs w:val="28"/>
          <w:shd w:val="clear" w:color="auto" w:fill="FFFFFF"/>
          <w:lang w:val="lv-LV"/>
        </w:rPr>
        <w:t xml:space="preserve">pārvades </w:t>
      </w:r>
      <w:r w:rsidRPr="005C31F5">
        <w:rPr>
          <w:sz w:val="28"/>
          <w:szCs w:val="28"/>
          <w:lang w:val="lv-LV"/>
        </w:rPr>
        <w:t xml:space="preserve">aktīviem </w:t>
      </w:r>
      <w:r w:rsidR="005B5D09">
        <w:rPr>
          <w:sz w:val="28"/>
          <w:szCs w:val="28"/>
          <w:lang w:val="lv-LV"/>
        </w:rPr>
        <w:t>(</w:t>
      </w:r>
      <w:r w:rsidR="005B5D09" w:rsidRPr="005C31F5">
        <w:rPr>
          <w:sz w:val="28"/>
          <w:szCs w:val="28"/>
          <w:lang w:val="lv-LV"/>
        </w:rPr>
        <w:t>zemes un ēku infrastruktūra</w:t>
      </w:r>
      <w:r w:rsidR="005B5D09">
        <w:rPr>
          <w:sz w:val="28"/>
          <w:szCs w:val="28"/>
          <w:lang w:val="lv-LV"/>
        </w:rPr>
        <w:t>)</w:t>
      </w:r>
      <w:r w:rsidR="005B5D09" w:rsidRPr="005C31F5">
        <w:rPr>
          <w:sz w:val="28"/>
          <w:szCs w:val="28"/>
          <w:lang w:val="lv-LV"/>
        </w:rPr>
        <w:t xml:space="preserve"> </w:t>
      </w:r>
      <w:r w:rsidRPr="005C31F5">
        <w:rPr>
          <w:sz w:val="28"/>
          <w:szCs w:val="28"/>
          <w:lang w:val="lv-LV"/>
        </w:rPr>
        <w:t>vēsturiski izveidojušās situācijas dēļ lieto vairāki elektroenerģijas sistēmas dalībnieki</w:t>
      </w:r>
      <w:r w:rsidR="005F77AD" w:rsidRPr="005C31F5">
        <w:rPr>
          <w:sz w:val="28"/>
          <w:szCs w:val="28"/>
          <w:lang w:val="lv-LV"/>
        </w:rPr>
        <w:t xml:space="preserve"> -</w:t>
      </w:r>
      <w:r w:rsidR="005B5D09">
        <w:rPr>
          <w:sz w:val="28"/>
          <w:szCs w:val="28"/>
          <w:lang w:val="lv-LV"/>
        </w:rPr>
        <w:t xml:space="preserve"> p</w:t>
      </w:r>
      <w:r w:rsidRPr="005C31F5">
        <w:rPr>
          <w:sz w:val="28"/>
          <w:szCs w:val="28"/>
          <w:lang w:val="lv-LV"/>
        </w:rPr>
        <w:t>ārvades tīkla apakšstacijās vienlaicīgi ir izvietota arī AS “Sadales tīkls” un AS “Latvenergo” piederoša infrastruktūra – vidējā sprieguma sadales iekārtas, sakaru iekārtas un konteineru infrastruktūra</w:t>
      </w:r>
      <w:r w:rsidRPr="005C31F5">
        <w:rPr>
          <w:b/>
          <w:sz w:val="28"/>
          <w:szCs w:val="28"/>
          <w:lang w:val="lv-LV"/>
        </w:rPr>
        <w:t xml:space="preserve"> </w:t>
      </w:r>
      <w:r w:rsidRPr="005C31F5">
        <w:rPr>
          <w:sz w:val="28"/>
          <w:szCs w:val="28"/>
          <w:lang w:val="lv-LV"/>
        </w:rPr>
        <w:t xml:space="preserve">telekomunikāciju iekārtu izvietošanai. Apakšstaciju ekspluatāciju kā galvenais nomnieks organizē AST, kas sniedz nomas un saistītos pakalpojumus (apsardze, uzturēšana) AS “Sadales tīkls” un AS “Latvenergo”. </w:t>
      </w:r>
      <w:r w:rsidRPr="005C31F5">
        <w:rPr>
          <w:color w:val="000000"/>
          <w:sz w:val="28"/>
          <w:szCs w:val="28"/>
          <w:lang w:val="lv-LV"/>
        </w:rPr>
        <w:t xml:space="preserve">Nekustamais īpašums pamatā ir AS “Latvenergo” īpašumā. Kopumā no 139 110/330 </w:t>
      </w:r>
      <w:proofErr w:type="spellStart"/>
      <w:r w:rsidRPr="005C31F5">
        <w:rPr>
          <w:color w:val="000000"/>
          <w:sz w:val="28"/>
          <w:szCs w:val="28"/>
          <w:lang w:val="lv-LV"/>
        </w:rPr>
        <w:t>kV</w:t>
      </w:r>
      <w:proofErr w:type="spellEnd"/>
      <w:r w:rsidRPr="005C31F5">
        <w:rPr>
          <w:color w:val="000000"/>
          <w:sz w:val="28"/>
          <w:szCs w:val="28"/>
          <w:lang w:val="lv-LV"/>
        </w:rPr>
        <w:t xml:space="preserve"> apakšstacijām 15 apakšstacijās ēkas un būves atrodas uz trešo personu īpašumā esošām zemēm, bet 124 apakšstacijās ēkas un būves atrodas uz AS „Latvenergo” īpašumā esošas zemes.</w:t>
      </w:r>
    </w:p>
    <w:p w14:paraId="525A08C9" w14:textId="77777777" w:rsidR="00CF1B6C" w:rsidRPr="005C31F5" w:rsidRDefault="00CF1B6C" w:rsidP="00CF1B6C">
      <w:pPr>
        <w:ind w:firstLine="720"/>
        <w:jc w:val="both"/>
        <w:rPr>
          <w:sz w:val="28"/>
          <w:szCs w:val="28"/>
          <w:lang w:val="lv-LV"/>
        </w:rPr>
      </w:pPr>
      <w:r w:rsidRPr="005C31F5">
        <w:rPr>
          <w:color w:val="000000"/>
          <w:sz w:val="28"/>
          <w:szCs w:val="28"/>
          <w:lang w:val="lv-LV" w:eastAsia="lv-LV"/>
        </w:rPr>
        <w:t xml:space="preserve">LET īpašumā esošo pārvades sistēmas aktīvu – 330 </w:t>
      </w:r>
      <w:proofErr w:type="spellStart"/>
      <w:r w:rsidRPr="005C31F5">
        <w:rPr>
          <w:color w:val="000000"/>
          <w:sz w:val="28"/>
          <w:szCs w:val="28"/>
          <w:lang w:val="lv-LV" w:eastAsia="lv-LV"/>
        </w:rPr>
        <w:t>kV</w:t>
      </w:r>
      <w:proofErr w:type="spellEnd"/>
      <w:r w:rsidRPr="005C31F5">
        <w:rPr>
          <w:color w:val="000000"/>
          <w:sz w:val="28"/>
          <w:szCs w:val="28"/>
          <w:lang w:val="lv-LV" w:eastAsia="lv-LV"/>
        </w:rPr>
        <w:t xml:space="preserve"> un 110 </w:t>
      </w:r>
      <w:proofErr w:type="spellStart"/>
      <w:r w:rsidRPr="005C31F5">
        <w:rPr>
          <w:color w:val="000000"/>
          <w:sz w:val="28"/>
          <w:szCs w:val="28"/>
          <w:lang w:val="lv-LV" w:eastAsia="lv-LV"/>
        </w:rPr>
        <w:t>kV</w:t>
      </w:r>
      <w:proofErr w:type="spellEnd"/>
      <w:r w:rsidRPr="005C31F5">
        <w:rPr>
          <w:color w:val="000000"/>
          <w:sz w:val="28"/>
          <w:szCs w:val="28"/>
          <w:lang w:val="lv-LV" w:eastAsia="lv-LV"/>
        </w:rPr>
        <w:t xml:space="preserve"> pārvades līniju, iekārtu, inženierbūvju nodalīšanas jautājums </w:t>
      </w:r>
      <w:r w:rsidR="0049775B" w:rsidRPr="005C31F5">
        <w:rPr>
          <w:color w:val="000000"/>
          <w:sz w:val="28"/>
          <w:szCs w:val="28"/>
          <w:lang w:val="lv-LV" w:eastAsia="lv-LV"/>
        </w:rPr>
        <w:t>jāvērtē kontekstā arī ar aktīvu saistītajiem nekustamajiem īpašumiem, kas ir</w:t>
      </w:r>
      <w:r w:rsidRPr="005C31F5">
        <w:rPr>
          <w:color w:val="000000"/>
          <w:sz w:val="28"/>
          <w:szCs w:val="28"/>
          <w:lang w:val="lv-LV" w:eastAsia="lv-LV"/>
        </w:rPr>
        <w:t xml:space="preserve"> AS „Latvenergo” īpašumā</w:t>
      </w:r>
      <w:r w:rsidR="00564472" w:rsidRPr="005C31F5">
        <w:rPr>
          <w:color w:val="000000"/>
          <w:sz w:val="28"/>
          <w:szCs w:val="28"/>
          <w:lang w:val="lv-LV"/>
        </w:rPr>
        <w:t xml:space="preserve">. Jāņem vērā, ka </w:t>
      </w:r>
      <w:r w:rsidRPr="005C31F5">
        <w:rPr>
          <w:color w:val="000000"/>
          <w:sz w:val="28"/>
          <w:szCs w:val="28"/>
          <w:lang w:val="lv-LV"/>
        </w:rPr>
        <w:t xml:space="preserve">vienota nekustamā īpašuma sastāvā daudzos gadījumos ir arī AS „Sadales tīkls” un AS „Latvenergo” komercdarbībai nepieciešami objekti. </w:t>
      </w:r>
    </w:p>
    <w:p w14:paraId="630FF024" w14:textId="77777777" w:rsidR="00CF1B6C" w:rsidRPr="005C31F5" w:rsidRDefault="00CF1B6C" w:rsidP="00CF1B6C">
      <w:pPr>
        <w:spacing w:after="160" w:line="259" w:lineRule="auto"/>
        <w:rPr>
          <w:sz w:val="28"/>
          <w:szCs w:val="28"/>
          <w:lang w:val="lv-LV"/>
        </w:rPr>
      </w:pPr>
      <w:r w:rsidRPr="005C31F5">
        <w:rPr>
          <w:sz w:val="28"/>
          <w:szCs w:val="28"/>
          <w:lang w:val="lv-LV"/>
        </w:rPr>
        <w:br w:type="page"/>
      </w:r>
    </w:p>
    <w:p w14:paraId="757C8F35" w14:textId="4444D307" w:rsidR="00CF1B6C" w:rsidRPr="005C31F5" w:rsidRDefault="00CF1B6C" w:rsidP="00CF1B6C">
      <w:pPr>
        <w:pStyle w:val="Heading3"/>
        <w:rPr>
          <w:sz w:val="28"/>
          <w:szCs w:val="28"/>
          <w:shd w:val="clear" w:color="auto" w:fill="FFFFFF"/>
          <w:lang w:val="lv-LV"/>
        </w:rPr>
      </w:pPr>
      <w:bookmarkStart w:id="24" w:name="_Toc524621715"/>
      <w:bookmarkStart w:id="25" w:name="_Toc256000034"/>
      <w:bookmarkStart w:id="26" w:name="_Toc256000021"/>
      <w:bookmarkStart w:id="27" w:name="_Toc256000008"/>
      <w:bookmarkStart w:id="28" w:name="_Toc3205706"/>
      <w:r w:rsidRPr="005C31F5">
        <w:rPr>
          <w:shd w:val="clear" w:color="auto" w:fill="FFFFFF"/>
          <w:lang w:val="lv-LV"/>
        </w:rPr>
        <w:lastRenderedPageBreak/>
        <w:t xml:space="preserve">Pārvades sistēmas </w:t>
      </w:r>
      <w:r w:rsidRPr="005C31F5">
        <w:rPr>
          <w:lang w:val="lv-LV"/>
        </w:rPr>
        <w:t>aktīvu piederības maiņa</w:t>
      </w:r>
      <w:r w:rsidR="0049775B" w:rsidRPr="005C31F5">
        <w:rPr>
          <w:lang w:val="lv-LV"/>
        </w:rPr>
        <w:t xml:space="preserve"> un</w:t>
      </w:r>
      <w:r w:rsidRPr="005C31F5">
        <w:rPr>
          <w:shd w:val="clear" w:color="auto" w:fill="FFFFFF"/>
          <w:lang w:val="lv-LV"/>
        </w:rPr>
        <w:t xml:space="preserve"> ietekme uz iesaistītajām pusēm</w:t>
      </w:r>
      <w:bookmarkEnd w:id="24"/>
      <w:r w:rsidRPr="005C31F5">
        <w:rPr>
          <w:shd w:val="clear" w:color="auto" w:fill="FFFFFF"/>
          <w:lang w:val="lv-LV"/>
        </w:rPr>
        <w:t xml:space="preserve"> </w:t>
      </w:r>
      <w:bookmarkEnd w:id="25"/>
      <w:bookmarkEnd w:id="26"/>
      <w:bookmarkEnd w:id="27"/>
      <w:bookmarkEnd w:id="28"/>
    </w:p>
    <w:p w14:paraId="468EE74E" w14:textId="77777777" w:rsidR="00CF1B6C" w:rsidRPr="005C31F5" w:rsidRDefault="00CF1B6C" w:rsidP="00CF1B6C">
      <w:pPr>
        <w:pStyle w:val="Heading1"/>
        <w:rPr>
          <w:shd w:val="clear" w:color="auto" w:fill="FFFFFF"/>
          <w:lang w:val="lv-LV"/>
        </w:rPr>
      </w:pPr>
    </w:p>
    <w:p w14:paraId="734C6955" w14:textId="77777777" w:rsidR="00CB4B6B" w:rsidRPr="005C31F5" w:rsidRDefault="00CF1B6C" w:rsidP="00CF1B6C">
      <w:pPr>
        <w:pStyle w:val="NoSpacing"/>
        <w:ind w:firstLine="720"/>
        <w:jc w:val="both"/>
        <w:rPr>
          <w:sz w:val="28"/>
          <w:szCs w:val="28"/>
          <w:lang w:val="lv-LV"/>
        </w:rPr>
      </w:pPr>
      <w:r w:rsidRPr="005C31F5">
        <w:rPr>
          <w:sz w:val="28"/>
          <w:szCs w:val="28"/>
          <w:shd w:val="clear" w:color="auto" w:fill="FFFFFF"/>
          <w:lang w:val="lv-LV"/>
        </w:rPr>
        <w:t xml:space="preserve">Lai īstenotu Trešo enerģētikas </w:t>
      </w:r>
      <w:proofErr w:type="spellStart"/>
      <w:r w:rsidRPr="005C31F5">
        <w:rPr>
          <w:sz w:val="28"/>
          <w:szCs w:val="28"/>
          <w:shd w:val="clear" w:color="auto" w:fill="FFFFFF"/>
          <w:lang w:val="lv-LV"/>
        </w:rPr>
        <w:t>pakotni</w:t>
      </w:r>
      <w:proofErr w:type="spellEnd"/>
      <w:r w:rsidRPr="005C31F5">
        <w:rPr>
          <w:sz w:val="28"/>
          <w:szCs w:val="28"/>
          <w:shd w:val="clear" w:color="auto" w:fill="FFFFFF"/>
          <w:lang w:val="lv-LV"/>
        </w:rPr>
        <w:t xml:space="preserve"> un pabeigtu neatkarīga pārvades sistēmas operatora ieviešanas procesu, MK Rīkojumā Nr.12 </w:t>
      </w:r>
      <w:r w:rsidRPr="005C31F5">
        <w:rPr>
          <w:sz w:val="28"/>
          <w:szCs w:val="28"/>
          <w:lang w:val="lv-LV"/>
        </w:rPr>
        <w:t xml:space="preserve">paredzētās Direktīvas 2009/72/EK ieviešanas darbības tiek pārskatītas. Lai nodrošinātu pāreju uz </w:t>
      </w:r>
      <w:r w:rsidRPr="005C31F5">
        <w:rPr>
          <w:sz w:val="28"/>
          <w:szCs w:val="28"/>
          <w:shd w:val="clear" w:color="auto" w:fill="FFFFFF"/>
          <w:lang w:val="lv-LV"/>
        </w:rPr>
        <w:t>pilnīgas īpašumtiesību nodalīšanas</w:t>
      </w:r>
      <w:r w:rsidRPr="005C31F5">
        <w:rPr>
          <w:sz w:val="28"/>
          <w:szCs w:val="28"/>
          <w:lang w:val="lv-LV"/>
        </w:rPr>
        <w:t xml:space="preserve"> modeli, pašlaik ir nepieciešams izvērtēt šī modeļa ietekmi uz elektroenerģijas nozares segmentiem un iesaistītajām pusēm.</w:t>
      </w:r>
      <w:r w:rsidR="00A631BE" w:rsidRPr="005C31F5">
        <w:rPr>
          <w:sz w:val="28"/>
          <w:szCs w:val="28"/>
          <w:lang w:val="lv-LV"/>
        </w:rPr>
        <w:t xml:space="preserve"> </w:t>
      </w:r>
    </w:p>
    <w:p w14:paraId="278BE6B5" w14:textId="47708483" w:rsidR="0073388E" w:rsidRDefault="00362451" w:rsidP="0073388E">
      <w:pPr>
        <w:pStyle w:val="NoSpacing"/>
        <w:ind w:firstLine="720"/>
        <w:jc w:val="both"/>
        <w:rPr>
          <w:sz w:val="28"/>
          <w:szCs w:val="28"/>
          <w:lang w:val="lv-LV"/>
        </w:rPr>
      </w:pPr>
      <w:r w:rsidRPr="005C31F5">
        <w:rPr>
          <w:sz w:val="28"/>
          <w:szCs w:val="28"/>
          <w:lang w:val="lv-LV"/>
        </w:rPr>
        <w:t xml:space="preserve">Tā kā </w:t>
      </w:r>
      <w:r w:rsidR="00E03605" w:rsidRPr="005C31F5">
        <w:rPr>
          <w:sz w:val="28"/>
          <w:szCs w:val="28"/>
          <w:lang w:val="lv-LV"/>
        </w:rPr>
        <w:t>AS “Latvenergo</w:t>
      </w:r>
      <w:r w:rsidR="0011219C">
        <w:rPr>
          <w:sz w:val="28"/>
          <w:szCs w:val="28"/>
          <w:lang w:val="lv-LV"/>
        </w:rPr>
        <w:t>”</w:t>
      </w:r>
      <w:r w:rsidR="00E03605" w:rsidRPr="005C31F5">
        <w:rPr>
          <w:sz w:val="28"/>
          <w:szCs w:val="28"/>
          <w:lang w:val="lv-LV"/>
        </w:rPr>
        <w:t xml:space="preserve"> un AST</w:t>
      </w:r>
      <w:r w:rsidR="007B275D" w:rsidRPr="005C31F5">
        <w:rPr>
          <w:sz w:val="28"/>
          <w:szCs w:val="28"/>
          <w:lang w:val="lv-LV"/>
        </w:rPr>
        <w:t xml:space="preserve"> ir valstij</w:t>
      </w:r>
      <w:r w:rsidRPr="005C31F5">
        <w:rPr>
          <w:sz w:val="28"/>
          <w:szCs w:val="28"/>
          <w:lang w:val="lv-LV"/>
        </w:rPr>
        <w:t xml:space="preserve"> piederošas kapitālsabiedrības</w:t>
      </w:r>
      <w:r w:rsidR="00257611" w:rsidRPr="005C31F5">
        <w:rPr>
          <w:sz w:val="28"/>
          <w:szCs w:val="28"/>
          <w:lang w:val="lv-LV"/>
        </w:rPr>
        <w:t xml:space="preserve">, </w:t>
      </w:r>
      <w:r w:rsidRPr="005C31F5">
        <w:rPr>
          <w:sz w:val="28"/>
          <w:szCs w:val="28"/>
          <w:lang w:val="lv-LV"/>
        </w:rPr>
        <w:t>a</w:t>
      </w:r>
      <w:r w:rsidR="007B275D" w:rsidRPr="005C31F5">
        <w:rPr>
          <w:sz w:val="28"/>
          <w:szCs w:val="28"/>
          <w:lang w:val="lv-LV"/>
        </w:rPr>
        <w:t xml:space="preserve">ktīvu piederības maiņa </w:t>
      </w:r>
      <w:r w:rsidR="00CE2EC5" w:rsidRPr="005C31F5">
        <w:rPr>
          <w:sz w:val="28"/>
          <w:szCs w:val="28"/>
          <w:lang w:val="lv-LV"/>
        </w:rPr>
        <w:t xml:space="preserve">ir plānota </w:t>
      </w:r>
      <w:r w:rsidR="00BB7C69" w:rsidRPr="005C31F5">
        <w:rPr>
          <w:sz w:val="28"/>
          <w:szCs w:val="28"/>
          <w:lang w:val="lv-LV"/>
        </w:rPr>
        <w:t xml:space="preserve">ar </w:t>
      </w:r>
      <w:bookmarkStart w:id="29" w:name="_Hlk16514893"/>
      <w:r w:rsidR="00BB7C69" w:rsidRPr="005C31F5">
        <w:rPr>
          <w:sz w:val="28"/>
          <w:szCs w:val="28"/>
          <w:lang w:val="lv-LV"/>
        </w:rPr>
        <w:t>AS “Latvenergo” pamatkapitāla samazināšanu mantiskā formā, izņemot no AS “Latvenergo” aktīvu bāzes LET kapitāldaļas</w:t>
      </w:r>
      <w:r w:rsidR="00A32EB8" w:rsidRPr="005C31F5">
        <w:rPr>
          <w:sz w:val="28"/>
          <w:szCs w:val="28"/>
          <w:lang w:val="lv-LV"/>
        </w:rPr>
        <w:t xml:space="preserve"> </w:t>
      </w:r>
      <w:bookmarkEnd w:id="29"/>
      <w:r w:rsidR="00A32EB8" w:rsidRPr="005C31F5">
        <w:rPr>
          <w:sz w:val="28"/>
          <w:szCs w:val="28"/>
          <w:lang w:val="lv-LV"/>
        </w:rPr>
        <w:t xml:space="preserve">un nododot tās </w:t>
      </w:r>
      <w:r w:rsidR="00AC3B3A" w:rsidRPr="005C31F5">
        <w:rPr>
          <w:sz w:val="28"/>
          <w:szCs w:val="28"/>
          <w:lang w:val="lv-LV"/>
        </w:rPr>
        <w:t>Finanšu</w:t>
      </w:r>
      <w:r w:rsidR="00A32EB8" w:rsidRPr="005C31F5">
        <w:rPr>
          <w:sz w:val="28"/>
          <w:szCs w:val="28"/>
          <w:lang w:val="lv-LV"/>
        </w:rPr>
        <w:t xml:space="preserve"> ministrijas</w:t>
      </w:r>
      <w:r w:rsidR="00174A08" w:rsidRPr="005C31F5">
        <w:rPr>
          <w:sz w:val="28"/>
          <w:szCs w:val="28"/>
          <w:lang w:val="lv-LV"/>
        </w:rPr>
        <w:t xml:space="preserve"> (kā </w:t>
      </w:r>
      <w:r w:rsidR="000D45EF" w:rsidRPr="005C31F5">
        <w:rPr>
          <w:sz w:val="28"/>
          <w:szCs w:val="28"/>
          <w:lang w:val="lv-LV"/>
        </w:rPr>
        <w:t>AST</w:t>
      </w:r>
      <w:r w:rsidRPr="005C31F5">
        <w:rPr>
          <w:sz w:val="28"/>
          <w:szCs w:val="28"/>
          <w:lang w:val="lv-LV"/>
        </w:rPr>
        <w:t xml:space="preserve"> </w:t>
      </w:r>
      <w:r w:rsidR="00174A08" w:rsidRPr="005C31F5">
        <w:rPr>
          <w:sz w:val="28"/>
          <w:szCs w:val="28"/>
          <w:lang w:val="lv-LV"/>
        </w:rPr>
        <w:t>kapitāldaļu turētāja</w:t>
      </w:r>
      <w:r w:rsidR="007B275D" w:rsidRPr="005C31F5">
        <w:rPr>
          <w:sz w:val="28"/>
          <w:szCs w:val="28"/>
          <w:lang w:val="lv-LV"/>
        </w:rPr>
        <w:t>s</w:t>
      </w:r>
      <w:r w:rsidR="00174A08" w:rsidRPr="005C31F5">
        <w:rPr>
          <w:sz w:val="28"/>
          <w:szCs w:val="28"/>
          <w:lang w:val="lv-LV"/>
        </w:rPr>
        <w:t>)</w:t>
      </w:r>
      <w:r w:rsidR="00A32EB8" w:rsidRPr="005C31F5">
        <w:rPr>
          <w:sz w:val="28"/>
          <w:szCs w:val="28"/>
          <w:lang w:val="lv-LV"/>
        </w:rPr>
        <w:t xml:space="preserve"> bilancē. </w:t>
      </w:r>
      <w:r w:rsidR="00962679" w:rsidRPr="005C31F5">
        <w:rPr>
          <w:sz w:val="28"/>
          <w:szCs w:val="28"/>
          <w:lang w:val="lv-LV"/>
        </w:rPr>
        <w:t xml:space="preserve">Pēc </w:t>
      </w:r>
      <w:r w:rsidR="005B5D09">
        <w:rPr>
          <w:sz w:val="28"/>
          <w:szCs w:val="28"/>
          <w:lang w:val="lv-LV"/>
        </w:rPr>
        <w:t xml:space="preserve">LET kapitāldaļu </w:t>
      </w:r>
      <w:r w:rsidR="007B275D" w:rsidRPr="005C31F5">
        <w:rPr>
          <w:sz w:val="28"/>
          <w:szCs w:val="28"/>
          <w:lang w:val="lv-LV"/>
        </w:rPr>
        <w:t>nonākšanas</w:t>
      </w:r>
      <w:r w:rsidR="00962679" w:rsidRPr="005C31F5">
        <w:rPr>
          <w:sz w:val="28"/>
          <w:szCs w:val="28"/>
          <w:lang w:val="lv-LV"/>
        </w:rPr>
        <w:t xml:space="preserve"> valsts īpašumā</w:t>
      </w:r>
      <w:r w:rsidR="00E5010A">
        <w:rPr>
          <w:sz w:val="28"/>
          <w:szCs w:val="28"/>
          <w:lang w:val="lv-LV"/>
        </w:rPr>
        <w:t xml:space="preserve"> </w:t>
      </w:r>
      <w:r w:rsidR="00E5010A" w:rsidRPr="005C31F5">
        <w:rPr>
          <w:sz w:val="28"/>
          <w:szCs w:val="28"/>
          <w:lang w:val="lv-LV"/>
        </w:rPr>
        <w:t>pārvades aktīv</w:t>
      </w:r>
      <w:r w:rsidR="00E5010A">
        <w:rPr>
          <w:sz w:val="28"/>
          <w:szCs w:val="28"/>
          <w:lang w:val="lv-LV"/>
        </w:rPr>
        <w:t>i</w:t>
      </w:r>
      <w:r w:rsidR="00962679" w:rsidRPr="005C31F5">
        <w:rPr>
          <w:sz w:val="28"/>
          <w:szCs w:val="28"/>
          <w:lang w:val="lv-LV"/>
        </w:rPr>
        <w:t xml:space="preserve"> kā mantis</w:t>
      </w:r>
      <w:r w:rsidR="00174A08" w:rsidRPr="005C31F5">
        <w:rPr>
          <w:sz w:val="28"/>
          <w:szCs w:val="28"/>
          <w:lang w:val="lv-LV"/>
        </w:rPr>
        <w:t>k</w:t>
      </w:r>
      <w:r w:rsidR="00962679" w:rsidRPr="005C31F5">
        <w:rPr>
          <w:sz w:val="28"/>
          <w:szCs w:val="28"/>
          <w:lang w:val="lv-LV"/>
        </w:rPr>
        <w:t>s ieguldījums</w:t>
      </w:r>
      <w:r w:rsidR="00C44D21">
        <w:rPr>
          <w:sz w:val="28"/>
          <w:szCs w:val="28"/>
          <w:lang w:val="lv-LV"/>
        </w:rPr>
        <w:t xml:space="preserve"> (</w:t>
      </w:r>
      <w:r w:rsidR="005B5D09" w:rsidRPr="005B5D09">
        <w:rPr>
          <w:sz w:val="28"/>
          <w:szCs w:val="28"/>
          <w:lang w:val="lv-LV"/>
        </w:rPr>
        <w:t>LET kapitāldaļu formā</w:t>
      </w:r>
      <w:r w:rsidR="00C44D21">
        <w:rPr>
          <w:sz w:val="28"/>
          <w:szCs w:val="28"/>
          <w:lang w:val="lv-LV"/>
        </w:rPr>
        <w:t>)</w:t>
      </w:r>
      <w:r w:rsidR="00962679" w:rsidRPr="005C31F5">
        <w:rPr>
          <w:sz w:val="28"/>
          <w:szCs w:val="28"/>
          <w:lang w:val="lv-LV"/>
        </w:rPr>
        <w:t xml:space="preserve"> tiks ieguldīti AST pamatkapitālā</w:t>
      </w:r>
      <w:r w:rsidR="00A32EB8" w:rsidRPr="005C31F5">
        <w:rPr>
          <w:sz w:val="28"/>
          <w:szCs w:val="28"/>
          <w:lang w:val="lv-LV"/>
        </w:rPr>
        <w:t>, veicot AST pamatkapitāla palielināšanu</w:t>
      </w:r>
      <w:r w:rsidR="000D45EF" w:rsidRPr="005C31F5">
        <w:rPr>
          <w:sz w:val="28"/>
          <w:szCs w:val="28"/>
          <w:lang w:val="lv-LV"/>
        </w:rPr>
        <w:t xml:space="preserve">, kā rezultātā LET kļūs par AST </w:t>
      </w:r>
      <w:proofErr w:type="spellStart"/>
      <w:r w:rsidR="000D45EF" w:rsidRPr="005C31F5">
        <w:rPr>
          <w:sz w:val="28"/>
          <w:szCs w:val="28"/>
          <w:lang w:val="lv-LV"/>
        </w:rPr>
        <w:t>meitassabiedrību</w:t>
      </w:r>
      <w:proofErr w:type="spellEnd"/>
      <w:r w:rsidR="000D45EF" w:rsidRPr="005C31F5">
        <w:rPr>
          <w:sz w:val="28"/>
          <w:szCs w:val="28"/>
          <w:lang w:val="lv-LV"/>
        </w:rPr>
        <w:t>.</w:t>
      </w:r>
      <w:r w:rsidR="00A32EB8" w:rsidRPr="005C31F5">
        <w:rPr>
          <w:sz w:val="28"/>
          <w:szCs w:val="28"/>
          <w:lang w:val="lv-LV"/>
        </w:rPr>
        <w:t xml:space="preserve"> </w:t>
      </w:r>
      <w:r w:rsidR="00B55057" w:rsidRPr="00D551E7">
        <w:rPr>
          <w:sz w:val="28"/>
          <w:szCs w:val="28"/>
          <w:lang w:val="lv-LV"/>
        </w:rPr>
        <w:t xml:space="preserve">Pirms AS </w:t>
      </w:r>
      <w:r w:rsidR="00CC0C4D" w:rsidRPr="00D551E7">
        <w:rPr>
          <w:sz w:val="28"/>
          <w:szCs w:val="28"/>
          <w:lang w:val="lv-LV"/>
        </w:rPr>
        <w:t>“</w:t>
      </w:r>
      <w:r w:rsidR="00B55057" w:rsidRPr="00D551E7">
        <w:rPr>
          <w:sz w:val="28"/>
          <w:szCs w:val="28"/>
          <w:lang w:val="lv-LV"/>
        </w:rPr>
        <w:t>Latvenergo</w:t>
      </w:r>
      <w:r w:rsidR="00CC0C4D" w:rsidRPr="00D551E7">
        <w:rPr>
          <w:sz w:val="28"/>
          <w:szCs w:val="28"/>
          <w:lang w:val="lv-LV"/>
        </w:rPr>
        <w:t>”</w:t>
      </w:r>
      <w:r w:rsidR="00B55057" w:rsidRPr="00D551E7">
        <w:rPr>
          <w:sz w:val="28"/>
          <w:szCs w:val="28"/>
          <w:lang w:val="lv-LV"/>
        </w:rPr>
        <w:t xml:space="preserve"> pamatkapitāla samazināšanas mantiskā</w:t>
      </w:r>
      <w:r w:rsidR="00633FFB" w:rsidRPr="00D551E7">
        <w:rPr>
          <w:sz w:val="28"/>
          <w:szCs w:val="28"/>
          <w:lang w:val="lv-LV"/>
        </w:rPr>
        <w:t xml:space="preserve"> formā</w:t>
      </w:r>
      <w:r w:rsidR="00B55057" w:rsidRPr="00D551E7">
        <w:rPr>
          <w:sz w:val="28"/>
          <w:szCs w:val="28"/>
          <w:lang w:val="lv-LV"/>
        </w:rPr>
        <w:t xml:space="preserve"> (ar LET kapitāla daļām), plānots, ka  AS </w:t>
      </w:r>
      <w:r w:rsidR="00975158" w:rsidRPr="00D551E7">
        <w:rPr>
          <w:sz w:val="28"/>
          <w:szCs w:val="28"/>
          <w:lang w:val="lv-LV"/>
        </w:rPr>
        <w:t>“</w:t>
      </w:r>
      <w:r w:rsidR="00B55057" w:rsidRPr="00D551E7">
        <w:rPr>
          <w:sz w:val="28"/>
          <w:szCs w:val="28"/>
          <w:lang w:val="lv-LV"/>
        </w:rPr>
        <w:t>Latvenergo</w:t>
      </w:r>
      <w:r w:rsidR="00975158" w:rsidRPr="00D551E7">
        <w:rPr>
          <w:sz w:val="28"/>
          <w:szCs w:val="28"/>
          <w:lang w:val="lv-LV"/>
        </w:rPr>
        <w:t>”</w:t>
      </w:r>
      <w:r w:rsidR="00B55057" w:rsidRPr="00D551E7">
        <w:rPr>
          <w:sz w:val="28"/>
          <w:szCs w:val="28"/>
          <w:lang w:val="lv-LV"/>
        </w:rPr>
        <w:t xml:space="preserve"> veiks saimn</w:t>
      </w:r>
      <w:r w:rsidR="00633FFB" w:rsidRPr="00D551E7">
        <w:rPr>
          <w:sz w:val="28"/>
          <w:szCs w:val="28"/>
          <w:lang w:val="lv-LV"/>
        </w:rPr>
        <w:t>i</w:t>
      </w:r>
      <w:r w:rsidR="00B55057" w:rsidRPr="00D551E7">
        <w:rPr>
          <w:sz w:val="28"/>
          <w:szCs w:val="28"/>
          <w:lang w:val="lv-LV"/>
        </w:rPr>
        <w:t xml:space="preserve">eciskās darbības </w:t>
      </w:r>
      <w:r w:rsidR="00A11B42" w:rsidRPr="00D551E7">
        <w:rPr>
          <w:sz w:val="28"/>
          <w:szCs w:val="28"/>
          <w:lang w:val="lv-LV"/>
        </w:rPr>
        <w:t xml:space="preserve">veida </w:t>
      </w:r>
      <w:r w:rsidR="00B55057" w:rsidRPr="00D551E7">
        <w:rPr>
          <w:sz w:val="28"/>
          <w:szCs w:val="28"/>
          <w:lang w:val="lv-LV"/>
        </w:rPr>
        <w:t>ieguldīju</w:t>
      </w:r>
      <w:r w:rsidR="00A11B42" w:rsidRPr="00D551E7">
        <w:rPr>
          <w:sz w:val="28"/>
          <w:szCs w:val="28"/>
          <w:lang w:val="lv-LV"/>
        </w:rPr>
        <w:t xml:space="preserve">mu </w:t>
      </w:r>
      <w:r w:rsidR="00633FFB" w:rsidRPr="00D551E7">
        <w:rPr>
          <w:sz w:val="28"/>
          <w:szCs w:val="28"/>
          <w:lang w:val="lv-LV"/>
        </w:rPr>
        <w:t>LET pamatkapitālā</w:t>
      </w:r>
      <w:r w:rsidR="00A11B42" w:rsidRPr="00D551E7">
        <w:rPr>
          <w:sz w:val="28"/>
          <w:szCs w:val="28"/>
          <w:lang w:val="lv-LV"/>
        </w:rPr>
        <w:t>,</w:t>
      </w:r>
      <w:r w:rsidR="00633FFB" w:rsidRPr="00D551E7">
        <w:rPr>
          <w:sz w:val="28"/>
          <w:szCs w:val="28"/>
          <w:lang w:val="lv-LV"/>
        </w:rPr>
        <w:t xml:space="preserve"> ieguldot </w:t>
      </w:r>
      <w:r w:rsidRPr="00D551E7">
        <w:rPr>
          <w:sz w:val="28"/>
          <w:szCs w:val="28"/>
          <w:lang w:val="lv-LV"/>
        </w:rPr>
        <w:t xml:space="preserve">AS </w:t>
      </w:r>
      <w:r w:rsidR="00554535" w:rsidRPr="00D551E7">
        <w:rPr>
          <w:sz w:val="28"/>
          <w:szCs w:val="28"/>
          <w:lang w:val="lv-LV"/>
        </w:rPr>
        <w:t>“</w:t>
      </w:r>
      <w:r w:rsidRPr="00D551E7">
        <w:rPr>
          <w:sz w:val="28"/>
          <w:szCs w:val="28"/>
          <w:lang w:val="lv-LV"/>
        </w:rPr>
        <w:t>Latvenergo</w:t>
      </w:r>
      <w:r w:rsidR="00554535" w:rsidRPr="00D551E7">
        <w:rPr>
          <w:sz w:val="28"/>
          <w:szCs w:val="28"/>
          <w:lang w:val="lv-LV"/>
        </w:rPr>
        <w:t>”</w:t>
      </w:r>
      <w:r w:rsidRPr="00D551E7">
        <w:rPr>
          <w:sz w:val="28"/>
          <w:szCs w:val="28"/>
          <w:lang w:val="lv-LV"/>
        </w:rPr>
        <w:t xml:space="preserve"> </w:t>
      </w:r>
      <w:r w:rsidR="00B55057" w:rsidRPr="00D551E7">
        <w:rPr>
          <w:sz w:val="28"/>
          <w:szCs w:val="28"/>
          <w:lang w:val="lv-LV"/>
        </w:rPr>
        <w:t>īpašumā esošo</w:t>
      </w:r>
      <w:r w:rsidRPr="00D551E7">
        <w:rPr>
          <w:sz w:val="28"/>
          <w:szCs w:val="28"/>
          <w:lang w:val="lv-LV"/>
        </w:rPr>
        <w:t xml:space="preserve">s </w:t>
      </w:r>
      <w:r w:rsidR="00B55057" w:rsidRPr="00D551E7">
        <w:rPr>
          <w:sz w:val="28"/>
          <w:szCs w:val="28"/>
          <w:lang w:val="lv-LV"/>
        </w:rPr>
        <w:t>ar pārvades aktīviem saistīt</w:t>
      </w:r>
      <w:r w:rsidR="00633FFB" w:rsidRPr="00D551E7">
        <w:rPr>
          <w:sz w:val="28"/>
          <w:szCs w:val="28"/>
          <w:lang w:val="lv-LV"/>
        </w:rPr>
        <w:t>os</w:t>
      </w:r>
      <w:r w:rsidRPr="00D551E7">
        <w:rPr>
          <w:sz w:val="28"/>
          <w:szCs w:val="28"/>
          <w:lang w:val="lv-LV"/>
        </w:rPr>
        <w:t xml:space="preserve"> </w:t>
      </w:r>
      <w:r w:rsidR="00B55057" w:rsidRPr="00D551E7">
        <w:rPr>
          <w:sz w:val="28"/>
          <w:szCs w:val="28"/>
          <w:lang w:val="lv-LV"/>
        </w:rPr>
        <w:t>nekustam</w:t>
      </w:r>
      <w:r w:rsidR="00633FFB" w:rsidRPr="00D551E7">
        <w:rPr>
          <w:sz w:val="28"/>
          <w:szCs w:val="28"/>
          <w:lang w:val="lv-LV"/>
        </w:rPr>
        <w:t>os</w:t>
      </w:r>
      <w:r w:rsidR="00B55057" w:rsidRPr="00D551E7">
        <w:rPr>
          <w:sz w:val="28"/>
          <w:szCs w:val="28"/>
          <w:lang w:val="lv-LV"/>
        </w:rPr>
        <w:t xml:space="preserve"> īpašum</w:t>
      </w:r>
      <w:r w:rsidR="00633FFB" w:rsidRPr="00D551E7">
        <w:rPr>
          <w:sz w:val="28"/>
          <w:szCs w:val="28"/>
          <w:lang w:val="lv-LV"/>
        </w:rPr>
        <w:t>us</w:t>
      </w:r>
      <w:r w:rsidR="00A11B42" w:rsidRPr="00D551E7">
        <w:rPr>
          <w:sz w:val="28"/>
          <w:szCs w:val="28"/>
          <w:lang w:val="lv-LV"/>
        </w:rPr>
        <w:t xml:space="preserve">  un uz tiem attiecināmās saistības.</w:t>
      </w:r>
      <w:r w:rsidR="00554535" w:rsidRPr="005C31F5">
        <w:rPr>
          <w:sz w:val="28"/>
          <w:szCs w:val="28"/>
          <w:lang w:val="lv-LV"/>
        </w:rPr>
        <w:t xml:space="preserve"> Būtiski uzsvērt, ka nekustamo īpašumu nostiprināšanai zemesgrāmatā, piemērojams MK 2009.gada 27.oktobra noteikumu Nr. 1250 “Noteikumi par valsts nodevu par īpašuma tiesību un ķīlas tiesību nostiprināšanu zemesgrāmatā” 17.17. apakšpunkts - no valsts nodevas par īpašuma tiesību nostiprināšanu zemesgrāmatā ir atbrīvotas </w:t>
      </w:r>
      <w:r w:rsidR="00554535" w:rsidRPr="005C31F5">
        <w:rPr>
          <w:sz w:val="28"/>
          <w:szCs w:val="28"/>
          <w:u w:val="single"/>
          <w:lang w:val="lv-LV"/>
        </w:rPr>
        <w:t>kapitālsabiedrības</w:t>
      </w:r>
      <w:r w:rsidR="00554535" w:rsidRPr="005C31F5">
        <w:rPr>
          <w:sz w:val="28"/>
          <w:szCs w:val="28"/>
          <w:lang w:val="lv-LV"/>
        </w:rPr>
        <w:t xml:space="preserve">, </w:t>
      </w:r>
      <w:r w:rsidR="00554535" w:rsidRPr="005C31F5">
        <w:rPr>
          <w:sz w:val="28"/>
          <w:szCs w:val="28"/>
          <w:u w:val="single"/>
          <w:lang w:val="lv-LV"/>
        </w:rPr>
        <w:t>kas sniedz pakalpojumus sabiedrības vajadzībām</w:t>
      </w:r>
      <w:r w:rsidR="00554535" w:rsidRPr="005C31F5">
        <w:rPr>
          <w:sz w:val="28"/>
          <w:szCs w:val="28"/>
          <w:lang w:val="lv-LV"/>
        </w:rPr>
        <w:t xml:space="preserve">, piemēram, sabiedriskā transporta uzņēmumi, ostu pārvaldes vai uzņēmumi, kas </w:t>
      </w:r>
      <w:r w:rsidR="00554535" w:rsidRPr="005C31F5">
        <w:rPr>
          <w:sz w:val="28"/>
          <w:szCs w:val="28"/>
          <w:u w:val="single"/>
          <w:lang w:val="lv-LV"/>
        </w:rPr>
        <w:t>nodrošina</w:t>
      </w:r>
      <w:r w:rsidR="00554535" w:rsidRPr="005C31F5">
        <w:rPr>
          <w:sz w:val="28"/>
          <w:szCs w:val="28"/>
          <w:lang w:val="lv-LV"/>
        </w:rPr>
        <w:t xml:space="preserve"> ūdens, gāzes vai </w:t>
      </w:r>
      <w:r w:rsidR="00554535" w:rsidRPr="005C31F5">
        <w:rPr>
          <w:sz w:val="28"/>
          <w:szCs w:val="28"/>
          <w:u w:val="single"/>
          <w:lang w:val="lv-LV"/>
        </w:rPr>
        <w:t>elektroenerģijas piegādi</w:t>
      </w:r>
      <w:r w:rsidR="00554535" w:rsidRPr="005C31F5">
        <w:rPr>
          <w:sz w:val="28"/>
          <w:szCs w:val="28"/>
          <w:lang w:val="lv-LV"/>
        </w:rPr>
        <w:t>, darbojas veselības aizsardzības jomā, valsts un pašvaldības nekustamā īpašuma apsaimniekošanas jomā un izglītības jomā, ja valstij vai pašvaldībām pieder vismaz puse no kapitālsabiedrības kapitāla, – no šo noteikumu 5.4.apakšpunktā noteiktās valsts nodevas (nekustamā īpašuma ieguldīšana kapitālsabiedrības pamatkapitālā – 1 % no kapitālsabiedrības pamatkapitālā ieguldāmās nekustamā īpašuma ieguldījuma summas (</w:t>
      </w:r>
      <w:proofErr w:type="spellStart"/>
      <w:r w:rsidR="00554535" w:rsidRPr="005C31F5">
        <w:rPr>
          <w:sz w:val="28"/>
          <w:szCs w:val="28"/>
          <w:lang w:val="lv-LV"/>
        </w:rPr>
        <w:t>euro</w:t>
      </w:r>
      <w:proofErr w:type="spellEnd"/>
      <w:r w:rsidR="00554535" w:rsidRPr="005C31F5">
        <w:rPr>
          <w:sz w:val="28"/>
          <w:szCs w:val="28"/>
          <w:lang w:val="lv-LV"/>
        </w:rPr>
        <w:t>))</w:t>
      </w:r>
      <w:r w:rsidR="000D45EF" w:rsidRPr="005C31F5">
        <w:rPr>
          <w:sz w:val="28"/>
          <w:szCs w:val="28"/>
          <w:lang w:val="lv-LV"/>
        </w:rPr>
        <w:t>.</w:t>
      </w:r>
    </w:p>
    <w:p w14:paraId="7E45115C" w14:textId="57003A5D" w:rsidR="0073388E" w:rsidRDefault="0073388E" w:rsidP="0073388E">
      <w:pPr>
        <w:pStyle w:val="NoSpacing"/>
        <w:ind w:firstLine="720"/>
        <w:jc w:val="both"/>
        <w:rPr>
          <w:sz w:val="28"/>
          <w:szCs w:val="28"/>
          <w:lang w:val="lv-LV"/>
        </w:rPr>
      </w:pPr>
      <w:r w:rsidRPr="005C31F5">
        <w:rPr>
          <w:sz w:val="28"/>
          <w:szCs w:val="28"/>
          <w:lang w:val="lv-LV"/>
        </w:rPr>
        <w:t>LET</w:t>
      </w:r>
      <w:r w:rsidR="005D3728">
        <w:rPr>
          <w:sz w:val="28"/>
          <w:szCs w:val="28"/>
          <w:lang w:val="lv-LV"/>
        </w:rPr>
        <w:t xml:space="preserve"> </w:t>
      </w:r>
      <w:r w:rsidRPr="005C31F5">
        <w:rPr>
          <w:sz w:val="28"/>
          <w:szCs w:val="28"/>
          <w:lang w:val="lv-LV"/>
        </w:rPr>
        <w:t>kapitāldaļām tiks noteikta aktuālā tirgus vērtība saskaņā ar Komerclikuma 154.pantu, piesaistot neatkarīgu vērtētāju, un par tās vērtību arī tiks samazināts AS ,,Latvenergo</w:t>
      </w:r>
      <w:r w:rsidR="0039655C">
        <w:rPr>
          <w:sz w:val="28"/>
          <w:szCs w:val="28"/>
          <w:lang w:val="lv-LV"/>
        </w:rPr>
        <w:t>”</w:t>
      </w:r>
      <w:r w:rsidRPr="005C31F5">
        <w:rPr>
          <w:sz w:val="28"/>
          <w:szCs w:val="28"/>
          <w:lang w:val="lv-LV"/>
        </w:rPr>
        <w:t xml:space="preserve"> pamatkapitāls.</w:t>
      </w:r>
      <w:r>
        <w:rPr>
          <w:sz w:val="28"/>
          <w:szCs w:val="28"/>
          <w:lang w:val="lv-LV"/>
        </w:rPr>
        <w:t xml:space="preserve">  </w:t>
      </w:r>
    </w:p>
    <w:p w14:paraId="654D923A" w14:textId="658F5BD0" w:rsidR="006B1F9C" w:rsidRDefault="004E310E" w:rsidP="0073388E">
      <w:pPr>
        <w:pStyle w:val="NoSpacing"/>
        <w:ind w:firstLine="720"/>
        <w:jc w:val="both"/>
        <w:rPr>
          <w:sz w:val="28"/>
          <w:szCs w:val="28"/>
          <w:lang w:val="lv-LV"/>
        </w:rPr>
      </w:pPr>
      <w:r w:rsidRPr="00D551E7">
        <w:rPr>
          <w:sz w:val="28"/>
          <w:szCs w:val="28"/>
          <w:lang w:val="lv-LV"/>
        </w:rPr>
        <w:t>Lai augstāk minēt</w:t>
      </w:r>
      <w:r w:rsidR="00F92911" w:rsidRPr="00D551E7">
        <w:rPr>
          <w:sz w:val="28"/>
          <w:szCs w:val="28"/>
          <w:lang w:val="lv-LV"/>
        </w:rPr>
        <w:t>ā</w:t>
      </w:r>
      <w:r w:rsidRPr="00D551E7">
        <w:rPr>
          <w:sz w:val="28"/>
          <w:szCs w:val="28"/>
          <w:lang w:val="lv-LV"/>
        </w:rPr>
        <w:t xml:space="preserve"> pārvades aktīvu nodalīšanas scenārij</w:t>
      </w:r>
      <w:r w:rsidR="00F92911" w:rsidRPr="00D551E7">
        <w:rPr>
          <w:sz w:val="28"/>
          <w:szCs w:val="28"/>
          <w:lang w:val="lv-LV"/>
        </w:rPr>
        <w:t>a</w:t>
      </w:r>
      <w:r w:rsidRPr="00D551E7">
        <w:rPr>
          <w:sz w:val="28"/>
          <w:szCs w:val="28"/>
          <w:lang w:val="lv-LV"/>
        </w:rPr>
        <w:t xml:space="preserve"> - </w:t>
      </w:r>
      <w:r w:rsidR="00A32EB8" w:rsidRPr="00D551E7">
        <w:rPr>
          <w:sz w:val="28"/>
          <w:szCs w:val="28"/>
          <w:lang w:val="lv-LV"/>
        </w:rPr>
        <w:t>AS “Latvenergo”</w:t>
      </w:r>
      <w:r w:rsidR="003B7C9D" w:rsidRPr="00D551E7">
        <w:rPr>
          <w:sz w:val="28"/>
          <w:szCs w:val="28"/>
          <w:lang w:val="lv-LV"/>
        </w:rPr>
        <w:t xml:space="preserve"> pamatkapitāla samazināšanu par</w:t>
      </w:r>
      <w:r w:rsidR="007F6E3B" w:rsidRPr="00D551E7">
        <w:rPr>
          <w:sz w:val="28"/>
          <w:szCs w:val="28"/>
          <w:lang w:val="lv-LV"/>
        </w:rPr>
        <w:t xml:space="preserve"> LET kapitāldaļu vērtību</w:t>
      </w:r>
      <w:r w:rsidR="00F92911" w:rsidRPr="00D551E7">
        <w:rPr>
          <w:sz w:val="28"/>
          <w:szCs w:val="28"/>
          <w:lang w:val="lv-LV"/>
        </w:rPr>
        <w:t xml:space="preserve">, īstenošana neradītu </w:t>
      </w:r>
      <w:r w:rsidR="00F92911" w:rsidRPr="0073388E">
        <w:rPr>
          <w:sz w:val="28"/>
          <w:szCs w:val="28"/>
          <w:lang w:val="lv-LV"/>
        </w:rPr>
        <w:t>būtisku negatīvu ietekmi uz AS “Latvenergo” finanšu stāvokli</w:t>
      </w:r>
      <w:r w:rsidR="009D5D3E" w:rsidRPr="0073388E">
        <w:rPr>
          <w:sz w:val="28"/>
          <w:szCs w:val="28"/>
          <w:lang w:val="lv-LV"/>
        </w:rPr>
        <w:t xml:space="preserve">, </w:t>
      </w:r>
      <w:r w:rsidR="00F92911" w:rsidRPr="0073388E">
        <w:rPr>
          <w:sz w:val="28"/>
          <w:szCs w:val="28"/>
          <w:lang w:val="lv-LV"/>
        </w:rPr>
        <w:t>p</w:t>
      </w:r>
      <w:r w:rsidR="006D10B1" w:rsidRPr="0073388E">
        <w:rPr>
          <w:sz w:val="28"/>
          <w:szCs w:val="28"/>
          <w:lang w:val="lv-LV"/>
        </w:rPr>
        <w:t xml:space="preserve">irms tam </w:t>
      </w:r>
      <w:r w:rsidR="00F92911" w:rsidRPr="0073388E">
        <w:rPr>
          <w:sz w:val="28"/>
          <w:szCs w:val="28"/>
          <w:lang w:val="lv-LV"/>
        </w:rPr>
        <w:t xml:space="preserve"> būtu </w:t>
      </w:r>
      <w:r w:rsidR="009D5D3E" w:rsidRPr="0073388E">
        <w:rPr>
          <w:sz w:val="28"/>
          <w:szCs w:val="28"/>
          <w:lang w:val="lv-LV"/>
        </w:rPr>
        <w:t>jāveic</w:t>
      </w:r>
      <w:r w:rsidR="0073388E" w:rsidRPr="0073388E">
        <w:rPr>
          <w:sz w:val="28"/>
          <w:szCs w:val="28"/>
          <w:lang w:val="lv-LV"/>
        </w:rPr>
        <w:t xml:space="preserve"> ieguldījums</w:t>
      </w:r>
      <w:r w:rsidR="009D5D3E" w:rsidRPr="0073388E">
        <w:rPr>
          <w:sz w:val="28"/>
          <w:szCs w:val="28"/>
          <w:lang w:val="lv-LV"/>
        </w:rPr>
        <w:t xml:space="preserve"> AS “Latvenergo”</w:t>
      </w:r>
      <w:r w:rsidR="00B55057" w:rsidRPr="0073388E">
        <w:rPr>
          <w:sz w:val="28"/>
          <w:szCs w:val="28"/>
          <w:lang w:val="lv-LV"/>
        </w:rPr>
        <w:t xml:space="preserve"> </w:t>
      </w:r>
      <w:r w:rsidR="0073388E" w:rsidRPr="0073388E">
        <w:rPr>
          <w:sz w:val="28"/>
          <w:szCs w:val="28"/>
          <w:lang w:val="lv-LV"/>
        </w:rPr>
        <w:t>pamatkapitālā no tās iepriekšējo gadu nesadalītās peļņas</w:t>
      </w:r>
      <w:r w:rsidR="00444A9F">
        <w:rPr>
          <w:sz w:val="28"/>
          <w:szCs w:val="28"/>
          <w:lang w:val="lv-LV"/>
        </w:rPr>
        <w:t xml:space="preserve">. </w:t>
      </w:r>
    </w:p>
    <w:p w14:paraId="61C02722" w14:textId="530E43D8" w:rsidR="00BB7C69" w:rsidRPr="00D551E7" w:rsidRDefault="00CD12EB" w:rsidP="00D551E7">
      <w:pPr>
        <w:ind w:firstLine="720"/>
        <w:jc w:val="both"/>
        <w:rPr>
          <w:sz w:val="28"/>
          <w:szCs w:val="28"/>
          <w:lang w:val="lv-LV"/>
        </w:rPr>
      </w:pPr>
      <w:r>
        <w:rPr>
          <w:sz w:val="28"/>
          <w:szCs w:val="28"/>
          <w:lang w:val="lv-LV"/>
        </w:rPr>
        <w:t xml:space="preserve"> </w:t>
      </w:r>
    </w:p>
    <w:p w14:paraId="23AA3086" w14:textId="77777777" w:rsidR="00CF1B6C" w:rsidRPr="005C31F5" w:rsidRDefault="00CF1B6C" w:rsidP="00CF1B6C">
      <w:pPr>
        <w:pStyle w:val="Heading1"/>
        <w:rPr>
          <w:lang w:val="lv-LV"/>
        </w:rPr>
      </w:pPr>
      <w:bookmarkStart w:id="30" w:name="_Toc256000036"/>
      <w:bookmarkStart w:id="31" w:name="_Toc256000023"/>
      <w:bookmarkStart w:id="32" w:name="_Toc256000010"/>
      <w:bookmarkStart w:id="33" w:name="_Toc3205707"/>
      <w:r w:rsidRPr="005C31F5">
        <w:rPr>
          <w:lang w:val="lv-LV"/>
        </w:rPr>
        <w:lastRenderedPageBreak/>
        <w:t xml:space="preserve">5.1 Ietekme uz AS “Latvenergo” un </w:t>
      </w:r>
      <w:r w:rsidRPr="005C31F5">
        <w:rPr>
          <w:i/>
          <w:lang w:val="lv-LV"/>
        </w:rPr>
        <w:t>Latvenergo</w:t>
      </w:r>
      <w:r w:rsidRPr="005C31F5">
        <w:rPr>
          <w:lang w:val="lv-LV"/>
        </w:rPr>
        <w:t xml:space="preserve"> koncernu</w:t>
      </w:r>
      <w:bookmarkEnd w:id="30"/>
      <w:bookmarkEnd w:id="31"/>
      <w:bookmarkEnd w:id="32"/>
      <w:bookmarkEnd w:id="33"/>
    </w:p>
    <w:p w14:paraId="5314511B" w14:textId="77777777" w:rsidR="00CF1B6C" w:rsidRPr="005C31F5" w:rsidRDefault="00CF1B6C" w:rsidP="00CF1B6C">
      <w:pPr>
        <w:ind w:firstLine="851"/>
        <w:jc w:val="both"/>
        <w:rPr>
          <w:sz w:val="28"/>
          <w:szCs w:val="28"/>
          <w:lang w:val="lv-LV"/>
        </w:rPr>
      </w:pPr>
    </w:p>
    <w:p w14:paraId="703D5C7D" w14:textId="717A2782" w:rsidR="00CF1B6C" w:rsidRPr="005C31F5" w:rsidRDefault="00997A09" w:rsidP="00422C6E">
      <w:pPr>
        <w:ind w:firstLine="851"/>
        <w:jc w:val="both"/>
        <w:rPr>
          <w:sz w:val="28"/>
          <w:szCs w:val="28"/>
          <w:shd w:val="clear" w:color="auto" w:fill="FFFFFF"/>
          <w:lang w:val="lv-LV"/>
        </w:rPr>
      </w:pPr>
      <w:r w:rsidRPr="005C31F5">
        <w:rPr>
          <w:sz w:val="28"/>
          <w:szCs w:val="28"/>
          <w:lang w:val="lv-LV"/>
        </w:rPr>
        <w:t>I</w:t>
      </w:r>
      <w:r w:rsidR="00F31D50" w:rsidRPr="005C31F5">
        <w:rPr>
          <w:sz w:val="28"/>
          <w:szCs w:val="28"/>
          <w:lang w:val="lv-LV"/>
        </w:rPr>
        <w:t xml:space="preserve">zklāsts par </w:t>
      </w:r>
      <w:r w:rsidR="001627FF" w:rsidRPr="005C31F5">
        <w:rPr>
          <w:sz w:val="28"/>
          <w:szCs w:val="28"/>
          <w:lang w:val="lv-LV"/>
        </w:rPr>
        <w:t xml:space="preserve">aktīvu </w:t>
      </w:r>
      <w:r w:rsidR="0049775B" w:rsidRPr="005C31F5">
        <w:rPr>
          <w:sz w:val="28"/>
          <w:szCs w:val="28"/>
          <w:lang w:val="lv-LV"/>
        </w:rPr>
        <w:t>nodalīšanas</w:t>
      </w:r>
      <w:r w:rsidR="001627FF" w:rsidRPr="005C31F5">
        <w:rPr>
          <w:sz w:val="28"/>
          <w:szCs w:val="28"/>
          <w:lang w:val="lv-LV"/>
        </w:rPr>
        <w:t xml:space="preserve"> finanšu ietekmi </w:t>
      </w:r>
      <w:r w:rsidR="00650CA8">
        <w:rPr>
          <w:sz w:val="28"/>
          <w:szCs w:val="28"/>
          <w:lang w:val="lv-LV"/>
        </w:rPr>
        <w:t xml:space="preserve">uz Latvenergo koncernu </w:t>
      </w:r>
      <w:r w:rsidR="00F31D50" w:rsidRPr="005C31F5">
        <w:rPr>
          <w:sz w:val="28"/>
          <w:szCs w:val="28"/>
          <w:lang w:val="lv-LV"/>
        </w:rPr>
        <w:t xml:space="preserve">un priekšnosacījumiem aktīvu </w:t>
      </w:r>
      <w:r w:rsidR="0049775B" w:rsidRPr="005C31F5">
        <w:rPr>
          <w:sz w:val="28"/>
          <w:szCs w:val="28"/>
          <w:lang w:val="lv-LV"/>
        </w:rPr>
        <w:t>nodalīšanas</w:t>
      </w:r>
      <w:r w:rsidR="00F31D50" w:rsidRPr="005C31F5">
        <w:rPr>
          <w:sz w:val="28"/>
          <w:szCs w:val="28"/>
          <w:lang w:val="lv-LV"/>
        </w:rPr>
        <w:t xml:space="preserve"> īstenošanai skatāms ziņojuma </w:t>
      </w:r>
      <w:r w:rsidR="00DE27D5" w:rsidRPr="005C31F5">
        <w:rPr>
          <w:sz w:val="28"/>
          <w:szCs w:val="28"/>
          <w:lang w:val="lv-LV"/>
        </w:rPr>
        <w:t xml:space="preserve">1. </w:t>
      </w:r>
      <w:r w:rsidR="00F31D50" w:rsidRPr="005C31F5">
        <w:rPr>
          <w:sz w:val="28"/>
          <w:szCs w:val="28"/>
          <w:lang w:val="lv-LV"/>
        </w:rPr>
        <w:t xml:space="preserve">pielikumā. </w:t>
      </w:r>
    </w:p>
    <w:p w14:paraId="7D122B95" w14:textId="77777777" w:rsidR="00CF1B6C" w:rsidRPr="005C31F5" w:rsidRDefault="00CF1B6C" w:rsidP="00F31D50">
      <w:pPr>
        <w:jc w:val="both"/>
        <w:rPr>
          <w:sz w:val="28"/>
          <w:szCs w:val="28"/>
          <w:shd w:val="clear" w:color="auto" w:fill="FFFFFF"/>
          <w:lang w:val="lv-LV"/>
        </w:rPr>
      </w:pPr>
    </w:p>
    <w:p w14:paraId="3D1EDCDA" w14:textId="77777777" w:rsidR="00CF1B6C" w:rsidRPr="005C31F5" w:rsidRDefault="00CF1B6C" w:rsidP="00CF1B6C">
      <w:pPr>
        <w:pStyle w:val="Heading1"/>
        <w:rPr>
          <w:lang w:val="lv-LV"/>
        </w:rPr>
      </w:pPr>
      <w:bookmarkStart w:id="34" w:name="_Toc256000037"/>
      <w:bookmarkStart w:id="35" w:name="_Toc256000024"/>
      <w:bookmarkStart w:id="36" w:name="_Toc256000011"/>
      <w:bookmarkStart w:id="37" w:name="_Toc3205708"/>
      <w:r w:rsidRPr="005C31F5">
        <w:rPr>
          <w:lang w:val="lv-LV"/>
        </w:rPr>
        <w:t>5.2 Ietekme uz elektroenerģijas pārvades tīkla attīstību un AST</w:t>
      </w:r>
      <w:bookmarkEnd w:id="34"/>
      <w:bookmarkEnd w:id="35"/>
      <w:bookmarkEnd w:id="36"/>
      <w:bookmarkEnd w:id="37"/>
    </w:p>
    <w:p w14:paraId="640B7C6C" w14:textId="77777777" w:rsidR="00CF1B6C" w:rsidRPr="00D551E7" w:rsidRDefault="00CF1B6C" w:rsidP="00CF1B6C">
      <w:pPr>
        <w:pStyle w:val="Heading3"/>
        <w:numPr>
          <w:ilvl w:val="0"/>
          <w:numId w:val="0"/>
        </w:numPr>
        <w:ind w:left="720"/>
        <w:jc w:val="left"/>
        <w:rPr>
          <w:b w:val="0"/>
          <w:sz w:val="28"/>
          <w:szCs w:val="28"/>
          <w:lang w:val="lv-LV"/>
        </w:rPr>
      </w:pPr>
    </w:p>
    <w:p w14:paraId="27B12449" w14:textId="77777777" w:rsidR="00CF1B6C" w:rsidRPr="005C31F5" w:rsidRDefault="00CF1B6C" w:rsidP="00CF1B6C">
      <w:pPr>
        <w:ind w:firstLine="720"/>
        <w:jc w:val="both"/>
        <w:rPr>
          <w:sz w:val="28"/>
          <w:szCs w:val="28"/>
          <w:shd w:val="clear" w:color="auto" w:fill="FFFFFF"/>
          <w:lang w:val="lv-LV"/>
        </w:rPr>
      </w:pPr>
      <w:r w:rsidRPr="005C31F5">
        <w:rPr>
          <w:sz w:val="28"/>
          <w:szCs w:val="28"/>
          <w:shd w:val="clear" w:color="auto" w:fill="FFFFFF"/>
          <w:lang w:val="lv-LV"/>
        </w:rPr>
        <w:t>Latvijas elektroenerģijas pārvades sistēmas attīstība tiek realizēta saskaņā ar 10 gadu attīstības plānu, kura sastādīšanu nosaka Regulatora padomes 2011.gada 23.novembra lēmums Nr. 1/28 “Noteikumi par elektroenerģijas pārvades sistēmas attīstības plānu”</w:t>
      </w:r>
      <w:r w:rsidRPr="005C31F5">
        <w:rPr>
          <w:rStyle w:val="FootnoteReference"/>
          <w:sz w:val="28"/>
          <w:szCs w:val="28"/>
          <w:shd w:val="clear" w:color="auto" w:fill="FFFFFF"/>
          <w:lang w:val="lv-LV"/>
        </w:rPr>
        <w:footnoteReference w:id="10"/>
      </w:r>
      <w:r w:rsidRPr="005C31F5">
        <w:rPr>
          <w:sz w:val="28"/>
          <w:szCs w:val="28"/>
          <w:shd w:val="clear" w:color="auto" w:fill="FFFFFF"/>
          <w:lang w:val="lv-LV"/>
        </w:rPr>
        <w:t>.</w:t>
      </w:r>
    </w:p>
    <w:p w14:paraId="51C9D152" w14:textId="77777777" w:rsidR="00CF1B6C" w:rsidRPr="005C31F5" w:rsidRDefault="00CF1B6C" w:rsidP="00CF1B6C">
      <w:pPr>
        <w:ind w:firstLine="720"/>
        <w:jc w:val="both"/>
        <w:rPr>
          <w:sz w:val="28"/>
          <w:szCs w:val="28"/>
          <w:shd w:val="clear" w:color="auto" w:fill="FFFFFF"/>
          <w:lang w:val="lv-LV"/>
        </w:rPr>
      </w:pPr>
      <w:r w:rsidRPr="005C31F5">
        <w:rPr>
          <w:sz w:val="28"/>
          <w:szCs w:val="28"/>
          <w:shd w:val="clear" w:color="auto" w:fill="FFFFFF"/>
          <w:lang w:val="lv-LV"/>
        </w:rPr>
        <w:t xml:space="preserve">Regulators ar </w:t>
      </w:r>
      <w:r w:rsidR="00DB36E7" w:rsidRPr="005C31F5">
        <w:rPr>
          <w:sz w:val="28"/>
          <w:szCs w:val="28"/>
          <w:shd w:val="clear" w:color="auto" w:fill="FFFFFF"/>
          <w:lang w:val="lv-LV"/>
        </w:rPr>
        <w:t>2018.gada 28.septembra lēmumu Nr.</w:t>
      </w:r>
      <w:r w:rsidR="005E2E00" w:rsidRPr="005C31F5">
        <w:rPr>
          <w:sz w:val="28"/>
          <w:szCs w:val="28"/>
          <w:shd w:val="clear" w:color="auto" w:fill="FFFFFF"/>
          <w:lang w:val="lv-LV"/>
        </w:rPr>
        <w:t xml:space="preserve"> </w:t>
      </w:r>
      <w:r w:rsidR="00DB36E7" w:rsidRPr="005C31F5">
        <w:rPr>
          <w:sz w:val="28"/>
          <w:szCs w:val="28"/>
          <w:shd w:val="clear" w:color="auto" w:fill="FFFFFF"/>
          <w:lang w:val="lv-LV"/>
        </w:rPr>
        <w:t>111</w:t>
      </w:r>
      <w:r w:rsidR="005E2E00" w:rsidRPr="005C31F5">
        <w:rPr>
          <w:sz w:val="28"/>
          <w:szCs w:val="28"/>
          <w:shd w:val="clear" w:color="auto" w:fill="FFFFFF"/>
          <w:lang w:val="lv-LV"/>
        </w:rPr>
        <w:t xml:space="preserve"> </w:t>
      </w:r>
      <w:r w:rsidRPr="005C31F5">
        <w:rPr>
          <w:sz w:val="28"/>
          <w:szCs w:val="28"/>
          <w:shd w:val="clear" w:color="auto" w:fill="FFFFFF"/>
          <w:lang w:val="lv-LV"/>
        </w:rPr>
        <w:t>ir apstiprinājis “Elektroenerģijas pārvades sistēmas attīstības plānu no 201</w:t>
      </w:r>
      <w:r w:rsidR="005E2E00" w:rsidRPr="005C31F5">
        <w:rPr>
          <w:sz w:val="28"/>
          <w:szCs w:val="28"/>
          <w:shd w:val="clear" w:color="auto" w:fill="FFFFFF"/>
          <w:lang w:val="lv-LV"/>
        </w:rPr>
        <w:t>9</w:t>
      </w:r>
      <w:r w:rsidRPr="005C31F5">
        <w:rPr>
          <w:sz w:val="28"/>
          <w:szCs w:val="28"/>
          <w:shd w:val="clear" w:color="auto" w:fill="FFFFFF"/>
          <w:lang w:val="lv-LV"/>
        </w:rPr>
        <w:t>.līdz 202</w:t>
      </w:r>
      <w:r w:rsidR="005E2E00" w:rsidRPr="005C31F5">
        <w:rPr>
          <w:sz w:val="28"/>
          <w:szCs w:val="28"/>
          <w:shd w:val="clear" w:color="auto" w:fill="FFFFFF"/>
          <w:lang w:val="lv-LV"/>
        </w:rPr>
        <w:t>8</w:t>
      </w:r>
      <w:r w:rsidRPr="005C31F5">
        <w:rPr>
          <w:sz w:val="28"/>
          <w:szCs w:val="28"/>
          <w:shd w:val="clear" w:color="auto" w:fill="FFFFFF"/>
          <w:lang w:val="lv-LV"/>
        </w:rPr>
        <w:t>.gadam”.</w:t>
      </w:r>
      <w:r w:rsidRPr="005C31F5">
        <w:rPr>
          <w:rStyle w:val="FootnoteReference"/>
          <w:sz w:val="28"/>
          <w:szCs w:val="28"/>
          <w:shd w:val="clear" w:color="auto" w:fill="FFFFFF"/>
          <w:lang w:val="lv-LV"/>
        </w:rPr>
        <w:footnoteReference w:id="11"/>
      </w:r>
      <w:r w:rsidRPr="005C31F5">
        <w:rPr>
          <w:sz w:val="28"/>
          <w:szCs w:val="28"/>
          <w:shd w:val="clear" w:color="auto" w:fill="FFFFFF"/>
          <w:lang w:val="lv-LV"/>
        </w:rPr>
        <w:t xml:space="preserve"> </w:t>
      </w:r>
    </w:p>
    <w:p w14:paraId="46701799" w14:textId="2B13A76F" w:rsidR="00CF1B6C" w:rsidRPr="005C31F5" w:rsidRDefault="00CF1B6C" w:rsidP="00CF1B6C">
      <w:pPr>
        <w:ind w:firstLine="720"/>
        <w:jc w:val="both"/>
        <w:rPr>
          <w:sz w:val="28"/>
          <w:szCs w:val="28"/>
          <w:shd w:val="clear" w:color="auto" w:fill="FFFFFF"/>
          <w:lang w:val="lv-LV"/>
        </w:rPr>
      </w:pPr>
      <w:r w:rsidRPr="005C31F5">
        <w:rPr>
          <w:sz w:val="28"/>
          <w:szCs w:val="28"/>
          <w:shd w:val="clear" w:color="auto" w:fill="FFFFFF"/>
          <w:lang w:val="lv-LV"/>
        </w:rPr>
        <w:t xml:space="preserve">Apstiprināts, </w:t>
      </w:r>
      <w:r w:rsidR="0096191E" w:rsidRPr="005C31F5">
        <w:rPr>
          <w:sz w:val="28"/>
          <w:szCs w:val="28"/>
          <w:shd w:val="clear" w:color="auto" w:fill="FFFFFF"/>
          <w:lang w:val="lv-LV"/>
        </w:rPr>
        <w:t xml:space="preserve">ka </w:t>
      </w:r>
      <w:r w:rsidRPr="005C31F5">
        <w:rPr>
          <w:sz w:val="28"/>
          <w:szCs w:val="28"/>
          <w:shd w:val="clear" w:color="auto" w:fill="FFFFFF"/>
          <w:lang w:val="lv-LV"/>
        </w:rPr>
        <w:t xml:space="preserve">pārvades sistēmā kopumā plānots ieguldīt </w:t>
      </w:r>
      <w:r w:rsidR="00077952" w:rsidRPr="005C31F5">
        <w:rPr>
          <w:sz w:val="28"/>
          <w:szCs w:val="28"/>
          <w:shd w:val="clear" w:color="auto" w:fill="FFFFFF"/>
          <w:lang w:val="lv-LV"/>
        </w:rPr>
        <w:t>396,76</w:t>
      </w:r>
      <w:r w:rsidRPr="005C31F5">
        <w:rPr>
          <w:sz w:val="28"/>
          <w:szCs w:val="28"/>
          <w:shd w:val="clear" w:color="auto" w:fill="FFFFFF"/>
          <w:lang w:val="lv-LV"/>
        </w:rPr>
        <w:t xml:space="preserve"> milj. EUR, no kuriem </w:t>
      </w:r>
      <w:r w:rsidR="00077952" w:rsidRPr="005C31F5">
        <w:rPr>
          <w:sz w:val="28"/>
          <w:szCs w:val="28"/>
          <w:shd w:val="clear" w:color="auto" w:fill="FFFFFF"/>
          <w:lang w:val="lv-LV"/>
        </w:rPr>
        <w:t>169,57</w:t>
      </w:r>
      <w:r w:rsidRPr="005C31F5">
        <w:rPr>
          <w:sz w:val="28"/>
          <w:szCs w:val="28"/>
          <w:shd w:val="clear" w:color="auto" w:fill="FFFFFF"/>
          <w:lang w:val="lv-LV"/>
        </w:rPr>
        <w:t xml:space="preserve"> milj. EUR attiecināmi pārvades sistēma projektiem, kas iekļauti Eiropas elektroenerģijas pārvades sistēmu operatoru organizācijas (ENTSO-E) desmit gadu tīkla attīstības plānā (TYNDP)</w:t>
      </w:r>
      <w:r w:rsidRPr="005C31F5">
        <w:rPr>
          <w:rStyle w:val="FootnoteReference"/>
          <w:sz w:val="28"/>
          <w:szCs w:val="28"/>
          <w:shd w:val="clear" w:color="auto" w:fill="FFFFFF"/>
          <w:lang w:val="lv-LV"/>
        </w:rPr>
        <w:footnoteReference w:id="12"/>
      </w:r>
      <w:r w:rsidRPr="005C31F5">
        <w:rPr>
          <w:sz w:val="28"/>
          <w:szCs w:val="28"/>
          <w:shd w:val="clear" w:color="auto" w:fill="FFFFFF"/>
          <w:lang w:val="lv-LV"/>
        </w:rPr>
        <w:t>.</w:t>
      </w:r>
    </w:p>
    <w:p w14:paraId="55461622" w14:textId="77777777" w:rsidR="00CF1B6C" w:rsidRPr="005C31F5" w:rsidRDefault="00CF1B6C" w:rsidP="00CF1B6C">
      <w:pPr>
        <w:ind w:firstLine="720"/>
        <w:jc w:val="both"/>
        <w:rPr>
          <w:sz w:val="28"/>
          <w:szCs w:val="28"/>
          <w:shd w:val="clear" w:color="auto" w:fill="FFFFFF"/>
          <w:lang w:val="lv-LV"/>
        </w:rPr>
      </w:pPr>
      <w:r w:rsidRPr="005C31F5">
        <w:rPr>
          <w:sz w:val="28"/>
          <w:szCs w:val="28"/>
          <w:shd w:val="clear" w:color="auto" w:fill="FFFFFF"/>
          <w:lang w:val="lv-LV"/>
        </w:rPr>
        <w:t xml:space="preserve">LET kā pārvades sistēmas īpašnieka funkciju veicējai ir uzdevums finansēt ieguldījumus pārvades sistēmā atbilstoši 10 gadu attīstības plānam. Finanšu pieejamība tiek garantēta, LET piesaistot aizņemto kapitālu no </w:t>
      </w:r>
      <w:r w:rsidRPr="005C31F5">
        <w:rPr>
          <w:i/>
          <w:sz w:val="28"/>
          <w:szCs w:val="28"/>
          <w:shd w:val="clear" w:color="auto" w:fill="FFFFFF"/>
          <w:lang w:val="lv-LV"/>
        </w:rPr>
        <w:t>Latvenergo</w:t>
      </w:r>
      <w:r w:rsidRPr="005C31F5">
        <w:rPr>
          <w:sz w:val="28"/>
          <w:szCs w:val="28"/>
          <w:shd w:val="clear" w:color="auto" w:fill="FFFFFF"/>
          <w:lang w:val="lv-LV"/>
        </w:rPr>
        <w:t xml:space="preserve"> koncerna, kā arī izmantojot ES līdzfinansējumu, slēdzot trīspusējus līgumus starp INEA, AST un LET. </w:t>
      </w:r>
      <w:r w:rsidR="00675489" w:rsidRPr="005C31F5">
        <w:rPr>
          <w:i/>
          <w:sz w:val="28"/>
          <w:szCs w:val="28"/>
          <w:shd w:val="clear" w:color="auto" w:fill="FFFFFF"/>
          <w:lang w:val="lv-LV"/>
        </w:rPr>
        <w:t>Latvenergo</w:t>
      </w:r>
      <w:r w:rsidR="00675489" w:rsidRPr="005C31F5">
        <w:rPr>
          <w:sz w:val="28"/>
          <w:szCs w:val="28"/>
          <w:shd w:val="clear" w:color="auto" w:fill="FFFFFF"/>
          <w:lang w:val="lv-LV"/>
        </w:rPr>
        <w:t xml:space="preserve"> koncernam veicot finansējuma piesaisti lielākā apjomā (nodrošinot gan pārvades, gan sadales, gan arī ražošanas projektu realizācijas iespējas), tiek iegūti labvēlīgāki aizņēmuma nosacījumi kā gadījumā, ja finansējums tiktu piesaistīts atsevišķi (mazāks aizņēmuma portfelis). </w:t>
      </w:r>
      <w:r w:rsidRPr="005C31F5">
        <w:rPr>
          <w:sz w:val="28"/>
          <w:szCs w:val="28"/>
          <w:shd w:val="clear" w:color="auto" w:fill="FFFFFF"/>
          <w:lang w:val="lv-LV"/>
        </w:rPr>
        <w:t xml:space="preserve">Veicot pilnīgas </w:t>
      </w:r>
      <w:r w:rsidR="00FA68C9" w:rsidRPr="005C31F5">
        <w:rPr>
          <w:sz w:val="28"/>
          <w:szCs w:val="28"/>
          <w:shd w:val="clear" w:color="auto" w:fill="FFFFFF"/>
          <w:lang w:val="lv-LV"/>
        </w:rPr>
        <w:t>īpašumtiesību</w:t>
      </w:r>
      <w:r w:rsidRPr="005C31F5">
        <w:rPr>
          <w:sz w:val="28"/>
          <w:szCs w:val="28"/>
          <w:shd w:val="clear" w:color="auto" w:fill="FFFFFF"/>
          <w:lang w:val="lv-LV"/>
        </w:rPr>
        <w:t xml:space="preserve"> nodalīšanas modeļa ieviešanu, AST būtu nepieciešams patstāvīgi piesaistīt aizņemtos līdzekļus kapitālieguldījumu programmas īstenošanai. Pašlaik spēkā esošā neatkarīga sistēmas operatora modeļa dēļ AST pastāv netipiska kapitāla struktūra, kas ierobežo finanšu līdzekļu aizņemšanās iespējas.</w:t>
      </w:r>
    </w:p>
    <w:p w14:paraId="7CCBF01D" w14:textId="77777777" w:rsidR="00CF1B6C" w:rsidRPr="005C31F5" w:rsidRDefault="00CF1B6C" w:rsidP="00CF1B6C">
      <w:pPr>
        <w:ind w:firstLine="720"/>
        <w:jc w:val="both"/>
        <w:rPr>
          <w:sz w:val="28"/>
          <w:szCs w:val="28"/>
          <w:shd w:val="clear" w:color="auto" w:fill="FFFFFF"/>
          <w:lang w:val="lv-LV"/>
        </w:rPr>
      </w:pPr>
      <w:bookmarkStart w:id="38" w:name="_Hlk536691148"/>
      <w:r w:rsidRPr="005C31F5">
        <w:rPr>
          <w:sz w:val="28"/>
          <w:szCs w:val="28"/>
          <w:shd w:val="clear" w:color="auto" w:fill="FFFFFF"/>
          <w:lang w:val="lv-LV"/>
        </w:rPr>
        <w:t>Aktīvu piederības maiņas rezultātā ievērojami pieaugs AST bilances vērtība, peļņas rādītāji (peļņa no pārvades pakalpojumu sniegšanas paliktu AST rīcībā).</w:t>
      </w:r>
    </w:p>
    <w:bookmarkEnd w:id="38"/>
    <w:p w14:paraId="36C7799A" w14:textId="5124052A" w:rsidR="00CF1B6C" w:rsidRPr="005C31F5" w:rsidRDefault="00CF1B6C" w:rsidP="00CF1B6C">
      <w:pPr>
        <w:ind w:firstLine="720"/>
        <w:jc w:val="both"/>
        <w:rPr>
          <w:sz w:val="28"/>
          <w:szCs w:val="28"/>
          <w:shd w:val="clear" w:color="auto" w:fill="FFFFFF"/>
          <w:lang w:val="lv-LV"/>
        </w:rPr>
      </w:pPr>
      <w:r w:rsidRPr="005C31F5">
        <w:rPr>
          <w:sz w:val="28"/>
          <w:szCs w:val="28"/>
          <w:shd w:val="clear" w:color="auto" w:fill="FFFFFF"/>
          <w:lang w:val="lv-LV"/>
        </w:rPr>
        <w:t xml:space="preserve">Vienlaikus, kā liecina AST veiktās pārrunas ar lielākajām kredītiestādēm Latvijā, kā arī Eiropas Rekonstrukcijas un attīstības banku, AST kā vienīgais elektroenerģijas pārvades sistēmas pakalpojuma sniedzēja Latvijā, valsts īpašumā </w:t>
      </w:r>
      <w:r w:rsidRPr="005C31F5">
        <w:rPr>
          <w:sz w:val="28"/>
          <w:szCs w:val="28"/>
          <w:shd w:val="clear" w:color="auto" w:fill="FFFFFF"/>
          <w:lang w:val="lv-LV"/>
        </w:rPr>
        <w:lastRenderedPageBreak/>
        <w:t>esoša kapitālsabiedrība spēs piesaistīt aizņemot kapitālu nepieciešamajā apjomā un kredītreitings prognozējams augsts.</w:t>
      </w:r>
    </w:p>
    <w:p w14:paraId="31FA5DD4" w14:textId="21A6242B" w:rsidR="0089767A" w:rsidRPr="0089767A" w:rsidRDefault="00740EE2" w:rsidP="0089767A">
      <w:pPr>
        <w:ind w:firstLine="720"/>
        <w:jc w:val="both"/>
        <w:rPr>
          <w:sz w:val="28"/>
          <w:szCs w:val="28"/>
          <w:shd w:val="clear" w:color="auto" w:fill="FFFFFF"/>
          <w:lang w:val="lv-LV"/>
        </w:rPr>
      </w:pPr>
      <w:r w:rsidRPr="005C31F5">
        <w:rPr>
          <w:sz w:val="28"/>
          <w:szCs w:val="28"/>
          <w:shd w:val="clear" w:color="auto" w:fill="FFFFFF"/>
          <w:lang w:val="lv-LV"/>
        </w:rPr>
        <w:t xml:space="preserve">Būtiski minēt, ka grozījumi Starptautiskajā finanšu pārskatu standartā Nr.16 "Noma", kas stājās spēkā 2019.gada 1.janvārī, </w:t>
      </w:r>
      <w:r w:rsidR="008C6885">
        <w:rPr>
          <w:sz w:val="28"/>
          <w:szCs w:val="28"/>
          <w:shd w:val="clear" w:color="auto" w:fill="FFFFFF"/>
          <w:lang w:val="lv-LV"/>
        </w:rPr>
        <w:t>at</w:t>
      </w:r>
      <w:r w:rsidR="0003565F">
        <w:rPr>
          <w:sz w:val="28"/>
          <w:szCs w:val="28"/>
          <w:shd w:val="clear" w:color="auto" w:fill="FFFFFF"/>
          <w:lang w:val="lv-LV"/>
        </w:rPr>
        <w:t>bilstoši AST sniegtajai informācijai</w:t>
      </w:r>
      <w:r w:rsidR="008C6885" w:rsidRPr="005C31F5">
        <w:rPr>
          <w:sz w:val="28"/>
          <w:szCs w:val="28"/>
          <w:shd w:val="clear" w:color="auto" w:fill="FFFFFF"/>
          <w:lang w:val="lv-LV"/>
        </w:rPr>
        <w:t xml:space="preserve"> </w:t>
      </w:r>
      <w:r w:rsidR="0003565F">
        <w:rPr>
          <w:sz w:val="28"/>
          <w:szCs w:val="28"/>
          <w:shd w:val="clear" w:color="auto" w:fill="FFFFFF"/>
          <w:lang w:val="lv-LV"/>
        </w:rPr>
        <w:t xml:space="preserve">atstāj </w:t>
      </w:r>
      <w:r w:rsidRPr="005C31F5">
        <w:rPr>
          <w:sz w:val="28"/>
          <w:szCs w:val="28"/>
          <w:shd w:val="clear" w:color="auto" w:fill="FFFFFF"/>
          <w:lang w:val="lv-LV"/>
        </w:rPr>
        <w:t xml:space="preserve">būtisku ietekmi uz AST finanšu pārskatiem 2019.gadā. </w:t>
      </w:r>
      <w:r w:rsidR="0089767A" w:rsidRPr="0089767A">
        <w:rPr>
          <w:sz w:val="28"/>
          <w:szCs w:val="28"/>
          <w:shd w:val="clear" w:color="auto" w:fill="FFFFFF"/>
          <w:lang w:val="lv-LV"/>
        </w:rPr>
        <w:t xml:space="preserve">Standarts pieļauj </w:t>
      </w:r>
      <w:r w:rsidR="0089767A">
        <w:rPr>
          <w:sz w:val="28"/>
          <w:szCs w:val="28"/>
          <w:shd w:val="clear" w:color="auto" w:fill="FFFFFF"/>
          <w:lang w:val="lv-LV"/>
        </w:rPr>
        <w:t>divas</w:t>
      </w:r>
      <w:r w:rsidR="0089767A" w:rsidRPr="0089767A">
        <w:rPr>
          <w:sz w:val="28"/>
          <w:szCs w:val="28"/>
          <w:shd w:val="clear" w:color="auto" w:fill="FFFFFF"/>
          <w:lang w:val="lv-LV"/>
        </w:rPr>
        <w:t xml:space="preserve"> </w:t>
      </w:r>
      <w:r w:rsidR="0089767A">
        <w:rPr>
          <w:sz w:val="28"/>
          <w:szCs w:val="28"/>
          <w:shd w:val="clear" w:color="auto" w:fill="FFFFFF"/>
          <w:lang w:val="lv-LV"/>
        </w:rPr>
        <w:t>metodes</w:t>
      </w:r>
      <w:r w:rsidR="0089767A" w:rsidRPr="0089767A">
        <w:rPr>
          <w:sz w:val="28"/>
          <w:szCs w:val="28"/>
          <w:shd w:val="clear" w:color="auto" w:fill="FFFFFF"/>
          <w:lang w:val="lv-LV"/>
        </w:rPr>
        <w:t xml:space="preserve"> nomāto aktīvu lietošanas tiesību sākotnējās atzīšanas novērtējumam. AST ir vei</w:t>
      </w:r>
      <w:r w:rsidR="0089767A">
        <w:rPr>
          <w:sz w:val="28"/>
          <w:szCs w:val="28"/>
          <w:shd w:val="clear" w:color="auto" w:fill="FFFFFF"/>
          <w:lang w:val="lv-LV"/>
        </w:rPr>
        <w:t>kusi</w:t>
      </w:r>
      <w:r w:rsidR="0089767A" w:rsidRPr="0089767A">
        <w:rPr>
          <w:sz w:val="28"/>
          <w:szCs w:val="28"/>
          <w:shd w:val="clear" w:color="auto" w:fill="FFFFFF"/>
          <w:lang w:val="lv-LV"/>
        </w:rPr>
        <w:t xml:space="preserve"> aprēķinus atbilstoši abām </w:t>
      </w:r>
      <w:r w:rsidR="0089767A">
        <w:rPr>
          <w:sz w:val="28"/>
          <w:szCs w:val="28"/>
          <w:shd w:val="clear" w:color="auto" w:fill="FFFFFF"/>
          <w:lang w:val="lv-LV"/>
        </w:rPr>
        <w:t>metodēm</w:t>
      </w:r>
      <w:r w:rsidR="0089767A" w:rsidRPr="0089767A">
        <w:rPr>
          <w:sz w:val="28"/>
          <w:szCs w:val="28"/>
          <w:shd w:val="clear" w:color="auto" w:fill="FFFFFF"/>
          <w:lang w:val="lv-LV"/>
        </w:rPr>
        <w:t xml:space="preserve"> un par piemērotāko atzi</w:t>
      </w:r>
      <w:r w:rsidR="0089767A">
        <w:rPr>
          <w:sz w:val="28"/>
          <w:szCs w:val="28"/>
          <w:shd w:val="clear" w:color="auto" w:fill="FFFFFF"/>
          <w:lang w:val="lv-LV"/>
        </w:rPr>
        <w:t>nusi</w:t>
      </w:r>
      <w:r w:rsidR="0089767A" w:rsidRPr="0089767A">
        <w:rPr>
          <w:sz w:val="28"/>
          <w:szCs w:val="28"/>
          <w:shd w:val="clear" w:color="auto" w:fill="FFFFFF"/>
          <w:lang w:val="lv-LV"/>
        </w:rPr>
        <w:t xml:space="preserve"> veikt lietošanas tiesību sākotnējo novērtējumu tā, it kā standarts tiktu piemērots kopš nomas darījuma sākuma datuma, to diskontējot. Atbilstoši aprēķiniem sākotnējās atzīšanas brīdī veidojas negatīva starpība orientējoši 4 milj.</w:t>
      </w:r>
      <w:r w:rsidR="0089767A">
        <w:rPr>
          <w:sz w:val="28"/>
          <w:szCs w:val="28"/>
          <w:shd w:val="clear" w:color="auto" w:fill="FFFFFF"/>
          <w:lang w:val="lv-LV"/>
        </w:rPr>
        <w:t xml:space="preserve"> </w:t>
      </w:r>
      <w:r w:rsidR="0089767A" w:rsidRPr="0089767A">
        <w:rPr>
          <w:sz w:val="28"/>
          <w:szCs w:val="28"/>
          <w:shd w:val="clear" w:color="auto" w:fill="FFFFFF"/>
          <w:lang w:val="lv-LV"/>
        </w:rPr>
        <w:t>EUR</w:t>
      </w:r>
      <w:r w:rsidR="0089767A">
        <w:rPr>
          <w:sz w:val="28"/>
          <w:szCs w:val="28"/>
          <w:shd w:val="clear" w:color="auto" w:fill="FFFFFF"/>
          <w:lang w:val="lv-LV"/>
        </w:rPr>
        <w:t xml:space="preserve"> apmērā</w:t>
      </w:r>
      <w:r w:rsidR="0089767A" w:rsidRPr="0089767A">
        <w:rPr>
          <w:sz w:val="28"/>
          <w:szCs w:val="28"/>
          <w:shd w:val="clear" w:color="auto" w:fill="FFFFFF"/>
          <w:lang w:val="lv-LV"/>
        </w:rPr>
        <w:t>, kas jāatzīst AST bilancē 2019.gadā pašu kapitāla sastāvā, tādējādi samazinot pašu kapitāla kopējo vērtību 2019.gadā.</w:t>
      </w:r>
    </w:p>
    <w:p w14:paraId="6AB0A820" w14:textId="0EDD8935" w:rsidR="00953F00" w:rsidRPr="005C31F5" w:rsidRDefault="0089767A" w:rsidP="0089767A">
      <w:pPr>
        <w:ind w:firstLine="720"/>
        <w:jc w:val="both"/>
        <w:rPr>
          <w:sz w:val="28"/>
          <w:szCs w:val="28"/>
          <w:shd w:val="clear" w:color="auto" w:fill="FFFFFF"/>
          <w:lang w:val="lv-LV"/>
        </w:rPr>
      </w:pPr>
      <w:r w:rsidRPr="0089767A">
        <w:rPr>
          <w:sz w:val="28"/>
          <w:szCs w:val="28"/>
          <w:shd w:val="clear" w:color="auto" w:fill="FFFFFF"/>
          <w:lang w:val="lv-LV"/>
        </w:rPr>
        <w:t>Tādējādi, ja līdz 2019.gada beigām netiek pieņemts lēmums par aktīvu nodošanu, nomas līgums automātiski tiek pagarināts uz 5 gadiem, t</w:t>
      </w:r>
      <w:r>
        <w:rPr>
          <w:sz w:val="28"/>
          <w:szCs w:val="28"/>
          <w:shd w:val="clear" w:color="auto" w:fill="FFFFFF"/>
          <w:lang w:val="lv-LV"/>
        </w:rPr>
        <w:t xml:space="preserve">as </w:t>
      </w:r>
      <w:r w:rsidRPr="0089767A">
        <w:rPr>
          <w:sz w:val="28"/>
          <w:szCs w:val="28"/>
          <w:shd w:val="clear" w:color="auto" w:fill="FFFFFF"/>
          <w:lang w:val="lv-LV"/>
        </w:rPr>
        <w:t>i</w:t>
      </w:r>
      <w:r>
        <w:rPr>
          <w:sz w:val="28"/>
          <w:szCs w:val="28"/>
          <w:shd w:val="clear" w:color="auto" w:fill="FFFFFF"/>
          <w:lang w:val="lv-LV"/>
        </w:rPr>
        <w:t>r,</w:t>
      </w:r>
      <w:r w:rsidRPr="0089767A">
        <w:rPr>
          <w:sz w:val="28"/>
          <w:szCs w:val="28"/>
          <w:shd w:val="clear" w:color="auto" w:fill="FFFFFF"/>
          <w:lang w:val="lv-LV"/>
        </w:rPr>
        <w:t xml:space="preserve"> tas tiek uzskatīts par ilgtermiņa nomas līgumu un AST ir pienākums piemērot standartu, atzīstot pašu kapitāla samazinājumu (</w:t>
      </w:r>
      <w:proofErr w:type="spellStart"/>
      <w:r w:rsidRPr="0089767A">
        <w:rPr>
          <w:sz w:val="28"/>
          <w:szCs w:val="28"/>
          <w:shd w:val="clear" w:color="auto" w:fill="FFFFFF"/>
          <w:lang w:val="lv-LV"/>
        </w:rPr>
        <w:t>grāmatvediskos</w:t>
      </w:r>
      <w:proofErr w:type="spellEnd"/>
      <w:r w:rsidRPr="0089767A">
        <w:rPr>
          <w:sz w:val="28"/>
          <w:szCs w:val="28"/>
          <w:shd w:val="clear" w:color="auto" w:fill="FFFFFF"/>
          <w:lang w:val="lv-LV"/>
        </w:rPr>
        <w:t xml:space="preserve"> zaudējumus) orientējoši 4 milj.</w:t>
      </w:r>
      <w:r>
        <w:rPr>
          <w:sz w:val="28"/>
          <w:szCs w:val="28"/>
          <w:shd w:val="clear" w:color="auto" w:fill="FFFFFF"/>
          <w:lang w:val="lv-LV"/>
        </w:rPr>
        <w:t xml:space="preserve"> </w:t>
      </w:r>
      <w:r w:rsidRPr="0089767A">
        <w:rPr>
          <w:sz w:val="28"/>
          <w:szCs w:val="28"/>
          <w:shd w:val="clear" w:color="auto" w:fill="FFFFFF"/>
          <w:lang w:val="lv-LV"/>
        </w:rPr>
        <w:t>EUR apmērā.</w:t>
      </w:r>
    </w:p>
    <w:p w14:paraId="2EBCB03A" w14:textId="2108BDDC" w:rsidR="00512618" w:rsidRPr="005C31F5" w:rsidRDefault="00512618" w:rsidP="006033B5">
      <w:pPr>
        <w:ind w:firstLine="720"/>
        <w:jc w:val="both"/>
        <w:rPr>
          <w:sz w:val="28"/>
          <w:szCs w:val="28"/>
          <w:shd w:val="clear" w:color="auto" w:fill="FFFFFF"/>
          <w:lang w:val="lv-LV"/>
        </w:rPr>
      </w:pPr>
      <w:r w:rsidRPr="005C31F5">
        <w:rPr>
          <w:sz w:val="28"/>
          <w:szCs w:val="28"/>
          <w:shd w:val="clear" w:color="auto" w:fill="FFFFFF"/>
          <w:lang w:val="lv-LV"/>
        </w:rPr>
        <w:t>Detalizētāka pilnīgas īpašumtiesību nodalīšanas modeļa ieviešanas ietekme uz AST finanšu situāciju</w:t>
      </w:r>
      <w:r w:rsidR="00DF4ACA" w:rsidRPr="005C31F5">
        <w:rPr>
          <w:sz w:val="28"/>
          <w:szCs w:val="28"/>
          <w:shd w:val="clear" w:color="auto" w:fill="FFFFFF"/>
          <w:lang w:val="lv-LV"/>
        </w:rPr>
        <w:t xml:space="preserve"> </w:t>
      </w:r>
      <w:r w:rsidR="00DE27D5" w:rsidRPr="005C31F5">
        <w:rPr>
          <w:sz w:val="28"/>
          <w:szCs w:val="28"/>
          <w:shd w:val="clear" w:color="auto" w:fill="FFFFFF"/>
          <w:lang w:val="lv-LV"/>
        </w:rPr>
        <w:t>aprakstīta</w:t>
      </w:r>
      <w:r w:rsidR="00DF4ACA" w:rsidRPr="005C31F5">
        <w:rPr>
          <w:sz w:val="28"/>
          <w:szCs w:val="28"/>
          <w:shd w:val="clear" w:color="auto" w:fill="FFFFFF"/>
          <w:lang w:val="lv-LV"/>
        </w:rPr>
        <w:t xml:space="preserve"> AST sagatavotajā</w:t>
      </w:r>
      <w:r w:rsidR="00DE27D5" w:rsidRPr="005C31F5">
        <w:rPr>
          <w:sz w:val="28"/>
          <w:szCs w:val="28"/>
          <w:shd w:val="clear" w:color="auto" w:fill="FFFFFF"/>
          <w:lang w:val="lv-LV"/>
        </w:rPr>
        <w:t xml:space="preserve"> izklāstā, kas skatāms ziņojuma 2. pielikumā.</w:t>
      </w:r>
    </w:p>
    <w:p w14:paraId="17C15BAB" w14:textId="77777777" w:rsidR="00CF1B6C" w:rsidRPr="005C31F5" w:rsidRDefault="00CF1B6C" w:rsidP="006033B5">
      <w:pPr>
        <w:ind w:firstLine="720"/>
        <w:jc w:val="both"/>
        <w:rPr>
          <w:sz w:val="28"/>
          <w:szCs w:val="28"/>
          <w:shd w:val="clear" w:color="auto" w:fill="FFFFFF"/>
          <w:lang w:val="lv-LV"/>
        </w:rPr>
      </w:pPr>
    </w:p>
    <w:p w14:paraId="6FE6643E" w14:textId="77777777" w:rsidR="00CF1B6C" w:rsidRPr="005C31F5" w:rsidRDefault="00CF1B6C" w:rsidP="00CF1B6C">
      <w:pPr>
        <w:pStyle w:val="Heading1"/>
        <w:rPr>
          <w:lang w:val="lv-LV"/>
        </w:rPr>
      </w:pPr>
      <w:bookmarkStart w:id="39" w:name="_Toc256000039"/>
      <w:bookmarkStart w:id="40" w:name="_Toc256000026"/>
      <w:bookmarkStart w:id="41" w:name="_Toc256000013"/>
      <w:bookmarkStart w:id="42" w:name="_Toc3205709"/>
      <w:r w:rsidRPr="005C31F5">
        <w:rPr>
          <w:lang w:val="lv-LV"/>
        </w:rPr>
        <w:t>5.3 Ietekme uz tarifu</w:t>
      </w:r>
      <w:bookmarkEnd w:id="39"/>
      <w:bookmarkEnd w:id="40"/>
      <w:bookmarkEnd w:id="41"/>
      <w:bookmarkEnd w:id="42"/>
    </w:p>
    <w:p w14:paraId="74A09668" w14:textId="77777777" w:rsidR="00CF1B6C" w:rsidRPr="00D551E7" w:rsidRDefault="00CF1B6C" w:rsidP="00CF1B6C">
      <w:pPr>
        <w:pStyle w:val="Heading2"/>
        <w:rPr>
          <w:sz w:val="28"/>
          <w:szCs w:val="28"/>
          <w:lang w:val="lv-LV"/>
        </w:rPr>
      </w:pPr>
    </w:p>
    <w:p w14:paraId="4FB70599" w14:textId="22C87FC0" w:rsidR="006033B5" w:rsidRPr="005C31F5" w:rsidRDefault="006033B5" w:rsidP="006033B5">
      <w:pPr>
        <w:pStyle w:val="NoSpacing"/>
        <w:ind w:firstLine="720"/>
        <w:jc w:val="both"/>
        <w:rPr>
          <w:bCs/>
          <w:sz w:val="28"/>
          <w:szCs w:val="28"/>
          <w:lang w:val="lv-LV"/>
        </w:rPr>
      </w:pPr>
      <w:bookmarkStart w:id="43" w:name="_Hlk536691197"/>
      <w:r w:rsidRPr="005C31F5">
        <w:rPr>
          <w:sz w:val="28"/>
          <w:szCs w:val="28"/>
          <w:shd w:val="clear" w:color="auto" w:fill="FFFFFF"/>
          <w:lang w:val="lv-LV"/>
        </w:rPr>
        <w:t xml:space="preserve">Līdzšinējais PSO aktīvu pārvaldības modelis ir administratīvi sarežģītāks un ES maz izplatīts. </w:t>
      </w:r>
      <w:bookmarkStart w:id="44" w:name="_Toc524621716"/>
      <w:bookmarkEnd w:id="43"/>
      <w:r w:rsidRPr="005C31F5">
        <w:rPr>
          <w:sz w:val="28"/>
          <w:szCs w:val="28"/>
          <w:shd w:val="clear" w:color="auto" w:fill="FFFFFF"/>
          <w:lang w:val="lv-LV"/>
        </w:rPr>
        <w:t xml:space="preserve">AST kapitāla </w:t>
      </w:r>
      <w:proofErr w:type="spellStart"/>
      <w:r w:rsidRPr="005C31F5">
        <w:rPr>
          <w:sz w:val="28"/>
          <w:szCs w:val="28"/>
          <w:shd w:val="clear" w:color="auto" w:fill="FFFFFF"/>
          <w:lang w:val="lv-LV"/>
        </w:rPr>
        <w:t>atdeve</w:t>
      </w:r>
      <w:proofErr w:type="spellEnd"/>
      <w:r w:rsidRPr="005C31F5">
        <w:rPr>
          <w:sz w:val="28"/>
          <w:szCs w:val="28"/>
          <w:shd w:val="clear" w:color="auto" w:fill="FFFFFF"/>
          <w:lang w:val="lv-LV"/>
        </w:rPr>
        <w:t xml:space="preserve"> no pārvades aktīvu darbības tiek novirzīta nomas maksas segšanai. LET kā pārvades sistēmas īpašnieks finansē kapitālieguldījumus, par ko ir lēmis PSO</w:t>
      </w:r>
      <w:r w:rsidRPr="005C31F5">
        <w:rPr>
          <w:bCs/>
          <w:sz w:val="28"/>
          <w:szCs w:val="28"/>
          <w:lang w:val="lv-LV"/>
        </w:rPr>
        <w:t xml:space="preserve">. Ievērojot Elektroenerģijas tirgus likuma 21.² panta otrajā daļā noteikto, kapitālieguldījumu rezultātā izveidotie aktīvi ir pārvades sistēmas īpašnieka īpašums. </w:t>
      </w:r>
      <w:r w:rsidRPr="005C31F5">
        <w:rPr>
          <w:sz w:val="28"/>
          <w:szCs w:val="28"/>
          <w:lang w:val="lv-LV"/>
        </w:rPr>
        <w:t>Projekti tiek finansēti ar LET naudas plūsmu, kas veidojas no nomas maksas, kā arī piesaistot aizņēmumu no mātes kompānijas</w:t>
      </w:r>
      <w:r w:rsidR="003A4C69" w:rsidRPr="005C31F5">
        <w:rPr>
          <w:sz w:val="28"/>
          <w:szCs w:val="28"/>
          <w:lang w:val="lv-LV"/>
        </w:rPr>
        <w:t xml:space="preserve"> AS “Latvenergo”</w:t>
      </w:r>
      <w:r w:rsidRPr="005C31F5">
        <w:rPr>
          <w:sz w:val="28"/>
          <w:szCs w:val="28"/>
          <w:lang w:val="lv-LV"/>
        </w:rPr>
        <w:t xml:space="preserve"> un  izmantojot līdzfinansējumu no ES.</w:t>
      </w:r>
      <w:bookmarkEnd w:id="44"/>
      <w:r w:rsidRPr="005C31F5">
        <w:rPr>
          <w:sz w:val="28"/>
          <w:szCs w:val="28"/>
          <w:shd w:val="clear" w:color="auto" w:fill="FFFFFF"/>
          <w:lang w:val="lv-LV"/>
        </w:rPr>
        <w:t xml:space="preserve"> </w:t>
      </w:r>
    </w:p>
    <w:p w14:paraId="3B5E9520" w14:textId="06A9EC8E" w:rsidR="006033B5" w:rsidRPr="005C31F5" w:rsidRDefault="006033B5" w:rsidP="006033B5">
      <w:pPr>
        <w:ind w:firstLine="720"/>
        <w:jc w:val="both"/>
        <w:rPr>
          <w:sz w:val="28"/>
          <w:szCs w:val="28"/>
          <w:shd w:val="clear" w:color="auto" w:fill="FFFFFF"/>
          <w:lang w:val="lv-LV"/>
        </w:rPr>
      </w:pPr>
      <w:r w:rsidRPr="005C31F5">
        <w:rPr>
          <w:sz w:val="28"/>
          <w:szCs w:val="28"/>
          <w:shd w:val="clear" w:color="auto" w:fill="FFFFFF"/>
          <w:lang w:val="lv-LV"/>
        </w:rPr>
        <w:t xml:space="preserve">Ņemot vērā </w:t>
      </w:r>
      <w:r w:rsidR="00E5010A" w:rsidRPr="005C31F5">
        <w:rPr>
          <w:sz w:val="28"/>
          <w:szCs w:val="28"/>
          <w:shd w:val="clear" w:color="auto" w:fill="FFFFFF"/>
          <w:lang w:val="lv-LV"/>
        </w:rPr>
        <w:t>E</w:t>
      </w:r>
      <w:r w:rsidR="00E5010A">
        <w:rPr>
          <w:sz w:val="28"/>
          <w:szCs w:val="28"/>
          <w:shd w:val="clear" w:color="auto" w:fill="FFFFFF"/>
          <w:lang w:val="lv-LV"/>
        </w:rPr>
        <w:t>lektroenerģijas tirgus</w:t>
      </w:r>
      <w:r w:rsidR="00E5010A" w:rsidRPr="005C31F5">
        <w:rPr>
          <w:sz w:val="28"/>
          <w:szCs w:val="28"/>
          <w:shd w:val="clear" w:color="auto" w:fill="FFFFFF"/>
          <w:lang w:val="lv-LV"/>
        </w:rPr>
        <w:t xml:space="preserve"> </w:t>
      </w:r>
      <w:r w:rsidRPr="005C31F5">
        <w:rPr>
          <w:sz w:val="28"/>
          <w:szCs w:val="28"/>
          <w:shd w:val="clear" w:color="auto" w:fill="FFFFFF"/>
          <w:lang w:val="lv-LV"/>
        </w:rPr>
        <w:t>likumā noteikto</w:t>
      </w:r>
      <w:r w:rsidR="00E5010A">
        <w:rPr>
          <w:sz w:val="28"/>
          <w:szCs w:val="28"/>
          <w:shd w:val="clear" w:color="auto" w:fill="FFFFFF"/>
          <w:lang w:val="lv-LV"/>
        </w:rPr>
        <w:t>s</w:t>
      </w:r>
      <w:r w:rsidRPr="005C31F5">
        <w:rPr>
          <w:sz w:val="28"/>
          <w:szCs w:val="28"/>
          <w:shd w:val="clear" w:color="auto" w:fill="FFFFFF"/>
          <w:lang w:val="lv-LV"/>
        </w:rPr>
        <w:t xml:space="preserve"> pienākumus, LET un AST veic atšķirīgas administratīvās funkcijas, tomēr tarifā iekļaujot abu uzņēmumu - AST un LET atļauto peļņu un administratīvās izmaksas, rodas papildus slodze uz tarifu, piemēram, abas kapitālsabiedrības maksā Regulatora nodevu – 0,2% no komersanta sniegto sabiedrisko pakalpojumu neto apgrozījuma aizpagājušā kalendāra gadā. </w:t>
      </w:r>
    </w:p>
    <w:p w14:paraId="57692DA9" w14:textId="77777777" w:rsidR="00444A9F" w:rsidRDefault="00444A9F" w:rsidP="00444A9F">
      <w:pPr>
        <w:pStyle w:val="doc-ti"/>
        <w:spacing w:before="0" w:beforeAutospacing="0" w:after="0" w:afterAutospacing="0"/>
        <w:ind w:firstLine="720"/>
        <w:jc w:val="both"/>
        <w:rPr>
          <w:sz w:val="28"/>
          <w:szCs w:val="28"/>
          <w:shd w:val="clear" w:color="auto" w:fill="FFFFFF"/>
          <w:lang w:val="lv-LV"/>
        </w:rPr>
      </w:pPr>
      <w:r w:rsidRPr="005C31F5">
        <w:rPr>
          <w:sz w:val="28"/>
          <w:szCs w:val="28"/>
          <w:shd w:val="clear" w:color="auto" w:fill="FFFFFF"/>
          <w:lang w:val="lv-LV"/>
        </w:rPr>
        <w:t xml:space="preserve">LET ekspluatācijas un administratīvās izmaksas gadā ir ap 1 milj. EUR (3.tabula), </w:t>
      </w:r>
      <w:r>
        <w:rPr>
          <w:sz w:val="28"/>
          <w:szCs w:val="28"/>
          <w:shd w:val="clear" w:color="auto" w:fill="FFFFFF"/>
          <w:lang w:val="lv-LV"/>
        </w:rPr>
        <w:t xml:space="preserve">un </w:t>
      </w:r>
      <w:r w:rsidRPr="005C31F5">
        <w:rPr>
          <w:sz w:val="28"/>
          <w:szCs w:val="28"/>
          <w:shd w:val="clear" w:color="auto" w:fill="FFFFFF"/>
          <w:lang w:val="lv-LV"/>
        </w:rPr>
        <w:t xml:space="preserve">tās nodrošina arī tādu funkciju veikšanu, ko šobrīd neveic AST, piemēram, OPGW kabeļa elektriskās daļas noma elektropārvaldes līniju </w:t>
      </w:r>
      <w:proofErr w:type="spellStart"/>
      <w:r w:rsidRPr="005C31F5">
        <w:rPr>
          <w:sz w:val="28"/>
          <w:szCs w:val="28"/>
          <w:shd w:val="clear" w:color="auto" w:fill="FFFFFF"/>
          <w:lang w:val="lv-LV"/>
        </w:rPr>
        <w:t>pārsprieguma</w:t>
      </w:r>
      <w:proofErr w:type="spellEnd"/>
      <w:r w:rsidRPr="005C31F5">
        <w:rPr>
          <w:sz w:val="28"/>
          <w:szCs w:val="28"/>
          <w:shd w:val="clear" w:color="auto" w:fill="FFFFFF"/>
          <w:lang w:val="lv-LV"/>
        </w:rPr>
        <w:t xml:space="preserve"> aizsardzības nodrošināšanai, zemes un telpu noma no trešajām </w:t>
      </w:r>
      <w:r w:rsidRPr="005C31F5">
        <w:rPr>
          <w:sz w:val="28"/>
          <w:szCs w:val="28"/>
          <w:shd w:val="clear" w:color="auto" w:fill="FFFFFF"/>
          <w:lang w:val="lv-LV"/>
        </w:rPr>
        <w:lastRenderedPageBreak/>
        <w:t>personām, finansējuma piesaiste</w:t>
      </w:r>
      <w:r>
        <w:rPr>
          <w:sz w:val="28"/>
          <w:szCs w:val="28"/>
          <w:shd w:val="clear" w:color="auto" w:fill="FFFFFF"/>
          <w:lang w:val="lv-LV"/>
        </w:rPr>
        <w:t xml:space="preserve"> un kredītreitinga uzturēšana (</w:t>
      </w:r>
      <w:r w:rsidRPr="00C57D65">
        <w:rPr>
          <w:i/>
          <w:sz w:val="28"/>
          <w:szCs w:val="28"/>
          <w:shd w:val="clear" w:color="auto" w:fill="FFFFFF"/>
          <w:lang w:val="lv-LV"/>
        </w:rPr>
        <w:t>Latvenergo</w:t>
      </w:r>
      <w:r>
        <w:rPr>
          <w:sz w:val="28"/>
          <w:szCs w:val="28"/>
          <w:shd w:val="clear" w:color="auto" w:fill="FFFFFF"/>
          <w:lang w:val="lv-LV"/>
        </w:rPr>
        <w:t xml:space="preserve"> grupā)</w:t>
      </w:r>
      <w:r w:rsidRPr="005C31F5">
        <w:rPr>
          <w:sz w:val="28"/>
          <w:szCs w:val="28"/>
          <w:shd w:val="clear" w:color="auto" w:fill="FFFFFF"/>
          <w:lang w:val="lv-LV"/>
        </w:rPr>
        <w:t>, pārvades sistēmas pamatlīdzekļu uzskaite u.c.</w:t>
      </w:r>
    </w:p>
    <w:p w14:paraId="2A1BC27C" w14:textId="5A78628A" w:rsidR="00CF1B6C" w:rsidRPr="005C31F5" w:rsidRDefault="00CF1B6C" w:rsidP="00CF1B6C">
      <w:pPr>
        <w:pStyle w:val="doc-ti"/>
        <w:spacing w:before="0" w:beforeAutospacing="0" w:after="0" w:afterAutospacing="0"/>
        <w:jc w:val="right"/>
        <w:rPr>
          <w:color w:val="000000"/>
          <w:sz w:val="28"/>
          <w:szCs w:val="28"/>
          <w:lang w:val="lv-LV" w:eastAsia="lv-LV"/>
        </w:rPr>
      </w:pPr>
      <w:r w:rsidRPr="005C31F5">
        <w:rPr>
          <w:color w:val="000000"/>
          <w:sz w:val="28"/>
          <w:szCs w:val="28"/>
          <w:lang w:val="lv-LV" w:eastAsia="lv-LV"/>
        </w:rPr>
        <w:t>3.tabula</w:t>
      </w:r>
    </w:p>
    <w:p w14:paraId="0600CCCB" w14:textId="6EBDA55A" w:rsidR="00CF1B6C" w:rsidRPr="005C31F5" w:rsidRDefault="00CF1B6C" w:rsidP="00CF1B6C">
      <w:pPr>
        <w:pStyle w:val="doc-ti"/>
        <w:spacing w:before="0" w:beforeAutospacing="0" w:after="0" w:afterAutospacing="0"/>
        <w:jc w:val="center"/>
        <w:rPr>
          <w:i/>
          <w:sz w:val="28"/>
          <w:szCs w:val="28"/>
          <w:lang w:val="lv-LV"/>
        </w:rPr>
      </w:pPr>
      <w:r w:rsidRPr="005C31F5">
        <w:rPr>
          <w:i/>
          <w:color w:val="000000"/>
          <w:sz w:val="28"/>
          <w:szCs w:val="28"/>
          <w:lang w:val="lv-LV" w:eastAsia="lv-LV"/>
        </w:rPr>
        <w:t xml:space="preserve">LET </w:t>
      </w:r>
      <w:r w:rsidR="00FB47AE" w:rsidRPr="005C31F5">
        <w:rPr>
          <w:i/>
          <w:color w:val="000000"/>
          <w:sz w:val="28"/>
          <w:szCs w:val="28"/>
          <w:lang w:val="lv-LV" w:eastAsia="lv-LV"/>
        </w:rPr>
        <w:t xml:space="preserve">ekspluatācijas un </w:t>
      </w:r>
      <w:r w:rsidRPr="005C31F5">
        <w:rPr>
          <w:i/>
          <w:color w:val="000000"/>
          <w:sz w:val="28"/>
          <w:szCs w:val="28"/>
          <w:lang w:val="lv-LV" w:eastAsia="lv-LV"/>
        </w:rPr>
        <w:t>administratīvās</w:t>
      </w:r>
      <w:r w:rsidR="00530D34" w:rsidRPr="005C31F5">
        <w:rPr>
          <w:i/>
          <w:color w:val="000000"/>
          <w:sz w:val="28"/>
          <w:szCs w:val="28"/>
          <w:lang w:val="lv-LV" w:eastAsia="lv-LV"/>
        </w:rPr>
        <w:t xml:space="preserve"> </w:t>
      </w:r>
      <w:r w:rsidRPr="005C31F5">
        <w:rPr>
          <w:i/>
          <w:color w:val="000000"/>
          <w:sz w:val="28"/>
          <w:szCs w:val="28"/>
          <w:lang w:val="lv-LV" w:eastAsia="lv-LV"/>
        </w:rPr>
        <w:t>izmaksas gadā, milj. EUR</w:t>
      </w:r>
    </w:p>
    <w:tbl>
      <w:tblPr>
        <w:tblW w:w="9116" w:type="dxa"/>
        <w:tblInd w:w="93" w:type="dxa"/>
        <w:tblLook w:val="04A0" w:firstRow="1" w:lastRow="0" w:firstColumn="1" w:lastColumn="0" w:noHBand="0" w:noVBand="1"/>
      </w:tblPr>
      <w:tblGrid>
        <w:gridCol w:w="4020"/>
        <w:gridCol w:w="1400"/>
        <w:gridCol w:w="1320"/>
        <w:gridCol w:w="1300"/>
        <w:gridCol w:w="1076"/>
      </w:tblGrid>
      <w:tr w:rsidR="00CF1B6C" w:rsidRPr="005C31F5" w14:paraId="15ABBC7F" w14:textId="77777777" w:rsidTr="004A19A0">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D2EA2" w14:textId="77777777" w:rsidR="00CF1B6C" w:rsidRPr="005C31F5" w:rsidRDefault="00CF1B6C" w:rsidP="004A19A0">
            <w:pPr>
              <w:rPr>
                <w:b/>
                <w:bCs/>
                <w:color w:val="000000"/>
                <w:sz w:val="28"/>
                <w:szCs w:val="28"/>
                <w:lang w:val="lv-LV" w:eastAsia="lv-LV"/>
              </w:rPr>
            </w:pPr>
            <w:r w:rsidRPr="005C31F5">
              <w:rPr>
                <w:b/>
                <w:bCs/>
                <w:color w:val="000000"/>
                <w:sz w:val="28"/>
                <w:szCs w:val="28"/>
                <w:lang w:val="lv-LV" w:eastAsia="lv-LV"/>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FB2E11B" w14:textId="77777777" w:rsidR="00CF1B6C" w:rsidRPr="005C31F5" w:rsidRDefault="00CF1B6C" w:rsidP="004A19A0">
            <w:pPr>
              <w:jc w:val="right"/>
              <w:rPr>
                <w:b/>
                <w:bCs/>
                <w:color w:val="000000"/>
                <w:sz w:val="28"/>
                <w:szCs w:val="28"/>
                <w:lang w:val="lv-LV" w:eastAsia="lv-LV"/>
              </w:rPr>
            </w:pPr>
            <w:r w:rsidRPr="005C31F5">
              <w:rPr>
                <w:b/>
                <w:bCs/>
                <w:color w:val="000000"/>
                <w:sz w:val="28"/>
                <w:szCs w:val="28"/>
                <w:lang w:val="lv-LV" w:eastAsia="lv-LV"/>
              </w:rPr>
              <w:t>2018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C72A3FE" w14:textId="77777777" w:rsidR="00CF1B6C" w:rsidRPr="005C31F5" w:rsidRDefault="00CF1B6C" w:rsidP="004A19A0">
            <w:pPr>
              <w:jc w:val="right"/>
              <w:rPr>
                <w:b/>
                <w:bCs/>
                <w:color w:val="000000"/>
                <w:sz w:val="28"/>
                <w:szCs w:val="28"/>
                <w:lang w:val="lv-LV" w:eastAsia="lv-LV"/>
              </w:rPr>
            </w:pPr>
            <w:r w:rsidRPr="005C31F5">
              <w:rPr>
                <w:b/>
                <w:bCs/>
                <w:color w:val="000000"/>
                <w:sz w:val="28"/>
                <w:szCs w:val="28"/>
                <w:lang w:val="lv-LV" w:eastAsia="lv-LV"/>
              </w:rPr>
              <w:t>2017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50A49A7" w14:textId="77777777" w:rsidR="00CF1B6C" w:rsidRPr="005C31F5" w:rsidRDefault="00CF1B6C" w:rsidP="004A19A0">
            <w:pPr>
              <w:jc w:val="right"/>
              <w:rPr>
                <w:b/>
                <w:bCs/>
                <w:color w:val="000000"/>
                <w:sz w:val="28"/>
                <w:szCs w:val="28"/>
                <w:lang w:val="lv-LV" w:eastAsia="lv-LV"/>
              </w:rPr>
            </w:pPr>
            <w:r w:rsidRPr="005C31F5">
              <w:rPr>
                <w:b/>
                <w:bCs/>
                <w:color w:val="000000"/>
                <w:sz w:val="28"/>
                <w:szCs w:val="28"/>
                <w:lang w:val="lv-LV" w:eastAsia="lv-LV"/>
              </w:rPr>
              <w:t>2016</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76B8413D" w14:textId="77777777" w:rsidR="00CF1B6C" w:rsidRPr="005C31F5" w:rsidRDefault="00CF1B6C" w:rsidP="004A19A0">
            <w:pPr>
              <w:jc w:val="right"/>
              <w:rPr>
                <w:b/>
                <w:bCs/>
                <w:color w:val="000000"/>
                <w:sz w:val="28"/>
                <w:szCs w:val="28"/>
                <w:lang w:val="lv-LV" w:eastAsia="lv-LV"/>
              </w:rPr>
            </w:pPr>
            <w:r w:rsidRPr="005C31F5">
              <w:rPr>
                <w:b/>
                <w:bCs/>
                <w:color w:val="000000"/>
                <w:sz w:val="28"/>
                <w:szCs w:val="28"/>
                <w:lang w:val="lv-LV" w:eastAsia="lv-LV"/>
              </w:rPr>
              <w:t>2015</w:t>
            </w:r>
          </w:p>
        </w:tc>
      </w:tr>
      <w:tr w:rsidR="00CF1B6C" w:rsidRPr="005C31F5" w14:paraId="3F25D682" w14:textId="77777777" w:rsidTr="004A19A0">
        <w:trPr>
          <w:trHeight w:val="300"/>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786B0703" w14:textId="77777777" w:rsidR="00CF1B6C" w:rsidRPr="005C31F5" w:rsidRDefault="00CF1B6C" w:rsidP="004A19A0">
            <w:pPr>
              <w:rPr>
                <w:color w:val="000000"/>
                <w:sz w:val="28"/>
                <w:szCs w:val="28"/>
                <w:lang w:val="lv-LV" w:eastAsia="lv-LV"/>
              </w:rPr>
            </w:pPr>
            <w:r w:rsidRPr="005C31F5">
              <w:rPr>
                <w:color w:val="000000"/>
                <w:sz w:val="28"/>
                <w:szCs w:val="28"/>
                <w:lang w:val="lv-LV" w:eastAsia="lv-LV"/>
              </w:rPr>
              <w:t>LET administratīvās izmaksas gadā, milj. EUR</w:t>
            </w:r>
          </w:p>
        </w:tc>
        <w:tc>
          <w:tcPr>
            <w:tcW w:w="1400" w:type="dxa"/>
            <w:tcBorders>
              <w:top w:val="nil"/>
              <w:left w:val="nil"/>
              <w:bottom w:val="single" w:sz="4" w:space="0" w:color="auto"/>
              <w:right w:val="single" w:sz="4" w:space="0" w:color="auto"/>
            </w:tcBorders>
            <w:shd w:val="clear" w:color="auto" w:fill="auto"/>
            <w:noWrap/>
            <w:vAlign w:val="center"/>
            <w:hideMark/>
          </w:tcPr>
          <w:p w14:paraId="3CF8E4BE" w14:textId="7C7D51A5" w:rsidR="00CF1B6C" w:rsidRPr="005C31F5" w:rsidRDefault="00CF1B6C" w:rsidP="004A19A0">
            <w:pPr>
              <w:jc w:val="right"/>
              <w:rPr>
                <w:color w:val="000000"/>
                <w:sz w:val="28"/>
                <w:szCs w:val="28"/>
                <w:lang w:val="lv-LV" w:eastAsia="lv-LV"/>
              </w:rPr>
            </w:pPr>
            <w:r w:rsidRPr="005C31F5">
              <w:rPr>
                <w:color w:val="000000"/>
                <w:sz w:val="28"/>
                <w:szCs w:val="28"/>
                <w:lang w:val="lv-LV" w:eastAsia="lv-LV"/>
              </w:rPr>
              <w:t>1,</w:t>
            </w:r>
            <w:r w:rsidR="00774078" w:rsidRPr="005C31F5">
              <w:rPr>
                <w:color w:val="000000"/>
                <w:sz w:val="28"/>
                <w:szCs w:val="28"/>
                <w:lang w:val="lv-LV" w:eastAsia="lv-LV"/>
              </w:rPr>
              <w:t>055</w:t>
            </w:r>
          </w:p>
        </w:tc>
        <w:tc>
          <w:tcPr>
            <w:tcW w:w="1320" w:type="dxa"/>
            <w:tcBorders>
              <w:top w:val="nil"/>
              <w:left w:val="nil"/>
              <w:bottom w:val="single" w:sz="4" w:space="0" w:color="auto"/>
              <w:right w:val="single" w:sz="4" w:space="0" w:color="auto"/>
            </w:tcBorders>
            <w:shd w:val="clear" w:color="auto" w:fill="auto"/>
            <w:noWrap/>
            <w:vAlign w:val="center"/>
            <w:hideMark/>
          </w:tcPr>
          <w:p w14:paraId="336C212B" w14:textId="77777777" w:rsidR="00CF1B6C" w:rsidRPr="005C31F5" w:rsidRDefault="00CF1B6C" w:rsidP="004A19A0">
            <w:pPr>
              <w:jc w:val="right"/>
              <w:rPr>
                <w:color w:val="000000"/>
                <w:sz w:val="28"/>
                <w:szCs w:val="28"/>
                <w:lang w:val="lv-LV" w:eastAsia="lv-LV"/>
              </w:rPr>
            </w:pPr>
            <w:r w:rsidRPr="005C31F5">
              <w:rPr>
                <w:color w:val="000000"/>
                <w:sz w:val="28"/>
                <w:szCs w:val="28"/>
                <w:lang w:val="lv-LV" w:eastAsia="lv-LV"/>
              </w:rPr>
              <w:t>0,999</w:t>
            </w:r>
          </w:p>
        </w:tc>
        <w:tc>
          <w:tcPr>
            <w:tcW w:w="1300" w:type="dxa"/>
            <w:tcBorders>
              <w:top w:val="nil"/>
              <w:left w:val="nil"/>
              <w:bottom w:val="single" w:sz="4" w:space="0" w:color="auto"/>
              <w:right w:val="single" w:sz="4" w:space="0" w:color="auto"/>
            </w:tcBorders>
            <w:shd w:val="clear" w:color="auto" w:fill="auto"/>
            <w:noWrap/>
            <w:vAlign w:val="center"/>
            <w:hideMark/>
          </w:tcPr>
          <w:p w14:paraId="564147C9" w14:textId="77777777" w:rsidR="00CF1B6C" w:rsidRPr="005C31F5" w:rsidRDefault="00CF1B6C" w:rsidP="004A19A0">
            <w:pPr>
              <w:jc w:val="right"/>
              <w:rPr>
                <w:color w:val="000000"/>
                <w:sz w:val="28"/>
                <w:szCs w:val="28"/>
                <w:lang w:val="lv-LV" w:eastAsia="lv-LV"/>
              </w:rPr>
            </w:pPr>
            <w:r w:rsidRPr="005C31F5">
              <w:rPr>
                <w:color w:val="000000"/>
                <w:sz w:val="28"/>
                <w:szCs w:val="28"/>
                <w:lang w:val="lv-LV" w:eastAsia="lv-LV"/>
              </w:rPr>
              <w:t>1,003</w:t>
            </w:r>
          </w:p>
        </w:tc>
        <w:tc>
          <w:tcPr>
            <w:tcW w:w="1076" w:type="dxa"/>
            <w:tcBorders>
              <w:top w:val="nil"/>
              <w:left w:val="nil"/>
              <w:bottom w:val="single" w:sz="4" w:space="0" w:color="auto"/>
              <w:right w:val="single" w:sz="4" w:space="0" w:color="auto"/>
            </w:tcBorders>
            <w:shd w:val="clear" w:color="auto" w:fill="auto"/>
            <w:noWrap/>
            <w:vAlign w:val="center"/>
            <w:hideMark/>
          </w:tcPr>
          <w:p w14:paraId="216BC9B5" w14:textId="77777777" w:rsidR="00CF1B6C" w:rsidRPr="005C31F5" w:rsidRDefault="00CF1B6C" w:rsidP="004A19A0">
            <w:pPr>
              <w:jc w:val="right"/>
              <w:rPr>
                <w:color w:val="000000"/>
                <w:sz w:val="28"/>
                <w:szCs w:val="28"/>
                <w:lang w:val="lv-LV" w:eastAsia="lv-LV"/>
              </w:rPr>
            </w:pPr>
            <w:r w:rsidRPr="005C31F5">
              <w:rPr>
                <w:color w:val="000000"/>
                <w:sz w:val="28"/>
                <w:szCs w:val="28"/>
                <w:lang w:val="lv-LV" w:eastAsia="lv-LV"/>
              </w:rPr>
              <w:t>1,069</w:t>
            </w:r>
          </w:p>
        </w:tc>
      </w:tr>
    </w:tbl>
    <w:p w14:paraId="29A30415" w14:textId="77777777" w:rsidR="00CF1B6C" w:rsidRPr="005C31F5" w:rsidRDefault="00CF1B6C" w:rsidP="00CF1B6C">
      <w:pPr>
        <w:jc w:val="both"/>
        <w:rPr>
          <w:sz w:val="28"/>
          <w:szCs w:val="28"/>
          <w:shd w:val="clear" w:color="auto" w:fill="FFFFFF"/>
          <w:lang w:val="lv-LV"/>
        </w:rPr>
      </w:pPr>
    </w:p>
    <w:p w14:paraId="6DE05EB6" w14:textId="77777777" w:rsidR="00424179" w:rsidRPr="005C31F5" w:rsidRDefault="00787984" w:rsidP="00424179">
      <w:pPr>
        <w:ind w:firstLine="709"/>
        <w:jc w:val="both"/>
        <w:rPr>
          <w:sz w:val="28"/>
          <w:szCs w:val="28"/>
          <w:shd w:val="clear" w:color="auto" w:fill="FFFFFF"/>
          <w:lang w:val="lv-LV"/>
        </w:rPr>
      </w:pPr>
      <w:r w:rsidRPr="005C31F5">
        <w:rPr>
          <w:sz w:val="28"/>
          <w:szCs w:val="28"/>
          <w:shd w:val="clear" w:color="auto" w:fill="FFFFFF"/>
          <w:lang w:val="lv-LV"/>
        </w:rPr>
        <w:t>V</w:t>
      </w:r>
      <w:r w:rsidR="00CF1B6C" w:rsidRPr="005C31F5">
        <w:rPr>
          <w:sz w:val="28"/>
          <w:szCs w:val="28"/>
          <w:shd w:val="clear" w:color="auto" w:fill="FFFFFF"/>
          <w:lang w:val="lv-LV"/>
        </w:rPr>
        <w:t>iens no priekšnosacījumiem</w:t>
      </w:r>
      <w:r w:rsidR="00361DCE" w:rsidRPr="005C31F5">
        <w:rPr>
          <w:sz w:val="28"/>
          <w:szCs w:val="28"/>
          <w:shd w:val="clear" w:color="auto" w:fill="FFFFFF"/>
          <w:lang w:val="lv-LV"/>
        </w:rPr>
        <w:t xml:space="preserve"> un galvenajiem virzītājiem esošā neatkarīgas sistēmas operatora modeļa pārskatīšanai un</w:t>
      </w:r>
      <w:r w:rsidR="00CF1B6C" w:rsidRPr="005C31F5">
        <w:rPr>
          <w:sz w:val="28"/>
          <w:szCs w:val="28"/>
          <w:shd w:val="clear" w:color="auto" w:fill="FFFFFF"/>
          <w:lang w:val="lv-LV"/>
        </w:rPr>
        <w:t xml:space="preserve"> pilnīgas īpašumtiesību nodalīšanas modeļa ieviešanai</w:t>
      </w:r>
      <w:r w:rsidRPr="005C31F5">
        <w:rPr>
          <w:sz w:val="28"/>
          <w:szCs w:val="28"/>
          <w:shd w:val="clear" w:color="auto" w:fill="FFFFFF"/>
          <w:lang w:val="lv-LV"/>
        </w:rPr>
        <w:t xml:space="preserve"> - </w:t>
      </w:r>
      <w:r w:rsidRPr="005C31F5">
        <w:rPr>
          <w:sz w:val="28"/>
          <w:szCs w:val="28"/>
          <w:u w:val="single"/>
          <w:shd w:val="clear" w:color="auto" w:fill="FFFFFF"/>
          <w:lang w:val="lv-LV"/>
        </w:rPr>
        <w:t>pārvades sistēmas pakalpojuma tarifa noturēšana esošajā līmenī un iespējama samazināšana.</w:t>
      </w:r>
    </w:p>
    <w:p w14:paraId="539E5817" w14:textId="77777777" w:rsidR="00424179" w:rsidRPr="005C31F5" w:rsidRDefault="00424179" w:rsidP="00424179">
      <w:pPr>
        <w:ind w:firstLine="709"/>
        <w:jc w:val="both"/>
        <w:rPr>
          <w:sz w:val="28"/>
          <w:szCs w:val="28"/>
          <w:shd w:val="clear" w:color="auto" w:fill="FFFFFF"/>
          <w:lang w:val="lv-LV"/>
        </w:rPr>
      </w:pPr>
      <w:r w:rsidRPr="005C31F5">
        <w:rPr>
          <w:sz w:val="28"/>
          <w:szCs w:val="28"/>
          <w:shd w:val="clear" w:color="auto" w:fill="FFFFFF"/>
          <w:lang w:val="lv-LV"/>
        </w:rPr>
        <w:t xml:space="preserve">Papildus, jāņem vērā, ka </w:t>
      </w:r>
      <w:r w:rsidRPr="005C31F5">
        <w:rPr>
          <w:sz w:val="28"/>
          <w:szCs w:val="28"/>
          <w:lang w:val="lv-LV"/>
        </w:rPr>
        <w:t>pārņemot aktīvus tiek saglabāti regulēta tarifa noteikšanai izmantotie grāmatvedības uzskaites principi, skaidri un nepārprotami nodalot trešo pušu ieguldījumus (</w:t>
      </w:r>
      <w:r w:rsidR="006B5363" w:rsidRPr="005C31F5">
        <w:rPr>
          <w:sz w:val="28"/>
          <w:szCs w:val="28"/>
          <w:lang w:val="lv-LV"/>
        </w:rPr>
        <w:t xml:space="preserve">īpaši </w:t>
      </w:r>
      <w:r w:rsidRPr="005C31F5">
        <w:rPr>
          <w:sz w:val="28"/>
          <w:szCs w:val="28"/>
          <w:lang w:val="lv-LV"/>
        </w:rPr>
        <w:t>ES līdzfinansētos) no aktīvu īpašnieka veiktajiem ieguldījumiem aktīvos, t.i., aktīvu pārņemšana īstenojama tādā veidā, lai vēsturiski veiktie trešo pušu ieguldījumi arī pēc aktīvu nodošanas pārvades sistēmas operatora īpašumā regulēšanas vajadzībām grāmatvedībā tiktu uzskaitīti un atspoguļoti atsevišķi, nodrošinot, ka tarifu izmaksās netiek iekļauts ar trešo pušu ieguldījumu izveidoto aktīvu</w:t>
      </w:r>
      <w:r w:rsidRPr="005C31F5" w:rsidDel="00905BAE">
        <w:rPr>
          <w:sz w:val="28"/>
          <w:szCs w:val="28"/>
          <w:lang w:val="lv-LV"/>
        </w:rPr>
        <w:t xml:space="preserve"> </w:t>
      </w:r>
      <w:r w:rsidRPr="005C31F5">
        <w:rPr>
          <w:sz w:val="28"/>
          <w:szCs w:val="28"/>
          <w:lang w:val="lv-LV"/>
        </w:rPr>
        <w:t xml:space="preserve">nolietojums un kapitāla </w:t>
      </w:r>
      <w:proofErr w:type="spellStart"/>
      <w:r w:rsidRPr="005C31F5">
        <w:rPr>
          <w:sz w:val="28"/>
          <w:szCs w:val="28"/>
          <w:lang w:val="lv-LV"/>
        </w:rPr>
        <w:t>atdeve</w:t>
      </w:r>
      <w:proofErr w:type="spellEnd"/>
      <w:r w:rsidRPr="005C31F5">
        <w:rPr>
          <w:sz w:val="28"/>
          <w:szCs w:val="28"/>
          <w:lang w:val="lv-LV"/>
        </w:rPr>
        <w:t>.</w:t>
      </w:r>
    </w:p>
    <w:p w14:paraId="7CA63A73" w14:textId="32D69194" w:rsidR="00424179" w:rsidRPr="005C31F5" w:rsidRDefault="00424179" w:rsidP="00837E16">
      <w:pPr>
        <w:tabs>
          <w:tab w:val="left" w:pos="7380"/>
        </w:tabs>
        <w:ind w:firstLine="709"/>
        <w:jc w:val="both"/>
        <w:rPr>
          <w:sz w:val="28"/>
          <w:szCs w:val="28"/>
          <w:shd w:val="clear" w:color="auto" w:fill="FFFFFF"/>
          <w:lang w:val="lv-LV"/>
        </w:rPr>
      </w:pPr>
    </w:p>
    <w:p w14:paraId="101D54A7" w14:textId="77777777" w:rsidR="00CF1B6C" w:rsidRPr="005C31F5" w:rsidRDefault="00CF1B6C" w:rsidP="00CF1B6C">
      <w:pPr>
        <w:pStyle w:val="Heading1"/>
        <w:rPr>
          <w:lang w:val="lv-LV"/>
        </w:rPr>
      </w:pPr>
      <w:bookmarkStart w:id="45" w:name="_Toc256000041"/>
      <w:bookmarkStart w:id="46" w:name="_Toc256000028"/>
      <w:bookmarkStart w:id="47" w:name="_Toc256000015"/>
      <w:bookmarkStart w:id="48" w:name="_Toc3205710"/>
      <w:r w:rsidRPr="005C31F5">
        <w:rPr>
          <w:lang w:val="lv-LV"/>
        </w:rPr>
        <w:t>5.4 Ietekme uz valsts budžetu</w:t>
      </w:r>
      <w:bookmarkEnd w:id="45"/>
      <w:bookmarkEnd w:id="46"/>
      <w:bookmarkEnd w:id="47"/>
      <w:bookmarkEnd w:id="48"/>
    </w:p>
    <w:p w14:paraId="50453C58" w14:textId="77777777" w:rsidR="00CF1B6C" w:rsidRPr="00D551E7" w:rsidRDefault="00CF1B6C" w:rsidP="00CF1B6C">
      <w:pPr>
        <w:rPr>
          <w:sz w:val="28"/>
          <w:szCs w:val="28"/>
          <w:lang w:val="lv-LV"/>
        </w:rPr>
      </w:pPr>
    </w:p>
    <w:p w14:paraId="0B28E638" w14:textId="70E006FD" w:rsidR="00CF1B6C" w:rsidRPr="005C31F5" w:rsidRDefault="00CF1B6C" w:rsidP="00CF1B6C">
      <w:pPr>
        <w:ind w:firstLine="720"/>
        <w:jc w:val="both"/>
        <w:rPr>
          <w:sz w:val="28"/>
          <w:szCs w:val="28"/>
          <w:lang w:val="lv-LV"/>
        </w:rPr>
      </w:pPr>
      <w:r w:rsidRPr="005C31F5">
        <w:rPr>
          <w:sz w:val="28"/>
          <w:szCs w:val="28"/>
          <w:lang w:val="lv-LV"/>
        </w:rPr>
        <w:t xml:space="preserve">Pašreizējā </w:t>
      </w:r>
      <w:r w:rsidR="00787984" w:rsidRPr="005C31F5">
        <w:rPr>
          <w:sz w:val="28"/>
          <w:szCs w:val="28"/>
          <w:lang w:val="lv-LV"/>
        </w:rPr>
        <w:t xml:space="preserve">īpašumtiesību </w:t>
      </w:r>
      <w:r w:rsidRPr="005C31F5">
        <w:rPr>
          <w:sz w:val="28"/>
          <w:szCs w:val="28"/>
          <w:lang w:val="lv-LV"/>
        </w:rPr>
        <w:t xml:space="preserve">modelī LET peļņa veidojas no AST veiktajiem maksājumiem  par pārvades aktīvu nomu un nomas maksā ietvertās kapitāla </w:t>
      </w:r>
      <w:proofErr w:type="spellStart"/>
      <w:r w:rsidRPr="005C31F5">
        <w:rPr>
          <w:sz w:val="28"/>
          <w:szCs w:val="28"/>
          <w:lang w:val="lv-LV"/>
        </w:rPr>
        <w:t>atdeves</w:t>
      </w:r>
      <w:proofErr w:type="spellEnd"/>
      <w:r w:rsidRPr="005C31F5">
        <w:rPr>
          <w:sz w:val="28"/>
          <w:szCs w:val="28"/>
          <w:lang w:val="lv-LV"/>
        </w:rPr>
        <w:t xml:space="preserve">, secīgi ietekmējot </w:t>
      </w:r>
      <w:r w:rsidRPr="005C31F5">
        <w:rPr>
          <w:i/>
          <w:sz w:val="28"/>
          <w:szCs w:val="28"/>
          <w:lang w:val="lv-LV"/>
        </w:rPr>
        <w:t>Latvenergo</w:t>
      </w:r>
      <w:r w:rsidRPr="005C31F5">
        <w:rPr>
          <w:sz w:val="28"/>
          <w:szCs w:val="28"/>
          <w:lang w:val="lv-LV"/>
        </w:rPr>
        <w:t xml:space="preserve"> koncerna kopējo peļņu. Aktīvu </w:t>
      </w:r>
      <w:r w:rsidR="008C5B86" w:rsidRPr="005C31F5">
        <w:rPr>
          <w:sz w:val="28"/>
          <w:szCs w:val="28"/>
          <w:lang w:val="lv-LV"/>
        </w:rPr>
        <w:t xml:space="preserve">atsavināšanas </w:t>
      </w:r>
      <w:r w:rsidRPr="005C31F5">
        <w:rPr>
          <w:sz w:val="28"/>
          <w:szCs w:val="28"/>
          <w:lang w:val="lv-LV"/>
        </w:rPr>
        <w:t xml:space="preserve">darījuma gadījumā par aptuveni 15 milj. EUR samazināsies </w:t>
      </w:r>
      <w:r w:rsidRPr="005C31F5">
        <w:rPr>
          <w:i/>
          <w:sz w:val="28"/>
          <w:szCs w:val="28"/>
          <w:lang w:val="lv-LV"/>
        </w:rPr>
        <w:t>Latvenergo</w:t>
      </w:r>
      <w:r w:rsidRPr="005C31F5">
        <w:rPr>
          <w:sz w:val="28"/>
          <w:szCs w:val="28"/>
          <w:lang w:val="lv-LV"/>
        </w:rPr>
        <w:t xml:space="preserve"> koncerna peļņa</w:t>
      </w:r>
      <w:r w:rsidR="006B013F" w:rsidRPr="005C31F5">
        <w:rPr>
          <w:sz w:val="28"/>
          <w:szCs w:val="28"/>
          <w:lang w:val="lv-LV"/>
        </w:rPr>
        <w:t xml:space="preserve"> (peļņa pirms</w:t>
      </w:r>
      <w:r w:rsidR="001A3B9E" w:rsidRPr="005C31F5">
        <w:rPr>
          <w:sz w:val="28"/>
          <w:szCs w:val="28"/>
          <w:lang w:val="lv-LV"/>
        </w:rPr>
        <w:t xml:space="preserve"> uzņēmuma ienākuma nodokļa</w:t>
      </w:r>
      <w:r w:rsidR="006B013F" w:rsidRPr="005C31F5">
        <w:rPr>
          <w:sz w:val="28"/>
          <w:szCs w:val="28"/>
          <w:lang w:val="lv-LV"/>
        </w:rPr>
        <w:t>)</w:t>
      </w:r>
      <w:r w:rsidRPr="005C31F5">
        <w:rPr>
          <w:sz w:val="28"/>
          <w:szCs w:val="28"/>
          <w:lang w:val="lv-LV"/>
        </w:rPr>
        <w:t xml:space="preserve">, kā arī attiecīgi valstij dividendēs izmaksājamās peļņas apmērs no </w:t>
      </w:r>
      <w:r w:rsidRPr="005C31F5">
        <w:rPr>
          <w:i/>
          <w:sz w:val="28"/>
          <w:szCs w:val="28"/>
          <w:lang w:val="lv-LV"/>
        </w:rPr>
        <w:t>Latvenergo</w:t>
      </w:r>
      <w:r w:rsidRPr="005C31F5">
        <w:rPr>
          <w:sz w:val="28"/>
          <w:szCs w:val="28"/>
          <w:lang w:val="lv-LV"/>
        </w:rPr>
        <w:t xml:space="preserve"> koncerna.</w:t>
      </w:r>
    </w:p>
    <w:p w14:paraId="3B14BB8D" w14:textId="6CEA1907" w:rsidR="00CF1B6C" w:rsidRPr="005C31F5" w:rsidRDefault="00CF1B6C" w:rsidP="00CF1B6C">
      <w:pPr>
        <w:ind w:firstLine="720"/>
        <w:jc w:val="both"/>
        <w:rPr>
          <w:sz w:val="28"/>
          <w:szCs w:val="28"/>
          <w:lang w:val="lv-LV"/>
        </w:rPr>
      </w:pPr>
      <w:r w:rsidRPr="005C31F5">
        <w:rPr>
          <w:sz w:val="28"/>
          <w:szCs w:val="28"/>
          <w:lang w:val="lv-LV"/>
        </w:rPr>
        <w:t xml:space="preserve">Vienlaicīgi, aktīvu nodalīšanas rezultātā, pārvades aktīvu nomas maksā ietvertā kapitāla </w:t>
      </w:r>
      <w:proofErr w:type="spellStart"/>
      <w:r w:rsidRPr="005C31F5">
        <w:rPr>
          <w:sz w:val="28"/>
          <w:szCs w:val="28"/>
          <w:lang w:val="lv-LV"/>
        </w:rPr>
        <w:t>atdeve</w:t>
      </w:r>
      <w:proofErr w:type="spellEnd"/>
      <w:r w:rsidRPr="005C31F5">
        <w:rPr>
          <w:sz w:val="28"/>
          <w:szCs w:val="28"/>
          <w:lang w:val="lv-LV"/>
        </w:rPr>
        <w:t xml:space="preserve"> </w:t>
      </w:r>
      <w:r w:rsidR="00D3738B" w:rsidRPr="00D3738B">
        <w:rPr>
          <w:sz w:val="28"/>
          <w:szCs w:val="28"/>
          <w:lang w:val="lv-LV"/>
        </w:rPr>
        <w:t>tiks izmaksāta dividendēs</w:t>
      </w:r>
      <w:r w:rsidR="00D3738B">
        <w:rPr>
          <w:sz w:val="28"/>
          <w:szCs w:val="28"/>
          <w:lang w:val="lv-LV"/>
        </w:rPr>
        <w:t xml:space="preserve"> valstij</w:t>
      </w:r>
      <w:r w:rsidR="00D3738B" w:rsidRPr="00D3738B">
        <w:rPr>
          <w:sz w:val="28"/>
          <w:szCs w:val="28"/>
          <w:lang w:val="lv-LV"/>
        </w:rPr>
        <w:t>, lai modeļa ieviešana neatstātu negatīvu ietekmi uz budžetu</w:t>
      </w:r>
      <w:r w:rsidRPr="00D3738B">
        <w:rPr>
          <w:sz w:val="28"/>
          <w:szCs w:val="28"/>
          <w:lang w:val="lv-LV"/>
        </w:rPr>
        <w:t>.</w:t>
      </w:r>
      <w:r w:rsidR="009D42F9" w:rsidRPr="005C31F5">
        <w:rPr>
          <w:sz w:val="28"/>
          <w:szCs w:val="28"/>
          <w:lang w:val="lv-LV"/>
        </w:rPr>
        <w:t xml:space="preserve"> </w:t>
      </w:r>
      <w:r w:rsidRPr="005C31F5">
        <w:rPr>
          <w:sz w:val="28"/>
          <w:szCs w:val="28"/>
          <w:lang w:val="lv-LV"/>
        </w:rPr>
        <w:t xml:space="preserve">Ievērojot to, ka AST vienīgais akcionārs ir valsts, valstij dividendēs izmaksājamās peļņas apmērs tiek noteikts atbilstoši saistošajiem normatīvajiem dokumentiem, tai skaitā Publiskas personas kapitāla daļu un kapitālsabiedrību pārvaldības likumam, likuma </w:t>
      </w:r>
      <w:r w:rsidR="000F1D24" w:rsidRPr="005C31F5">
        <w:rPr>
          <w:sz w:val="28"/>
          <w:szCs w:val="28"/>
          <w:lang w:val="lv-LV"/>
        </w:rPr>
        <w:t>“P</w:t>
      </w:r>
      <w:r w:rsidRPr="005C31F5">
        <w:rPr>
          <w:sz w:val="28"/>
          <w:szCs w:val="28"/>
          <w:lang w:val="lv-LV"/>
        </w:rPr>
        <w:t>ar valsts vidēja termiņa budžeta ietvaru</w:t>
      </w:r>
      <w:r w:rsidR="000F1D24" w:rsidRPr="005C31F5">
        <w:rPr>
          <w:sz w:val="28"/>
          <w:szCs w:val="28"/>
          <w:lang w:val="lv-LV"/>
        </w:rPr>
        <w:t>”</w:t>
      </w:r>
      <w:r w:rsidRPr="005C31F5">
        <w:rPr>
          <w:sz w:val="28"/>
          <w:szCs w:val="28"/>
          <w:lang w:val="lv-LV"/>
        </w:rPr>
        <w:t xml:space="preserve"> u.c. </w:t>
      </w:r>
      <w:r w:rsidR="00DF41A3" w:rsidRPr="005C31F5">
        <w:rPr>
          <w:rFonts w:eastAsia="Calibri"/>
          <w:sz w:val="28"/>
          <w:szCs w:val="28"/>
          <w:lang w:val="lv-LV"/>
        </w:rPr>
        <w:t xml:space="preserve">Attiecīgi - AST dividenžu iemaksu veiks normatīvajos aktos neteiktajā apmērā. </w:t>
      </w:r>
    </w:p>
    <w:p w14:paraId="256BD575" w14:textId="77777777" w:rsidR="00C21B3D" w:rsidRPr="005C31F5" w:rsidRDefault="000F1D24" w:rsidP="00C21B3D">
      <w:pPr>
        <w:ind w:firstLine="720"/>
        <w:jc w:val="both"/>
        <w:rPr>
          <w:sz w:val="28"/>
          <w:szCs w:val="28"/>
          <w:lang w:val="lv-LV"/>
        </w:rPr>
      </w:pPr>
      <w:r w:rsidRPr="005C31F5">
        <w:rPr>
          <w:sz w:val="28"/>
          <w:szCs w:val="28"/>
          <w:lang w:val="lv-LV"/>
        </w:rPr>
        <w:t xml:space="preserve">Jāuzsver, ka </w:t>
      </w:r>
      <w:r w:rsidR="00222FC1" w:rsidRPr="005C31F5">
        <w:rPr>
          <w:sz w:val="28"/>
          <w:szCs w:val="28"/>
          <w:lang w:val="lv-LV"/>
        </w:rPr>
        <w:t xml:space="preserve">aktīvu </w:t>
      </w:r>
      <w:r w:rsidR="00787984" w:rsidRPr="005C31F5">
        <w:rPr>
          <w:sz w:val="28"/>
          <w:szCs w:val="28"/>
          <w:lang w:val="lv-LV"/>
        </w:rPr>
        <w:t>nodalīšanas</w:t>
      </w:r>
      <w:r w:rsidRPr="005C31F5">
        <w:rPr>
          <w:sz w:val="28"/>
          <w:szCs w:val="28"/>
          <w:lang w:val="lv-LV"/>
        </w:rPr>
        <w:t xml:space="preserve"> </w:t>
      </w:r>
      <w:r w:rsidR="00787984" w:rsidRPr="005C31F5">
        <w:rPr>
          <w:sz w:val="28"/>
          <w:szCs w:val="28"/>
          <w:lang w:val="lv-LV"/>
        </w:rPr>
        <w:t>jāīsteno</w:t>
      </w:r>
      <w:r w:rsidRPr="005C31F5">
        <w:rPr>
          <w:sz w:val="28"/>
          <w:szCs w:val="28"/>
          <w:lang w:val="lv-LV"/>
        </w:rPr>
        <w:t xml:space="preserve"> tā, lai </w:t>
      </w:r>
      <w:r w:rsidR="00787984" w:rsidRPr="005C31F5">
        <w:rPr>
          <w:sz w:val="28"/>
          <w:szCs w:val="28"/>
          <w:lang w:val="lv-LV"/>
        </w:rPr>
        <w:t>tā</w:t>
      </w:r>
      <w:r w:rsidRPr="005C31F5">
        <w:rPr>
          <w:sz w:val="28"/>
          <w:szCs w:val="28"/>
          <w:lang w:val="lv-LV"/>
        </w:rPr>
        <w:t xml:space="preserve"> neradītu negatīvu ietekmi uz vispārējās valdības budžeta bilanci.</w:t>
      </w:r>
    </w:p>
    <w:p w14:paraId="5FA96381" w14:textId="746CCFE0" w:rsidR="00BA487D" w:rsidRDefault="00A00B20" w:rsidP="001D1221">
      <w:pPr>
        <w:ind w:firstLine="720"/>
        <w:jc w:val="both"/>
        <w:rPr>
          <w:sz w:val="28"/>
          <w:szCs w:val="28"/>
          <w:lang w:val="lv-LV"/>
        </w:rPr>
      </w:pPr>
      <w:r w:rsidRPr="005C31F5">
        <w:rPr>
          <w:sz w:val="28"/>
          <w:szCs w:val="28"/>
          <w:lang w:val="lv-LV"/>
        </w:rPr>
        <w:t>Jautājumā par iespējamo valsts atbalstu PSO jāņem vērā Eiropas Komisijas 2017.gada 2.oktobrī sagatavotais atzinums</w:t>
      </w:r>
      <w:r w:rsidR="00E926DB" w:rsidRPr="005C31F5">
        <w:rPr>
          <w:sz w:val="28"/>
          <w:szCs w:val="28"/>
          <w:lang w:val="lv-LV"/>
        </w:rPr>
        <w:t xml:space="preserve"> par </w:t>
      </w:r>
      <w:r w:rsidR="0075445D" w:rsidRPr="005C31F5">
        <w:rPr>
          <w:sz w:val="28"/>
          <w:szCs w:val="28"/>
          <w:lang w:val="lv-LV"/>
        </w:rPr>
        <w:t>akciju sabiedrības “</w:t>
      </w:r>
      <w:proofErr w:type="spellStart"/>
      <w:r w:rsidR="0075445D" w:rsidRPr="005C31F5">
        <w:rPr>
          <w:sz w:val="28"/>
          <w:szCs w:val="28"/>
          <w:lang w:val="lv-LV"/>
        </w:rPr>
        <w:t>Conexus</w:t>
      </w:r>
      <w:proofErr w:type="spellEnd"/>
      <w:r w:rsidR="0075445D" w:rsidRPr="005C31F5">
        <w:rPr>
          <w:sz w:val="28"/>
          <w:szCs w:val="28"/>
          <w:lang w:val="lv-LV"/>
        </w:rPr>
        <w:t xml:space="preserve"> </w:t>
      </w:r>
      <w:proofErr w:type="spellStart"/>
      <w:r w:rsidR="0075445D" w:rsidRPr="005C31F5">
        <w:rPr>
          <w:sz w:val="28"/>
          <w:szCs w:val="28"/>
          <w:lang w:val="lv-LV"/>
        </w:rPr>
        <w:t>Baltic</w:t>
      </w:r>
      <w:proofErr w:type="spellEnd"/>
      <w:r w:rsidR="0075445D" w:rsidRPr="005C31F5">
        <w:rPr>
          <w:sz w:val="28"/>
          <w:szCs w:val="28"/>
          <w:lang w:val="lv-LV"/>
        </w:rPr>
        <w:t xml:space="preserve"> </w:t>
      </w:r>
      <w:r w:rsidR="0075445D" w:rsidRPr="005C31F5">
        <w:rPr>
          <w:sz w:val="28"/>
          <w:szCs w:val="28"/>
          <w:lang w:val="lv-LV"/>
        </w:rPr>
        <w:lastRenderedPageBreak/>
        <w:t>Grid” valsts akciju nodošanu AST</w:t>
      </w:r>
      <w:r w:rsidRPr="005C31F5">
        <w:rPr>
          <w:sz w:val="28"/>
          <w:szCs w:val="28"/>
          <w:lang w:val="lv-LV"/>
        </w:rPr>
        <w:t>. Atzinumā minēts, ka AST</w:t>
      </w:r>
      <w:r w:rsidR="0075445D" w:rsidRPr="005C31F5">
        <w:rPr>
          <w:sz w:val="28"/>
          <w:szCs w:val="28"/>
          <w:lang w:val="lv-LV"/>
        </w:rPr>
        <w:t xml:space="preserve"> un akciju sabiedrība “</w:t>
      </w:r>
      <w:proofErr w:type="spellStart"/>
      <w:r w:rsidR="0075445D" w:rsidRPr="005C31F5">
        <w:rPr>
          <w:sz w:val="28"/>
          <w:szCs w:val="28"/>
          <w:lang w:val="lv-LV"/>
        </w:rPr>
        <w:t>Conexus</w:t>
      </w:r>
      <w:proofErr w:type="spellEnd"/>
      <w:r w:rsidR="0075445D" w:rsidRPr="005C31F5">
        <w:rPr>
          <w:sz w:val="28"/>
          <w:szCs w:val="28"/>
          <w:lang w:val="lv-LV"/>
        </w:rPr>
        <w:t xml:space="preserve"> </w:t>
      </w:r>
      <w:proofErr w:type="spellStart"/>
      <w:r w:rsidR="0075445D" w:rsidRPr="005C31F5">
        <w:rPr>
          <w:sz w:val="28"/>
          <w:szCs w:val="28"/>
          <w:lang w:val="lv-LV"/>
        </w:rPr>
        <w:t>Baltic</w:t>
      </w:r>
      <w:proofErr w:type="spellEnd"/>
      <w:r w:rsidR="0075445D" w:rsidRPr="005C31F5">
        <w:rPr>
          <w:sz w:val="28"/>
          <w:szCs w:val="28"/>
          <w:lang w:val="lv-LV"/>
        </w:rPr>
        <w:t xml:space="preserve"> Grid”</w:t>
      </w:r>
      <w:r w:rsidRPr="005C31F5">
        <w:rPr>
          <w:sz w:val="28"/>
          <w:szCs w:val="28"/>
          <w:lang w:val="lv-LV"/>
        </w:rPr>
        <w:t xml:space="preserve"> ir dabīgi izveido</w:t>
      </w:r>
      <w:r w:rsidR="0075445D" w:rsidRPr="005C31F5">
        <w:rPr>
          <w:sz w:val="28"/>
          <w:szCs w:val="28"/>
          <w:lang w:val="lv-LV"/>
        </w:rPr>
        <w:t>jušies</w:t>
      </w:r>
      <w:r w:rsidRPr="005C31F5">
        <w:rPr>
          <w:sz w:val="28"/>
          <w:szCs w:val="28"/>
          <w:lang w:val="lv-LV"/>
        </w:rPr>
        <w:t xml:space="preserve"> monopol</w:t>
      </w:r>
      <w:r w:rsidR="0075445D" w:rsidRPr="005C31F5">
        <w:rPr>
          <w:sz w:val="28"/>
          <w:szCs w:val="28"/>
          <w:lang w:val="lv-LV"/>
        </w:rPr>
        <w:t>i</w:t>
      </w:r>
      <w:r w:rsidR="00C21B3D" w:rsidRPr="005C31F5">
        <w:rPr>
          <w:sz w:val="28"/>
          <w:szCs w:val="28"/>
          <w:lang w:val="lv-LV"/>
        </w:rPr>
        <w:t xml:space="preserve"> un </w:t>
      </w:r>
      <w:r w:rsidR="0075445D" w:rsidRPr="005C31F5">
        <w:rPr>
          <w:sz w:val="28"/>
          <w:szCs w:val="28"/>
          <w:lang w:val="lv-LV"/>
        </w:rPr>
        <w:t xml:space="preserve">abi </w:t>
      </w:r>
      <w:r w:rsidR="00C21B3D" w:rsidRPr="005C31F5">
        <w:rPr>
          <w:sz w:val="28"/>
          <w:szCs w:val="28"/>
          <w:lang w:val="lv-LV"/>
        </w:rPr>
        <w:t>savu</w:t>
      </w:r>
      <w:r w:rsidRPr="005C31F5">
        <w:rPr>
          <w:sz w:val="28"/>
          <w:szCs w:val="28"/>
          <w:lang w:val="lv-LV"/>
        </w:rPr>
        <w:t xml:space="preserve"> darbību veic saskaņā ar Direktīv</w:t>
      </w:r>
      <w:r w:rsidR="00C21B3D" w:rsidRPr="005C31F5">
        <w:rPr>
          <w:sz w:val="28"/>
          <w:szCs w:val="28"/>
          <w:lang w:val="lv-LV"/>
        </w:rPr>
        <w:t>u</w:t>
      </w:r>
      <w:r w:rsidRPr="005C31F5">
        <w:rPr>
          <w:sz w:val="28"/>
          <w:szCs w:val="28"/>
          <w:lang w:val="lv-LV"/>
        </w:rPr>
        <w:t xml:space="preserve"> 2009/72/EK</w:t>
      </w:r>
      <w:r w:rsidR="00772BDB">
        <w:rPr>
          <w:sz w:val="28"/>
          <w:szCs w:val="28"/>
          <w:lang w:val="lv-LV"/>
        </w:rPr>
        <w:t xml:space="preserve"> </w:t>
      </w:r>
      <w:r w:rsidR="0075445D" w:rsidRPr="005C31F5">
        <w:rPr>
          <w:sz w:val="28"/>
          <w:szCs w:val="28"/>
          <w:lang w:val="lv-LV"/>
        </w:rPr>
        <w:t>un Eiropas Parlamenta un Padomes Direktīva 2009/73/EK (2009. gada 13. jūlijs) par kopīgiem noteikumiem attiecībā uz dabasgāzes iekšējo tirgu un par Direktīvas 2003/55/EK atcelšanu. Nedz akciju sabiedrība “</w:t>
      </w:r>
      <w:proofErr w:type="spellStart"/>
      <w:r w:rsidR="0075445D" w:rsidRPr="005C31F5">
        <w:rPr>
          <w:sz w:val="28"/>
          <w:szCs w:val="28"/>
          <w:lang w:val="lv-LV"/>
        </w:rPr>
        <w:t>Conexus</w:t>
      </w:r>
      <w:proofErr w:type="spellEnd"/>
      <w:r w:rsidR="0075445D" w:rsidRPr="005C31F5">
        <w:rPr>
          <w:sz w:val="28"/>
          <w:szCs w:val="28"/>
          <w:lang w:val="lv-LV"/>
        </w:rPr>
        <w:t xml:space="preserve"> </w:t>
      </w:r>
      <w:proofErr w:type="spellStart"/>
      <w:r w:rsidR="0075445D" w:rsidRPr="005C31F5">
        <w:rPr>
          <w:sz w:val="28"/>
          <w:szCs w:val="28"/>
          <w:lang w:val="lv-LV"/>
        </w:rPr>
        <w:t>Baltic</w:t>
      </w:r>
      <w:proofErr w:type="spellEnd"/>
      <w:r w:rsidR="0075445D" w:rsidRPr="005C31F5">
        <w:rPr>
          <w:sz w:val="28"/>
          <w:szCs w:val="28"/>
          <w:lang w:val="lv-LV"/>
        </w:rPr>
        <w:t xml:space="preserve"> Grid”, nedz</w:t>
      </w:r>
      <w:r w:rsidR="00C21B3D" w:rsidRPr="005C31F5">
        <w:rPr>
          <w:sz w:val="28"/>
          <w:szCs w:val="28"/>
          <w:lang w:val="lv-LV"/>
        </w:rPr>
        <w:t xml:space="preserve"> AST </w:t>
      </w:r>
      <w:r w:rsidRPr="005C31F5">
        <w:rPr>
          <w:sz w:val="28"/>
          <w:szCs w:val="28"/>
          <w:lang w:val="lv-LV"/>
        </w:rPr>
        <w:t>nedarbojas citos tirgos Latvijā</w:t>
      </w:r>
      <w:r w:rsidR="0075445D" w:rsidRPr="005C31F5">
        <w:rPr>
          <w:sz w:val="28"/>
          <w:szCs w:val="28"/>
          <w:lang w:val="lv-LV"/>
        </w:rPr>
        <w:t xml:space="preserve"> vai </w:t>
      </w:r>
      <w:r w:rsidRPr="005C31F5">
        <w:rPr>
          <w:sz w:val="28"/>
          <w:szCs w:val="28"/>
          <w:lang w:val="lv-LV"/>
        </w:rPr>
        <w:t xml:space="preserve">citur </w:t>
      </w:r>
      <w:r w:rsidR="00C21B3D" w:rsidRPr="005C31F5">
        <w:rPr>
          <w:sz w:val="28"/>
          <w:szCs w:val="28"/>
          <w:lang w:val="lv-LV"/>
        </w:rPr>
        <w:t>ES</w:t>
      </w:r>
      <w:r w:rsidRPr="005C31F5">
        <w:rPr>
          <w:sz w:val="28"/>
          <w:szCs w:val="28"/>
          <w:lang w:val="lv-LV"/>
        </w:rPr>
        <w:t>, t</w:t>
      </w:r>
      <w:r w:rsidR="00C21B3D" w:rsidRPr="005C31F5">
        <w:rPr>
          <w:sz w:val="28"/>
          <w:szCs w:val="28"/>
          <w:lang w:val="lv-LV"/>
        </w:rPr>
        <w:t>ā</w:t>
      </w:r>
      <w:r w:rsidRPr="005C31F5">
        <w:rPr>
          <w:sz w:val="28"/>
          <w:szCs w:val="28"/>
          <w:lang w:val="lv-LV"/>
        </w:rPr>
        <w:t>d</w:t>
      </w:r>
      <w:r w:rsidR="00C21B3D" w:rsidRPr="005C31F5">
        <w:rPr>
          <w:sz w:val="28"/>
          <w:szCs w:val="28"/>
          <w:lang w:val="lv-LV"/>
        </w:rPr>
        <w:t>ēļ</w:t>
      </w:r>
      <w:r w:rsidRPr="005C31F5">
        <w:rPr>
          <w:sz w:val="28"/>
          <w:szCs w:val="28"/>
          <w:lang w:val="lv-LV"/>
        </w:rPr>
        <w:t xml:space="preserve"> ir uzskatāms, ka atbalsta sniegšana </w:t>
      </w:r>
      <w:r w:rsidR="00C21B3D" w:rsidRPr="005C31F5">
        <w:rPr>
          <w:sz w:val="28"/>
          <w:szCs w:val="28"/>
          <w:lang w:val="lv-LV"/>
        </w:rPr>
        <w:t>AST</w:t>
      </w:r>
      <w:r w:rsidRPr="005C31F5">
        <w:rPr>
          <w:sz w:val="28"/>
          <w:szCs w:val="28"/>
          <w:lang w:val="lv-LV"/>
        </w:rPr>
        <w:t xml:space="preserve"> neradītu konkurences izkropļojumus (jo tirgus nepastāv) un līdz ar to nebūtu kvalificējama kā valsts atbalsts.</w:t>
      </w:r>
    </w:p>
    <w:p w14:paraId="7D40DEDD" w14:textId="5C9738CE" w:rsidR="00867F56" w:rsidRPr="00867F56" w:rsidRDefault="00867F56" w:rsidP="00867F56">
      <w:pPr>
        <w:ind w:firstLine="720"/>
        <w:jc w:val="both"/>
        <w:rPr>
          <w:sz w:val="28"/>
          <w:szCs w:val="28"/>
          <w:lang w:val="lv-LV"/>
        </w:rPr>
      </w:pPr>
      <w:r w:rsidRPr="00867F56">
        <w:rPr>
          <w:sz w:val="28"/>
          <w:szCs w:val="28"/>
          <w:lang w:val="lv-LV"/>
        </w:rPr>
        <w:t>Identiski apsvērumi ir izmantojami</w:t>
      </w:r>
      <w:r>
        <w:rPr>
          <w:sz w:val="28"/>
          <w:szCs w:val="28"/>
          <w:lang w:val="lv-LV"/>
        </w:rPr>
        <w:t>,</w:t>
      </w:r>
      <w:r w:rsidRPr="00867F56">
        <w:rPr>
          <w:sz w:val="28"/>
          <w:szCs w:val="28"/>
          <w:lang w:val="lv-LV"/>
        </w:rPr>
        <w:t xml:space="preserve"> novērtējot LET kapitāldaļu ieguldīšanas ietekmi. LET komercdarbības vienīgais nolūks ir nodrošināt dabiskā monopola pārvades sistēmas operatora darbībai pakārtotu pakalpojumu – pārvades sistēmas aktīvu īpašumtiesību uzturēšanu. LET nedarbojas citos tirgos Latvijā vai citur ES, nedz elektroenerģijas pārvades pakalpojuma sniegšanā, nedz konkurējošu energoresursu tirgos</w:t>
      </w:r>
      <w:r>
        <w:rPr>
          <w:sz w:val="28"/>
          <w:szCs w:val="28"/>
          <w:lang w:val="lv-LV"/>
        </w:rPr>
        <w:t>,</w:t>
      </w:r>
      <w:r w:rsidRPr="00867F56">
        <w:rPr>
          <w:sz w:val="28"/>
          <w:szCs w:val="28"/>
          <w:lang w:val="lv-LV"/>
        </w:rPr>
        <w:t xml:space="preserve"> un tās darbība ir pakārtota Direktīv</w:t>
      </w:r>
      <w:r>
        <w:rPr>
          <w:sz w:val="28"/>
          <w:szCs w:val="28"/>
          <w:lang w:val="lv-LV"/>
        </w:rPr>
        <w:t xml:space="preserve">as </w:t>
      </w:r>
      <w:r w:rsidRPr="00867F56">
        <w:rPr>
          <w:sz w:val="28"/>
          <w:szCs w:val="28"/>
          <w:lang w:val="lv-LV"/>
        </w:rPr>
        <w:t xml:space="preserve">2009/72/EK nosacījumiem par pārvades sistēmas īpašnieku. </w:t>
      </w:r>
    </w:p>
    <w:p w14:paraId="3CB2C876" w14:textId="18CF486E" w:rsidR="00867F56" w:rsidRPr="00867F56" w:rsidRDefault="00867F56" w:rsidP="00867F56">
      <w:pPr>
        <w:ind w:firstLine="720"/>
        <w:jc w:val="both"/>
        <w:rPr>
          <w:sz w:val="28"/>
          <w:szCs w:val="28"/>
          <w:lang w:val="lv-LV"/>
        </w:rPr>
      </w:pPr>
      <w:r w:rsidRPr="00867F56">
        <w:rPr>
          <w:sz w:val="28"/>
          <w:szCs w:val="28"/>
          <w:lang w:val="lv-LV"/>
        </w:rPr>
        <w:t>Ievērojot minētos apstākļus un Eiropas Komisijas 2017.gada 2.oktobrī  sniegto novērtējumu līdzīgos apstākļos, secināms, ka nav konstatējamas Komercdarbības atbalsta kontroles likum</w:t>
      </w:r>
      <w:r w:rsidR="0064360F">
        <w:rPr>
          <w:sz w:val="28"/>
          <w:szCs w:val="28"/>
          <w:lang w:val="lv-LV"/>
        </w:rPr>
        <w:t>a 5.pantā</w:t>
      </w:r>
      <w:r w:rsidRPr="00867F56">
        <w:rPr>
          <w:sz w:val="28"/>
          <w:szCs w:val="28"/>
          <w:lang w:val="lv-LV"/>
        </w:rPr>
        <w:t xml:space="preserve"> </w:t>
      </w:r>
      <w:r w:rsidR="00496429">
        <w:rPr>
          <w:sz w:val="28"/>
          <w:szCs w:val="28"/>
          <w:lang w:val="lv-LV"/>
        </w:rPr>
        <w:t xml:space="preserve">visas </w:t>
      </w:r>
      <w:r w:rsidRPr="00867F56">
        <w:rPr>
          <w:sz w:val="28"/>
          <w:szCs w:val="28"/>
          <w:lang w:val="lv-LV"/>
        </w:rPr>
        <w:t>noteiktās komercdarbības atbalstu raksturojošās pazīmes</w:t>
      </w:r>
      <w:r w:rsidR="00496429">
        <w:rPr>
          <w:sz w:val="28"/>
          <w:szCs w:val="28"/>
          <w:lang w:val="lv-LV"/>
        </w:rPr>
        <w:t>, jo plānotā LET kapitāldaļu ieguldīšana AST pamatkapitālā ne</w:t>
      </w:r>
      <w:r w:rsidR="00496429" w:rsidRPr="00496429">
        <w:rPr>
          <w:sz w:val="28"/>
          <w:szCs w:val="28"/>
          <w:lang w:val="lv-LV"/>
        </w:rPr>
        <w:t xml:space="preserve">ietekmē tirdzniecību un </w:t>
      </w:r>
      <w:r w:rsidR="00496429">
        <w:rPr>
          <w:sz w:val="28"/>
          <w:szCs w:val="28"/>
          <w:lang w:val="lv-LV"/>
        </w:rPr>
        <w:t>ne</w:t>
      </w:r>
      <w:r w:rsidR="00496429" w:rsidRPr="00496429">
        <w:rPr>
          <w:sz w:val="28"/>
          <w:szCs w:val="28"/>
          <w:lang w:val="lv-LV"/>
        </w:rPr>
        <w:t xml:space="preserve">izkropļo konkurenci </w:t>
      </w:r>
      <w:r w:rsidR="00496429">
        <w:rPr>
          <w:sz w:val="28"/>
          <w:szCs w:val="28"/>
          <w:lang w:val="lv-LV"/>
        </w:rPr>
        <w:t>ES</w:t>
      </w:r>
      <w:r w:rsidR="00496429" w:rsidRPr="00496429">
        <w:rPr>
          <w:sz w:val="28"/>
          <w:szCs w:val="28"/>
          <w:lang w:val="lv-LV"/>
        </w:rPr>
        <w:t xml:space="preserve"> iekšējā tirgū.</w:t>
      </w:r>
    </w:p>
    <w:p w14:paraId="10C8F106" w14:textId="77777777" w:rsidR="00867F56" w:rsidRDefault="00867F56" w:rsidP="001D1221">
      <w:pPr>
        <w:ind w:firstLine="720"/>
        <w:jc w:val="both"/>
        <w:rPr>
          <w:sz w:val="28"/>
          <w:szCs w:val="28"/>
          <w:lang w:val="lv-LV"/>
        </w:rPr>
      </w:pPr>
    </w:p>
    <w:p w14:paraId="2C49A392" w14:textId="240845A3" w:rsidR="003A2953" w:rsidRPr="005C31F5" w:rsidRDefault="00BA487D" w:rsidP="00BA487D">
      <w:pPr>
        <w:spacing w:after="160" w:line="259" w:lineRule="auto"/>
        <w:rPr>
          <w:sz w:val="28"/>
          <w:szCs w:val="28"/>
          <w:lang w:val="lv-LV"/>
        </w:rPr>
      </w:pPr>
      <w:r>
        <w:rPr>
          <w:sz w:val="28"/>
          <w:szCs w:val="28"/>
          <w:lang w:val="lv-LV"/>
        </w:rPr>
        <w:br w:type="page"/>
      </w:r>
    </w:p>
    <w:p w14:paraId="005B2628" w14:textId="77777777" w:rsidR="00CF1B6C" w:rsidRPr="005C31F5" w:rsidRDefault="00CF1B6C" w:rsidP="006B3BA7">
      <w:pPr>
        <w:pStyle w:val="Heading3"/>
        <w:rPr>
          <w:lang w:val="lv-LV"/>
        </w:rPr>
      </w:pPr>
      <w:bookmarkStart w:id="49" w:name="_Toc256000043"/>
      <w:bookmarkStart w:id="50" w:name="_Toc256000030"/>
      <w:bookmarkStart w:id="51" w:name="_Toc256000017"/>
      <w:bookmarkStart w:id="52" w:name="_Toc524621718"/>
      <w:bookmarkStart w:id="53" w:name="_Toc3205711"/>
      <w:r w:rsidRPr="005C31F5">
        <w:rPr>
          <w:lang w:val="lv-LV"/>
        </w:rPr>
        <w:lastRenderedPageBreak/>
        <w:t>Secinājumi</w:t>
      </w:r>
      <w:bookmarkEnd w:id="49"/>
      <w:bookmarkEnd w:id="50"/>
      <w:bookmarkEnd w:id="51"/>
      <w:bookmarkEnd w:id="52"/>
      <w:bookmarkEnd w:id="53"/>
    </w:p>
    <w:p w14:paraId="43D37B49" w14:textId="77777777" w:rsidR="00CF1B6C" w:rsidRPr="00D551E7" w:rsidRDefault="00CF1B6C" w:rsidP="00CF1B6C">
      <w:pPr>
        <w:ind w:firstLine="720"/>
        <w:jc w:val="both"/>
        <w:rPr>
          <w:sz w:val="32"/>
          <w:szCs w:val="32"/>
          <w:lang w:val="lv-LV"/>
        </w:rPr>
      </w:pPr>
    </w:p>
    <w:p w14:paraId="232D868D" w14:textId="77777777" w:rsidR="00CF1B6C" w:rsidRPr="005C31F5" w:rsidRDefault="00CF1B6C" w:rsidP="00CF1B6C">
      <w:pPr>
        <w:ind w:firstLine="720"/>
        <w:jc w:val="both"/>
        <w:rPr>
          <w:sz w:val="28"/>
          <w:szCs w:val="28"/>
          <w:lang w:val="lv-LV"/>
        </w:rPr>
      </w:pPr>
      <w:r w:rsidRPr="005C31F5">
        <w:rPr>
          <w:sz w:val="28"/>
          <w:szCs w:val="28"/>
          <w:lang w:val="lv-LV"/>
        </w:rPr>
        <w:t>Kopš MK rīkojuma Nr.12 pieņemšanas ir mainījušies apstākļi un ietekmējošie faktori, kas bija izšķiroši neatkarīga sistēmas operatora ieviešanas modelim 2011.gadā, izpildot Direktīvas 72/2009/EK prasības.</w:t>
      </w:r>
    </w:p>
    <w:p w14:paraId="248F87B8" w14:textId="54B917F7" w:rsidR="00CF1B6C" w:rsidRPr="005C31F5" w:rsidRDefault="00CF1B6C" w:rsidP="008408FA">
      <w:pPr>
        <w:ind w:firstLine="720"/>
        <w:jc w:val="both"/>
        <w:rPr>
          <w:sz w:val="28"/>
          <w:szCs w:val="28"/>
          <w:lang w:val="lv-LV"/>
        </w:rPr>
      </w:pPr>
      <w:r w:rsidRPr="005C31F5">
        <w:rPr>
          <w:sz w:val="28"/>
          <w:szCs w:val="28"/>
          <w:lang w:val="lv-LV"/>
        </w:rPr>
        <w:t>Pilnīga īpašumtiesību nodalīšanas modeļa ieviešana atstās pozitīvu iespaidu uz PSO darbību, veicinās pārvades tīkla attīstības iespējas</w:t>
      </w:r>
      <w:r w:rsidR="0003565F">
        <w:rPr>
          <w:sz w:val="28"/>
          <w:szCs w:val="28"/>
          <w:lang w:val="lv-LV"/>
        </w:rPr>
        <w:t xml:space="preserve">. </w:t>
      </w:r>
      <w:r w:rsidR="008408FA" w:rsidRPr="005C31F5">
        <w:rPr>
          <w:sz w:val="28"/>
          <w:szCs w:val="28"/>
          <w:lang w:val="lv-LV"/>
        </w:rPr>
        <w:t xml:space="preserve">No </w:t>
      </w:r>
      <w:r w:rsidRPr="005C31F5">
        <w:rPr>
          <w:sz w:val="28"/>
          <w:szCs w:val="28"/>
          <w:lang w:val="lv-LV"/>
        </w:rPr>
        <w:t>enerģētikas politikas īstenošanas puses raugoties, pilnīgas īpašumtiesību nodalīšanas modeļa ieviešana ir efektīvs solis pārvades sistēmas darbībā, t</w:t>
      </w:r>
      <w:r w:rsidR="00C42A8E" w:rsidRPr="005C31F5">
        <w:rPr>
          <w:sz w:val="28"/>
          <w:szCs w:val="28"/>
          <w:lang w:val="lv-LV"/>
        </w:rPr>
        <w:t xml:space="preserve">ai </w:t>
      </w:r>
      <w:r w:rsidRPr="005C31F5">
        <w:rPr>
          <w:sz w:val="28"/>
          <w:szCs w:val="28"/>
          <w:lang w:val="lv-LV"/>
        </w:rPr>
        <w:t>sk</w:t>
      </w:r>
      <w:r w:rsidR="00C42A8E" w:rsidRPr="005C31F5">
        <w:rPr>
          <w:sz w:val="28"/>
          <w:szCs w:val="28"/>
          <w:lang w:val="lv-LV"/>
        </w:rPr>
        <w:t>aitā</w:t>
      </w:r>
      <w:r w:rsidRPr="005C31F5">
        <w:rPr>
          <w:sz w:val="28"/>
          <w:szCs w:val="28"/>
          <w:lang w:val="lv-LV"/>
        </w:rPr>
        <w:t xml:space="preserve"> arī elektroenerģijas tirgus attīstībā un turpmākā integrācijā ES, un racionāla tālākā rīcība.</w:t>
      </w:r>
      <w:r w:rsidR="002A5B72" w:rsidRPr="002A5B72">
        <w:rPr>
          <w:sz w:val="28"/>
          <w:szCs w:val="28"/>
          <w:lang w:val="lv-LV"/>
        </w:rPr>
        <w:t xml:space="preserve"> </w:t>
      </w:r>
      <w:r w:rsidR="002A5B72" w:rsidRPr="005C31F5">
        <w:rPr>
          <w:sz w:val="28"/>
          <w:szCs w:val="28"/>
          <w:lang w:val="lv-LV"/>
        </w:rPr>
        <w:t xml:space="preserve">Lai arī aktīvu piederības maiņa atstās negatīvu iespaidu uz </w:t>
      </w:r>
      <w:r w:rsidR="002A5B72" w:rsidRPr="005C31F5">
        <w:rPr>
          <w:i/>
          <w:sz w:val="28"/>
          <w:szCs w:val="28"/>
          <w:lang w:val="lv-LV"/>
        </w:rPr>
        <w:t>Latvenergo</w:t>
      </w:r>
      <w:r w:rsidR="002A5B72" w:rsidRPr="005C31F5">
        <w:rPr>
          <w:sz w:val="28"/>
          <w:szCs w:val="28"/>
          <w:lang w:val="lv-LV"/>
        </w:rPr>
        <w:t xml:space="preserve"> koncernu, pilnīgas īpašumtiesību nodalīšanas modeļa ieviešanas pozitīvie aspekti prevalē pār negatīvajiem. </w:t>
      </w:r>
    </w:p>
    <w:p w14:paraId="31567609" w14:textId="5E4FBF8C" w:rsidR="00CF1B6C" w:rsidRPr="005C31F5" w:rsidRDefault="00DC6EE8" w:rsidP="00CF1B6C">
      <w:pPr>
        <w:ind w:firstLine="720"/>
        <w:jc w:val="both"/>
        <w:rPr>
          <w:sz w:val="28"/>
          <w:szCs w:val="28"/>
          <w:lang w:val="lv-LV"/>
        </w:rPr>
      </w:pPr>
      <w:r w:rsidRPr="005C31F5">
        <w:rPr>
          <w:sz w:val="28"/>
          <w:szCs w:val="28"/>
          <w:lang w:val="lv-LV"/>
        </w:rPr>
        <w:t xml:space="preserve">Par </w:t>
      </w:r>
      <w:r w:rsidR="00C42A8E" w:rsidRPr="005C31F5">
        <w:rPr>
          <w:sz w:val="28"/>
          <w:szCs w:val="28"/>
          <w:lang w:val="lv-LV"/>
        </w:rPr>
        <w:t>piemērotāk</w:t>
      </w:r>
      <w:r w:rsidRPr="005C31F5">
        <w:rPr>
          <w:sz w:val="28"/>
          <w:szCs w:val="28"/>
          <w:lang w:val="lv-LV"/>
        </w:rPr>
        <w:t>o</w:t>
      </w:r>
      <w:r w:rsidR="00C42A8E" w:rsidRPr="005C31F5">
        <w:rPr>
          <w:sz w:val="28"/>
          <w:szCs w:val="28"/>
          <w:lang w:val="lv-LV"/>
        </w:rPr>
        <w:t xml:space="preserve"> aktīvu nodalīšana</w:t>
      </w:r>
      <w:r w:rsidRPr="005C31F5">
        <w:rPr>
          <w:sz w:val="28"/>
          <w:szCs w:val="28"/>
          <w:lang w:val="lv-LV"/>
        </w:rPr>
        <w:t>s</w:t>
      </w:r>
      <w:r w:rsidR="00C42A8E" w:rsidRPr="005C31F5">
        <w:rPr>
          <w:sz w:val="28"/>
          <w:szCs w:val="28"/>
          <w:lang w:val="lv-LV"/>
        </w:rPr>
        <w:t xml:space="preserve"> </w:t>
      </w:r>
      <w:r w:rsidRPr="005C31F5">
        <w:rPr>
          <w:sz w:val="28"/>
          <w:szCs w:val="28"/>
          <w:lang w:val="lv-LV"/>
        </w:rPr>
        <w:t>veidu</w:t>
      </w:r>
      <w:r w:rsidR="00C42A8E" w:rsidRPr="005C31F5">
        <w:rPr>
          <w:sz w:val="28"/>
          <w:szCs w:val="28"/>
          <w:lang w:val="lv-LV"/>
        </w:rPr>
        <w:t xml:space="preserve"> atbalstām</w:t>
      </w:r>
      <w:r w:rsidRPr="005C31F5">
        <w:rPr>
          <w:sz w:val="28"/>
          <w:szCs w:val="28"/>
          <w:lang w:val="lv-LV"/>
        </w:rPr>
        <w:t xml:space="preserve">a AS “Latvenergo” pamatkapitāla palielināšana no kapitālsabiedrības </w:t>
      </w:r>
      <w:r w:rsidR="003429F2" w:rsidRPr="005C31F5">
        <w:rPr>
          <w:sz w:val="28"/>
          <w:szCs w:val="28"/>
          <w:lang w:val="lv-LV"/>
        </w:rPr>
        <w:t xml:space="preserve">iepriekšējo gadu </w:t>
      </w:r>
      <w:r w:rsidRPr="005C31F5">
        <w:rPr>
          <w:sz w:val="28"/>
          <w:szCs w:val="28"/>
          <w:lang w:val="lv-LV"/>
        </w:rPr>
        <w:t>nesadalītās peļņas</w:t>
      </w:r>
      <w:r w:rsidR="003D7CE2" w:rsidRPr="005C31F5">
        <w:rPr>
          <w:sz w:val="28"/>
          <w:szCs w:val="28"/>
          <w:lang w:val="lv-LV"/>
        </w:rPr>
        <w:t xml:space="preserve"> </w:t>
      </w:r>
      <w:r w:rsidR="002A5B72">
        <w:rPr>
          <w:sz w:val="28"/>
          <w:szCs w:val="28"/>
          <w:lang w:val="lv-LV"/>
        </w:rPr>
        <w:t>(</w:t>
      </w:r>
      <w:r w:rsidR="00444A9F">
        <w:rPr>
          <w:sz w:val="28"/>
          <w:szCs w:val="28"/>
          <w:lang w:val="lv-LV"/>
        </w:rPr>
        <w:t xml:space="preserve">kuras kopējais apmērs uz </w:t>
      </w:r>
      <w:r w:rsidR="002A5B72">
        <w:rPr>
          <w:sz w:val="28"/>
          <w:szCs w:val="28"/>
          <w:lang w:val="lv-LV"/>
        </w:rPr>
        <w:t xml:space="preserve">30.06.2019. </w:t>
      </w:r>
      <w:r w:rsidR="00444A9F">
        <w:rPr>
          <w:sz w:val="28"/>
          <w:szCs w:val="28"/>
          <w:lang w:val="lv-LV"/>
        </w:rPr>
        <w:t xml:space="preserve">ir </w:t>
      </w:r>
      <w:r w:rsidR="003429F2" w:rsidRPr="005C31F5">
        <w:rPr>
          <w:sz w:val="28"/>
          <w:szCs w:val="28"/>
          <w:lang w:val="lv-LV"/>
        </w:rPr>
        <w:t xml:space="preserve">235 milj. </w:t>
      </w:r>
      <w:r w:rsidRPr="005C31F5">
        <w:rPr>
          <w:sz w:val="28"/>
          <w:szCs w:val="28"/>
          <w:lang w:val="lv-LV"/>
        </w:rPr>
        <w:t>EUR</w:t>
      </w:r>
      <w:r w:rsidR="002A5B72">
        <w:rPr>
          <w:sz w:val="28"/>
          <w:szCs w:val="28"/>
          <w:lang w:val="lv-LV"/>
        </w:rPr>
        <w:t>)</w:t>
      </w:r>
      <w:r w:rsidRPr="005C31F5">
        <w:rPr>
          <w:sz w:val="28"/>
          <w:szCs w:val="28"/>
          <w:lang w:val="lv-LV"/>
        </w:rPr>
        <w:t>,</w:t>
      </w:r>
      <w:r w:rsidR="00BA487D" w:rsidRPr="00BA487D">
        <w:rPr>
          <w:sz w:val="28"/>
          <w:szCs w:val="28"/>
          <w:lang w:val="lv-LV"/>
        </w:rPr>
        <w:t xml:space="preserve"> </w:t>
      </w:r>
      <w:r w:rsidR="00BA487D" w:rsidRPr="0073388E">
        <w:rPr>
          <w:sz w:val="28"/>
          <w:szCs w:val="28"/>
          <w:lang w:val="lv-LV"/>
        </w:rPr>
        <w:t>bet ne vairāk kā neatkarīgu vērtētāju noteiktās LET kapitāldaļu tirgus vērtības apmērā</w:t>
      </w:r>
      <w:r w:rsidR="00BA487D">
        <w:rPr>
          <w:sz w:val="28"/>
          <w:szCs w:val="28"/>
          <w:lang w:val="lv-LV"/>
        </w:rPr>
        <w:t>,</w:t>
      </w:r>
      <w:r w:rsidRPr="005C31F5">
        <w:rPr>
          <w:sz w:val="28"/>
          <w:szCs w:val="28"/>
          <w:lang w:val="lv-LV"/>
        </w:rPr>
        <w:t xml:space="preserve"> </w:t>
      </w:r>
      <w:r w:rsidR="002A5B72">
        <w:rPr>
          <w:sz w:val="28"/>
          <w:szCs w:val="28"/>
          <w:lang w:val="lv-LV"/>
        </w:rPr>
        <w:t>un sekojoša</w:t>
      </w:r>
      <w:r w:rsidRPr="005C31F5">
        <w:rPr>
          <w:sz w:val="28"/>
          <w:szCs w:val="28"/>
          <w:lang w:val="lv-LV"/>
        </w:rPr>
        <w:t xml:space="preserve"> </w:t>
      </w:r>
      <w:r w:rsidR="003D7CE2" w:rsidRPr="005C31F5">
        <w:rPr>
          <w:sz w:val="28"/>
          <w:szCs w:val="28"/>
          <w:lang w:val="lv-LV"/>
        </w:rPr>
        <w:t>AS “Latvenergo” pamatkapitāla samazināšan</w:t>
      </w:r>
      <w:r w:rsidR="002A5B72">
        <w:rPr>
          <w:sz w:val="28"/>
          <w:szCs w:val="28"/>
          <w:lang w:val="lv-LV"/>
        </w:rPr>
        <w:t>a</w:t>
      </w:r>
      <w:r w:rsidR="003D7CE2" w:rsidRPr="005C31F5">
        <w:rPr>
          <w:sz w:val="28"/>
          <w:szCs w:val="28"/>
          <w:lang w:val="lv-LV"/>
        </w:rPr>
        <w:t xml:space="preserve"> mantiskā formā</w:t>
      </w:r>
      <w:r w:rsidR="00DF3B63" w:rsidRPr="005C31F5">
        <w:rPr>
          <w:sz w:val="28"/>
          <w:szCs w:val="28"/>
          <w:lang w:val="lv-LV"/>
        </w:rPr>
        <w:t xml:space="preserve"> ar </w:t>
      </w:r>
      <w:r w:rsidR="003D7CE2" w:rsidRPr="005C31F5">
        <w:rPr>
          <w:sz w:val="28"/>
          <w:szCs w:val="28"/>
          <w:lang w:val="lv-LV"/>
        </w:rPr>
        <w:t>LET kapitāla daļ</w:t>
      </w:r>
      <w:r w:rsidR="00DF3B63" w:rsidRPr="005C31F5">
        <w:rPr>
          <w:sz w:val="28"/>
          <w:szCs w:val="28"/>
          <w:lang w:val="lv-LV"/>
        </w:rPr>
        <w:t>ām</w:t>
      </w:r>
      <w:r w:rsidR="003D7CE2" w:rsidRPr="005C31F5">
        <w:rPr>
          <w:sz w:val="28"/>
          <w:szCs w:val="28"/>
          <w:lang w:val="lv-LV"/>
        </w:rPr>
        <w:t>, kas pēc nonākšanas valsts īpašumā, tiktu ieguldītas AST pamatkapitālā.</w:t>
      </w:r>
    </w:p>
    <w:p w14:paraId="2F561BEA" w14:textId="77777777" w:rsidR="00FD7EA2" w:rsidRPr="005C31F5" w:rsidRDefault="00CF1B6C" w:rsidP="00FD7EA2">
      <w:pPr>
        <w:ind w:firstLine="720"/>
        <w:jc w:val="both"/>
        <w:rPr>
          <w:sz w:val="28"/>
          <w:szCs w:val="28"/>
          <w:shd w:val="clear" w:color="auto" w:fill="FFFFFF"/>
          <w:lang w:val="lv-LV"/>
        </w:rPr>
      </w:pPr>
      <w:r w:rsidRPr="005C31F5">
        <w:rPr>
          <w:sz w:val="28"/>
          <w:szCs w:val="28"/>
          <w:shd w:val="clear" w:color="auto" w:fill="FFFFFF"/>
          <w:lang w:val="lv-LV"/>
        </w:rPr>
        <w:t>Precīza īpašumtiesību nodalīšanas finansiālā ietekme uz AST, AS “Latvenergo”</w:t>
      </w:r>
      <w:r w:rsidR="00DC6EE8" w:rsidRPr="005C31F5">
        <w:rPr>
          <w:sz w:val="28"/>
          <w:szCs w:val="28"/>
          <w:shd w:val="clear" w:color="auto" w:fill="FFFFFF"/>
          <w:lang w:val="lv-LV"/>
        </w:rPr>
        <w:t>, pārvades sistēmas pakalpojuma tarifu</w:t>
      </w:r>
      <w:r w:rsidRPr="005C31F5">
        <w:rPr>
          <w:sz w:val="28"/>
          <w:szCs w:val="28"/>
          <w:shd w:val="clear" w:color="auto" w:fill="FFFFFF"/>
          <w:lang w:val="lv-LV"/>
        </w:rPr>
        <w:t xml:space="preserve"> un valsti</w:t>
      </w:r>
      <w:r w:rsidR="00FF29C2" w:rsidRPr="005C31F5">
        <w:rPr>
          <w:sz w:val="28"/>
          <w:szCs w:val="28"/>
          <w:shd w:val="clear" w:color="auto" w:fill="FFFFFF"/>
          <w:lang w:val="lv-LV"/>
        </w:rPr>
        <w:t xml:space="preserve"> (vispārējās valdības budžetu)</w:t>
      </w:r>
      <w:r w:rsidRPr="005C31F5">
        <w:rPr>
          <w:sz w:val="28"/>
          <w:szCs w:val="28"/>
          <w:shd w:val="clear" w:color="auto" w:fill="FFFFFF"/>
          <w:lang w:val="lv-LV"/>
        </w:rPr>
        <w:t xml:space="preserve"> būtu </w:t>
      </w:r>
      <w:r w:rsidR="00DC6EE8" w:rsidRPr="005C31F5">
        <w:rPr>
          <w:sz w:val="28"/>
          <w:szCs w:val="28"/>
          <w:shd w:val="clear" w:color="auto" w:fill="FFFFFF"/>
          <w:lang w:val="lv-LV"/>
        </w:rPr>
        <w:t>nosakāma pēc aktīvu novērtēšanas procesa beigām</w:t>
      </w:r>
      <w:r w:rsidR="00FD7EA2" w:rsidRPr="005C31F5">
        <w:rPr>
          <w:sz w:val="28"/>
          <w:szCs w:val="28"/>
          <w:shd w:val="clear" w:color="auto" w:fill="FFFFFF"/>
          <w:lang w:val="lv-LV"/>
        </w:rPr>
        <w:t>.</w:t>
      </w:r>
    </w:p>
    <w:p w14:paraId="67A8015D" w14:textId="15E63AE1" w:rsidR="00FD7EA2" w:rsidRPr="005C31F5" w:rsidRDefault="00FD7EA2" w:rsidP="00FD7EA2">
      <w:pPr>
        <w:ind w:firstLine="720"/>
        <w:jc w:val="both"/>
        <w:rPr>
          <w:sz w:val="28"/>
          <w:szCs w:val="28"/>
          <w:shd w:val="clear" w:color="auto" w:fill="FFFFFF"/>
          <w:lang w:val="lv-LV"/>
        </w:rPr>
      </w:pPr>
      <w:r w:rsidRPr="005C31F5">
        <w:rPr>
          <w:bCs/>
          <w:sz w:val="28"/>
          <w:szCs w:val="28"/>
          <w:lang w:val="lv-LV"/>
        </w:rPr>
        <w:t>Atbilstoši Publiskas personas kapitāla daļu un kapitālsabiedrību pārvaldības likuma 5.panta otrajā daļā noteiktajam, atļauju AS “Latvenergo” izbeigt līdzdalību LET pieņem M</w:t>
      </w:r>
      <w:r w:rsidR="001D1221" w:rsidRPr="005C31F5">
        <w:rPr>
          <w:bCs/>
          <w:sz w:val="28"/>
          <w:szCs w:val="28"/>
          <w:lang w:val="lv-LV"/>
        </w:rPr>
        <w:t>inistru kabinets</w:t>
      </w:r>
      <w:r w:rsidRPr="005C31F5">
        <w:rPr>
          <w:bCs/>
          <w:sz w:val="28"/>
          <w:szCs w:val="28"/>
          <w:lang w:val="lv-LV"/>
        </w:rPr>
        <w:t>,</w:t>
      </w:r>
      <w:r w:rsidR="001D1221" w:rsidRPr="005C31F5">
        <w:rPr>
          <w:bCs/>
          <w:sz w:val="28"/>
          <w:szCs w:val="28"/>
          <w:lang w:val="lv-LV"/>
        </w:rPr>
        <w:t xml:space="preserve"> un</w:t>
      </w:r>
      <w:r w:rsidRPr="005C31F5">
        <w:rPr>
          <w:bCs/>
          <w:sz w:val="28"/>
          <w:szCs w:val="28"/>
          <w:lang w:val="lv-LV"/>
        </w:rPr>
        <w:t xml:space="preserve"> attiecīgi - atbilstoši Publiskas personas kapitāla daļu un kapitālsabiedrību pārvaldības likuma 4.panta trešajā daļā un 5.panta otrajā daļā noteiktajam, </w:t>
      </w:r>
      <w:r w:rsidR="001D1221" w:rsidRPr="005C31F5">
        <w:rPr>
          <w:bCs/>
          <w:sz w:val="28"/>
          <w:szCs w:val="28"/>
          <w:lang w:val="lv-LV"/>
        </w:rPr>
        <w:t xml:space="preserve">arī </w:t>
      </w:r>
      <w:r w:rsidRPr="005C31F5">
        <w:rPr>
          <w:sz w:val="28"/>
          <w:szCs w:val="28"/>
          <w:lang w:val="lv-LV"/>
        </w:rPr>
        <w:t>atļauju AST iegūt līdzdalību LET pieņem</w:t>
      </w:r>
      <w:bookmarkStart w:id="54" w:name="_GoBack"/>
      <w:bookmarkEnd w:id="54"/>
      <w:r w:rsidRPr="005C31F5">
        <w:rPr>
          <w:sz w:val="28"/>
          <w:szCs w:val="28"/>
          <w:lang w:val="lv-LV"/>
        </w:rPr>
        <w:t xml:space="preserve"> M</w:t>
      </w:r>
      <w:r w:rsidR="001D1221" w:rsidRPr="005C31F5">
        <w:rPr>
          <w:sz w:val="28"/>
          <w:szCs w:val="28"/>
          <w:lang w:val="lv-LV"/>
        </w:rPr>
        <w:t>inistru kabinets</w:t>
      </w:r>
      <w:r w:rsidRPr="005C31F5">
        <w:rPr>
          <w:sz w:val="28"/>
          <w:szCs w:val="28"/>
          <w:lang w:val="lv-LV"/>
        </w:rPr>
        <w:t>, pamatojoties uz AST sagatavoto vērtējumu par to, vai ar līdzdalību LET AST resursi tiks izmantoti racionāli un ekonomiski pamatoti, ievērojot labas korporatīvās pārvaldības principus.</w:t>
      </w:r>
    </w:p>
    <w:p w14:paraId="25989EAF" w14:textId="77777777" w:rsidR="00E42012" w:rsidRPr="005C31F5" w:rsidRDefault="00E42012" w:rsidP="00CF1B6C">
      <w:pPr>
        <w:ind w:firstLine="720"/>
        <w:jc w:val="both"/>
        <w:rPr>
          <w:sz w:val="28"/>
          <w:szCs w:val="28"/>
          <w:shd w:val="clear" w:color="auto" w:fill="FFFFFF"/>
          <w:lang w:val="lv-LV"/>
        </w:rPr>
      </w:pPr>
      <w:bookmarkStart w:id="55" w:name="_Hlk536691235"/>
      <w:r w:rsidRPr="005C31F5">
        <w:rPr>
          <w:sz w:val="28"/>
          <w:szCs w:val="28"/>
          <w:shd w:val="clear" w:color="auto" w:fill="FFFFFF"/>
          <w:lang w:val="lv-LV"/>
        </w:rPr>
        <w:t>Aktīvu nodalīšanas īstenošana</w:t>
      </w:r>
      <w:r w:rsidR="0097122B" w:rsidRPr="005C31F5">
        <w:rPr>
          <w:sz w:val="28"/>
          <w:szCs w:val="28"/>
          <w:shd w:val="clear" w:color="auto" w:fill="FFFFFF"/>
          <w:lang w:val="lv-LV"/>
        </w:rPr>
        <w:t>s procesā jāņem vērā š</w:t>
      </w:r>
      <w:r w:rsidRPr="005C31F5">
        <w:rPr>
          <w:sz w:val="28"/>
          <w:szCs w:val="28"/>
          <w:shd w:val="clear" w:color="auto" w:fill="FFFFFF"/>
          <w:lang w:val="lv-LV"/>
        </w:rPr>
        <w:t>ādi priekšnosacījumi:</w:t>
      </w:r>
    </w:p>
    <w:p w14:paraId="6B0C658E" w14:textId="77777777" w:rsidR="00E42012" w:rsidRPr="005C31F5" w:rsidRDefault="00E42012" w:rsidP="00CF1B6C">
      <w:pPr>
        <w:ind w:firstLine="720"/>
        <w:jc w:val="both"/>
        <w:rPr>
          <w:sz w:val="28"/>
          <w:szCs w:val="28"/>
          <w:u w:val="single"/>
          <w:shd w:val="clear" w:color="auto" w:fill="FFFFFF"/>
          <w:lang w:val="lv-LV"/>
        </w:rPr>
      </w:pPr>
      <w:r w:rsidRPr="005C31F5">
        <w:rPr>
          <w:sz w:val="28"/>
          <w:szCs w:val="28"/>
          <w:shd w:val="clear" w:color="auto" w:fill="FFFFFF"/>
          <w:lang w:val="lv-LV"/>
        </w:rPr>
        <w:t>1)</w:t>
      </w:r>
      <w:r w:rsidR="0097122B" w:rsidRPr="005C31F5">
        <w:rPr>
          <w:sz w:val="28"/>
          <w:szCs w:val="28"/>
          <w:shd w:val="clear" w:color="auto" w:fill="FFFFFF"/>
          <w:lang w:val="lv-LV"/>
        </w:rPr>
        <w:t xml:space="preserve"> </w:t>
      </w:r>
      <w:r w:rsidR="0097122B" w:rsidRPr="005C31F5">
        <w:rPr>
          <w:sz w:val="28"/>
          <w:szCs w:val="28"/>
          <w:u w:val="single"/>
          <w:shd w:val="clear" w:color="auto" w:fill="FFFFFF"/>
          <w:lang w:val="lv-LV"/>
        </w:rPr>
        <w:t>aktīvu nodalīšanas process nerada n</w:t>
      </w:r>
      <w:r w:rsidRPr="005C31F5">
        <w:rPr>
          <w:sz w:val="28"/>
          <w:szCs w:val="28"/>
          <w:u w:val="single"/>
          <w:shd w:val="clear" w:color="auto" w:fill="FFFFFF"/>
          <w:lang w:val="lv-LV"/>
        </w:rPr>
        <w:t>egatīv</w:t>
      </w:r>
      <w:r w:rsidR="0097122B" w:rsidRPr="005C31F5">
        <w:rPr>
          <w:sz w:val="28"/>
          <w:szCs w:val="28"/>
          <w:u w:val="single"/>
          <w:shd w:val="clear" w:color="auto" w:fill="FFFFFF"/>
          <w:lang w:val="lv-LV"/>
        </w:rPr>
        <w:t>u</w:t>
      </w:r>
      <w:r w:rsidRPr="005C31F5">
        <w:rPr>
          <w:sz w:val="28"/>
          <w:szCs w:val="28"/>
          <w:u w:val="single"/>
          <w:shd w:val="clear" w:color="auto" w:fill="FFFFFF"/>
          <w:lang w:val="lv-LV"/>
        </w:rPr>
        <w:t xml:space="preserve"> ietekm</w:t>
      </w:r>
      <w:r w:rsidR="0097122B" w:rsidRPr="005C31F5">
        <w:rPr>
          <w:sz w:val="28"/>
          <w:szCs w:val="28"/>
          <w:u w:val="single"/>
          <w:shd w:val="clear" w:color="auto" w:fill="FFFFFF"/>
          <w:lang w:val="lv-LV"/>
        </w:rPr>
        <w:t>i</w:t>
      </w:r>
      <w:r w:rsidRPr="005C31F5">
        <w:rPr>
          <w:sz w:val="28"/>
          <w:szCs w:val="28"/>
          <w:u w:val="single"/>
          <w:shd w:val="clear" w:color="auto" w:fill="FFFFFF"/>
          <w:lang w:val="lv-LV"/>
        </w:rPr>
        <w:t xml:space="preserve"> uz pārvades sistēmas pakalpojuma tarifu</w:t>
      </w:r>
      <w:r w:rsidR="0097122B" w:rsidRPr="005C31F5">
        <w:rPr>
          <w:sz w:val="28"/>
          <w:szCs w:val="28"/>
          <w:u w:val="single"/>
          <w:shd w:val="clear" w:color="auto" w:fill="FFFFFF"/>
          <w:lang w:val="lv-LV"/>
        </w:rPr>
        <w:t>;</w:t>
      </w:r>
    </w:p>
    <w:p w14:paraId="55A0EB73" w14:textId="347442B7" w:rsidR="0070166F" w:rsidRPr="005C31F5" w:rsidRDefault="00E42012" w:rsidP="0070166F">
      <w:pPr>
        <w:ind w:firstLine="720"/>
        <w:jc w:val="both"/>
        <w:rPr>
          <w:sz w:val="28"/>
          <w:szCs w:val="28"/>
          <w:u w:val="single"/>
          <w:shd w:val="clear" w:color="auto" w:fill="FFFFFF"/>
          <w:lang w:val="lv-LV"/>
        </w:rPr>
      </w:pPr>
      <w:r w:rsidRPr="005C31F5">
        <w:rPr>
          <w:sz w:val="28"/>
          <w:szCs w:val="28"/>
          <w:u w:val="single"/>
          <w:shd w:val="clear" w:color="auto" w:fill="FFFFFF"/>
          <w:lang w:val="lv-LV"/>
        </w:rPr>
        <w:t>2)</w:t>
      </w:r>
      <w:r w:rsidR="0070166F" w:rsidRPr="005C31F5">
        <w:rPr>
          <w:sz w:val="28"/>
          <w:szCs w:val="28"/>
          <w:u w:val="single"/>
          <w:shd w:val="clear" w:color="auto" w:fill="FFFFFF"/>
          <w:lang w:val="lv-LV"/>
        </w:rPr>
        <w:t xml:space="preserve"> AS “Latvenergo” pamatkapitāla palielināšana, tajā ieguldot AS “Latvenergo” </w:t>
      </w:r>
      <w:r w:rsidR="00DF3B63" w:rsidRPr="005C31F5">
        <w:rPr>
          <w:sz w:val="28"/>
          <w:szCs w:val="28"/>
          <w:u w:val="single"/>
          <w:shd w:val="clear" w:color="auto" w:fill="FFFFFF"/>
          <w:lang w:val="lv-LV"/>
        </w:rPr>
        <w:t xml:space="preserve">iepriekšējo gadu </w:t>
      </w:r>
      <w:r w:rsidR="0070166F" w:rsidRPr="005C31F5">
        <w:rPr>
          <w:sz w:val="28"/>
          <w:szCs w:val="28"/>
          <w:u w:val="single"/>
          <w:shd w:val="clear" w:color="auto" w:fill="FFFFFF"/>
          <w:lang w:val="lv-LV"/>
        </w:rPr>
        <w:t>nesadalīt</w:t>
      </w:r>
      <w:r w:rsidR="00BA487D">
        <w:rPr>
          <w:sz w:val="28"/>
          <w:szCs w:val="28"/>
          <w:u w:val="single"/>
          <w:shd w:val="clear" w:color="auto" w:fill="FFFFFF"/>
          <w:lang w:val="lv-LV"/>
        </w:rPr>
        <w:t>o</w:t>
      </w:r>
      <w:r w:rsidR="0070166F" w:rsidRPr="005C31F5">
        <w:rPr>
          <w:sz w:val="28"/>
          <w:szCs w:val="28"/>
          <w:u w:val="single"/>
          <w:shd w:val="clear" w:color="auto" w:fill="FFFFFF"/>
          <w:lang w:val="lv-LV"/>
        </w:rPr>
        <w:t xml:space="preserve"> peļņ</w:t>
      </w:r>
      <w:r w:rsidR="00E16575">
        <w:rPr>
          <w:sz w:val="28"/>
          <w:szCs w:val="28"/>
          <w:u w:val="single"/>
          <w:shd w:val="clear" w:color="auto" w:fill="FFFFFF"/>
          <w:lang w:val="lv-LV"/>
        </w:rPr>
        <w:t>u</w:t>
      </w:r>
      <w:r w:rsidR="00BA487D">
        <w:rPr>
          <w:sz w:val="28"/>
          <w:szCs w:val="28"/>
          <w:u w:val="single"/>
          <w:lang w:val="lv-LV"/>
        </w:rPr>
        <w:t>;</w:t>
      </w:r>
    </w:p>
    <w:p w14:paraId="19758627" w14:textId="3E491FBF" w:rsidR="0070166F" w:rsidRPr="005C31F5" w:rsidRDefault="00DC6EE8" w:rsidP="00DC6EE8">
      <w:pPr>
        <w:ind w:firstLine="720"/>
        <w:jc w:val="both"/>
        <w:rPr>
          <w:sz w:val="28"/>
          <w:szCs w:val="28"/>
          <w:u w:val="single"/>
          <w:shd w:val="clear" w:color="auto" w:fill="FFFFFF"/>
          <w:lang w:val="lv-LV"/>
        </w:rPr>
      </w:pPr>
      <w:r w:rsidRPr="005C31F5">
        <w:rPr>
          <w:sz w:val="28"/>
          <w:szCs w:val="28"/>
          <w:u w:val="single"/>
          <w:shd w:val="clear" w:color="auto" w:fill="FFFFFF"/>
          <w:lang w:val="lv-LV"/>
        </w:rPr>
        <w:t>3)</w:t>
      </w:r>
      <w:r w:rsidR="00EA6DE8" w:rsidRPr="005C31F5">
        <w:rPr>
          <w:sz w:val="28"/>
          <w:szCs w:val="28"/>
          <w:u w:val="single"/>
          <w:shd w:val="clear" w:color="auto" w:fill="FFFFFF"/>
          <w:lang w:val="lv-LV"/>
        </w:rPr>
        <w:t xml:space="preserve"> </w:t>
      </w:r>
      <w:r w:rsidR="0070166F" w:rsidRPr="005C31F5">
        <w:rPr>
          <w:sz w:val="28"/>
          <w:szCs w:val="28"/>
          <w:u w:val="single"/>
          <w:shd w:val="clear" w:color="auto" w:fill="FFFFFF"/>
          <w:lang w:val="lv-LV"/>
        </w:rPr>
        <w:t>AS “Latvenergo” pamatkapitāla samazināšana</w:t>
      </w:r>
      <w:r w:rsidR="00E42012" w:rsidRPr="005C31F5">
        <w:rPr>
          <w:sz w:val="28"/>
          <w:szCs w:val="28"/>
          <w:u w:val="single"/>
          <w:shd w:val="clear" w:color="auto" w:fill="FFFFFF"/>
          <w:lang w:val="lv-LV"/>
        </w:rPr>
        <w:t xml:space="preserve"> tiek saskaņota ar </w:t>
      </w:r>
      <w:r w:rsidR="00E42012" w:rsidRPr="005C31F5">
        <w:rPr>
          <w:i/>
          <w:sz w:val="28"/>
          <w:szCs w:val="28"/>
          <w:u w:val="single"/>
          <w:shd w:val="clear" w:color="auto" w:fill="FFFFFF"/>
          <w:lang w:val="lv-LV"/>
        </w:rPr>
        <w:t>Latvenergo</w:t>
      </w:r>
      <w:r w:rsidR="00E42012" w:rsidRPr="005C31F5">
        <w:rPr>
          <w:sz w:val="28"/>
          <w:szCs w:val="28"/>
          <w:u w:val="single"/>
          <w:shd w:val="clear" w:color="auto" w:fill="FFFFFF"/>
          <w:lang w:val="lv-LV"/>
        </w:rPr>
        <w:t xml:space="preserve"> koncerna pašreizējiem aizdevējiem</w:t>
      </w:r>
      <w:r w:rsidR="001715BF" w:rsidRPr="005C31F5">
        <w:rPr>
          <w:sz w:val="28"/>
          <w:szCs w:val="28"/>
          <w:u w:val="single"/>
          <w:shd w:val="clear" w:color="auto" w:fill="FFFFFF"/>
          <w:lang w:val="lv-LV"/>
        </w:rPr>
        <w:t xml:space="preserve"> un obligacionāriem</w:t>
      </w:r>
      <w:r w:rsidR="0097122B" w:rsidRPr="005C31F5">
        <w:rPr>
          <w:sz w:val="28"/>
          <w:szCs w:val="28"/>
          <w:u w:val="single"/>
          <w:shd w:val="clear" w:color="auto" w:fill="FFFFFF"/>
          <w:lang w:val="lv-LV"/>
        </w:rPr>
        <w:t>;</w:t>
      </w:r>
    </w:p>
    <w:p w14:paraId="4CA844CF" w14:textId="180C8082" w:rsidR="000F1D24" w:rsidRPr="005C31F5" w:rsidRDefault="0070166F" w:rsidP="00CF1B6C">
      <w:pPr>
        <w:ind w:firstLine="720"/>
        <w:jc w:val="both"/>
        <w:rPr>
          <w:sz w:val="28"/>
          <w:szCs w:val="28"/>
          <w:u w:val="single"/>
          <w:lang w:val="lv-LV"/>
        </w:rPr>
      </w:pPr>
      <w:r w:rsidRPr="005C31F5">
        <w:rPr>
          <w:sz w:val="28"/>
          <w:szCs w:val="28"/>
          <w:u w:val="single"/>
          <w:shd w:val="clear" w:color="auto" w:fill="FFFFFF"/>
          <w:lang w:val="lv-LV"/>
        </w:rPr>
        <w:t>4</w:t>
      </w:r>
      <w:r w:rsidR="000F1D24" w:rsidRPr="005C31F5">
        <w:rPr>
          <w:sz w:val="28"/>
          <w:szCs w:val="28"/>
          <w:u w:val="single"/>
          <w:shd w:val="clear" w:color="auto" w:fill="FFFFFF"/>
          <w:lang w:val="lv-LV"/>
        </w:rPr>
        <w:t xml:space="preserve">) </w:t>
      </w:r>
      <w:r w:rsidRPr="005C31F5">
        <w:rPr>
          <w:sz w:val="28"/>
          <w:szCs w:val="28"/>
          <w:u w:val="single"/>
          <w:lang w:val="lv-LV"/>
        </w:rPr>
        <w:t>aktīvu piederības maiņa</w:t>
      </w:r>
      <w:r w:rsidR="000F1D24" w:rsidRPr="005C31F5">
        <w:rPr>
          <w:sz w:val="28"/>
          <w:szCs w:val="28"/>
          <w:u w:val="single"/>
          <w:lang w:val="lv-LV"/>
        </w:rPr>
        <w:t xml:space="preserve"> nerada negatīvu ietekmi uz vispārējās valdības budžeta bilanci</w:t>
      </w:r>
      <w:r w:rsidR="00554535" w:rsidRPr="005C31F5">
        <w:rPr>
          <w:sz w:val="28"/>
          <w:szCs w:val="28"/>
          <w:u w:val="single"/>
          <w:lang w:val="lv-LV"/>
        </w:rPr>
        <w:t>;</w:t>
      </w:r>
    </w:p>
    <w:p w14:paraId="14EAF138" w14:textId="79F24782" w:rsidR="000E7E74" w:rsidRDefault="00554535" w:rsidP="00CF1B6C">
      <w:pPr>
        <w:ind w:firstLine="720"/>
        <w:jc w:val="both"/>
        <w:rPr>
          <w:sz w:val="28"/>
          <w:szCs w:val="28"/>
          <w:lang w:val="lv-LV"/>
        </w:rPr>
      </w:pPr>
      <w:r w:rsidRPr="005C31F5">
        <w:rPr>
          <w:sz w:val="28"/>
          <w:szCs w:val="28"/>
          <w:u w:val="single"/>
          <w:shd w:val="clear" w:color="auto" w:fill="FFFFFF"/>
          <w:lang w:val="lv-LV"/>
        </w:rPr>
        <w:t>5)</w:t>
      </w:r>
      <w:r w:rsidR="002F3B9A" w:rsidRPr="005C31F5">
        <w:rPr>
          <w:sz w:val="28"/>
          <w:szCs w:val="28"/>
          <w:u w:val="single"/>
          <w:shd w:val="clear" w:color="auto" w:fill="FFFFFF"/>
          <w:lang w:val="lv-LV"/>
        </w:rPr>
        <w:t xml:space="preserve"> </w:t>
      </w:r>
      <w:r w:rsidR="000E7E74">
        <w:rPr>
          <w:sz w:val="28"/>
          <w:szCs w:val="28"/>
          <w:u w:val="single"/>
          <w:shd w:val="clear" w:color="auto" w:fill="FFFFFF"/>
          <w:lang w:val="lv-LV"/>
        </w:rPr>
        <w:t xml:space="preserve">atzīt, ka </w:t>
      </w:r>
      <w:r w:rsidR="000E7E74" w:rsidRPr="002A15A0">
        <w:rPr>
          <w:sz w:val="28"/>
          <w:szCs w:val="28"/>
          <w:u w:val="single"/>
          <w:lang w:val="lv-LV"/>
        </w:rPr>
        <w:t>M</w:t>
      </w:r>
      <w:r w:rsidR="00D551E7">
        <w:rPr>
          <w:sz w:val="28"/>
          <w:szCs w:val="28"/>
          <w:u w:val="single"/>
          <w:lang w:val="lv-LV"/>
        </w:rPr>
        <w:t xml:space="preserve">inistru kabineta </w:t>
      </w:r>
      <w:r w:rsidR="000E7E74" w:rsidRPr="002A15A0">
        <w:rPr>
          <w:sz w:val="28"/>
          <w:szCs w:val="28"/>
          <w:u w:val="single"/>
          <w:lang w:val="lv-LV"/>
        </w:rPr>
        <w:t xml:space="preserve">2009.gada 27.oktobra noteikumu Nr. 1250 “Noteikumi par valsts nodevu par īpašuma tiesību un ķīlas tiesību nostiprināšanu </w:t>
      </w:r>
      <w:r w:rsidR="000E7E74" w:rsidRPr="002A15A0">
        <w:rPr>
          <w:sz w:val="28"/>
          <w:szCs w:val="28"/>
          <w:u w:val="single"/>
          <w:lang w:val="lv-LV"/>
        </w:rPr>
        <w:lastRenderedPageBreak/>
        <w:t xml:space="preserve">zemesgrāmatā” 17.17. apakšpunktā noteiktais valsts nodevas atbrīvojums ir attiecināms uz šajā ziņojumā noteikto </w:t>
      </w:r>
      <w:r w:rsidR="000E7E74" w:rsidRPr="002A15A0">
        <w:rPr>
          <w:sz w:val="28"/>
          <w:szCs w:val="28"/>
          <w:u w:val="single"/>
          <w:shd w:val="clear" w:color="auto" w:fill="FFFFFF"/>
          <w:lang w:val="lv-LV"/>
        </w:rPr>
        <w:t>pilnīgas īpašumtiesību nodalīšanas modeļa ieviešanas procesu un ar to saistītajām darbībām attiecībā uz pārvades sistēmas aktīvu pārreģistrēšanu.</w:t>
      </w:r>
    </w:p>
    <w:bookmarkEnd w:id="55"/>
    <w:p w14:paraId="6E648D57" w14:textId="77777777" w:rsidR="0097122B" w:rsidRPr="005C31F5" w:rsidRDefault="0097122B" w:rsidP="00FA37D4">
      <w:pPr>
        <w:ind w:firstLine="720"/>
        <w:jc w:val="both"/>
        <w:rPr>
          <w:sz w:val="28"/>
          <w:szCs w:val="28"/>
          <w:shd w:val="clear" w:color="auto" w:fill="FFFFFF"/>
          <w:lang w:val="lv-LV"/>
        </w:rPr>
      </w:pPr>
    </w:p>
    <w:p w14:paraId="228F4223" w14:textId="77777777" w:rsidR="00CF1B6C" w:rsidRPr="005C31F5" w:rsidRDefault="00CF1B6C" w:rsidP="00CF1B6C">
      <w:pPr>
        <w:pStyle w:val="Heading2"/>
        <w:jc w:val="left"/>
        <w:rPr>
          <w:lang w:val="lv-LV"/>
        </w:rPr>
      </w:pPr>
      <w:r w:rsidRPr="005C31F5">
        <w:rPr>
          <w:b/>
          <w:lang w:val="lv-LV"/>
        </w:rPr>
        <w:br w:type="page"/>
      </w:r>
    </w:p>
    <w:p w14:paraId="6CE8F22F" w14:textId="77777777" w:rsidR="00CF1B6C" w:rsidRPr="005C31F5" w:rsidRDefault="00CF1B6C" w:rsidP="00CF1B6C">
      <w:pPr>
        <w:pStyle w:val="Heading3"/>
        <w:ind w:left="993" w:hanging="633"/>
        <w:rPr>
          <w:shd w:val="clear" w:color="auto" w:fill="FFFFFF"/>
          <w:lang w:val="lv-LV"/>
        </w:rPr>
      </w:pPr>
      <w:bookmarkStart w:id="56" w:name="_Toc256000045"/>
      <w:bookmarkStart w:id="57" w:name="_Toc256000032"/>
      <w:bookmarkStart w:id="58" w:name="_Toc256000019"/>
      <w:bookmarkStart w:id="59" w:name="_Toc524621719"/>
      <w:bookmarkStart w:id="60" w:name="_Toc3205712"/>
      <w:r w:rsidRPr="005C31F5">
        <w:rPr>
          <w:shd w:val="clear" w:color="auto" w:fill="FFFFFF"/>
          <w:lang w:val="lv-LV"/>
        </w:rPr>
        <w:lastRenderedPageBreak/>
        <w:t>Turpmākie soļi un izmaiņas tiesību aktos, kas nepieciešamas, ieviešot modeli “</w:t>
      </w:r>
      <w:r w:rsidRPr="005C31F5">
        <w:rPr>
          <w:iCs/>
          <w:lang w:val="lv-LV"/>
        </w:rPr>
        <w:t>Pilnīga īpašumtiesību nodalīšana</w:t>
      </w:r>
      <w:r w:rsidRPr="005C31F5">
        <w:rPr>
          <w:iCs/>
          <w:color w:val="000000"/>
          <w:lang w:val="lv-LV"/>
        </w:rPr>
        <w:t>”</w:t>
      </w:r>
      <w:bookmarkEnd w:id="56"/>
      <w:bookmarkEnd w:id="57"/>
      <w:bookmarkEnd w:id="58"/>
      <w:bookmarkEnd w:id="59"/>
      <w:bookmarkEnd w:id="60"/>
    </w:p>
    <w:p w14:paraId="3F9FDB20" w14:textId="77777777" w:rsidR="00CF1B6C" w:rsidRPr="005C31F5" w:rsidRDefault="00CF1B6C" w:rsidP="00CF1B6C">
      <w:pPr>
        <w:pStyle w:val="doc-ti"/>
        <w:spacing w:before="0" w:beforeAutospacing="0" w:after="0" w:afterAutospacing="0"/>
        <w:ind w:firstLine="851"/>
        <w:rPr>
          <w:shd w:val="clear" w:color="auto" w:fill="FFFFFF"/>
          <w:lang w:val="lv-LV"/>
        </w:rPr>
      </w:pPr>
    </w:p>
    <w:p w14:paraId="72A643BF" w14:textId="77777777" w:rsidR="00CF1B6C" w:rsidRPr="005C31F5" w:rsidRDefault="00CF1B6C" w:rsidP="00CF1B6C">
      <w:pPr>
        <w:pStyle w:val="doc-ti"/>
        <w:spacing w:before="0" w:beforeAutospacing="0" w:after="0" w:afterAutospacing="0"/>
        <w:ind w:firstLine="851"/>
        <w:rPr>
          <w:b/>
          <w:sz w:val="28"/>
          <w:szCs w:val="28"/>
          <w:shd w:val="clear" w:color="auto" w:fill="FFFFFF"/>
          <w:lang w:val="lv-LV"/>
        </w:rPr>
      </w:pPr>
      <w:r w:rsidRPr="005C31F5">
        <w:rPr>
          <w:b/>
          <w:sz w:val="28"/>
          <w:szCs w:val="28"/>
          <w:shd w:val="clear" w:color="auto" w:fill="FFFFFF"/>
          <w:lang w:val="lv-LV"/>
        </w:rPr>
        <w:t>Lai īstenotu minētos pasākumus, Ministru kabinetam jāpieņem šādi lēmumi:</w:t>
      </w:r>
    </w:p>
    <w:p w14:paraId="6F81F084" w14:textId="77777777" w:rsidR="003C227D" w:rsidRPr="005C31F5" w:rsidRDefault="003C227D" w:rsidP="003C227D">
      <w:pPr>
        <w:pStyle w:val="doc-ti"/>
        <w:numPr>
          <w:ilvl w:val="0"/>
          <w:numId w:val="20"/>
        </w:numPr>
        <w:spacing w:before="0" w:beforeAutospacing="0" w:after="0" w:afterAutospacing="0"/>
        <w:jc w:val="both"/>
        <w:rPr>
          <w:sz w:val="28"/>
          <w:szCs w:val="28"/>
          <w:shd w:val="clear" w:color="auto" w:fill="FFFFFF"/>
          <w:lang w:val="lv-LV"/>
        </w:rPr>
      </w:pPr>
      <w:r w:rsidRPr="005C31F5">
        <w:rPr>
          <w:sz w:val="28"/>
          <w:szCs w:val="28"/>
          <w:shd w:val="clear" w:color="auto" w:fill="FFFFFF"/>
          <w:lang w:val="lv-LV"/>
        </w:rPr>
        <w:t>Par atbalstu 2011.gada MK rīkojum</w:t>
      </w:r>
      <w:r w:rsidR="008D02E1" w:rsidRPr="005C31F5">
        <w:rPr>
          <w:sz w:val="28"/>
          <w:szCs w:val="28"/>
          <w:shd w:val="clear" w:color="auto" w:fill="FFFFFF"/>
          <w:lang w:val="lv-LV"/>
        </w:rPr>
        <w:t>ā</w:t>
      </w:r>
      <w:r w:rsidRPr="005C31F5">
        <w:rPr>
          <w:sz w:val="28"/>
          <w:szCs w:val="28"/>
          <w:shd w:val="clear" w:color="auto" w:fill="FFFFFF"/>
          <w:lang w:val="lv-LV"/>
        </w:rPr>
        <w:t xml:space="preserve"> Nr.12 paredzētajai PSO pilnīgas īpašumtiesību nodalīšanas modeļa ieviešanai, ievērojot informatīvā ziņojuma secinājumu nodaļā </w:t>
      </w:r>
      <w:r w:rsidR="003D7CE2" w:rsidRPr="005C31F5">
        <w:rPr>
          <w:sz w:val="28"/>
          <w:szCs w:val="28"/>
          <w:shd w:val="clear" w:color="auto" w:fill="FFFFFF"/>
          <w:lang w:val="lv-LV"/>
        </w:rPr>
        <w:t>izklāstīto aktīvu nodalīšanas risinājumu un</w:t>
      </w:r>
      <w:r w:rsidRPr="005C31F5">
        <w:rPr>
          <w:sz w:val="28"/>
          <w:szCs w:val="28"/>
          <w:shd w:val="clear" w:color="auto" w:fill="FFFFFF"/>
          <w:lang w:val="lv-LV"/>
        </w:rPr>
        <w:t xml:space="preserve"> </w:t>
      </w:r>
      <w:r w:rsidR="003D7CE2" w:rsidRPr="005C31F5">
        <w:rPr>
          <w:sz w:val="28"/>
          <w:szCs w:val="28"/>
          <w:shd w:val="clear" w:color="auto" w:fill="FFFFFF"/>
          <w:lang w:val="lv-LV"/>
        </w:rPr>
        <w:t xml:space="preserve">tā </w:t>
      </w:r>
      <w:r w:rsidRPr="005C31F5">
        <w:rPr>
          <w:sz w:val="28"/>
          <w:szCs w:val="28"/>
          <w:shd w:val="clear" w:color="auto" w:fill="FFFFFF"/>
          <w:lang w:val="lv-LV"/>
        </w:rPr>
        <w:t>priekšnosacījumus.</w:t>
      </w:r>
    </w:p>
    <w:p w14:paraId="66F4FB27" w14:textId="6F5AA6DC" w:rsidR="003C227D" w:rsidRPr="005C31F5" w:rsidRDefault="003C227D" w:rsidP="003C227D">
      <w:pPr>
        <w:pStyle w:val="doc-ti"/>
        <w:numPr>
          <w:ilvl w:val="0"/>
          <w:numId w:val="20"/>
        </w:numPr>
        <w:spacing w:before="0" w:beforeAutospacing="0" w:after="0" w:afterAutospacing="0"/>
        <w:jc w:val="both"/>
        <w:rPr>
          <w:sz w:val="28"/>
          <w:szCs w:val="28"/>
          <w:shd w:val="clear" w:color="auto" w:fill="FFFFFF"/>
          <w:lang w:val="lv-LV"/>
        </w:rPr>
      </w:pPr>
      <w:r w:rsidRPr="005C31F5">
        <w:rPr>
          <w:sz w:val="28"/>
          <w:szCs w:val="28"/>
          <w:shd w:val="clear" w:color="auto" w:fill="FFFFFF"/>
          <w:lang w:val="lv-LV"/>
        </w:rPr>
        <w:t>Par uzdevumu Ekonomikas ministrijai sagatavot</w:t>
      </w:r>
      <w:r w:rsidR="00930836" w:rsidRPr="005C31F5">
        <w:rPr>
          <w:sz w:val="28"/>
          <w:szCs w:val="28"/>
          <w:shd w:val="clear" w:color="auto" w:fill="FFFFFF"/>
          <w:lang w:val="lv-LV"/>
        </w:rPr>
        <w:t xml:space="preserve"> un </w:t>
      </w:r>
      <w:r w:rsidRPr="005C31F5">
        <w:rPr>
          <w:sz w:val="28"/>
          <w:szCs w:val="28"/>
          <w:shd w:val="clear" w:color="auto" w:fill="FFFFFF"/>
          <w:lang w:val="lv-LV"/>
        </w:rPr>
        <w:t xml:space="preserve"> </w:t>
      </w:r>
      <w:r w:rsidR="00991C21" w:rsidRPr="005C31F5">
        <w:rPr>
          <w:sz w:val="28"/>
          <w:szCs w:val="28"/>
          <w:shd w:val="clear" w:color="auto" w:fill="FFFFFF"/>
          <w:lang w:val="lv-LV"/>
        </w:rPr>
        <w:t xml:space="preserve">Ministru kabinetā iesniegt </w:t>
      </w:r>
      <w:r w:rsidRPr="005C31F5">
        <w:rPr>
          <w:sz w:val="28"/>
          <w:szCs w:val="28"/>
          <w:shd w:val="clear" w:color="auto" w:fill="FFFFFF"/>
          <w:lang w:val="lv-LV"/>
        </w:rPr>
        <w:t>nepieciešamos tiesību aktu projektus</w:t>
      </w:r>
      <w:r w:rsidR="00991C21" w:rsidRPr="005C31F5">
        <w:rPr>
          <w:sz w:val="28"/>
          <w:szCs w:val="28"/>
          <w:shd w:val="clear" w:color="auto" w:fill="FFFFFF"/>
          <w:lang w:val="lv-LV"/>
        </w:rPr>
        <w:t>,</w:t>
      </w:r>
      <w:r w:rsidRPr="005C31F5">
        <w:rPr>
          <w:sz w:val="28"/>
          <w:szCs w:val="28"/>
          <w:shd w:val="clear" w:color="auto" w:fill="FFFFFF"/>
          <w:lang w:val="lv-LV"/>
        </w:rPr>
        <w:t xml:space="preserve"> lai </w:t>
      </w:r>
      <w:r w:rsidR="00F05A92">
        <w:rPr>
          <w:sz w:val="28"/>
          <w:szCs w:val="28"/>
          <w:shd w:val="clear" w:color="auto" w:fill="FFFFFF"/>
          <w:lang w:val="lv-LV"/>
        </w:rPr>
        <w:t>līdz</w:t>
      </w:r>
      <w:r w:rsidRPr="005C31F5">
        <w:rPr>
          <w:sz w:val="28"/>
          <w:szCs w:val="28"/>
          <w:shd w:val="clear" w:color="auto" w:fill="FFFFFF"/>
          <w:lang w:val="lv-LV"/>
        </w:rPr>
        <w:t xml:space="preserve"> 2020.gada </w:t>
      </w:r>
      <w:r w:rsidR="00930836" w:rsidRPr="005C31F5">
        <w:rPr>
          <w:sz w:val="28"/>
          <w:szCs w:val="28"/>
          <w:shd w:val="clear" w:color="auto" w:fill="FFFFFF"/>
          <w:lang w:val="lv-LV"/>
        </w:rPr>
        <w:t>1.j</w:t>
      </w:r>
      <w:r w:rsidR="002A15A0">
        <w:rPr>
          <w:sz w:val="28"/>
          <w:szCs w:val="28"/>
          <w:shd w:val="clear" w:color="auto" w:fill="FFFFFF"/>
          <w:lang w:val="lv-LV"/>
        </w:rPr>
        <w:t>ūlij</w:t>
      </w:r>
      <w:r w:rsidR="0003565F">
        <w:rPr>
          <w:sz w:val="28"/>
          <w:szCs w:val="28"/>
          <w:shd w:val="clear" w:color="auto" w:fill="FFFFFF"/>
          <w:lang w:val="lv-LV"/>
        </w:rPr>
        <w:t>am</w:t>
      </w:r>
      <w:r w:rsidRPr="005C31F5">
        <w:rPr>
          <w:sz w:val="28"/>
          <w:szCs w:val="28"/>
          <w:shd w:val="clear" w:color="auto" w:fill="FFFFFF"/>
          <w:lang w:val="lv-LV"/>
        </w:rPr>
        <w:t xml:space="preserve"> tiktu ieviests pilnīgas īpašumtiesību nodalīšanas modelis.</w:t>
      </w:r>
    </w:p>
    <w:p w14:paraId="49018BD3" w14:textId="43D01FD1" w:rsidR="00312CC7" w:rsidRPr="005C31F5" w:rsidRDefault="00876D7A" w:rsidP="00312CC7">
      <w:pPr>
        <w:pStyle w:val="doc-ti"/>
        <w:numPr>
          <w:ilvl w:val="0"/>
          <w:numId w:val="20"/>
        </w:numPr>
        <w:spacing w:before="0" w:beforeAutospacing="0" w:after="0" w:afterAutospacing="0"/>
        <w:jc w:val="both"/>
        <w:rPr>
          <w:sz w:val="28"/>
          <w:szCs w:val="28"/>
          <w:shd w:val="clear" w:color="auto" w:fill="FFFFFF"/>
          <w:lang w:val="lv-LV"/>
        </w:rPr>
      </w:pPr>
      <w:bookmarkStart w:id="61" w:name="_Hlk15488357"/>
      <w:r w:rsidRPr="005C31F5">
        <w:rPr>
          <w:sz w:val="28"/>
          <w:szCs w:val="28"/>
          <w:shd w:val="clear" w:color="auto" w:fill="FFFFFF"/>
          <w:lang w:val="lv-LV"/>
        </w:rPr>
        <w:t xml:space="preserve">Par uzdevumu </w:t>
      </w:r>
      <w:bookmarkStart w:id="62" w:name="_Hlk15641733"/>
      <w:r w:rsidR="00FE4735" w:rsidRPr="005C31F5">
        <w:rPr>
          <w:sz w:val="28"/>
          <w:szCs w:val="28"/>
          <w:shd w:val="clear" w:color="auto" w:fill="FFFFFF"/>
          <w:lang w:val="lv-LV"/>
        </w:rPr>
        <w:t>Ekonomikas ministrijai un Finanšu ministrijai līdz 2019.gada 3</w:t>
      </w:r>
      <w:r w:rsidR="0018099B">
        <w:rPr>
          <w:sz w:val="28"/>
          <w:szCs w:val="28"/>
          <w:shd w:val="clear" w:color="auto" w:fill="FFFFFF"/>
          <w:lang w:val="lv-LV"/>
        </w:rPr>
        <w:t>0</w:t>
      </w:r>
      <w:r w:rsidR="00FE4735" w:rsidRPr="005C31F5">
        <w:rPr>
          <w:sz w:val="28"/>
          <w:szCs w:val="28"/>
          <w:shd w:val="clear" w:color="auto" w:fill="FFFFFF"/>
          <w:lang w:val="lv-LV"/>
        </w:rPr>
        <w:t xml:space="preserve">.novembrim sagatavot un iesniegt Ministru kabinetā nepieciešamos tiesību aktu projektus </w:t>
      </w:r>
      <w:r w:rsidR="001D1221" w:rsidRPr="005C31F5">
        <w:rPr>
          <w:sz w:val="28"/>
          <w:szCs w:val="28"/>
          <w:shd w:val="clear" w:color="auto" w:fill="FFFFFF"/>
          <w:lang w:val="lv-LV"/>
        </w:rPr>
        <w:t xml:space="preserve">AS “Latvenergo” līdzdalības izbeigšanai LET un AST līdzdalības uzsākšanai LET </w:t>
      </w:r>
      <w:r w:rsidR="00FE4735" w:rsidRPr="005C31F5">
        <w:rPr>
          <w:sz w:val="28"/>
          <w:szCs w:val="28"/>
          <w:shd w:val="clear" w:color="auto" w:fill="FFFFFF"/>
          <w:lang w:val="lv-LV"/>
        </w:rPr>
        <w:t>saskaņā ar Publiskas personas kapitāla daļu un kapitālsabiedrību pārvaldības likum</w:t>
      </w:r>
      <w:r w:rsidR="00930836" w:rsidRPr="005C31F5">
        <w:rPr>
          <w:sz w:val="28"/>
          <w:szCs w:val="28"/>
          <w:shd w:val="clear" w:color="auto" w:fill="FFFFFF"/>
          <w:lang w:val="lv-LV"/>
        </w:rPr>
        <w:t xml:space="preserve">a </w:t>
      </w:r>
      <w:r w:rsidR="00867F56" w:rsidRPr="00867F56">
        <w:rPr>
          <w:sz w:val="28"/>
          <w:szCs w:val="28"/>
          <w:shd w:val="clear" w:color="auto" w:fill="FFFFFF"/>
          <w:lang w:val="lv-LV"/>
        </w:rPr>
        <w:t>4. pantu, 5. pantu un 9. panta otro daļu</w:t>
      </w:r>
      <w:r w:rsidR="00867F56">
        <w:rPr>
          <w:sz w:val="28"/>
          <w:szCs w:val="28"/>
          <w:shd w:val="clear" w:color="auto" w:fill="FFFFFF"/>
          <w:lang w:val="lv-LV"/>
        </w:rPr>
        <w:t xml:space="preserve"> </w:t>
      </w:r>
      <w:r w:rsidR="00FE4735" w:rsidRPr="005C31F5">
        <w:rPr>
          <w:sz w:val="28"/>
          <w:szCs w:val="28"/>
          <w:shd w:val="clear" w:color="auto" w:fill="FFFFFF"/>
          <w:lang w:val="lv-LV"/>
        </w:rPr>
        <w:t>Ministru kabineta atbalstītā risinājuma pilnīgas īpašumtiesību nodalīšanas modeļa ieviešanai.</w:t>
      </w:r>
    </w:p>
    <w:bookmarkEnd w:id="61"/>
    <w:bookmarkEnd w:id="62"/>
    <w:p w14:paraId="5F53E31A" w14:textId="36407074" w:rsidR="003C227D" w:rsidRPr="005C31F5" w:rsidRDefault="00876D7A" w:rsidP="003C227D">
      <w:pPr>
        <w:pStyle w:val="doc-ti"/>
        <w:numPr>
          <w:ilvl w:val="0"/>
          <w:numId w:val="20"/>
        </w:numPr>
        <w:spacing w:before="0" w:beforeAutospacing="0" w:after="0" w:afterAutospacing="0"/>
        <w:jc w:val="both"/>
        <w:rPr>
          <w:sz w:val="28"/>
          <w:szCs w:val="28"/>
          <w:shd w:val="clear" w:color="auto" w:fill="FFFFFF"/>
          <w:lang w:val="lv-LV"/>
        </w:rPr>
      </w:pPr>
      <w:r w:rsidRPr="005C31F5">
        <w:rPr>
          <w:sz w:val="28"/>
          <w:szCs w:val="28"/>
          <w:shd w:val="clear" w:color="auto" w:fill="FFFFFF"/>
          <w:lang w:val="lv-LV"/>
        </w:rPr>
        <w:t xml:space="preserve">Par uzdevumu </w:t>
      </w:r>
      <w:r w:rsidR="0052217F" w:rsidRPr="005C31F5">
        <w:rPr>
          <w:sz w:val="28"/>
          <w:szCs w:val="28"/>
          <w:shd w:val="clear" w:color="auto" w:fill="FFFFFF"/>
          <w:lang w:val="lv-LV"/>
        </w:rPr>
        <w:t>E</w:t>
      </w:r>
      <w:r w:rsidR="003D7CE2" w:rsidRPr="005C31F5">
        <w:rPr>
          <w:sz w:val="28"/>
          <w:szCs w:val="28"/>
          <w:shd w:val="clear" w:color="auto" w:fill="FFFFFF"/>
          <w:lang w:val="lv-LV"/>
        </w:rPr>
        <w:t>konomikas ministrijai un Finanšu ministrijai</w:t>
      </w:r>
      <w:r w:rsidR="0052217F" w:rsidRPr="005C31F5">
        <w:rPr>
          <w:sz w:val="28"/>
          <w:szCs w:val="28"/>
          <w:shd w:val="clear" w:color="auto" w:fill="FFFFFF"/>
          <w:lang w:val="lv-LV"/>
        </w:rPr>
        <w:t xml:space="preserve"> kā </w:t>
      </w:r>
      <w:r w:rsidR="003D7CE2" w:rsidRPr="005C31F5">
        <w:rPr>
          <w:sz w:val="28"/>
          <w:szCs w:val="28"/>
          <w:shd w:val="clear" w:color="auto" w:fill="FFFFFF"/>
          <w:lang w:val="lv-LV"/>
        </w:rPr>
        <w:t xml:space="preserve">AS “Latvenergo” un AST </w:t>
      </w:r>
      <w:r w:rsidR="0052217F" w:rsidRPr="005C31F5">
        <w:rPr>
          <w:sz w:val="28"/>
          <w:szCs w:val="28"/>
          <w:shd w:val="clear" w:color="auto" w:fill="FFFFFF"/>
          <w:lang w:val="lv-LV"/>
        </w:rPr>
        <w:t xml:space="preserve">akcionāriem </w:t>
      </w:r>
      <w:r w:rsidR="007B7708" w:rsidRPr="005C31F5">
        <w:rPr>
          <w:sz w:val="28"/>
          <w:szCs w:val="28"/>
          <w:shd w:val="clear" w:color="auto" w:fill="FFFFFF"/>
          <w:lang w:val="lv-LV"/>
        </w:rPr>
        <w:t>veikt</w:t>
      </w:r>
      <w:r w:rsidR="0052217F" w:rsidRPr="005C31F5">
        <w:rPr>
          <w:sz w:val="28"/>
          <w:szCs w:val="28"/>
          <w:shd w:val="clear" w:color="auto" w:fill="FFFFFF"/>
          <w:lang w:val="lv-LV"/>
        </w:rPr>
        <w:t xml:space="preserve"> nepieciešamās darbības, lai īstenotu </w:t>
      </w:r>
      <w:r w:rsidR="003D7CE2" w:rsidRPr="005C31F5">
        <w:rPr>
          <w:sz w:val="28"/>
          <w:szCs w:val="28"/>
          <w:shd w:val="clear" w:color="auto" w:fill="FFFFFF"/>
          <w:lang w:val="lv-LV"/>
        </w:rPr>
        <w:t>Ministru</w:t>
      </w:r>
      <w:r w:rsidR="0052217F" w:rsidRPr="005C31F5">
        <w:rPr>
          <w:sz w:val="28"/>
          <w:szCs w:val="28"/>
          <w:shd w:val="clear" w:color="auto" w:fill="FFFFFF"/>
          <w:lang w:val="lv-LV"/>
        </w:rPr>
        <w:t xml:space="preserve"> </w:t>
      </w:r>
      <w:r w:rsidR="003D7CE2" w:rsidRPr="005C31F5">
        <w:rPr>
          <w:sz w:val="28"/>
          <w:szCs w:val="28"/>
          <w:shd w:val="clear" w:color="auto" w:fill="FFFFFF"/>
          <w:lang w:val="lv-LV"/>
        </w:rPr>
        <w:t xml:space="preserve">kabineta </w:t>
      </w:r>
      <w:r w:rsidR="0052217F" w:rsidRPr="005C31F5">
        <w:rPr>
          <w:sz w:val="28"/>
          <w:szCs w:val="28"/>
          <w:shd w:val="clear" w:color="auto" w:fill="FFFFFF"/>
          <w:lang w:val="lv-LV"/>
        </w:rPr>
        <w:t>atbalstīt</w:t>
      </w:r>
      <w:r w:rsidR="00FE4735" w:rsidRPr="005C31F5">
        <w:rPr>
          <w:sz w:val="28"/>
          <w:szCs w:val="28"/>
          <w:shd w:val="clear" w:color="auto" w:fill="FFFFFF"/>
          <w:lang w:val="lv-LV"/>
        </w:rPr>
        <w:t>ā</w:t>
      </w:r>
      <w:r w:rsidR="0052217F" w:rsidRPr="005C31F5">
        <w:rPr>
          <w:sz w:val="28"/>
          <w:szCs w:val="28"/>
          <w:shd w:val="clear" w:color="auto" w:fill="FFFFFF"/>
          <w:lang w:val="lv-LV"/>
        </w:rPr>
        <w:t xml:space="preserve"> risinājum</w:t>
      </w:r>
      <w:r w:rsidR="00FE4735" w:rsidRPr="005C31F5">
        <w:rPr>
          <w:sz w:val="28"/>
          <w:szCs w:val="28"/>
          <w:shd w:val="clear" w:color="auto" w:fill="FFFFFF"/>
          <w:lang w:val="lv-LV"/>
        </w:rPr>
        <w:t>a</w:t>
      </w:r>
      <w:r w:rsidR="003D7CE2" w:rsidRPr="005C31F5">
        <w:rPr>
          <w:sz w:val="28"/>
          <w:szCs w:val="28"/>
          <w:shd w:val="clear" w:color="auto" w:fill="FFFFFF"/>
          <w:lang w:val="lv-LV"/>
        </w:rPr>
        <w:t xml:space="preserve"> pilnīgas īpašumtiesību nodalīšanas modeļa ieviešanai.</w:t>
      </w:r>
    </w:p>
    <w:p w14:paraId="303C57C7" w14:textId="77777777" w:rsidR="00CF1B6C" w:rsidRPr="005C31F5" w:rsidRDefault="00CF1B6C" w:rsidP="00CF1B6C">
      <w:pPr>
        <w:pStyle w:val="doc-ti"/>
        <w:spacing w:before="0" w:beforeAutospacing="0" w:after="0" w:afterAutospacing="0"/>
        <w:ind w:firstLine="851"/>
        <w:rPr>
          <w:b/>
          <w:sz w:val="28"/>
          <w:szCs w:val="28"/>
          <w:shd w:val="clear" w:color="auto" w:fill="FFFFFF"/>
          <w:lang w:val="lv-LV"/>
        </w:rPr>
      </w:pPr>
    </w:p>
    <w:p w14:paraId="16004663" w14:textId="77777777" w:rsidR="00E67883" w:rsidRPr="005C31F5" w:rsidRDefault="00E67883" w:rsidP="00CF1B6C">
      <w:pPr>
        <w:pStyle w:val="doc-ti"/>
        <w:spacing w:before="0" w:beforeAutospacing="0" w:after="0" w:afterAutospacing="0"/>
        <w:ind w:firstLine="851"/>
        <w:rPr>
          <w:b/>
          <w:sz w:val="28"/>
          <w:szCs w:val="28"/>
          <w:shd w:val="clear" w:color="auto" w:fill="FFFFFF"/>
          <w:lang w:val="lv-LV"/>
        </w:rPr>
      </w:pPr>
    </w:p>
    <w:p w14:paraId="2398F652" w14:textId="77777777" w:rsidR="00E67883" w:rsidRPr="005C31F5" w:rsidRDefault="00E67883" w:rsidP="00CF1B6C">
      <w:pPr>
        <w:pStyle w:val="doc-ti"/>
        <w:spacing w:before="0" w:beforeAutospacing="0" w:after="0" w:afterAutospacing="0"/>
        <w:ind w:firstLine="851"/>
        <w:rPr>
          <w:b/>
          <w:sz w:val="28"/>
          <w:szCs w:val="28"/>
          <w:shd w:val="clear" w:color="auto" w:fill="FFFFFF"/>
          <w:lang w:val="lv-LV"/>
        </w:rPr>
      </w:pPr>
    </w:p>
    <w:p w14:paraId="3E2E5DAA" w14:textId="77777777" w:rsidR="00CF1B6C" w:rsidRPr="005C31F5" w:rsidRDefault="00CF1B6C" w:rsidP="00CF1B6C">
      <w:pPr>
        <w:pStyle w:val="BodyText2"/>
        <w:tabs>
          <w:tab w:val="left" w:pos="7230"/>
        </w:tabs>
        <w:rPr>
          <w:sz w:val="28"/>
          <w:szCs w:val="28"/>
        </w:rPr>
      </w:pPr>
      <w:r w:rsidRPr="005C31F5">
        <w:rPr>
          <w:sz w:val="28"/>
          <w:szCs w:val="28"/>
        </w:rPr>
        <w:t>Iesniedzējs:</w:t>
      </w:r>
    </w:p>
    <w:p w14:paraId="13CC0D3D" w14:textId="77777777" w:rsidR="00CF1B6C" w:rsidRPr="005C31F5" w:rsidRDefault="00CF1B6C" w:rsidP="00CF1B6C">
      <w:pPr>
        <w:tabs>
          <w:tab w:val="left" w:pos="7513"/>
        </w:tabs>
        <w:rPr>
          <w:sz w:val="28"/>
          <w:szCs w:val="28"/>
          <w:lang w:val="lv-LV"/>
        </w:rPr>
      </w:pPr>
      <w:r w:rsidRPr="005C31F5">
        <w:rPr>
          <w:sz w:val="28"/>
          <w:szCs w:val="28"/>
          <w:lang w:val="lv-LV"/>
        </w:rPr>
        <w:t>Ekonomikas ministrs</w:t>
      </w:r>
      <w:r w:rsidRPr="005C31F5">
        <w:rPr>
          <w:sz w:val="28"/>
          <w:szCs w:val="28"/>
          <w:lang w:val="lv-LV"/>
        </w:rPr>
        <w:tab/>
      </w:r>
      <w:r w:rsidR="0075445D" w:rsidRPr="005C31F5">
        <w:rPr>
          <w:sz w:val="28"/>
          <w:szCs w:val="28"/>
          <w:lang w:val="lv-LV"/>
        </w:rPr>
        <w:t xml:space="preserve">     R. </w:t>
      </w:r>
      <w:proofErr w:type="spellStart"/>
      <w:r w:rsidR="0075445D" w:rsidRPr="005C31F5">
        <w:rPr>
          <w:sz w:val="28"/>
          <w:szCs w:val="28"/>
          <w:lang w:val="lv-LV"/>
        </w:rPr>
        <w:t>Nemiro</w:t>
      </w:r>
      <w:proofErr w:type="spellEnd"/>
    </w:p>
    <w:p w14:paraId="1624A5C5" w14:textId="77777777" w:rsidR="00CF1B6C" w:rsidRPr="005C31F5" w:rsidRDefault="00CF1B6C" w:rsidP="00CF1B6C">
      <w:pPr>
        <w:pStyle w:val="BodyText2"/>
        <w:tabs>
          <w:tab w:val="left" w:pos="7230"/>
        </w:tabs>
        <w:rPr>
          <w:sz w:val="28"/>
          <w:szCs w:val="28"/>
        </w:rPr>
      </w:pPr>
    </w:p>
    <w:p w14:paraId="16F82A6B" w14:textId="77777777" w:rsidR="00CF1B6C" w:rsidRPr="005C31F5" w:rsidRDefault="00CF1B6C" w:rsidP="00CF1B6C">
      <w:pPr>
        <w:pStyle w:val="BodyText2"/>
        <w:tabs>
          <w:tab w:val="left" w:pos="7230"/>
        </w:tabs>
        <w:rPr>
          <w:sz w:val="28"/>
          <w:szCs w:val="28"/>
        </w:rPr>
      </w:pPr>
      <w:r w:rsidRPr="005C31F5">
        <w:rPr>
          <w:sz w:val="28"/>
          <w:szCs w:val="28"/>
        </w:rPr>
        <w:t>Vīza:</w:t>
      </w:r>
    </w:p>
    <w:p w14:paraId="49801905" w14:textId="77777777" w:rsidR="00CF1B6C" w:rsidRPr="005C31F5" w:rsidRDefault="00CF1B6C" w:rsidP="00CF1B6C">
      <w:pPr>
        <w:tabs>
          <w:tab w:val="left" w:pos="7938"/>
        </w:tabs>
        <w:rPr>
          <w:sz w:val="28"/>
          <w:szCs w:val="28"/>
          <w:lang w:val="lv-LV"/>
        </w:rPr>
      </w:pPr>
      <w:r w:rsidRPr="005C31F5">
        <w:rPr>
          <w:color w:val="000000"/>
          <w:sz w:val="28"/>
          <w:szCs w:val="28"/>
          <w:lang w:val="lv-LV"/>
        </w:rPr>
        <w:t>Valsts sekretārs</w:t>
      </w:r>
      <w:r w:rsidRPr="005C31F5">
        <w:rPr>
          <w:sz w:val="28"/>
          <w:szCs w:val="28"/>
          <w:lang w:val="lv-LV"/>
        </w:rPr>
        <w:tab/>
      </w:r>
      <w:r w:rsidRPr="005C31F5">
        <w:rPr>
          <w:color w:val="000000"/>
          <w:sz w:val="28"/>
          <w:szCs w:val="28"/>
          <w:lang w:val="lv-LV"/>
        </w:rPr>
        <w:t>Ē.</w:t>
      </w:r>
      <w:r w:rsidR="00D479D1" w:rsidRPr="005C31F5">
        <w:rPr>
          <w:color w:val="000000"/>
          <w:sz w:val="28"/>
          <w:szCs w:val="28"/>
          <w:lang w:val="lv-LV"/>
        </w:rPr>
        <w:t xml:space="preserve"> </w:t>
      </w:r>
      <w:r w:rsidRPr="005C31F5">
        <w:rPr>
          <w:color w:val="000000"/>
          <w:sz w:val="28"/>
          <w:szCs w:val="28"/>
          <w:lang w:val="lv-LV"/>
        </w:rPr>
        <w:t>Eglītis</w:t>
      </w:r>
    </w:p>
    <w:p w14:paraId="524CBFF7" w14:textId="77777777" w:rsidR="00CF1B6C" w:rsidRPr="005C31F5" w:rsidRDefault="00CF1B6C" w:rsidP="00CF1B6C">
      <w:pPr>
        <w:tabs>
          <w:tab w:val="left" w:pos="1075"/>
        </w:tabs>
        <w:rPr>
          <w:color w:val="000000"/>
          <w:sz w:val="28"/>
          <w:szCs w:val="28"/>
          <w:lang w:val="lv-LV"/>
        </w:rPr>
      </w:pPr>
      <w:r w:rsidRPr="005C31F5">
        <w:rPr>
          <w:color w:val="000000"/>
          <w:sz w:val="28"/>
          <w:szCs w:val="28"/>
          <w:lang w:val="lv-LV"/>
        </w:rPr>
        <w:tab/>
      </w:r>
    </w:p>
    <w:p w14:paraId="656D36D4" w14:textId="77777777" w:rsidR="00CF1B6C" w:rsidRPr="005C31F5" w:rsidRDefault="00CF1B6C" w:rsidP="00CF1B6C">
      <w:pPr>
        <w:jc w:val="both"/>
        <w:rPr>
          <w:sz w:val="16"/>
          <w:szCs w:val="16"/>
          <w:lang w:val="lv-LV"/>
        </w:rPr>
      </w:pPr>
      <w:r w:rsidRPr="005C31F5">
        <w:rPr>
          <w:sz w:val="16"/>
          <w:szCs w:val="16"/>
          <w:lang w:val="lv-LV"/>
        </w:rPr>
        <w:t>Armane, 67013069</w:t>
      </w:r>
    </w:p>
    <w:p w14:paraId="29DD4386" w14:textId="77777777" w:rsidR="00CF1B6C" w:rsidRPr="005C31F5" w:rsidRDefault="00B80A13" w:rsidP="00CF1B6C">
      <w:pPr>
        <w:jc w:val="both"/>
        <w:rPr>
          <w:sz w:val="16"/>
          <w:szCs w:val="16"/>
          <w:lang w:val="lv-LV"/>
        </w:rPr>
      </w:pPr>
      <w:hyperlink r:id="rId15" w:history="1">
        <w:r w:rsidR="00527720" w:rsidRPr="005C31F5">
          <w:rPr>
            <w:rStyle w:val="Hyperlink"/>
            <w:sz w:val="16"/>
            <w:szCs w:val="16"/>
            <w:lang w:val="lv-LV"/>
          </w:rPr>
          <w:t>Daira.Armane@em.gov.lv</w:t>
        </w:r>
      </w:hyperlink>
    </w:p>
    <w:p w14:paraId="287443B9" w14:textId="77777777" w:rsidR="00527720" w:rsidRPr="005C31F5" w:rsidRDefault="00527720" w:rsidP="00CF1B6C">
      <w:pPr>
        <w:jc w:val="both"/>
        <w:rPr>
          <w:b/>
          <w:sz w:val="16"/>
          <w:szCs w:val="16"/>
          <w:shd w:val="clear" w:color="auto" w:fill="FFFFFF"/>
          <w:lang w:val="lv-LV"/>
        </w:rPr>
      </w:pPr>
    </w:p>
    <w:p w14:paraId="0F56D418" w14:textId="77777777" w:rsidR="00D0109A" w:rsidRPr="005C31F5" w:rsidRDefault="00D0109A" w:rsidP="00E47E8E">
      <w:pPr>
        <w:spacing w:after="160" w:line="259" w:lineRule="auto"/>
        <w:rPr>
          <w:b/>
          <w:sz w:val="16"/>
          <w:szCs w:val="16"/>
          <w:shd w:val="clear" w:color="auto" w:fill="FFFFFF"/>
          <w:lang w:val="lv-LV"/>
        </w:rPr>
      </w:pPr>
    </w:p>
    <w:p w14:paraId="111365ED" w14:textId="77777777" w:rsidR="00CB0DFC" w:rsidRPr="005C31F5" w:rsidRDefault="00CB0DFC" w:rsidP="003251C1">
      <w:pPr>
        <w:pStyle w:val="Heading3"/>
        <w:numPr>
          <w:ilvl w:val="0"/>
          <w:numId w:val="0"/>
        </w:numPr>
        <w:ind w:left="720"/>
        <w:jc w:val="left"/>
        <w:rPr>
          <w:b w:val="0"/>
          <w:sz w:val="16"/>
          <w:szCs w:val="16"/>
          <w:shd w:val="clear" w:color="auto" w:fill="FFFFFF"/>
          <w:lang w:val="lv-LV"/>
        </w:rPr>
      </w:pPr>
    </w:p>
    <w:sectPr w:rsidR="00CB0DFC" w:rsidRPr="005C31F5" w:rsidSect="003869A4">
      <w:footerReference w:type="default" r:id="rId16"/>
      <w:headerReference w:type="first" r:id="rId17"/>
      <w:pgSz w:w="12240" w:h="15840"/>
      <w:pgMar w:top="993" w:right="1183"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DCB7" w14:textId="77777777" w:rsidR="003869A4" w:rsidRDefault="003869A4" w:rsidP="00D04702">
      <w:r>
        <w:separator/>
      </w:r>
    </w:p>
    <w:p w14:paraId="3A834C52" w14:textId="77777777" w:rsidR="003869A4" w:rsidRDefault="003869A4"/>
  </w:endnote>
  <w:endnote w:type="continuationSeparator" w:id="0">
    <w:p w14:paraId="41A2E10F" w14:textId="77777777" w:rsidR="003869A4" w:rsidRDefault="003869A4" w:rsidP="00D04702">
      <w:r>
        <w:continuationSeparator/>
      </w:r>
    </w:p>
    <w:p w14:paraId="20A0D158" w14:textId="77777777" w:rsidR="003869A4" w:rsidRDefault="003869A4"/>
  </w:endnote>
  <w:endnote w:type="continuationNotice" w:id="1">
    <w:p w14:paraId="1779D84F" w14:textId="77777777" w:rsidR="003869A4" w:rsidRDefault="00386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EYInterstate">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736351"/>
      <w:docPartObj>
        <w:docPartGallery w:val="Page Numbers (Bottom of Page)"/>
        <w:docPartUnique/>
      </w:docPartObj>
    </w:sdtPr>
    <w:sdtEndPr>
      <w:rPr>
        <w:noProof/>
      </w:rPr>
    </w:sdtEndPr>
    <w:sdtContent>
      <w:p w14:paraId="61367CCA" w14:textId="77777777" w:rsidR="00B92F45" w:rsidRDefault="00B92F4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25E33EB" w14:textId="77777777" w:rsidR="00B92F45" w:rsidRPr="00345001" w:rsidRDefault="00B92F45">
    <w:pPr>
      <w:pStyle w:val="Footer"/>
      <w:rPr>
        <w:sz w:val="20"/>
      </w:rPr>
    </w:pPr>
  </w:p>
  <w:p w14:paraId="1FF95834" w14:textId="2E1E36D1" w:rsidR="00794047" w:rsidRPr="00794047" w:rsidRDefault="00B92F45">
    <w:pPr>
      <w:rPr>
        <w:sz w:val="20"/>
      </w:rPr>
    </w:pPr>
    <w:r>
      <w:rPr>
        <w:sz w:val="20"/>
      </w:rPr>
      <w:fldChar w:fldCharType="begin"/>
    </w:r>
    <w:r>
      <w:rPr>
        <w:sz w:val="20"/>
      </w:rPr>
      <w:instrText xml:space="preserve"> FILENAME   \* MERGEFORMAT </w:instrText>
    </w:r>
    <w:r>
      <w:rPr>
        <w:sz w:val="20"/>
      </w:rPr>
      <w:fldChar w:fldCharType="separate"/>
    </w:r>
    <w:r w:rsidR="00794047">
      <w:rPr>
        <w:noProof/>
        <w:sz w:val="20"/>
      </w:rPr>
      <w:t>EMzino_</w:t>
    </w:r>
    <w:r w:rsidR="00444A9F">
      <w:rPr>
        <w:noProof/>
        <w:sz w:val="20"/>
      </w:rPr>
      <w:t>13</w:t>
    </w:r>
    <w:r w:rsidR="00794047">
      <w:rPr>
        <w:noProof/>
        <w:sz w:val="20"/>
      </w:rPr>
      <w:t>092019_aktīvi</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BDA6" w14:textId="77777777" w:rsidR="003869A4" w:rsidRDefault="003869A4" w:rsidP="00D04702">
      <w:r>
        <w:separator/>
      </w:r>
    </w:p>
    <w:p w14:paraId="475846BF" w14:textId="77777777" w:rsidR="003869A4" w:rsidRDefault="003869A4"/>
  </w:footnote>
  <w:footnote w:type="continuationSeparator" w:id="0">
    <w:p w14:paraId="0AC8F15E" w14:textId="77777777" w:rsidR="003869A4" w:rsidRDefault="003869A4" w:rsidP="00D04702">
      <w:r>
        <w:continuationSeparator/>
      </w:r>
    </w:p>
    <w:p w14:paraId="59E05679" w14:textId="77777777" w:rsidR="003869A4" w:rsidRDefault="003869A4"/>
  </w:footnote>
  <w:footnote w:type="continuationNotice" w:id="1">
    <w:p w14:paraId="4DE8E519" w14:textId="77777777" w:rsidR="003869A4" w:rsidRDefault="003869A4"/>
  </w:footnote>
  <w:footnote w:id="2">
    <w:p w14:paraId="4E7CF171" w14:textId="77777777" w:rsidR="00B92F45" w:rsidRPr="00161C93" w:rsidRDefault="00B92F45">
      <w:pPr>
        <w:pStyle w:val="FootnoteText"/>
        <w:rPr>
          <w:lang w:val="lv-LV"/>
        </w:rPr>
      </w:pPr>
      <w:r>
        <w:rPr>
          <w:rStyle w:val="FootnoteReference"/>
        </w:rPr>
        <w:footnoteRef/>
      </w:r>
      <w:r w:rsidRPr="00AE4E00">
        <w:rPr>
          <w:lang w:val="de-DE"/>
        </w:rPr>
        <w:t xml:space="preserve"> Direkt</w:t>
      </w:r>
      <w:r>
        <w:rPr>
          <w:lang w:val="lv-LV"/>
        </w:rPr>
        <w:t xml:space="preserve">īvas </w:t>
      </w:r>
      <w:r w:rsidRPr="00A12D13">
        <w:rPr>
          <w:lang w:val="de-DE"/>
        </w:rPr>
        <w:t>2009/72/EK</w:t>
      </w:r>
      <w:r>
        <w:rPr>
          <w:lang w:val="lv-LV"/>
        </w:rPr>
        <w:t xml:space="preserve"> IV nodaļas 9.panta 1.punkts</w:t>
      </w:r>
    </w:p>
  </w:footnote>
  <w:footnote w:id="3">
    <w:p w14:paraId="2A476819" w14:textId="77777777" w:rsidR="00B92F45" w:rsidRPr="00865705" w:rsidRDefault="00B92F45">
      <w:pPr>
        <w:pStyle w:val="FootnoteText"/>
        <w:rPr>
          <w:lang w:val="lv-LV"/>
        </w:rPr>
      </w:pPr>
      <w:r>
        <w:rPr>
          <w:rStyle w:val="FootnoteReference"/>
        </w:rPr>
        <w:footnoteRef/>
      </w:r>
      <w:r w:rsidRPr="00AE4E00">
        <w:rPr>
          <w:lang w:val="de-DE"/>
        </w:rPr>
        <w:t xml:space="preserve"> </w:t>
      </w:r>
      <w:r>
        <w:rPr>
          <w:lang w:val="lv-LV"/>
        </w:rPr>
        <w:t xml:space="preserve">Direktīvas </w:t>
      </w:r>
      <w:r w:rsidRPr="00A12D13">
        <w:rPr>
          <w:lang w:val="de-DE"/>
        </w:rPr>
        <w:t>2009/72/EK</w:t>
      </w:r>
      <w:r>
        <w:rPr>
          <w:lang w:val="lv-LV"/>
        </w:rPr>
        <w:t xml:space="preserve"> V nodaļas 17.panta 1.punkts</w:t>
      </w:r>
    </w:p>
  </w:footnote>
  <w:footnote w:id="4">
    <w:p w14:paraId="10715E14" w14:textId="77777777" w:rsidR="00B92F45" w:rsidRPr="006A50F3" w:rsidRDefault="00B92F45" w:rsidP="009D2E82">
      <w:pPr>
        <w:pStyle w:val="FootnoteText"/>
        <w:jc w:val="both"/>
        <w:rPr>
          <w:lang w:val="lv-LV"/>
        </w:rPr>
      </w:pPr>
      <w:r>
        <w:rPr>
          <w:rStyle w:val="FootnoteReference"/>
        </w:rPr>
        <w:footnoteRef/>
      </w:r>
      <w:r w:rsidRPr="00C346F6">
        <w:rPr>
          <w:lang w:val="lv-LV"/>
        </w:rPr>
        <w:t xml:space="preserve"> </w:t>
      </w:r>
      <w:r>
        <w:rPr>
          <w:lang w:val="lv-LV"/>
        </w:rPr>
        <w:t xml:space="preserve">2011.gada 12.janvāra  MK rīkojums Nr.12 </w:t>
      </w:r>
      <w:r w:rsidRPr="006A50F3">
        <w:rPr>
          <w:lang w:val="lv-LV"/>
        </w:rPr>
        <w:t>”</w:t>
      </w:r>
      <w:r w:rsidRPr="00C346F6">
        <w:rPr>
          <w:bCs/>
          <w:shd w:val="clear" w:color="auto" w:fill="FFFFFF"/>
          <w:lang w:val="lv-LV"/>
        </w:rPr>
        <w:t>Par Koncepciju par nepieciešamajām darbībām Eiropas Parlamenta un Padomes 2009.gada 13.jūlija Direktīvā </w:t>
      </w:r>
      <w:hyperlink r:id="rId1" w:tgtFrame="_blank" w:history="1">
        <w:r w:rsidRPr="00A214A4">
          <w:rPr>
            <w:rStyle w:val="Hyperlink"/>
            <w:bCs/>
            <w:color w:val="auto"/>
            <w:u w:val="none"/>
            <w:shd w:val="clear" w:color="auto" w:fill="FFFFFF"/>
            <w:lang w:val="lv-LV"/>
          </w:rPr>
          <w:t>2009/72/EK</w:t>
        </w:r>
      </w:hyperlink>
      <w:r w:rsidRPr="00C346F6">
        <w:rPr>
          <w:bCs/>
          <w:shd w:val="clear" w:color="auto" w:fill="FFFFFF"/>
          <w:lang w:val="lv-LV"/>
        </w:rPr>
        <w:t> par kopīgiem noteikumiem attiecībā uz elektroenerģijas iekšējo tirgu un par Direktīvas </w:t>
      </w:r>
      <w:hyperlink r:id="rId2" w:tgtFrame="_blank" w:history="1">
        <w:r w:rsidRPr="00A214A4">
          <w:rPr>
            <w:rStyle w:val="Hyperlink"/>
            <w:bCs/>
            <w:color w:val="auto"/>
            <w:u w:val="none"/>
            <w:shd w:val="clear" w:color="auto" w:fill="FFFFFF"/>
            <w:lang w:val="lv-LV"/>
          </w:rPr>
          <w:t>2003/54/EK</w:t>
        </w:r>
      </w:hyperlink>
      <w:r w:rsidRPr="00C346F6">
        <w:rPr>
          <w:bCs/>
          <w:shd w:val="clear" w:color="auto" w:fill="FFFFFF"/>
          <w:lang w:val="lv-LV"/>
        </w:rPr>
        <w:t> atcelšanu noteiktajai elektroenerģijas pārvades sistēmas operatora nodalīšanai”</w:t>
      </w:r>
      <w:r w:rsidRPr="006A50F3">
        <w:rPr>
          <w:lang w:val="lv-LV"/>
        </w:rPr>
        <w:t xml:space="preserve"> </w:t>
      </w:r>
      <w:r w:rsidRPr="00C346F6">
        <w:rPr>
          <w:shd w:val="clear" w:color="auto" w:fill="FFFFFF"/>
          <w:lang w:val="lv-LV"/>
        </w:rPr>
        <w:t xml:space="preserve">(prot. </w:t>
      </w:r>
      <w:r w:rsidRPr="00055436">
        <w:rPr>
          <w:shd w:val="clear" w:color="auto" w:fill="FFFFFF"/>
          <w:lang w:val="lv-LV"/>
        </w:rPr>
        <w:t>Nr.1 42.§)</w:t>
      </w:r>
    </w:p>
    <w:p w14:paraId="6832D452" w14:textId="77777777" w:rsidR="00B92F45" w:rsidRPr="008202D2" w:rsidRDefault="00B92F45" w:rsidP="00CF1B6C">
      <w:pPr>
        <w:pStyle w:val="FootnoteText"/>
        <w:rPr>
          <w:lang w:val="lv-LV"/>
        </w:rPr>
      </w:pPr>
    </w:p>
  </w:footnote>
  <w:footnote w:id="5">
    <w:p w14:paraId="01082A54" w14:textId="77777777" w:rsidR="00B92F45" w:rsidRPr="00A546CC" w:rsidRDefault="00B92F45" w:rsidP="00CF1B6C">
      <w:pPr>
        <w:pStyle w:val="FootnoteText"/>
        <w:rPr>
          <w:lang w:val="lv-LV"/>
        </w:rPr>
      </w:pPr>
      <w:r>
        <w:rPr>
          <w:rStyle w:val="FootnoteReference"/>
        </w:rPr>
        <w:footnoteRef/>
      </w:r>
      <w:r w:rsidRPr="00A546CC">
        <w:rPr>
          <w:lang w:val="lv-LV"/>
        </w:rPr>
        <w:t xml:space="preserve"> </w:t>
      </w:r>
      <w:hyperlink r:id="rId3" w:history="1">
        <w:r w:rsidRPr="009E64D0">
          <w:rPr>
            <w:rStyle w:val="Hyperlink"/>
            <w:lang w:val="lv-LV"/>
          </w:rPr>
          <w:t>https://www.sprk.gov.lv/uploads/doc/LemumsN090D26072018.pdf</w:t>
        </w:r>
      </w:hyperlink>
      <w:r>
        <w:rPr>
          <w:lang w:val="lv-LV"/>
        </w:rPr>
        <w:t xml:space="preserve"> </w:t>
      </w:r>
    </w:p>
  </w:footnote>
  <w:footnote w:id="6">
    <w:p w14:paraId="314C9881" w14:textId="77777777" w:rsidR="00B92F45" w:rsidRPr="00307D51" w:rsidRDefault="00B92F45" w:rsidP="00CF1B6C">
      <w:pPr>
        <w:pStyle w:val="FootnoteText"/>
        <w:rPr>
          <w:lang w:val="lv-LV"/>
        </w:rPr>
      </w:pPr>
      <w:r>
        <w:rPr>
          <w:rStyle w:val="FootnoteReference"/>
        </w:rPr>
        <w:footnoteRef/>
      </w:r>
      <w:r w:rsidRPr="00055436">
        <w:rPr>
          <w:lang w:val="lv-LV"/>
        </w:rPr>
        <w:t xml:space="preserve"> </w:t>
      </w:r>
      <w:r>
        <w:rPr>
          <w:lang w:val="lv-LV"/>
        </w:rPr>
        <w:t>Elektroenerģijas tirgus likuma 13.panta 3.punkts un 6.punkts (</w:t>
      </w:r>
      <w:r w:rsidRPr="006C1791">
        <w:rPr>
          <w:lang w:val="lv-LV"/>
        </w:rPr>
        <w:t>Ar grozījumiem, kas izdarīti ar 10.04.2008. un 08.07.2011. likumu, kas stājas spēkā 11.08.2011.</w:t>
      </w:r>
      <w:r>
        <w:rPr>
          <w:lang w:val="lv-LV"/>
        </w:rPr>
        <w:t>)</w:t>
      </w:r>
    </w:p>
  </w:footnote>
  <w:footnote w:id="7">
    <w:p w14:paraId="62836B59" w14:textId="77777777" w:rsidR="00B92F45" w:rsidRPr="0022794D" w:rsidRDefault="00B92F45" w:rsidP="00CF1B6C">
      <w:pPr>
        <w:pStyle w:val="FootnoteText"/>
        <w:rPr>
          <w:lang w:val="lv-LV"/>
        </w:rPr>
      </w:pPr>
      <w:r>
        <w:rPr>
          <w:rStyle w:val="FootnoteReference"/>
        </w:rPr>
        <w:footnoteRef/>
      </w:r>
      <w:r w:rsidRPr="00055436">
        <w:rPr>
          <w:lang w:val="lv-LV"/>
        </w:rPr>
        <w:t xml:space="preserve"> </w:t>
      </w:r>
      <w:r>
        <w:rPr>
          <w:lang w:val="lv-LV"/>
        </w:rPr>
        <w:t xml:space="preserve">AST darbības rādītāji par </w:t>
      </w:r>
      <w:r w:rsidRPr="00BF5523">
        <w:rPr>
          <w:lang w:val="lv-LV"/>
        </w:rPr>
        <w:t xml:space="preserve">2017.gadu: </w:t>
      </w:r>
      <w:r w:rsidRPr="00BF5523">
        <w:rPr>
          <w:rFonts w:eastAsia="Calibri"/>
        </w:rPr>
        <w:t>http://www.ast.lv/lv/content/2017-gada-parskats</w:t>
      </w:r>
      <w:r w:rsidRPr="00BF5523">
        <w:rPr>
          <w:rFonts w:eastAsia="Calibri"/>
          <w:color w:val="353838"/>
        </w:rPr>
        <w:t>.</w:t>
      </w:r>
    </w:p>
  </w:footnote>
  <w:footnote w:id="8">
    <w:p w14:paraId="2EDFE9A9" w14:textId="62CEE4A2" w:rsidR="00B92F45" w:rsidRPr="0096191E" w:rsidRDefault="00B92F45">
      <w:pPr>
        <w:pStyle w:val="FootnoteText"/>
        <w:rPr>
          <w:lang w:val="lv-LV"/>
        </w:rPr>
      </w:pPr>
      <w:r>
        <w:rPr>
          <w:rStyle w:val="FootnoteReference"/>
        </w:rPr>
        <w:footnoteRef/>
      </w:r>
      <w:r w:rsidRPr="00F92911">
        <w:rPr>
          <w:lang w:val="lv-LV"/>
        </w:rPr>
        <w:t xml:space="preserve"> </w:t>
      </w:r>
      <w:hyperlink r:id="rId4" w:history="1">
        <w:r w:rsidRPr="00F92911">
          <w:rPr>
            <w:rStyle w:val="Hyperlink"/>
            <w:lang w:val="lv-LV"/>
          </w:rPr>
          <w:t>http://www.ast.lv/lv/content/2018-gada-parskats</w:t>
        </w:r>
      </w:hyperlink>
    </w:p>
  </w:footnote>
  <w:footnote w:id="9">
    <w:p w14:paraId="66BA1C8B" w14:textId="77777777" w:rsidR="00B92F45" w:rsidRPr="00F74CAF" w:rsidRDefault="00B92F45" w:rsidP="00CF1B6C">
      <w:pPr>
        <w:pStyle w:val="FootnoteText"/>
        <w:rPr>
          <w:lang w:val="lv-LV"/>
        </w:rPr>
      </w:pPr>
      <w:r>
        <w:rPr>
          <w:rStyle w:val="FootnoteReference"/>
        </w:rPr>
        <w:footnoteRef/>
      </w:r>
      <w:r w:rsidRPr="00055436">
        <w:rPr>
          <w:lang w:val="lv-LV"/>
        </w:rPr>
        <w:t xml:space="preserve"> Regulatora padomes 2015.gada 26.februāra lēmums Nr. 1/6 “Elektroenerģijas pārvades sistēmas pakalpojumu tarifu aprēķināšanas metodika”</w:t>
      </w:r>
      <w:r w:rsidRPr="00055436">
        <w:rPr>
          <w:shd w:val="clear" w:color="auto" w:fill="FFFFFF"/>
          <w:lang w:val="lv-LV"/>
        </w:rPr>
        <w:t xml:space="preserve"> (prot. Nr.7, 3.p.)</w:t>
      </w:r>
    </w:p>
  </w:footnote>
  <w:footnote w:id="10">
    <w:p w14:paraId="0CE5F58A" w14:textId="77777777" w:rsidR="00B92F45" w:rsidRPr="00D9221E" w:rsidRDefault="00B92F45" w:rsidP="00CF1B6C">
      <w:pPr>
        <w:pStyle w:val="FootnoteText"/>
        <w:rPr>
          <w:lang w:val="lv-LV"/>
        </w:rPr>
      </w:pPr>
      <w:r>
        <w:rPr>
          <w:rStyle w:val="FootnoteReference"/>
        </w:rPr>
        <w:footnoteRef/>
      </w:r>
      <w:r w:rsidRPr="00D9221E">
        <w:rPr>
          <w:lang w:val="lv-LV"/>
        </w:rPr>
        <w:t xml:space="preserve"> Sabiedrisko pakalpojumu regulēšanas komisijas </w:t>
      </w:r>
      <w:r w:rsidRPr="00D9221E">
        <w:rPr>
          <w:shd w:val="clear" w:color="auto" w:fill="FFFFFF"/>
          <w:lang w:val="lv-LV"/>
        </w:rPr>
        <w:t>2011.gada 23. novembra lēmums Nr. 1/28 “Noteikumi par elektroenerģijas pārvades sistēmas attīstības plānu”</w:t>
      </w:r>
      <w:r w:rsidRPr="00D9221E">
        <w:rPr>
          <w:lang w:val="lv-LV"/>
        </w:rPr>
        <w:t xml:space="preserve"> </w:t>
      </w:r>
      <w:r w:rsidRPr="000C0263">
        <w:rPr>
          <w:shd w:val="clear" w:color="auto" w:fill="FFFFFF"/>
          <w:lang w:val="lv-LV"/>
        </w:rPr>
        <w:t>(prot. Nr.43, 7.p.)</w:t>
      </w:r>
    </w:p>
  </w:footnote>
  <w:footnote w:id="11">
    <w:p w14:paraId="6D0957F7" w14:textId="77777777" w:rsidR="00B92F45" w:rsidRPr="007A7994" w:rsidRDefault="00B92F45" w:rsidP="00CF1B6C">
      <w:pPr>
        <w:pStyle w:val="FootnoteText"/>
        <w:rPr>
          <w:lang w:val="lv-LV"/>
        </w:rPr>
      </w:pPr>
      <w:r>
        <w:rPr>
          <w:rStyle w:val="FootnoteReference"/>
        </w:rPr>
        <w:footnoteRef/>
      </w:r>
      <w:r w:rsidRPr="00055436">
        <w:rPr>
          <w:lang w:val="lv-LV"/>
        </w:rPr>
        <w:t xml:space="preserve"> </w:t>
      </w:r>
      <w:r>
        <w:rPr>
          <w:lang w:val="lv-LV"/>
        </w:rPr>
        <w:t xml:space="preserve">Elektroenerģijas pārvades sistēmas 10 gadu attīstības plāns pieejams: </w:t>
      </w:r>
      <w:r w:rsidRPr="00F92911">
        <w:rPr>
          <w:lang w:val="lv-LV"/>
        </w:rPr>
        <w:t>https://www.sprk.gov.lv/cmaa/type_2?year=2018&amp;sector=26&amp;category=All</w:t>
      </w:r>
    </w:p>
  </w:footnote>
  <w:footnote w:id="12">
    <w:p w14:paraId="1A809EB6" w14:textId="77777777" w:rsidR="00B92F45" w:rsidRPr="007A7994" w:rsidRDefault="00B92F45" w:rsidP="00CF1B6C">
      <w:pPr>
        <w:pStyle w:val="FootnoteText"/>
        <w:rPr>
          <w:lang w:val="lv-LV"/>
        </w:rPr>
      </w:pPr>
      <w:r>
        <w:rPr>
          <w:rStyle w:val="FootnoteReference"/>
        </w:rPr>
        <w:footnoteRef/>
      </w:r>
      <w:r>
        <w:rPr>
          <w:lang w:val="lv-LV"/>
        </w:rPr>
        <w:t xml:space="preserve">ENTSO-E 10 gadu tīkla attīstības plāns: </w:t>
      </w:r>
      <w:r w:rsidRPr="00BA424E">
        <w:t>https://tyndp.entsoe.eu/tyndp2018/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0A3D" w14:textId="1642EA41" w:rsidR="00B92F45" w:rsidRDefault="00B92F45" w:rsidP="002E33E8">
    <w:pPr>
      <w:pStyle w:val="Header"/>
      <w:ind w:firstLine="0"/>
      <w:jc w:val="center"/>
      <w:rPr>
        <w:noProof/>
      </w:rPr>
    </w:pPr>
  </w:p>
  <w:p w14:paraId="528D9655" w14:textId="77777777" w:rsidR="00B92F45" w:rsidRDefault="00B92F45" w:rsidP="002E33E8">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7AF"/>
    <w:multiLevelType w:val="multilevel"/>
    <w:tmpl w:val="8E4EC090"/>
    <w:lvl w:ilvl="0">
      <w:start w:val="1"/>
      <w:numFmt w:val="decimal"/>
      <w:lvlText w:val="%1."/>
      <w:lvlJc w:val="left"/>
      <w:pPr>
        <w:ind w:left="1077" w:hanging="357"/>
      </w:pPr>
      <w:rPr>
        <w:rFonts w:hint="default"/>
      </w:rPr>
    </w:lvl>
    <w:lvl w:ilvl="1">
      <w:start w:val="1"/>
      <w:numFmt w:val="decimal"/>
      <w:lvlText w:val="%1.%2."/>
      <w:lvlJc w:val="left"/>
      <w:pPr>
        <w:ind w:left="1434" w:hanging="357"/>
      </w:pPr>
      <w:rPr>
        <w:rFonts w:hint="default"/>
      </w:rPr>
    </w:lvl>
    <w:lvl w:ilvl="2">
      <w:start w:val="1"/>
      <w:numFmt w:val="decimal"/>
      <w:lvlText w:val="%1.%2.%3."/>
      <w:lvlJc w:val="left"/>
      <w:pPr>
        <w:ind w:left="1791" w:hanging="357"/>
      </w:pPr>
      <w:rPr>
        <w:rFonts w:hint="default"/>
      </w:rPr>
    </w:lvl>
    <w:lvl w:ilvl="3">
      <w:start w:val="1"/>
      <w:numFmt w:val="decimal"/>
      <w:lvlText w:val="%4%1.%2."/>
      <w:lvlJc w:val="left"/>
      <w:pPr>
        <w:ind w:left="2148" w:hanging="357"/>
      </w:pPr>
      <w:rPr>
        <w:rFonts w:hint="default"/>
      </w:rPr>
    </w:lvl>
    <w:lvl w:ilvl="4">
      <w:start w:val="1"/>
      <w:numFmt w:val="decimal"/>
      <w:lvlText w:val="%1.%2.%3.%4.%5."/>
      <w:lvlJc w:val="left"/>
      <w:pPr>
        <w:ind w:left="2505" w:hanging="357"/>
      </w:pPr>
      <w:rPr>
        <w:rFonts w:hint="default"/>
      </w:rPr>
    </w:lvl>
    <w:lvl w:ilvl="5">
      <w:start w:val="1"/>
      <w:numFmt w:val="decimal"/>
      <w:lvlText w:val="%1.%2.%3.%4.%5.%6."/>
      <w:lvlJc w:val="left"/>
      <w:pPr>
        <w:ind w:left="2862" w:hanging="357"/>
      </w:pPr>
      <w:rPr>
        <w:rFonts w:hint="default"/>
      </w:rPr>
    </w:lvl>
    <w:lvl w:ilvl="6">
      <w:start w:val="1"/>
      <w:numFmt w:val="decimal"/>
      <w:lvlText w:val="%1.%2.%3.%4.%5.%6.%7."/>
      <w:lvlJc w:val="left"/>
      <w:pPr>
        <w:ind w:left="3219" w:hanging="357"/>
      </w:pPr>
      <w:rPr>
        <w:rFonts w:hint="default"/>
      </w:rPr>
    </w:lvl>
    <w:lvl w:ilvl="7">
      <w:start w:val="1"/>
      <w:numFmt w:val="decimal"/>
      <w:lvlText w:val="%1.%2.%3.%4.%5.%6.%7.%8."/>
      <w:lvlJc w:val="left"/>
      <w:pPr>
        <w:ind w:left="3576" w:hanging="357"/>
      </w:pPr>
      <w:rPr>
        <w:rFonts w:hint="default"/>
      </w:rPr>
    </w:lvl>
    <w:lvl w:ilvl="8">
      <w:start w:val="1"/>
      <w:numFmt w:val="decimal"/>
      <w:lvlText w:val="%1.%2.%3.%4.%5.%6.%7.%8.%9."/>
      <w:lvlJc w:val="left"/>
      <w:pPr>
        <w:ind w:left="3933" w:hanging="357"/>
      </w:pPr>
      <w:rPr>
        <w:rFonts w:hint="default"/>
      </w:rPr>
    </w:lvl>
  </w:abstractNum>
  <w:abstractNum w:abstractNumId="1" w15:restartNumberingAfterBreak="0">
    <w:nsid w:val="05D03E12"/>
    <w:multiLevelType w:val="multilevel"/>
    <w:tmpl w:val="43C66A66"/>
    <w:styleLink w:val="Headings"/>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3.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1C4A59"/>
    <w:multiLevelType w:val="multilevel"/>
    <w:tmpl w:val="03867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2A6481"/>
    <w:multiLevelType w:val="hybridMultilevel"/>
    <w:tmpl w:val="B9240D50"/>
    <w:lvl w:ilvl="0" w:tplc="80D28D4A">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54F1B"/>
    <w:multiLevelType w:val="hybridMultilevel"/>
    <w:tmpl w:val="EA16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14064"/>
    <w:multiLevelType w:val="hybridMultilevel"/>
    <w:tmpl w:val="2A6E24E8"/>
    <w:lvl w:ilvl="0" w:tplc="1AA240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F931F4"/>
    <w:multiLevelType w:val="multilevel"/>
    <w:tmpl w:val="7AC68EC0"/>
    <w:lvl w:ilvl="0">
      <w:start w:val="1"/>
      <w:numFmt w:val="decimal"/>
      <w:pStyle w:val="Heading3"/>
      <w:lvlText w:val="%1."/>
      <w:lvlJc w:val="left"/>
      <w:pPr>
        <w:ind w:left="720" w:hanging="360"/>
      </w:pPr>
      <w:rPr>
        <w:rFonts w:ascii="Times New Roman" w:hAnsi="Times New Roman" w:hint="default"/>
        <w:b/>
        <w:i w:val="0"/>
        <w:w w:val="100"/>
        <w:sz w:val="32"/>
        <w:szCs w:val="32"/>
      </w:rPr>
    </w:lvl>
    <w:lvl w:ilvl="1">
      <w:start w:val="2"/>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392D0F"/>
    <w:multiLevelType w:val="hybridMultilevel"/>
    <w:tmpl w:val="86A4BF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43C5A45"/>
    <w:multiLevelType w:val="hybridMultilevel"/>
    <w:tmpl w:val="89E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B327C"/>
    <w:multiLevelType w:val="hybridMultilevel"/>
    <w:tmpl w:val="EC228442"/>
    <w:lvl w:ilvl="0" w:tplc="08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1D6D6A"/>
    <w:multiLevelType w:val="hybridMultilevel"/>
    <w:tmpl w:val="2A6E24E8"/>
    <w:lvl w:ilvl="0" w:tplc="1AA240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101B29"/>
    <w:multiLevelType w:val="hybridMultilevel"/>
    <w:tmpl w:val="6B341636"/>
    <w:lvl w:ilvl="0" w:tplc="492809E2">
      <w:start w:val="1"/>
      <w:numFmt w:val="bullet"/>
      <w:lvlText w:val=""/>
      <w:lvlJc w:val="left"/>
      <w:pPr>
        <w:ind w:left="2912"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E5898"/>
    <w:multiLevelType w:val="hybridMultilevel"/>
    <w:tmpl w:val="1F6268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11C2264"/>
    <w:multiLevelType w:val="hybridMultilevel"/>
    <w:tmpl w:val="4DA41942"/>
    <w:lvl w:ilvl="0" w:tplc="492809E2">
      <w:start w:val="1"/>
      <w:numFmt w:val="bullet"/>
      <w:lvlText w:val=""/>
      <w:lvlJc w:val="left"/>
      <w:pPr>
        <w:ind w:left="2912" w:hanging="360"/>
      </w:pPr>
      <w:rPr>
        <w:rFonts w:ascii="Symbol" w:hAnsi="Symbol" w:hint="default"/>
        <w:sz w:val="28"/>
        <w:szCs w:val="28"/>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47C76CCE"/>
    <w:multiLevelType w:val="hybridMultilevel"/>
    <w:tmpl w:val="342843B8"/>
    <w:lvl w:ilvl="0" w:tplc="DBFAAA84">
      <w:start w:val="1"/>
      <w:numFmt w:val="lowerLetter"/>
      <w:lvlText w:val="%1)"/>
      <w:lvlJc w:val="left"/>
      <w:pPr>
        <w:ind w:left="5606" w:hanging="360"/>
      </w:pPr>
      <w:rPr>
        <w:rFonts w:hint="default"/>
        <w:b/>
      </w:rPr>
    </w:lvl>
    <w:lvl w:ilvl="1" w:tplc="04260019">
      <w:start w:val="1"/>
      <w:numFmt w:val="lowerLetter"/>
      <w:lvlText w:val="%2."/>
      <w:lvlJc w:val="left"/>
      <w:pPr>
        <w:ind w:left="6326" w:hanging="360"/>
      </w:pPr>
    </w:lvl>
    <w:lvl w:ilvl="2" w:tplc="0426001B" w:tentative="1">
      <w:start w:val="1"/>
      <w:numFmt w:val="lowerRoman"/>
      <w:lvlText w:val="%3."/>
      <w:lvlJc w:val="right"/>
      <w:pPr>
        <w:ind w:left="7046" w:hanging="180"/>
      </w:pPr>
    </w:lvl>
    <w:lvl w:ilvl="3" w:tplc="0426000F" w:tentative="1">
      <w:start w:val="1"/>
      <w:numFmt w:val="decimal"/>
      <w:lvlText w:val="%4."/>
      <w:lvlJc w:val="left"/>
      <w:pPr>
        <w:ind w:left="7766" w:hanging="360"/>
      </w:pPr>
    </w:lvl>
    <w:lvl w:ilvl="4" w:tplc="04260019" w:tentative="1">
      <w:start w:val="1"/>
      <w:numFmt w:val="lowerLetter"/>
      <w:lvlText w:val="%5."/>
      <w:lvlJc w:val="left"/>
      <w:pPr>
        <w:ind w:left="8486" w:hanging="360"/>
      </w:pPr>
    </w:lvl>
    <w:lvl w:ilvl="5" w:tplc="0426001B" w:tentative="1">
      <w:start w:val="1"/>
      <w:numFmt w:val="lowerRoman"/>
      <w:lvlText w:val="%6."/>
      <w:lvlJc w:val="right"/>
      <w:pPr>
        <w:ind w:left="9206" w:hanging="180"/>
      </w:pPr>
    </w:lvl>
    <w:lvl w:ilvl="6" w:tplc="0426000F" w:tentative="1">
      <w:start w:val="1"/>
      <w:numFmt w:val="decimal"/>
      <w:lvlText w:val="%7."/>
      <w:lvlJc w:val="left"/>
      <w:pPr>
        <w:ind w:left="9926" w:hanging="360"/>
      </w:pPr>
    </w:lvl>
    <w:lvl w:ilvl="7" w:tplc="04260019" w:tentative="1">
      <w:start w:val="1"/>
      <w:numFmt w:val="lowerLetter"/>
      <w:lvlText w:val="%8."/>
      <w:lvlJc w:val="left"/>
      <w:pPr>
        <w:ind w:left="10646" w:hanging="360"/>
      </w:pPr>
    </w:lvl>
    <w:lvl w:ilvl="8" w:tplc="0426001B" w:tentative="1">
      <w:start w:val="1"/>
      <w:numFmt w:val="lowerRoman"/>
      <w:lvlText w:val="%9."/>
      <w:lvlJc w:val="right"/>
      <w:pPr>
        <w:ind w:left="11366" w:hanging="180"/>
      </w:pPr>
    </w:lvl>
  </w:abstractNum>
  <w:abstractNum w:abstractNumId="15" w15:restartNumberingAfterBreak="0">
    <w:nsid w:val="548D6A9F"/>
    <w:multiLevelType w:val="hybridMultilevel"/>
    <w:tmpl w:val="5F001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FE7869"/>
    <w:multiLevelType w:val="hybridMultilevel"/>
    <w:tmpl w:val="30F45844"/>
    <w:lvl w:ilvl="0" w:tplc="3DF66FCC">
      <w:start w:val="1"/>
      <w:numFmt w:val="bullet"/>
      <w:lvlText w:val=""/>
      <w:lvlJc w:val="left"/>
      <w:pPr>
        <w:ind w:left="1021" w:firstLine="59"/>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14804"/>
    <w:multiLevelType w:val="hybridMultilevel"/>
    <w:tmpl w:val="F92A6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CB44D5"/>
    <w:multiLevelType w:val="hybridMultilevel"/>
    <w:tmpl w:val="B7CA43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8F2CC6"/>
    <w:multiLevelType w:val="multilevel"/>
    <w:tmpl w:val="0409001F"/>
    <w:lvl w:ilvl="0">
      <w:start w:val="1"/>
      <w:numFmt w:val="decimal"/>
      <w:lvlText w:val="%1."/>
      <w:lvlJc w:val="left"/>
      <w:pPr>
        <w:ind w:left="360" w:hanging="360"/>
      </w:pPr>
      <w:rPr>
        <w:rFonts w:hint="default"/>
        <w:w w:val="100"/>
      </w:rPr>
    </w:lvl>
    <w:lvl w:ilvl="1">
      <w:start w:val="1"/>
      <w:numFmt w:val="decimal"/>
      <w:lvlText w:val="%1.%2."/>
      <w:lvlJc w:val="left"/>
      <w:pPr>
        <w:ind w:left="792" w:hanging="432"/>
      </w:pPr>
      <w:rPr>
        <w:rFonts w:hint="default"/>
        <w:w w:val="1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B30214"/>
    <w:multiLevelType w:val="hybridMultilevel"/>
    <w:tmpl w:val="B476B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8"/>
  </w:num>
  <w:num w:numId="3">
    <w:abstractNumId w:val="16"/>
  </w:num>
  <w:num w:numId="4">
    <w:abstractNumId w:val="19"/>
  </w:num>
  <w:num w:numId="5">
    <w:abstractNumId w:val="1"/>
  </w:num>
  <w:num w:numId="6">
    <w:abstractNumId w:val="12"/>
  </w:num>
  <w:num w:numId="7">
    <w:abstractNumId w:val="7"/>
  </w:num>
  <w:num w:numId="8">
    <w:abstractNumId w:val="10"/>
  </w:num>
  <w:num w:numId="9">
    <w:abstractNumId w:val="5"/>
  </w:num>
  <w:num w:numId="10">
    <w:abstractNumId w:val="14"/>
  </w:num>
  <w:num w:numId="11">
    <w:abstractNumId w:val="13"/>
  </w:num>
  <w:num w:numId="12">
    <w:abstractNumId w:val="11"/>
  </w:num>
  <w:num w:numId="13">
    <w:abstractNumId w:val="1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0"/>
  </w:num>
  <w:num w:numId="23">
    <w:abstractNumId w:val="4"/>
  </w:num>
  <w:num w:numId="24">
    <w:abstractNumId w:val="20"/>
  </w:num>
  <w:num w:numId="25">
    <w:abstractNumId w:val="9"/>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A4"/>
    <w:rsid w:val="000001B0"/>
    <w:rsid w:val="00000CE7"/>
    <w:rsid w:val="00002ABD"/>
    <w:rsid w:val="00005760"/>
    <w:rsid w:val="000121DF"/>
    <w:rsid w:val="00012D81"/>
    <w:rsid w:val="00016ED8"/>
    <w:rsid w:val="00025E56"/>
    <w:rsid w:val="00030817"/>
    <w:rsid w:val="0003407D"/>
    <w:rsid w:val="0003565F"/>
    <w:rsid w:val="00040466"/>
    <w:rsid w:val="00040CFC"/>
    <w:rsid w:val="0004720C"/>
    <w:rsid w:val="000508DF"/>
    <w:rsid w:val="0005344B"/>
    <w:rsid w:val="00053C3D"/>
    <w:rsid w:val="000549DA"/>
    <w:rsid w:val="00055436"/>
    <w:rsid w:val="000565CA"/>
    <w:rsid w:val="00067A3F"/>
    <w:rsid w:val="00070139"/>
    <w:rsid w:val="000712B2"/>
    <w:rsid w:val="00071308"/>
    <w:rsid w:val="0007184E"/>
    <w:rsid w:val="0007264A"/>
    <w:rsid w:val="00075473"/>
    <w:rsid w:val="00076182"/>
    <w:rsid w:val="00077952"/>
    <w:rsid w:val="00081BE4"/>
    <w:rsid w:val="000846C5"/>
    <w:rsid w:val="00086BA4"/>
    <w:rsid w:val="0008777B"/>
    <w:rsid w:val="000928B9"/>
    <w:rsid w:val="00093731"/>
    <w:rsid w:val="000937DF"/>
    <w:rsid w:val="0009411F"/>
    <w:rsid w:val="00096B77"/>
    <w:rsid w:val="000973C8"/>
    <w:rsid w:val="000A21E8"/>
    <w:rsid w:val="000A6A89"/>
    <w:rsid w:val="000A78C1"/>
    <w:rsid w:val="000A7E19"/>
    <w:rsid w:val="000B149C"/>
    <w:rsid w:val="000B212F"/>
    <w:rsid w:val="000B4DB0"/>
    <w:rsid w:val="000B5C34"/>
    <w:rsid w:val="000B6A14"/>
    <w:rsid w:val="000C0263"/>
    <w:rsid w:val="000C17E3"/>
    <w:rsid w:val="000C2F77"/>
    <w:rsid w:val="000C44C8"/>
    <w:rsid w:val="000C624B"/>
    <w:rsid w:val="000D10F7"/>
    <w:rsid w:val="000D149E"/>
    <w:rsid w:val="000D234B"/>
    <w:rsid w:val="000D2562"/>
    <w:rsid w:val="000D45EF"/>
    <w:rsid w:val="000E2469"/>
    <w:rsid w:val="000E4F50"/>
    <w:rsid w:val="000E7E74"/>
    <w:rsid w:val="000F1D24"/>
    <w:rsid w:val="001041DB"/>
    <w:rsid w:val="0011029D"/>
    <w:rsid w:val="0011219C"/>
    <w:rsid w:val="00112EDC"/>
    <w:rsid w:val="00115795"/>
    <w:rsid w:val="00117423"/>
    <w:rsid w:val="0012228E"/>
    <w:rsid w:val="00122DD8"/>
    <w:rsid w:val="001236DA"/>
    <w:rsid w:val="001241F1"/>
    <w:rsid w:val="00125360"/>
    <w:rsid w:val="00125883"/>
    <w:rsid w:val="00125ABE"/>
    <w:rsid w:val="0013177A"/>
    <w:rsid w:val="001326C9"/>
    <w:rsid w:val="00134157"/>
    <w:rsid w:val="00134EE4"/>
    <w:rsid w:val="00141ACC"/>
    <w:rsid w:val="0014565F"/>
    <w:rsid w:val="0014589F"/>
    <w:rsid w:val="0014598B"/>
    <w:rsid w:val="00145A08"/>
    <w:rsid w:val="00145B22"/>
    <w:rsid w:val="00146C09"/>
    <w:rsid w:val="00146F62"/>
    <w:rsid w:val="001519D8"/>
    <w:rsid w:val="00153108"/>
    <w:rsid w:val="00155E32"/>
    <w:rsid w:val="001577D6"/>
    <w:rsid w:val="00161C93"/>
    <w:rsid w:val="001627FF"/>
    <w:rsid w:val="0016556D"/>
    <w:rsid w:val="00166294"/>
    <w:rsid w:val="001715BF"/>
    <w:rsid w:val="00171ED9"/>
    <w:rsid w:val="00172F5C"/>
    <w:rsid w:val="00173FB2"/>
    <w:rsid w:val="00174A08"/>
    <w:rsid w:val="0018099B"/>
    <w:rsid w:val="001823B2"/>
    <w:rsid w:val="00185B01"/>
    <w:rsid w:val="0019334C"/>
    <w:rsid w:val="00197051"/>
    <w:rsid w:val="001A0601"/>
    <w:rsid w:val="001A0AE1"/>
    <w:rsid w:val="001A383F"/>
    <w:rsid w:val="001A3B9E"/>
    <w:rsid w:val="001A7EA3"/>
    <w:rsid w:val="001B0649"/>
    <w:rsid w:val="001B0E0F"/>
    <w:rsid w:val="001B2310"/>
    <w:rsid w:val="001B53A6"/>
    <w:rsid w:val="001B5E74"/>
    <w:rsid w:val="001B6784"/>
    <w:rsid w:val="001B6DB2"/>
    <w:rsid w:val="001B7D5D"/>
    <w:rsid w:val="001C6AFE"/>
    <w:rsid w:val="001C72A8"/>
    <w:rsid w:val="001D1221"/>
    <w:rsid w:val="001D1B75"/>
    <w:rsid w:val="001E1CDA"/>
    <w:rsid w:val="001E7470"/>
    <w:rsid w:val="001F3728"/>
    <w:rsid w:val="001F5A03"/>
    <w:rsid w:val="001F79A2"/>
    <w:rsid w:val="00204D52"/>
    <w:rsid w:val="00205156"/>
    <w:rsid w:val="00206D82"/>
    <w:rsid w:val="00210B75"/>
    <w:rsid w:val="00211FEC"/>
    <w:rsid w:val="002127AC"/>
    <w:rsid w:val="00215CD5"/>
    <w:rsid w:val="00217803"/>
    <w:rsid w:val="00222FC1"/>
    <w:rsid w:val="00222FD6"/>
    <w:rsid w:val="00223047"/>
    <w:rsid w:val="002245AE"/>
    <w:rsid w:val="0022537F"/>
    <w:rsid w:val="0022794D"/>
    <w:rsid w:val="00230143"/>
    <w:rsid w:val="00231EF9"/>
    <w:rsid w:val="002320FF"/>
    <w:rsid w:val="00234449"/>
    <w:rsid w:val="002375F5"/>
    <w:rsid w:val="00237A79"/>
    <w:rsid w:val="00241E8C"/>
    <w:rsid w:val="00245C2B"/>
    <w:rsid w:val="00246631"/>
    <w:rsid w:val="00251D8F"/>
    <w:rsid w:val="002522E2"/>
    <w:rsid w:val="002541FD"/>
    <w:rsid w:val="00257143"/>
    <w:rsid w:val="00257611"/>
    <w:rsid w:val="00263A9B"/>
    <w:rsid w:val="00264F7C"/>
    <w:rsid w:val="00267C85"/>
    <w:rsid w:val="00273580"/>
    <w:rsid w:val="00275305"/>
    <w:rsid w:val="002754E3"/>
    <w:rsid w:val="0027558A"/>
    <w:rsid w:val="00276014"/>
    <w:rsid w:val="00282057"/>
    <w:rsid w:val="00282998"/>
    <w:rsid w:val="002835A8"/>
    <w:rsid w:val="00284E44"/>
    <w:rsid w:val="00285815"/>
    <w:rsid w:val="00285F3D"/>
    <w:rsid w:val="00287F31"/>
    <w:rsid w:val="0029169F"/>
    <w:rsid w:val="002A0480"/>
    <w:rsid w:val="002A0933"/>
    <w:rsid w:val="002A15A0"/>
    <w:rsid w:val="002A3EA4"/>
    <w:rsid w:val="002A4F58"/>
    <w:rsid w:val="002A51D5"/>
    <w:rsid w:val="002A5B72"/>
    <w:rsid w:val="002A6202"/>
    <w:rsid w:val="002B18F3"/>
    <w:rsid w:val="002B1D52"/>
    <w:rsid w:val="002B29E4"/>
    <w:rsid w:val="002C0F6F"/>
    <w:rsid w:val="002C26CA"/>
    <w:rsid w:val="002C2E80"/>
    <w:rsid w:val="002C332D"/>
    <w:rsid w:val="002C44EE"/>
    <w:rsid w:val="002C507D"/>
    <w:rsid w:val="002C7A0A"/>
    <w:rsid w:val="002C7B78"/>
    <w:rsid w:val="002D4211"/>
    <w:rsid w:val="002D44E3"/>
    <w:rsid w:val="002D477B"/>
    <w:rsid w:val="002D5079"/>
    <w:rsid w:val="002D5FE8"/>
    <w:rsid w:val="002D60CD"/>
    <w:rsid w:val="002D7ADE"/>
    <w:rsid w:val="002E33E8"/>
    <w:rsid w:val="002E35A4"/>
    <w:rsid w:val="002E5521"/>
    <w:rsid w:val="002E7419"/>
    <w:rsid w:val="002E7634"/>
    <w:rsid w:val="002E7E94"/>
    <w:rsid w:val="002F12B1"/>
    <w:rsid w:val="002F3B9A"/>
    <w:rsid w:val="002F43AF"/>
    <w:rsid w:val="002F4DA6"/>
    <w:rsid w:val="002F5FBA"/>
    <w:rsid w:val="002F6D82"/>
    <w:rsid w:val="002F747E"/>
    <w:rsid w:val="00303DA7"/>
    <w:rsid w:val="00304E84"/>
    <w:rsid w:val="00307D51"/>
    <w:rsid w:val="003102F1"/>
    <w:rsid w:val="003114FC"/>
    <w:rsid w:val="00312CC7"/>
    <w:rsid w:val="00312EB8"/>
    <w:rsid w:val="00313123"/>
    <w:rsid w:val="003131A0"/>
    <w:rsid w:val="00314648"/>
    <w:rsid w:val="00314F72"/>
    <w:rsid w:val="00316E69"/>
    <w:rsid w:val="003225B0"/>
    <w:rsid w:val="00324593"/>
    <w:rsid w:val="003251C1"/>
    <w:rsid w:val="00326721"/>
    <w:rsid w:val="0032684D"/>
    <w:rsid w:val="00341AA2"/>
    <w:rsid w:val="003429F2"/>
    <w:rsid w:val="00345001"/>
    <w:rsid w:val="00345CD5"/>
    <w:rsid w:val="00350559"/>
    <w:rsid w:val="00350C5E"/>
    <w:rsid w:val="003511A0"/>
    <w:rsid w:val="00361DCE"/>
    <w:rsid w:val="00362451"/>
    <w:rsid w:val="00365D95"/>
    <w:rsid w:val="003660EB"/>
    <w:rsid w:val="0037167B"/>
    <w:rsid w:val="003749B2"/>
    <w:rsid w:val="00374DBC"/>
    <w:rsid w:val="00375B62"/>
    <w:rsid w:val="003762A4"/>
    <w:rsid w:val="003869A4"/>
    <w:rsid w:val="00390AB5"/>
    <w:rsid w:val="00391668"/>
    <w:rsid w:val="00392089"/>
    <w:rsid w:val="00395FFC"/>
    <w:rsid w:val="0039655C"/>
    <w:rsid w:val="00397033"/>
    <w:rsid w:val="003A1550"/>
    <w:rsid w:val="003A2953"/>
    <w:rsid w:val="003A4C69"/>
    <w:rsid w:val="003A593F"/>
    <w:rsid w:val="003A6BD0"/>
    <w:rsid w:val="003B2194"/>
    <w:rsid w:val="003B7C9D"/>
    <w:rsid w:val="003C0D58"/>
    <w:rsid w:val="003C1572"/>
    <w:rsid w:val="003C20B7"/>
    <w:rsid w:val="003C227D"/>
    <w:rsid w:val="003C23F0"/>
    <w:rsid w:val="003C6810"/>
    <w:rsid w:val="003D043F"/>
    <w:rsid w:val="003D0C09"/>
    <w:rsid w:val="003D2BA1"/>
    <w:rsid w:val="003D2C48"/>
    <w:rsid w:val="003D3C87"/>
    <w:rsid w:val="003D401B"/>
    <w:rsid w:val="003D7CE2"/>
    <w:rsid w:val="003E210D"/>
    <w:rsid w:val="003E24A7"/>
    <w:rsid w:val="003E2C61"/>
    <w:rsid w:val="003E4316"/>
    <w:rsid w:val="003E433F"/>
    <w:rsid w:val="003E778D"/>
    <w:rsid w:val="003F21AA"/>
    <w:rsid w:val="003F32FA"/>
    <w:rsid w:val="003F3307"/>
    <w:rsid w:val="003F4006"/>
    <w:rsid w:val="003F653D"/>
    <w:rsid w:val="004028F1"/>
    <w:rsid w:val="00403F29"/>
    <w:rsid w:val="004040D7"/>
    <w:rsid w:val="00404CC8"/>
    <w:rsid w:val="0040515B"/>
    <w:rsid w:val="00410079"/>
    <w:rsid w:val="0041411C"/>
    <w:rsid w:val="004142AF"/>
    <w:rsid w:val="00414AA6"/>
    <w:rsid w:val="0041683C"/>
    <w:rsid w:val="00417434"/>
    <w:rsid w:val="0042140A"/>
    <w:rsid w:val="00421F5B"/>
    <w:rsid w:val="00422C6E"/>
    <w:rsid w:val="00424179"/>
    <w:rsid w:val="0042653B"/>
    <w:rsid w:val="004279F6"/>
    <w:rsid w:val="00427B28"/>
    <w:rsid w:val="004356F7"/>
    <w:rsid w:val="00436557"/>
    <w:rsid w:val="00437451"/>
    <w:rsid w:val="00437932"/>
    <w:rsid w:val="00437B32"/>
    <w:rsid w:val="00443C56"/>
    <w:rsid w:val="00444A9F"/>
    <w:rsid w:val="004473F3"/>
    <w:rsid w:val="00451851"/>
    <w:rsid w:val="004529F1"/>
    <w:rsid w:val="00454300"/>
    <w:rsid w:val="00462D20"/>
    <w:rsid w:val="00464268"/>
    <w:rsid w:val="00465E01"/>
    <w:rsid w:val="0047143B"/>
    <w:rsid w:val="0047302E"/>
    <w:rsid w:val="004832BC"/>
    <w:rsid w:val="004843F2"/>
    <w:rsid w:val="00487A81"/>
    <w:rsid w:val="00495F5B"/>
    <w:rsid w:val="00496246"/>
    <w:rsid w:val="00496429"/>
    <w:rsid w:val="0049775B"/>
    <w:rsid w:val="004A19A0"/>
    <w:rsid w:val="004A4E81"/>
    <w:rsid w:val="004B00B5"/>
    <w:rsid w:val="004B4FC1"/>
    <w:rsid w:val="004B538B"/>
    <w:rsid w:val="004B58BB"/>
    <w:rsid w:val="004B7611"/>
    <w:rsid w:val="004C141A"/>
    <w:rsid w:val="004C1E8C"/>
    <w:rsid w:val="004C27FF"/>
    <w:rsid w:val="004C4FF8"/>
    <w:rsid w:val="004C6D06"/>
    <w:rsid w:val="004D37A5"/>
    <w:rsid w:val="004D58E5"/>
    <w:rsid w:val="004D6F24"/>
    <w:rsid w:val="004D7D3C"/>
    <w:rsid w:val="004E0E86"/>
    <w:rsid w:val="004E310E"/>
    <w:rsid w:val="004E5CD1"/>
    <w:rsid w:val="004E5CE4"/>
    <w:rsid w:val="004E677D"/>
    <w:rsid w:val="004E6E1A"/>
    <w:rsid w:val="004F3EAB"/>
    <w:rsid w:val="004F45E2"/>
    <w:rsid w:val="004F7659"/>
    <w:rsid w:val="00500050"/>
    <w:rsid w:val="00501F5A"/>
    <w:rsid w:val="0050306C"/>
    <w:rsid w:val="00506614"/>
    <w:rsid w:val="00506EBB"/>
    <w:rsid w:val="0051066A"/>
    <w:rsid w:val="00510888"/>
    <w:rsid w:val="00512618"/>
    <w:rsid w:val="00515898"/>
    <w:rsid w:val="0052174E"/>
    <w:rsid w:val="0052217F"/>
    <w:rsid w:val="00522B48"/>
    <w:rsid w:val="00523756"/>
    <w:rsid w:val="00523C2F"/>
    <w:rsid w:val="00523E7D"/>
    <w:rsid w:val="00524307"/>
    <w:rsid w:val="005258E1"/>
    <w:rsid w:val="00527720"/>
    <w:rsid w:val="00530D34"/>
    <w:rsid w:val="00531233"/>
    <w:rsid w:val="00537459"/>
    <w:rsid w:val="00537A88"/>
    <w:rsid w:val="00540FFC"/>
    <w:rsid w:val="00541CF7"/>
    <w:rsid w:val="0054277A"/>
    <w:rsid w:val="00543FD0"/>
    <w:rsid w:val="005515CE"/>
    <w:rsid w:val="0055222F"/>
    <w:rsid w:val="00554535"/>
    <w:rsid w:val="00556054"/>
    <w:rsid w:val="00560CDD"/>
    <w:rsid w:val="005612D1"/>
    <w:rsid w:val="00562EE3"/>
    <w:rsid w:val="00564472"/>
    <w:rsid w:val="00566925"/>
    <w:rsid w:val="00566F8A"/>
    <w:rsid w:val="00570C32"/>
    <w:rsid w:val="00572290"/>
    <w:rsid w:val="00573BA4"/>
    <w:rsid w:val="0057580B"/>
    <w:rsid w:val="00576F02"/>
    <w:rsid w:val="00581474"/>
    <w:rsid w:val="00581EC9"/>
    <w:rsid w:val="00584614"/>
    <w:rsid w:val="00586214"/>
    <w:rsid w:val="00587839"/>
    <w:rsid w:val="00592D68"/>
    <w:rsid w:val="00593CAE"/>
    <w:rsid w:val="00597F3B"/>
    <w:rsid w:val="005A06CB"/>
    <w:rsid w:val="005A13A1"/>
    <w:rsid w:val="005A588E"/>
    <w:rsid w:val="005A72D7"/>
    <w:rsid w:val="005A7E85"/>
    <w:rsid w:val="005B0A7A"/>
    <w:rsid w:val="005B1079"/>
    <w:rsid w:val="005B1432"/>
    <w:rsid w:val="005B25AC"/>
    <w:rsid w:val="005B489C"/>
    <w:rsid w:val="005B5D09"/>
    <w:rsid w:val="005B7B7E"/>
    <w:rsid w:val="005C25F6"/>
    <w:rsid w:val="005C31F5"/>
    <w:rsid w:val="005C3CE1"/>
    <w:rsid w:val="005C4348"/>
    <w:rsid w:val="005C4AE2"/>
    <w:rsid w:val="005C581B"/>
    <w:rsid w:val="005C5B5C"/>
    <w:rsid w:val="005C75BF"/>
    <w:rsid w:val="005D099D"/>
    <w:rsid w:val="005D2ECF"/>
    <w:rsid w:val="005D3728"/>
    <w:rsid w:val="005D5001"/>
    <w:rsid w:val="005D6E51"/>
    <w:rsid w:val="005E14CC"/>
    <w:rsid w:val="005E2E00"/>
    <w:rsid w:val="005E627D"/>
    <w:rsid w:val="005F302A"/>
    <w:rsid w:val="005F30CF"/>
    <w:rsid w:val="005F3CE3"/>
    <w:rsid w:val="005F4EAA"/>
    <w:rsid w:val="005F5299"/>
    <w:rsid w:val="005F7163"/>
    <w:rsid w:val="005F77AD"/>
    <w:rsid w:val="006033B5"/>
    <w:rsid w:val="006051DE"/>
    <w:rsid w:val="00611AB6"/>
    <w:rsid w:val="00615524"/>
    <w:rsid w:val="006163C2"/>
    <w:rsid w:val="006168C8"/>
    <w:rsid w:val="00617952"/>
    <w:rsid w:val="006246C9"/>
    <w:rsid w:val="00624C9F"/>
    <w:rsid w:val="0062724C"/>
    <w:rsid w:val="006278CB"/>
    <w:rsid w:val="00632EEC"/>
    <w:rsid w:val="00633E23"/>
    <w:rsid w:val="00633F72"/>
    <w:rsid w:val="00633FFB"/>
    <w:rsid w:val="006417B4"/>
    <w:rsid w:val="0064360F"/>
    <w:rsid w:val="00650CA8"/>
    <w:rsid w:val="00655D84"/>
    <w:rsid w:val="0065653C"/>
    <w:rsid w:val="00657940"/>
    <w:rsid w:val="00660E5B"/>
    <w:rsid w:val="006622A8"/>
    <w:rsid w:val="00663A94"/>
    <w:rsid w:val="00665479"/>
    <w:rsid w:val="0067075A"/>
    <w:rsid w:val="006716CD"/>
    <w:rsid w:val="00671AC4"/>
    <w:rsid w:val="006729D2"/>
    <w:rsid w:val="00673C93"/>
    <w:rsid w:val="00674979"/>
    <w:rsid w:val="0067502C"/>
    <w:rsid w:val="00675489"/>
    <w:rsid w:val="00675ABA"/>
    <w:rsid w:val="00684F2C"/>
    <w:rsid w:val="00687E55"/>
    <w:rsid w:val="006916DC"/>
    <w:rsid w:val="00693256"/>
    <w:rsid w:val="006933D1"/>
    <w:rsid w:val="006939EC"/>
    <w:rsid w:val="006A50F3"/>
    <w:rsid w:val="006A724B"/>
    <w:rsid w:val="006A77AD"/>
    <w:rsid w:val="006B013F"/>
    <w:rsid w:val="006B19E1"/>
    <w:rsid w:val="006B1F9C"/>
    <w:rsid w:val="006B2AC4"/>
    <w:rsid w:val="006B3BA7"/>
    <w:rsid w:val="006B5363"/>
    <w:rsid w:val="006B6855"/>
    <w:rsid w:val="006C0632"/>
    <w:rsid w:val="006C176B"/>
    <w:rsid w:val="006C1791"/>
    <w:rsid w:val="006C530E"/>
    <w:rsid w:val="006C60DF"/>
    <w:rsid w:val="006D10B1"/>
    <w:rsid w:val="006D18F5"/>
    <w:rsid w:val="006E056A"/>
    <w:rsid w:val="006E3B8D"/>
    <w:rsid w:val="006E6546"/>
    <w:rsid w:val="006E7F3F"/>
    <w:rsid w:val="006F1D23"/>
    <w:rsid w:val="006F5F94"/>
    <w:rsid w:val="006F6669"/>
    <w:rsid w:val="006F746A"/>
    <w:rsid w:val="0070166F"/>
    <w:rsid w:val="0070185A"/>
    <w:rsid w:val="007048B4"/>
    <w:rsid w:val="007120FD"/>
    <w:rsid w:val="00712183"/>
    <w:rsid w:val="007212BB"/>
    <w:rsid w:val="007271DD"/>
    <w:rsid w:val="00727C65"/>
    <w:rsid w:val="00732193"/>
    <w:rsid w:val="0073388E"/>
    <w:rsid w:val="007345D2"/>
    <w:rsid w:val="0073468C"/>
    <w:rsid w:val="00734874"/>
    <w:rsid w:val="00735CE1"/>
    <w:rsid w:val="007403D7"/>
    <w:rsid w:val="00740EE2"/>
    <w:rsid w:val="0074169A"/>
    <w:rsid w:val="007421E6"/>
    <w:rsid w:val="00745D26"/>
    <w:rsid w:val="00745F45"/>
    <w:rsid w:val="00747904"/>
    <w:rsid w:val="00751CCF"/>
    <w:rsid w:val="0075445D"/>
    <w:rsid w:val="00754A60"/>
    <w:rsid w:val="00755234"/>
    <w:rsid w:val="0075539F"/>
    <w:rsid w:val="00756CA4"/>
    <w:rsid w:val="0075705A"/>
    <w:rsid w:val="00757514"/>
    <w:rsid w:val="007614C6"/>
    <w:rsid w:val="00763273"/>
    <w:rsid w:val="00767131"/>
    <w:rsid w:val="0077242A"/>
    <w:rsid w:val="00772BDB"/>
    <w:rsid w:val="007734AD"/>
    <w:rsid w:val="00774078"/>
    <w:rsid w:val="007743AB"/>
    <w:rsid w:val="007823C8"/>
    <w:rsid w:val="00786C60"/>
    <w:rsid w:val="007871C1"/>
    <w:rsid w:val="00787984"/>
    <w:rsid w:val="007917CD"/>
    <w:rsid w:val="00792BD9"/>
    <w:rsid w:val="00793856"/>
    <w:rsid w:val="00794047"/>
    <w:rsid w:val="007A5163"/>
    <w:rsid w:val="007A5DA2"/>
    <w:rsid w:val="007A7994"/>
    <w:rsid w:val="007B1569"/>
    <w:rsid w:val="007B275D"/>
    <w:rsid w:val="007B3F34"/>
    <w:rsid w:val="007B7708"/>
    <w:rsid w:val="007B7B77"/>
    <w:rsid w:val="007B7E61"/>
    <w:rsid w:val="007C4033"/>
    <w:rsid w:val="007C40C9"/>
    <w:rsid w:val="007C456E"/>
    <w:rsid w:val="007C5230"/>
    <w:rsid w:val="007D2A4D"/>
    <w:rsid w:val="007D7A06"/>
    <w:rsid w:val="007E4EFC"/>
    <w:rsid w:val="007E5125"/>
    <w:rsid w:val="007E5352"/>
    <w:rsid w:val="007E6040"/>
    <w:rsid w:val="007F3ACB"/>
    <w:rsid w:val="007F4B28"/>
    <w:rsid w:val="007F5740"/>
    <w:rsid w:val="007F6E3B"/>
    <w:rsid w:val="008015F2"/>
    <w:rsid w:val="00804E81"/>
    <w:rsid w:val="00805371"/>
    <w:rsid w:val="00812D26"/>
    <w:rsid w:val="0081304C"/>
    <w:rsid w:val="00813322"/>
    <w:rsid w:val="0081763F"/>
    <w:rsid w:val="008202D2"/>
    <w:rsid w:val="00820692"/>
    <w:rsid w:val="00821A52"/>
    <w:rsid w:val="00822F3F"/>
    <w:rsid w:val="00823B72"/>
    <w:rsid w:val="00827592"/>
    <w:rsid w:val="008275FB"/>
    <w:rsid w:val="0083233E"/>
    <w:rsid w:val="008329FB"/>
    <w:rsid w:val="00832A5E"/>
    <w:rsid w:val="00837E16"/>
    <w:rsid w:val="00840549"/>
    <w:rsid w:val="008408FA"/>
    <w:rsid w:val="00843F2E"/>
    <w:rsid w:val="00844D93"/>
    <w:rsid w:val="008501F3"/>
    <w:rsid w:val="008504A4"/>
    <w:rsid w:val="00852687"/>
    <w:rsid w:val="00854FFE"/>
    <w:rsid w:val="00865705"/>
    <w:rsid w:val="0086592A"/>
    <w:rsid w:val="00867F56"/>
    <w:rsid w:val="008708F4"/>
    <w:rsid w:val="00871B82"/>
    <w:rsid w:val="00872747"/>
    <w:rsid w:val="00872E65"/>
    <w:rsid w:val="0087458A"/>
    <w:rsid w:val="00876D7A"/>
    <w:rsid w:val="00877AAC"/>
    <w:rsid w:val="00877FC0"/>
    <w:rsid w:val="00880B03"/>
    <w:rsid w:val="008838C1"/>
    <w:rsid w:val="00885B56"/>
    <w:rsid w:val="00890C1D"/>
    <w:rsid w:val="008913B3"/>
    <w:rsid w:val="008916AB"/>
    <w:rsid w:val="00893E63"/>
    <w:rsid w:val="008941AD"/>
    <w:rsid w:val="00894679"/>
    <w:rsid w:val="00894786"/>
    <w:rsid w:val="00896C3B"/>
    <w:rsid w:val="0089767A"/>
    <w:rsid w:val="008A30AA"/>
    <w:rsid w:val="008A38CF"/>
    <w:rsid w:val="008A44F7"/>
    <w:rsid w:val="008B13D1"/>
    <w:rsid w:val="008B19A7"/>
    <w:rsid w:val="008B2A0B"/>
    <w:rsid w:val="008B3046"/>
    <w:rsid w:val="008B344A"/>
    <w:rsid w:val="008B4164"/>
    <w:rsid w:val="008B4662"/>
    <w:rsid w:val="008B5811"/>
    <w:rsid w:val="008B75AF"/>
    <w:rsid w:val="008C1400"/>
    <w:rsid w:val="008C2E9F"/>
    <w:rsid w:val="008C30C4"/>
    <w:rsid w:val="008C40D1"/>
    <w:rsid w:val="008C4577"/>
    <w:rsid w:val="008C57F5"/>
    <w:rsid w:val="008C5B86"/>
    <w:rsid w:val="008C6885"/>
    <w:rsid w:val="008C7015"/>
    <w:rsid w:val="008C7F66"/>
    <w:rsid w:val="008D0225"/>
    <w:rsid w:val="008D02E1"/>
    <w:rsid w:val="008D1BDC"/>
    <w:rsid w:val="008D269E"/>
    <w:rsid w:val="008D4754"/>
    <w:rsid w:val="008D4780"/>
    <w:rsid w:val="008D63EF"/>
    <w:rsid w:val="008D6806"/>
    <w:rsid w:val="008D6F71"/>
    <w:rsid w:val="008D72DC"/>
    <w:rsid w:val="008D7BE9"/>
    <w:rsid w:val="008E14D9"/>
    <w:rsid w:val="008E1AB6"/>
    <w:rsid w:val="008E3A85"/>
    <w:rsid w:val="008E44F2"/>
    <w:rsid w:val="008E45BA"/>
    <w:rsid w:val="008E4795"/>
    <w:rsid w:val="008E6813"/>
    <w:rsid w:val="008E7B51"/>
    <w:rsid w:val="008F23E5"/>
    <w:rsid w:val="008F3470"/>
    <w:rsid w:val="008F6287"/>
    <w:rsid w:val="008F76AB"/>
    <w:rsid w:val="008F7B3B"/>
    <w:rsid w:val="009006CD"/>
    <w:rsid w:val="00904681"/>
    <w:rsid w:val="00904E7B"/>
    <w:rsid w:val="00904EFF"/>
    <w:rsid w:val="0090519E"/>
    <w:rsid w:val="0091534C"/>
    <w:rsid w:val="00916C4A"/>
    <w:rsid w:val="0091771A"/>
    <w:rsid w:val="00917AC5"/>
    <w:rsid w:val="00920299"/>
    <w:rsid w:val="0092069E"/>
    <w:rsid w:val="00924363"/>
    <w:rsid w:val="009300D2"/>
    <w:rsid w:val="00930836"/>
    <w:rsid w:val="009342D3"/>
    <w:rsid w:val="009352DA"/>
    <w:rsid w:val="00946E08"/>
    <w:rsid w:val="00950F8B"/>
    <w:rsid w:val="00951EE6"/>
    <w:rsid w:val="00953F00"/>
    <w:rsid w:val="00954289"/>
    <w:rsid w:val="0096191E"/>
    <w:rsid w:val="00961C67"/>
    <w:rsid w:val="00962679"/>
    <w:rsid w:val="009629D2"/>
    <w:rsid w:val="0097122B"/>
    <w:rsid w:val="00971B7D"/>
    <w:rsid w:val="00975158"/>
    <w:rsid w:val="00975BCA"/>
    <w:rsid w:val="00975E16"/>
    <w:rsid w:val="0098021A"/>
    <w:rsid w:val="00981B26"/>
    <w:rsid w:val="00983357"/>
    <w:rsid w:val="00985A73"/>
    <w:rsid w:val="009864F0"/>
    <w:rsid w:val="00991C21"/>
    <w:rsid w:val="00993031"/>
    <w:rsid w:val="00994919"/>
    <w:rsid w:val="00994D3A"/>
    <w:rsid w:val="00994E5B"/>
    <w:rsid w:val="00997A09"/>
    <w:rsid w:val="009A312B"/>
    <w:rsid w:val="009B0460"/>
    <w:rsid w:val="009B425D"/>
    <w:rsid w:val="009B441F"/>
    <w:rsid w:val="009B4BF8"/>
    <w:rsid w:val="009C3D8E"/>
    <w:rsid w:val="009C655A"/>
    <w:rsid w:val="009D0061"/>
    <w:rsid w:val="009D016E"/>
    <w:rsid w:val="009D0F78"/>
    <w:rsid w:val="009D2E82"/>
    <w:rsid w:val="009D42F9"/>
    <w:rsid w:val="009D5389"/>
    <w:rsid w:val="009D5D3E"/>
    <w:rsid w:val="009D5E18"/>
    <w:rsid w:val="009D7EB7"/>
    <w:rsid w:val="009E3E35"/>
    <w:rsid w:val="009E4E27"/>
    <w:rsid w:val="009E4E71"/>
    <w:rsid w:val="009E6861"/>
    <w:rsid w:val="009E6E2B"/>
    <w:rsid w:val="009F2A68"/>
    <w:rsid w:val="009F303C"/>
    <w:rsid w:val="009F4774"/>
    <w:rsid w:val="00A00B20"/>
    <w:rsid w:val="00A0412E"/>
    <w:rsid w:val="00A042DF"/>
    <w:rsid w:val="00A11B42"/>
    <w:rsid w:val="00A12D13"/>
    <w:rsid w:val="00A1676B"/>
    <w:rsid w:val="00A200DE"/>
    <w:rsid w:val="00A214A4"/>
    <w:rsid w:val="00A22F01"/>
    <w:rsid w:val="00A245B5"/>
    <w:rsid w:val="00A267A7"/>
    <w:rsid w:val="00A27670"/>
    <w:rsid w:val="00A32EB8"/>
    <w:rsid w:val="00A33356"/>
    <w:rsid w:val="00A34329"/>
    <w:rsid w:val="00A35370"/>
    <w:rsid w:val="00A37478"/>
    <w:rsid w:val="00A40612"/>
    <w:rsid w:val="00A4134F"/>
    <w:rsid w:val="00A41C74"/>
    <w:rsid w:val="00A4259B"/>
    <w:rsid w:val="00A46CED"/>
    <w:rsid w:val="00A534D9"/>
    <w:rsid w:val="00A546CC"/>
    <w:rsid w:val="00A55682"/>
    <w:rsid w:val="00A56194"/>
    <w:rsid w:val="00A5651A"/>
    <w:rsid w:val="00A570E7"/>
    <w:rsid w:val="00A61ED4"/>
    <w:rsid w:val="00A6289D"/>
    <w:rsid w:val="00A631BE"/>
    <w:rsid w:val="00A656AC"/>
    <w:rsid w:val="00A66D71"/>
    <w:rsid w:val="00A711D4"/>
    <w:rsid w:val="00A74186"/>
    <w:rsid w:val="00A7652F"/>
    <w:rsid w:val="00A7744C"/>
    <w:rsid w:val="00A77620"/>
    <w:rsid w:val="00A77CA8"/>
    <w:rsid w:val="00A8258D"/>
    <w:rsid w:val="00A82794"/>
    <w:rsid w:val="00A82800"/>
    <w:rsid w:val="00A84390"/>
    <w:rsid w:val="00A87248"/>
    <w:rsid w:val="00A94028"/>
    <w:rsid w:val="00A9411D"/>
    <w:rsid w:val="00A96754"/>
    <w:rsid w:val="00AA0EEA"/>
    <w:rsid w:val="00AB1B46"/>
    <w:rsid w:val="00AB2569"/>
    <w:rsid w:val="00AB754D"/>
    <w:rsid w:val="00AB75D4"/>
    <w:rsid w:val="00AC0E52"/>
    <w:rsid w:val="00AC3B3A"/>
    <w:rsid w:val="00AD22E4"/>
    <w:rsid w:val="00AD7AA5"/>
    <w:rsid w:val="00AD7D30"/>
    <w:rsid w:val="00AE03F6"/>
    <w:rsid w:val="00AE0DF7"/>
    <w:rsid w:val="00AE146B"/>
    <w:rsid w:val="00AE2776"/>
    <w:rsid w:val="00AE39DA"/>
    <w:rsid w:val="00AE4E00"/>
    <w:rsid w:val="00AE53CD"/>
    <w:rsid w:val="00AE5468"/>
    <w:rsid w:val="00AE6DAC"/>
    <w:rsid w:val="00AF0901"/>
    <w:rsid w:val="00AF5ED1"/>
    <w:rsid w:val="00AF734E"/>
    <w:rsid w:val="00B03AC8"/>
    <w:rsid w:val="00B04728"/>
    <w:rsid w:val="00B06A47"/>
    <w:rsid w:val="00B0767A"/>
    <w:rsid w:val="00B146E1"/>
    <w:rsid w:val="00B1553B"/>
    <w:rsid w:val="00B15E22"/>
    <w:rsid w:val="00B167BE"/>
    <w:rsid w:val="00B21D38"/>
    <w:rsid w:val="00B24972"/>
    <w:rsid w:val="00B27638"/>
    <w:rsid w:val="00B30A14"/>
    <w:rsid w:val="00B30F0F"/>
    <w:rsid w:val="00B31D99"/>
    <w:rsid w:val="00B327BC"/>
    <w:rsid w:val="00B4018C"/>
    <w:rsid w:val="00B42B05"/>
    <w:rsid w:val="00B51C92"/>
    <w:rsid w:val="00B55057"/>
    <w:rsid w:val="00B55934"/>
    <w:rsid w:val="00B6116C"/>
    <w:rsid w:val="00B6159A"/>
    <w:rsid w:val="00B65025"/>
    <w:rsid w:val="00B65B6B"/>
    <w:rsid w:val="00B67CFB"/>
    <w:rsid w:val="00B71860"/>
    <w:rsid w:val="00B71ECD"/>
    <w:rsid w:val="00B72377"/>
    <w:rsid w:val="00B73038"/>
    <w:rsid w:val="00B730FD"/>
    <w:rsid w:val="00B7502B"/>
    <w:rsid w:val="00B75866"/>
    <w:rsid w:val="00B77D53"/>
    <w:rsid w:val="00B80A13"/>
    <w:rsid w:val="00B814F1"/>
    <w:rsid w:val="00B84846"/>
    <w:rsid w:val="00B90258"/>
    <w:rsid w:val="00B92F45"/>
    <w:rsid w:val="00B9343F"/>
    <w:rsid w:val="00B96030"/>
    <w:rsid w:val="00B9657E"/>
    <w:rsid w:val="00BA2E3A"/>
    <w:rsid w:val="00BA358F"/>
    <w:rsid w:val="00BA424E"/>
    <w:rsid w:val="00BA487D"/>
    <w:rsid w:val="00BA71D1"/>
    <w:rsid w:val="00BB1218"/>
    <w:rsid w:val="00BB7C69"/>
    <w:rsid w:val="00BC36CE"/>
    <w:rsid w:val="00BC44CE"/>
    <w:rsid w:val="00BC6B66"/>
    <w:rsid w:val="00BD342A"/>
    <w:rsid w:val="00BD471E"/>
    <w:rsid w:val="00BD5AD4"/>
    <w:rsid w:val="00BD73B6"/>
    <w:rsid w:val="00BE1147"/>
    <w:rsid w:val="00BE1550"/>
    <w:rsid w:val="00BE52B6"/>
    <w:rsid w:val="00BE69B0"/>
    <w:rsid w:val="00BE6EAB"/>
    <w:rsid w:val="00BF5523"/>
    <w:rsid w:val="00C00299"/>
    <w:rsid w:val="00C0049B"/>
    <w:rsid w:val="00C055BC"/>
    <w:rsid w:val="00C071F2"/>
    <w:rsid w:val="00C124B1"/>
    <w:rsid w:val="00C21B3D"/>
    <w:rsid w:val="00C22541"/>
    <w:rsid w:val="00C2305F"/>
    <w:rsid w:val="00C31C51"/>
    <w:rsid w:val="00C337E4"/>
    <w:rsid w:val="00C346F6"/>
    <w:rsid w:val="00C42A8E"/>
    <w:rsid w:val="00C43F26"/>
    <w:rsid w:val="00C44D21"/>
    <w:rsid w:val="00C46385"/>
    <w:rsid w:val="00C6362F"/>
    <w:rsid w:val="00C6458A"/>
    <w:rsid w:val="00C7134A"/>
    <w:rsid w:val="00C73D07"/>
    <w:rsid w:val="00C81ECC"/>
    <w:rsid w:val="00C8322C"/>
    <w:rsid w:val="00C8437A"/>
    <w:rsid w:val="00C85DB0"/>
    <w:rsid w:val="00C93261"/>
    <w:rsid w:val="00C96C62"/>
    <w:rsid w:val="00CA0F2A"/>
    <w:rsid w:val="00CA1CED"/>
    <w:rsid w:val="00CA317D"/>
    <w:rsid w:val="00CA3D3B"/>
    <w:rsid w:val="00CB0DFC"/>
    <w:rsid w:val="00CB11A0"/>
    <w:rsid w:val="00CB1C34"/>
    <w:rsid w:val="00CB2051"/>
    <w:rsid w:val="00CB4B6B"/>
    <w:rsid w:val="00CB4EAE"/>
    <w:rsid w:val="00CC0C4D"/>
    <w:rsid w:val="00CC33C2"/>
    <w:rsid w:val="00CC5A12"/>
    <w:rsid w:val="00CD12EB"/>
    <w:rsid w:val="00CD51B4"/>
    <w:rsid w:val="00CD670C"/>
    <w:rsid w:val="00CE2EC5"/>
    <w:rsid w:val="00CE48AE"/>
    <w:rsid w:val="00CE60F3"/>
    <w:rsid w:val="00CF1820"/>
    <w:rsid w:val="00CF1B6C"/>
    <w:rsid w:val="00CF2632"/>
    <w:rsid w:val="00CF5765"/>
    <w:rsid w:val="00D0109A"/>
    <w:rsid w:val="00D03476"/>
    <w:rsid w:val="00D04702"/>
    <w:rsid w:val="00D111C4"/>
    <w:rsid w:val="00D11481"/>
    <w:rsid w:val="00D14E68"/>
    <w:rsid w:val="00D15AF9"/>
    <w:rsid w:val="00D15EF8"/>
    <w:rsid w:val="00D16A11"/>
    <w:rsid w:val="00D20B58"/>
    <w:rsid w:val="00D21048"/>
    <w:rsid w:val="00D21A14"/>
    <w:rsid w:val="00D257D4"/>
    <w:rsid w:val="00D258F5"/>
    <w:rsid w:val="00D269E0"/>
    <w:rsid w:val="00D26FEC"/>
    <w:rsid w:val="00D31178"/>
    <w:rsid w:val="00D32659"/>
    <w:rsid w:val="00D33409"/>
    <w:rsid w:val="00D3738B"/>
    <w:rsid w:val="00D42072"/>
    <w:rsid w:val="00D44069"/>
    <w:rsid w:val="00D457D1"/>
    <w:rsid w:val="00D46C28"/>
    <w:rsid w:val="00D479D1"/>
    <w:rsid w:val="00D51540"/>
    <w:rsid w:val="00D5404C"/>
    <w:rsid w:val="00D551E7"/>
    <w:rsid w:val="00D5784F"/>
    <w:rsid w:val="00D638CA"/>
    <w:rsid w:val="00D6535C"/>
    <w:rsid w:val="00D73D5E"/>
    <w:rsid w:val="00D7418F"/>
    <w:rsid w:val="00D754DB"/>
    <w:rsid w:val="00D777B0"/>
    <w:rsid w:val="00D77962"/>
    <w:rsid w:val="00D80783"/>
    <w:rsid w:val="00D83ED6"/>
    <w:rsid w:val="00D869D9"/>
    <w:rsid w:val="00D910B2"/>
    <w:rsid w:val="00D9221E"/>
    <w:rsid w:val="00D92838"/>
    <w:rsid w:val="00D92C53"/>
    <w:rsid w:val="00D947FD"/>
    <w:rsid w:val="00D94BA9"/>
    <w:rsid w:val="00D969E5"/>
    <w:rsid w:val="00DA02A8"/>
    <w:rsid w:val="00DA0466"/>
    <w:rsid w:val="00DA1D84"/>
    <w:rsid w:val="00DA1DC0"/>
    <w:rsid w:val="00DA32C8"/>
    <w:rsid w:val="00DA40B8"/>
    <w:rsid w:val="00DA498B"/>
    <w:rsid w:val="00DA549F"/>
    <w:rsid w:val="00DA6641"/>
    <w:rsid w:val="00DA791E"/>
    <w:rsid w:val="00DB22A6"/>
    <w:rsid w:val="00DB2B82"/>
    <w:rsid w:val="00DB2C1D"/>
    <w:rsid w:val="00DB36E7"/>
    <w:rsid w:val="00DB58C3"/>
    <w:rsid w:val="00DB5A57"/>
    <w:rsid w:val="00DB5CF6"/>
    <w:rsid w:val="00DB5F2D"/>
    <w:rsid w:val="00DC021F"/>
    <w:rsid w:val="00DC1A7C"/>
    <w:rsid w:val="00DC4B24"/>
    <w:rsid w:val="00DC4FCE"/>
    <w:rsid w:val="00DC51AF"/>
    <w:rsid w:val="00DC6EE8"/>
    <w:rsid w:val="00DD1B31"/>
    <w:rsid w:val="00DE0CD1"/>
    <w:rsid w:val="00DE27D5"/>
    <w:rsid w:val="00DF052D"/>
    <w:rsid w:val="00DF3B63"/>
    <w:rsid w:val="00DF41A3"/>
    <w:rsid w:val="00DF4ACA"/>
    <w:rsid w:val="00DF5040"/>
    <w:rsid w:val="00E00FC4"/>
    <w:rsid w:val="00E02AA5"/>
    <w:rsid w:val="00E03605"/>
    <w:rsid w:val="00E043D4"/>
    <w:rsid w:val="00E05BE7"/>
    <w:rsid w:val="00E10643"/>
    <w:rsid w:val="00E10A50"/>
    <w:rsid w:val="00E11898"/>
    <w:rsid w:val="00E126EF"/>
    <w:rsid w:val="00E12B57"/>
    <w:rsid w:val="00E1426B"/>
    <w:rsid w:val="00E14BD2"/>
    <w:rsid w:val="00E16575"/>
    <w:rsid w:val="00E30ECB"/>
    <w:rsid w:val="00E30F24"/>
    <w:rsid w:val="00E318CD"/>
    <w:rsid w:val="00E33B7A"/>
    <w:rsid w:val="00E34112"/>
    <w:rsid w:val="00E3665D"/>
    <w:rsid w:val="00E37AE0"/>
    <w:rsid w:val="00E41D61"/>
    <w:rsid w:val="00E42012"/>
    <w:rsid w:val="00E43DBC"/>
    <w:rsid w:val="00E45918"/>
    <w:rsid w:val="00E47E8E"/>
    <w:rsid w:val="00E47EFE"/>
    <w:rsid w:val="00E5010A"/>
    <w:rsid w:val="00E52C97"/>
    <w:rsid w:val="00E5372D"/>
    <w:rsid w:val="00E55F45"/>
    <w:rsid w:val="00E65120"/>
    <w:rsid w:val="00E67753"/>
    <w:rsid w:val="00E67883"/>
    <w:rsid w:val="00E67B4A"/>
    <w:rsid w:val="00E70ECC"/>
    <w:rsid w:val="00E71A85"/>
    <w:rsid w:val="00E72390"/>
    <w:rsid w:val="00E725BE"/>
    <w:rsid w:val="00E72FDE"/>
    <w:rsid w:val="00E74693"/>
    <w:rsid w:val="00E7659A"/>
    <w:rsid w:val="00E765B2"/>
    <w:rsid w:val="00E8471C"/>
    <w:rsid w:val="00E9218A"/>
    <w:rsid w:val="00E923AE"/>
    <w:rsid w:val="00E926DB"/>
    <w:rsid w:val="00E95F88"/>
    <w:rsid w:val="00E96A8B"/>
    <w:rsid w:val="00EA116E"/>
    <w:rsid w:val="00EA4869"/>
    <w:rsid w:val="00EA55C8"/>
    <w:rsid w:val="00EA6DE8"/>
    <w:rsid w:val="00EA7061"/>
    <w:rsid w:val="00EB0B0B"/>
    <w:rsid w:val="00EB2139"/>
    <w:rsid w:val="00EB25FD"/>
    <w:rsid w:val="00EB2CFA"/>
    <w:rsid w:val="00EB4CC1"/>
    <w:rsid w:val="00EB7228"/>
    <w:rsid w:val="00EC0E73"/>
    <w:rsid w:val="00EC1834"/>
    <w:rsid w:val="00EC335F"/>
    <w:rsid w:val="00EC3D22"/>
    <w:rsid w:val="00ED15B1"/>
    <w:rsid w:val="00ED2770"/>
    <w:rsid w:val="00ED5068"/>
    <w:rsid w:val="00ED743F"/>
    <w:rsid w:val="00ED7BFE"/>
    <w:rsid w:val="00EE19D2"/>
    <w:rsid w:val="00EE2910"/>
    <w:rsid w:val="00EE495E"/>
    <w:rsid w:val="00EE533F"/>
    <w:rsid w:val="00EE5631"/>
    <w:rsid w:val="00EF335A"/>
    <w:rsid w:val="00EF3939"/>
    <w:rsid w:val="00EF4868"/>
    <w:rsid w:val="00EF5DF9"/>
    <w:rsid w:val="00EF61DC"/>
    <w:rsid w:val="00EF70CC"/>
    <w:rsid w:val="00EF7455"/>
    <w:rsid w:val="00F018CB"/>
    <w:rsid w:val="00F04E25"/>
    <w:rsid w:val="00F05A92"/>
    <w:rsid w:val="00F06638"/>
    <w:rsid w:val="00F067A6"/>
    <w:rsid w:val="00F075C3"/>
    <w:rsid w:val="00F07849"/>
    <w:rsid w:val="00F07F55"/>
    <w:rsid w:val="00F10956"/>
    <w:rsid w:val="00F119FC"/>
    <w:rsid w:val="00F13939"/>
    <w:rsid w:val="00F17666"/>
    <w:rsid w:val="00F176D8"/>
    <w:rsid w:val="00F23043"/>
    <w:rsid w:val="00F2409A"/>
    <w:rsid w:val="00F275CF"/>
    <w:rsid w:val="00F30B66"/>
    <w:rsid w:val="00F30E25"/>
    <w:rsid w:val="00F31D50"/>
    <w:rsid w:val="00F324E4"/>
    <w:rsid w:val="00F32619"/>
    <w:rsid w:val="00F3294D"/>
    <w:rsid w:val="00F3295F"/>
    <w:rsid w:val="00F33523"/>
    <w:rsid w:val="00F354FF"/>
    <w:rsid w:val="00F35F0D"/>
    <w:rsid w:val="00F4110B"/>
    <w:rsid w:val="00F42612"/>
    <w:rsid w:val="00F4276E"/>
    <w:rsid w:val="00F453E3"/>
    <w:rsid w:val="00F50C9B"/>
    <w:rsid w:val="00F50F47"/>
    <w:rsid w:val="00F5381A"/>
    <w:rsid w:val="00F56CC3"/>
    <w:rsid w:val="00F60A92"/>
    <w:rsid w:val="00F62BC5"/>
    <w:rsid w:val="00F64709"/>
    <w:rsid w:val="00F72A9E"/>
    <w:rsid w:val="00F74CAF"/>
    <w:rsid w:val="00F80AD6"/>
    <w:rsid w:val="00F80BDE"/>
    <w:rsid w:val="00F80F40"/>
    <w:rsid w:val="00F86D27"/>
    <w:rsid w:val="00F87044"/>
    <w:rsid w:val="00F87B3A"/>
    <w:rsid w:val="00F92911"/>
    <w:rsid w:val="00F92F6E"/>
    <w:rsid w:val="00F9525B"/>
    <w:rsid w:val="00F961EA"/>
    <w:rsid w:val="00FA04E3"/>
    <w:rsid w:val="00FA0713"/>
    <w:rsid w:val="00FA1302"/>
    <w:rsid w:val="00FA2E2D"/>
    <w:rsid w:val="00FA3414"/>
    <w:rsid w:val="00FA37D4"/>
    <w:rsid w:val="00FA68C9"/>
    <w:rsid w:val="00FA7037"/>
    <w:rsid w:val="00FB2204"/>
    <w:rsid w:val="00FB26EA"/>
    <w:rsid w:val="00FB47AE"/>
    <w:rsid w:val="00FB6198"/>
    <w:rsid w:val="00FB6CD0"/>
    <w:rsid w:val="00FC0B7B"/>
    <w:rsid w:val="00FC636B"/>
    <w:rsid w:val="00FC7A86"/>
    <w:rsid w:val="00FD0AB4"/>
    <w:rsid w:val="00FD4E6D"/>
    <w:rsid w:val="00FD7311"/>
    <w:rsid w:val="00FD7EA2"/>
    <w:rsid w:val="00FE2DCB"/>
    <w:rsid w:val="00FE4735"/>
    <w:rsid w:val="00FE5C46"/>
    <w:rsid w:val="00FE5D3C"/>
    <w:rsid w:val="00FE66E0"/>
    <w:rsid w:val="00FF29C2"/>
    <w:rsid w:val="00FF6C1C"/>
    <w:rsid w:val="00FF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1565A1"/>
  <w15:docId w15:val="{F8E1CEE0-3715-4DA9-90F5-E4D67F4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8C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D3C87"/>
    <w:pPr>
      <w:keepNext/>
      <w:keepLines/>
      <w:jc w:val="center"/>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6B2AC4"/>
    <w:pPr>
      <w:outlineLvl w:val="1"/>
    </w:pPr>
    <w:rPr>
      <w:b w:val="0"/>
      <w:sz w:val="32"/>
      <w:szCs w:val="26"/>
    </w:rPr>
  </w:style>
  <w:style w:type="paragraph" w:styleId="Heading3">
    <w:name w:val="heading 3"/>
    <w:basedOn w:val="Heading2"/>
    <w:next w:val="Heading2"/>
    <w:link w:val="Heading3Char"/>
    <w:uiPriority w:val="9"/>
    <w:unhideWhenUsed/>
    <w:qFormat/>
    <w:rsid w:val="003D3C87"/>
    <w:pPr>
      <w:numPr>
        <w:numId w:val="21"/>
      </w:numPr>
      <w:outlineLvl w:val="2"/>
    </w:pPr>
    <w:rPr>
      <w:b/>
    </w:rPr>
  </w:style>
  <w:style w:type="paragraph" w:styleId="Heading4">
    <w:name w:val="heading 4"/>
    <w:basedOn w:val="Heading3"/>
    <w:next w:val="Heading3"/>
    <w:link w:val="Heading4Char"/>
    <w:uiPriority w:val="9"/>
    <w:unhideWhenUsed/>
    <w:qFormat/>
    <w:rsid w:val="00F33523"/>
    <w:pPr>
      <w:numPr>
        <w:numId w:val="0"/>
      </w:numPr>
      <w:spacing w:before="40"/>
      <w:outlineLvl w:val="3"/>
    </w:pPr>
    <w:rPr>
      <w:iCs/>
      <w:sz w:val="28"/>
      <w:shd w:val="clear" w:color="auto" w:fill="FFFFFF"/>
      <w:lang w:val="lv-LV"/>
    </w:rPr>
  </w:style>
  <w:style w:type="paragraph" w:styleId="Heading5">
    <w:name w:val="heading 5"/>
    <w:basedOn w:val="Normal"/>
    <w:next w:val="Normal"/>
    <w:link w:val="Heading5Char"/>
    <w:uiPriority w:val="9"/>
    <w:semiHidden/>
    <w:unhideWhenUsed/>
    <w:qFormat/>
    <w:rsid w:val="00A534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34D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34D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34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34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679"/>
    <w:pPr>
      <w:widowControl w:val="0"/>
      <w:tabs>
        <w:tab w:val="center" w:pos="4153"/>
        <w:tab w:val="right" w:pos="8306"/>
      </w:tabs>
      <w:spacing w:before="60" w:after="60" w:line="360" w:lineRule="auto"/>
      <w:ind w:firstLine="720"/>
      <w:jc w:val="both"/>
    </w:pPr>
    <w:rPr>
      <w:sz w:val="26"/>
      <w:szCs w:val="20"/>
      <w:lang w:val="en-AU"/>
    </w:rPr>
  </w:style>
  <w:style w:type="character" w:customStyle="1" w:styleId="HeaderChar">
    <w:name w:val="Header Char"/>
    <w:basedOn w:val="DefaultParagraphFont"/>
    <w:link w:val="Header"/>
    <w:uiPriority w:val="99"/>
    <w:rsid w:val="00894679"/>
    <w:rPr>
      <w:rFonts w:ascii="Times New Roman" w:eastAsia="Times New Roman" w:hAnsi="Times New Roman" w:cs="Times New Roman"/>
      <w:sz w:val="26"/>
      <w:szCs w:val="20"/>
      <w:lang w:val="en-AU"/>
    </w:rPr>
  </w:style>
  <w:style w:type="character" w:styleId="CommentReference">
    <w:name w:val="annotation reference"/>
    <w:basedOn w:val="DefaultParagraphFont"/>
    <w:uiPriority w:val="99"/>
    <w:semiHidden/>
    <w:unhideWhenUsed/>
    <w:rsid w:val="00894679"/>
    <w:rPr>
      <w:sz w:val="16"/>
      <w:szCs w:val="16"/>
    </w:rPr>
  </w:style>
  <w:style w:type="paragraph" w:styleId="CommentText">
    <w:name w:val="annotation text"/>
    <w:basedOn w:val="Normal"/>
    <w:link w:val="CommentTextChar"/>
    <w:uiPriority w:val="99"/>
    <w:unhideWhenUsed/>
    <w:rsid w:val="00894679"/>
    <w:rPr>
      <w:sz w:val="20"/>
      <w:szCs w:val="20"/>
      <w:lang w:val="lv-LV"/>
    </w:rPr>
  </w:style>
  <w:style w:type="character" w:customStyle="1" w:styleId="CommentTextChar">
    <w:name w:val="Comment Text Char"/>
    <w:basedOn w:val="DefaultParagraphFont"/>
    <w:link w:val="CommentText"/>
    <w:uiPriority w:val="99"/>
    <w:rsid w:val="00894679"/>
    <w:rPr>
      <w:rFonts w:ascii="Times New Roman" w:eastAsia="Times New Roman" w:hAnsi="Times New Roman" w:cs="Times New Roman"/>
      <w:sz w:val="20"/>
      <w:szCs w:val="20"/>
      <w:lang w:val="lv-LV"/>
    </w:rPr>
  </w:style>
  <w:style w:type="paragraph" w:styleId="BalloonText">
    <w:name w:val="Balloon Text"/>
    <w:basedOn w:val="Normal"/>
    <w:link w:val="BalloonTextChar"/>
    <w:uiPriority w:val="99"/>
    <w:semiHidden/>
    <w:unhideWhenUsed/>
    <w:rsid w:val="0089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679"/>
    <w:rPr>
      <w:rFonts w:ascii="Segoe UI" w:hAnsi="Segoe UI" w:cs="Segoe UI"/>
      <w:sz w:val="18"/>
      <w:szCs w:val="18"/>
    </w:rPr>
  </w:style>
  <w:style w:type="character" w:styleId="Hyperlink">
    <w:name w:val="Hyperlink"/>
    <w:basedOn w:val="DefaultParagraphFont"/>
    <w:uiPriority w:val="99"/>
    <w:unhideWhenUsed/>
    <w:rsid w:val="00F961EA"/>
    <w:rPr>
      <w:color w:val="0563C1" w:themeColor="hyperlink"/>
      <w:u w:val="single"/>
    </w:rPr>
  </w:style>
  <w:style w:type="paragraph" w:styleId="ListParagraph">
    <w:name w:val="List Paragraph"/>
    <w:aliases w:val="2,Bullet Points,Colorful List - Accent 11,Dot pt,F5 List Paragraph,IFCL - List Paragraph,Indicator Text,List Paragraph Char Char Char,List Paragraph1,List Paragraph12,MAIN CONTENT,No Spacing1,Numbered Para 1,OBC Bullet,Strip"/>
    <w:basedOn w:val="Normal"/>
    <w:link w:val="ListParagraphChar"/>
    <w:uiPriority w:val="34"/>
    <w:qFormat/>
    <w:rsid w:val="00F961EA"/>
    <w:pPr>
      <w:ind w:left="720"/>
    </w:pPr>
    <w:rPr>
      <w:rFonts w:ascii="Calibri" w:eastAsiaTheme="minorHAnsi" w:hAnsi="Calibri"/>
      <w:sz w:val="22"/>
      <w:szCs w:val="22"/>
      <w:lang w:val="en-US"/>
    </w:rPr>
  </w:style>
  <w:style w:type="character" w:customStyle="1" w:styleId="spelle">
    <w:name w:val="spelle"/>
    <w:basedOn w:val="DefaultParagraphFont"/>
    <w:rsid w:val="00F961EA"/>
  </w:style>
  <w:style w:type="paragraph" w:styleId="NormalWeb">
    <w:name w:val="Normal (Web)"/>
    <w:basedOn w:val="Normal"/>
    <w:uiPriority w:val="99"/>
    <w:semiHidden/>
    <w:unhideWhenUsed/>
    <w:rsid w:val="008B3046"/>
    <w:pPr>
      <w:spacing w:before="100" w:beforeAutospacing="1" w:after="100" w:afterAutospacing="1"/>
    </w:pPr>
    <w:rPr>
      <w:lang w:val="en-US"/>
    </w:rPr>
  </w:style>
  <w:style w:type="character" w:styleId="Strong">
    <w:name w:val="Strong"/>
    <w:basedOn w:val="DefaultParagraphFont"/>
    <w:uiPriority w:val="22"/>
    <w:qFormat/>
    <w:rsid w:val="008B3046"/>
    <w:rPr>
      <w:b/>
      <w:bCs/>
    </w:rPr>
  </w:style>
  <w:style w:type="paragraph" w:styleId="CommentSubject">
    <w:name w:val="annotation subject"/>
    <w:basedOn w:val="CommentText"/>
    <w:next w:val="CommentText"/>
    <w:link w:val="CommentSubjectChar"/>
    <w:uiPriority w:val="99"/>
    <w:semiHidden/>
    <w:unhideWhenUsed/>
    <w:rsid w:val="00510888"/>
    <w:rPr>
      <w:b/>
      <w:bCs/>
      <w:lang w:val="en-GB"/>
    </w:rPr>
  </w:style>
  <w:style w:type="character" w:customStyle="1" w:styleId="CommentSubjectChar">
    <w:name w:val="Comment Subject Char"/>
    <w:basedOn w:val="CommentTextChar"/>
    <w:link w:val="CommentSubject"/>
    <w:uiPriority w:val="99"/>
    <w:semiHidden/>
    <w:rsid w:val="00510888"/>
    <w:rPr>
      <w:rFonts w:ascii="Times New Roman" w:eastAsia="Times New Roman" w:hAnsi="Times New Roman" w:cs="Times New Roman"/>
      <w:b/>
      <w:bCs/>
      <w:sz w:val="20"/>
      <w:szCs w:val="20"/>
      <w:lang w:val="en-GB"/>
    </w:rPr>
  </w:style>
  <w:style w:type="paragraph" w:customStyle="1" w:styleId="doc-ti">
    <w:name w:val="doc-ti"/>
    <w:basedOn w:val="Normal"/>
    <w:rsid w:val="005C4AE2"/>
    <w:pPr>
      <w:spacing w:before="100" w:beforeAutospacing="1" w:after="100" w:afterAutospacing="1"/>
    </w:pPr>
    <w:rPr>
      <w:lang w:val="en-US"/>
    </w:rPr>
  </w:style>
  <w:style w:type="paragraph" w:styleId="FootnoteText">
    <w:name w:val="footnote text"/>
    <w:basedOn w:val="Normal"/>
    <w:link w:val="FootnoteTextChar"/>
    <w:unhideWhenUsed/>
    <w:rsid w:val="00D04702"/>
    <w:rPr>
      <w:sz w:val="20"/>
      <w:szCs w:val="20"/>
    </w:rPr>
  </w:style>
  <w:style w:type="character" w:customStyle="1" w:styleId="FootnoteTextChar">
    <w:name w:val="Footnote Text Char"/>
    <w:basedOn w:val="DefaultParagraphFont"/>
    <w:link w:val="FootnoteText"/>
    <w:rsid w:val="00D04702"/>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D04702"/>
    <w:rPr>
      <w:vertAlign w:val="superscript"/>
    </w:rPr>
  </w:style>
  <w:style w:type="paragraph" w:customStyle="1" w:styleId="tvhtml">
    <w:name w:val="tv_html"/>
    <w:basedOn w:val="Normal"/>
    <w:rsid w:val="00134EE4"/>
    <w:pPr>
      <w:spacing w:before="100" w:beforeAutospacing="1" w:after="100" w:afterAutospacing="1"/>
    </w:pPr>
    <w:rPr>
      <w:lang w:val="en-US"/>
    </w:rPr>
  </w:style>
  <w:style w:type="character" w:customStyle="1" w:styleId="tvhtml1">
    <w:name w:val="tv_html1"/>
    <w:basedOn w:val="DefaultParagraphFont"/>
    <w:rsid w:val="000C17E3"/>
  </w:style>
  <w:style w:type="paragraph" w:styleId="NoSpacing">
    <w:name w:val="No Spacing"/>
    <w:uiPriority w:val="1"/>
    <w:qFormat/>
    <w:rsid w:val="00F60A92"/>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3D3C87"/>
    <w:rPr>
      <w:rFonts w:ascii="Times New Roman" w:eastAsiaTheme="majorEastAsia" w:hAnsi="Times New Roman" w:cstheme="majorBidi"/>
      <w:b/>
      <w:sz w:val="28"/>
      <w:szCs w:val="32"/>
      <w:lang w:val="en-GB"/>
    </w:rPr>
  </w:style>
  <w:style w:type="character" w:customStyle="1" w:styleId="Heading2Char">
    <w:name w:val="Heading 2 Char"/>
    <w:basedOn w:val="DefaultParagraphFont"/>
    <w:link w:val="Heading2"/>
    <w:uiPriority w:val="9"/>
    <w:rsid w:val="00ED743F"/>
    <w:rPr>
      <w:rFonts w:ascii="Times New Roman" w:eastAsiaTheme="majorEastAsia" w:hAnsi="Times New Roman" w:cstheme="majorBidi"/>
      <w:b/>
      <w:sz w:val="32"/>
      <w:szCs w:val="26"/>
      <w:lang w:val="en-GB"/>
    </w:rPr>
  </w:style>
  <w:style w:type="character" w:customStyle="1" w:styleId="Heading3Char">
    <w:name w:val="Heading 3 Char"/>
    <w:basedOn w:val="DefaultParagraphFont"/>
    <w:link w:val="Heading3"/>
    <w:uiPriority w:val="9"/>
    <w:rsid w:val="003D3C87"/>
    <w:rPr>
      <w:rFonts w:ascii="Times New Roman" w:eastAsiaTheme="majorEastAsia" w:hAnsi="Times New Roman" w:cstheme="majorBidi"/>
      <w:b/>
      <w:sz w:val="32"/>
      <w:szCs w:val="26"/>
      <w:lang w:val="en-GB"/>
    </w:rPr>
  </w:style>
  <w:style w:type="character" w:customStyle="1" w:styleId="Heading4Char">
    <w:name w:val="Heading 4 Char"/>
    <w:basedOn w:val="DefaultParagraphFont"/>
    <w:link w:val="Heading4"/>
    <w:uiPriority w:val="9"/>
    <w:rsid w:val="00F33523"/>
    <w:rPr>
      <w:rFonts w:ascii="Times New Roman" w:eastAsiaTheme="majorEastAsia" w:hAnsi="Times New Roman" w:cstheme="majorBidi"/>
      <w:b/>
      <w:iCs/>
      <w:sz w:val="28"/>
      <w:szCs w:val="26"/>
      <w:lang w:val="lv-LV"/>
    </w:rPr>
  </w:style>
  <w:style w:type="numbering" w:customStyle="1" w:styleId="Headings">
    <w:name w:val="Headings"/>
    <w:uiPriority w:val="99"/>
    <w:rsid w:val="006B2AC4"/>
    <w:pPr>
      <w:numPr>
        <w:numId w:val="5"/>
      </w:numPr>
    </w:pPr>
  </w:style>
  <w:style w:type="paragraph" w:styleId="Footer">
    <w:name w:val="footer"/>
    <w:basedOn w:val="Normal"/>
    <w:link w:val="FooterChar"/>
    <w:uiPriority w:val="99"/>
    <w:unhideWhenUsed/>
    <w:rsid w:val="00D20B58"/>
    <w:pPr>
      <w:tabs>
        <w:tab w:val="center" w:pos="4153"/>
        <w:tab w:val="right" w:pos="8306"/>
      </w:tabs>
    </w:pPr>
  </w:style>
  <w:style w:type="character" w:customStyle="1" w:styleId="FooterChar">
    <w:name w:val="Footer Char"/>
    <w:basedOn w:val="DefaultParagraphFont"/>
    <w:link w:val="Footer"/>
    <w:uiPriority w:val="99"/>
    <w:rsid w:val="00D20B58"/>
    <w:rPr>
      <w:rFonts w:ascii="Times New Roman" w:eastAsia="Times New Roman" w:hAnsi="Times New Roman" w:cs="Times New Roman"/>
      <w:sz w:val="24"/>
      <w:szCs w:val="24"/>
      <w:lang w:val="en-GB"/>
    </w:rPr>
  </w:style>
  <w:style w:type="paragraph" w:customStyle="1" w:styleId="Default">
    <w:name w:val="Default"/>
    <w:rsid w:val="0098021A"/>
    <w:pPr>
      <w:autoSpaceDE w:val="0"/>
      <w:autoSpaceDN w:val="0"/>
      <w:adjustRightInd w:val="0"/>
      <w:spacing w:after="0" w:line="240" w:lineRule="auto"/>
    </w:pPr>
    <w:rPr>
      <w:rFonts w:ascii="EYInterstate" w:hAnsi="EYInterstate" w:cs="EYInterstate"/>
      <w:color w:val="000000"/>
      <w:sz w:val="24"/>
      <w:szCs w:val="24"/>
    </w:rPr>
  </w:style>
  <w:style w:type="table" w:styleId="TableGrid">
    <w:name w:val="Table Grid"/>
    <w:basedOn w:val="TableNormal"/>
    <w:uiPriority w:val="59"/>
    <w:rsid w:val="0098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2794D"/>
    <w:rPr>
      <w:sz w:val="20"/>
      <w:szCs w:val="20"/>
    </w:rPr>
  </w:style>
  <w:style w:type="character" w:customStyle="1" w:styleId="EndnoteTextChar">
    <w:name w:val="Endnote Text Char"/>
    <w:basedOn w:val="DefaultParagraphFont"/>
    <w:link w:val="EndnoteText"/>
    <w:uiPriority w:val="99"/>
    <w:semiHidden/>
    <w:rsid w:val="0022794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2794D"/>
    <w:rPr>
      <w:vertAlign w:val="superscript"/>
    </w:rPr>
  </w:style>
  <w:style w:type="paragraph" w:customStyle="1" w:styleId="tv2132">
    <w:name w:val="tv2132"/>
    <w:basedOn w:val="Normal"/>
    <w:rsid w:val="00F74CAF"/>
    <w:pPr>
      <w:spacing w:line="360" w:lineRule="auto"/>
      <w:ind w:firstLine="300"/>
    </w:pPr>
    <w:rPr>
      <w:color w:val="414142"/>
      <w:sz w:val="20"/>
      <w:szCs w:val="20"/>
      <w:lang w:val="lv-LV" w:eastAsia="lv-LV"/>
    </w:rPr>
  </w:style>
  <w:style w:type="paragraph" w:styleId="BodyText2">
    <w:name w:val="Body Text 2"/>
    <w:basedOn w:val="Normal"/>
    <w:link w:val="BodyText2Char"/>
    <w:rsid w:val="00AD7AA5"/>
    <w:pPr>
      <w:jc w:val="both"/>
    </w:pPr>
    <w:rPr>
      <w:b/>
      <w:bCs/>
      <w:color w:val="000000"/>
      <w:lang w:val="lv-LV" w:eastAsia="lv-LV"/>
    </w:rPr>
  </w:style>
  <w:style w:type="character" w:customStyle="1" w:styleId="BodyText2Char">
    <w:name w:val="Body Text 2 Char"/>
    <w:basedOn w:val="DefaultParagraphFont"/>
    <w:link w:val="BodyText2"/>
    <w:rsid w:val="00AD7AA5"/>
    <w:rPr>
      <w:rFonts w:ascii="Times New Roman" w:eastAsia="Times New Roman" w:hAnsi="Times New Roman" w:cs="Times New Roman"/>
      <w:b/>
      <w:bCs/>
      <w:color w:val="000000"/>
      <w:sz w:val="24"/>
      <w:szCs w:val="24"/>
      <w:lang w:val="lv-LV" w:eastAsia="lv-LV"/>
    </w:rPr>
  </w:style>
  <w:style w:type="paragraph" w:styleId="Revision">
    <w:name w:val="Revision"/>
    <w:hidden/>
    <w:uiPriority w:val="99"/>
    <w:semiHidden/>
    <w:rsid w:val="00DE0CD1"/>
    <w:pPr>
      <w:spacing w:after="0" w:line="240" w:lineRule="auto"/>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657E"/>
    <w:pPr>
      <w:spacing w:after="120"/>
    </w:pPr>
  </w:style>
  <w:style w:type="character" w:customStyle="1" w:styleId="BodyTextChar">
    <w:name w:val="Body Text Char"/>
    <w:basedOn w:val="DefaultParagraphFont"/>
    <w:link w:val="BodyText"/>
    <w:uiPriority w:val="99"/>
    <w:semiHidden/>
    <w:rsid w:val="00B9657E"/>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D9221E"/>
    <w:pPr>
      <w:spacing w:before="240" w:line="259" w:lineRule="auto"/>
      <w:outlineLvl w:val="9"/>
    </w:pPr>
    <w:rPr>
      <w:rFonts w:asciiTheme="majorHAnsi" w:hAnsiTheme="majorHAnsi"/>
      <w:color w:val="2E74B5" w:themeColor="accent1" w:themeShade="BF"/>
      <w:sz w:val="32"/>
      <w:lang w:val="en-US"/>
    </w:rPr>
  </w:style>
  <w:style w:type="paragraph" w:styleId="TOC2">
    <w:name w:val="toc 2"/>
    <w:basedOn w:val="Normal"/>
    <w:next w:val="Normal"/>
    <w:autoRedefine/>
    <w:uiPriority w:val="39"/>
    <w:unhideWhenUsed/>
    <w:rsid w:val="007D2A4D"/>
    <w:pPr>
      <w:tabs>
        <w:tab w:val="right" w:leader="dot" w:pos="9247"/>
      </w:tabs>
    </w:pPr>
    <w:rPr>
      <w:rFonts w:asciiTheme="minorHAnsi" w:hAnsiTheme="minorHAnsi"/>
      <w:b/>
      <w:bCs/>
      <w:smallCaps/>
      <w:sz w:val="22"/>
      <w:szCs w:val="22"/>
    </w:rPr>
  </w:style>
  <w:style w:type="paragraph" w:styleId="TOC3">
    <w:name w:val="toc 3"/>
    <w:basedOn w:val="Normal"/>
    <w:next w:val="Normal"/>
    <w:autoRedefine/>
    <w:uiPriority w:val="39"/>
    <w:unhideWhenUsed/>
    <w:rsid w:val="00345001"/>
    <w:pPr>
      <w:tabs>
        <w:tab w:val="left" w:pos="407"/>
        <w:tab w:val="right" w:leader="dot" w:pos="9247"/>
      </w:tabs>
      <w:ind w:left="426" w:hanging="426"/>
    </w:pPr>
    <w:rPr>
      <w:rFonts w:asciiTheme="minorHAnsi" w:hAnsiTheme="minorHAnsi"/>
      <w:smallCaps/>
      <w:sz w:val="22"/>
      <w:szCs w:val="22"/>
    </w:rPr>
  </w:style>
  <w:style w:type="paragraph" w:styleId="TOC1">
    <w:name w:val="toc 1"/>
    <w:basedOn w:val="Normal"/>
    <w:next w:val="Normal"/>
    <w:autoRedefine/>
    <w:uiPriority w:val="39"/>
    <w:unhideWhenUsed/>
    <w:rsid w:val="00E67883"/>
    <w:pPr>
      <w:tabs>
        <w:tab w:val="right" w:leader="dot" w:pos="9247"/>
      </w:tabs>
      <w:spacing w:before="360" w:after="360"/>
      <w:ind w:left="426"/>
    </w:pPr>
    <w:rPr>
      <w:b/>
      <w:bCs/>
      <w:caps/>
      <w:noProof/>
      <w:sz w:val="22"/>
      <w:szCs w:val="22"/>
      <w:lang w:val="lv-LV"/>
    </w:rPr>
  </w:style>
  <w:style w:type="paragraph" w:styleId="TOC4">
    <w:name w:val="toc 4"/>
    <w:basedOn w:val="Normal"/>
    <w:next w:val="Normal"/>
    <w:autoRedefine/>
    <w:uiPriority w:val="39"/>
    <w:semiHidden/>
    <w:unhideWhenUsed/>
    <w:rsid w:val="007D2A4D"/>
    <w:rPr>
      <w:rFonts w:asciiTheme="minorHAnsi" w:hAnsiTheme="minorHAnsi"/>
      <w:sz w:val="22"/>
      <w:szCs w:val="22"/>
    </w:rPr>
  </w:style>
  <w:style w:type="paragraph" w:styleId="TOC5">
    <w:name w:val="toc 5"/>
    <w:basedOn w:val="Normal"/>
    <w:next w:val="Normal"/>
    <w:autoRedefine/>
    <w:uiPriority w:val="39"/>
    <w:semiHidden/>
    <w:unhideWhenUsed/>
    <w:rsid w:val="007D2A4D"/>
    <w:rPr>
      <w:rFonts w:asciiTheme="minorHAnsi" w:hAnsiTheme="minorHAnsi"/>
      <w:sz w:val="22"/>
      <w:szCs w:val="22"/>
    </w:rPr>
  </w:style>
  <w:style w:type="paragraph" w:styleId="TOC6">
    <w:name w:val="toc 6"/>
    <w:basedOn w:val="Normal"/>
    <w:next w:val="Normal"/>
    <w:autoRedefine/>
    <w:uiPriority w:val="39"/>
    <w:semiHidden/>
    <w:unhideWhenUsed/>
    <w:rsid w:val="007D2A4D"/>
    <w:rPr>
      <w:rFonts w:asciiTheme="minorHAnsi" w:hAnsiTheme="minorHAnsi"/>
      <w:sz w:val="22"/>
      <w:szCs w:val="22"/>
    </w:rPr>
  </w:style>
  <w:style w:type="paragraph" w:styleId="TOC7">
    <w:name w:val="toc 7"/>
    <w:basedOn w:val="Normal"/>
    <w:next w:val="Normal"/>
    <w:autoRedefine/>
    <w:uiPriority w:val="39"/>
    <w:semiHidden/>
    <w:unhideWhenUsed/>
    <w:rsid w:val="007D2A4D"/>
    <w:rPr>
      <w:rFonts w:asciiTheme="minorHAnsi" w:hAnsiTheme="minorHAnsi"/>
      <w:sz w:val="22"/>
      <w:szCs w:val="22"/>
    </w:rPr>
  </w:style>
  <w:style w:type="paragraph" w:styleId="TOC8">
    <w:name w:val="toc 8"/>
    <w:basedOn w:val="Normal"/>
    <w:next w:val="Normal"/>
    <w:autoRedefine/>
    <w:uiPriority w:val="39"/>
    <w:semiHidden/>
    <w:unhideWhenUsed/>
    <w:rsid w:val="007D2A4D"/>
    <w:rPr>
      <w:rFonts w:asciiTheme="minorHAnsi" w:hAnsiTheme="minorHAnsi"/>
      <w:sz w:val="22"/>
      <w:szCs w:val="22"/>
    </w:rPr>
  </w:style>
  <w:style w:type="paragraph" w:styleId="TOC9">
    <w:name w:val="toc 9"/>
    <w:basedOn w:val="Normal"/>
    <w:next w:val="Normal"/>
    <w:autoRedefine/>
    <w:uiPriority w:val="39"/>
    <w:semiHidden/>
    <w:unhideWhenUsed/>
    <w:rsid w:val="007D2A4D"/>
    <w:rPr>
      <w:rFonts w:asciiTheme="minorHAnsi" w:hAnsiTheme="minorHAnsi"/>
      <w:sz w:val="22"/>
      <w:szCs w:val="22"/>
    </w:rPr>
  </w:style>
  <w:style w:type="paragraph" w:customStyle="1" w:styleId="naiskr">
    <w:name w:val="naiskr"/>
    <w:basedOn w:val="Normal"/>
    <w:rsid w:val="0081763F"/>
    <w:pPr>
      <w:spacing w:before="100" w:beforeAutospacing="1" w:after="100" w:afterAutospacing="1"/>
    </w:pPr>
    <w:rPr>
      <w:lang w:val="lv-LV" w:eastAsia="lv-LV"/>
    </w:rPr>
  </w:style>
  <w:style w:type="paragraph" w:customStyle="1" w:styleId="tv213">
    <w:name w:val="tv213"/>
    <w:basedOn w:val="Normal"/>
    <w:rsid w:val="00145B22"/>
    <w:pPr>
      <w:spacing w:before="100" w:beforeAutospacing="1" w:after="100" w:afterAutospacing="1"/>
    </w:pPr>
    <w:rPr>
      <w:rFonts w:eastAsia="Calibri"/>
      <w:lang w:val="lv-LV" w:eastAsia="lv-LV"/>
    </w:rPr>
  </w:style>
  <w:style w:type="character" w:customStyle="1" w:styleId="ListParagraphChar">
    <w:name w:val="List Paragraph Char"/>
    <w:aliases w:val="2 Char,Bullet Points Char,Colorful List - Accent 11 Char,Dot pt Char,F5 List Paragraph Char,IFCL - List Paragraph Char,Indicator Text Char,List Paragraph Char Char Char Char,List Paragraph1 Char,List Paragraph12 Char,No Spacing1 Char"/>
    <w:link w:val="ListParagraph"/>
    <w:uiPriority w:val="34"/>
    <w:qFormat/>
    <w:locked/>
    <w:rsid w:val="003C1572"/>
    <w:rPr>
      <w:rFonts w:ascii="Calibri" w:hAnsi="Calibri" w:cs="Times New Roman"/>
    </w:rPr>
  </w:style>
  <w:style w:type="character" w:customStyle="1" w:styleId="Heading5Char">
    <w:name w:val="Heading 5 Char"/>
    <w:basedOn w:val="DefaultParagraphFont"/>
    <w:link w:val="Heading5"/>
    <w:uiPriority w:val="9"/>
    <w:semiHidden/>
    <w:rsid w:val="00A534D9"/>
    <w:rPr>
      <w:rFonts w:asciiTheme="majorHAnsi" w:eastAsiaTheme="majorEastAsia" w:hAnsiTheme="majorHAnsi" w:cstheme="majorBidi"/>
      <w:color w:val="2E74B5" w:themeColor="accent1" w:themeShade="BF"/>
      <w:sz w:val="24"/>
      <w:szCs w:val="24"/>
      <w:lang w:val="en-GB"/>
    </w:rPr>
  </w:style>
  <w:style w:type="character" w:customStyle="1" w:styleId="Heading6Char">
    <w:name w:val="Heading 6 Char"/>
    <w:basedOn w:val="DefaultParagraphFont"/>
    <w:link w:val="Heading6"/>
    <w:uiPriority w:val="9"/>
    <w:semiHidden/>
    <w:rsid w:val="00A534D9"/>
    <w:rPr>
      <w:rFonts w:asciiTheme="majorHAnsi" w:eastAsiaTheme="majorEastAsia" w:hAnsiTheme="majorHAnsi" w:cstheme="majorBidi"/>
      <w:color w:val="1F4D78" w:themeColor="accent1" w:themeShade="7F"/>
      <w:sz w:val="24"/>
      <w:szCs w:val="24"/>
      <w:lang w:val="en-GB"/>
    </w:rPr>
  </w:style>
  <w:style w:type="character" w:customStyle="1" w:styleId="Heading7Char">
    <w:name w:val="Heading 7 Char"/>
    <w:basedOn w:val="DefaultParagraphFont"/>
    <w:link w:val="Heading7"/>
    <w:uiPriority w:val="9"/>
    <w:semiHidden/>
    <w:rsid w:val="00A534D9"/>
    <w:rPr>
      <w:rFonts w:asciiTheme="majorHAnsi" w:eastAsiaTheme="majorEastAsia" w:hAnsiTheme="majorHAnsi" w:cstheme="majorBidi"/>
      <w:i/>
      <w:iCs/>
      <w:color w:val="1F4D78" w:themeColor="accent1" w:themeShade="7F"/>
      <w:sz w:val="24"/>
      <w:szCs w:val="24"/>
      <w:lang w:val="en-GB"/>
    </w:rPr>
  </w:style>
  <w:style w:type="character" w:customStyle="1" w:styleId="Heading8Char">
    <w:name w:val="Heading 8 Char"/>
    <w:basedOn w:val="DefaultParagraphFont"/>
    <w:link w:val="Heading8"/>
    <w:uiPriority w:val="9"/>
    <w:semiHidden/>
    <w:rsid w:val="00A534D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534D9"/>
    <w:rPr>
      <w:rFonts w:asciiTheme="majorHAnsi" w:eastAsiaTheme="majorEastAsia" w:hAnsiTheme="majorHAnsi" w:cstheme="majorBidi"/>
      <w:i/>
      <w:iCs/>
      <w:color w:val="272727" w:themeColor="text1" w:themeTint="D8"/>
      <w:sz w:val="21"/>
      <w:szCs w:val="21"/>
      <w:lang w:val="en-GB"/>
    </w:rPr>
  </w:style>
  <w:style w:type="character" w:customStyle="1" w:styleId="UnresolvedMention1">
    <w:name w:val="Unresolved Mention1"/>
    <w:basedOn w:val="DefaultParagraphFont"/>
    <w:uiPriority w:val="99"/>
    <w:semiHidden/>
    <w:unhideWhenUsed/>
    <w:rsid w:val="00527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4084">
      <w:bodyDiv w:val="1"/>
      <w:marLeft w:val="0"/>
      <w:marRight w:val="0"/>
      <w:marTop w:val="0"/>
      <w:marBottom w:val="0"/>
      <w:divBdr>
        <w:top w:val="none" w:sz="0" w:space="0" w:color="auto"/>
        <w:left w:val="none" w:sz="0" w:space="0" w:color="auto"/>
        <w:bottom w:val="none" w:sz="0" w:space="0" w:color="auto"/>
        <w:right w:val="none" w:sz="0" w:space="0" w:color="auto"/>
      </w:divBdr>
    </w:div>
    <w:div w:id="28921482">
      <w:bodyDiv w:val="1"/>
      <w:marLeft w:val="0"/>
      <w:marRight w:val="0"/>
      <w:marTop w:val="0"/>
      <w:marBottom w:val="0"/>
      <w:divBdr>
        <w:top w:val="none" w:sz="0" w:space="0" w:color="auto"/>
        <w:left w:val="none" w:sz="0" w:space="0" w:color="auto"/>
        <w:bottom w:val="none" w:sz="0" w:space="0" w:color="auto"/>
        <w:right w:val="none" w:sz="0" w:space="0" w:color="auto"/>
      </w:divBdr>
    </w:div>
    <w:div w:id="184250738">
      <w:bodyDiv w:val="1"/>
      <w:marLeft w:val="0"/>
      <w:marRight w:val="0"/>
      <w:marTop w:val="0"/>
      <w:marBottom w:val="0"/>
      <w:divBdr>
        <w:top w:val="none" w:sz="0" w:space="0" w:color="auto"/>
        <w:left w:val="none" w:sz="0" w:space="0" w:color="auto"/>
        <w:bottom w:val="none" w:sz="0" w:space="0" w:color="auto"/>
        <w:right w:val="none" w:sz="0" w:space="0" w:color="auto"/>
      </w:divBdr>
      <w:divsChild>
        <w:div w:id="760415481">
          <w:marLeft w:val="547"/>
          <w:marRight w:val="0"/>
          <w:marTop w:val="120"/>
          <w:marBottom w:val="0"/>
          <w:divBdr>
            <w:top w:val="none" w:sz="0" w:space="0" w:color="auto"/>
            <w:left w:val="none" w:sz="0" w:space="0" w:color="auto"/>
            <w:bottom w:val="none" w:sz="0" w:space="0" w:color="auto"/>
            <w:right w:val="none" w:sz="0" w:space="0" w:color="auto"/>
          </w:divBdr>
        </w:div>
        <w:div w:id="1285304762">
          <w:marLeft w:val="547"/>
          <w:marRight w:val="0"/>
          <w:marTop w:val="120"/>
          <w:marBottom w:val="0"/>
          <w:divBdr>
            <w:top w:val="none" w:sz="0" w:space="0" w:color="auto"/>
            <w:left w:val="none" w:sz="0" w:space="0" w:color="auto"/>
            <w:bottom w:val="none" w:sz="0" w:space="0" w:color="auto"/>
            <w:right w:val="none" w:sz="0" w:space="0" w:color="auto"/>
          </w:divBdr>
        </w:div>
        <w:div w:id="806583415">
          <w:marLeft w:val="547"/>
          <w:marRight w:val="0"/>
          <w:marTop w:val="120"/>
          <w:marBottom w:val="0"/>
          <w:divBdr>
            <w:top w:val="none" w:sz="0" w:space="0" w:color="auto"/>
            <w:left w:val="none" w:sz="0" w:space="0" w:color="auto"/>
            <w:bottom w:val="none" w:sz="0" w:space="0" w:color="auto"/>
            <w:right w:val="none" w:sz="0" w:space="0" w:color="auto"/>
          </w:divBdr>
        </w:div>
        <w:div w:id="1630361440">
          <w:marLeft w:val="547"/>
          <w:marRight w:val="0"/>
          <w:marTop w:val="120"/>
          <w:marBottom w:val="0"/>
          <w:divBdr>
            <w:top w:val="none" w:sz="0" w:space="0" w:color="auto"/>
            <w:left w:val="none" w:sz="0" w:space="0" w:color="auto"/>
            <w:bottom w:val="none" w:sz="0" w:space="0" w:color="auto"/>
            <w:right w:val="none" w:sz="0" w:space="0" w:color="auto"/>
          </w:divBdr>
        </w:div>
        <w:div w:id="740836637">
          <w:marLeft w:val="547"/>
          <w:marRight w:val="0"/>
          <w:marTop w:val="120"/>
          <w:marBottom w:val="0"/>
          <w:divBdr>
            <w:top w:val="none" w:sz="0" w:space="0" w:color="auto"/>
            <w:left w:val="none" w:sz="0" w:space="0" w:color="auto"/>
            <w:bottom w:val="none" w:sz="0" w:space="0" w:color="auto"/>
            <w:right w:val="none" w:sz="0" w:space="0" w:color="auto"/>
          </w:divBdr>
        </w:div>
        <w:div w:id="24453841">
          <w:marLeft w:val="547"/>
          <w:marRight w:val="0"/>
          <w:marTop w:val="120"/>
          <w:marBottom w:val="0"/>
          <w:divBdr>
            <w:top w:val="none" w:sz="0" w:space="0" w:color="auto"/>
            <w:left w:val="none" w:sz="0" w:space="0" w:color="auto"/>
            <w:bottom w:val="none" w:sz="0" w:space="0" w:color="auto"/>
            <w:right w:val="none" w:sz="0" w:space="0" w:color="auto"/>
          </w:divBdr>
        </w:div>
        <w:div w:id="2072579266">
          <w:marLeft w:val="547"/>
          <w:marRight w:val="0"/>
          <w:marTop w:val="120"/>
          <w:marBottom w:val="0"/>
          <w:divBdr>
            <w:top w:val="none" w:sz="0" w:space="0" w:color="auto"/>
            <w:left w:val="none" w:sz="0" w:space="0" w:color="auto"/>
            <w:bottom w:val="none" w:sz="0" w:space="0" w:color="auto"/>
            <w:right w:val="none" w:sz="0" w:space="0" w:color="auto"/>
          </w:divBdr>
        </w:div>
      </w:divsChild>
    </w:div>
    <w:div w:id="196892500">
      <w:bodyDiv w:val="1"/>
      <w:marLeft w:val="0"/>
      <w:marRight w:val="0"/>
      <w:marTop w:val="0"/>
      <w:marBottom w:val="0"/>
      <w:divBdr>
        <w:top w:val="none" w:sz="0" w:space="0" w:color="auto"/>
        <w:left w:val="none" w:sz="0" w:space="0" w:color="auto"/>
        <w:bottom w:val="none" w:sz="0" w:space="0" w:color="auto"/>
        <w:right w:val="none" w:sz="0" w:space="0" w:color="auto"/>
      </w:divBdr>
    </w:div>
    <w:div w:id="238566539">
      <w:bodyDiv w:val="1"/>
      <w:marLeft w:val="0"/>
      <w:marRight w:val="0"/>
      <w:marTop w:val="0"/>
      <w:marBottom w:val="0"/>
      <w:divBdr>
        <w:top w:val="none" w:sz="0" w:space="0" w:color="auto"/>
        <w:left w:val="none" w:sz="0" w:space="0" w:color="auto"/>
        <w:bottom w:val="none" w:sz="0" w:space="0" w:color="auto"/>
        <w:right w:val="none" w:sz="0" w:space="0" w:color="auto"/>
      </w:divBdr>
      <w:divsChild>
        <w:div w:id="203101399">
          <w:marLeft w:val="547"/>
          <w:marRight w:val="0"/>
          <w:marTop w:val="120"/>
          <w:marBottom w:val="0"/>
          <w:divBdr>
            <w:top w:val="none" w:sz="0" w:space="0" w:color="auto"/>
            <w:left w:val="none" w:sz="0" w:space="0" w:color="auto"/>
            <w:bottom w:val="none" w:sz="0" w:space="0" w:color="auto"/>
            <w:right w:val="none" w:sz="0" w:space="0" w:color="auto"/>
          </w:divBdr>
        </w:div>
        <w:div w:id="1512991240">
          <w:marLeft w:val="547"/>
          <w:marRight w:val="0"/>
          <w:marTop w:val="120"/>
          <w:marBottom w:val="0"/>
          <w:divBdr>
            <w:top w:val="none" w:sz="0" w:space="0" w:color="auto"/>
            <w:left w:val="none" w:sz="0" w:space="0" w:color="auto"/>
            <w:bottom w:val="none" w:sz="0" w:space="0" w:color="auto"/>
            <w:right w:val="none" w:sz="0" w:space="0" w:color="auto"/>
          </w:divBdr>
        </w:div>
        <w:div w:id="1393517">
          <w:marLeft w:val="547"/>
          <w:marRight w:val="0"/>
          <w:marTop w:val="120"/>
          <w:marBottom w:val="0"/>
          <w:divBdr>
            <w:top w:val="none" w:sz="0" w:space="0" w:color="auto"/>
            <w:left w:val="none" w:sz="0" w:space="0" w:color="auto"/>
            <w:bottom w:val="none" w:sz="0" w:space="0" w:color="auto"/>
            <w:right w:val="none" w:sz="0" w:space="0" w:color="auto"/>
          </w:divBdr>
        </w:div>
        <w:div w:id="1250164858">
          <w:marLeft w:val="547"/>
          <w:marRight w:val="0"/>
          <w:marTop w:val="120"/>
          <w:marBottom w:val="0"/>
          <w:divBdr>
            <w:top w:val="none" w:sz="0" w:space="0" w:color="auto"/>
            <w:left w:val="none" w:sz="0" w:space="0" w:color="auto"/>
            <w:bottom w:val="none" w:sz="0" w:space="0" w:color="auto"/>
            <w:right w:val="none" w:sz="0" w:space="0" w:color="auto"/>
          </w:divBdr>
        </w:div>
        <w:div w:id="1815416443">
          <w:marLeft w:val="547"/>
          <w:marRight w:val="0"/>
          <w:marTop w:val="120"/>
          <w:marBottom w:val="0"/>
          <w:divBdr>
            <w:top w:val="none" w:sz="0" w:space="0" w:color="auto"/>
            <w:left w:val="none" w:sz="0" w:space="0" w:color="auto"/>
            <w:bottom w:val="none" w:sz="0" w:space="0" w:color="auto"/>
            <w:right w:val="none" w:sz="0" w:space="0" w:color="auto"/>
          </w:divBdr>
        </w:div>
      </w:divsChild>
    </w:div>
    <w:div w:id="309017287">
      <w:bodyDiv w:val="1"/>
      <w:marLeft w:val="0"/>
      <w:marRight w:val="0"/>
      <w:marTop w:val="0"/>
      <w:marBottom w:val="0"/>
      <w:divBdr>
        <w:top w:val="none" w:sz="0" w:space="0" w:color="auto"/>
        <w:left w:val="none" w:sz="0" w:space="0" w:color="auto"/>
        <w:bottom w:val="none" w:sz="0" w:space="0" w:color="auto"/>
        <w:right w:val="none" w:sz="0" w:space="0" w:color="auto"/>
      </w:divBdr>
      <w:divsChild>
        <w:div w:id="741221125">
          <w:marLeft w:val="547"/>
          <w:marRight w:val="0"/>
          <w:marTop w:val="86"/>
          <w:marBottom w:val="240"/>
          <w:divBdr>
            <w:top w:val="none" w:sz="0" w:space="0" w:color="auto"/>
            <w:left w:val="none" w:sz="0" w:space="0" w:color="auto"/>
            <w:bottom w:val="none" w:sz="0" w:space="0" w:color="auto"/>
            <w:right w:val="none" w:sz="0" w:space="0" w:color="auto"/>
          </w:divBdr>
        </w:div>
      </w:divsChild>
    </w:div>
    <w:div w:id="312607152">
      <w:bodyDiv w:val="1"/>
      <w:marLeft w:val="0"/>
      <w:marRight w:val="0"/>
      <w:marTop w:val="0"/>
      <w:marBottom w:val="0"/>
      <w:divBdr>
        <w:top w:val="none" w:sz="0" w:space="0" w:color="auto"/>
        <w:left w:val="none" w:sz="0" w:space="0" w:color="auto"/>
        <w:bottom w:val="none" w:sz="0" w:space="0" w:color="auto"/>
        <w:right w:val="none" w:sz="0" w:space="0" w:color="auto"/>
      </w:divBdr>
      <w:divsChild>
        <w:div w:id="1261985947">
          <w:marLeft w:val="547"/>
          <w:marRight w:val="0"/>
          <w:marTop w:val="120"/>
          <w:marBottom w:val="0"/>
          <w:divBdr>
            <w:top w:val="none" w:sz="0" w:space="0" w:color="auto"/>
            <w:left w:val="none" w:sz="0" w:space="0" w:color="auto"/>
            <w:bottom w:val="none" w:sz="0" w:space="0" w:color="auto"/>
            <w:right w:val="none" w:sz="0" w:space="0" w:color="auto"/>
          </w:divBdr>
        </w:div>
        <w:div w:id="698092314">
          <w:marLeft w:val="547"/>
          <w:marRight w:val="0"/>
          <w:marTop w:val="120"/>
          <w:marBottom w:val="0"/>
          <w:divBdr>
            <w:top w:val="none" w:sz="0" w:space="0" w:color="auto"/>
            <w:left w:val="none" w:sz="0" w:space="0" w:color="auto"/>
            <w:bottom w:val="none" w:sz="0" w:space="0" w:color="auto"/>
            <w:right w:val="none" w:sz="0" w:space="0" w:color="auto"/>
          </w:divBdr>
        </w:div>
        <w:div w:id="1367215692">
          <w:marLeft w:val="547"/>
          <w:marRight w:val="0"/>
          <w:marTop w:val="120"/>
          <w:marBottom w:val="0"/>
          <w:divBdr>
            <w:top w:val="none" w:sz="0" w:space="0" w:color="auto"/>
            <w:left w:val="none" w:sz="0" w:space="0" w:color="auto"/>
            <w:bottom w:val="none" w:sz="0" w:space="0" w:color="auto"/>
            <w:right w:val="none" w:sz="0" w:space="0" w:color="auto"/>
          </w:divBdr>
        </w:div>
        <w:div w:id="140735788">
          <w:marLeft w:val="547"/>
          <w:marRight w:val="0"/>
          <w:marTop w:val="120"/>
          <w:marBottom w:val="0"/>
          <w:divBdr>
            <w:top w:val="none" w:sz="0" w:space="0" w:color="auto"/>
            <w:left w:val="none" w:sz="0" w:space="0" w:color="auto"/>
            <w:bottom w:val="none" w:sz="0" w:space="0" w:color="auto"/>
            <w:right w:val="none" w:sz="0" w:space="0" w:color="auto"/>
          </w:divBdr>
        </w:div>
        <w:div w:id="902107958">
          <w:marLeft w:val="547"/>
          <w:marRight w:val="0"/>
          <w:marTop w:val="120"/>
          <w:marBottom w:val="0"/>
          <w:divBdr>
            <w:top w:val="none" w:sz="0" w:space="0" w:color="auto"/>
            <w:left w:val="none" w:sz="0" w:space="0" w:color="auto"/>
            <w:bottom w:val="none" w:sz="0" w:space="0" w:color="auto"/>
            <w:right w:val="none" w:sz="0" w:space="0" w:color="auto"/>
          </w:divBdr>
        </w:div>
      </w:divsChild>
    </w:div>
    <w:div w:id="381100986">
      <w:bodyDiv w:val="1"/>
      <w:marLeft w:val="0"/>
      <w:marRight w:val="0"/>
      <w:marTop w:val="0"/>
      <w:marBottom w:val="0"/>
      <w:divBdr>
        <w:top w:val="none" w:sz="0" w:space="0" w:color="auto"/>
        <w:left w:val="none" w:sz="0" w:space="0" w:color="auto"/>
        <w:bottom w:val="none" w:sz="0" w:space="0" w:color="auto"/>
        <w:right w:val="none" w:sz="0" w:space="0" w:color="auto"/>
      </w:divBdr>
      <w:divsChild>
        <w:div w:id="1539776231">
          <w:marLeft w:val="547"/>
          <w:marRight w:val="0"/>
          <w:marTop w:val="82"/>
          <w:marBottom w:val="240"/>
          <w:divBdr>
            <w:top w:val="none" w:sz="0" w:space="0" w:color="auto"/>
            <w:left w:val="none" w:sz="0" w:space="0" w:color="auto"/>
            <w:bottom w:val="none" w:sz="0" w:space="0" w:color="auto"/>
            <w:right w:val="none" w:sz="0" w:space="0" w:color="auto"/>
          </w:divBdr>
        </w:div>
        <w:div w:id="132216470">
          <w:marLeft w:val="547"/>
          <w:marRight w:val="0"/>
          <w:marTop w:val="82"/>
          <w:marBottom w:val="240"/>
          <w:divBdr>
            <w:top w:val="none" w:sz="0" w:space="0" w:color="auto"/>
            <w:left w:val="none" w:sz="0" w:space="0" w:color="auto"/>
            <w:bottom w:val="none" w:sz="0" w:space="0" w:color="auto"/>
            <w:right w:val="none" w:sz="0" w:space="0" w:color="auto"/>
          </w:divBdr>
        </w:div>
      </w:divsChild>
    </w:div>
    <w:div w:id="391581971">
      <w:bodyDiv w:val="1"/>
      <w:marLeft w:val="0"/>
      <w:marRight w:val="0"/>
      <w:marTop w:val="0"/>
      <w:marBottom w:val="0"/>
      <w:divBdr>
        <w:top w:val="none" w:sz="0" w:space="0" w:color="auto"/>
        <w:left w:val="none" w:sz="0" w:space="0" w:color="auto"/>
        <w:bottom w:val="none" w:sz="0" w:space="0" w:color="auto"/>
        <w:right w:val="none" w:sz="0" w:space="0" w:color="auto"/>
      </w:divBdr>
      <w:divsChild>
        <w:div w:id="798492884">
          <w:marLeft w:val="547"/>
          <w:marRight w:val="0"/>
          <w:marTop w:val="120"/>
          <w:marBottom w:val="0"/>
          <w:divBdr>
            <w:top w:val="none" w:sz="0" w:space="0" w:color="auto"/>
            <w:left w:val="none" w:sz="0" w:space="0" w:color="auto"/>
            <w:bottom w:val="none" w:sz="0" w:space="0" w:color="auto"/>
            <w:right w:val="none" w:sz="0" w:space="0" w:color="auto"/>
          </w:divBdr>
        </w:div>
        <w:div w:id="95488379">
          <w:marLeft w:val="547"/>
          <w:marRight w:val="0"/>
          <w:marTop w:val="120"/>
          <w:marBottom w:val="0"/>
          <w:divBdr>
            <w:top w:val="none" w:sz="0" w:space="0" w:color="auto"/>
            <w:left w:val="none" w:sz="0" w:space="0" w:color="auto"/>
            <w:bottom w:val="none" w:sz="0" w:space="0" w:color="auto"/>
            <w:right w:val="none" w:sz="0" w:space="0" w:color="auto"/>
          </w:divBdr>
        </w:div>
        <w:div w:id="1015880672">
          <w:marLeft w:val="547"/>
          <w:marRight w:val="0"/>
          <w:marTop w:val="120"/>
          <w:marBottom w:val="0"/>
          <w:divBdr>
            <w:top w:val="none" w:sz="0" w:space="0" w:color="auto"/>
            <w:left w:val="none" w:sz="0" w:space="0" w:color="auto"/>
            <w:bottom w:val="none" w:sz="0" w:space="0" w:color="auto"/>
            <w:right w:val="none" w:sz="0" w:space="0" w:color="auto"/>
          </w:divBdr>
        </w:div>
        <w:div w:id="1562406540">
          <w:marLeft w:val="547"/>
          <w:marRight w:val="0"/>
          <w:marTop w:val="120"/>
          <w:marBottom w:val="0"/>
          <w:divBdr>
            <w:top w:val="none" w:sz="0" w:space="0" w:color="auto"/>
            <w:left w:val="none" w:sz="0" w:space="0" w:color="auto"/>
            <w:bottom w:val="none" w:sz="0" w:space="0" w:color="auto"/>
            <w:right w:val="none" w:sz="0" w:space="0" w:color="auto"/>
          </w:divBdr>
        </w:div>
      </w:divsChild>
    </w:div>
    <w:div w:id="423918205">
      <w:bodyDiv w:val="1"/>
      <w:marLeft w:val="0"/>
      <w:marRight w:val="0"/>
      <w:marTop w:val="0"/>
      <w:marBottom w:val="0"/>
      <w:divBdr>
        <w:top w:val="none" w:sz="0" w:space="0" w:color="auto"/>
        <w:left w:val="none" w:sz="0" w:space="0" w:color="auto"/>
        <w:bottom w:val="none" w:sz="0" w:space="0" w:color="auto"/>
        <w:right w:val="none" w:sz="0" w:space="0" w:color="auto"/>
      </w:divBdr>
    </w:div>
    <w:div w:id="529732812">
      <w:bodyDiv w:val="1"/>
      <w:marLeft w:val="0"/>
      <w:marRight w:val="0"/>
      <w:marTop w:val="0"/>
      <w:marBottom w:val="0"/>
      <w:divBdr>
        <w:top w:val="none" w:sz="0" w:space="0" w:color="auto"/>
        <w:left w:val="none" w:sz="0" w:space="0" w:color="auto"/>
        <w:bottom w:val="none" w:sz="0" w:space="0" w:color="auto"/>
        <w:right w:val="none" w:sz="0" w:space="0" w:color="auto"/>
      </w:divBdr>
    </w:div>
    <w:div w:id="532425203">
      <w:bodyDiv w:val="1"/>
      <w:marLeft w:val="0"/>
      <w:marRight w:val="0"/>
      <w:marTop w:val="0"/>
      <w:marBottom w:val="0"/>
      <w:divBdr>
        <w:top w:val="none" w:sz="0" w:space="0" w:color="auto"/>
        <w:left w:val="none" w:sz="0" w:space="0" w:color="auto"/>
        <w:bottom w:val="none" w:sz="0" w:space="0" w:color="auto"/>
        <w:right w:val="none" w:sz="0" w:space="0" w:color="auto"/>
      </w:divBdr>
    </w:div>
    <w:div w:id="1072584678">
      <w:bodyDiv w:val="1"/>
      <w:marLeft w:val="0"/>
      <w:marRight w:val="0"/>
      <w:marTop w:val="0"/>
      <w:marBottom w:val="0"/>
      <w:divBdr>
        <w:top w:val="none" w:sz="0" w:space="0" w:color="auto"/>
        <w:left w:val="none" w:sz="0" w:space="0" w:color="auto"/>
        <w:bottom w:val="none" w:sz="0" w:space="0" w:color="auto"/>
        <w:right w:val="none" w:sz="0" w:space="0" w:color="auto"/>
      </w:divBdr>
      <w:divsChild>
        <w:div w:id="83454108">
          <w:marLeft w:val="547"/>
          <w:marRight w:val="0"/>
          <w:marTop w:val="120"/>
          <w:marBottom w:val="0"/>
          <w:divBdr>
            <w:top w:val="none" w:sz="0" w:space="0" w:color="auto"/>
            <w:left w:val="none" w:sz="0" w:space="0" w:color="auto"/>
            <w:bottom w:val="none" w:sz="0" w:space="0" w:color="auto"/>
            <w:right w:val="none" w:sz="0" w:space="0" w:color="auto"/>
          </w:divBdr>
        </w:div>
        <w:div w:id="502479396">
          <w:marLeft w:val="547"/>
          <w:marRight w:val="0"/>
          <w:marTop w:val="120"/>
          <w:marBottom w:val="0"/>
          <w:divBdr>
            <w:top w:val="none" w:sz="0" w:space="0" w:color="auto"/>
            <w:left w:val="none" w:sz="0" w:space="0" w:color="auto"/>
            <w:bottom w:val="none" w:sz="0" w:space="0" w:color="auto"/>
            <w:right w:val="none" w:sz="0" w:space="0" w:color="auto"/>
          </w:divBdr>
        </w:div>
        <w:div w:id="636036332">
          <w:marLeft w:val="547"/>
          <w:marRight w:val="0"/>
          <w:marTop w:val="120"/>
          <w:marBottom w:val="0"/>
          <w:divBdr>
            <w:top w:val="none" w:sz="0" w:space="0" w:color="auto"/>
            <w:left w:val="none" w:sz="0" w:space="0" w:color="auto"/>
            <w:bottom w:val="none" w:sz="0" w:space="0" w:color="auto"/>
            <w:right w:val="none" w:sz="0" w:space="0" w:color="auto"/>
          </w:divBdr>
        </w:div>
        <w:div w:id="1238369577">
          <w:marLeft w:val="547"/>
          <w:marRight w:val="0"/>
          <w:marTop w:val="120"/>
          <w:marBottom w:val="0"/>
          <w:divBdr>
            <w:top w:val="none" w:sz="0" w:space="0" w:color="auto"/>
            <w:left w:val="none" w:sz="0" w:space="0" w:color="auto"/>
            <w:bottom w:val="none" w:sz="0" w:space="0" w:color="auto"/>
            <w:right w:val="none" w:sz="0" w:space="0" w:color="auto"/>
          </w:divBdr>
        </w:div>
        <w:div w:id="403186212">
          <w:marLeft w:val="547"/>
          <w:marRight w:val="0"/>
          <w:marTop w:val="120"/>
          <w:marBottom w:val="0"/>
          <w:divBdr>
            <w:top w:val="none" w:sz="0" w:space="0" w:color="auto"/>
            <w:left w:val="none" w:sz="0" w:space="0" w:color="auto"/>
            <w:bottom w:val="none" w:sz="0" w:space="0" w:color="auto"/>
            <w:right w:val="none" w:sz="0" w:space="0" w:color="auto"/>
          </w:divBdr>
        </w:div>
      </w:divsChild>
    </w:div>
    <w:div w:id="1091269670">
      <w:bodyDiv w:val="1"/>
      <w:marLeft w:val="0"/>
      <w:marRight w:val="0"/>
      <w:marTop w:val="0"/>
      <w:marBottom w:val="0"/>
      <w:divBdr>
        <w:top w:val="none" w:sz="0" w:space="0" w:color="auto"/>
        <w:left w:val="none" w:sz="0" w:space="0" w:color="auto"/>
        <w:bottom w:val="none" w:sz="0" w:space="0" w:color="auto"/>
        <w:right w:val="none" w:sz="0" w:space="0" w:color="auto"/>
      </w:divBdr>
      <w:divsChild>
        <w:div w:id="580333172">
          <w:marLeft w:val="547"/>
          <w:marRight w:val="0"/>
          <w:marTop w:val="120"/>
          <w:marBottom w:val="0"/>
          <w:divBdr>
            <w:top w:val="none" w:sz="0" w:space="0" w:color="auto"/>
            <w:left w:val="none" w:sz="0" w:space="0" w:color="auto"/>
            <w:bottom w:val="none" w:sz="0" w:space="0" w:color="auto"/>
            <w:right w:val="none" w:sz="0" w:space="0" w:color="auto"/>
          </w:divBdr>
        </w:div>
        <w:div w:id="87779196">
          <w:marLeft w:val="547"/>
          <w:marRight w:val="0"/>
          <w:marTop w:val="120"/>
          <w:marBottom w:val="0"/>
          <w:divBdr>
            <w:top w:val="none" w:sz="0" w:space="0" w:color="auto"/>
            <w:left w:val="none" w:sz="0" w:space="0" w:color="auto"/>
            <w:bottom w:val="none" w:sz="0" w:space="0" w:color="auto"/>
            <w:right w:val="none" w:sz="0" w:space="0" w:color="auto"/>
          </w:divBdr>
        </w:div>
        <w:div w:id="1118986483">
          <w:marLeft w:val="547"/>
          <w:marRight w:val="0"/>
          <w:marTop w:val="120"/>
          <w:marBottom w:val="0"/>
          <w:divBdr>
            <w:top w:val="none" w:sz="0" w:space="0" w:color="auto"/>
            <w:left w:val="none" w:sz="0" w:space="0" w:color="auto"/>
            <w:bottom w:val="none" w:sz="0" w:space="0" w:color="auto"/>
            <w:right w:val="none" w:sz="0" w:space="0" w:color="auto"/>
          </w:divBdr>
        </w:div>
        <w:div w:id="1857111117">
          <w:marLeft w:val="547"/>
          <w:marRight w:val="0"/>
          <w:marTop w:val="120"/>
          <w:marBottom w:val="0"/>
          <w:divBdr>
            <w:top w:val="none" w:sz="0" w:space="0" w:color="auto"/>
            <w:left w:val="none" w:sz="0" w:space="0" w:color="auto"/>
            <w:bottom w:val="none" w:sz="0" w:space="0" w:color="auto"/>
            <w:right w:val="none" w:sz="0" w:space="0" w:color="auto"/>
          </w:divBdr>
        </w:div>
        <w:div w:id="785075347">
          <w:marLeft w:val="547"/>
          <w:marRight w:val="0"/>
          <w:marTop w:val="120"/>
          <w:marBottom w:val="0"/>
          <w:divBdr>
            <w:top w:val="none" w:sz="0" w:space="0" w:color="auto"/>
            <w:left w:val="none" w:sz="0" w:space="0" w:color="auto"/>
            <w:bottom w:val="none" w:sz="0" w:space="0" w:color="auto"/>
            <w:right w:val="none" w:sz="0" w:space="0" w:color="auto"/>
          </w:divBdr>
        </w:div>
      </w:divsChild>
    </w:div>
    <w:div w:id="1285696343">
      <w:bodyDiv w:val="1"/>
      <w:marLeft w:val="0"/>
      <w:marRight w:val="0"/>
      <w:marTop w:val="0"/>
      <w:marBottom w:val="0"/>
      <w:divBdr>
        <w:top w:val="none" w:sz="0" w:space="0" w:color="auto"/>
        <w:left w:val="none" w:sz="0" w:space="0" w:color="auto"/>
        <w:bottom w:val="none" w:sz="0" w:space="0" w:color="auto"/>
        <w:right w:val="none" w:sz="0" w:space="0" w:color="auto"/>
      </w:divBdr>
    </w:div>
    <w:div w:id="1317152736">
      <w:bodyDiv w:val="1"/>
      <w:marLeft w:val="0"/>
      <w:marRight w:val="0"/>
      <w:marTop w:val="0"/>
      <w:marBottom w:val="0"/>
      <w:divBdr>
        <w:top w:val="none" w:sz="0" w:space="0" w:color="auto"/>
        <w:left w:val="none" w:sz="0" w:space="0" w:color="auto"/>
        <w:bottom w:val="none" w:sz="0" w:space="0" w:color="auto"/>
        <w:right w:val="none" w:sz="0" w:space="0" w:color="auto"/>
      </w:divBdr>
    </w:div>
    <w:div w:id="1399742842">
      <w:bodyDiv w:val="1"/>
      <w:marLeft w:val="0"/>
      <w:marRight w:val="0"/>
      <w:marTop w:val="0"/>
      <w:marBottom w:val="0"/>
      <w:divBdr>
        <w:top w:val="none" w:sz="0" w:space="0" w:color="auto"/>
        <w:left w:val="none" w:sz="0" w:space="0" w:color="auto"/>
        <w:bottom w:val="none" w:sz="0" w:space="0" w:color="auto"/>
        <w:right w:val="none" w:sz="0" w:space="0" w:color="auto"/>
      </w:divBdr>
      <w:divsChild>
        <w:div w:id="1197768111">
          <w:marLeft w:val="0"/>
          <w:marRight w:val="0"/>
          <w:marTop w:val="0"/>
          <w:marBottom w:val="0"/>
          <w:divBdr>
            <w:top w:val="none" w:sz="0" w:space="0" w:color="auto"/>
            <w:left w:val="none" w:sz="0" w:space="0" w:color="auto"/>
            <w:bottom w:val="none" w:sz="0" w:space="0" w:color="auto"/>
            <w:right w:val="none" w:sz="0" w:space="0" w:color="auto"/>
          </w:divBdr>
        </w:div>
      </w:divsChild>
    </w:div>
    <w:div w:id="1533883696">
      <w:bodyDiv w:val="1"/>
      <w:marLeft w:val="0"/>
      <w:marRight w:val="0"/>
      <w:marTop w:val="0"/>
      <w:marBottom w:val="0"/>
      <w:divBdr>
        <w:top w:val="none" w:sz="0" w:space="0" w:color="auto"/>
        <w:left w:val="none" w:sz="0" w:space="0" w:color="auto"/>
        <w:bottom w:val="none" w:sz="0" w:space="0" w:color="auto"/>
        <w:right w:val="none" w:sz="0" w:space="0" w:color="auto"/>
      </w:divBdr>
    </w:div>
    <w:div w:id="1534078063">
      <w:bodyDiv w:val="1"/>
      <w:marLeft w:val="0"/>
      <w:marRight w:val="0"/>
      <w:marTop w:val="0"/>
      <w:marBottom w:val="0"/>
      <w:divBdr>
        <w:top w:val="none" w:sz="0" w:space="0" w:color="auto"/>
        <w:left w:val="none" w:sz="0" w:space="0" w:color="auto"/>
        <w:bottom w:val="none" w:sz="0" w:space="0" w:color="auto"/>
        <w:right w:val="none" w:sz="0" w:space="0" w:color="auto"/>
      </w:divBdr>
    </w:div>
    <w:div w:id="1538854311">
      <w:bodyDiv w:val="1"/>
      <w:marLeft w:val="0"/>
      <w:marRight w:val="0"/>
      <w:marTop w:val="0"/>
      <w:marBottom w:val="0"/>
      <w:divBdr>
        <w:top w:val="none" w:sz="0" w:space="0" w:color="auto"/>
        <w:left w:val="none" w:sz="0" w:space="0" w:color="auto"/>
        <w:bottom w:val="none" w:sz="0" w:space="0" w:color="auto"/>
        <w:right w:val="none" w:sz="0" w:space="0" w:color="auto"/>
      </w:divBdr>
      <w:divsChild>
        <w:div w:id="2142575203">
          <w:marLeft w:val="547"/>
          <w:marRight w:val="0"/>
          <w:marTop w:val="82"/>
          <w:marBottom w:val="240"/>
          <w:divBdr>
            <w:top w:val="none" w:sz="0" w:space="0" w:color="auto"/>
            <w:left w:val="none" w:sz="0" w:space="0" w:color="auto"/>
            <w:bottom w:val="none" w:sz="0" w:space="0" w:color="auto"/>
            <w:right w:val="none" w:sz="0" w:space="0" w:color="auto"/>
          </w:divBdr>
        </w:div>
      </w:divsChild>
    </w:div>
    <w:div w:id="1602958179">
      <w:bodyDiv w:val="1"/>
      <w:marLeft w:val="0"/>
      <w:marRight w:val="0"/>
      <w:marTop w:val="0"/>
      <w:marBottom w:val="0"/>
      <w:divBdr>
        <w:top w:val="none" w:sz="0" w:space="0" w:color="auto"/>
        <w:left w:val="none" w:sz="0" w:space="0" w:color="auto"/>
        <w:bottom w:val="none" w:sz="0" w:space="0" w:color="auto"/>
        <w:right w:val="none" w:sz="0" w:space="0" w:color="auto"/>
      </w:divBdr>
    </w:div>
    <w:div w:id="1609510087">
      <w:bodyDiv w:val="1"/>
      <w:marLeft w:val="0"/>
      <w:marRight w:val="0"/>
      <w:marTop w:val="0"/>
      <w:marBottom w:val="0"/>
      <w:divBdr>
        <w:top w:val="none" w:sz="0" w:space="0" w:color="auto"/>
        <w:left w:val="none" w:sz="0" w:space="0" w:color="auto"/>
        <w:bottom w:val="none" w:sz="0" w:space="0" w:color="auto"/>
        <w:right w:val="none" w:sz="0" w:space="0" w:color="auto"/>
      </w:divBdr>
    </w:div>
    <w:div w:id="1732000401">
      <w:bodyDiv w:val="1"/>
      <w:marLeft w:val="0"/>
      <w:marRight w:val="0"/>
      <w:marTop w:val="0"/>
      <w:marBottom w:val="0"/>
      <w:divBdr>
        <w:top w:val="none" w:sz="0" w:space="0" w:color="auto"/>
        <w:left w:val="none" w:sz="0" w:space="0" w:color="auto"/>
        <w:bottom w:val="none" w:sz="0" w:space="0" w:color="auto"/>
        <w:right w:val="none" w:sz="0" w:space="0" w:color="auto"/>
      </w:divBdr>
    </w:div>
    <w:div w:id="1812675637">
      <w:bodyDiv w:val="1"/>
      <w:marLeft w:val="0"/>
      <w:marRight w:val="0"/>
      <w:marTop w:val="0"/>
      <w:marBottom w:val="0"/>
      <w:divBdr>
        <w:top w:val="none" w:sz="0" w:space="0" w:color="auto"/>
        <w:left w:val="none" w:sz="0" w:space="0" w:color="auto"/>
        <w:bottom w:val="none" w:sz="0" w:space="0" w:color="auto"/>
        <w:right w:val="none" w:sz="0" w:space="0" w:color="auto"/>
      </w:divBdr>
      <w:divsChild>
        <w:div w:id="467746589">
          <w:marLeft w:val="547"/>
          <w:marRight w:val="0"/>
          <w:marTop w:val="120"/>
          <w:marBottom w:val="0"/>
          <w:divBdr>
            <w:top w:val="none" w:sz="0" w:space="0" w:color="auto"/>
            <w:left w:val="none" w:sz="0" w:space="0" w:color="auto"/>
            <w:bottom w:val="none" w:sz="0" w:space="0" w:color="auto"/>
            <w:right w:val="none" w:sz="0" w:space="0" w:color="auto"/>
          </w:divBdr>
        </w:div>
        <w:div w:id="1586114414">
          <w:marLeft w:val="547"/>
          <w:marRight w:val="0"/>
          <w:marTop w:val="120"/>
          <w:marBottom w:val="0"/>
          <w:divBdr>
            <w:top w:val="none" w:sz="0" w:space="0" w:color="auto"/>
            <w:left w:val="none" w:sz="0" w:space="0" w:color="auto"/>
            <w:bottom w:val="none" w:sz="0" w:space="0" w:color="auto"/>
            <w:right w:val="none" w:sz="0" w:space="0" w:color="auto"/>
          </w:divBdr>
        </w:div>
        <w:div w:id="558056054">
          <w:marLeft w:val="547"/>
          <w:marRight w:val="0"/>
          <w:marTop w:val="120"/>
          <w:marBottom w:val="0"/>
          <w:divBdr>
            <w:top w:val="none" w:sz="0" w:space="0" w:color="auto"/>
            <w:left w:val="none" w:sz="0" w:space="0" w:color="auto"/>
            <w:bottom w:val="none" w:sz="0" w:space="0" w:color="auto"/>
            <w:right w:val="none" w:sz="0" w:space="0" w:color="auto"/>
          </w:divBdr>
        </w:div>
        <w:div w:id="1956593438">
          <w:marLeft w:val="547"/>
          <w:marRight w:val="0"/>
          <w:marTop w:val="120"/>
          <w:marBottom w:val="0"/>
          <w:divBdr>
            <w:top w:val="none" w:sz="0" w:space="0" w:color="auto"/>
            <w:left w:val="none" w:sz="0" w:space="0" w:color="auto"/>
            <w:bottom w:val="none" w:sz="0" w:space="0" w:color="auto"/>
            <w:right w:val="none" w:sz="0" w:space="0" w:color="auto"/>
          </w:divBdr>
        </w:div>
        <w:div w:id="28342130">
          <w:marLeft w:val="547"/>
          <w:marRight w:val="0"/>
          <w:marTop w:val="120"/>
          <w:marBottom w:val="0"/>
          <w:divBdr>
            <w:top w:val="none" w:sz="0" w:space="0" w:color="auto"/>
            <w:left w:val="none" w:sz="0" w:space="0" w:color="auto"/>
            <w:bottom w:val="none" w:sz="0" w:space="0" w:color="auto"/>
            <w:right w:val="none" w:sz="0" w:space="0" w:color="auto"/>
          </w:divBdr>
        </w:div>
      </w:divsChild>
    </w:div>
    <w:div w:id="1835030796">
      <w:bodyDiv w:val="1"/>
      <w:marLeft w:val="0"/>
      <w:marRight w:val="0"/>
      <w:marTop w:val="0"/>
      <w:marBottom w:val="0"/>
      <w:divBdr>
        <w:top w:val="none" w:sz="0" w:space="0" w:color="auto"/>
        <w:left w:val="none" w:sz="0" w:space="0" w:color="auto"/>
        <w:bottom w:val="none" w:sz="0" w:space="0" w:color="auto"/>
        <w:right w:val="none" w:sz="0" w:space="0" w:color="auto"/>
      </w:divBdr>
    </w:div>
    <w:div w:id="1962834842">
      <w:bodyDiv w:val="1"/>
      <w:marLeft w:val="0"/>
      <w:marRight w:val="0"/>
      <w:marTop w:val="0"/>
      <w:marBottom w:val="0"/>
      <w:divBdr>
        <w:top w:val="none" w:sz="0" w:space="0" w:color="auto"/>
        <w:left w:val="none" w:sz="0" w:space="0" w:color="auto"/>
        <w:bottom w:val="none" w:sz="0" w:space="0" w:color="auto"/>
        <w:right w:val="none" w:sz="0" w:space="0" w:color="auto"/>
      </w:divBdr>
    </w:div>
    <w:div w:id="1972243418">
      <w:bodyDiv w:val="1"/>
      <w:marLeft w:val="0"/>
      <w:marRight w:val="0"/>
      <w:marTop w:val="0"/>
      <w:marBottom w:val="0"/>
      <w:divBdr>
        <w:top w:val="none" w:sz="0" w:space="0" w:color="auto"/>
        <w:left w:val="none" w:sz="0" w:space="0" w:color="auto"/>
        <w:bottom w:val="none" w:sz="0" w:space="0" w:color="auto"/>
        <w:right w:val="none" w:sz="0" w:space="0" w:color="auto"/>
      </w:divBdr>
      <w:divsChild>
        <w:div w:id="267928881">
          <w:marLeft w:val="547"/>
          <w:marRight w:val="0"/>
          <w:marTop w:val="120"/>
          <w:marBottom w:val="0"/>
          <w:divBdr>
            <w:top w:val="none" w:sz="0" w:space="0" w:color="auto"/>
            <w:left w:val="none" w:sz="0" w:space="0" w:color="auto"/>
            <w:bottom w:val="none" w:sz="0" w:space="0" w:color="auto"/>
            <w:right w:val="none" w:sz="0" w:space="0" w:color="auto"/>
          </w:divBdr>
        </w:div>
        <w:div w:id="286855775">
          <w:marLeft w:val="547"/>
          <w:marRight w:val="0"/>
          <w:marTop w:val="120"/>
          <w:marBottom w:val="0"/>
          <w:divBdr>
            <w:top w:val="none" w:sz="0" w:space="0" w:color="auto"/>
            <w:left w:val="none" w:sz="0" w:space="0" w:color="auto"/>
            <w:bottom w:val="none" w:sz="0" w:space="0" w:color="auto"/>
            <w:right w:val="none" w:sz="0" w:space="0" w:color="auto"/>
          </w:divBdr>
        </w:div>
        <w:div w:id="2006201587">
          <w:marLeft w:val="547"/>
          <w:marRight w:val="0"/>
          <w:marTop w:val="120"/>
          <w:marBottom w:val="0"/>
          <w:divBdr>
            <w:top w:val="none" w:sz="0" w:space="0" w:color="auto"/>
            <w:left w:val="none" w:sz="0" w:space="0" w:color="auto"/>
            <w:bottom w:val="none" w:sz="0" w:space="0" w:color="auto"/>
            <w:right w:val="none" w:sz="0" w:space="0" w:color="auto"/>
          </w:divBdr>
        </w:div>
        <w:div w:id="1404835040">
          <w:marLeft w:val="547"/>
          <w:marRight w:val="0"/>
          <w:marTop w:val="120"/>
          <w:marBottom w:val="0"/>
          <w:divBdr>
            <w:top w:val="none" w:sz="0" w:space="0" w:color="auto"/>
            <w:left w:val="none" w:sz="0" w:space="0" w:color="auto"/>
            <w:bottom w:val="none" w:sz="0" w:space="0" w:color="auto"/>
            <w:right w:val="none" w:sz="0" w:space="0" w:color="auto"/>
          </w:divBdr>
        </w:div>
        <w:div w:id="1652565588">
          <w:marLeft w:val="547"/>
          <w:marRight w:val="0"/>
          <w:marTop w:val="120"/>
          <w:marBottom w:val="0"/>
          <w:divBdr>
            <w:top w:val="none" w:sz="0" w:space="0" w:color="auto"/>
            <w:left w:val="none" w:sz="0" w:space="0" w:color="auto"/>
            <w:bottom w:val="none" w:sz="0" w:space="0" w:color="auto"/>
            <w:right w:val="none" w:sz="0" w:space="0" w:color="auto"/>
          </w:divBdr>
        </w:div>
      </w:divsChild>
    </w:div>
    <w:div w:id="2008895827">
      <w:bodyDiv w:val="1"/>
      <w:marLeft w:val="0"/>
      <w:marRight w:val="0"/>
      <w:marTop w:val="0"/>
      <w:marBottom w:val="0"/>
      <w:divBdr>
        <w:top w:val="none" w:sz="0" w:space="0" w:color="auto"/>
        <w:left w:val="none" w:sz="0" w:space="0" w:color="auto"/>
        <w:bottom w:val="none" w:sz="0" w:space="0" w:color="auto"/>
        <w:right w:val="none" w:sz="0" w:space="0" w:color="auto"/>
      </w:divBdr>
      <w:divsChild>
        <w:div w:id="1210193274">
          <w:marLeft w:val="547"/>
          <w:marRight w:val="0"/>
          <w:marTop w:val="82"/>
          <w:marBottom w:val="240"/>
          <w:divBdr>
            <w:top w:val="none" w:sz="0" w:space="0" w:color="auto"/>
            <w:left w:val="none" w:sz="0" w:space="0" w:color="auto"/>
            <w:bottom w:val="none" w:sz="0" w:space="0" w:color="auto"/>
            <w:right w:val="none" w:sz="0" w:space="0" w:color="auto"/>
          </w:divBdr>
        </w:div>
      </w:divsChild>
    </w:div>
    <w:div w:id="21365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9/72/oj/?locale=LV"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aira.Armane@em.gov.lv"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dir/2003/54/oj/?locale=LV"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sprk.gov.lv/uploads/doc/LemumsN090D26072018.pdf" TargetMode="External"/><Relationship Id="rId2" Type="http://schemas.openxmlformats.org/officeDocument/2006/relationships/hyperlink" Target="http://eur-lex.europa.eu/eli/dir/2003/54/oj/?locale=LV" TargetMode="External"/><Relationship Id="rId1" Type="http://schemas.openxmlformats.org/officeDocument/2006/relationships/hyperlink" Target="http://eur-lex.europa.eu/eli/dir/2009/72/oj/?locale=LV" TargetMode="External"/><Relationship Id="rId4" Type="http://schemas.openxmlformats.org/officeDocument/2006/relationships/hyperlink" Target="http://www.ast.lv/lv/content/2018-gada-parsk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924C-223E-478C-8098-219480E0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4006</TotalTime>
  <Pages>21</Pages>
  <Words>23429</Words>
  <Characters>13355</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par īpašumtiesību maiņu</vt:lpstr>
    </vt:vector>
  </TitlesOfParts>
  <Company>EM</Company>
  <LinksUpToDate>false</LinksUpToDate>
  <CharactersWithSpaces>36711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īpašumtiesību maiņu</dc:title>
  <dc:subject>Informatīvais ziņojums</dc:subject>
  <dc:creator>Daira Armane</dc:creator>
  <cp:lastModifiedBy>Daira Armane</cp:lastModifiedBy>
  <cp:revision>4</cp:revision>
  <cp:lastPrinted>2018-07-25T12:21:00Z</cp:lastPrinted>
  <dcterms:created xsi:type="dcterms:W3CDTF">2019-09-12T12:47:00Z</dcterms:created>
  <dcterms:modified xsi:type="dcterms:W3CDTF">2019-09-16T06:28:00Z</dcterms:modified>
</cp:coreProperties>
</file>