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750114" w:rsidRDefault="001E592D" w:rsidP="00894C55">
      <w:pPr>
        <w:shd w:val="clear" w:color="auto" w:fill="FFFFFF"/>
        <w:jc w:val="center"/>
        <w:rPr>
          <w:rFonts w:eastAsia="Times New Roman" w:cs="Times New Roman"/>
          <w:b/>
          <w:bCs/>
          <w:sz w:val="28"/>
          <w:szCs w:val="24"/>
          <w:lang w:eastAsia="lv-LV"/>
        </w:rPr>
      </w:pPr>
      <w:r w:rsidRPr="00750114">
        <w:rPr>
          <w:rFonts w:eastAsia="Times New Roman" w:cs="Times New Roman"/>
          <w:b/>
          <w:bCs/>
          <w:sz w:val="28"/>
          <w:szCs w:val="24"/>
          <w:lang w:eastAsia="lv-LV"/>
        </w:rPr>
        <w:t>L</w:t>
      </w:r>
      <w:r w:rsidR="0030784C" w:rsidRPr="00750114">
        <w:rPr>
          <w:rFonts w:eastAsia="Times New Roman" w:cs="Times New Roman"/>
          <w:b/>
          <w:bCs/>
          <w:sz w:val="28"/>
          <w:szCs w:val="24"/>
          <w:lang w:eastAsia="lv-LV"/>
        </w:rPr>
        <w:t>ikumprojekta “Grozījumi likumā “Par nodokļiem un nodevām””</w:t>
      </w:r>
      <w:r w:rsidR="003B0BF9" w:rsidRPr="00750114">
        <w:rPr>
          <w:rFonts w:eastAsia="Times New Roman" w:cs="Times New Roman"/>
          <w:b/>
          <w:bCs/>
          <w:sz w:val="28"/>
          <w:szCs w:val="24"/>
          <w:lang w:eastAsia="lv-LV"/>
        </w:rPr>
        <w:br/>
      </w:r>
      <w:r w:rsidR="00894C55" w:rsidRPr="00750114">
        <w:rPr>
          <w:rFonts w:eastAsia="Times New Roman" w:cs="Times New Roman"/>
          <w:b/>
          <w:bCs/>
          <w:sz w:val="28"/>
          <w:szCs w:val="24"/>
          <w:lang w:eastAsia="lv-LV"/>
        </w:rPr>
        <w:t>sākotnējās ietekmes novērtējuma ziņojums (anotācija)</w:t>
      </w:r>
    </w:p>
    <w:p w:rsidR="00E5323B" w:rsidRPr="00750114" w:rsidRDefault="00E5323B" w:rsidP="00894C55">
      <w:pPr>
        <w:shd w:val="clear" w:color="auto" w:fill="FFFFFF"/>
        <w:jc w:val="center"/>
        <w:rPr>
          <w:rFonts w:eastAsia="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36"/>
        <w:gridCol w:w="5885"/>
      </w:tblGrid>
      <w:tr w:rsidR="00CE33AC" w:rsidRPr="00750114"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Tiesību akta projekta anotācijas kopsavilkums</w:t>
            </w:r>
          </w:p>
        </w:tc>
      </w:tr>
      <w:tr w:rsidR="00CE33AC" w:rsidRPr="00750114" w:rsidTr="00A05BA0">
        <w:trPr>
          <w:tblCellSpacing w:w="15" w:type="dxa"/>
        </w:trPr>
        <w:tc>
          <w:tcPr>
            <w:tcW w:w="178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Mērķis, risinājums un projekta spēkā stāšanās laiks (500 zīmes bez atstarpēm)</w:t>
            </w:r>
          </w:p>
        </w:tc>
        <w:tc>
          <w:tcPr>
            <w:tcW w:w="3167" w:type="pct"/>
            <w:tcBorders>
              <w:top w:val="outset" w:sz="6" w:space="0" w:color="auto"/>
              <w:left w:val="outset" w:sz="6" w:space="0" w:color="auto"/>
              <w:bottom w:val="outset" w:sz="6" w:space="0" w:color="auto"/>
              <w:right w:val="outset" w:sz="6" w:space="0" w:color="auto"/>
            </w:tcBorders>
            <w:hideMark/>
          </w:tcPr>
          <w:p w:rsidR="005A707C" w:rsidRDefault="005A707C" w:rsidP="005A707C">
            <w:pPr>
              <w:ind w:firstLine="284"/>
              <w:jc w:val="both"/>
              <w:rPr>
                <w:szCs w:val="24"/>
                <w:shd w:val="clear" w:color="auto" w:fill="FFFFFF"/>
              </w:rPr>
            </w:pPr>
            <w:r>
              <w:rPr>
                <w:rFonts w:cs="Times New Roman"/>
                <w:szCs w:val="24"/>
              </w:rPr>
              <w:t xml:space="preserve">Likumprojekts </w:t>
            </w:r>
            <w:r w:rsidRPr="000A6DB5">
              <w:rPr>
                <w:rFonts w:cs="Times New Roman"/>
                <w:szCs w:val="24"/>
              </w:rPr>
              <w:t xml:space="preserve">izstrādāts, lai </w:t>
            </w:r>
            <w:r>
              <w:rPr>
                <w:rFonts w:cs="Times New Roman"/>
                <w:szCs w:val="24"/>
              </w:rPr>
              <w:t>nostiprinātu</w:t>
            </w:r>
            <w:r w:rsidRPr="000A6DB5">
              <w:rPr>
                <w:szCs w:val="24"/>
                <w:shd w:val="clear" w:color="auto" w:fill="FFFFFF"/>
              </w:rPr>
              <w:t xml:space="preserve"> Valsts ieņēmumu dienesta tiesības informēt nodokļu maksātāju par faktiem, kas liecina par darījuma partnera (juridiskās personas) nodokļu riskiem, un pilnveidot</w:t>
            </w:r>
            <w:r>
              <w:rPr>
                <w:szCs w:val="24"/>
                <w:shd w:val="clear" w:color="auto" w:fill="FFFFFF"/>
              </w:rPr>
              <w:t>u</w:t>
            </w:r>
            <w:r w:rsidRPr="000A6DB5">
              <w:rPr>
                <w:szCs w:val="24"/>
                <w:shd w:val="clear" w:color="auto" w:fill="FFFFFF"/>
              </w:rPr>
              <w:t xml:space="preserve"> juridiskās personas nokavēto nodokļu maksājumu atlīdzināšanas regulējumu, to attiecinot arī uz personām, kuras faktiski ir rīkojušās juridiskās personas vārdā, kā arī pārskatot </w:t>
            </w:r>
            <w:r>
              <w:rPr>
                <w:szCs w:val="24"/>
                <w:shd w:val="clear" w:color="auto" w:fill="FFFFFF"/>
              </w:rPr>
              <w:t xml:space="preserve">vienu no </w:t>
            </w:r>
            <w:r w:rsidRPr="000A6DB5">
              <w:rPr>
                <w:szCs w:val="24"/>
                <w:shd w:val="clear" w:color="auto" w:fill="FFFFFF"/>
              </w:rPr>
              <w:t>kritērij</w:t>
            </w:r>
            <w:r>
              <w:rPr>
                <w:szCs w:val="24"/>
                <w:shd w:val="clear" w:color="auto" w:fill="FFFFFF"/>
              </w:rPr>
              <w:t>iem procesa par juridiskās personas nokavēto nodokļu maksājumu atlīdzināšanas uzsākšanai</w:t>
            </w:r>
            <w:r w:rsidRPr="000A6DB5">
              <w:rPr>
                <w:szCs w:val="24"/>
                <w:shd w:val="clear" w:color="auto" w:fill="FFFFFF"/>
              </w:rPr>
              <w:t>.</w:t>
            </w:r>
          </w:p>
          <w:p w:rsidR="00E5323B" w:rsidRPr="005A707C" w:rsidRDefault="005A707C" w:rsidP="005A707C">
            <w:pPr>
              <w:ind w:firstLine="284"/>
              <w:jc w:val="both"/>
              <w:rPr>
                <w:szCs w:val="24"/>
                <w:shd w:val="clear" w:color="auto" w:fill="FFFFFF"/>
              </w:rPr>
            </w:pPr>
            <w:r>
              <w:rPr>
                <w:rFonts w:cs="Times New Roman"/>
                <w:szCs w:val="24"/>
              </w:rPr>
              <w:t xml:space="preserve">Likumā ietvertais regulējums stāsies </w:t>
            </w:r>
            <w:r w:rsidRPr="00750114">
              <w:rPr>
                <w:rFonts w:cs="Times New Roman"/>
                <w:szCs w:val="24"/>
              </w:rPr>
              <w:t xml:space="preserve">spēkā </w:t>
            </w:r>
            <w:r>
              <w:rPr>
                <w:rFonts w:cs="Times New Roman"/>
                <w:szCs w:val="24"/>
              </w:rPr>
              <w:t>2020. gada 1. janvārī.</w:t>
            </w:r>
          </w:p>
        </w:tc>
      </w:tr>
    </w:tbl>
    <w:p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9"/>
        <w:gridCol w:w="77"/>
        <w:gridCol w:w="2708"/>
        <w:gridCol w:w="5867"/>
      </w:tblGrid>
      <w:tr w:rsidR="00CE33AC" w:rsidRPr="00750114"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 Tiesību akta projekta izstrādes nepieciešamība</w:t>
            </w:r>
          </w:p>
        </w:tc>
      </w:tr>
      <w:tr w:rsidR="00CE33AC" w:rsidRPr="00750114" w:rsidTr="00A05BA0">
        <w:trPr>
          <w:tblCellSpacing w:w="15" w:type="dxa"/>
        </w:trPr>
        <w:tc>
          <w:tcPr>
            <w:tcW w:w="311" w:type="pct"/>
            <w:gridSpan w:val="2"/>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57"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Pamatojums</w:t>
            </w:r>
          </w:p>
        </w:tc>
        <w:tc>
          <w:tcPr>
            <w:tcW w:w="3167" w:type="pct"/>
            <w:tcBorders>
              <w:top w:val="outset" w:sz="6" w:space="0" w:color="auto"/>
              <w:left w:val="outset" w:sz="6" w:space="0" w:color="auto"/>
              <w:bottom w:val="outset" w:sz="6" w:space="0" w:color="auto"/>
              <w:right w:val="outset" w:sz="6" w:space="0" w:color="auto"/>
            </w:tcBorders>
            <w:hideMark/>
          </w:tcPr>
          <w:p w:rsidR="000A6DB5" w:rsidRDefault="00724518" w:rsidP="000A6DB5">
            <w:pPr>
              <w:ind w:firstLine="284"/>
              <w:jc w:val="both"/>
              <w:rPr>
                <w:szCs w:val="24"/>
                <w:shd w:val="clear" w:color="auto" w:fill="FFFFFF"/>
              </w:rPr>
            </w:pPr>
            <w:r>
              <w:rPr>
                <w:rFonts w:cs="Times New Roman"/>
                <w:szCs w:val="24"/>
              </w:rPr>
              <w:t>1. </w:t>
            </w:r>
            <w:r w:rsidR="000A6DB5">
              <w:rPr>
                <w:rFonts w:cs="Times New Roman"/>
                <w:szCs w:val="24"/>
              </w:rPr>
              <w:t> </w:t>
            </w:r>
            <w:r w:rsidR="000A6DB5" w:rsidRPr="000A6DB5">
              <w:rPr>
                <w:szCs w:val="24"/>
              </w:rPr>
              <w:t xml:space="preserve">Ministru kabineta 2019. gada 13. septembra protokola Nr. 41 </w:t>
            </w:r>
            <w:r w:rsidR="000A6DB5" w:rsidRPr="000A6DB5">
              <w:rPr>
                <w:bCs/>
                <w:szCs w:val="24"/>
                <w:shd w:val="clear" w:color="auto" w:fill="FFFFFF"/>
              </w:rPr>
              <w:t>1. § “</w:t>
            </w:r>
            <w:r w:rsidR="000A6DB5" w:rsidRPr="000A6DB5">
              <w:rPr>
                <w:szCs w:val="24"/>
                <w:shd w:val="clear" w:color="auto" w:fill="FFFFFF"/>
              </w:rPr>
              <w:t>Informatīvais ziņojums “Par fiskālās telpas pasākumiem un izdevumiem prioritārajiem pasākumiem valsts budžetam 2020. gadam un ietvaram 2020.–2022. gadam”” 7. 1. un 7.2. apakšpunkt</w:t>
            </w:r>
            <w:r w:rsidR="000A6DB5">
              <w:rPr>
                <w:szCs w:val="24"/>
                <w:shd w:val="clear" w:color="auto" w:fill="FFFFFF"/>
              </w:rPr>
              <w:t xml:space="preserve">s, kurā dots </w:t>
            </w:r>
            <w:r w:rsidR="000A6DB5" w:rsidRPr="000A6DB5">
              <w:rPr>
                <w:szCs w:val="24"/>
                <w:shd w:val="clear" w:color="auto" w:fill="FFFFFF"/>
              </w:rPr>
              <w:t>uzdevum</w:t>
            </w:r>
            <w:r w:rsidR="000A6DB5">
              <w:rPr>
                <w:szCs w:val="24"/>
                <w:shd w:val="clear" w:color="auto" w:fill="FFFFFF"/>
              </w:rPr>
              <w:t>s</w:t>
            </w:r>
            <w:r w:rsidR="000A6DB5" w:rsidRPr="000A6DB5">
              <w:rPr>
                <w:szCs w:val="24"/>
                <w:shd w:val="clear" w:color="auto" w:fill="FFFFFF"/>
              </w:rPr>
              <w:t xml:space="preserve"> Finanšu ministrijai sagatavot un iesniegt izskatīšanai Ministru kabinetā 2020. gada budžeta likumprojektu paketē grozījumus likumā “Par nodokļiem un nodevām”, paredzot </w:t>
            </w:r>
            <w:r w:rsidR="00A85B92">
              <w:rPr>
                <w:szCs w:val="24"/>
                <w:shd w:val="clear" w:color="auto" w:fill="FFFFFF"/>
              </w:rPr>
              <w:t xml:space="preserve">Valsts ieņēmumu dienesta (turpmāk – </w:t>
            </w:r>
            <w:r w:rsidR="000A6DB5">
              <w:rPr>
                <w:szCs w:val="24"/>
                <w:shd w:val="clear" w:color="auto" w:fill="FFFFFF"/>
              </w:rPr>
              <w:t>VID</w:t>
            </w:r>
            <w:r w:rsidR="00A85B92">
              <w:rPr>
                <w:szCs w:val="24"/>
                <w:shd w:val="clear" w:color="auto" w:fill="FFFFFF"/>
              </w:rPr>
              <w:t>)</w:t>
            </w:r>
            <w:r w:rsidR="000A6DB5">
              <w:rPr>
                <w:szCs w:val="24"/>
                <w:shd w:val="clear" w:color="auto" w:fill="FFFFFF"/>
              </w:rPr>
              <w:t xml:space="preserve"> </w:t>
            </w:r>
            <w:r w:rsidR="000A6DB5" w:rsidRPr="000A6DB5">
              <w:rPr>
                <w:szCs w:val="24"/>
                <w:shd w:val="clear" w:color="auto" w:fill="FFFFFF"/>
              </w:rPr>
              <w:t>tiesības informēt nodokļu maksātāju par faktiem, kas liecina par darījuma partnera (juridiskās personas) nodokļu riskiem, un pilnveidot juridiskās personas nokavēto nodokļu maksājumu atlīdzināšanas regulējumu, to attiecinot arī uz personām, kuras faktiski ir rīkojušās juridiskās personas vārdā, kā arī pārskatot 60. panta pirmās daļas 3. punktā ietverto kritēriju.</w:t>
            </w:r>
          </w:p>
          <w:p w:rsidR="001C3795" w:rsidRPr="00750114" w:rsidRDefault="000A6DB5" w:rsidP="001C3795">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2.  </w:t>
            </w:r>
            <w:r w:rsidR="001C3795" w:rsidRPr="00750114">
              <w:rPr>
                <w:rFonts w:ascii="Times New Roman" w:hAnsi="Times New Roman" w:cs="Times New Roman"/>
                <w:sz w:val="24"/>
                <w:szCs w:val="24"/>
              </w:rPr>
              <w:t>Finan</w:t>
            </w:r>
            <w:r w:rsidR="001C3795">
              <w:rPr>
                <w:rFonts w:ascii="Times New Roman" w:hAnsi="Times New Roman" w:cs="Times New Roman"/>
                <w:sz w:val="24"/>
                <w:szCs w:val="24"/>
              </w:rPr>
              <w:t>šu ministrijas (VID) iniciatīva;</w:t>
            </w:r>
          </w:p>
          <w:p w:rsidR="00724518" w:rsidRDefault="000A6DB5" w:rsidP="00724518">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3</w:t>
            </w:r>
            <w:r w:rsidR="001C3795">
              <w:rPr>
                <w:rFonts w:ascii="Times New Roman" w:hAnsi="Times New Roman" w:cs="Times New Roman"/>
                <w:sz w:val="24"/>
                <w:szCs w:val="24"/>
              </w:rPr>
              <w:t>.  </w:t>
            </w:r>
            <w:r w:rsidR="0026270F" w:rsidRPr="00750114">
              <w:rPr>
                <w:rFonts w:ascii="Times New Roman" w:hAnsi="Times New Roman" w:cs="Times New Roman"/>
                <w:sz w:val="24"/>
                <w:szCs w:val="24"/>
              </w:rPr>
              <w:t xml:space="preserve">Valsts </w:t>
            </w:r>
            <w:r w:rsidR="00D60DB2" w:rsidRPr="00750114">
              <w:rPr>
                <w:rFonts w:ascii="Times New Roman" w:hAnsi="Times New Roman" w:cs="Times New Roman"/>
                <w:sz w:val="24"/>
                <w:szCs w:val="24"/>
              </w:rPr>
              <w:t>nodokļu politikas pamatnostādņu</w:t>
            </w:r>
            <w:r w:rsidR="0026270F" w:rsidRPr="00750114">
              <w:rPr>
                <w:rFonts w:ascii="Times New Roman" w:hAnsi="Times New Roman" w:cs="Times New Roman"/>
                <w:sz w:val="24"/>
                <w:szCs w:val="24"/>
              </w:rPr>
              <w:t xml:space="preserve"> 2018.</w:t>
            </w:r>
            <w:r w:rsidR="008D5F4D" w:rsidRPr="00750114">
              <w:rPr>
                <w:rFonts w:ascii="Times New Roman" w:hAnsi="Times New Roman" w:cs="Times New Roman"/>
                <w:sz w:val="24"/>
                <w:szCs w:val="24"/>
              </w:rPr>
              <w:t>–</w:t>
            </w:r>
            <w:r w:rsidR="0026270F" w:rsidRPr="00750114">
              <w:rPr>
                <w:rFonts w:ascii="Times New Roman" w:hAnsi="Times New Roman" w:cs="Times New Roman"/>
                <w:sz w:val="24"/>
                <w:szCs w:val="24"/>
              </w:rPr>
              <w:t>2021.</w:t>
            </w:r>
            <w:r w:rsidR="00194D9E" w:rsidRPr="00750114">
              <w:rPr>
                <w:rFonts w:ascii="Times New Roman" w:hAnsi="Times New Roman" w:cs="Times New Roman"/>
                <w:sz w:val="24"/>
                <w:szCs w:val="24"/>
              </w:rPr>
              <w:t> </w:t>
            </w:r>
            <w:r w:rsidR="0026270F" w:rsidRPr="00750114">
              <w:rPr>
                <w:rFonts w:ascii="Times New Roman" w:hAnsi="Times New Roman" w:cs="Times New Roman"/>
                <w:sz w:val="24"/>
                <w:szCs w:val="24"/>
              </w:rPr>
              <w:t>gadam</w:t>
            </w:r>
            <w:r w:rsidR="00D60DB2" w:rsidRPr="00750114">
              <w:rPr>
                <w:rFonts w:ascii="Times New Roman" w:hAnsi="Times New Roman" w:cs="Times New Roman"/>
                <w:sz w:val="24"/>
                <w:szCs w:val="24"/>
              </w:rPr>
              <w:t xml:space="preserve"> (apstiprināt</w:t>
            </w:r>
            <w:r w:rsidR="001E592D" w:rsidRPr="00750114">
              <w:rPr>
                <w:rFonts w:ascii="Times New Roman" w:hAnsi="Times New Roman" w:cs="Times New Roman"/>
                <w:sz w:val="24"/>
                <w:szCs w:val="24"/>
              </w:rPr>
              <w:t>as</w:t>
            </w:r>
            <w:r w:rsidR="00D60DB2" w:rsidRPr="00750114">
              <w:rPr>
                <w:rFonts w:ascii="Times New Roman" w:hAnsi="Times New Roman" w:cs="Times New Roman"/>
                <w:sz w:val="24"/>
                <w:szCs w:val="24"/>
              </w:rPr>
              <w:t xml:space="preserve"> ar Ministru kabineta 2017. gada 24. maija rīkojumu Nr. 245)</w:t>
            </w:r>
            <w:r w:rsidR="0026270F" w:rsidRPr="00750114">
              <w:rPr>
                <w:rFonts w:ascii="Times New Roman" w:hAnsi="Times New Roman" w:cs="Times New Roman"/>
                <w:sz w:val="24"/>
                <w:szCs w:val="24"/>
              </w:rPr>
              <w:t xml:space="preserve"> </w:t>
            </w:r>
            <w:r w:rsidR="00BE13BB">
              <w:rPr>
                <w:rFonts w:ascii="Times New Roman" w:hAnsi="Times New Roman" w:cs="Times New Roman"/>
                <w:sz w:val="24"/>
                <w:szCs w:val="24"/>
              </w:rPr>
              <w:t>3.6.1. uzdevums, kas paredz pilnveidot valdes locekļu atbildību nodokļu jomā, pārskatot esošo kritēriju efektivitāti</w:t>
            </w:r>
            <w:r w:rsidR="00724518">
              <w:rPr>
                <w:rFonts w:ascii="Times New Roman" w:hAnsi="Times New Roman" w:cs="Times New Roman"/>
                <w:sz w:val="24"/>
                <w:szCs w:val="24"/>
              </w:rPr>
              <w:t>;</w:t>
            </w:r>
          </w:p>
          <w:p w:rsidR="005C7CA3" w:rsidRPr="00750114" w:rsidRDefault="000A6DB5" w:rsidP="005A707C">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4</w:t>
            </w:r>
            <w:r w:rsidR="00724518">
              <w:rPr>
                <w:rFonts w:ascii="Times New Roman" w:hAnsi="Times New Roman" w:cs="Times New Roman"/>
                <w:sz w:val="24"/>
                <w:szCs w:val="24"/>
              </w:rPr>
              <w:t>.  </w:t>
            </w:r>
            <w:r w:rsidR="00724518" w:rsidRPr="008C46B0">
              <w:rPr>
                <w:rFonts w:ascii="Times New Roman" w:hAnsi="Times New Roman" w:cs="Times New Roman"/>
                <w:sz w:val="24"/>
                <w:szCs w:val="24"/>
              </w:rPr>
              <w:t>Valdības rīcības plān</w:t>
            </w:r>
            <w:r w:rsidR="00495B07">
              <w:rPr>
                <w:rFonts w:ascii="Times New Roman" w:hAnsi="Times New Roman" w:cs="Times New Roman"/>
                <w:sz w:val="24"/>
                <w:szCs w:val="24"/>
              </w:rPr>
              <w:t>a</w:t>
            </w:r>
            <w:r w:rsidR="00724518" w:rsidRPr="008C46B0">
              <w:rPr>
                <w:rFonts w:ascii="Times New Roman" w:hAnsi="Times New Roman" w:cs="Times New Roman"/>
                <w:sz w:val="24"/>
                <w:szCs w:val="24"/>
              </w:rPr>
              <w:t xml:space="preserve"> </w:t>
            </w:r>
            <w:r w:rsidR="00E44773" w:rsidRPr="008C46B0">
              <w:rPr>
                <w:rFonts w:ascii="Times New Roman" w:hAnsi="Times New Roman" w:cs="Times New Roman"/>
                <w:sz w:val="24"/>
                <w:szCs w:val="24"/>
              </w:rPr>
              <w:t>(apstiprināts ar M</w:t>
            </w:r>
            <w:r w:rsidR="00E44773" w:rsidRPr="00E44773">
              <w:rPr>
                <w:rFonts w:ascii="Times New Roman" w:hAnsi="Times New Roman" w:cs="Times New Roman"/>
                <w:sz w:val="24"/>
                <w:szCs w:val="24"/>
              </w:rPr>
              <w:t>inistru kabineta 2019. gada 7. maija rīkojumu Nr. 210 “Par Valdības rīcības plānu Deklarācijas par Artura Krišjāņa Kariņa vadītā Ministru kabineta iecerēto darbību īstenošanai”</w:t>
            </w:r>
            <w:r w:rsidR="005A707C">
              <w:rPr>
                <w:rFonts w:ascii="Times New Roman" w:hAnsi="Times New Roman" w:cs="Times New Roman"/>
                <w:sz w:val="24"/>
                <w:szCs w:val="24"/>
              </w:rPr>
              <w:t>)</w:t>
            </w:r>
            <w:r w:rsidR="00E44773" w:rsidRPr="00E44773">
              <w:rPr>
                <w:rFonts w:ascii="Times New Roman" w:hAnsi="Times New Roman" w:cs="Times New Roman"/>
                <w:sz w:val="24"/>
                <w:szCs w:val="24"/>
              </w:rPr>
              <w:t xml:space="preserve"> </w:t>
            </w:r>
            <w:r w:rsidR="00495B07">
              <w:rPr>
                <w:rFonts w:ascii="Times New Roman" w:hAnsi="Times New Roman" w:cs="Times New Roman"/>
                <w:sz w:val="24"/>
                <w:szCs w:val="24"/>
              </w:rPr>
              <w:t>12.3 pasākums, pilnveidot valdes locekļ</w:t>
            </w:r>
            <w:r w:rsidR="005A707C">
              <w:rPr>
                <w:rFonts w:ascii="Times New Roman" w:hAnsi="Times New Roman" w:cs="Times New Roman"/>
                <w:sz w:val="24"/>
                <w:szCs w:val="24"/>
              </w:rPr>
              <w:t>u</w:t>
            </w:r>
            <w:r w:rsidR="00495B07">
              <w:rPr>
                <w:rFonts w:ascii="Times New Roman" w:hAnsi="Times New Roman" w:cs="Times New Roman"/>
                <w:sz w:val="24"/>
                <w:szCs w:val="24"/>
              </w:rPr>
              <w:t xml:space="preserve"> atbildību, pārskatot esošo kritēriju efektivitāti</w:t>
            </w:r>
            <w:r w:rsidR="00E44773" w:rsidRPr="00E44773">
              <w:rPr>
                <w:rFonts w:ascii="Times New Roman" w:hAnsi="Times New Roman" w:cs="Times New Roman"/>
                <w:sz w:val="24"/>
                <w:szCs w:val="24"/>
              </w:rPr>
              <w:t xml:space="preserve">, </w:t>
            </w:r>
            <w:r w:rsidR="00495B07">
              <w:rPr>
                <w:rFonts w:ascii="Times New Roman" w:hAnsi="Times New Roman" w:cs="Times New Roman"/>
                <w:sz w:val="24"/>
                <w:szCs w:val="24"/>
              </w:rPr>
              <w:t>tādējādi īstenojot Deklarācijā</w:t>
            </w:r>
            <w:r w:rsidR="00495B07" w:rsidRPr="00E44773">
              <w:rPr>
                <w:rFonts w:ascii="Times New Roman" w:hAnsi="Times New Roman" w:cs="Times New Roman"/>
                <w:sz w:val="24"/>
                <w:szCs w:val="24"/>
              </w:rPr>
              <w:t xml:space="preserve"> par Artura Krišjāņa Kariņa vadītā Ministru kabineta iecerēto darbību </w:t>
            </w:r>
            <w:r w:rsidR="00495B07">
              <w:rPr>
                <w:rFonts w:ascii="Times New Roman" w:hAnsi="Times New Roman" w:cs="Times New Roman"/>
                <w:sz w:val="24"/>
                <w:szCs w:val="24"/>
              </w:rPr>
              <w:t xml:space="preserve">doto uzdevumu – </w:t>
            </w:r>
            <w:r w:rsidR="00E44773" w:rsidRPr="008C46B0">
              <w:rPr>
                <w:rFonts w:ascii="Times New Roman" w:hAnsi="Times New Roman" w:cs="Times New Roman"/>
                <w:sz w:val="24"/>
                <w:szCs w:val="24"/>
                <w:shd w:val="clear" w:color="auto" w:fill="FFFFFF"/>
              </w:rPr>
              <w:t xml:space="preserve">turpināt īstenot pasākumus ēnu ekonomikas ierobežošanai, prioritāri īstenojot pasākumus nodokļu samaksas </w:t>
            </w:r>
            <w:r w:rsidR="00E44773" w:rsidRPr="008C46B0">
              <w:rPr>
                <w:rFonts w:ascii="Times New Roman" w:hAnsi="Times New Roman" w:cs="Times New Roman"/>
                <w:sz w:val="24"/>
                <w:szCs w:val="24"/>
                <w:shd w:val="clear" w:color="auto" w:fill="FFFFFF"/>
              </w:rPr>
              <w:lastRenderedPageBreak/>
              <w:t>uzlabošanai un godīgas konkurences veicināšanai tautsaimniecības nozarēs ar augstāko ēnu ekonomikas risku, lai sekmētu ekonomisko izaugsmi tautsaimniecībā kopumā</w:t>
            </w:r>
            <w:r w:rsidR="00E44773">
              <w:rPr>
                <w:rFonts w:ascii="Times New Roman" w:hAnsi="Times New Roman" w:cs="Times New Roman"/>
                <w:sz w:val="24"/>
                <w:szCs w:val="24"/>
                <w:shd w:val="clear" w:color="auto" w:fill="FFFFFF"/>
              </w:rPr>
              <w:t>.</w:t>
            </w:r>
          </w:p>
        </w:tc>
      </w:tr>
      <w:tr w:rsidR="00CE33AC" w:rsidRPr="00517D9A" w:rsidTr="00A05BA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483" w:type="pct"/>
            <w:gridSpan w:val="2"/>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Pašreizējā situācija un problēmas, kuru risināšanai tiesību akta projekts izstrādāts, tiesiskā regulējuma mērķis un būtība</w:t>
            </w:r>
          </w:p>
        </w:tc>
        <w:tc>
          <w:tcPr>
            <w:tcW w:w="3167" w:type="pct"/>
            <w:tcBorders>
              <w:top w:val="outset" w:sz="6" w:space="0" w:color="auto"/>
              <w:left w:val="outset" w:sz="6" w:space="0" w:color="auto"/>
              <w:bottom w:val="outset" w:sz="6" w:space="0" w:color="auto"/>
              <w:right w:val="outset" w:sz="6" w:space="0" w:color="auto"/>
            </w:tcBorders>
            <w:hideMark/>
          </w:tcPr>
          <w:p w:rsidR="00BB4098" w:rsidRPr="00BB4098" w:rsidRDefault="001C3795" w:rsidP="00BB4098">
            <w:pPr>
              <w:pStyle w:val="NoSpacing"/>
              <w:ind w:firstLine="284"/>
              <w:jc w:val="both"/>
              <w:rPr>
                <w:rFonts w:ascii="Times New Roman" w:eastAsia="Times New Roman" w:hAnsi="Times New Roman" w:cs="Times New Roman"/>
                <w:b/>
                <w:i/>
                <w:iCs/>
                <w:sz w:val="24"/>
                <w:szCs w:val="24"/>
                <w:lang w:eastAsia="lv-LV"/>
              </w:rPr>
            </w:pPr>
            <w:r w:rsidRPr="00BB4098">
              <w:rPr>
                <w:rFonts w:ascii="Times New Roman" w:eastAsia="Times New Roman" w:hAnsi="Times New Roman" w:cs="Times New Roman"/>
                <w:b/>
                <w:i/>
                <w:sz w:val="24"/>
                <w:szCs w:val="24"/>
                <w:lang w:eastAsia="lv-LV"/>
              </w:rPr>
              <w:t>1.  </w:t>
            </w:r>
            <w:r w:rsidR="00BB4098">
              <w:rPr>
                <w:rFonts w:ascii="Times New Roman" w:eastAsia="Times New Roman" w:hAnsi="Times New Roman" w:cs="Times New Roman"/>
                <w:b/>
                <w:i/>
                <w:sz w:val="24"/>
                <w:szCs w:val="24"/>
                <w:lang w:eastAsia="lv-LV"/>
              </w:rPr>
              <w:t xml:space="preserve">Attiecībā uz </w:t>
            </w:r>
            <w:r w:rsidR="00BB4098" w:rsidRPr="00BB4098">
              <w:rPr>
                <w:rFonts w:ascii="Times New Roman" w:hAnsi="Times New Roman" w:cs="Times New Roman"/>
                <w:b/>
                <w:i/>
                <w:sz w:val="24"/>
                <w:szCs w:val="24"/>
              </w:rPr>
              <w:t xml:space="preserve">informācijas sniegšanu par </w:t>
            </w:r>
            <w:r w:rsidR="00BB4098" w:rsidRPr="00BB4098">
              <w:rPr>
                <w:rFonts w:ascii="Times New Roman" w:eastAsia="Times New Roman" w:hAnsi="Times New Roman" w:cs="Times New Roman"/>
                <w:b/>
                <w:i/>
                <w:iCs/>
                <w:sz w:val="24"/>
                <w:szCs w:val="24"/>
                <w:lang w:eastAsia="lv-LV"/>
              </w:rPr>
              <w:t>riskantajiem darījuma partneriem</w:t>
            </w:r>
          </w:p>
          <w:p w:rsidR="00BB4098" w:rsidRPr="00B81CB8" w:rsidRDefault="00BB4098" w:rsidP="00BB4098">
            <w:pPr>
              <w:ind w:firstLine="284"/>
              <w:jc w:val="both"/>
              <w:rPr>
                <w:rFonts w:eastAsia="Times New Roman"/>
                <w:szCs w:val="24"/>
                <w:lang w:eastAsia="lv-LV"/>
              </w:rPr>
            </w:pPr>
            <w:r w:rsidRPr="00B81CB8">
              <w:rPr>
                <w:rFonts w:eastAsia="Times New Roman" w:cs="Times New Roman"/>
                <w:szCs w:val="24"/>
                <w:lang w:eastAsia="lv-LV"/>
              </w:rPr>
              <w:t xml:space="preserve">Saskaņā ar Komerclikuma 169. panta pirmo daļu valdes loceklim savi pienākumi jāpilda kā krietnam un rūpīgam saimniekam. Jēdziens “krietns un rūpīgs saimnieks” citstarp ietver sevī </w:t>
            </w:r>
            <w:r w:rsidRPr="00B81CB8">
              <w:rPr>
                <w:rFonts w:eastAsia="Times New Roman"/>
                <w:szCs w:val="24"/>
                <w:lang w:eastAsia="lv-LV"/>
              </w:rPr>
              <w:t>prasību ievērot normatīvos aktus, lēmumu pieņemšanas rūpību un savlaicīgu pienākumu pildīšanu. Lēmuma pieņemšanas rūpība nozīmē, ka lietā, darījumā vai darbībā valdes loceklim ir jārīkojas maksimāli efektīvi, precīzi, tiesiski, prognozējot iespējamā lēmuma sekas (</w:t>
            </w:r>
            <w:r w:rsidRPr="00B81CB8">
              <w:rPr>
                <w:rFonts w:eastAsia="Times New Roman"/>
                <w:i/>
                <w:szCs w:val="24"/>
                <w:lang w:eastAsia="lv-LV"/>
              </w:rPr>
              <w:t>sk. Abramoviča L. Krietna saimnieka rūpības nozīme Komerclikumā. // Jurista vārds, Nr. 44 (447) 2006. gada 7. novembris</w:t>
            </w:r>
            <w:r w:rsidRPr="00B81CB8">
              <w:rPr>
                <w:rFonts w:eastAsia="Times New Roman"/>
                <w:szCs w:val="24"/>
                <w:lang w:eastAsia="lv-LV"/>
              </w:rPr>
              <w:t>).</w:t>
            </w:r>
          </w:p>
          <w:p w:rsidR="00BB4098" w:rsidRPr="00B81CB8" w:rsidRDefault="00BB4098" w:rsidP="00BB4098">
            <w:pPr>
              <w:ind w:firstLine="284"/>
              <w:jc w:val="both"/>
              <w:rPr>
                <w:rFonts w:eastAsia="Times New Roman"/>
                <w:szCs w:val="24"/>
                <w:lang w:eastAsia="lv-LV"/>
              </w:rPr>
            </w:pPr>
            <w:r w:rsidRPr="00B81CB8">
              <w:rPr>
                <w:rFonts w:eastAsia="Times New Roman"/>
                <w:szCs w:val="24"/>
                <w:lang w:eastAsia="lv-LV"/>
              </w:rPr>
              <w:t>Ievērojot minēto, VID nodokļu maksātājiem iesaka iegūt pēc iespējas pilnīgāku informāciju par potenciālo darījuma partneri, kas ļautu novērtēt tā uzticamību un darījuma risku un atbildīgi pieņemt lēmumu par darījuma veikšanu vai arī atteikšanos no tā. Fakts, ka nodokļu maksātājs nav veicis saprātīgus pasākumus darījuma partnera un darījuma riska novērtēšanai, var radīt šaubas, ka tas ir rīkojies kā krietns un rūpīgs saimnieks.</w:t>
            </w:r>
          </w:p>
          <w:p w:rsidR="00BB4098" w:rsidRPr="00B81CB8" w:rsidRDefault="00BB4098" w:rsidP="00BB4098">
            <w:pPr>
              <w:ind w:firstLine="284"/>
              <w:jc w:val="both"/>
              <w:rPr>
                <w:rFonts w:eastAsia="Times New Roman" w:cs="Times New Roman"/>
                <w:iCs/>
                <w:szCs w:val="24"/>
                <w:lang w:eastAsia="lv-LV"/>
              </w:rPr>
            </w:pPr>
            <w:r w:rsidRPr="00B81CB8">
              <w:rPr>
                <w:rFonts w:eastAsia="Times New Roman"/>
                <w:iCs/>
                <w:szCs w:val="24"/>
                <w:lang w:eastAsia="lv-LV"/>
              </w:rPr>
              <w:t xml:space="preserve">Kā atzīst Augstākās tiesas Senāta Administratīvo lietu departaments savos spriedumos, </w:t>
            </w:r>
            <w:r w:rsidRPr="00B81CB8">
              <w:rPr>
                <w:rFonts w:eastAsia="Times New Roman" w:cs="Times New Roman"/>
                <w:iCs/>
                <w:szCs w:val="24"/>
                <w:lang w:eastAsia="lv-LV"/>
              </w:rPr>
              <w:t>komersantam ir brīvas iespējas izvēlēties darījuma partneri un tāpēc tam ir jāizvērtē, kādus riska elementus ietver darījums, kurā tas iesaistās (</w:t>
            </w:r>
            <w:r w:rsidRPr="00B81CB8">
              <w:rPr>
                <w:rFonts w:eastAsia="Times New Roman" w:cs="Times New Roman"/>
                <w:i/>
                <w:iCs/>
                <w:szCs w:val="24"/>
                <w:lang w:eastAsia="lv-LV"/>
              </w:rPr>
              <w:t>sk., piemēram Augstākās tiesas</w:t>
            </w:r>
            <w:r w:rsidRPr="00B81CB8">
              <w:rPr>
                <w:i/>
              </w:rPr>
              <w:t xml:space="preserve"> Administratīvo lietu departamenta 2005. gada 3. maija spriedumu lietā Nr. SKA-103/2005</w:t>
            </w:r>
            <w:r w:rsidRPr="00B81CB8">
              <w:t>).</w:t>
            </w:r>
          </w:p>
          <w:p w:rsidR="00BB4098" w:rsidRPr="00B81CB8" w:rsidRDefault="00BB4098" w:rsidP="00BB4098">
            <w:pPr>
              <w:ind w:firstLine="284"/>
              <w:jc w:val="both"/>
              <w:rPr>
                <w:rFonts w:eastAsia="Times New Roman"/>
                <w:szCs w:val="24"/>
                <w:lang w:eastAsia="lv-LV"/>
              </w:rPr>
            </w:pPr>
            <w:r w:rsidRPr="00B81CB8">
              <w:rPr>
                <w:rFonts w:eastAsia="Times New Roman"/>
                <w:szCs w:val="24"/>
                <w:lang w:eastAsia="lv-LV"/>
              </w:rPr>
              <w:t>Saskaņā ar likuma “Par nodokļiem un nodevām” 18. panta pirmās daļas 2. punktu viens no VID pienākumiem ir kontrolēt nodokļu, nodevu, kā arī citu valsts noteikto maksājumu aprēķināšanas un maksāšanas pareizību.</w:t>
            </w:r>
          </w:p>
          <w:p w:rsidR="00BB4098" w:rsidRPr="00B81CB8" w:rsidRDefault="00BB4098" w:rsidP="00BB4098">
            <w:pPr>
              <w:ind w:firstLine="284"/>
              <w:jc w:val="both"/>
              <w:rPr>
                <w:rFonts w:eastAsia="Times New Roman"/>
                <w:szCs w:val="24"/>
                <w:lang w:eastAsia="lv-LV"/>
              </w:rPr>
            </w:pPr>
            <w:r w:rsidRPr="00B81CB8">
              <w:rPr>
                <w:rFonts w:eastAsia="Times New Roman"/>
                <w:szCs w:val="24"/>
                <w:lang w:eastAsia="lv-LV"/>
              </w:rPr>
              <w:t>Ņemot vērā, ka a</w:t>
            </w:r>
            <w:r w:rsidRPr="00B81CB8">
              <w:rPr>
                <w:szCs w:val="24"/>
              </w:rPr>
              <w:t xml:space="preserve">tbilstoši Eiropas Savienības Tiesas paustajām atziņām cīņa pret krāpšanu nodokļu jomā, izvairīšanos no nodokļu maksāšanas un iespējamo ļaunprātīgo rīcību ir Padomes 2006. gada 28. novembra direktīvā 2006/112/EK par kopējo pievienotās vērtības nodokļa sistēmu atzīts un ar to iedrošināts mērķis, </w:t>
            </w:r>
            <w:r w:rsidRPr="00B81CB8">
              <w:rPr>
                <w:rFonts w:eastAsia="Times New Roman"/>
                <w:szCs w:val="24"/>
                <w:lang w:eastAsia="lv-LV"/>
              </w:rPr>
              <w:t xml:space="preserve">VID, lai konstatētu, vai nodokļu maksātājam ir tiesības uz priekšnodokļa atskaitīšanu, veic pārbaudes, lai pārliecinātos par deklarācijā norādīto darījumu patiesumu un gadījumā, ja tā rīcībā ir pierādījumi par to, ka darījums reāli nav noticis, nodokļu revīzijas (audita) ietvaros papildus aprēķina nodokļu maksājumus un uzliek soda naudu. Tādējādi likumdevējs VID ir devis tiesības, </w:t>
            </w:r>
            <w:r w:rsidRPr="00B81CB8">
              <w:rPr>
                <w:rFonts w:eastAsia="Times New Roman"/>
                <w:szCs w:val="24"/>
                <w:lang w:eastAsia="lv-LV"/>
              </w:rPr>
              <w:lastRenderedPageBreak/>
              <w:t xml:space="preserve">pamatojoties uz pierādījumiem, apšaubīt reģistrētā pievienotās vērtības nodokļa </w:t>
            </w:r>
            <w:r w:rsidR="000F63EF">
              <w:rPr>
                <w:rFonts w:eastAsia="Times New Roman"/>
                <w:szCs w:val="24"/>
                <w:lang w:eastAsia="lv-LV"/>
              </w:rPr>
              <w:t xml:space="preserve">(turpmāk - PVN) </w:t>
            </w:r>
            <w:r w:rsidRPr="00B81CB8">
              <w:rPr>
                <w:rFonts w:eastAsia="Times New Roman"/>
                <w:szCs w:val="24"/>
                <w:lang w:eastAsia="lv-LV"/>
              </w:rPr>
              <w:t xml:space="preserve">maksātāja norādītos darījumus pat tad, ja ar darījuma partneri ir noslēgts līgums, darījuma partneris ir reģistrēts </w:t>
            </w:r>
            <w:r w:rsidR="000F63EF">
              <w:rPr>
                <w:rFonts w:eastAsia="Times New Roman"/>
                <w:szCs w:val="24"/>
                <w:lang w:eastAsia="lv-LV"/>
              </w:rPr>
              <w:t>PVN</w:t>
            </w:r>
            <w:r w:rsidRPr="00B81CB8">
              <w:rPr>
                <w:rFonts w:eastAsia="Times New Roman"/>
                <w:szCs w:val="24"/>
                <w:lang w:eastAsia="lv-LV"/>
              </w:rPr>
              <w:t xml:space="preserve"> maksātājs, </w:t>
            </w:r>
            <w:r w:rsidR="000F63EF">
              <w:rPr>
                <w:rFonts w:eastAsia="Times New Roman"/>
                <w:szCs w:val="24"/>
                <w:lang w:eastAsia="lv-LV"/>
              </w:rPr>
              <w:t>PVN</w:t>
            </w:r>
            <w:r w:rsidRPr="00B81CB8">
              <w:rPr>
                <w:rFonts w:eastAsia="Times New Roman"/>
                <w:szCs w:val="24"/>
                <w:lang w:eastAsia="lv-LV"/>
              </w:rPr>
              <w:t xml:space="preserve"> rēķini ir</w:t>
            </w:r>
            <w:r w:rsidRPr="00B81CB8">
              <w:rPr>
                <w:rFonts w:eastAsia="Times New Roman"/>
                <w:szCs w:val="24"/>
                <w:vertAlign w:val="superscript"/>
                <w:lang w:eastAsia="lv-LV"/>
              </w:rPr>
              <w:t xml:space="preserve"> </w:t>
            </w:r>
            <w:r w:rsidRPr="00B81CB8">
              <w:rPr>
                <w:rFonts w:eastAsia="Times New Roman"/>
                <w:szCs w:val="24"/>
                <w:lang w:eastAsia="lv-LV"/>
              </w:rPr>
              <w:t>izsniegti darījuma partnerim un par darījumu ir samaksāti nodokļi.</w:t>
            </w:r>
          </w:p>
          <w:p w:rsidR="00BB4098" w:rsidRPr="00B81CB8" w:rsidRDefault="00BB4098" w:rsidP="00BB4098">
            <w:pPr>
              <w:ind w:firstLine="284"/>
              <w:jc w:val="both"/>
              <w:rPr>
                <w:rFonts w:eastAsia="Times New Roman"/>
                <w:szCs w:val="24"/>
                <w:lang w:eastAsia="lv-LV"/>
              </w:rPr>
            </w:pPr>
            <w:r w:rsidRPr="00B81CB8">
              <w:rPr>
                <w:rFonts w:eastAsia="Times New Roman"/>
                <w:szCs w:val="24"/>
                <w:lang w:eastAsia="lv-LV"/>
              </w:rPr>
              <w:t xml:space="preserve">Eiropas Savienības Tiesas judikatūrā ir atzīts, ka pasākumu, kuri konkrētā gadījumā var tikt saprātīgi prasīti no </w:t>
            </w:r>
            <w:r w:rsidR="000F63EF">
              <w:rPr>
                <w:rFonts w:eastAsia="Times New Roman"/>
                <w:szCs w:val="24"/>
                <w:lang w:eastAsia="lv-LV"/>
              </w:rPr>
              <w:t>PVN</w:t>
            </w:r>
            <w:r w:rsidRPr="00B81CB8">
              <w:rPr>
                <w:rFonts w:eastAsia="Times New Roman"/>
                <w:szCs w:val="24"/>
                <w:lang w:eastAsia="lv-LV"/>
              </w:rPr>
              <w:t xml:space="preserve"> maksātāja, kurš vēlas izmantot tiesības uz </w:t>
            </w:r>
            <w:r w:rsidR="000F63EF">
              <w:rPr>
                <w:rFonts w:eastAsia="Times New Roman"/>
                <w:szCs w:val="24"/>
                <w:lang w:eastAsia="lv-LV"/>
              </w:rPr>
              <w:t xml:space="preserve">PVN </w:t>
            </w:r>
            <w:r w:rsidRPr="00B81CB8">
              <w:rPr>
                <w:rFonts w:eastAsia="Times New Roman"/>
                <w:szCs w:val="24"/>
                <w:lang w:eastAsia="lv-LV"/>
              </w:rPr>
              <w:t>atskaitīšanu, lai pārliecinātos, ka viņa darījumi neietilpst kāda augšupējās ķēdes tirgus dalībnieka izdarītā krāpšanā, noteikšana ir atkarīga galvenokārt no šī konkrētā gadījuma apstākļiem. Ja ir norādes, kas pieļauj aizdomas par nelikumību vai krāpšanas esamību, informētam tirgus dalībniekam varētu atbilstoši lietas apstākļiem tikt noteikts pienākums noskaidrot informāciju par citu tirgus dalībnieku, no kura viņš ir iecerējis pirkt preces vai pakalpojumus, lai pārliecinātos par viņa uzticamību (</w:t>
            </w:r>
            <w:r w:rsidRPr="00B81CB8">
              <w:rPr>
                <w:rFonts w:eastAsia="Times New Roman"/>
                <w:i/>
                <w:iCs/>
                <w:szCs w:val="24"/>
                <w:lang w:eastAsia="lv-LV"/>
              </w:rPr>
              <w:t>sk. Eiropas Savienības Tiesas 2012.</w:t>
            </w:r>
            <w:r>
              <w:rPr>
                <w:rFonts w:eastAsia="Times New Roman"/>
                <w:i/>
                <w:iCs/>
                <w:szCs w:val="24"/>
                <w:lang w:eastAsia="lv-LV"/>
              </w:rPr>
              <w:t> </w:t>
            </w:r>
            <w:r w:rsidRPr="00B81CB8">
              <w:rPr>
                <w:rFonts w:eastAsia="Times New Roman"/>
                <w:i/>
                <w:iCs/>
                <w:szCs w:val="24"/>
                <w:lang w:eastAsia="lv-LV"/>
              </w:rPr>
              <w:t>gada 21.</w:t>
            </w:r>
            <w:r>
              <w:rPr>
                <w:rFonts w:eastAsia="Times New Roman"/>
                <w:i/>
                <w:iCs/>
                <w:szCs w:val="24"/>
                <w:lang w:eastAsia="lv-LV"/>
              </w:rPr>
              <w:t> </w:t>
            </w:r>
            <w:r w:rsidRPr="00B81CB8">
              <w:rPr>
                <w:rFonts w:eastAsia="Times New Roman"/>
                <w:i/>
                <w:iCs/>
                <w:szCs w:val="24"/>
                <w:lang w:eastAsia="lv-LV"/>
              </w:rPr>
              <w:t>jūnija sprieduma apvienotajā lietā Nr.</w:t>
            </w:r>
            <w:r>
              <w:rPr>
                <w:rFonts w:eastAsia="Times New Roman"/>
                <w:i/>
                <w:iCs/>
                <w:szCs w:val="24"/>
                <w:lang w:eastAsia="lv-LV"/>
              </w:rPr>
              <w:t> </w:t>
            </w:r>
            <w:r w:rsidRPr="00B81CB8">
              <w:rPr>
                <w:rFonts w:eastAsia="Times New Roman"/>
                <w:i/>
                <w:iCs/>
                <w:szCs w:val="24"/>
                <w:lang w:eastAsia="lv-LV"/>
              </w:rPr>
              <w:t xml:space="preserve">C-80/11 un C-142/11 Mahageben </w:t>
            </w:r>
            <w:r w:rsidRPr="00B81CB8">
              <w:rPr>
                <w:rFonts w:eastAsia="Times New Roman"/>
                <w:i/>
                <w:szCs w:val="24"/>
                <w:lang w:eastAsia="lv-LV"/>
              </w:rPr>
              <w:t xml:space="preserve">un </w:t>
            </w:r>
            <w:r w:rsidRPr="00B81CB8">
              <w:rPr>
                <w:rFonts w:eastAsia="Times New Roman"/>
                <w:i/>
                <w:iCs/>
                <w:szCs w:val="24"/>
                <w:lang w:eastAsia="lv-LV"/>
              </w:rPr>
              <w:t>Dávid</w:t>
            </w:r>
            <w:r w:rsidRPr="00B81CB8">
              <w:rPr>
                <w:rFonts w:eastAsia="Times New Roman"/>
                <w:i/>
                <w:szCs w:val="24"/>
                <w:lang w:eastAsia="lv-LV"/>
              </w:rPr>
              <w:t xml:space="preserve"> 59. un 60. punktu</w:t>
            </w:r>
            <w:r w:rsidRPr="00B81CB8">
              <w:rPr>
                <w:rFonts w:eastAsia="Times New Roman"/>
                <w:szCs w:val="24"/>
                <w:lang w:eastAsia="lv-LV"/>
              </w:rPr>
              <w:t>).</w:t>
            </w:r>
          </w:p>
          <w:p w:rsidR="00BB4098" w:rsidRPr="00B81CB8" w:rsidRDefault="00BB4098" w:rsidP="00BB4098">
            <w:pPr>
              <w:ind w:firstLine="284"/>
              <w:jc w:val="both"/>
              <w:rPr>
                <w:rFonts w:eastAsia="Times New Roman"/>
                <w:szCs w:val="24"/>
                <w:lang w:eastAsia="lv-LV"/>
              </w:rPr>
            </w:pPr>
            <w:r w:rsidRPr="00B81CB8">
              <w:rPr>
                <w:rFonts w:eastAsia="Times New Roman"/>
                <w:szCs w:val="24"/>
                <w:lang w:eastAsia="lv-LV"/>
              </w:rPr>
              <w:t xml:space="preserve">Tādējādi gadījumā, ja VID pamatoti apšauba, vai darījums faktiski ir noticis, reģistrētam </w:t>
            </w:r>
            <w:r w:rsidR="000F63EF">
              <w:rPr>
                <w:rFonts w:eastAsia="Times New Roman"/>
                <w:szCs w:val="24"/>
                <w:lang w:eastAsia="lv-LV"/>
              </w:rPr>
              <w:t>PVN</w:t>
            </w:r>
            <w:r w:rsidRPr="00B81CB8">
              <w:rPr>
                <w:rFonts w:eastAsia="Times New Roman"/>
                <w:szCs w:val="24"/>
                <w:lang w:eastAsia="lv-LV"/>
              </w:rPr>
              <w:t xml:space="preserve"> maksātājam, kurš izmanto tiesības atskaitīt priekšnodokli, ir jāpierāda Pievienotās vērtības nodokļa likumā noteikto priekšnoteikumu esība, tajā skaitā tam jāspēj pierādīt, ka konkrētās preces vai pakalpojumi ir saņemti un izmantoti apliekamo darījumu nodrošināšanai.</w:t>
            </w:r>
          </w:p>
          <w:p w:rsidR="00BB4098" w:rsidRPr="00B81CB8" w:rsidRDefault="00BB4098" w:rsidP="00BB4098">
            <w:pPr>
              <w:ind w:firstLine="284"/>
              <w:jc w:val="both"/>
              <w:rPr>
                <w:rFonts w:eastAsia="Times New Roman" w:cs="Times New Roman"/>
                <w:szCs w:val="24"/>
              </w:rPr>
            </w:pPr>
            <w:r w:rsidRPr="00B81CB8">
              <w:rPr>
                <w:rFonts w:eastAsia="Times New Roman"/>
                <w:szCs w:val="24"/>
                <w:lang w:eastAsia="lv-LV"/>
              </w:rPr>
              <w:t>Līdz ar to, l</w:t>
            </w:r>
            <w:r w:rsidRPr="00B81CB8">
              <w:t xml:space="preserve">ai palīdzētu nodokļu maksātājiem izvairīties no negodprātīgiem darījumu partneriem un minimizētu risku tikt iesaistītiem krāpnieciskajos darījumos, kā arī </w:t>
            </w:r>
            <w:r w:rsidRPr="00B81CB8">
              <w:rPr>
                <w:rFonts w:eastAsia="Times New Roman" w:cs="Times New Roman"/>
                <w:iCs/>
                <w:szCs w:val="24"/>
                <w:lang w:eastAsia="lv-LV"/>
              </w:rPr>
              <w:t>l</w:t>
            </w:r>
            <w:r w:rsidRPr="00B81CB8">
              <w:rPr>
                <w:rFonts w:eastAsia="Times New Roman" w:cs="Times New Roman"/>
                <w:szCs w:val="24"/>
              </w:rPr>
              <w:t xml:space="preserve">ai veicinātu </w:t>
            </w:r>
            <w:r w:rsidR="000F63EF">
              <w:rPr>
                <w:rFonts w:eastAsia="Times New Roman" w:cs="Times New Roman"/>
                <w:szCs w:val="24"/>
              </w:rPr>
              <w:t>PVN</w:t>
            </w:r>
            <w:r w:rsidRPr="00B81CB8">
              <w:rPr>
                <w:rFonts w:eastAsia="Times New Roman" w:cs="Times New Roman"/>
                <w:szCs w:val="24"/>
              </w:rPr>
              <w:t xml:space="preserve"> krāpšanas apkarošanu un īstenotu daudzpusējās agrīnās brīdināšanas mehānismu, likumprojektā </w:t>
            </w:r>
            <w:r w:rsidR="00A85B92">
              <w:rPr>
                <w:rFonts w:eastAsia="Times New Roman" w:cs="Times New Roman"/>
                <w:szCs w:val="24"/>
              </w:rPr>
              <w:t xml:space="preserve">“Grozījumi likumā “Par nodokļiem un nodevām”” (turpmāk – likumprojekts) </w:t>
            </w:r>
            <w:r w:rsidRPr="00B81CB8">
              <w:rPr>
                <w:rFonts w:eastAsia="Times New Roman" w:cs="Times New Roman"/>
                <w:szCs w:val="24"/>
              </w:rPr>
              <w:t xml:space="preserve">iekļautais regulējums paredz VID tiesības sniegt informāciju nodokļu maksātājam par tā darījumu partneri, kurš saskaņā ar VID rīcībā esošo informāciju ir vērtējams kā riskants darījumu partneris. </w:t>
            </w:r>
          </w:p>
          <w:p w:rsidR="00BB4098" w:rsidRPr="00B81CB8" w:rsidRDefault="00BB4098" w:rsidP="00BB4098">
            <w:pPr>
              <w:ind w:firstLine="284"/>
              <w:jc w:val="both"/>
              <w:rPr>
                <w:rFonts w:eastAsia="Times New Roman" w:cs="Times New Roman"/>
                <w:szCs w:val="24"/>
              </w:rPr>
            </w:pPr>
            <w:r w:rsidRPr="00B81CB8">
              <w:rPr>
                <w:rFonts w:eastAsia="Times New Roman" w:cs="Times New Roman"/>
                <w:szCs w:val="24"/>
              </w:rPr>
              <w:t>Šajā gadījumā par riskantu darījuma partneri tiek uzskatīts nodokļu maksātājs, kura darbība vai kura deklarētie darījumi pēc VID veiktās risku analīzes liecina par iespējamiem konkrētā nodokļu maksātāja veiktajiem nodokļu pārkāpumiem.</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rPr>
              <w:t xml:space="preserve">Informējot </w:t>
            </w:r>
            <w:r w:rsidRPr="00B81CB8">
              <w:rPr>
                <w:rFonts w:ascii="Times New Roman" w:hAnsi="Times New Roman" w:cs="Times New Roman"/>
                <w:sz w:val="24"/>
                <w:szCs w:val="24"/>
              </w:rPr>
              <w:t>nodokļu maksātāju, plānots tam sniegt šādu informāciju:</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hAnsi="Times New Roman" w:cs="Times New Roman"/>
                <w:sz w:val="24"/>
                <w:szCs w:val="24"/>
              </w:rPr>
              <w:t>  nodokļu maksātāja nosaukumu;</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w:t>
            </w:r>
            <w:r w:rsidRPr="00B81CB8">
              <w:rPr>
                <w:rFonts w:ascii="Times New Roman" w:hAnsi="Times New Roman" w:cs="Times New Roman"/>
                <w:sz w:val="24"/>
                <w:szCs w:val="24"/>
              </w:rPr>
              <w:t>nodokļu maksātāja reģistrācijas kodu;</w:t>
            </w:r>
          </w:p>
          <w:p w:rsidR="00BB4098" w:rsidRPr="00B81CB8" w:rsidRDefault="00BB4098" w:rsidP="00BB4098">
            <w:pPr>
              <w:pStyle w:val="NoSpacing"/>
              <w:ind w:firstLine="284"/>
              <w:jc w:val="both"/>
              <w:rPr>
                <w:rFonts w:ascii="Times New Roman" w:eastAsia="Times New Roman" w:hAnsi="Times New Roman" w:cs="Times New Roman"/>
                <w:iCs/>
                <w:sz w:val="24"/>
                <w:szCs w:val="24"/>
                <w:lang w:eastAsia="lv-LV"/>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deklarēto darījumu apjomu konkrētajā taksācijas periodā;</w:t>
            </w:r>
          </w:p>
          <w:p w:rsidR="00BB4098" w:rsidRPr="00B81CB8" w:rsidRDefault="00BB4098" w:rsidP="00BB4098">
            <w:pPr>
              <w:pStyle w:val="NoSpacing"/>
              <w:ind w:firstLine="284"/>
              <w:jc w:val="both"/>
              <w:rPr>
                <w:rFonts w:ascii="Times New Roman" w:eastAsia="Times New Roman" w:hAnsi="Times New Roman" w:cs="Times New Roman"/>
                <w:iCs/>
                <w:sz w:val="24"/>
                <w:szCs w:val="24"/>
                <w:lang w:eastAsia="lv-LV"/>
              </w:rPr>
            </w:pPr>
            <w:r w:rsidRPr="00B81CB8">
              <w:rPr>
                <w:rFonts w:ascii="Times New Roman" w:eastAsia="Times New Roman" w:hAnsi="Times New Roman" w:cs="Times New Roman"/>
                <w:iCs/>
                <w:sz w:val="24"/>
                <w:szCs w:val="24"/>
                <w:lang w:eastAsia="lv-LV"/>
              </w:rPr>
              <w:lastRenderedPageBreak/>
              <w:sym w:font="Symbol" w:char="F02D"/>
            </w:r>
            <w:r w:rsidRPr="00B81CB8">
              <w:rPr>
                <w:rFonts w:ascii="Times New Roman" w:eastAsia="Times New Roman" w:hAnsi="Times New Roman" w:cs="Times New Roman"/>
                <w:iCs/>
                <w:sz w:val="24"/>
                <w:szCs w:val="24"/>
                <w:lang w:eastAsia="lv-LV"/>
              </w:rPr>
              <w:t>  </w:t>
            </w:r>
            <w:r w:rsidR="000F63EF">
              <w:rPr>
                <w:rFonts w:ascii="Times New Roman" w:eastAsia="Times New Roman" w:hAnsi="Times New Roman" w:cs="Times New Roman"/>
                <w:iCs/>
                <w:sz w:val="24"/>
                <w:szCs w:val="24"/>
                <w:lang w:eastAsia="lv-LV"/>
              </w:rPr>
              <w:t>PVN</w:t>
            </w:r>
            <w:r w:rsidRPr="00B81CB8">
              <w:rPr>
                <w:rFonts w:ascii="Times New Roman" w:eastAsia="Times New Roman" w:hAnsi="Times New Roman" w:cs="Times New Roman"/>
                <w:iCs/>
                <w:sz w:val="24"/>
                <w:szCs w:val="24"/>
                <w:lang w:eastAsia="lv-LV"/>
              </w:rPr>
              <w:t xml:space="preserve"> deklarācijās norādīto darījumu kodu, priekšnodokļa (izcelsmes) neesamību;</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xml:space="preserve">  VID rīcībā esošo riska informāciju </w:t>
            </w:r>
            <w:r w:rsidRPr="00B81CB8">
              <w:rPr>
                <w:rFonts w:ascii="Times New Roman" w:hAnsi="Times New Roman" w:cs="Times New Roman"/>
                <w:sz w:val="24"/>
                <w:szCs w:val="24"/>
              </w:rPr>
              <w:t xml:space="preserve">par riskanto darījumu shēmā iesaistītajiem nodokļu maksātājiem, piemēram, fiktīva uzņēmuma pazīme, vai nodokļu maksātājam ir bijušas amatpersonas, kurām atņemtas tiesības ieņemt amatus noteiktu laiku (šajā gadījumā,  informācija sniedzama tikai par likuma “Par nodokļiem un nodevām” 18. panta pirmās daļas 29. punktā noteikto administratīvo pārkāpumu, ievērojot minētajā normā noteikto laika periodu, līdz kuram informācija par sodāmību ir publiski pieejama), nodokļu maksātājs izslēgts no VID </w:t>
            </w:r>
            <w:r w:rsidR="000F63EF">
              <w:rPr>
                <w:rFonts w:ascii="Times New Roman" w:hAnsi="Times New Roman" w:cs="Times New Roman"/>
                <w:sz w:val="24"/>
                <w:szCs w:val="24"/>
              </w:rPr>
              <w:t>PVN</w:t>
            </w:r>
            <w:r w:rsidRPr="00B81CB8">
              <w:rPr>
                <w:rFonts w:ascii="Times New Roman" w:hAnsi="Times New Roman" w:cs="Times New Roman"/>
                <w:sz w:val="24"/>
                <w:szCs w:val="24"/>
              </w:rPr>
              <w:t xml:space="preserve"> maksātāju reģistra, saimnieciskās darbības apturēšana, licenču, atļauju anulēšana, u.c.;</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w:t>
            </w:r>
            <w:r w:rsidRPr="00B81CB8">
              <w:rPr>
                <w:rFonts w:ascii="Times New Roman" w:hAnsi="Times New Roman" w:cs="Times New Roman"/>
                <w:sz w:val="24"/>
                <w:szCs w:val="24"/>
              </w:rPr>
              <w:t xml:space="preserve">ziņas par to, ka ir konstatēti netipiski darījumi bez ekonomiska pamatojuma, konstatēts, ka darījuma partnerim nav atbilstošu cilvēkresursu un materiāltehniskā nodrošinājuma darījuma veikšanai u.c. apstākļi, kas faktiski liecina par nepatiesas informācijas sniegšanu </w:t>
            </w:r>
            <w:r w:rsidR="000F63EF">
              <w:rPr>
                <w:rFonts w:ascii="Times New Roman" w:hAnsi="Times New Roman" w:cs="Times New Roman"/>
                <w:sz w:val="24"/>
                <w:szCs w:val="24"/>
              </w:rPr>
              <w:t>PVN</w:t>
            </w:r>
            <w:r w:rsidRPr="00B81CB8">
              <w:rPr>
                <w:rFonts w:ascii="Times New Roman" w:hAnsi="Times New Roman" w:cs="Times New Roman"/>
                <w:sz w:val="24"/>
                <w:szCs w:val="24"/>
              </w:rPr>
              <w:t xml:space="preserve"> deklarācijās.</w:t>
            </w:r>
          </w:p>
          <w:p w:rsidR="00BB4098" w:rsidRPr="00B81CB8" w:rsidRDefault="00BB4098" w:rsidP="00BB409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t>Vienlaikus,</w:t>
            </w:r>
            <w:r w:rsidRPr="00B81CB8">
              <w:rPr>
                <w:rFonts w:ascii="Times New Roman" w:eastAsia="Calibri" w:hAnsi="Times New Roman" w:cs="Times New Roman"/>
                <w:sz w:val="24"/>
                <w:szCs w:val="24"/>
              </w:rPr>
              <w:t xml:space="preserve"> VID būs pienākums katrā konkrētajā gadījumā izvērtēt, vai informācija, kas liecina par darījuma partnera nodokļu riskiem, nesatur tiesiski aizsargātu informāciju (piemēram, komercnoslēpumu). Tiesiski aizsargājama informācija nav atklājama nodokļu maksātājam.</w:t>
            </w:r>
          </w:p>
          <w:p w:rsidR="00BB4098" w:rsidRPr="009D47CA" w:rsidRDefault="00BB4098" w:rsidP="00BB4098">
            <w:pPr>
              <w:pStyle w:val="NoSpacing"/>
              <w:ind w:firstLine="284"/>
              <w:jc w:val="both"/>
              <w:rPr>
                <w:rFonts w:ascii="Times New Roman" w:eastAsia="Times New Roman" w:hAnsi="Times New Roman" w:cs="Times New Roman"/>
                <w:sz w:val="24"/>
                <w:szCs w:val="24"/>
                <w:lang w:eastAsia="lv-LV"/>
              </w:rPr>
            </w:pPr>
            <w:r w:rsidRPr="00B81CB8">
              <w:rPr>
                <w:rFonts w:ascii="Times New Roman" w:eastAsia="Times New Roman" w:hAnsi="Times New Roman" w:cs="Times New Roman"/>
                <w:sz w:val="24"/>
                <w:szCs w:val="24"/>
              </w:rPr>
              <w:t xml:space="preserve">Jānorāda, ka VID Nodokļu pārvalde jau šobrīd, ievērojot konsultē vispirms principu, </w:t>
            </w:r>
            <w:r w:rsidRPr="00B81CB8">
              <w:rPr>
                <w:rFonts w:ascii="Times New Roman" w:eastAsia="Times New Roman" w:hAnsi="Times New Roman" w:cs="Times New Roman"/>
                <w:noProof/>
                <w:sz w:val="24"/>
                <w:szCs w:val="24"/>
                <w:lang w:eastAsia="lv-LV"/>
              </w:rPr>
              <w:t xml:space="preserve">datu ticamības novērtējuma ietvaros (galvenokārt saistībā ar pārmaksāto </w:t>
            </w:r>
            <w:r w:rsidR="000F63EF">
              <w:rPr>
                <w:rFonts w:ascii="Times New Roman" w:eastAsia="Times New Roman" w:hAnsi="Times New Roman" w:cs="Times New Roman"/>
                <w:noProof/>
                <w:sz w:val="24"/>
                <w:szCs w:val="24"/>
                <w:lang w:eastAsia="lv-LV"/>
              </w:rPr>
              <w:t>PVN</w:t>
            </w:r>
            <w:r w:rsidRPr="00B81CB8">
              <w:rPr>
                <w:rFonts w:ascii="Times New Roman" w:eastAsia="Times New Roman" w:hAnsi="Times New Roman" w:cs="Times New Roman"/>
                <w:noProof/>
                <w:sz w:val="24"/>
                <w:szCs w:val="24"/>
                <w:lang w:eastAsia="lv-LV"/>
              </w:rPr>
              <w:t xml:space="preserve"> summu apstiprināšanu) informē nodokļu maksātāju par darījumiem, kuri VID ieskatā ir vērtējami kā riskanti. Tā, piemēram, 2018. gad</w:t>
            </w:r>
            <w:r w:rsidR="00224AAB">
              <w:rPr>
                <w:rFonts w:ascii="Times New Roman" w:eastAsia="Times New Roman" w:hAnsi="Times New Roman" w:cs="Times New Roman"/>
                <w:noProof/>
                <w:sz w:val="24"/>
                <w:szCs w:val="24"/>
                <w:lang w:eastAsia="lv-LV"/>
              </w:rPr>
              <w:t>ā</w:t>
            </w:r>
            <w:r w:rsidRPr="00B81CB8">
              <w:rPr>
                <w:rFonts w:ascii="Times New Roman" w:eastAsia="Times New Roman" w:hAnsi="Times New Roman" w:cs="Times New Roman"/>
                <w:noProof/>
                <w:sz w:val="24"/>
                <w:szCs w:val="24"/>
                <w:lang w:eastAsia="lv-LV"/>
              </w:rPr>
              <w:t xml:space="preserve"> VID ir sniedzis 7</w:t>
            </w:r>
            <w:r w:rsidR="00224AAB">
              <w:rPr>
                <w:rFonts w:ascii="Times New Roman" w:eastAsia="Times New Roman" w:hAnsi="Times New Roman" w:cs="Times New Roman"/>
                <w:noProof/>
                <w:sz w:val="24"/>
                <w:szCs w:val="24"/>
                <w:lang w:eastAsia="lv-LV"/>
              </w:rPr>
              <w:t>97</w:t>
            </w:r>
            <w:r w:rsidRPr="00B81CB8">
              <w:rPr>
                <w:rFonts w:ascii="Times New Roman" w:eastAsia="Times New Roman" w:hAnsi="Times New Roman" w:cs="Times New Roman"/>
                <w:noProof/>
                <w:sz w:val="24"/>
                <w:szCs w:val="24"/>
                <w:lang w:eastAsia="lv-LV"/>
              </w:rPr>
              <w:t xml:space="preserve"> gadījumos informāciju par riskanti vērtējamiem darījumiem</w:t>
            </w:r>
            <w:r w:rsidR="00224AAB">
              <w:rPr>
                <w:rFonts w:ascii="Times New Roman" w:eastAsia="Times New Roman" w:hAnsi="Times New Roman" w:cs="Times New Roman"/>
                <w:noProof/>
                <w:sz w:val="24"/>
                <w:szCs w:val="24"/>
                <w:lang w:eastAsia="lv-LV"/>
              </w:rPr>
              <w:t>, 2019. gad</w:t>
            </w:r>
            <w:r w:rsidR="009D47CA">
              <w:rPr>
                <w:rFonts w:ascii="Times New Roman" w:eastAsia="Times New Roman" w:hAnsi="Times New Roman" w:cs="Times New Roman"/>
                <w:noProof/>
                <w:sz w:val="24"/>
                <w:szCs w:val="24"/>
                <w:lang w:eastAsia="lv-LV"/>
              </w:rPr>
              <w:t xml:space="preserve">a pirmajā pusgadā </w:t>
            </w:r>
            <w:r w:rsidR="009D47CA" w:rsidRPr="00B81CB8">
              <w:rPr>
                <w:rFonts w:ascii="Times New Roman" w:eastAsia="Times New Roman" w:hAnsi="Times New Roman" w:cs="Times New Roman"/>
                <w:noProof/>
                <w:sz w:val="24"/>
                <w:szCs w:val="24"/>
                <w:lang w:eastAsia="lv-LV"/>
              </w:rPr>
              <w:t xml:space="preserve">– </w:t>
            </w:r>
            <w:r w:rsidR="009D47CA">
              <w:rPr>
                <w:rFonts w:ascii="Times New Roman" w:eastAsia="Times New Roman" w:hAnsi="Times New Roman" w:cs="Times New Roman"/>
                <w:noProof/>
                <w:sz w:val="24"/>
                <w:szCs w:val="24"/>
                <w:lang w:eastAsia="lv-LV"/>
              </w:rPr>
              <w:t>449 gadījumos</w:t>
            </w:r>
            <w:r w:rsidRPr="00B81CB8">
              <w:rPr>
                <w:rFonts w:ascii="Times New Roman" w:eastAsia="Times New Roman" w:hAnsi="Times New Roman" w:cs="Times New Roman"/>
                <w:noProof/>
                <w:sz w:val="24"/>
                <w:szCs w:val="24"/>
                <w:lang w:eastAsia="lv-LV"/>
              </w:rPr>
              <w:t xml:space="preserve">. Šādu informāciju sniedzot, VID norāda uz tālāko no nodokļu maksātāja sagaidāmo rīcību, piemēram, nepieciešamības gadījumā precizējot deklarāciju, vai, ja nodokļu maksātājs uzskata, ka darījums ir faktiski veikts un </w:t>
            </w:r>
            <w:r w:rsidR="000F63EF">
              <w:rPr>
                <w:rFonts w:ascii="Times New Roman" w:eastAsia="Times New Roman" w:hAnsi="Times New Roman" w:cs="Times New Roman"/>
                <w:noProof/>
                <w:sz w:val="24"/>
                <w:szCs w:val="24"/>
                <w:lang w:eastAsia="lv-LV"/>
              </w:rPr>
              <w:t xml:space="preserve">PVN </w:t>
            </w:r>
            <w:r w:rsidRPr="00B81CB8">
              <w:rPr>
                <w:rFonts w:ascii="Times New Roman" w:eastAsia="Times New Roman" w:hAnsi="Times New Roman" w:cs="Times New Roman"/>
                <w:noProof/>
                <w:sz w:val="24"/>
                <w:szCs w:val="24"/>
                <w:lang w:eastAsia="lv-LV"/>
              </w:rPr>
              <w:t>deklarācijā uzrādītā informācija ir patiesa – iesniegt dokumentus un/vai paskaidrojumus darījuma izvērtēšanai. Jo, kā izriet no likuma “Par nodokļiem un nodevām” 38. panta, j</w:t>
            </w:r>
            <w:r w:rsidRPr="00B81CB8">
              <w:rPr>
                <w:rFonts w:ascii="Times New Roman" w:eastAsia="Times New Roman" w:hAnsi="Times New Roman" w:cs="Times New Roman"/>
                <w:sz w:val="24"/>
                <w:szCs w:val="24"/>
                <w:lang w:eastAsia="lv-LV"/>
              </w:rPr>
              <w:t>a nodokļu maksātājs nepiekrīt nodokļu administrācijas aprēķinātajam nodokļu maksājumu lielumam, pierādījumus par nodokļu maksājumu lielumu nodrošina nodokļu maksātājs.</w:t>
            </w:r>
            <w:r w:rsidR="009D47CA">
              <w:rPr>
                <w:rFonts w:ascii="Times New Roman" w:eastAsia="Times New Roman" w:hAnsi="Times New Roman" w:cs="Times New Roman"/>
                <w:sz w:val="24"/>
                <w:szCs w:val="24"/>
                <w:lang w:eastAsia="lv-LV"/>
              </w:rPr>
              <w:t xml:space="preserve"> Preventīvo pasākumu rezultātā </w:t>
            </w:r>
            <w:r w:rsidR="000F63EF">
              <w:rPr>
                <w:rFonts w:ascii="Times New Roman" w:eastAsia="Times New Roman" w:hAnsi="Times New Roman" w:cs="Times New Roman"/>
                <w:sz w:val="24"/>
                <w:szCs w:val="24"/>
                <w:lang w:eastAsia="lv-LV"/>
              </w:rPr>
              <w:t>PVN</w:t>
            </w:r>
            <w:r w:rsidR="009D47CA">
              <w:rPr>
                <w:rFonts w:ascii="Times New Roman" w:eastAsia="Times New Roman" w:hAnsi="Times New Roman" w:cs="Times New Roman"/>
                <w:sz w:val="24"/>
                <w:szCs w:val="24"/>
                <w:lang w:eastAsia="lv-LV"/>
              </w:rPr>
              <w:t xml:space="preserve"> maksājumu budžetā palielinājums 2018. gadā par 0,5 milj. </w:t>
            </w:r>
            <w:r w:rsidR="009D47CA">
              <w:rPr>
                <w:rFonts w:ascii="Times New Roman" w:eastAsia="Times New Roman" w:hAnsi="Times New Roman" w:cs="Times New Roman"/>
                <w:i/>
                <w:sz w:val="24"/>
                <w:szCs w:val="24"/>
                <w:lang w:eastAsia="lv-LV"/>
              </w:rPr>
              <w:t>euro</w:t>
            </w:r>
            <w:r w:rsidR="009D47CA">
              <w:rPr>
                <w:rFonts w:ascii="Times New Roman" w:eastAsia="Times New Roman" w:hAnsi="Times New Roman" w:cs="Times New Roman"/>
                <w:sz w:val="24"/>
                <w:szCs w:val="24"/>
                <w:lang w:eastAsia="lv-LV"/>
              </w:rPr>
              <w:t xml:space="preserve">, 2019. gada pirmajā pusgadā </w:t>
            </w:r>
            <w:r w:rsidR="009D47CA" w:rsidRPr="00B81CB8">
              <w:rPr>
                <w:rFonts w:ascii="Times New Roman" w:eastAsia="Times New Roman" w:hAnsi="Times New Roman" w:cs="Times New Roman"/>
                <w:noProof/>
                <w:sz w:val="24"/>
                <w:szCs w:val="24"/>
                <w:lang w:eastAsia="lv-LV"/>
              </w:rPr>
              <w:t>–</w:t>
            </w:r>
            <w:r w:rsidR="009D47CA">
              <w:rPr>
                <w:rFonts w:ascii="Times New Roman" w:eastAsia="Times New Roman" w:hAnsi="Times New Roman" w:cs="Times New Roman"/>
                <w:noProof/>
                <w:sz w:val="24"/>
                <w:szCs w:val="24"/>
                <w:lang w:eastAsia="lv-LV"/>
              </w:rPr>
              <w:t xml:space="preserve"> 0,4 milj. </w:t>
            </w:r>
            <w:r w:rsidR="009D47CA">
              <w:rPr>
                <w:rFonts w:ascii="Times New Roman" w:eastAsia="Times New Roman" w:hAnsi="Times New Roman" w:cs="Times New Roman"/>
                <w:i/>
                <w:noProof/>
                <w:sz w:val="24"/>
                <w:szCs w:val="24"/>
                <w:lang w:eastAsia="lv-LV"/>
              </w:rPr>
              <w:t>euro</w:t>
            </w:r>
            <w:r w:rsidR="009D47CA">
              <w:rPr>
                <w:rFonts w:ascii="Times New Roman" w:eastAsia="Times New Roman" w:hAnsi="Times New Roman" w:cs="Times New Roman"/>
                <w:noProof/>
                <w:sz w:val="24"/>
                <w:szCs w:val="24"/>
                <w:lang w:eastAsia="lv-LV"/>
              </w:rPr>
              <w:t>.</w:t>
            </w:r>
          </w:p>
          <w:p w:rsidR="00BB4098" w:rsidRDefault="00BB4098" w:rsidP="00BB4098">
            <w:pPr>
              <w:pStyle w:val="NoSpacing"/>
              <w:ind w:firstLine="284"/>
              <w:jc w:val="both"/>
              <w:rPr>
                <w:rFonts w:ascii="Times New Roman" w:hAnsi="Times New Roman" w:cs="Times New Roman"/>
                <w:sz w:val="24"/>
                <w:szCs w:val="24"/>
              </w:rPr>
            </w:pPr>
            <w:r w:rsidRPr="00B81CB8">
              <w:rPr>
                <w:rFonts w:ascii="Times New Roman" w:eastAsia="Times New Roman" w:hAnsi="Times New Roman" w:cs="Times New Roman"/>
                <w:sz w:val="24"/>
                <w:szCs w:val="24"/>
                <w:lang w:eastAsia="lv-LV"/>
              </w:rPr>
              <w:t>Savukārt VID Nodokļu kontroles pārvalde kopš 2017. gada augusta</w:t>
            </w:r>
            <w:r w:rsidRPr="00B81CB8">
              <w:rPr>
                <w:rFonts w:ascii="Times New Roman" w:hAnsi="Times New Roman" w:cs="Times New Roman"/>
                <w:sz w:val="24"/>
                <w:szCs w:val="24"/>
              </w:rPr>
              <w:t xml:space="preserve"> veic nodokļu maksātāju, kuru iemaksas valsts budžetā iepriekšējā gadā sastāda vairāk par 100</w:t>
            </w:r>
            <w:r>
              <w:rPr>
                <w:rFonts w:ascii="Times New Roman" w:hAnsi="Times New Roman" w:cs="Times New Roman"/>
                <w:sz w:val="24"/>
                <w:szCs w:val="24"/>
              </w:rPr>
              <w:t> </w:t>
            </w:r>
            <w:r w:rsidRPr="00B81CB8">
              <w:rPr>
                <w:rFonts w:ascii="Times New Roman" w:hAnsi="Times New Roman" w:cs="Times New Roman"/>
                <w:sz w:val="24"/>
                <w:szCs w:val="24"/>
              </w:rPr>
              <w:t>000</w:t>
            </w:r>
            <w:r>
              <w:rPr>
                <w:rFonts w:ascii="Times New Roman" w:hAnsi="Times New Roman" w:cs="Times New Roman"/>
                <w:sz w:val="24"/>
                <w:szCs w:val="24"/>
              </w:rPr>
              <w:t> </w:t>
            </w:r>
            <w:r w:rsidRPr="00B81CB8">
              <w:rPr>
                <w:rFonts w:ascii="Times New Roman" w:hAnsi="Times New Roman" w:cs="Times New Roman"/>
                <w:i/>
                <w:sz w:val="24"/>
                <w:szCs w:val="24"/>
              </w:rPr>
              <w:t>euro</w:t>
            </w:r>
            <w:r w:rsidRPr="00B81CB8">
              <w:rPr>
                <w:rFonts w:ascii="Times New Roman" w:hAnsi="Times New Roman" w:cs="Times New Roman"/>
                <w:sz w:val="24"/>
                <w:szCs w:val="24"/>
              </w:rPr>
              <w:t xml:space="preserve">, </w:t>
            </w:r>
            <w:r w:rsidR="000F63EF">
              <w:rPr>
                <w:rFonts w:ascii="Times New Roman" w:eastAsia="Times New Roman" w:hAnsi="Times New Roman" w:cs="Times New Roman"/>
                <w:noProof/>
                <w:sz w:val="24"/>
                <w:szCs w:val="24"/>
                <w:lang w:eastAsia="lv-LV"/>
              </w:rPr>
              <w:t>PVN</w:t>
            </w:r>
            <w:r w:rsidRPr="00B81CB8">
              <w:rPr>
                <w:rFonts w:ascii="Times New Roman" w:eastAsia="Times New Roman" w:hAnsi="Times New Roman" w:cs="Times New Roman"/>
                <w:noProof/>
                <w:sz w:val="24"/>
                <w:szCs w:val="24"/>
                <w:lang w:eastAsia="lv-LV"/>
              </w:rPr>
              <w:t xml:space="preserve"> </w:t>
            </w:r>
            <w:r w:rsidRPr="00B81CB8">
              <w:rPr>
                <w:rFonts w:ascii="Times New Roman" w:hAnsi="Times New Roman" w:cs="Times New Roman"/>
                <w:sz w:val="24"/>
                <w:szCs w:val="24"/>
              </w:rPr>
              <w:t xml:space="preserve">deklarāciju monitoringu par </w:t>
            </w:r>
            <w:r w:rsidRPr="00B81CB8">
              <w:rPr>
                <w:rFonts w:ascii="Times New Roman" w:hAnsi="Times New Roman" w:cs="Times New Roman"/>
                <w:sz w:val="24"/>
                <w:szCs w:val="24"/>
              </w:rPr>
              <w:lastRenderedPageBreak/>
              <w:t>riskantajiem darījumu partneriem</w:t>
            </w:r>
            <w:r>
              <w:rPr>
                <w:rFonts w:ascii="Times New Roman" w:hAnsi="Times New Roman" w:cs="Times New Roman"/>
                <w:sz w:val="24"/>
                <w:szCs w:val="24"/>
              </w:rPr>
              <w:t>.</w:t>
            </w:r>
          </w:p>
          <w:p w:rsidR="00BB4098" w:rsidRDefault="00BB4098" w:rsidP="00BB4098">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VID Nodokļu kontroles pārvaldes sūtītais riska informāciju piemērs:</w:t>
            </w:r>
          </w:p>
          <w:p w:rsidR="00BB4098" w:rsidRDefault="00BB4098" w:rsidP="00BB4098">
            <w:pPr>
              <w:ind w:firstLine="284"/>
              <w:jc w:val="right"/>
              <w:rPr>
                <w:rFonts w:cs="Times New Roman"/>
                <w:i/>
                <w:szCs w:val="24"/>
              </w:rPr>
            </w:pPr>
            <w:r>
              <w:rPr>
                <w:rFonts w:cs="Times New Roman"/>
                <w:i/>
                <w:szCs w:val="24"/>
              </w:rPr>
              <w:t>SIA “XXX”</w:t>
            </w:r>
          </w:p>
          <w:p w:rsidR="00BB4098" w:rsidRDefault="00BB4098" w:rsidP="00BB4098">
            <w:pPr>
              <w:rPr>
                <w:rFonts w:cs="Times New Roman"/>
                <w:i/>
                <w:szCs w:val="24"/>
              </w:rPr>
            </w:pPr>
            <w:r>
              <w:rPr>
                <w:rFonts w:cs="Times New Roman"/>
                <w:i/>
                <w:szCs w:val="24"/>
              </w:rPr>
              <w:t>Par riska informāciju</w:t>
            </w:r>
          </w:p>
          <w:p w:rsidR="00BB4098" w:rsidRDefault="00BB4098" w:rsidP="00BB4098">
            <w:pPr>
              <w:rPr>
                <w:rFonts w:cs="Times New Roman"/>
                <w:i/>
                <w:szCs w:val="24"/>
              </w:rPr>
            </w:pPr>
            <w:r>
              <w:rPr>
                <w:rFonts w:cs="Times New Roman"/>
                <w:i/>
                <w:szCs w:val="24"/>
              </w:rPr>
              <w:t>A.god. valdes loceklim!</w:t>
            </w:r>
          </w:p>
          <w:p w:rsidR="00BB4098" w:rsidRDefault="00BB4098" w:rsidP="00BB4098">
            <w:pPr>
              <w:ind w:firstLine="284"/>
              <w:rPr>
                <w:rFonts w:cs="Times New Roman"/>
                <w:i/>
                <w:szCs w:val="24"/>
              </w:rPr>
            </w:pPr>
          </w:p>
          <w:p w:rsidR="00BB4098" w:rsidRPr="009C4A78" w:rsidRDefault="00BB4098" w:rsidP="00BB4098">
            <w:pPr>
              <w:ind w:firstLine="284"/>
              <w:jc w:val="both"/>
              <w:rPr>
                <w:bCs/>
                <w:i/>
                <w:szCs w:val="24"/>
                <w:lang w:eastAsia="lv-LV"/>
              </w:rPr>
            </w:pPr>
            <w:r w:rsidRPr="009C4A78">
              <w:rPr>
                <w:rFonts w:cs="Times New Roman"/>
                <w:i/>
                <w:szCs w:val="24"/>
              </w:rPr>
              <w:t xml:space="preserve">VID, ievērojot “Konsultē vispirms” principu, </w:t>
            </w:r>
            <w:r w:rsidRPr="009C4A78">
              <w:rPr>
                <w:bCs/>
                <w:i/>
                <w:szCs w:val="24"/>
                <w:lang w:eastAsia="lv-LV"/>
              </w:rPr>
              <w:t>konstruktīvas sadarbības ar nodokļu maksātājiem veicināšanai un augsta nodokļu saistību brīvprātīgas izpildes līmeņa sasniegšanai, aicina pārbaudīt SIA “</w:t>
            </w:r>
            <w:r>
              <w:rPr>
                <w:bCs/>
                <w:i/>
                <w:szCs w:val="24"/>
                <w:lang w:eastAsia="lv-LV"/>
              </w:rPr>
              <w:t>XXX</w:t>
            </w:r>
            <w:r w:rsidRPr="009C4A78">
              <w:rPr>
                <w:bCs/>
                <w:i/>
                <w:szCs w:val="24"/>
                <w:lang w:eastAsia="lv-LV"/>
              </w:rPr>
              <w:t xml:space="preserve">” (NMR kods </w:t>
            </w:r>
            <w:r>
              <w:rPr>
                <w:bCs/>
                <w:i/>
                <w:szCs w:val="24"/>
                <w:lang w:eastAsia="lv-LV"/>
              </w:rPr>
              <w:t>00000000000</w:t>
            </w:r>
            <w:r w:rsidRPr="009C4A78">
              <w:rPr>
                <w:bCs/>
                <w:i/>
                <w:szCs w:val="24"/>
                <w:lang w:eastAsia="lv-LV"/>
              </w:rPr>
              <w:t xml:space="preserve">) PVN deklarācijās deklarēto informāciju. </w:t>
            </w:r>
          </w:p>
          <w:p w:rsidR="00BB4098" w:rsidRPr="009C4A78" w:rsidRDefault="00BB4098" w:rsidP="00BB4098">
            <w:pPr>
              <w:ind w:firstLine="284"/>
              <w:jc w:val="both"/>
              <w:rPr>
                <w:bCs/>
                <w:i/>
                <w:szCs w:val="24"/>
                <w:lang w:eastAsia="lv-LV"/>
              </w:rPr>
            </w:pPr>
            <w:r w:rsidRPr="009C4A78">
              <w:rPr>
                <w:bCs/>
                <w:i/>
                <w:szCs w:val="24"/>
                <w:lang w:eastAsia="lv-LV"/>
              </w:rPr>
              <w:t>Izvērtējot SIA “</w:t>
            </w:r>
            <w:r>
              <w:rPr>
                <w:bCs/>
                <w:i/>
                <w:szCs w:val="24"/>
                <w:lang w:eastAsia="lv-LV"/>
              </w:rPr>
              <w:t>XXX</w:t>
            </w:r>
            <w:r w:rsidRPr="009C4A78">
              <w:rPr>
                <w:bCs/>
                <w:i/>
                <w:szCs w:val="24"/>
                <w:lang w:eastAsia="lv-LV"/>
              </w:rPr>
              <w:t>” PVN deklarācijās par periodu no 2019.gada janvāra līdz maijam deklarēto informāciju, konstatējām, ka deklarāciju PVN1 pārskata I daļā “Nodokļa summas par iekšzemē iegādātajām precēm un saņemtajiem pakalpojumiem” deklarējāt darījumus ar SIA “</w:t>
            </w:r>
            <w:r>
              <w:rPr>
                <w:bCs/>
                <w:i/>
                <w:szCs w:val="24"/>
                <w:lang w:eastAsia="lv-LV"/>
              </w:rPr>
              <w:t>YYY</w:t>
            </w:r>
            <w:r w:rsidRPr="009C4A78">
              <w:rPr>
                <w:bCs/>
                <w:i/>
                <w:szCs w:val="24"/>
                <w:lang w:eastAsia="lv-LV"/>
              </w:rPr>
              <w:t>” (darījumu vērtība bez PVN 88 715.00 EUR, PVN vērtība 18 630.15 EUR), kā darījuma veida kodu norādot R</w:t>
            </w:r>
            <w:r w:rsidRPr="009C4A78">
              <w:rPr>
                <w:bCs/>
                <w:i/>
                <w:szCs w:val="24"/>
                <w:vertAlign w:val="superscript"/>
                <w:lang w:eastAsia="lv-LV"/>
              </w:rPr>
              <w:t xml:space="preserve">3 </w:t>
            </w:r>
            <w:r w:rsidRPr="009C4A78">
              <w:rPr>
                <w:bCs/>
                <w:i/>
                <w:szCs w:val="24"/>
                <w:lang w:eastAsia="lv-LV"/>
              </w:rPr>
              <w:t>(būvniecības pakalpojumi).</w:t>
            </w:r>
          </w:p>
          <w:p w:rsidR="00BB4098" w:rsidRPr="009C4A78" w:rsidRDefault="005A707C" w:rsidP="00BB4098">
            <w:pPr>
              <w:ind w:firstLine="284"/>
              <w:jc w:val="both"/>
              <w:rPr>
                <w:bCs/>
                <w:i/>
                <w:szCs w:val="24"/>
                <w:lang w:eastAsia="lv-LV"/>
              </w:rPr>
            </w:pPr>
            <w:r>
              <w:rPr>
                <w:bCs/>
                <w:i/>
                <w:szCs w:val="24"/>
                <w:lang w:eastAsia="lv-LV"/>
              </w:rPr>
              <w:t>Pēc atkārtota</w:t>
            </w:r>
            <w:r w:rsidR="00BB4098" w:rsidRPr="009C4A78">
              <w:rPr>
                <w:bCs/>
                <w:i/>
                <w:szCs w:val="24"/>
                <w:lang w:eastAsia="lv-LV"/>
              </w:rPr>
              <w:t>s tikšanās 2019.gada 6.jūnijā ar VID Nodokļu kontroles pārvaldes amatpersonām, Jūs  iesniedzāt informāciju no elektroniskās darba laika uzskaites sistēmas (EDLUS) par apakšuzņēmēja SIA “</w:t>
            </w:r>
            <w:r w:rsidR="00BB4098">
              <w:rPr>
                <w:bCs/>
                <w:i/>
                <w:szCs w:val="24"/>
                <w:lang w:eastAsia="lv-LV"/>
              </w:rPr>
              <w:t>YYY</w:t>
            </w:r>
            <w:r w:rsidR="00BB4098" w:rsidRPr="009C4A78">
              <w:rPr>
                <w:bCs/>
                <w:i/>
                <w:szCs w:val="24"/>
                <w:lang w:eastAsia="lv-LV"/>
              </w:rPr>
              <w:t>” darbiniekiem un viņa piesaistītajiem individuālajiem komersantiem. Izvērtējot saņemto informāciju un pamatojoties uz VID rīcībā esošo informāciju, darījumi ar minēto darījumu partneri VID ieskatā vērtējami kritiski un liecina par iespējamu SIA “</w:t>
            </w:r>
            <w:r w:rsidR="00BB4098">
              <w:rPr>
                <w:bCs/>
                <w:i/>
                <w:szCs w:val="24"/>
                <w:lang w:eastAsia="lv-LV"/>
              </w:rPr>
              <w:t>YYY</w:t>
            </w:r>
            <w:r w:rsidR="00BB4098" w:rsidRPr="009C4A78">
              <w:rPr>
                <w:bCs/>
                <w:i/>
                <w:szCs w:val="24"/>
                <w:lang w:eastAsia="lv-LV"/>
              </w:rPr>
              <w:t>” negodprātīgu rīcību un konkurences kropļošanu būvniecības jomā.</w:t>
            </w:r>
          </w:p>
          <w:p w:rsidR="00BB4098" w:rsidRPr="009C4A78" w:rsidRDefault="00BB4098" w:rsidP="00BB4098">
            <w:pPr>
              <w:ind w:firstLine="284"/>
              <w:jc w:val="both"/>
              <w:rPr>
                <w:bCs/>
                <w:i/>
                <w:szCs w:val="24"/>
                <w:lang w:eastAsia="lv-LV"/>
              </w:rPr>
            </w:pPr>
            <w:r w:rsidRPr="009C4A78">
              <w:rPr>
                <w:bCs/>
                <w:i/>
                <w:szCs w:val="24"/>
                <w:lang w:eastAsia="lv-LV"/>
              </w:rPr>
              <w:t>Lai gan komersantam ir brīvas iespējas izvēlēties darījumu partneri, taču tam ir jāizvērtē, kādus riska elementus ietver darījums, kurā tas iesaistās, jo komersants ir atbildīgs par normatīvo aktu prasībām un darījumu faktiskajai norisei neatbilstošu dokumentu iegrāmatošanu grāmatvedības reģistros.</w:t>
            </w:r>
          </w:p>
          <w:p w:rsidR="00BB4098" w:rsidRPr="009C4A78" w:rsidRDefault="00BB4098" w:rsidP="00BB4098">
            <w:pPr>
              <w:ind w:firstLine="284"/>
              <w:jc w:val="both"/>
              <w:rPr>
                <w:bCs/>
                <w:i/>
                <w:szCs w:val="24"/>
                <w:lang w:eastAsia="lv-LV"/>
              </w:rPr>
            </w:pPr>
            <w:r w:rsidRPr="009C4A78">
              <w:rPr>
                <w:bCs/>
                <w:i/>
                <w:szCs w:val="24"/>
                <w:lang w:eastAsia="lv-LV"/>
              </w:rPr>
              <w:t>Ar izpratni vērtējam apstākli, ka SIA “</w:t>
            </w:r>
            <w:r>
              <w:rPr>
                <w:bCs/>
                <w:i/>
                <w:szCs w:val="24"/>
                <w:lang w:eastAsia="lv-LV"/>
              </w:rPr>
              <w:t>XXX</w:t>
            </w:r>
            <w:r w:rsidRPr="009C4A78">
              <w:rPr>
                <w:bCs/>
                <w:i/>
                <w:szCs w:val="24"/>
                <w:lang w:eastAsia="lv-LV"/>
              </w:rPr>
              <w:t>” nevar ietekmēt savu sadarbības partneru nodokļu disciplīnu, taču šis apstāklis ir ņemams vērā, vērtējot SIA “</w:t>
            </w:r>
            <w:r>
              <w:rPr>
                <w:bCs/>
                <w:i/>
                <w:szCs w:val="24"/>
                <w:lang w:eastAsia="lv-LV"/>
              </w:rPr>
              <w:t>XXX</w:t>
            </w:r>
            <w:r w:rsidRPr="009C4A78">
              <w:rPr>
                <w:bCs/>
                <w:i/>
                <w:szCs w:val="24"/>
                <w:lang w:eastAsia="lv-LV"/>
              </w:rPr>
              <w:t>” un tā darījumu partneru savstarpēji noformētos darījumus un turpmāko sadarbību. Aicinām izvērtēt sadarbību ar minēto darījumu partneri, kā arī pievērst uzmanību turpmāko sadarbības partneru izvēlei.</w:t>
            </w:r>
          </w:p>
          <w:p w:rsidR="00BB4098" w:rsidRDefault="00BB4098" w:rsidP="00BB4098">
            <w:pPr>
              <w:ind w:firstLine="284"/>
              <w:jc w:val="both"/>
              <w:rPr>
                <w:bCs/>
                <w:i/>
                <w:szCs w:val="24"/>
                <w:lang w:eastAsia="lv-LV"/>
              </w:rPr>
            </w:pPr>
            <w:r w:rsidRPr="009C4A78">
              <w:rPr>
                <w:bCs/>
                <w:i/>
                <w:szCs w:val="24"/>
                <w:lang w:eastAsia="lv-LV"/>
              </w:rPr>
              <w:t>Papildus informējam, lai novērtētu darījuma partnera uzticamību un noteiktu darījuma risku, un atbildīgi pieņemtu lēmumu par darījuma veikšanu vai atteikšanos no tā, VID mājaslapā ir pieejama VID publiskojamo datu</w:t>
            </w:r>
            <w:r w:rsidR="005A707C">
              <w:rPr>
                <w:bCs/>
                <w:i/>
                <w:szCs w:val="24"/>
                <w:lang w:eastAsia="lv-LV"/>
              </w:rPr>
              <w:t xml:space="preserve"> </w:t>
            </w:r>
            <w:r w:rsidRPr="009C4A78">
              <w:rPr>
                <w:bCs/>
                <w:i/>
                <w:szCs w:val="24"/>
                <w:lang w:eastAsia="lv-LV"/>
              </w:rPr>
              <w:t xml:space="preserve">bāze (www.vid.gov.lv → Publiskojamo datu bāze), kurā varat iegūt informāciju par VID reģistrētajiem saimnieciskās </w:t>
            </w:r>
            <w:r w:rsidRPr="009C4A78">
              <w:rPr>
                <w:bCs/>
                <w:i/>
                <w:szCs w:val="24"/>
                <w:lang w:eastAsia="lv-LV"/>
              </w:rPr>
              <w:lastRenderedPageBreak/>
              <w:t xml:space="preserve">darbības veicējiem, </w:t>
            </w:r>
            <w:r w:rsidR="000F63EF">
              <w:rPr>
                <w:bCs/>
                <w:i/>
                <w:szCs w:val="24"/>
                <w:lang w:eastAsia="lv-LV"/>
              </w:rPr>
              <w:t>PVN</w:t>
            </w:r>
            <w:r w:rsidRPr="009C4A78">
              <w:rPr>
                <w:bCs/>
                <w:i/>
                <w:szCs w:val="24"/>
                <w:lang w:eastAsia="lv-LV"/>
              </w:rPr>
              <w:t xml:space="preserve"> maksātājiem, kases aparātiem, kases sistēmām, specializētajām ierīcēm vai iekārtām un darījumu apliecinošām kvītīm, VID izsniegtajām licencēm akcīzes preču aprites jomā, Eiropas Savienības dalībvalstu ar </w:t>
            </w:r>
            <w:r w:rsidR="000F63EF">
              <w:rPr>
                <w:bCs/>
                <w:i/>
                <w:szCs w:val="24"/>
                <w:lang w:eastAsia="lv-LV"/>
              </w:rPr>
              <w:t>PVN</w:t>
            </w:r>
            <w:r w:rsidRPr="009C4A78">
              <w:rPr>
                <w:bCs/>
                <w:i/>
                <w:szCs w:val="24"/>
                <w:lang w:eastAsia="lv-LV"/>
              </w:rPr>
              <w:t xml:space="preserve"> apliekamajām personām un akcīzes nodokļa maksātājiem, nodokļu maksātāju saimnieciskās darbības apturēšanu normatīvo aktu pārkāpumu gadījumos, kā arī VID administrēto nodokļu (nodevu) parādiem. Tāpat VID mājaslapā ir publicēts arī informatīvais materiāls “Valsts ieņēmumu dienesta ieteikumi darījuma partnera un darījuma riska novērtēšanai” (www.vid.gov.lv → Nodokļi → Noderīgi → Riskanto nodokļu maksātāju grupas → VID vadlīnijas), kurā apkopoti iespējamie informācijas iegūšanas avoti, ko varat izmantot, veicot riska novērtēšanu, kā arī sniegti iespējamo risku novērtēšanas piemēri.</w:t>
            </w:r>
          </w:p>
          <w:p w:rsidR="00BB4098" w:rsidRPr="009C4A78" w:rsidRDefault="00BB4098" w:rsidP="00BB4098">
            <w:pPr>
              <w:ind w:firstLine="284"/>
              <w:jc w:val="both"/>
              <w:rPr>
                <w:bCs/>
                <w:i/>
                <w:szCs w:val="24"/>
                <w:lang w:eastAsia="lv-LV"/>
              </w:rPr>
            </w:pPr>
          </w:p>
          <w:p w:rsidR="00BB4098" w:rsidRPr="00B81CB8" w:rsidRDefault="00BB4098" w:rsidP="00BB4098">
            <w:pPr>
              <w:pStyle w:val="NoSpacing"/>
              <w:ind w:firstLine="284"/>
              <w:jc w:val="both"/>
              <w:rPr>
                <w:rFonts w:ascii="Times New Roman" w:eastAsia="Times New Roman" w:hAnsi="Times New Roman" w:cs="Times New Roman"/>
                <w:sz w:val="24"/>
                <w:szCs w:val="24"/>
                <w:lang w:eastAsia="lv-LV"/>
              </w:rPr>
            </w:pPr>
            <w:r w:rsidRPr="00B81CB8">
              <w:rPr>
                <w:rFonts w:ascii="Times New Roman" w:hAnsi="Times New Roman" w:cs="Times New Roman"/>
                <w:sz w:val="24"/>
                <w:szCs w:val="24"/>
              </w:rPr>
              <w:t>Š</w:t>
            </w:r>
            <w:r>
              <w:rPr>
                <w:rFonts w:ascii="Times New Roman" w:hAnsi="Times New Roman" w:cs="Times New Roman"/>
                <w:sz w:val="24"/>
                <w:szCs w:val="24"/>
              </w:rPr>
              <w:t>ādas riska informācijas sniegšanas</w:t>
            </w:r>
            <w:r w:rsidRPr="00B81CB8">
              <w:rPr>
                <w:rFonts w:ascii="Times New Roman" w:hAnsi="Times New Roman" w:cs="Times New Roman"/>
                <w:sz w:val="24"/>
                <w:szCs w:val="24"/>
              </w:rPr>
              <w:t xml:space="preserve"> rezultātā ir sasniegts, ka:</w:t>
            </w:r>
          </w:p>
          <w:p w:rsidR="00BB4098" w:rsidRPr="00517D9A" w:rsidRDefault="00BB4098" w:rsidP="00BB409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lielie nodokļu </w:t>
            </w:r>
            <w:r w:rsidRPr="00517D9A">
              <w:rPr>
                <w:rFonts w:ascii="Times New Roman" w:hAnsi="Times New Roman" w:cs="Times New Roman"/>
                <w:sz w:val="24"/>
                <w:szCs w:val="24"/>
              </w:rPr>
              <w:t>maksātāji tiek savlaicīgi informēti par iespējamo iesaistīšanos savstarpējo darījumu shēmās ar mērķi gūt fiskālās priekšrocības (apzinātu vai neapzinātu);</w:t>
            </w:r>
          </w:p>
          <w:p w:rsidR="00BB4098" w:rsidRPr="00517D9A" w:rsidRDefault="00BB4098" w:rsidP="00BB409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nodokļu administrācija novērš turpmāko nodokļu maksātāja iesaistīšanos riskantās darījumu shēmās, v</w:t>
            </w:r>
            <w:r w:rsidRPr="00517D9A">
              <w:rPr>
                <w:rFonts w:ascii="Times New Roman" w:hAnsi="Times New Roman" w:cs="Times New Roman"/>
                <w:sz w:val="24"/>
                <w:szCs w:val="24"/>
              </w:rPr>
              <w:t>eicot pārrunas ar nodokļu maksātāju, informējot par vadlīnijām sadarbības partneru izvēlē;</w:t>
            </w:r>
          </w:p>
          <w:p w:rsidR="00BB4098" w:rsidRPr="00517D9A" w:rsidRDefault="00BB4098" w:rsidP="00BB4098">
            <w:pPr>
              <w:pStyle w:val="NoSpacing"/>
              <w:ind w:firstLine="284"/>
              <w:jc w:val="both"/>
              <w:rPr>
                <w:rFonts w:ascii="Times New Roman" w:hAnsi="Times New Roman" w:cs="Times New Roman"/>
                <w:sz w:val="24"/>
                <w:szCs w:val="24"/>
              </w:rPr>
            </w:pP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monitorējamie nodokļu maksātāji veic lielākas iemaksas valsts budžetā;</w:t>
            </w:r>
          </w:p>
          <w:tbl>
            <w:tblPr>
              <w:tblStyle w:val="TableGrid"/>
              <w:tblW w:w="0" w:type="auto"/>
              <w:tblLook w:val="04A0" w:firstRow="1" w:lastRow="0" w:firstColumn="1" w:lastColumn="0" w:noHBand="0" w:noVBand="1"/>
            </w:tblPr>
            <w:tblGrid>
              <w:gridCol w:w="1817"/>
              <w:gridCol w:w="1817"/>
              <w:gridCol w:w="1818"/>
            </w:tblGrid>
            <w:tr w:rsidR="00BB4098" w:rsidRPr="00517D9A" w:rsidTr="00652957">
              <w:tc>
                <w:tcPr>
                  <w:tcW w:w="5452" w:type="dxa"/>
                  <w:gridSpan w:val="3"/>
                  <w:shd w:val="pct12" w:color="auto" w:fill="auto"/>
                </w:tcPr>
                <w:p w:rsidR="00BB4098" w:rsidRPr="00517D9A" w:rsidRDefault="00BB4098" w:rsidP="00BB4098">
                  <w:pPr>
                    <w:jc w:val="center"/>
                    <w:rPr>
                      <w:rFonts w:cs="Times New Roman"/>
                      <w:sz w:val="16"/>
                      <w:szCs w:val="16"/>
                    </w:rPr>
                  </w:pPr>
                  <w:r w:rsidRPr="00517D9A">
                    <w:rPr>
                      <w:rFonts w:cs="Times New Roman"/>
                      <w:sz w:val="16"/>
                      <w:szCs w:val="16"/>
                    </w:rPr>
                    <w:t xml:space="preserve">VID Nodokļu kontroles pārvaldes preventīvie rezultāti </w:t>
                  </w:r>
                </w:p>
                <w:p w:rsidR="00BB4098" w:rsidRPr="00517D9A" w:rsidRDefault="00BB4098" w:rsidP="00BB4098">
                  <w:pPr>
                    <w:jc w:val="center"/>
                    <w:rPr>
                      <w:rFonts w:cs="Times New Roman"/>
                      <w:sz w:val="16"/>
                      <w:szCs w:val="16"/>
                    </w:rPr>
                  </w:pPr>
                  <w:r w:rsidRPr="00517D9A">
                    <w:rPr>
                      <w:rFonts w:cs="Times New Roman"/>
                      <w:sz w:val="16"/>
                      <w:szCs w:val="16"/>
                    </w:rPr>
                    <w:t>2018. gadā un 2019.gada 4 mēnešos</w:t>
                  </w:r>
                </w:p>
              </w:tc>
            </w:tr>
            <w:tr w:rsidR="00BB4098" w:rsidRPr="00517D9A" w:rsidTr="00652957">
              <w:tc>
                <w:tcPr>
                  <w:tcW w:w="1817" w:type="dxa"/>
                </w:tcPr>
                <w:p w:rsidR="00BB4098" w:rsidRPr="00517D9A" w:rsidRDefault="000F63EF" w:rsidP="00BB4098">
                  <w:pPr>
                    <w:jc w:val="both"/>
                    <w:rPr>
                      <w:rFonts w:cs="Times New Roman"/>
                      <w:sz w:val="16"/>
                      <w:szCs w:val="16"/>
                    </w:rPr>
                  </w:pPr>
                  <w:r>
                    <w:rPr>
                      <w:sz w:val="16"/>
                      <w:szCs w:val="16"/>
                      <w:lang w:eastAsia="lv-LV"/>
                    </w:rPr>
                    <w:t>PVN</w:t>
                  </w:r>
                  <w:r w:rsidR="00BB4098" w:rsidRPr="00517D9A">
                    <w:rPr>
                      <w:sz w:val="16"/>
                      <w:szCs w:val="16"/>
                      <w:lang w:eastAsia="lv-LV"/>
                    </w:rPr>
                    <w:t xml:space="preserve"> maksājumu budžetā palielinājums pēc vēstulēm “brokeriem”* par riskantajiem darījumu partneriem  (euro)</w:t>
                  </w:r>
                </w:p>
              </w:tc>
              <w:tc>
                <w:tcPr>
                  <w:tcW w:w="1817" w:type="dxa"/>
                </w:tcPr>
                <w:p w:rsidR="00BB4098" w:rsidRPr="00517D9A" w:rsidRDefault="00BB4098" w:rsidP="00BB4098">
                  <w:pPr>
                    <w:jc w:val="center"/>
                    <w:rPr>
                      <w:rFonts w:cs="Times New Roman"/>
                      <w:sz w:val="16"/>
                      <w:szCs w:val="16"/>
                    </w:rPr>
                  </w:pPr>
                  <w:r w:rsidRPr="00517D9A">
                    <w:rPr>
                      <w:rFonts w:cs="Times New Roman"/>
                      <w:sz w:val="16"/>
                      <w:szCs w:val="16"/>
                    </w:rPr>
                    <w:t>1 560 300</w:t>
                  </w:r>
                </w:p>
              </w:tc>
              <w:tc>
                <w:tcPr>
                  <w:tcW w:w="1818" w:type="dxa"/>
                </w:tcPr>
                <w:p w:rsidR="00BB4098" w:rsidRPr="00517D9A" w:rsidRDefault="00BB4098" w:rsidP="00BB4098">
                  <w:pPr>
                    <w:jc w:val="center"/>
                    <w:rPr>
                      <w:rFonts w:cs="Times New Roman"/>
                      <w:sz w:val="16"/>
                      <w:szCs w:val="16"/>
                    </w:rPr>
                  </w:pPr>
                  <w:r w:rsidRPr="00517D9A">
                    <w:rPr>
                      <w:rFonts w:cs="Times New Roman"/>
                      <w:sz w:val="16"/>
                      <w:szCs w:val="16"/>
                    </w:rPr>
                    <w:t>465 100</w:t>
                  </w:r>
                </w:p>
              </w:tc>
            </w:tr>
            <w:tr w:rsidR="00BB4098" w:rsidRPr="00517D9A" w:rsidTr="00652957">
              <w:tc>
                <w:tcPr>
                  <w:tcW w:w="1817" w:type="dxa"/>
                </w:tcPr>
                <w:p w:rsidR="00BB4098" w:rsidRPr="00517D9A" w:rsidRDefault="00BB4098" w:rsidP="00BB4098">
                  <w:pPr>
                    <w:jc w:val="both"/>
                    <w:rPr>
                      <w:rFonts w:cs="Times New Roman"/>
                      <w:sz w:val="16"/>
                      <w:szCs w:val="16"/>
                    </w:rPr>
                  </w:pPr>
                  <w:r w:rsidRPr="00517D9A">
                    <w:rPr>
                      <w:rFonts w:cs="Times New Roman"/>
                      <w:sz w:val="16"/>
                      <w:szCs w:val="16"/>
                      <w:lang w:eastAsia="lv-LV"/>
                    </w:rPr>
                    <w:t>Līdz nodokļu audita uzsākšanai juridisko personu pašu precizētā nodokļu summa (</w:t>
                  </w:r>
                  <w:r w:rsidRPr="00517D9A">
                    <w:rPr>
                      <w:rFonts w:cs="Times New Roman"/>
                      <w:bCs/>
                      <w:sz w:val="16"/>
                      <w:szCs w:val="16"/>
                      <w:lang w:eastAsia="lv-LV"/>
                    </w:rPr>
                    <w:t>euro</w:t>
                  </w:r>
                  <w:r w:rsidRPr="00517D9A">
                    <w:rPr>
                      <w:rFonts w:cs="Times New Roman"/>
                      <w:sz w:val="16"/>
                      <w:szCs w:val="16"/>
                      <w:lang w:eastAsia="lv-LV"/>
                    </w:rPr>
                    <w:t>)</w:t>
                  </w:r>
                </w:p>
              </w:tc>
              <w:tc>
                <w:tcPr>
                  <w:tcW w:w="1817" w:type="dxa"/>
                </w:tcPr>
                <w:p w:rsidR="00BB4098" w:rsidRPr="00517D9A" w:rsidRDefault="00BB4098" w:rsidP="00BB4098">
                  <w:pPr>
                    <w:jc w:val="center"/>
                    <w:rPr>
                      <w:rFonts w:cs="Times New Roman"/>
                      <w:sz w:val="16"/>
                      <w:szCs w:val="16"/>
                    </w:rPr>
                  </w:pPr>
                  <w:r w:rsidRPr="00517D9A">
                    <w:rPr>
                      <w:rFonts w:cs="Times New Roman"/>
                      <w:sz w:val="16"/>
                      <w:szCs w:val="16"/>
                    </w:rPr>
                    <w:t>369 300</w:t>
                  </w:r>
                </w:p>
              </w:tc>
              <w:tc>
                <w:tcPr>
                  <w:tcW w:w="1818" w:type="dxa"/>
                </w:tcPr>
                <w:p w:rsidR="00BB4098" w:rsidRPr="00517D9A" w:rsidRDefault="00BB4098" w:rsidP="00BB4098">
                  <w:pPr>
                    <w:jc w:val="center"/>
                    <w:rPr>
                      <w:rFonts w:cs="Times New Roman"/>
                      <w:sz w:val="16"/>
                      <w:szCs w:val="16"/>
                    </w:rPr>
                  </w:pPr>
                  <w:r w:rsidRPr="00517D9A">
                    <w:rPr>
                      <w:rFonts w:cs="Times New Roman"/>
                      <w:sz w:val="16"/>
                      <w:szCs w:val="16"/>
                    </w:rPr>
                    <w:t>518 700</w:t>
                  </w:r>
                </w:p>
              </w:tc>
            </w:tr>
          </w:tbl>
          <w:p w:rsidR="00BB4098" w:rsidRPr="00517D9A" w:rsidRDefault="00BB4098" w:rsidP="00BB4098">
            <w:pPr>
              <w:jc w:val="both"/>
              <w:rPr>
                <w:rFonts w:cs="Times New Roman"/>
                <w:sz w:val="16"/>
                <w:szCs w:val="16"/>
              </w:rPr>
            </w:pPr>
            <w:r w:rsidRPr="00517D9A">
              <w:rPr>
                <w:rFonts w:cs="Times New Roman"/>
                <w:sz w:val="16"/>
                <w:szCs w:val="16"/>
              </w:rPr>
              <w:t>* “Brokeris” – reālais saimnieciskās darbības veicējs, kas ik pa laikam veic darījumus ar fiktīvu darījuma partneri.</w:t>
            </w:r>
          </w:p>
          <w:p w:rsidR="00BB4098" w:rsidRPr="00517D9A" w:rsidRDefault="00BB4098" w:rsidP="00BB4098">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monitorējamie</w:t>
            </w:r>
            <w:r w:rsidRPr="00517D9A">
              <w:rPr>
                <w:rFonts w:cs="Times New Roman"/>
                <w:szCs w:val="24"/>
              </w:rPr>
              <w:t xml:space="preserve"> nodokļu maksātāji kā sociāli atbildīgi tirgus “spēlētāji” veicina sadarbības partneru godprātīgu nodokļu nomaksu, ja tie vēlas turpmāk sadarboties ar monitorējamo uzņēmumu;</w:t>
            </w:r>
          </w:p>
          <w:p w:rsidR="00BB4098" w:rsidRPr="00517D9A" w:rsidRDefault="00BB4098" w:rsidP="00BB4098">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tiek panākts nodokļu administrācijas vēlamais rezultāts ar mazākiem resursiem (k</w:t>
            </w:r>
            <w:r w:rsidRPr="00517D9A">
              <w:rPr>
                <w:rFonts w:cs="Times New Roman"/>
                <w:szCs w:val="24"/>
              </w:rPr>
              <w:t>atrs kontroles pasākums VID izmaksā dārgi) un neapgrūtinot nodokļu maksātāju ar VID klātbūtni uzņēmumā (nodokļu revīzija (audits));</w:t>
            </w:r>
          </w:p>
          <w:p w:rsidR="00BB4098" w:rsidRPr="00517D9A" w:rsidRDefault="00BB4098" w:rsidP="00BB4098">
            <w:pPr>
              <w:ind w:firstLine="203"/>
              <w:jc w:val="both"/>
              <w:rPr>
                <w:rFonts w:cs="Times New Roman"/>
                <w:szCs w:val="24"/>
              </w:rPr>
            </w:pPr>
            <w:r w:rsidRPr="00B81CB8">
              <w:rPr>
                <w:rFonts w:cs="Times New Roman"/>
                <w:szCs w:val="24"/>
              </w:rPr>
              <w:sym w:font="Symbol" w:char="F02D"/>
            </w:r>
            <w:r w:rsidRPr="00B81CB8">
              <w:rPr>
                <w:rFonts w:cs="Times New Roman"/>
                <w:szCs w:val="24"/>
              </w:rPr>
              <w:t xml:space="preserve"> VID tēls tiek uzlabots, jo monitorējamie nodokļu maksātāji pēc šādas pieejas īstenošanas ir apmierināti ar nodokļu adminis</w:t>
            </w:r>
            <w:r w:rsidRPr="00517D9A">
              <w:rPr>
                <w:rFonts w:cs="Times New Roman"/>
                <w:szCs w:val="24"/>
              </w:rPr>
              <w:t>trācijas izrādīto pretimnākšanu un konstruktīvo sadarbību.</w:t>
            </w:r>
          </w:p>
          <w:p w:rsidR="00BB4098" w:rsidRPr="00517D9A" w:rsidRDefault="00BB4098" w:rsidP="00BB4098">
            <w:pPr>
              <w:pStyle w:val="NormalWeb"/>
              <w:ind w:firstLine="284"/>
              <w:jc w:val="both"/>
            </w:pPr>
            <w:r w:rsidRPr="00517D9A">
              <w:t xml:space="preserve">Nodokļu maksātāju informēšana par riskantiem </w:t>
            </w:r>
            <w:r w:rsidRPr="00517D9A">
              <w:lastRenderedPageBreak/>
              <w:t>darījumu partneriem pēc būtības ir aktīva nodokļu administrācijas iesaistīšanās godprātīgas komercdarbības veicināšanā, ļaujot nodokļu maksātājiem izvairīties no sadarbības ar riskantiem darījumu partneriem, jo VID rīcībā ir informācija par darījuma partnera nodokļu riskiem un praksē (sniedzot uzziņas un atbildot uz nodokļu maksātāju iesniegumiem) nodokļu maksātāji paši lūdz VID sniegt informāciju, kā var izvērtēt un noteikt riskantos darījuma partnerus.</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Vienlaikus, ņemot vērā, ka informācijas atklāšana trešajām personām (proti, nodokļu maksātājam) par darījuma partneri bez tā piekrišanas, var skar</w:t>
            </w:r>
            <w:r>
              <w:rPr>
                <w:rFonts w:ascii="Times New Roman" w:hAnsi="Times New Roman" w:cs="Times New Roman"/>
                <w:sz w:val="24"/>
                <w:szCs w:val="24"/>
              </w:rPr>
              <w:t>t</w:t>
            </w:r>
            <w:r w:rsidRPr="00517D9A">
              <w:rPr>
                <w:rFonts w:ascii="Times New Roman" w:hAnsi="Times New Roman" w:cs="Times New Roman"/>
                <w:sz w:val="24"/>
                <w:szCs w:val="24"/>
              </w:rPr>
              <w:t xml:space="preserve"> darījuma partnera tiesiskās intereses, likumprojektā ietvertajā likuma “Par nodokļiem un nodevām” 22. panta pirmās daļas </w:t>
            </w:r>
            <w:r w:rsidR="004875DB">
              <w:rPr>
                <w:rFonts w:ascii="Times New Roman" w:hAnsi="Times New Roman" w:cs="Times New Roman"/>
                <w:sz w:val="24"/>
                <w:szCs w:val="24"/>
              </w:rPr>
              <w:t>6</w:t>
            </w:r>
            <w:r w:rsidRPr="00517D9A">
              <w:rPr>
                <w:rFonts w:ascii="Times New Roman" w:hAnsi="Times New Roman" w:cs="Times New Roman"/>
                <w:sz w:val="24"/>
                <w:szCs w:val="24"/>
              </w:rPr>
              <w:t>. punktā ir noteikts, ka VID informēs riskanto darījumu partneri, ja informācija par to tiks izpausta nodokļu maksātājam. Tādējādi saskaņā ar likumprojektā iekļauto regulējumu darījumu partnerim, pirmkārt, arī ir paredzētas tiesības iegūt informāciju par saviem riskantajiem sadarbības partneriem, un, otrkārt, vienlaikus nodrošinātas tiesības iesniegt sūdzību gadījumos, ja tiks uzskatīts, ka ir pārkāptas tā tiesiskās intereses attiecībā uz informācijas neizpaušanu.</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Savukārt, tā kā plānotā regulējuma </w:t>
            </w: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xml:space="preserve"> </w:t>
            </w:r>
            <w:r w:rsidRPr="00B81CB8">
              <w:rPr>
                <w:rFonts w:ascii="Times New Roman" w:hAnsi="Times New Roman" w:cs="Times New Roman"/>
                <w:sz w:val="24"/>
                <w:szCs w:val="24"/>
              </w:rPr>
              <w:t xml:space="preserve">informācijas sniegšana par </w:t>
            </w:r>
            <w:r w:rsidRPr="00B81CB8">
              <w:rPr>
                <w:rFonts w:ascii="Times New Roman" w:eastAsia="Times New Roman" w:hAnsi="Times New Roman" w:cs="Times New Roman"/>
                <w:iCs/>
                <w:sz w:val="24"/>
                <w:szCs w:val="24"/>
                <w:lang w:eastAsia="lv-LV"/>
              </w:rPr>
              <w:t>riskantajiem darījuma partneriem</w:t>
            </w:r>
            <w:r w:rsidRPr="00517D9A">
              <w:rPr>
                <w:rFonts w:ascii="Times New Roman" w:hAnsi="Times New Roman" w:cs="Times New Roman"/>
                <w:sz w:val="24"/>
                <w:szCs w:val="24"/>
              </w:rPr>
              <w:t xml:space="preserve"> </w:t>
            </w:r>
            <w:r w:rsidRPr="00B81CB8">
              <w:rPr>
                <w:rFonts w:ascii="Times New Roman" w:eastAsia="Times New Roman" w:hAnsi="Times New Roman" w:cs="Times New Roman"/>
                <w:iCs/>
                <w:sz w:val="24"/>
                <w:szCs w:val="24"/>
                <w:lang w:eastAsia="lv-LV"/>
              </w:rPr>
              <w:sym w:font="Symbol" w:char="F02D"/>
            </w:r>
            <w:r w:rsidRPr="00B81CB8">
              <w:rPr>
                <w:rFonts w:ascii="Times New Roman" w:eastAsia="Times New Roman" w:hAnsi="Times New Roman" w:cs="Times New Roman"/>
                <w:iCs/>
                <w:sz w:val="24"/>
                <w:szCs w:val="24"/>
                <w:lang w:eastAsia="lv-LV"/>
              </w:rPr>
              <w:t xml:space="preserve"> mērķis ir </w:t>
            </w:r>
            <w:r w:rsidRPr="00517D9A">
              <w:rPr>
                <w:rFonts w:ascii="Times New Roman" w:hAnsi="Times New Roman" w:cs="Times New Roman"/>
                <w:sz w:val="24"/>
                <w:szCs w:val="24"/>
              </w:rPr>
              <w:t xml:space="preserve">veicināt komercdarbības vides drošību, godīgu konkurenci un labprātīgu nodokļu saistību izpildi, un ņemot vērā, ka, sniedzot informāciju par faktiem, kas liecina par darījuma partnera (juridiskās personas) nodokļu riskiem, iespējams var skart šo darījumu partnera tiesības un likumiskās intereses, likumprojekta izstrādes procesā ir vērtēta paredzētā </w:t>
            </w:r>
            <w:r w:rsidRPr="00517D9A">
              <w:rPr>
                <w:rFonts w:ascii="Times New Roman" w:hAnsi="Times New Roman"/>
                <w:sz w:val="24"/>
                <w:szCs w:val="24"/>
              </w:rPr>
              <w:t xml:space="preserve">regulējuma atbilstība samērīguma principam, tajā skaitā, izvērtējot, vai minēto mērķi nevar sasniegt ar citiem, personas tiesību un likumisko interešu mazāk ierobežojošiem (saudzējošākiem) līdzekļiem, kā, piemēram, </w:t>
            </w:r>
            <w:r w:rsidRPr="00517D9A">
              <w:rPr>
                <w:rFonts w:ascii="Times New Roman" w:hAnsi="Times New Roman" w:cs="Times New Roman"/>
                <w:sz w:val="24"/>
                <w:szCs w:val="24"/>
              </w:rPr>
              <w:t xml:space="preserve">informācijas sniegšana tikai tad, ja to pieprasa nodokļu maksātājs, vai vispārīgas norādes sniegšana par darījuma partnera (juridiskās personas) nodokļu risku esību, detalizētu informāciju nesniedzot. </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Tiesu judikatūrā ir nostiprinājusies atziņa, ka tikai nodokļu maksātājs, kurš nezināja vai nevarēja zināt, ka attiecīgo darījumu piegādātājs bija iecerējis kā krāpšanu, vai cits darījums, kas ietilpst piegādes ķēdē pirms vai pēc nodokļa maksātāja veiktā darījuma, ir saistīts ar </w:t>
            </w:r>
            <w:r w:rsidR="000F63EF">
              <w:rPr>
                <w:rFonts w:ascii="Times New Roman" w:hAnsi="Times New Roman" w:cs="Times New Roman"/>
                <w:sz w:val="24"/>
                <w:szCs w:val="24"/>
              </w:rPr>
              <w:t>PVN</w:t>
            </w:r>
            <w:r w:rsidRPr="00517D9A">
              <w:rPr>
                <w:rFonts w:ascii="Times New Roman" w:hAnsi="Times New Roman" w:cs="Times New Roman"/>
                <w:sz w:val="24"/>
                <w:szCs w:val="24"/>
              </w:rPr>
              <w:t xml:space="preserve"> izkrāpšanu, nevar tikt sodīts ar priekšnodokļa atskaitīšanas tiesību atteikumu.</w:t>
            </w:r>
          </w:p>
          <w:p w:rsidR="00BB4098" w:rsidRPr="00517D9A" w:rsidRDefault="00BB4098" w:rsidP="00BB4098">
            <w:pPr>
              <w:pStyle w:val="NoSpacing"/>
              <w:ind w:firstLine="284"/>
              <w:jc w:val="both"/>
              <w:rPr>
                <w:rFonts w:ascii="Times New Roman" w:eastAsia="Times New Roman" w:hAnsi="Times New Roman" w:cs="Times New Roman"/>
                <w:sz w:val="24"/>
                <w:szCs w:val="24"/>
                <w:lang w:eastAsia="lv-LV"/>
              </w:rPr>
            </w:pPr>
            <w:r w:rsidRPr="00517D9A">
              <w:rPr>
                <w:rFonts w:ascii="Times New Roman" w:hAnsi="Times New Roman" w:cs="Times New Roman"/>
                <w:sz w:val="24"/>
                <w:szCs w:val="24"/>
              </w:rPr>
              <w:t xml:space="preserve">Ņemot vērā, ka nereti </w:t>
            </w:r>
            <w:r w:rsidRPr="00517D9A">
              <w:rPr>
                <w:rFonts w:ascii="Times New Roman" w:eastAsia="Times New Roman" w:hAnsi="Times New Roman"/>
                <w:sz w:val="24"/>
                <w:szCs w:val="24"/>
                <w:lang w:eastAsia="lv-LV"/>
              </w:rPr>
              <w:t xml:space="preserve">darījumu galvenais mērķis ir vienīgi fiskālu priekšrocību iegūšana, </w:t>
            </w:r>
            <w:r>
              <w:rPr>
                <w:rFonts w:ascii="Times New Roman" w:hAnsi="Times New Roman"/>
                <w:sz w:val="24"/>
                <w:szCs w:val="24"/>
              </w:rPr>
              <w:t>Eiropas Savienības T</w:t>
            </w:r>
            <w:r w:rsidRPr="00517D9A">
              <w:rPr>
                <w:rFonts w:ascii="Times New Roman" w:hAnsi="Times New Roman"/>
                <w:sz w:val="24"/>
                <w:szCs w:val="24"/>
              </w:rPr>
              <w:t xml:space="preserve">iesa ir atzinusi, ka prasība, lai tirgus dalībnieks veiktu visus pasākumus, ko no tā saprātīgi var pieprasīt, lai pārliecinātos, ka tā veiktās darbības nav saistītas ar dalību </w:t>
            </w:r>
            <w:r w:rsidRPr="00517D9A">
              <w:rPr>
                <w:rFonts w:ascii="Times New Roman" w:hAnsi="Times New Roman"/>
                <w:sz w:val="24"/>
                <w:szCs w:val="24"/>
              </w:rPr>
              <w:lastRenderedPageBreak/>
              <w:t>krāpšanā nodokļu jomā, nav pretrunā Eiropas Savienības tiesībām (</w:t>
            </w:r>
            <w:r w:rsidRPr="00517D9A">
              <w:rPr>
                <w:rFonts w:ascii="Times New Roman" w:hAnsi="Times New Roman"/>
                <w:i/>
                <w:iCs/>
                <w:sz w:val="24"/>
                <w:szCs w:val="24"/>
              </w:rPr>
              <w:t>sk. Eiropas Savienības Tiesas spriedums apvienotajās lietās C-80/11 un C-142/11, C-101/16</w:t>
            </w:r>
            <w:r w:rsidRPr="00517D9A">
              <w:rPr>
                <w:rFonts w:ascii="Times New Roman" w:hAnsi="Times New Roman"/>
                <w:sz w:val="24"/>
                <w:szCs w:val="24"/>
              </w:rPr>
              <w:t>). Tā kā pienākums pierādīt tiesības uz nodokļu atkāpi vai atbrīvojumu ir personai, kas vēlas šīs tiesības izmantot, iekļaujas Kopienu tiesībās noteiktajos ierobežojumos (</w:t>
            </w:r>
            <w:r w:rsidRPr="00517D9A">
              <w:rPr>
                <w:rFonts w:ascii="Times New Roman" w:hAnsi="Times New Roman"/>
                <w:i/>
                <w:iCs/>
                <w:sz w:val="24"/>
                <w:szCs w:val="24"/>
              </w:rPr>
              <w:t>sk. Eiropas Savienības Tiesas spriedumu lietā C</w:t>
            </w:r>
            <w:r w:rsidRPr="00517D9A">
              <w:rPr>
                <w:rFonts w:ascii="Times New Roman" w:hAnsi="Times New Roman"/>
                <w:i/>
                <w:iCs/>
                <w:sz w:val="24"/>
                <w:szCs w:val="24"/>
              </w:rPr>
              <w:noBreakHyphen/>
              <w:t>184/05</w:t>
            </w:r>
            <w:r w:rsidRPr="00517D9A">
              <w:rPr>
                <w:rFonts w:ascii="Times New Roman" w:hAnsi="Times New Roman"/>
                <w:sz w:val="24"/>
                <w:szCs w:val="24"/>
              </w:rPr>
              <w:t xml:space="preserve">), gadījumos, kad </w:t>
            </w:r>
            <w:r w:rsidRPr="00517D9A">
              <w:rPr>
                <w:rFonts w:ascii="Times New Roman" w:eastAsia="Times New Roman" w:hAnsi="Times New Roman"/>
                <w:sz w:val="24"/>
                <w:szCs w:val="24"/>
                <w:lang w:eastAsia="lv-LV"/>
              </w:rPr>
              <w:t xml:space="preserve">VID pamatoti apšauba, vai darījums faktiski ir noticis, </w:t>
            </w:r>
            <w:r w:rsidRPr="00517D9A">
              <w:rPr>
                <w:rFonts w:ascii="Times New Roman" w:eastAsia="Times New Roman" w:hAnsi="Times New Roman" w:cs="Times New Roman"/>
                <w:sz w:val="24"/>
                <w:szCs w:val="24"/>
                <w:lang w:eastAsia="lv-LV"/>
              </w:rPr>
              <w:t xml:space="preserve">reģistrētam </w:t>
            </w:r>
            <w:r w:rsidR="000F63EF">
              <w:rPr>
                <w:rFonts w:ascii="Times New Roman" w:eastAsia="Times New Roman" w:hAnsi="Times New Roman" w:cs="Times New Roman"/>
                <w:sz w:val="24"/>
                <w:szCs w:val="24"/>
                <w:lang w:eastAsia="lv-LV"/>
              </w:rPr>
              <w:t>PVN</w:t>
            </w:r>
            <w:r w:rsidRPr="00517D9A">
              <w:rPr>
                <w:rFonts w:ascii="Times New Roman" w:eastAsia="Times New Roman" w:hAnsi="Times New Roman" w:cs="Times New Roman"/>
                <w:sz w:val="24"/>
                <w:szCs w:val="24"/>
                <w:lang w:eastAsia="lv-LV"/>
              </w:rPr>
              <w:t xml:space="preserve"> maksātājam, kurš izmanto tiesības atskaitīt priekšnodokli, ir jāpierāda Pievienotās vērtības nodokļa likumā noteikto priekšnoteikumu esība, tajā skaitā tam jāspēj pierādīt, ka konkrētās preces vai pakalpojumi ir saņemti un izmantoti apliekamo darījumu nodrošināšanai.</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eastAsia="Times New Roman" w:hAnsi="Times New Roman" w:cs="Times New Roman"/>
                <w:sz w:val="24"/>
                <w:szCs w:val="24"/>
                <w:lang w:eastAsia="lv-LV"/>
              </w:rPr>
              <w:t xml:space="preserve">Konkrētajā gadījumā ir jāņem vērā, ka informācija tiks sniegta tikai par tiem darījumu partneriem, </w:t>
            </w:r>
            <w:r w:rsidRPr="00517D9A">
              <w:rPr>
                <w:rFonts w:ascii="Times New Roman" w:hAnsi="Times New Roman" w:cs="Times New Roman"/>
                <w:sz w:val="24"/>
                <w:szCs w:val="24"/>
              </w:rPr>
              <w:t xml:space="preserve">kuriem, veicot personas datu izvērtējumu nodokļu ieņēmumu riska jomā, VID ir konstatējis faktus, kas liecina par izvairīšanos no nodokļu maksāšanas. </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hAnsi="Times New Roman"/>
                <w:sz w:val="24"/>
                <w:szCs w:val="24"/>
              </w:rPr>
              <w:t xml:space="preserve">VID juridisko personu analīzē un nodokļu kontroles pasākumu atlasē izmanto datorizēto nodokļu maksātāju </w:t>
            </w:r>
            <w:r w:rsidRPr="00517D9A">
              <w:rPr>
                <w:rFonts w:ascii="Times New Roman" w:hAnsi="Times New Roman"/>
                <w:bCs/>
                <w:sz w:val="24"/>
                <w:szCs w:val="24"/>
              </w:rPr>
              <w:t>riska novērtēšanas sistēmu ESKORT</w:t>
            </w:r>
            <w:r w:rsidRPr="00517D9A">
              <w:rPr>
                <w:rFonts w:ascii="Times New Roman" w:hAnsi="Times New Roman"/>
                <w:sz w:val="24"/>
                <w:szCs w:val="24"/>
              </w:rPr>
              <w:t>, ar kuras palīdzību pēc noteiktiem riska kritērijiem tiek veikta riska analīze, un katrai izvērtētajai juridiskajai personai piešķirti riska punkti, kuru lielums raksturo</w:t>
            </w:r>
            <w:r>
              <w:rPr>
                <w:rFonts w:ascii="Times New Roman" w:hAnsi="Times New Roman"/>
                <w:sz w:val="24"/>
                <w:szCs w:val="24"/>
              </w:rPr>
              <w:t xml:space="preserve"> </w:t>
            </w:r>
            <w:r w:rsidRPr="00517D9A">
              <w:rPr>
                <w:rFonts w:ascii="Times New Roman" w:hAnsi="Times New Roman"/>
                <w:sz w:val="24"/>
                <w:szCs w:val="24"/>
              </w:rPr>
              <w:t xml:space="preserve">izvairīšanos no nodokļu </w:t>
            </w:r>
            <w:r w:rsidRPr="00517D9A">
              <w:rPr>
                <w:rFonts w:ascii="Times New Roman" w:hAnsi="Times New Roman" w:cs="Times New Roman"/>
                <w:sz w:val="24"/>
                <w:szCs w:val="24"/>
              </w:rPr>
              <w:t xml:space="preserve">aprēķināšanas riska pakāpi. </w:t>
            </w:r>
          </w:p>
          <w:p w:rsidR="00BB4098" w:rsidRPr="00517D9A" w:rsidRDefault="00BB4098" w:rsidP="00BB4098">
            <w:pPr>
              <w:pStyle w:val="NoSpacing"/>
              <w:ind w:firstLine="284"/>
              <w:jc w:val="both"/>
              <w:rPr>
                <w:rFonts w:ascii="Times New Roman" w:hAnsi="Times New Roman" w:cs="Times New Roman"/>
                <w:sz w:val="24"/>
                <w:szCs w:val="24"/>
              </w:rPr>
            </w:pPr>
            <w:r w:rsidRPr="00517D9A">
              <w:rPr>
                <w:rFonts w:ascii="Times New Roman" w:hAnsi="Times New Roman" w:cs="Times New Roman"/>
                <w:sz w:val="24"/>
                <w:szCs w:val="24"/>
              </w:rPr>
              <w:t xml:space="preserve">Tādējādi, konstatējot riskus, kas liecina par darījuma partnera iespējamo iesaistīšanos </w:t>
            </w:r>
            <w:r w:rsidR="000F63EF">
              <w:rPr>
                <w:rFonts w:ascii="Times New Roman" w:hAnsi="Times New Roman" w:cs="Times New Roman"/>
                <w:sz w:val="24"/>
                <w:szCs w:val="24"/>
              </w:rPr>
              <w:t>PVN</w:t>
            </w:r>
            <w:r w:rsidRPr="00517D9A">
              <w:rPr>
                <w:rFonts w:ascii="Times New Roman" w:hAnsi="Times New Roman" w:cs="Times New Roman"/>
                <w:sz w:val="24"/>
                <w:szCs w:val="24"/>
              </w:rPr>
              <w:t xml:space="preserve"> izkrāpšanā, VID var rasties pamatotas šaubas arī par nodokļu maksātāja tiesībām uz priekšnodokļa atskaitīšanas pamatotību un </w:t>
            </w:r>
            <w:r w:rsidR="000F63EF">
              <w:rPr>
                <w:rFonts w:ascii="Times New Roman" w:hAnsi="Times New Roman" w:cs="Times New Roman"/>
                <w:sz w:val="24"/>
                <w:szCs w:val="24"/>
              </w:rPr>
              <w:t>PVN</w:t>
            </w:r>
            <w:r w:rsidRPr="00517D9A">
              <w:rPr>
                <w:rFonts w:ascii="Times New Roman" w:hAnsi="Times New Roman" w:cs="Times New Roman"/>
                <w:sz w:val="24"/>
                <w:szCs w:val="24"/>
              </w:rPr>
              <w:t xml:space="preserve"> deklarācijā norādīto darījumu faktisko esību. Pamatotu šaubu gadījumā VID var veikt nodokļu revīziju (auditu), lai pārliecinātos par darījumu patiesumu un gadījumā, ja tā rīcībā ir pierādījumi par to, ka darījums reāli nav noticis, papildus aprēķināt nodokļus un uzlikt soda naudu.</w:t>
            </w:r>
          </w:p>
          <w:p w:rsidR="00BB4098" w:rsidRPr="00517D9A" w:rsidRDefault="00BB4098" w:rsidP="00BB4098">
            <w:pPr>
              <w:pStyle w:val="NoSpacing"/>
              <w:ind w:firstLine="284"/>
              <w:jc w:val="both"/>
              <w:rPr>
                <w:rFonts w:cs="Times New Roman"/>
                <w:szCs w:val="24"/>
              </w:rPr>
            </w:pPr>
            <w:r w:rsidRPr="00517D9A">
              <w:rPr>
                <w:rFonts w:ascii="Times New Roman" w:hAnsi="Times New Roman" w:cs="Times New Roman"/>
                <w:sz w:val="24"/>
                <w:szCs w:val="24"/>
              </w:rPr>
              <w:t xml:space="preserve">Tā kā nodokļu maksātāja rīcībā var nebūt šāda veida informācija, ka VID tā darījuma partneri vērtē kā riskantu, tiesiskais risinājums, kas paredz, ka VID informēs nodokļu maksātāju par faktiem, kas liecina par darījuma partnera (juridiskās personas) nodokļu riskiem tikai pēc tam, kad to ir pieprasījis pats nodokļu maksātājs, nesasniegtu plānotā regulējuma mērķi, jo šajā gadījumā ir nepieciešama aktīva nodokļu maksātāja darbība </w:t>
            </w:r>
            <w:r w:rsidRPr="00B81CB8">
              <w:rPr>
                <w:rFonts w:ascii="Times New Roman" w:hAnsi="Times New Roman" w:cs="Times New Roman"/>
                <w:sz w:val="24"/>
                <w:szCs w:val="24"/>
              </w:rPr>
              <w:sym w:font="Symbol" w:char="F02D"/>
            </w:r>
            <w:r w:rsidRPr="00B81CB8">
              <w:rPr>
                <w:rFonts w:ascii="Times New Roman" w:hAnsi="Times New Roman" w:cs="Times New Roman"/>
                <w:sz w:val="24"/>
                <w:szCs w:val="24"/>
              </w:rPr>
              <w:t xml:space="preserve"> pirms katra plānotā</w:t>
            </w:r>
            <w:r w:rsidRPr="00517D9A">
              <w:rPr>
                <w:rFonts w:ascii="Times New Roman" w:hAnsi="Times New Roman" w:cs="Times New Roman"/>
                <w:sz w:val="24"/>
                <w:szCs w:val="24"/>
              </w:rPr>
              <w:t xml:space="preserve"> darījuma pieprasīt informāciju par katru darījuma partneri. Savukārt, paļaujoties, ka papildus veiktajiem pasākumiem darījuma partnera uzticamības pārbaudei, nodokļu maksātājs var tikt informēts no VID puses par tā darījuma partneri (juridisko personu), kura darbībā atbilstoši VID veiktajam personas datu izvērtējumam nodokļu ieņēmumu riska jomā ir konstatēti fakti, kas liecina par izvairīšanos no nodokļu </w:t>
            </w:r>
            <w:r w:rsidRPr="00517D9A">
              <w:rPr>
                <w:rFonts w:ascii="Times New Roman" w:hAnsi="Times New Roman" w:cs="Times New Roman"/>
                <w:sz w:val="24"/>
                <w:szCs w:val="24"/>
              </w:rPr>
              <w:lastRenderedPageBreak/>
              <w:t>maksāšanas, nenoliedzami uzlabos komercdarbības vides drošību, godīgu konkurenci un labprātīgu nodokļu saistību izpildi, jo tiks efektīvi uzlabota ne tikai nodokļu maksātāja un sadarbības partnera (gadījumos, kad tas vēlēsies arī  turpmāk sadarboties ar nodokļu maksātāju, tādējādi mainot savu uzvedību) godprātīga nodokļu nomaksa (proti, ne tikai izvērtējot deklarētos darījumus, bet arī izvērtējot turpmāko sadarbību ar konkrēto darījuma partneri), bet arī uzlabots VID tēls kopumā, ņemot vērā, ka šajā gadījumā tiks veikti nevis nodokļu kontroles pasākumi (kas var nodokļu maksātājam radīt negatīvas sajūtas), bet gan veicināta konstruktīva sadarbība starp nodokļu maksātāju un nodokļu administrāciju.</w:t>
            </w:r>
          </w:p>
          <w:p w:rsidR="00BB4098" w:rsidRPr="00517D9A" w:rsidRDefault="00BB4098" w:rsidP="00BB4098">
            <w:pPr>
              <w:pStyle w:val="NoSpacing"/>
              <w:ind w:firstLine="284"/>
              <w:jc w:val="both"/>
              <w:rPr>
                <w:rFonts w:ascii="Times New Roman" w:eastAsia="Times New Roman" w:hAnsi="Times New Roman" w:cs="Times New Roman"/>
                <w:b/>
                <w:i/>
                <w:iCs/>
                <w:sz w:val="24"/>
                <w:szCs w:val="24"/>
                <w:lang w:eastAsia="lv-LV"/>
              </w:rPr>
            </w:pPr>
            <w:r w:rsidRPr="00517D9A">
              <w:rPr>
                <w:rFonts w:ascii="Times New Roman" w:hAnsi="Times New Roman" w:cs="Times New Roman"/>
                <w:sz w:val="24"/>
                <w:szCs w:val="24"/>
              </w:rPr>
              <w:t>Savukārt, lai nodokļu maksātājs varētu pilnvērtīgi novērtēt darījuma partnera uzticamību un noteiktu darījuma risku, kā arī atbildīgi pieņemtu lēmumu par darījuma veikšanu vai atteikšanos no tā, nodokļu maksātāja rīcībā būtu jābūt pēc iespējas pilnīgākai informācijai par VID konstatētajiem faktiem, kas liecina par darījuma partnera nodokļu riskiem. Pretējā gadījumā, neiegūstot pilnīgu informāciju, ir apgrūtināta nodokļu maksātāja iespēja izvērtēt, kādus riska elementus sevī ietver darījums, kurā tas iesaistās. Tādējādi, vispārīgas norādes sniegšana par darījuma partnera (juridiskās personas) nodokļu risku esību (detalizētu informāciju nesniedzot) šajā gadījumā plānotā regulējuma mērķa sasniegšanu nenodrošinātu.</w:t>
            </w:r>
          </w:p>
          <w:p w:rsidR="00BB4098" w:rsidRPr="00BB4098" w:rsidRDefault="00BB4098" w:rsidP="00BB4098">
            <w:pPr>
              <w:pStyle w:val="NoSpacing"/>
              <w:ind w:firstLine="284"/>
              <w:jc w:val="both"/>
              <w:rPr>
                <w:rFonts w:ascii="Times New Roman" w:eastAsia="Times New Roman" w:hAnsi="Times New Roman" w:cs="Times New Roman"/>
                <w:b/>
                <w:i/>
                <w:iCs/>
                <w:sz w:val="24"/>
                <w:szCs w:val="24"/>
                <w:lang w:eastAsia="lv-LV"/>
              </w:rPr>
            </w:pPr>
            <w:r>
              <w:rPr>
                <w:rFonts w:ascii="Times New Roman" w:eastAsia="Times New Roman" w:hAnsi="Times New Roman" w:cs="Times New Roman"/>
                <w:b/>
                <w:i/>
                <w:sz w:val="24"/>
                <w:szCs w:val="24"/>
                <w:lang w:eastAsia="lv-LV"/>
              </w:rPr>
              <w:t>2</w:t>
            </w:r>
            <w:r w:rsidRPr="00BB4098">
              <w:rPr>
                <w:rFonts w:ascii="Times New Roman" w:eastAsia="Times New Roman" w:hAnsi="Times New Roman" w:cs="Times New Roman"/>
                <w:b/>
                <w:i/>
                <w:sz w:val="24"/>
                <w:szCs w:val="24"/>
                <w:lang w:eastAsia="lv-LV"/>
              </w:rPr>
              <w:t xml:space="preserve">.  Attiecībā uz </w:t>
            </w:r>
            <w:r w:rsidRPr="00BB4098">
              <w:rPr>
                <w:rFonts w:ascii="Times New Roman" w:hAnsi="Times New Roman" w:cs="Times New Roman"/>
                <w:b/>
                <w:i/>
                <w:sz w:val="24"/>
                <w:szCs w:val="24"/>
              </w:rPr>
              <w:t>valdes locekļu atbildības pilnveidošanu</w:t>
            </w:r>
          </w:p>
          <w:p w:rsidR="007E7A3E" w:rsidRDefault="00BB4098" w:rsidP="007E7A3E">
            <w:pPr>
              <w:tabs>
                <w:tab w:val="left" w:pos="2127"/>
                <w:tab w:val="left" w:pos="6096"/>
              </w:tabs>
              <w:ind w:firstLine="284"/>
              <w:jc w:val="both"/>
              <w:rPr>
                <w:rFonts w:eastAsia="Times New Roman"/>
                <w:szCs w:val="24"/>
                <w:lang w:eastAsia="lv-LV"/>
              </w:rPr>
            </w:pPr>
            <w:r>
              <w:rPr>
                <w:rFonts w:eastAsia="Times New Roman"/>
                <w:szCs w:val="24"/>
                <w:lang w:eastAsia="lv-LV"/>
              </w:rPr>
              <w:t>S</w:t>
            </w:r>
            <w:r w:rsidR="007E7A3E" w:rsidRPr="007E7A3E">
              <w:rPr>
                <w:rFonts w:eastAsia="Times New Roman"/>
                <w:szCs w:val="24"/>
                <w:lang w:eastAsia="lv-LV"/>
              </w:rPr>
              <w:t>askaņā ar likum</w:t>
            </w:r>
            <w:r w:rsidR="0091754F">
              <w:rPr>
                <w:rFonts w:eastAsia="Times New Roman"/>
                <w:szCs w:val="24"/>
                <w:lang w:eastAsia="lv-LV"/>
              </w:rPr>
              <w:t>a “Par nodokļiem un nodevām” XI </w:t>
            </w:r>
            <w:r w:rsidR="007E7A3E" w:rsidRPr="007E7A3E">
              <w:rPr>
                <w:rFonts w:eastAsia="Times New Roman"/>
                <w:szCs w:val="24"/>
                <w:lang w:eastAsia="lv-LV"/>
              </w:rPr>
              <w:t>nodaļas “Juridiskās personas nokavēto nodokļu maksājumu atlīdzināšana” regulējumu, kas stājās spēkā 2015. gada 1. janvārī, VID ir tiesības uzsākt procesu par juridiskās personas nokavēto nodokļu maksājumu atlīdzināšanu budžetam no personas, kura ir bijusi šīs juridiskās personas valdes loceklis laikā, kad attiecīgie nokavētie nodo</w:t>
            </w:r>
            <w:r w:rsidR="0091754F">
              <w:rPr>
                <w:rFonts w:eastAsia="Times New Roman"/>
                <w:szCs w:val="24"/>
                <w:lang w:eastAsia="lv-LV"/>
              </w:rPr>
              <w:t>kļu maksājumi ir izveidojušies.</w:t>
            </w:r>
          </w:p>
          <w:p w:rsidR="007E7A3E" w:rsidRDefault="007E7A3E" w:rsidP="007E7A3E">
            <w:pPr>
              <w:tabs>
                <w:tab w:val="left" w:pos="2127"/>
                <w:tab w:val="left" w:pos="6096"/>
              </w:tabs>
              <w:ind w:firstLine="284"/>
              <w:jc w:val="both"/>
              <w:rPr>
                <w:rFonts w:eastAsia="Times New Roman"/>
                <w:szCs w:val="24"/>
                <w:lang w:eastAsia="lv-LV"/>
              </w:rPr>
            </w:pPr>
            <w:r>
              <w:rPr>
                <w:rFonts w:eastAsia="Times New Roman"/>
                <w:szCs w:val="24"/>
                <w:lang w:eastAsia="lv-LV"/>
              </w:rPr>
              <w:t>Atbilstoši VID sniegtajai statistikai</w:t>
            </w:r>
            <w:r w:rsidRPr="007E7A3E">
              <w:rPr>
                <w:rFonts w:eastAsia="Times New Roman"/>
                <w:szCs w:val="24"/>
                <w:lang w:eastAsia="lv-LV"/>
              </w:rPr>
              <w:t xml:space="preserve"> no brīža, kad stājās spēkā likum</w:t>
            </w:r>
            <w:r w:rsidR="0091754F">
              <w:rPr>
                <w:rFonts w:eastAsia="Times New Roman"/>
                <w:szCs w:val="24"/>
                <w:lang w:eastAsia="lv-LV"/>
              </w:rPr>
              <w:t>a “Par nodokļiem un nodevām” XI </w:t>
            </w:r>
            <w:r w:rsidRPr="007E7A3E">
              <w:rPr>
                <w:rFonts w:eastAsia="Times New Roman"/>
                <w:szCs w:val="24"/>
                <w:lang w:eastAsia="lv-LV"/>
              </w:rPr>
              <w:t>nodaļas regulējums</w:t>
            </w:r>
            <w:r>
              <w:rPr>
                <w:rFonts w:eastAsia="Times New Roman"/>
                <w:szCs w:val="24"/>
                <w:lang w:eastAsia="lv-LV"/>
              </w:rPr>
              <w:t xml:space="preserve"> (</w:t>
            </w:r>
            <w:r w:rsidRPr="007E7A3E">
              <w:rPr>
                <w:rFonts w:eastAsia="Times New Roman"/>
                <w:szCs w:val="24"/>
                <w:lang w:eastAsia="lv-LV"/>
              </w:rPr>
              <w:t>tas ir, četru gadu</w:t>
            </w:r>
            <w:r w:rsidR="002132E5">
              <w:rPr>
                <w:rFonts w:eastAsia="Times New Roman"/>
                <w:szCs w:val="24"/>
                <w:lang w:eastAsia="lv-LV"/>
              </w:rPr>
              <w:t xml:space="preserve"> un sešu mēnešu</w:t>
            </w:r>
            <w:r w:rsidRPr="007E7A3E">
              <w:rPr>
                <w:rFonts w:eastAsia="Times New Roman"/>
                <w:szCs w:val="24"/>
                <w:lang w:eastAsia="lv-LV"/>
              </w:rPr>
              <w:t xml:space="preserve"> laikā</w:t>
            </w:r>
            <w:r>
              <w:rPr>
                <w:rFonts w:eastAsia="Times New Roman"/>
                <w:szCs w:val="24"/>
                <w:lang w:eastAsia="lv-LV"/>
              </w:rPr>
              <w:t>)</w:t>
            </w:r>
            <w:r w:rsidRPr="007E7A3E">
              <w:rPr>
                <w:rFonts w:eastAsia="Times New Roman"/>
                <w:szCs w:val="24"/>
                <w:lang w:eastAsia="lv-LV"/>
              </w:rPr>
              <w:t xml:space="preserve"> ir konstatēt</w:t>
            </w:r>
            <w:r w:rsidR="004D47C7">
              <w:rPr>
                <w:rFonts w:eastAsia="Times New Roman"/>
                <w:szCs w:val="24"/>
                <w:lang w:eastAsia="lv-LV"/>
              </w:rPr>
              <w:t>i</w:t>
            </w:r>
            <w:r w:rsidRPr="007E7A3E">
              <w:rPr>
                <w:rFonts w:eastAsia="Times New Roman"/>
                <w:szCs w:val="24"/>
                <w:lang w:eastAsia="lv-LV"/>
              </w:rPr>
              <w:t xml:space="preserve"> tikai </w:t>
            </w:r>
            <w:r w:rsidR="002132E5">
              <w:rPr>
                <w:rFonts w:eastAsia="Times New Roman"/>
                <w:szCs w:val="24"/>
                <w:lang w:eastAsia="lv-LV"/>
              </w:rPr>
              <w:t>četri</w:t>
            </w:r>
            <w:r w:rsidR="002132E5" w:rsidRPr="007E7A3E">
              <w:rPr>
                <w:rFonts w:eastAsia="Times New Roman"/>
                <w:szCs w:val="24"/>
                <w:lang w:eastAsia="lv-LV"/>
              </w:rPr>
              <w:t xml:space="preserve"> </w:t>
            </w:r>
            <w:r w:rsidRPr="007E7A3E">
              <w:rPr>
                <w:rFonts w:eastAsia="Times New Roman"/>
                <w:szCs w:val="24"/>
                <w:lang w:eastAsia="lv-LV"/>
              </w:rPr>
              <w:t>gadījum</w:t>
            </w:r>
            <w:r w:rsidR="004D47C7">
              <w:rPr>
                <w:rFonts w:eastAsia="Times New Roman"/>
                <w:szCs w:val="24"/>
                <w:lang w:eastAsia="lv-LV"/>
              </w:rPr>
              <w:t>i</w:t>
            </w:r>
            <w:r w:rsidRPr="007E7A3E">
              <w:rPr>
                <w:rFonts w:eastAsia="Times New Roman"/>
                <w:szCs w:val="24"/>
                <w:lang w:eastAsia="lv-LV"/>
              </w:rPr>
              <w:t>, kad ir bijis pamats pieņemt lēmumu par komercsabiedrības nokavēto nodokļu maksājumu atlīdzināšanu budžetam no personas, kura ir bijusi šīs juridiskās personas valdes loceklis laikā, kad attiecīgie nokavētie nodokļu maksājumi ir izveidojušies (turpmāk – lēmums par nokavēto nodokļu maksājumu atlīdzināšanu).</w:t>
            </w:r>
          </w:p>
          <w:p w:rsidR="002132E5" w:rsidRPr="007E7A3E" w:rsidRDefault="002132E5" w:rsidP="007E7A3E">
            <w:pPr>
              <w:tabs>
                <w:tab w:val="left" w:pos="2127"/>
                <w:tab w:val="left" w:pos="6096"/>
              </w:tabs>
              <w:ind w:firstLine="284"/>
              <w:jc w:val="both"/>
              <w:rPr>
                <w:rFonts w:eastAsia="Times New Roman"/>
                <w:szCs w:val="24"/>
                <w:lang w:eastAsia="lv-LV"/>
              </w:rPr>
            </w:pPr>
          </w:p>
          <w:tbl>
            <w:tblPr>
              <w:tblStyle w:val="TableGrid"/>
              <w:tblW w:w="0" w:type="auto"/>
              <w:tblLook w:val="04A0" w:firstRow="1" w:lastRow="0" w:firstColumn="1" w:lastColumn="0" w:noHBand="0" w:noVBand="1"/>
            </w:tblPr>
            <w:tblGrid>
              <w:gridCol w:w="1226"/>
              <w:gridCol w:w="791"/>
              <w:gridCol w:w="616"/>
              <w:gridCol w:w="616"/>
              <w:gridCol w:w="616"/>
              <w:gridCol w:w="1017"/>
              <w:gridCol w:w="794"/>
            </w:tblGrid>
            <w:tr w:rsidR="002132E5" w:rsidRPr="003D4C17" w:rsidTr="00D67692">
              <w:tc>
                <w:tcPr>
                  <w:tcW w:w="1051"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Veiktā darbība</w:t>
                  </w:r>
                </w:p>
              </w:tc>
              <w:tc>
                <w:tcPr>
                  <w:tcW w:w="791"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2015</w:t>
                  </w:r>
                </w:p>
                <w:p w:rsidR="002132E5" w:rsidRPr="002132E5" w:rsidRDefault="002132E5" w:rsidP="007E7A3E">
                  <w:pPr>
                    <w:tabs>
                      <w:tab w:val="left" w:pos="2127"/>
                      <w:tab w:val="left" w:pos="6096"/>
                    </w:tabs>
                    <w:jc w:val="both"/>
                    <w:rPr>
                      <w:rFonts w:eastAsia="Times New Roman"/>
                      <w:sz w:val="16"/>
                      <w:szCs w:val="16"/>
                      <w:lang w:eastAsia="lv-LV"/>
                    </w:rPr>
                  </w:pPr>
                  <w:r w:rsidRPr="002132E5">
                    <w:rPr>
                      <w:rFonts w:eastAsia="Times New Roman"/>
                      <w:sz w:val="16"/>
                      <w:szCs w:val="16"/>
                      <w:lang w:eastAsia="lv-LV"/>
                    </w:rPr>
                    <w:t>(gads)</w:t>
                  </w:r>
                </w:p>
              </w:tc>
              <w:tc>
                <w:tcPr>
                  <w:tcW w:w="616"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2016</w:t>
                  </w:r>
                </w:p>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sz w:val="16"/>
                      <w:szCs w:val="16"/>
                      <w:lang w:eastAsia="lv-LV"/>
                    </w:rPr>
                    <w:t>(gads)</w:t>
                  </w:r>
                </w:p>
              </w:tc>
              <w:tc>
                <w:tcPr>
                  <w:tcW w:w="616"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2017</w:t>
                  </w:r>
                </w:p>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sz w:val="16"/>
                      <w:szCs w:val="16"/>
                      <w:lang w:eastAsia="lv-LV"/>
                    </w:rPr>
                    <w:t>(gads)</w:t>
                  </w:r>
                </w:p>
              </w:tc>
              <w:tc>
                <w:tcPr>
                  <w:tcW w:w="616"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2018</w:t>
                  </w:r>
                </w:p>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sz w:val="16"/>
                      <w:szCs w:val="16"/>
                      <w:lang w:eastAsia="lv-LV"/>
                    </w:rPr>
                    <w:t>(gads)</w:t>
                  </w:r>
                </w:p>
              </w:tc>
              <w:tc>
                <w:tcPr>
                  <w:tcW w:w="1017" w:type="dxa"/>
                </w:tcPr>
                <w:p w:rsidR="002132E5" w:rsidRDefault="002132E5" w:rsidP="007E7A3E">
                  <w:pPr>
                    <w:tabs>
                      <w:tab w:val="left" w:pos="2127"/>
                      <w:tab w:val="left" w:pos="6096"/>
                    </w:tabs>
                    <w:jc w:val="both"/>
                    <w:rPr>
                      <w:rFonts w:eastAsia="Times New Roman"/>
                      <w:b/>
                      <w:sz w:val="16"/>
                      <w:szCs w:val="16"/>
                      <w:lang w:eastAsia="lv-LV"/>
                    </w:rPr>
                  </w:pPr>
                  <w:r>
                    <w:rPr>
                      <w:rFonts w:eastAsia="Times New Roman"/>
                      <w:b/>
                      <w:sz w:val="16"/>
                      <w:szCs w:val="16"/>
                      <w:lang w:eastAsia="lv-LV"/>
                    </w:rPr>
                    <w:t>2019</w:t>
                  </w:r>
                </w:p>
                <w:p w:rsidR="002132E5" w:rsidRPr="002132E5" w:rsidRDefault="002132E5" w:rsidP="007E7A3E">
                  <w:pPr>
                    <w:tabs>
                      <w:tab w:val="left" w:pos="2127"/>
                      <w:tab w:val="left" w:pos="6096"/>
                    </w:tabs>
                    <w:jc w:val="both"/>
                    <w:rPr>
                      <w:rFonts w:eastAsia="Times New Roman"/>
                      <w:b/>
                      <w:sz w:val="16"/>
                      <w:szCs w:val="16"/>
                      <w:lang w:eastAsia="lv-LV"/>
                    </w:rPr>
                  </w:pPr>
                  <w:r>
                    <w:rPr>
                      <w:rFonts w:eastAsia="Times New Roman"/>
                      <w:b/>
                      <w:sz w:val="16"/>
                      <w:szCs w:val="16"/>
                      <w:lang w:eastAsia="lv-LV"/>
                    </w:rPr>
                    <w:t>(I  pusgads)</w:t>
                  </w:r>
                </w:p>
              </w:tc>
              <w:tc>
                <w:tcPr>
                  <w:tcW w:w="794" w:type="dxa"/>
                </w:tcPr>
                <w:p w:rsidR="002132E5" w:rsidRPr="002132E5" w:rsidRDefault="002132E5" w:rsidP="007E7A3E">
                  <w:pPr>
                    <w:tabs>
                      <w:tab w:val="left" w:pos="2127"/>
                      <w:tab w:val="left" w:pos="6096"/>
                    </w:tabs>
                    <w:jc w:val="both"/>
                    <w:rPr>
                      <w:rFonts w:eastAsia="Times New Roman"/>
                      <w:b/>
                      <w:sz w:val="16"/>
                      <w:szCs w:val="16"/>
                      <w:lang w:eastAsia="lv-LV"/>
                    </w:rPr>
                  </w:pPr>
                  <w:r w:rsidRPr="002132E5">
                    <w:rPr>
                      <w:rFonts w:eastAsia="Times New Roman"/>
                      <w:b/>
                      <w:sz w:val="16"/>
                      <w:szCs w:val="16"/>
                      <w:lang w:eastAsia="lv-LV"/>
                    </w:rPr>
                    <w:t>Pavisam kopā</w:t>
                  </w:r>
                </w:p>
              </w:tc>
            </w:tr>
            <w:tr w:rsidR="002132E5" w:rsidRPr="003D4C17" w:rsidTr="00D67692">
              <w:tc>
                <w:tcPr>
                  <w:tcW w:w="1051" w:type="dxa"/>
                </w:tcPr>
                <w:p w:rsidR="002132E5" w:rsidRPr="003D4C17" w:rsidRDefault="002132E5" w:rsidP="003D4C17">
                  <w:pPr>
                    <w:tabs>
                      <w:tab w:val="left" w:pos="2127"/>
                      <w:tab w:val="left" w:pos="6096"/>
                    </w:tabs>
                    <w:jc w:val="both"/>
                    <w:rPr>
                      <w:rFonts w:eastAsia="Times New Roman"/>
                      <w:sz w:val="18"/>
                      <w:szCs w:val="18"/>
                      <w:lang w:eastAsia="lv-LV"/>
                    </w:rPr>
                  </w:pPr>
                  <w:r w:rsidRPr="003D4C17">
                    <w:rPr>
                      <w:rFonts w:eastAsia="Times New Roman"/>
                      <w:sz w:val="18"/>
                      <w:szCs w:val="18"/>
                      <w:lang w:eastAsia="lv-LV"/>
                    </w:rPr>
                    <w:t>Izvērtēta atbilstība – ir uzsākts process</w:t>
                  </w:r>
                </w:p>
              </w:tc>
              <w:tc>
                <w:tcPr>
                  <w:tcW w:w="791"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1017" w:type="dxa"/>
                </w:tcPr>
                <w:p w:rsidR="002132E5"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10</w:t>
                  </w:r>
                </w:p>
              </w:tc>
              <w:tc>
                <w:tcPr>
                  <w:tcW w:w="794"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12</w:t>
                  </w:r>
                </w:p>
              </w:tc>
            </w:tr>
            <w:tr w:rsidR="002132E5" w:rsidRPr="003D4C17" w:rsidTr="00D67692">
              <w:tc>
                <w:tcPr>
                  <w:tcW w:w="1051" w:type="dxa"/>
                </w:tcPr>
                <w:p w:rsidR="002132E5" w:rsidRPr="003D4C17" w:rsidRDefault="002132E5" w:rsidP="007E7A3E">
                  <w:pPr>
                    <w:tabs>
                      <w:tab w:val="left" w:pos="2127"/>
                      <w:tab w:val="left" w:pos="6096"/>
                    </w:tabs>
                    <w:jc w:val="both"/>
                    <w:rPr>
                      <w:rFonts w:eastAsia="Times New Roman"/>
                      <w:sz w:val="18"/>
                      <w:szCs w:val="18"/>
                      <w:lang w:eastAsia="lv-LV"/>
                    </w:rPr>
                  </w:pPr>
                  <w:r w:rsidRPr="003D4C17">
                    <w:rPr>
                      <w:rFonts w:eastAsia="Times New Roman"/>
                      <w:sz w:val="18"/>
                      <w:szCs w:val="18"/>
                      <w:lang w:eastAsia="lv-LV"/>
                    </w:rPr>
                    <w:lastRenderedPageBreak/>
                    <w:t>Izvērtēta atbilstība – nav uzsākts process</w:t>
                  </w:r>
                </w:p>
              </w:tc>
              <w:tc>
                <w:tcPr>
                  <w:tcW w:w="791"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66</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187</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353</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407</w:t>
                  </w:r>
                </w:p>
              </w:tc>
              <w:tc>
                <w:tcPr>
                  <w:tcW w:w="1017" w:type="dxa"/>
                </w:tcPr>
                <w:p w:rsidR="002132E5"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240</w:t>
                  </w:r>
                </w:p>
              </w:tc>
              <w:tc>
                <w:tcPr>
                  <w:tcW w:w="794" w:type="dxa"/>
                </w:tcPr>
                <w:p w:rsidR="002132E5" w:rsidRPr="003D4C17" w:rsidRDefault="007A4841" w:rsidP="007E7A3E">
                  <w:pPr>
                    <w:tabs>
                      <w:tab w:val="left" w:pos="2127"/>
                      <w:tab w:val="left" w:pos="6096"/>
                    </w:tabs>
                    <w:jc w:val="both"/>
                    <w:rPr>
                      <w:rFonts w:eastAsia="Times New Roman"/>
                      <w:sz w:val="18"/>
                      <w:szCs w:val="18"/>
                      <w:lang w:eastAsia="lv-LV"/>
                    </w:rPr>
                  </w:pPr>
                  <w:r>
                    <w:rPr>
                      <w:rFonts w:eastAsia="Times New Roman"/>
                      <w:sz w:val="18"/>
                      <w:szCs w:val="18"/>
                      <w:lang w:eastAsia="lv-LV"/>
                    </w:rPr>
                    <w:t>1253</w:t>
                  </w:r>
                </w:p>
              </w:tc>
            </w:tr>
            <w:tr w:rsidR="002132E5" w:rsidRPr="003D4C17" w:rsidTr="00D67692">
              <w:tc>
                <w:tcPr>
                  <w:tcW w:w="1051" w:type="dxa"/>
                </w:tcPr>
                <w:p w:rsidR="002132E5" w:rsidRPr="003D4C17" w:rsidRDefault="002132E5" w:rsidP="003D4C17">
                  <w:pPr>
                    <w:tabs>
                      <w:tab w:val="left" w:pos="2127"/>
                      <w:tab w:val="left" w:pos="6096"/>
                    </w:tabs>
                    <w:jc w:val="both"/>
                    <w:rPr>
                      <w:rFonts w:eastAsia="Times New Roman"/>
                      <w:sz w:val="18"/>
                      <w:szCs w:val="18"/>
                      <w:lang w:eastAsia="lv-LV"/>
                    </w:rPr>
                  </w:pPr>
                  <w:r w:rsidRPr="003D4C17">
                    <w:rPr>
                      <w:rFonts w:eastAsia="Times New Roman"/>
                      <w:sz w:val="18"/>
                      <w:szCs w:val="18"/>
                      <w:lang w:eastAsia="lv-LV"/>
                    </w:rPr>
                    <w:t>Brīdinājums par atlīdzināšanu</w:t>
                  </w:r>
                </w:p>
              </w:tc>
              <w:tc>
                <w:tcPr>
                  <w:tcW w:w="791"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1017" w:type="dxa"/>
                </w:tcPr>
                <w:p w:rsidR="002132E5"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10</w:t>
                  </w:r>
                </w:p>
              </w:tc>
              <w:tc>
                <w:tcPr>
                  <w:tcW w:w="794"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12</w:t>
                  </w:r>
                </w:p>
              </w:tc>
            </w:tr>
            <w:tr w:rsidR="002132E5" w:rsidRPr="003D4C17" w:rsidTr="00D67692">
              <w:tc>
                <w:tcPr>
                  <w:tcW w:w="1051" w:type="dxa"/>
                </w:tcPr>
                <w:p w:rsidR="002132E5" w:rsidRPr="003D4C17" w:rsidRDefault="002132E5" w:rsidP="003D4C17">
                  <w:pPr>
                    <w:tabs>
                      <w:tab w:val="left" w:pos="2127"/>
                      <w:tab w:val="left" w:pos="6096"/>
                    </w:tabs>
                    <w:jc w:val="both"/>
                    <w:rPr>
                      <w:rFonts w:eastAsia="Times New Roman"/>
                      <w:sz w:val="18"/>
                      <w:szCs w:val="18"/>
                      <w:lang w:eastAsia="lv-LV"/>
                    </w:rPr>
                  </w:pPr>
                  <w:r w:rsidRPr="003D4C17">
                    <w:rPr>
                      <w:rFonts w:eastAsia="Times New Roman"/>
                      <w:sz w:val="18"/>
                      <w:szCs w:val="18"/>
                      <w:lang w:eastAsia="lv-LV"/>
                    </w:rPr>
                    <w:t>Lēmums</w:t>
                  </w:r>
                  <w:r>
                    <w:rPr>
                      <w:rFonts w:eastAsia="Times New Roman"/>
                      <w:sz w:val="18"/>
                      <w:szCs w:val="18"/>
                      <w:lang w:eastAsia="lv-LV"/>
                    </w:rPr>
                    <w:t xml:space="preserve"> </w:t>
                  </w:r>
                  <w:r w:rsidRPr="003D4C17">
                    <w:rPr>
                      <w:rFonts w:eastAsia="Times New Roman"/>
                      <w:sz w:val="18"/>
                      <w:szCs w:val="18"/>
                      <w:lang w:eastAsia="lv-LV"/>
                    </w:rPr>
                    <w:t>par nokavēto nodokļu maksājumu atlīdzināšanu</w:t>
                  </w:r>
                </w:p>
              </w:tc>
              <w:tc>
                <w:tcPr>
                  <w:tcW w:w="791"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1017" w:type="dxa"/>
                </w:tcPr>
                <w:p w:rsidR="002132E5"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3</w:t>
                  </w:r>
                </w:p>
              </w:tc>
              <w:tc>
                <w:tcPr>
                  <w:tcW w:w="794"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4</w:t>
                  </w:r>
                </w:p>
              </w:tc>
            </w:tr>
            <w:tr w:rsidR="002132E5" w:rsidRPr="003D4C17" w:rsidTr="00D67692">
              <w:tc>
                <w:tcPr>
                  <w:tcW w:w="1051" w:type="dxa"/>
                </w:tcPr>
                <w:p w:rsidR="002132E5" w:rsidRPr="003D4C17" w:rsidRDefault="002132E5" w:rsidP="007E7A3E">
                  <w:pPr>
                    <w:tabs>
                      <w:tab w:val="left" w:pos="2127"/>
                      <w:tab w:val="left" w:pos="6096"/>
                    </w:tabs>
                    <w:jc w:val="both"/>
                    <w:rPr>
                      <w:rFonts w:eastAsia="Times New Roman"/>
                      <w:sz w:val="18"/>
                      <w:szCs w:val="18"/>
                      <w:lang w:eastAsia="lv-LV"/>
                    </w:rPr>
                  </w:pPr>
                  <w:r w:rsidRPr="003D4C17">
                    <w:rPr>
                      <w:sz w:val="18"/>
                      <w:szCs w:val="18"/>
                    </w:rPr>
                    <w:t>Izbeigts atlīdzināšanas process</w:t>
                  </w:r>
                </w:p>
              </w:tc>
              <w:tc>
                <w:tcPr>
                  <w:tcW w:w="791"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0</w:t>
                  </w:r>
                </w:p>
              </w:tc>
              <w:tc>
                <w:tcPr>
                  <w:tcW w:w="616"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1</w:t>
                  </w:r>
                </w:p>
              </w:tc>
              <w:tc>
                <w:tcPr>
                  <w:tcW w:w="1017" w:type="dxa"/>
                </w:tcPr>
                <w:p w:rsidR="002132E5"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2</w:t>
                  </w:r>
                </w:p>
              </w:tc>
              <w:tc>
                <w:tcPr>
                  <w:tcW w:w="794" w:type="dxa"/>
                </w:tcPr>
                <w:p w:rsidR="002132E5" w:rsidRPr="003D4C17" w:rsidRDefault="002132E5" w:rsidP="007E7A3E">
                  <w:pPr>
                    <w:tabs>
                      <w:tab w:val="left" w:pos="2127"/>
                      <w:tab w:val="left" w:pos="6096"/>
                    </w:tabs>
                    <w:jc w:val="both"/>
                    <w:rPr>
                      <w:rFonts w:eastAsia="Times New Roman"/>
                      <w:sz w:val="18"/>
                      <w:szCs w:val="18"/>
                      <w:lang w:eastAsia="lv-LV"/>
                    </w:rPr>
                  </w:pPr>
                  <w:r>
                    <w:rPr>
                      <w:rFonts w:eastAsia="Times New Roman"/>
                      <w:sz w:val="18"/>
                      <w:szCs w:val="18"/>
                      <w:lang w:eastAsia="lv-LV"/>
                    </w:rPr>
                    <w:t>3</w:t>
                  </w:r>
                </w:p>
              </w:tc>
            </w:tr>
          </w:tbl>
          <w:p w:rsidR="00AA5E33" w:rsidRPr="00AA5E33" w:rsidRDefault="00AA5E33" w:rsidP="00AA5E33">
            <w:pPr>
              <w:tabs>
                <w:tab w:val="left" w:pos="2127"/>
                <w:tab w:val="left" w:pos="6096"/>
              </w:tabs>
              <w:ind w:firstLine="284"/>
              <w:jc w:val="both"/>
              <w:rPr>
                <w:rFonts w:eastAsia="Times New Roman"/>
                <w:szCs w:val="24"/>
                <w:lang w:eastAsia="lv-LV"/>
              </w:rPr>
            </w:pPr>
            <w:r w:rsidRPr="00AA5E33">
              <w:rPr>
                <w:rFonts w:eastAsia="Times New Roman"/>
                <w:szCs w:val="24"/>
                <w:lang w:eastAsia="lv-LV"/>
              </w:rPr>
              <w:t xml:space="preserve">Praksē kā viens no galvenajiem iemesliem, kāpēc no juridiskās personas nav iespējams piedzīt nokavētos nodokļu maksājumus, ir aktīvu neesība. Ņemot vērā, ka komercsabiedrības izpildinstitūcija, kura vada un pārstāv sabiedrību, ir valde, tad valdes kompetencē ir arī lemt par komercsabiedrības finanšu izlietojumu, un no tā, cik krietni un rūpīgi valde saimnieko, ir atkarīgs uzņēmuma mantiskais stāvoklis un spēja pildīt saistības. </w:t>
            </w:r>
          </w:p>
          <w:p w:rsidR="0091754F" w:rsidRDefault="00AA5E33" w:rsidP="0091754F">
            <w:pPr>
              <w:tabs>
                <w:tab w:val="left" w:pos="2127"/>
                <w:tab w:val="left" w:pos="6096"/>
              </w:tabs>
              <w:ind w:firstLine="284"/>
              <w:jc w:val="both"/>
              <w:rPr>
                <w:rFonts w:eastAsia="Times New Roman"/>
                <w:szCs w:val="24"/>
                <w:lang w:eastAsia="lv-LV"/>
              </w:rPr>
            </w:pPr>
            <w:r w:rsidRPr="00AA5E33">
              <w:rPr>
                <w:rFonts w:eastAsia="Times New Roman"/>
                <w:szCs w:val="24"/>
                <w:lang w:eastAsia="lv-LV"/>
              </w:rPr>
              <w:t>Uz 2019.</w:t>
            </w:r>
            <w:r>
              <w:rPr>
                <w:rFonts w:eastAsia="Times New Roman"/>
                <w:szCs w:val="24"/>
                <w:lang w:eastAsia="lv-LV"/>
              </w:rPr>
              <w:t> </w:t>
            </w:r>
            <w:r w:rsidRPr="00AA5E33">
              <w:rPr>
                <w:rFonts w:eastAsia="Times New Roman"/>
                <w:szCs w:val="24"/>
                <w:lang w:eastAsia="lv-LV"/>
              </w:rPr>
              <w:t>gada 1.</w:t>
            </w:r>
            <w:r>
              <w:rPr>
                <w:rFonts w:eastAsia="Times New Roman"/>
                <w:szCs w:val="24"/>
                <w:lang w:eastAsia="lv-LV"/>
              </w:rPr>
              <w:t> </w:t>
            </w:r>
            <w:r w:rsidR="002132E5">
              <w:rPr>
                <w:rFonts w:eastAsia="Times New Roman"/>
                <w:szCs w:val="24"/>
                <w:lang w:eastAsia="lv-LV"/>
              </w:rPr>
              <w:t>augustu</w:t>
            </w:r>
            <w:r>
              <w:rPr>
                <w:rFonts w:eastAsia="Times New Roman"/>
                <w:szCs w:val="24"/>
                <w:lang w:eastAsia="lv-LV"/>
              </w:rPr>
              <w:t xml:space="preserve"> konstatējams, ka </w:t>
            </w:r>
            <w:r w:rsidR="002132E5">
              <w:rPr>
                <w:rFonts w:eastAsia="Times New Roman"/>
                <w:szCs w:val="24"/>
                <w:lang w:eastAsia="lv-LV"/>
              </w:rPr>
              <w:t>8 740</w:t>
            </w:r>
            <w:r w:rsidRPr="00AA5E33">
              <w:rPr>
                <w:rFonts w:eastAsia="Times New Roman"/>
                <w:szCs w:val="24"/>
                <w:lang w:eastAsia="lv-LV"/>
              </w:rPr>
              <w:t xml:space="preserve"> juridiskajām personām jeb </w:t>
            </w:r>
            <w:r w:rsidR="002132E5">
              <w:rPr>
                <w:rFonts w:eastAsia="Times New Roman"/>
                <w:szCs w:val="24"/>
                <w:lang w:eastAsia="lv-LV"/>
              </w:rPr>
              <w:t>11</w:t>
            </w:r>
            <w:r w:rsidRPr="00AA5E33">
              <w:rPr>
                <w:rFonts w:eastAsia="Times New Roman"/>
                <w:szCs w:val="24"/>
                <w:lang w:eastAsia="lv-LV"/>
              </w:rPr>
              <w:t>,</w:t>
            </w:r>
            <w:r w:rsidR="002132E5">
              <w:rPr>
                <w:rFonts w:eastAsia="Times New Roman"/>
                <w:szCs w:val="24"/>
                <w:lang w:eastAsia="lv-LV"/>
              </w:rPr>
              <w:t>96</w:t>
            </w:r>
            <w:r>
              <w:rPr>
                <w:rFonts w:eastAsia="Times New Roman"/>
                <w:szCs w:val="24"/>
                <w:lang w:eastAsia="lv-LV"/>
              </w:rPr>
              <w:t> </w:t>
            </w:r>
            <w:r w:rsidRPr="00AA5E33">
              <w:rPr>
                <w:rFonts w:eastAsia="Times New Roman"/>
                <w:szCs w:val="24"/>
                <w:lang w:eastAsia="lv-LV"/>
              </w:rPr>
              <w:t>% no kopējā juridisko personu aktuālo nodokļu parādnieku skaita ir piešķirts nodokļu uzskaites statuss “bez mantas”. Minētais nozīmē, ka no šīm personām nokavēto nodokļu maksājumu piedziņa (parāda apmērā) nav iespējama.</w:t>
            </w:r>
          </w:p>
          <w:p w:rsidR="009A63C6" w:rsidRDefault="00AA5E33" w:rsidP="0091754F">
            <w:pPr>
              <w:tabs>
                <w:tab w:val="left" w:pos="2127"/>
                <w:tab w:val="left" w:pos="6096"/>
              </w:tabs>
              <w:ind w:firstLine="284"/>
              <w:jc w:val="both"/>
              <w:rPr>
                <w:rFonts w:eastAsia="Times New Roman"/>
                <w:szCs w:val="24"/>
                <w:lang w:eastAsia="lv-LV"/>
              </w:rPr>
            </w:pPr>
            <w:r w:rsidRPr="00AA5E33">
              <w:rPr>
                <w:rFonts w:eastAsia="Times New Roman"/>
                <w:szCs w:val="24"/>
                <w:lang w:eastAsia="lv-LV"/>
              </w:rPr>
              <w:t>Tādējādi secināms, ka likuma “Par nodokļiem un nodevām” XI nodaļas regulējums, lai arī sākotnēji, tai skaitā, darbojās ar preventīvu ietekmi</w:t>
            </w:r>
            <w:r w:rsidR="0091754F">
              <w:rPr>
                <w:rFonts w:eastAsia="Times New Roman"/>
                <w:szCs w:val="24"/>
                <w:lang w:eastAsia="lv-LV"/>
              </w:rPr>
              <w:t xml:space="preserve"> (proti, </w:t>
            </w:r>
            <w:r w:rsidR="0091754F">
              <w:rPr>
                <w:rFonts w:cs="Times New Roman"/>
                <w:szCs w:val="24"/>
              </w:rPr>
              <w:t>nodok</w:t>
            </w:r>
            <w:r w:rsidR="0091754F">
              <w:rPr>
                <w:rFonts w:ascii="TimesNewRoman" w:hAnsi="TimesNewRoman" w:cs="TimesNewRoman"/>
                <w:szCs w:val="24"/>
              </w:rPr>
              <w:t>ļ</w:t>
            </w:r>
            <w:r w:rsidR="0091754F">
              <w:rPr>
                <w:rFonts w:cs="Times New Roman"/>
                <w:szCs w:val="24"/>
              </w:rPr>
              <w:t>u maks</w:t>
            </w:r>
            <w:r w:rsidR="0091754F">
              <w:rPr>
                <w:rFonts w:ascii="TimesNewRoman" w:hAnsi="TimesNewRoman" w:cs="TimesNewRoman"/>
                <w:szCs w:val="24"/>
              </w:rPr>
              <w:t>ā</w:t>
            </w:r>
            <w:r w:rsidR="0091754F">
              <w:rPr>
                <w:rFonts w:cs="Times New Roman"/>
                <w:szCs w:val="24"/>
              </w:rPr>
              <w:t>t</w:t>
            </w:r>
            <w:r w:rsidR="0091754F">
              <w:rPr>
                <w:rFonts w:ascii="TimesNewRoman" w:hAnsi="TimesNewRoman" w:cs="TimesNewRoman"/>
                <w:szCs w:val="24"/>
              </w:rPr>
              <w:t>ā</w:t>
            </w:r>
            <w:r w:rsidR="0091754F">
              <w:rPr>
                <w:rFonts w:cs="Times New Roman"/>
                <w:szCs w:val="24"/>
              </w:rPr>
              <w:t>ji ir vair</w:t>
            </w:r>
            <w:r w:rsidR="0091754F">
              <w:rPr>
                <w:rFonts w:ascii="TimesNewRoman" w:hAnsi="TimesNewRoman" w:cs="TimesNewRoman"/>
                <w:szCs w:val="24"/>
              </w:rPr>
              <w:t>ā</w:t>
            </w:r>
            <w:r w:rsidR="0091754F">
              <w:rPr>
                <w:rFonts w:cs="Times New Roman"/>
                <w:szCs w:val="24"/>
              </w:rPr>
              <w:t>k motiv</w:t>
            </w:r>
            <w:r w:rsidR="0091754F">
              <w:rPr>
                <w:rFonts w:ascii="TimesNewRoman" w:hAnsi="TimesNewRoman" w:cs="TimesNewRoman"/>
                <w:szCs w:val="24"/>
              </w:rPr>
              <w:t>ē</w:t>
            </w:r>
            <w:r w:rsidR="0091754F">
              <w:rPr>
                <w:rFonts w:cs="Times New Roman"/>
                <w:szCs w:val="24"/>
              </w:rPr>
              <w:t>ti iesniegt juridisk</w:t>
            </w:r>
            <w:r w:rsidR="0091754F">
              <w:rPr>
                <w:rFonts w:ascii="TimesNewRoman" w:hAnsi="TimesNewRoman" w:cs="TimesNewRoman"/>
                <w:szCs w:val="24"/>
              </w:rPr>
              <w:t>ā</w:t>
            </w:r>
            <w:r w:rsidR="0091754F">
              <w:rPr>
                <w:rFonts w:cs="Times New Roman"/>
                <w:szCs w:val="24"/>
              </w:rPr>
              <w:t>s personas maks</w:t>
            </w:r>
            <w:r w:rsidR="0091754F">
              <w:rPr>
                <w:rFonts w:ascii="TimesNewRoman" w:hAnsi="TimesNewRoman" w:cs="TimesNewRoman"/>
                <w:szCs w:val="24"/>
              </w:rPr>
              <w:t>ā</w:t>
            </w:r>
            <w:r w:rsidR="0091754F">
              <w:rPr>
                <w:rFonts w:cs="Times New Roman"/>
                <w:szCs w:val="24"/>
              </w:rPr>
              <w:t>tnesp</w:t>
            </w:r>
            <w:r w:rsidR="0091754F">
              <w:rPr>
                <w:rFonts w:ascii="TimesNewRoman" w:hAnsi="TimesNewRoman" w:cs="TimesNewRoman"/>
                <w:szCs w:val="24"/>
              </w:rPr>
              <w:t>ē</w:t>
            </w:r>
            <w:r w:rsidR="0091754F">
              <w:rPr>
                <w:rFonts w:cs="Times New Roman"/>
                <w:szCs w:val="24"/>
              </w:rPr>
              <w:t>jas procesa pieteikumus gad</w:t>
            </w:r>
            <w:r w:rsidR="0091754F">
              <w:rPr>
                <w:rFonts w:ascii="TimesNewRoman" w:hAnsi="TimesNewRoman" w:cs="TimesNewRoman"/>
                <w:szCs w:val="24"/>
              </w:rPr>
              <w:t>ī</w:t>
            </w:r>
            <w:r w:rsidR="0091754F">
              <w:rPr>
                <w:rFonts w:cs="Times New Roman"/>
                <w:szCs w:val="24"/>
              </w:rPr>
              <w:t>jumos, kad likums tiem š</w:t>
            </w:r>
            <w:r w:rsidR="0091754F">
              <w:rPr>
                <w:rFonts w:ascii="TimesNewRoman" w:hAnsi="TimesNewRoman" w:cs="TimesNewRoman"/>
                <w:szCs w:val="24"/>
              </w:rPr>
              <w:t>ā</w:t>
            </w:r>
            <w:r w:rsidR="0091754F">
              <w:rPr>
                <w:rFonts w:cs="Times New Roman"/>
                <w:szCs w:val="24"/>
              </w:rPr>
              <w:t>du pien</w:t>
            </w:r>
            <w:r w:rsidR="0091754F">
              <w:rPr>
                <w:rFonts w:ascii="TimesNewRoman" w:hAnsi="TimesNewRoman" w:cs="TimesNewRoman"/>
                <w:szCs w:val="24"/>
              </w:rPr>
              <w:t>ā</w:t>
            </w:r>
            <w:r w:rsidR="0091754F">
              <w:rPr>
                <w:rFonts w:cs="Times New Roman"/>
                <w:szCs w:val="24"/>
              </w:rPr>
              <w:t>kumu uzliek</w:t>
            </w:r>
            <w:r w:rsidR="004D47C7">
              <w:rPr>
                <w:rFonts w:cs="Times New Roman"/>
                <w:szCs w:val="24"/>
              </w:rPr>
              <w:t>, aktīvāk sadarboties ar nodokļu administrāciju</w:t>
            </w:r>
            <w:r w:rsidR="0091754F">
              <w:rPr>
                <w:rFonts w:cs="Times New Roman"/>
                <w:szCs w:val="24"/>
              </w:rPr>
              <w:t>)</w:t>
            </w:r>
            <w:r w:rsidRPr="00AA5E33">
              <w:rPr>
                <w:rFonts w:eastAsia="Times New Roman"/>
                <w:szCs w:val="24"/>
                <w:lang w:eastAsia="lv-LV"/>
              </w:rPr>
              <w:t xml:space="preserve">, tomēr šobrīd neattur juridiskās personas valdes locekļus bezatbildīgi rīkoties attiecībā uz normatīvajos aktos noteikto saistību izpildi un kopumā nav vērtējams kā efektīvs un tāds, kas veicina nodokļu parādu iekasēšanu budžetā. </w:t>
            </w:r>
          </w:p>
          <w:p w:rsidR="00067D45" w:rsidRDefault="00067D45" w:rsidP="0091754F">
            <w:pPr>
              <w:tabs>
                <w:tab w:val="left" w:pos="2127"/>
                <w:tab w:val="left" w:pos="6096"/>
              </w:tabs>
              <w:ind w:firstLine="284"/>
              <w:jc w:val="both"/>
              <w:rPr>
                <w:rFonts w:eastAsia="Times New Roman"/>
                <w:szCs w:val="24"/>
                <w:lang w:eastAsia="lv-LV"/>
              </w:rPr>
            </w:pPr>
            <w:r w:rsidRPr="00067D45">
              <w:rPr>
                <w:rFonts w:eastAsia="Times New Roman"/>
                <w:szCs w:val="24"/>
                <w:lang w:eastAsia="lv-LV"/>
              </w:rPr>
              <w:t xml:space="preserve">Šāda regulējuma preventīvā ietekme bija vērojama nākošajā gadā pēc tiesību normas stāšanās spēkā, nodokļu maksātāji aktīvāk izmantoja iespēju labprātīgi pildīt nodokļu saistības un samazinājās jauno parādnieku skaits. Pēc VID statistikas datiem 2015.gadā piešķirto termiņu pagarinājumu skaits bija 9330, kas ir par 25% vairāk </w:t>
            </w:r>
            <w:r>
              <w:rPr>
                <w:rFonts w:eastAsia="Times New Roman"/>
                <w:szCs w:val="24"/>
                <w:lang w:eastAsia="lv-LV"/>
              </w:rPr>
              <w:t>attiecībā pret</w:t>
            </w:r>
            <w:r w:rsidRPr="00067D45">
              <w:rPr>
                <w:rFonts w:eastAsia="Times New Roman"/>
                <w:szCs w:val="24"/>
                <w:lang w:eastAsia="lv-LV"/>
              </w:rPr>
              <w:t xml:space="preserve"> iepriekšējā gadā piešķirtajiem pagarinājumiem. Turklāt </w:t>
            </w:r>
            <w:r>
              <w:rPr>
                <w:rFonts w:eastAsia="Times New Roman"/>
                <w:szCs w:val="24"/>
                <w:lang w:eastAsia="lv-LV"/>
              </w:rPr>
              <w:t xml:space="preserve">2015.gadā </w:t>
            </w:r>
            <w:r w:rsidRPr="00067D45">
              <w:rPr>
                <w:rFonts w:eastAsia="Times New Roman"/>
                <w:szCs w:val="24"/>
                <w:lang w:eastAsia="lv-LV"/>
              </w:rPr>
              <w:t>jauno parādnieku skaits samazinājās par 24%.</w:t>
            </w:r>
          </w:p>
          <w:p w:rsidR="009A63C6" w:rsidRDefault="009A63C6" w:rsidP="009A63C6">
            <w:pPr>
              <w:tabs>
                <w:tab w:val="left" w:pos="2127"/>
                <w:tab w:val="left" w:pos="6096"/>
              </w:tabs>
              <w:ind w:firstLine="284"/>
              <w:jc w:val="both"/>
              <w:rPr>
                <w:rFonts w:cs="Times New Roman"/>
                <w:szCs w:val="24"/>
              </w:rPr>
            </w:pPr>
            <w:r>
              <w:rPr>
                <w:rFonts w:cs="Times New Roman"/>
                <w:szCs w:val="24"/>
              </w:rPr>
              <w:t>Šobr</w:t>
            </w:r>
            <w:r>
              <w:rPr>
                <w:rFonts w:ascii="TimesNewRoman" w:hAnsi="TimesNewRoman" w:cs="TimesNewRoman"/>
                <w:szCs w:val="24"/>
              </w:rPr>
              <w:t>ī</w:t>
            </w:r>
            <w:r>
              <w:rPr>
                <w:rFonts w:cs="Times New Roman"/>
                <w:szCs w:val="24"/>
              </w:rPr>
              <w:t>d, lai uzs</w:t>
            </w:r>
            <w:r>
              <w:rPr>
                <w:rFonts w:ascii="TimesNewRoman" w:hAnsi="TimesNewRoman" w:cs="TimesNewRoman"/>
                <w:szCs w:val="24"/>
              </w:rPr>
              <w:t>ā</w:t>
            </w:r>
            <w:r>
              <w:rPr>
                <w:rFonts w:cs="Times New Roman"/>
                <w:szCs w:val="24"/>
              </w:rPr>
              <w:t>ktu procesu par juridisk</w:t>
            </w:r>
            <w:r>
              <w:rPr>
                <w:rFonts w:ascii="TimesNewRoman" w:hAnsi="TimesNewRoman" w:cs="TimesNewRoman"/>
                <w:szCs w:val="24"/>
              </w:rPr>
              <w:t>ā</w:t>
            </w:r>
            <w:r>
              <w:rPr>
                <w:rFonts w:cs="Times New Roman"/>
                <w:szCs w:val="24"/>
              </w:rPr>
              <w:t>s personas nokav</w:t>
            </w:r>
            <w:r>
              <w:rPr>
                <w:rFonts w:ascii="TimesNewRoman" w:hAnsi="TimesNewRoman" w:cs="TimesNewRoman"/>
                <w:szCs w:val="24"/>
              </w:rPr>
              <w:t>ē</w:t>
            </w:r>
            <w:r>
              <w:rPr>
                <w:rFonts w:cs="Times New Roman"/>
                <w:szCs w:val="24"/>
              </w:rPr>
              <w:t>to nodok</w:t>
            </w:r>
            <w:r>
              <w:rPr>
                <w:rFonts w:ascii="TimesNewRoman" w:hAnsi="TimesNewRoman" w:cs="TimesNewRoman"/>
                <w:szCs w:val="24"/>
              </w:rPr>
              <w:t>ļ</w:t>
            </w:r>
            <w:r>
              <w:rPr>
                <w:rFonts w:cs="Times New Roman"/>
                <w:szCs w:val="24"/>
              </w:rPr>
              <w:t>u maks</w:t>
            </w:r>
            <w:r>
              <w:rPr>
                <w:rFonts w:ascii="TimesNewRoman" w:hAnsi="TimesNewRoman" w:cs="TimesNewRoman"/>
                <w:szCs w:val="24"/>
              </w:rPr>
              <w:t>ā</w:t>
            </w:r>
            <w:r>
              <w:rPr>
                <w:rFonts w:cs="Times New Roman"/>
                <w:szCs w:val="24"/>
              </w:rPr>
              <w:t>jumu atl</w:t>
            </w:r>
            <w:r>
              <w:rPr>
                <w:rFonts w:ascii="TimesNewRoman" w:hAnsi="TimesNewRoman" w:cs="TimesNewRoman"/>
                <w:szCs w:val="24"/>
              </w:rPr>
              <w:t>ī</w:t>
            </w:r>
            <w:r>
              <w:rPr>
                <w:rFonts w:cs="Times New Roman"/>
                <w:szCs w:val="24"/>
              </w:rPr>
              <w:t>dzin</w:t>
            </w:r>
            <w:r>
              <w:rPr>
                <w:rFonts w:ascii="TimesNewRoman" w:hAnsi="TimesNewRoman" w:cs="TimesNewRoman"/>
                <w:szCs w:val="24"/>
              </w:rPr>
              <w:t>ā</w:t>
            </w:r>
            <w:r>
              <w:rPr>
                <w:rFonts w:cs="Times New Roman"/>
                <w:szCs w:val="24"/>
              </w:rPr>
              <w:t>šanu budžetam no personas, kura ir bijusi š</w:t>
            </w:r>
            <w:r>
              <w:rPr>
                <w:rFonts w:ascii="TimesNewRoman" w:hAnsi="TimesNewRoman" w:cs="TimesNewRoman"/>
                <w:szCs w:val="24"/>
              </w:rPr>
              <w:t>ī</w:t>
            </w:r>
            <w:r>
              <w:rPr>
                <w:rFonts w:cs="Times New Roman"/>
                <w:szCs w:val="24"/>
              </w:rPr>
              <w:t>s juridisk</w:t>
            </w:r>
            <w:r>
              <w:rPr>
                <w:rFonts w:ascii="TimesNewRoman" w:hAnsi="TimesNewRoman" w:cs="TimesNewRoman"/>
                <w:szCs w:val="24"/>
              </w:rPr>
              <w:t>ā</w:t>
            </w:r>
            <w:r>
              <w:rPr>
                <w:rFonts w:cs="Times New Roman"/>
                <w:szCs w:val="24"/>
              </w:rPr>
              <w:t>s personas valdes loceklis laik</w:t>
            </w:r>
            <w:r>
              <w:rPr>
                <w:rFonts w:ascii="TimesNewRoman" w:hAnsi="TimesNewRoman" w:cs="TimesNewRoman"/>
                <w:szCs w:val="24"/>
              </w:rPr>
              <w:t>ā</w:t>
            </w:r>
            <w:r>
              <w:rPr>
                <w:rFonts w:cs="Times New Roman"/>
                <w:szCs w:val="24"/>
              </w:rPr>
              <w:t>, kad attiec</w:t>
            </w:r>
            <w:r>
              <w:rPr>
                <w:rFonts w:ascii="TimesNewRoman" w:hAnsi="TimesNewRoman" w:cs="TimesNewRoman"/>
                <w:szCs w:val="24"/>
              </w:rPr>
              <w:t>ī</w:t>
            </w:r>
            <w:r>
              <w:rPr>
                <w:rFonts w:cs="Times New Roman"/>
                <w:szCs w:val="24"/>
              </w:rPr>
              <w:t>gie nokav</w:t>
            </w:r>
            <w:r>
              <w:rPr>
                <w:rFonts w:ascii="TimesNewRoman" w:hAnsi="TimesNewRoman" w:cs="TimesNewRoman"/>
                <w:szCs w:val="24"/>
              </w:rPr>
              <w:t>ē</w:t>
            </w:r>
            <w:r>
              <w:rPr>
                <w:rFonts w:cs="Times New Roman"/>
                <w:szCs w:val="24"/>
              </w:rPr>
              <w:t>tie nodok</w:t>
            </w:r>
            <w:r>
              <w:rPr>
                <w:rFonts w:ascii="TimesNewRoman" w:hAnsi="TimesNewRoman" w:cs="TimesNewRoman"/>
                <w:szCs w:val="24"/>
              </w:rPr>
              <w:t>ļ</w:t>
            </w:r>
            <w:r>
              <w:rPr>
                <w:rFonts w:cs="Times New Roman"/>
                <w:szCs w:val="24"/>
              </w:rPr>
              <w:t>u maks</w:t>
            </w:r>
            <w:r>
              <w:rPr>
                <w:rFonts w:ascii="TimesNewRoman" w:hAnsi="TimesNewRoman" w:cs="TimesNewRoman"/>
                <w:szCs w:val="24"/>
              </w:rPr>
              <w:t>ā</w:t>
            </w:r>
            <w:r>
              <w:rPr>
                <w:rFonts w:cs="Times New Roman"/>
                <w:szCs w:val="24"/>
              </w:rPr>
              <w:t>jumi ir izveidojušies, j</w:t>
            </w:r>
            <w:r>
              <w:rPr>
                <w:rFonts w:ascii="TimesNewRoman" w:hAnsi="TimesNewRoman" w:cs="TimesNewRoman"/>
                <w:szCs w:val="24"/>
              </w:rPr>
              <w:t>ā</w:t>
            </w:r>
            <w:r>
              <w:rPr>
                <w:rFonts w:cs="Times New Roman"/>
                <w:szCs w:val="24"/>
              </w:rPr>
              <w:t>izpild</w:t>
            </w:r>
            <w:r>
              <w:rPr>
                <w:rFonts w:ascii="TimesNewRoman" w:hAnsi="TimesNewRoman" w:cs="TimesNewRoman"/>
                <w:szCs w:val="24"/>
              </w:rPr>
              <w:t>ā</w:t>
            </w:r>
            <w:r>
              <w:rPr>
                <w:rFonts w:cs="Times New Roman"/>
                <w:szCs w:val="24"/>
              </w:rPr>
              <w:t>s vair</w:t>
            </w:r>
            <w:r>
              <w:rPr>
                <w:rFonts w:ascii="TimesNewRoman" w:hAnsi="TimesNewRoman" w:cs="TimesNewRoman"/>
                <w:szCs w:val="24"/>
              </w:rPr>
              <w:t>ā</w:t>
            </w:r>
            <w:r>
              <w:rPr>
                <w:rFonts w:cs="Times New Roman"/>
                <w:szCs w:val="24"/>
              </w:rPr>
              <w:t>kiem krit</w:t>
            </w:r>
            <w:r>
              <w:rPr>
                <w:rFonts w:ascii="TimesNewRoman" w:hAnsi="TimesNewRoman" w:cs="TimesNewRoman"/>
                <w:szCs w:val="24"/>
              </w:rPr>
              <w:t>ē</w:t>
            </w:r>
            <w:r>
              <w:rPr>
                <w:rFonts w:cs="Times New Roman"/>
                <w:szCs w:val="24"/>
              </w:rPr>
              <w:t xml:space="preserve">rijiem (to </w:t>
            </w:r>
            <w:r>
              <w:rPr>
                <w:rFonts w:cs="Times New Roman"/>
                <w:szCs w:val="24"/>
              </w:rPr>
              <w:lastRenderedPageBreak/>
              <w:t>kopum</w:t>
            </w:r>
            <w:r w:rsidR="00E72EE0">
              <w:rPr>
                <w:rFonts w:cs="Times New Roman"/>
                <w:szCs w:val="24"/>
              </w:rPr>
              <w:t>am</w:t>
            </w:r>
            <w:r>
              <w:rPr>
                <w:rFonts w:cs="Times New Roman"/>
                <w:szCs w:val="24"/>
              </w:rPr>
              <w:t>).</w:t>
            </w:r>
          </w:p>
          <w:p w:rsidR="00AA5E33" w:rsidRPr="004F0B8E" w:rsidRDefault="00AA5E33" w:rsidP="009A63C6">
            <w:pPr>
              <w:tabs>
                <w:tab w:val="left" w:pos="2127"/>
                <w:tab w:val="left" w:pos="6096"/>
              </w:tabs>
              <w:ind w:firstLine="284"/>
              <w:jc w:val="both"/>
              <w:rPr>
                <w:rFonts w:eastAsia="Times New Roman"/>
                <w:szCs w:val="24"/>
                <w:lang w:eastAsia="lv-LV"/>
              </w:rPr>
            </w:pPr>
            <w:r w:rsidRPr="00AA5E33">
              <w:rPr>
                <w:rFonts w:eastAsia="Times New Roman"/>
                <w:szCs w:val="24"/>
                <w:lang w:eastAsia="lv-LV"/>
              </w:rPr>
              <w:t xml:space="preserve">Kā izriet no </w:t>
            </w:r>
            <w:r w:rsidR="00E72EE0">
              <w:rPr>
                <w:rFonts w:eastAsia="Times New Roman"/>
                <w:szCs w:val="24"/>
                <w:lang w:eastAsia="lv-LV"/>
              </w:rPr>
              <w:t xml:space="preserve">VID </w:t>
            </w:r>
            <w:r w:rsidRPr="00AA5E33">
              <w:rPr>
                <w:rFonts w:eastAsia="Times New Roman"/>
                <w:szCs w:val="24"/>
                <w:lang w:eastAsia="lv-LV"/>
              </w:rPr>
              <w:t xml:space="preserve">apkopotās informācijas, </w:t>
            </w:r>
            <w:r w:rsidR="007A4841">
              <w:rPr>
                <w:rFonts w:eastAsia="Times New Roman"/>
                <w:szCs w:val="24"/>
                <w:lang w:eastAsia="lv-LV"/>
              </w:rPr>
              <w:t>1253</w:t>
            </w:r>
            <w:r w:rsidR="007A4841" w:rsidRPr="00AA5E33">
              <w:rPr>
                <w:rFonts w:eastAsia="Times New Roman"/>
                <w:szCs w:val="24"/>
                <w:lang w:eastAsia="lv-LV"/>
              </w:rPr>
              <w:t xml:space="preserve"> </w:t>
            </w:r>
            <w:r w:rsidRPr="00AA5E33">
              <w:rPr>
                <w:rFonts w:eastAsia="Times New Roman"/>
                <w:szCs w:val="24"/>
                <w:lang w:eastAsia="lv-LV"/>
              </w:rPr>
              <w:t xml:space="preserve">gadījumos, izvērtējot procesa uzsākšanu atbilstoši spēkā esošajam regulējumam, </w:t>
            </w:r>
            <w:r w:rsidRPr="004F0B8E">
              <w:rPr>
                <w:rFonts w:eastAsia="Times New Roman"/>
                <w:szCs w:val="24"/>
                <w:lang w:eastAsia="lv-LV"/>
              </w:rPr>
              <w:t>nav konstatējama visu kritēriju izpilde, kas nozīmē, ka nav pamats uzsākt procesu pret juridiskās personas valdes locekli.</w:t>
            </w:r>
          </w:p>
          <w:p w:rsidR="009A63C6" w:rsidRDefault="00AA5E33" w:rsidP="009A63C6">
            <w:pPr>
              <w:tabs>
                <w:tab w:val="left" w:pos="2127"/>
                <w:tab w:val="left" w:pos="6096"/>
              </w:tabs>
              <w:ind w:firstLine="284"/>
              <w:jc w:val="both"/>
              <w:rPr>
                <w:rFonts w:eastAsia="Times New Roman"/>
                <w:szCs w:val="24"/>
                <w:lang w:eastAsia="lv-LV"/>
              </w:rPr>
            </w:pPr>
            <w:r w:rsidRPr="004F0B8E">
              <w:rPr>
                <w:rFonts w:eastAsia="Times New Roman"/>
                <w:szCs w:val="24"/>
                <w:lang w:eastAsia="lv-LV"/>
              </w:rPr>
              <w:t>Visbiežākais procesa neuzsākšanas iemesls ir likuma “Par nodokļiem un nodevām” 60. panta pirmās daļas 3. punktā noteiktā kritērija neizpilde.</w:t>
            </w:r>
          </w:p>
          <w:p w:rsidR="00AA5E33" w:rsidRPr="004F0B8E" w:rsidRDefault="00AA5E33" w:rsidP="009A63C6">
            <w:pPr>
              <w:tabs>
                <w:tab w:val="left" w:pos="2127"/>
                <w:tab w:val="left" w:pos="6096"/>
              </w:tabs>
              <w:ind w:firstLine="284"/>
              <w:jc w:val="both"/>
              <w:rPr>
                <w:rFonts w:eastAsia="Times New Roman"/>
                <w:szCs w:val="24"/>
                <w:lang w:eastAsia="lv-LV"/>
              </w:rPr>
            </w:pPr>
            <w:r w:rsidRPr="004F0B8E">
              <w:rPr>
                <w:rFonts w:eastAsia="Times New Roman"/>
                <w:szCs w:val="24"/>
                <w:lang w:eastAsia="lv-LV"/>
              </w:rPr>
              <w:t xml:space="preserve">Nodokļu administrācija ir tiesīga uzsākt </w:t>
            </w:r>
            <w:r w:rsidR="00E72EE0" w:rsidRPr="007E7A3E">
              <w:rPr>
                <w:rFonts w:eastAsia="Times New Roman"/>
                <w:szCs w:val="24"/>
                <w:lang w:eastAsia="lv-LV"/>
              </w:rPr>
              <w:t>procesu par juridiskās personas nokavēto nodokļu maksājumu atlīdzināšanu budžetam no personas, kura ir bijusi šīs juridiskās personas valdes loceklis laikā, kad attiecīgie nokavētie nodo</w:t>
            </w:r>
            <w:r w:rsidR="00E72EE0">
              <w:rPr>
                <w:rFonts w:eastAsia="Times New Roman"/>
                <w:szCs w:val="24"/>
                <w:lang w:eastAsia="lv-LV"/>
              </w:rPr>
              <w:t xml:space="preserve">kļu maksājumi ir izveidojušies, </w:t>
            </w:r>
            <w:r w:rsidRPr="004F0B8E">
              <w:rPr>
                <w:rFonts w:eastAsia="Times New Roman"/>
                <w:szCs w:val="24"/>
                <w:lang w:eastAsia="lv-LV"/>
              </w:rPr>
              <w:t>gadījumā, ja konstatēts, ka juridiskā persona ir atsavinājusi aktīvus pēc nokavēto nodokļu maksājumu izveidošanās, tomēr praksē notiek tieši pretējais, komercsabiedrības aktīvi, ja tādi ir, tiek atsavināti vēl pirms nodokļu samaksas termiņa iestāšanās.</w:t>
            </w:r>
            <w:r w:rsidR="004F0B8E" w:rsidRPr="004F0B8E">
              <w:rPr>
                <w:rFonts w:eastAsia="Times New Roman"/>
                <w:szCs w:val="24"/>
                <w:lang w:eastAsia="lv-LV"/>
              </w:rPr>
              <w:t xml:space="preserve"> Tā, piemēram, nereti praksē pēc nodokļu maksātāja iekļaušanas </w:t>
            </w:r>
            <w:r w:rsidR="00FB4E64">
              <w:rPr>
                <w:rFonts w:eastAsia="Times New Roman"/>
                <w:szCs w:val="24"/>
                <w:lang w:eastAsia="lv-LV"/>
              </w:rPr>
              <w:t>nodokļu revīzijas (</w:t>
            </w:r>
            <w:r w:rsidR="004F0B8E" w:rsidRPr="004F0B8E">
              <w:rPr>
                <w:rFonts w:eastAsia="Times New Roman"/>
                <w:szCs w:val="24"/>
                <w:lang w:eastAsia="lv-LV"/>
              </w:rPr>
              <w:t>audita</w:t>
            </w:r>
            <w:r w:rsidR="00FB4E64">
              <w:rPr>
                <w:rFonts w:eastAsia="Times New Roman"/>
                <w:szCs w:val="24"/>
                <w:lang w:eastAsia="lv-LV"/>
              </w:rPr>
              <w:t>)</w:t>
            </w:r>
            <w:r w:rsidR="004F0B8E" w:rsidRPr="004F0B8E">
              <w:rPr>
                <w:rFonts w:eastAsia="Times New Roman"/>
                <w:szCs w:val="24"/>
                <w:lang w:eastAsia="lv-LV"/>
              </w:rPr>
              <w:t xml:space="preserve"> plānā nodokļu maksātājs, apzinoties, ka nodokļu kontroles rezultātā tiks noteikti budžetā papildus ieskaitāmie maksājumi, uzsāk piederošo aktīvu atsavināšanu ar mērķi izvairīties no nodokļu samaksas, tomēr saskaņā ar spēkā esošo regulējumu valdes locekļu atbildība var tikt piemērota tikai</w:t>
            </w:r>
            <w:r w:rsidR="00E72EE0">
              <w:rPr>
                <w:rFonts w:eastAsia="Times New Roman"/>
                <w:szCs w:val="24"/>
                <w:lang w:eastAsia="lv-LV"/>
              </w:rPr>
              <w:t xml:space="preserve"> tad</w:t>
            </w:r>
            <w:r w:rsidR="004F0B8E" w:rsidRPr="004F0B8E">
              <w:rPr>
                <w:rFonts w:eastAsia="Times New Roman"/>
                <w:szCs w:val="24"/>
                <w:lang w:eastAsia="lv-LV"/>
              </w:rPr>
              <w:t xml:space="preserve">, ja aktīvi atsavināti jau pēc </w:t>
            </w:r>
            <w:r w:rsidR="00FB4E64">
              <w:rPr>
                <w:rFonts w:eastAsia="Times New Roman"/>
                <w:szCs w:val="24"/>
                <w:lang w:eastAsia="lv-LV"/>
              </w:rPr>
              <w:t>nodokļu parāda</w:t>
            </w:r>
            <w:r w:rsidR="004F0B8E" w:rsidRPr="004F0B8E">
              <w:rPr>
                <w:rFonts w:eastAsia="Times New Roman"/>
                <w:szCs w:val="24"/>
                <w:lang w:eastAsia="lv-LV"/>
              </w:rPr>
              <w:t xml:space="preserve"> rašanās. Arī n</w:t>
            </w:r>
            <w:r w:rsidRPr="004F0B8E">
              <w:rPr>
                <w:rFonts w:eastAsia="Times New Roman"/>
                <w:szCs w:val="24"/>
                <w:lang w:eastAsia="lv-LV"/>
              </w:rPr>
              <w:t>osacījums, ka aktīvi atsavināti personai,</w:t>
            </w:r>
            <w:r w:rsidR="009A63C6">
              <w:rPr>
                <w:rFonts w:cs="Times New Roman"/>
                <w:szCs w:val="24"/>
              </w:rPr>
              <w:t xml:space="preserve"> kura attiec</w:t>
            </w:r>
            <w:r w:rsidR="009A63C6">
              <w:rPr>
                <w:rFonts w:ascii="TimesNewRoman" w:hAnsi="TimesNewRoman" w:cs="TimesNewRoman"/>
                <w:szCs w:val="24"/>
              </w:rPr>
              <w:t>ī</w:t>
            </w:r>
            <w:r w:rsidR="009A63C6">
              <w:rPr>
                <w:rFonts w:cs="Times New Roman"/>
                <w:szCs w:val="24"/>
              </w:rPr>
              <w:t>b</w:t>
            </w:r>
            <w:r w:rsidR="009A63C6">
              <w:rPr>
                <w:rFonts w:ascii="TimesNewRoman" w:hAnsi="TimesNewRoman" w:cs="TimesNewRoman"/>
                <w:szCs w:val="24"/>
              </w:rPr>
              <w:t xml:space="preserve">ā </w:t>
            </w:r>
            <w:r w:rsidR="009A63C6">
              <w:rPr>
                <w:rFonts w:cs="Times New Roman"/>
                <w:szCs w:val="24"/>
              </w:rPr>
              <w:t>pret valdes locekli atbilst ieinteres</w:t>
            </w:r>
            <w:r w:rsidR="009A63C6">
              <w:rPr>
                <w:rFonts w:ascii="TimesNewRoman" w:hAnsi="TimesNewRoman" w:cs="TimesNewRoman"/>
                <w:szCs w:val="24"/>
              </w:rPr>
              <w:t>ē</w:t>
            </w:r>
            <w:r w:rsidR="009A63C6">
              <w:rPr>
                <w:rFonts w:cs="Times New Roman"/>
                <w:szCs w:val="24"/>
              </w:rPr>
              <w:t>t</w:t>
            </w:r>
            <w:r w:rsidR="009A63C6">
              <w:rPr>
                <w:rFonts w:ascii="TimesNewRoman" w:hAnsi="TimesNewRoman" w:cs="TimesNewRoman"/>
                <w:szCs w:val="24"/>
              </w:rPr>
              <w:t>ā</w:t>
            </w:r>
            <w:r w:rsidR="009A63C6">
              <w:rPr>
                <w:rFonts w:cs="Times New Roman"/>
                <w:szCs w:val="24"/>
              </w:rPr>
              <w:t>s personas j</w:t>
            </w:r>
            <w:r w:rsidR="009A63C6">
              <w:rPr>
                <w:rFonts w:ascii="TimesNewRoman" w:hAnsi="TimesNewRoman" w:cs="TimesNewRoman"/>
                <w:szCs w:val="24"/>
              </w:rPr>
              <w:t>ē</w:t>
            </w:r>
            <w:r w:rsidR="009A63C6">
              <w:rPr>
                <w:rFonts w:cs="Times New Roman"/>
                <w:szCs w:val="24"/>
              </w:rPr>
              <w:t>dzienam Maks</w:t>
            </w:r>
            <w:r w:rsidR="009A63C6">
              <w:rPr>
                <w:rFonts w:ascii="TimesNewRoman" w:hAnsi="TimesNewRoman" w:cs="TimesNewRoman"/>
                <w:szCs w:val="24"/>
              </w:rPr>
              <w:t>ā</w:t>
            </w:r>
            <w:r w:rsidR="009A63C6">
              <w:rPr>
                <w:rFonts w:cs="Times New Roman"/>
                <w:szCs w:val="24"/>
              </w:rPr>
              <w:t>tnesp</w:t>
            </w:r>
            <w:r w:rsidR="009A63C6">
              <w:rPr>
                <w:rFonts w:ascii="TimesNewRoman" w:hAnsi="TimesNewRoman" w:cs="TimesNewRoman"/>
                <w:szCs w:val="24"/>
              </w:rPr>
              <w:t>ē</w:t>
            </w:r>
            <w:r w:rsidR="009A63C6">
              <w:rPr>
                <w:rFonts w:cs="Times New Roman"/>
                <w:szCs w:val="24"/>
              </w:rPr>
              <w:t>jas likuma izpratn</w:t>
            </w:r>
            <w:r w:rsidR="009A63C6">
              <w:rPr>
                <w:rFonts w:ascii="TimesNewRoman" w:hAnsi="TimesNewRoman" w:cs="TimesNewRoman"/>
                <w:szCs w:val="24"/>
              </w:rPr>
              <w:t>ē,</w:t>
            </w:r>
            <w:r w:rsidRPr="004F0B8E">
              <w:rPr>
                <w:rFonts w:eastAsia="Times New Roman"/>
                <w:szCs w:val="24"/>
                <w:lang w:eastAsia="lv-LV"/>
              </w:rPr>
              <w:t xml:space="preserve"> vēl vairāk samazina šādu gadījumu esību. Jāņem vērā, ka juridiska persona ir informēta par normatīvo regulējumu, kas skar tās valdes locekļa atbildību</w:t>
            </w:r>
            <w:r w:rsidR="00D34F4E">
              <w:rPr>
                <w:rFonts w:eastAsia="Times New Roman"/>
                <w:szCs w:val="24"/>
                <w:lang w:eastAsia="lv-LV"/>
              </w:rPr>
              <w:t>, tādējādi pastāv iespēja, ka valdes loceklis piesavināsies juridiskās personas aktīvus, veicot ekonomiski nepamatotus (fiktīvus) darījumus ar personām, kas atbilstoši Maksātnespējas likuma definīcijai nav uzskatāmas par ieinteresētām personām</w:t>
            </w:r>
            <w:r w:rsidRPr="004F0B8E">
              <w:rPr>
                <w:rFonts w:eastAsia="Times New Roman"/>
                <w:szCs w:val="24"/>
                <w:lang w:eastAsia="lv-LV"/>
              </w:rPr>
              <w:t>.</w:t>
            </w:r>
          </w:p>
          <w:p w:rsidR="00FC5578" w:rsidRDefault="00AA5E33" w:rsidP="00FC5578">
            <w:pPr>
              <w:tabs>
                <w:tab w:val="left" w:pos="2127"/>
                <w:tab w:val="left" w:pos="6096"/>
              </w:tabs>
              <w:ind w:firstLine="284"/>
              <w:jc w:val="both"/>
              <w:rPr>
                <w:rFonts w:eastAsia="Times New Roman" w:cs="Times New Roman"/>
                <w:szCs w:val="24"/>
                <w:lang w:eastAsia="lv-LV"/>
              </w:rPr>
            </w:pPr>
            <w:r w:rsidRPr="0057118A">
              <w:rPr>
                <w:rFonts w:eastAsia="Times New Roman"/>
                <w:szCs w:val="24"/>
                <w:lang w:eastAsia="lv-LV"/>
              </w:rPr>
              <w:t>Ievērojot minēto, ar likumprojektu tiek grozīts likuma “Par nodokļiem un nodevām” 60. panta pirmās daļas 3. punkt</w:t>
            </w:r>
            <w:r w:rsidR="00336D8B" w:rsidRPr="0057118A">
              <w:rPr>
                <w:rFonts w:eastAsia="Times New Roman"/>
                <w:szCs w:val="24"/>
                <w:lang w:eastAsia="lv-LV"/>
              </w:rPr>
              <w:t>s, nosakot</w:t>
            </w:r>
            <w:r w:rsidRPr="0057118A">
              <w:rPr>
                <w:rFonts w:eastAsia="Times New Roman"/>
                <w:szCs w:val="24"/>
                <w:lang w:eastAsia="lv-LV"/>
              </w:rPr>
              <w:t xml:space="preserve">, ka </w:t>
            </w:r>
            <w:r w:rsidR="0057118A">
              <w:rPr>
                <w:rFonts w:eastAsia="Times New Roman"/>
                <w:szCs w:val="24"/>
                <w:lang w:eastAsia="lv-LV"/>
              </w:rPr>
              <w:t xml:space="preserve">turpmāk </w:t>
            </w:r>
            <w:r w:rsidR="00336D8B" w:rsidRPr="0057118A">
              <w:rPr>
                <w:rFonts w:eastAsia="Times New Roman"/>
                <w:szCs w:val="24"/>
                <w:lang w:eastAsia="lv-LV"/>
              </w:rPr>
              <w:t xml:space="preserve">viens no kritērijiem procesa uzsākšanai </w:t>
            </w:r>
            <w:r w:rsidR="0057118A">
              <w:rPr>
                <w:rFonts w:eastAsia="Times New Roman"/>
                <w:szCs w:val="24"/>
                <w:lang w:eastAsia="lv-LV"/>
              </w:rPr>
              <w:t>būs</w:t>
            </w:r>
            <w:r w:rsidR="00336D8B" w:rsidRPr="0057118A">
              <w:rPr>
                <w:rFonts w:eastAsia="Times New Roman"/>
                <w:szCs w:val="24"/>
                <w:lang w:eastAsia="lv-LV"/>
              </w:rPr>
              <w:t xml:space="preserve"> </w:t>
            </w:r>
            <w:r w:rsidR="0057118A" w:rsidRPr="0057118A">
              <w:rPr>
                <w:rFonts w:eastAsia="Times New Roman"/>
                <w:szCs w:val="24"/>
                <w:lang w:eastAsia="lv-LV"/>
              </w:rPr>
              <w:t xml:space="preserve">fakta konstatācija, ka juridiskā persona </w:t>
            </w:r>
            <w:r w:rsidR="0057118A" w:rsidRPr="0057118A">
              <w:rPr>
                <w:szCs w:val="24"/>
              </w:rPr>
              <w:t xml:space="preserve">pēc lēmuma par nodokļu revīzijas (audita) veikšanu pieņemšanas, paziņojuma par datu atbilstības pārbaudes laikā </w:t>
            </w:r>
            <w:r w:rsidR="0057118A" w:rsidRPr="0057118A">
              <w:rPr>
                <w:rFonts w:cs="Times New Roman"/>
                <w:szCs w:val="24"/>
              </w:rPr>
              <w:t xml:space="preserve">konstatētajām neatbilstībām starp nodokļu maksātāja iesniegto informāciju un nodokļu administrācijas rīcībā esošo informāciju nosūtīšanas, tematiskās pārbaudes akta noformēšanas, ja tematiskās pārbaudes laikā konstatēti būtiski pārkāpumi, kas liecina par izvairīšanos no nodokļu nomaksas, kā arī pēc nokavēto nodokļu maksājumu izveidošanās, </w:t>
            </w:r>
            <w:r w:rsidR="0057118A" w:rsidRPr="0057118A">
              <w:rPr>
                <w:rFonts w:eastAsia="Times New Roman" w:cs="Times New Roman"/>
                <w:szCs w:val="24"/>
                <w:lang w:eastAsia="lv-LV"/>
              </w:rPr>
              <w:t>ir atsavinājusi sev piederošos aktīvus</w:t>
            </w:r>
            <w:r w:rsidR="009D47CA">
              <w:rPr>
                <w:rFonts w:eastAsia="Times New Roman" w:cs="Times New Roman"/>
                <w:szCs w:val="24"/>
                <w:lang w:eastAsia="lv-LV"/>
              </w:rPr>
              <w:t xml:space="preserve"> un valdes locekļa vai faktiskā vadītāja </w:t>
            </w:r>
            <w:r w:rsidR="00E72EE0">
              <w:rPr>
                <w:rFonts w:eastAsia="Times New Roman" w:cs="Times New Roman"/>
                <w:szCs w:val="24"/>
                <w:lang w:eastAsia="lv-LV"/>
              </w:rPr>
              <w:t>darbības</w:t>
            </w:r>
            <w:r w:rsidR="00903D25">
              <w:rPr>
                <w:rFonts w:eastAsia="Times New Roman" w:cs="Times New Roman"/>
                <w:szCs w:val="24"/>
                <w:lang w:eastAsia="lv-LV"/>
              </w:rPr>
              <w:t xml:space="preserve"> vai </w:t>
            </w:r>
            <w:r w:rsidR="00903D25">
              <w:rPr>
                <w:rFonts w:eastAsia="Times New Roman" w:cs="Times New Roman"/>
                <w:szCs w:val="24"/>
                <w:lang w:eastAsia="lv-LV"/>
              </w:rPr>
              <w:lastRenderedPageBreak/>
              <w:t xml:space="preserve">bezdarbības </w:t>
            </w:r>
            <w:r w:rsidR="00E72EE0">
              <w:rPr>
                <w:rFonts w:eastAsia="Times New Roman" w:cs="Times New Roman"/>
                <w:szCs w:val="24"/>
                <w:lang w:eastAsia="lv-LV"/>
              </w:rPr>
              <w:t xml:space="preserve">rezultātā </w:t>
            </w:r>
            <w:r w:rsidR="00903D25">
              <w:rPr>
                <w:rFonts w:eastAsia="Times New Roman" w:cs="Times New Roman"/>
                <w:szCs w:val="24"/>
                <w:lang w:eastAsia="lv-LV"/>
              </w:rPr>
              <w:t xml:space="preserve">pilnā apmērā nav samaksāti </w:t>
            </w:r>
            <w:r w:rsidR="00E72EE0">
              <w:rPr>
                <w:rFonts w:eastAsia="Times New Roman" w:cs="Times New Roman"/>
                <w:szCs w:val="24"/>
                <w:lang w:eastAsia="lv-LV"/>
              </w:rPr>
              <w:t>juridisk</w:t>
            </w:r>
            <w:r w:rsidR="00903D25">
              <w:rPr>
                <w:rFonts w:eastAsia="Times New Roman" w:cs="Times New Roman"/>
                <w:szCs w:val="24"/>
                <w:lang w:eastAsia="lv-LV"/>
              </w:rPr>
              <w:t>ās</w:t>
            </w:r>
            <w:r w:rsidR="00E72EE0">
              <w:rPr>
                <w:rFonts w:eastAsia="Times New Roman" w:cs="Times New Roman"/>
                <w:szCs w:val="24"/>
                <w:lang w:eastAsia="lv-LV"/>
              </w:rPr>
              <w:t xml:space="preserve"> persona</w:t>
            </w:r>
            <w:r w:rsidR="00903D25">
              <w:rPr>
                <w:rFonts w:eastAsia="Times New Roman" w:cs="Times New Roman"/>
                <w:szCs w:val="24"/>
                <w:lang w:eastAsia="lv-LV"/>
              </w:rPr>
              <w:t>s</w:t>
            </w:r>
            <w:r w:rsidR="00E72EE0">
              <w:rPr>
                <w:rFonts w:eastAsia="Times New Roman" w:cs="Times New Roman"/>
                <w:szCs w:val="24"/>
                <w:lang w:eastAsia="lv-LV"/>
              </w:rPr>
              <w:t xml:space="preserve"> </w:t>
            </w:r>
            <w:r w:rsidR="00903D25">
              <w:rPr>
                <w:rFonts w:eastAsia="Times New Roman" w:cs="Times New Roman"/>
                <w:szCs w:val="24"/>
                <w:lang w:eastAsia="lv-LV"/>
              </w:rPr>
              <w:t>nokavētie nodokļu maksājumi</w:t>
            </w:r>
            <w:r w:rsidR="00E72EE0">
              <w:rPr>
                <w:rFonts w:eastAsia="Times New Roman" w:cs="Times New Roman"/>
                <w:szCs w:val="24"/>
                <w:lang w:eastAsia="lv-LV"/>
              </w:rPr>
              <w:t>.</w:t>
            </w:r>
            <w:r w:rsidR="0057118A" w:rsidRPr="0057118A">
              <w:rPr>
                <w:rFonts w:eastAsia="Times New Roman" w:cs="Times New Roman"/>
                <w:szCs w:val="24"/>
                <w:lang w:eastAsia="lv-LV"/>
              </w:rPr>
              <w:t xml:space="preserve"> </w:t>
            </w:r>
            <w:r w:rsidR="00BC2DED">
              <w:rPr>
                <w:rFonts w:eastAsia="Times New Roman" w:cs="Times New Roman"/>
                <w:szCs w:val="24"/>
                <w:lang w:eastAsia="lv-LV"/>
              </w:rPr>
              <w:t xml:space="preserve">Tādējādi vairs nebūs nozīmes tam, kāds statuss ir personai, kurai ir atsavināti juridiskās personas aktīvi, pret </w:t>
            </w:r>
            <w:r w:rsidR="004F0B8E">
              <w:rPr>
                <w:rFonts w:eastAsia="Times New Roman" w:cs="Times New Roman"/>
                <w:szCs w:val="24"/>
                <w:lang w:eastAsia="lv-LV"/>
              </w:rPr>
              <w:t>juridiskās personas valdes locekli. Šajā gadījumā būtiski būs konstatēt faktu, ka juridiskās personas</w:t>
            </w:r>
            <w:r w:rsidR="00D5444C">
              <w:rPr>
                <w:rFonts w:eastAsia="Times New Roman" w:cs="Times New Roman"/>
                <w:szCs w:val="24"/>
                <w:lang w:eastAsia="lv-LV"/>
              </w:rPr>
              <w:t xml:space="preserve"> </w:t>
            </w:r>
            <w:r w:rsidR="00DF7EFF">
              <w:rPr>
                <w:rFonts w:eastAsia="Calibri" w:cs="Times New Roman"/>
                <w:color w:val="000000"/>
                <w:szCs w:val="24"/>
                <w:lang w:eastAsia="lv-LV"/>
              </w:rPr>
              <w:t xml:space="preserve">(jeb juridiskās personas </w:t>
            </w:r>
            <w:r w:rsidR="00AD4D19">
              <w:rPr>
                <w:rFonts w:eastAsia="Calibri" w:cs="Times New Roman"/>
                <w:color w:val="000000"/>
                <w:szCs w:val="24"/>
                <w:lang w:eastAsia="lv-LV"/>
              </w:rPr>
              <w:t>izpildinstitūcijas</w:t>
            </w:r>
            <w:r w:rsidR="00DF7EFF">
              <w:rPr>
                <w:rFonts w:eastAsia="Calibri" w:cs="Times New Roman"/>
                <w:color w:val="000000"/>
                <w:szCs w:val="24"/>
                <w:lang w:eastAsia="lv-LV"/>
              </w:rPr>
              <w:t xml:space="preserve"> (valdes)</w:t>
            </w:r>
            <w:r w:rsidR="00FB0F12">
              <w:rPr>
                <w:rFonts w:eastAsia="Calibri" w:cs="Times New Roman"/>
                <w:color w:val="000000"/>
                <w:szCs w:val="24"/>
                <w:lang w:eastAsia="lv-LV"/>
              </w:rPr>
              <w:t xml:space="preserve"> vai faktiskā vadītāja) </w:t>
            </w:r>
            <w:r w:rsidR="00FB0F12">
              <w:rPr>
                <w:rFonts w:eastAsia="Times New Roman" w:cs="Times New Roman"/>
                <w:szCs w:val="24"/>
                <w:lang w:eastAsia="lv-LV"/>
              </w:rPr>
              <w:t>veiktā darbība vai bezdarbība</w:t>
            </w:r>
            <w:r w:rsidR="00DF7EFF">
              <w:rPr>
                <w:rFonts w:eastAsia="Times New Roman" w:cs="Times New Roman"/>
                <w:szCs w:val="24"/>
                <w:lang w:eastAsia="lv-LV"/>
              </w:rPr>
              <w:t xml:space="preserve"> </w:t>
            </w:r>
            <w:r w:rsidR="004F0B8E">
              <w:rPr>
                <w:rFonts w:eastAsia="Times New Roman" w:cs="Times New Roman"/>
                <w:szCs w:val="24"/>
                <w:lang w:eastAsia="lv-LV"/>
              </w:rPr>
              <w:t xml:space="preserve">ir </w:t>
            </w:r>
            <w:r w:rsidR="00903D25">
              <w:rPr>
                <w:rFonts w:eastAsia="Times New Roman" w:cs="Times New Roman"/>
                <w:szCs w:val="24"/>
                <w:lang w:eastAsia="lv-LV"/>
              </w:rPr>
              <w:t>novedusi pie tā, ka nodokļu parāds nav segts</w:t>
            </w:r>
            <w:r w:rsidR="004F0B8E">
              <w:rPr>
                <w:rFonts w:eastAsia="Times New Roman" w:cs="Times New Roman"/>
                <w:szCs w:val="24"/>
                <w:lang w:eastAsia="lv-LV"/>
              </w:rPr>
              <w:t>.</w:t>
            </w:r>
            <w:r w:rsidR="0045776F">
              <w:rPr>
                <w:rFonts w:eastAsia="Times New Roman" w:cs="Times New Roman"/>
                <w:szCs w:val="24"/>
                <w:lang w:eastAsia="lv-LV"/>
              </w:rPr>
              <w:t xml:space="preserve"> </w:t>
            </w:r>
          </w:p>
          <w:p w:rsidR="00313D3F" w:rsidRPr="00313D3F" w:rsidRDefault="00FB0F12" w:rsidP="00313D3F">
            <w:pPr>
              <w:tabs>
                <w:tab w:val="left" w:pos="2127"/>
                <w:tab w:val="left" w:pos="6096"/>
              </w:tabs>
              <w:ind w:firstLine="284"/>
              <w:jc w:val="both"/>
              <w:rPr>
                <w:rFonts w:eastAsia="Times New Roman" w:cs="Times New Roman"/>
                <w:szCs w:val="24"/>
                <w:lang w:eastAsia="lv-LV"/>
              </w:rPr>
            </w:pPr>
            <w:r>
              <w:rPr>
                <w:rFonts w:eastAsia="Calibri" w:cs="Times New Roman"/>
                <w:color w:val="000000"/>
                <w:szCs w:val="24"/>
                <w:lang w:eastAsia="lv-LV"/>
              </w:rPr>
              <w:t>A</w:t>
            </w:r>
            <w:r w:rsidR="00313D3F" w:rsidRPr="00313D3F">
              <w:rPr>
                <w:rFonts w:eastAsia="Calibri" w:cs="Times New Roman"/>
                <w:color w:val="000000"/>
                <w:szCs w:val="24"/>
                <w:lang w:eastAsia="lv-LV"/>
              </w:rPr>
              <w:t>tbilstoši tiesu praksē nostiprinātajai atziņai Komerclikuma 169. panta piemērošanas sakarā valdes locekļa atbildība iestājas, ja konstatēti šādi priekšnosacījumi:</w:t>
            </w:r>
          </w:p>
          <w:p w:rsidR="00313D3F" w:rsidRPr="00313D3F" w:rsidRDefault="00313D3F" w:rsidP="00313D3F">
            <w:pPr>
              <w:ind w:right="-1" w:firstLine="284"/>
              <w:jc w:val="both"/>
              <w:rPr>
                <w:rFonts w:eastAsia="Calibri" w:cs="Times New Roman"/>
                <w:color w:val="000000"/>
                <w:szCs w:val="24"/>
                <w:lang w:eastAsia="lv-LV"/>
              </w:rPr>
            </w:pPr>
            <w:r w:rsidRPr="00313D3F">
              <w:rPr>
                <w:rFonts w:eastAsia="Calibri" w:cs="Times New Roman"/>
                <w:color w:val="000000"/>
                <w:szCs w:val="24"/>
                <w:lang w:eastAsia="lv-LV"/>
              </w:rPr>
              <w:t>1) sabiedrībai ir nodarīts zaudējums (</w:t>
            </w:r>
            <w:r w:rsidRPr="00313D3F">
              <w:rPr>
                <w:rFonts w:eastAsia="Calibri" w:cs="Times New Roman"/>
                <w:i/>
                <w:iCs/>
                <w:color w:val="000000"/>
                <w:szCs w:val="24"/>
                <w:lang w:eastAsia="lv-LV"/>
              </w:rPr>
              <w:t>sk. Civillikuma 1770.-1792.pantu</w:t>
            </w:r>
            <w:r w:rsidRPr="00313D3F">
              <w:rPr>
                <w:rFonts w:eastAsia="Calibri" w:cs="Times New Roman"/>
                <w:color w:val="000000"/>
                <w:szCs w:val="24"/>
                <w:lang w:eastAsia="lv-LV"/>
              </w:rPr>
              <w:t>);</w:t>
            </w:r>
          </w:p>
          <w:p w:rsidR="00313D3F" w:rsidRPr="00313D3F" w:rsidRDefault="00313D3F" w:rsidP="00313D3F">
            <w:pPr>
              <w:ind w:right="-1" w:firstLine="284"/>
              <w:jc w:val="both"/>
              <w:rPr>
                <w:rFonts w:eastAsia="Calibri" w:cs="Times New Roman"/>
                <w:color w:val="000000"/>
                <w:szCs w:val="24"/>
                <w:lang w:eastAsia="lv-LV"/>
              </w:rPr>
            </w:pPr>
            <w:r w:rsidRPr="00313D3F">
              <w:rPr>
                <w:rFonts w:eastAsia="Calibri" w:cs="Times New Roman"/>
                <w:color w:val="000000"/>
                <w:szCs w:val="24"/>
                <w:lang w:eastAsia="lv-LV"/>
              </w:rPr>
              <w:t>2) bijusi amatpersonas rīcība, respektīvi – darbība vai bezdarbība;</w:t>
            </w:r>
          </w:p>
          <w:p w:rsidR="00313D3F" w:rsidRPr="00313D3F" w:rsidRDefault="00313D3F" w:rsidP="00313D3F">
            <w:pPr>
              <w:ind w:right="-1" w:firstLine="284"/>
              <w:jc w:val="both"/>
              <w:rPr>
                <w:rFonts w:eastAsia="Calibri" w:cs="Times New Roman"/>
                <w:i/>
                <w:iCs/>
                <w:color w:val="000000"/>
                <w:szCs w:val="24"/>
                <w:lang w:eastAsia="lv-LV"/>
              </w:rPr>
            </w:pPr>
            <w:r w:rsidRPr="00313D3F">
              <w:rPr>
                <w:rFonts w:eastAsia="Calibri" w:cs="Times New Roman"/>
                <w:color w:val="000000"/>
                <w:szCs w:val="24"/>
                <w:lang w:eastAsia="lv-LV"/>
              </w:rPr>
              <w:t>3) pastāv cēloņsakars starp amatpersonas rīcību un sabiedrības zaudējumu (</w:t>
            </w:r>
            <w:r w:rsidRPr="00313D3F">
              <w:rPr>
                <w:rFonts w:eastAsia="Calibri" w:cs="Times New Roman"/>
                <w:i/>
                <w:iCs/>
                <w:color w:val="000000"/>
                <w:szCs w:val="24"/>
                <w:lang w:eastAsia="lv-LV"/>
              </w:rPr>
              <w:t>ja zaudējums ir, bet tas nav radies kā valdes locekļa rīcības sekas, tad par šo zaudējumu atbildība neiestājas</w:t>
            </w:r>
            <w:r w:rsidRPr="00313D3F">
              <w:rPr>
                <w:rFonts w:eastAsia="Calibri" w:cs="Times New Roman"/>
                <w:color w:val="000000"/>
                <w:szCs w:val="24"/>
                <w:lang w:eastAsia="lv-LV"/>
              </w:rPr>
              <w:t>)</w:t>
            </w:r>
            <w:r w:rsidRPr="00313D3F">
              <w:rPr>
                <w:rFonts w:eastAsia="Calibri" w:cs="Times New Roman"/>
                <w:i/>
                <w:iCs/>
                <w:color w:val="000000"/>
                <w:szCs w:val="24"/>
                <w:lang w:eastAsia="lv-LV"/>
              </w:rPr>
              <w:t>.</w:t>
            </w:r>
          </w:p>
          <w:p w:rsidR="006664C1" w:rsidRPr="006664C1" w:rsidRDefault="00313D3F" w:rsidP="00313D3F">
            <w:pPr>
              <w:tabs>
                <w:tab w:val="left" w:pos="2127"/>
                <w:tab w:val="left" w:pos="6096"/>
              </w:tabs>
              <w:ind w:firstLine="284"/>
              <w:jc w:val="both"/>
              <w:rPr>
                <w:rFonts w:eastAsia="Calibri" w:cs="Times New Roman"/>
              </w:rPr>
            </w:pPr>
            <w:r w:rsidRPr="00313D3F">
              <w:rPr>
                <w:rFonts w:eastAsia="Times New Roman" w:cs="Times New Roman"/>
                <w:szCs w:val="24"/>
                <w:lang w:eastAsia="lv-LV"/>
              </w:rPr>
              <w:t>Kā ir vērsusi uzmanību Augstākā</w:t>
            </w:r>
            <w:r>
              <w:rPr>
                <w:rFonts w:eastAsia="Times New Roman" w:cs="Times New Roman"/>
                <w:szCs w:val="24"/>
                <w:lang w:eastAsia="lv-LV"/>
              </w:rPr>
              <w:t xml:space="preserve"> </w:t>
            </w:r>
            <w:r w:rsidR="00E37059">
              <w:rPr>
                <w:rFonts w:eastAsia="Times New Roman" w:cs="Times New Roman"/>
                <w:szCs w:val="24"/>
                <w:lang w:eastAsia="lv-LV"/>
              </w:rPr>
              <w:t xml:space="preserve">tiesa, </w:t>
            </w:r>
            <w:r w:rsidR="00E37059" w:rsidRPr="001B3020">
              <w:rPr>
                <w:color w:val="000000"/>
                <w:szCs w:val="24"/>
                <w:lang w:eastAsia="lv-LV"/>
              </w:rPr>
              <w:t xml:space="preserve">sākoties sabiedrības finansiālajām grūtībām, viens no valdes locekļu pienākumiem ir nodrošināt parādnieka aktīvu saglabāšanu, lai būtu iespējams maksimāli apmierināt </w:t>
            </w:r>
            <w:r w:rsidR="00E37059">
              <w:rPr>
                <w:color w:val="000000"/>
                <w:szCs w:val="24"/>
                <w:lang w:eastAsia="lv-LV"/>
              </w:rPr>
              <w:t xml:space="preserve">kreditoru prasījumus </w:t>
            </w:r>
            <w:r w:rsidR="00E37059" w:rsidRPr="001B3020">
              <w:rPr>
                <w:color w:val="000000"/>
                <w:szCs w:val="24"/>
                <w:lang w:eastAsia="lv-LV"/>
              </w:rPr>
              <w:t>(</w:t>
            </w:r>
            <w:r w:rsidR="00E37059" w:rsidRPr="001B3020">
              <w:rPr>
                <w:i/>
                <w:iCs/>
                <w:color w:val="000000"/>
                <w:szCs w:val="24"/>
                <w:lang w:eastAsia="lv-LV"/>
              </w:rPr>
              <w:t>sk. Augstākās tiesas 201</w:t>
            </w:r>
            <w:r w:rsidR="00E37059">
              <w:rPr>
                <w:i/>
                <w:iCs/>
                <w:color w:val="000000"/>
                <w:szCs w:val="24"/>
                <w:lang w:eastAsia="lv-LV"/>
              </w:rPr>
              <w:t>8</w:t>
            </w:r>
            <w:r w:rsidR="00E37059" w:rsidRPr="001B3020">
              <w:rPr>
                <w:i/>
                <w:iCs/>
                <w:color w:val="000000"/>
                <w:szCs w:val="24"/>
                <w:lang w:eastAsia="lv-LV"/>
              </w:rPr>
              <w:t>.</w:t>
            </w:r>
            <w:r w:rsidR="00E37059">
              <w:rPr>
                <w:i/>
                <w:iCs/>
                <w:color w:val="000000"/>
                <w:szCs w:val="24"/>
                <w:lang w:eastAsia="lv-LV"/>
              </w:rPr>
              <w:t> </w:t>
            </w:r>
            <w:r w:rsidR="00E37059" w:rsidRPr="001B3020">
              <w:rPr>
                <w:i/>
                <w:iCs/>
                <w:color w:val="000000"/>
                <w:szCs w:val="24"/>
                <w:lang w:eastAsia="lv-LV"/>
              </w:rPr>
              <w:t>gada 23.</w:t>
            </w:r>
            <w:r w:rsidR="00E37059">
              <w:rPr>
                <w:i/>
                <w:iCs/>
                <w:color w:val="000000"/>
                <w:szCs w:val="24"/>
                <w:lang w:eastAsia="lv-LV"/>
              </w:rPr>
              <w:t> novembra sprieduma lietā Nr. SKC-291</w:t>
            </w:r>
            <w:r w:rsidR="00E37059" w:rsidRPr="001B3020">
              <w:rPr>
                <w:i/>
                <w:iCs/>
                <w:color w:val="000000"/>
                <w:szCs w:val="24"/>
                <w:lang w:eastAsia="lv-LV"/>
              </w:rPr>
              <w:t>/201</w:t>
            </w:r>
            <w:r w:rsidR="00E37059">
              <w:rPr>
                <w:i/>
                <w:iCs/>
                <w:color w:val="000000"/>
                <w:szCs w:val="24"/>
                <w:lang w:eastAsia="lv-LV"/>
              </w:rPr>
              <w:t>8</w:t>
            </w:r>
            <w:r w:rsidR="00E37059" w:rsidRPr="001B3020">
              <w:rPr>
                <w:i/>
                <w:iCs/>
                <w:color w:val="000000"/>
                <w:szCs w:val="24"/>
                <w:lang w:eastAsia="lv-LV"/>
              </w:rPr>
              <w:t xml:space="preserve"> (</w:t>
            </w:r>
            <w:r w:rsidR="006664C1" w:rsidRPr="006664C1">
              <w:rPr>
                <w:rFonts w:eastAsia="Calibri" w:cs="Times New Roman"/>
                <w:i/>
                <w:iCs/>
                <w:color w:val="000000"/>
                <w:szCs w:val="24"/>
                <w:lang w:eastAsia="lv-LV"/>
              </w:rPr>
              <w:t>C26097912) 10. punktu</w:t>
            </w:r>
            <w:r w:rsidR="006664C1" w:rsidRPr="006664C1">
              <w:rPr>
                <w:rFonts w:eastAsia="Calibri" w:cs="Times New Roman"/>
                <w:color w:val="000000"/>
                <w:szCs w:val="24"/>
                <w:lang w:eastAsia="lv-LV"/>
              </w:rPr>
              <w:t>)</w:t>
            </w:r>
            <w:r w:rsidR="006664C1" w:rsidRPr="006664C1">
              <w:rPr>
                <w:rFonts w:eastAsia="Calibri" w:cs="Times New Roman"/>
                <w:iCs/>
                <w:color w:val="000000"/>
                <w:szCs w:val="24"/>
                <w:lang w:eastAsia="lv-LV"/>
              </w:rPr>
              <w:t>.</w:t>
            </w:r>
            <w:r>
              <w:rPr>
                <w:rFonts w:eastAsia="Calibri" w:cs="Times New Roman"/>
                <w:iCs/>
                <w:color w:val="000000"/>
                <w:szCs w:val="24"/>
                <w:lang w:eastAsia="lv-LV"/>
              </w:rPr>
              <w:t xml:space="preserve"> </w:t>
            </w:r>
            <w:r w:rsidR="006664C1" w:rsidRPr="006664C1">
              <w:rPr>
                <w:rFonts w:eastAsia="Calibri" w:cs="Times New Roman"/>
                <w:color w:val="000000"/>
                <w:szCs w:val="24"/>
                <w:lang w:eastAsia="lv-LV"/>
              </w:rPr>
              <w:t xml:space="preserve">Ja valdes loceklis, apzinoties, ka juridiskajai personai var izveidoties nokavētie nodokļu maksājumi, </w:t>
            </w:r>
            <w:r w:rsidR="00DF3D11">
              <w:rPr>
                <w:rFonts w:eastAsia="Calibri" w:cs="Times New Roman"/>
                <w:color w:val="000000"/>
                <w:szCs w:val="24"/>
                <w:lang w:eastAsia="lv-LV"/>
              </w:rPr>
              <w:t>rīkojas pretēji tam, kā būtu jārīkojas krietnam un rūpīgam saimniekam, proti, tā vietā lai nodrošinātu juridiskās personas aktīvu saglabāšanu, tos atsavina, secināms, ka šādā veidā valdes loceklis nodara zaudējumus juridiskajai personai, jo tiek samazinātas gan juridiskās personas iespējas veikt labprātīgu nodokļu maksājumu samaksu pilnā apmērā un nodokļu likumos noteiktajā termiņ</w:t>
            </w:r>
            <w:r>
              <w:rPr>
                <w:rFonts w:eastAsia="Calibri" w:cs="Times New Roman"/>
                <w:color w:val="000000"/>
                <w:szCs w:val="24"/>
                <w:lang w:eastAsia="lv-LV"/>
              </w:rPr>
              <w:t>ā, g</w:t>
            </w:r>
            <w:r w:rsidR="00DF3D11">
              <w:rPr>
                <w:rFonts w:eastAsia="Calibri" w:cs="Times New Roman"/>
                <w:color w:val="000000"/>
                <w:szCs w:val="24"/>
                <w:lang w:eastAsia="lv-LV"/>
              </w:rPr>
              <w:t>an nodokļu administrācijas iespējas piedzīt juridiskās personas nokavētos nodokļu maksājumus bezstrīda kārtībā.</w:t>
            </w:r>
            <w:r w:rsidR="007D0BF9">
              <w:rPr>
                <w:rFonts w:eastAsia="Calibri" w:cs="Times New Roman"/>
                <w:color w:val="000000"/>
                <w:szCs w:val="24"/>
                <w:lang w:eastAsia="lv-LV"/>
              </w:rPr>
              <w:t xml:space="preserve"> Ņemot vērā, ka visas sabiedrības interesēs ir nodokļu maksājumu savlaicīga veikšana (minēto ir atzinusi arī Satversmes tiesa (</w:t>
            </w:r>
            <w:r w:rsidR="007D0BF9" w:rsidRPr="007D0BF9">
              <w:rPr>
                <w:rFonts w:eastAsia="Calibri" w:cs="Times New Roman"/>
                <w:i/>
                <w:color w:val="000000"/>
                <w:szCs w:val="24"/>
                <w:lang w:eastAsia="lv-LV"/>
              </w:rPr>
              <w:t>skatīt Satversmes tiesas 2016. gada 15. novembra spriedumu lietā Nr. 2015-25-01</w:t>
            </w:r>
            <w:r w:rsidR="002733D0">
              <w:rPr>
                <w:rFonts w:eastAsia="Calibri" w:cs="Times New Roman"/>
                <w:i/>
                <w:color w:val="000000"/>
                <w:szCs w:val="24"/>
                <w:lang w:eastAsia="lv-LV"/>
              </w:rPr>
              <w:t>)</w:t>
            </w:r>
            <w:r w:rsidR="007D0BF9">
              <w:rPr>
                <w:rFonts w:eastAsia="Calibri" w:cs="Times New Roman"/>
                <w:color w:val="000000"/>
                <w:szCs w:val="24"/>
                <w:lang w:eastAsia="lv-LV"/>
              </w:rPr>
              <w:t xml:space="preserve">), </w:t>
            </w:r>
            <w:r w:rsidR="00FB4C0F">
              <w:rPr>
                <w:rFonts w:eastAsia="Calibri" w:cs="Times New Roman"/>
                <w:color w:val="000000"/>
                <w:szCs w:val="24"/>
                <w:lang w:eastAsia="lv-LV"/>
              </w:rPr>
              <w:t xml:space="preserve">juridiskās personas rīcība (jeb valdes rīcība, ņemot vērā tās īpašo lomu juridiskās personas pārvaldē un pārstāvībā), </w:t>
            </w:r>
            <w:r w:rsidR="007D0BF9">
              <w:rPr>
                <w:rFonts w:eastAsia="Calibri" w:cs="Times New Roman"/>
                <w:color w:val="000000"/>
                <w:szCs w:val="24"/>
                <w:lang w:eastAsia="lv-LV"/>
              </w:rPr>
              <w:t xml:space="preserve">nodarot zaudējumus juridiskajai personai, kurai ir izveidojušies nokavētie nodokļu maksājumi, </w:t>
            </w:r>
            <w:r w:rsidR="00FB4C0F">
              <w:rPr>
                <w:rFonts w:eastAsia="Calibri" w:cs="Times New Roman"/>
                <w:color w:val="000000"/>
                <w:szCs w:val="24"/>
                <w:lang w:eastAsia="lv-LV"/>
              </w:rPr>
              <w:t xml:space="preserve">ietekmē valsts </w:t>
            </w:r>
            <w:r w:rsidR="002733D0">
              <w:rPr>
                <w:rFonts w:eastAsia="Calibri" w:cs="Times New Roman"/>
                <w:color w:val="000000"/>
                <w:szCs w:val="24"/>
                <w:lang w:eastAsia="lv-LV"/>
              </w:rPr>
              <w:t>būtisko funkciju izpildi.</w:t>
            </w:r>
          </w:p>
          <w:p w:rsidR="00FB0F12" w:rsidRPr="006664C1" w:rsidRDefault="00FB0F12" w:rsidP="00FB0F12">
            <w:pPr>
              <w:tabs>
                <w:tab w:val="left" w:pos="2127"/>
                <w:tab w:val="left" w:pos="6096"/>
              </w:tabs>
              <w:ind w:firstLine="284"/>
              <w:jc w:val="both"/>
              <w:rPr>
                <w:rFonts w:eastAsia="Calibri" w:cs="Times New Roman"/>
              </w:rPr>
            </w:pPr>
            <w:r w:rsidRPr="00BC59CD">
              <w:rPr>
                <w:rFonts w:eastAsia="Calibri" w:cs="Times New Roman"/>
                <w:color w:val="000000"/>
                <w:szCs w:val="24"/>
                <w:lang w:eastAsia="lv-LV"/>
              </w:rPr>
              <w:t>Par juridiskajai personai nodarīto zaudējumu apmēru uzskata nokavētos nodokļu maksājumus tādā apmērā, kādā tie ir izveidojušies laikā, kad valdes loceklis vai faktiskais vadītājs rīkojies šīs juridiskās personas vārdā.</w:t>
            </w:r>
          </w:p>
          <w:p w:rsidR="00BC2DED" w:rsidRPr="00BC2DED" w:rsidRDefault="00F90D41" w:rsidP="00BC2DED">
            <w:pPr>
              <w:tabs>
                <w:tab w:val="left" w:pos="2127"/>
                <w:tab w:val="left" w:pos="6096"/>
              </w:tabs>
              <w:ind w:firstLine="284"/>
              <w:jc w:val="both"/>
              <w:rPr>
                <w:rFonts w:eastAsia="Times New Roman" w:cs="Times New Roman"/>
                <w:szCs w:val="24"/>
                <w:lang w:eastAsia="lv-LV"/>
              </w:rPr>
            </w:pPr>
            <w:r>
              <w:rPr>
                <w:rFonts w:eastAsia="Times New Roman" w:cs="Times New Roman"/>
                <w:szCs w:val="24"/>
                <w:lang w:eastAsia="lv-LV"/>
              </w:rPr>
              <w:lastRenderedPageBreak/>
              <w:t xml:space="preserve">Attiecībā uz precizēto kritēriju, ka valdes locekļa atbildība iestājas arī gadījumos, kad juridiskās personas aktīvi atsavināti pirms nokavēto nodokļu maksājumu izveidošanās, </w:t>
            </w:r>
            <w:r w:rsidR="00ED51DC">
              <w:rPr>
                <w:rFonts w:eastAsia="Times New Roman" w:cs="Times New Roman"/>
                <w:szCs w:val="24"/>
                <w:lang w:eastAsia="lv-LV"/>
              </w:rPr>
              <w:t>j</w:t>
            </w:r>
            <w:r w:rsidR="0057118A" w:rsidRPr="0057118A">
              <w:rPr>
                <w:rFonts w:eastAsia="Times New Roman" w:cs="Times New Roman"/>
                <w:szCs w:val="24"/>
                <w:lang w:eastAsia="lv-LV"/>
              </w:rPr>
              <w:t>ānorāda, ka jau šobrīd atbilstoši likuma “Par nodokļiem un nodevām” 26.</w:t>
            </w:r>
            <w:r w:rsidR="0057118A" w:rsidRPr="0057118A">
              <w:rPr>
                <w:rFonts w:eastAsia="Times New Roman" w:cs="Times New Roman"/>
                <w:szCs w:val="24"/>
                <w:vertAlign w:val="superscript"/>
                <w:lang w:eastAsia="lv-LV"/>
              </w:rPr>
              <w:t>1</w:t>
            </w:r>
            <w:r w:rsidR="0057118A" w:rsidRPr="0057118A">
              <w:rPr>
                <w:rFonts w:eastAsia="Times New Roman" w:cs="Times New Roman"/>
                <w:szCs w:val="24"/>
                <w:lang w:eastAsia="lv-LV"/>
              </w:rPr>
              <w:t> panta 3.</w:t>
            </w:r>
            <w:r w:rsidR="0057118A" w:rsidRPr="0057118A">
              <w:rPr>
                <w:rFonts w:eastAsia="Times New Roman" w:cs="Times New Roman"/>
                <w:szCs w:val="24"/>
                <w:vertAlign w:val="superscript"/>
                <w:lang w:eastAsia="lv-LV"/>
              </w:rPr>
              <w:t>3</w:t>
            </w:r>
            <w:r w:rsidR="0057118A" w:rsidRPr="0057118A">
              <w:rPr>
                <w:rFonts w:eastAsia="Times New Roman" w:cs="Times New Roman"/>
                <w:szCs w:val="24"/>
                <w:lang w:eastAsia="lv-LV"/>
              </w:rPr>
              <w:t> daļai l</w:t>
            </w:r>
            <w:r w:rsidR="0057118A" w:rsidRPr="0057118A">
              <w:rPr>
                <w:rFonts w:cs="Times New Roman"/>
                <w:szCs w:val="24"/>
                <w:shd w:val="clear" w:color="auto" w:fill="FFFFFF"/>
              </w:rPr>
              <w:t xml:space="preserve">ēmuma pieņemšana par nodokļu revīzijas (audita) veikšanu, paziņojuma nosūtīšana par datu atbilstības pārbaudes laikā konstatētajām konkrētajām neatbilstībām starp nodokļu maksātāja iesniegto informāciju un nodokļu administrācijas rīcībā esošo informāciju un tematiskās pārbaudes akta noformēšana, ja tematiskās pārbaudes laikā konstatēti būtiski pārkāpumi, kas liecina par izvairīšanos no nodokļu nomaksas, ir atzīti par </w:t>
            </w:r>
            <w:r w:rsidR="0057118A">
              <w:rPr>
                <w:rFonts w:cs="Times New Roman"/>
                <w:szCs w:val="24"/>
                <w:shd w:val="clear" w:color="auto" w:fill="FFFFFF"/>
              </w:rPr>
              <w:t xml:space="preserve">tādiem apstākļiem, pie kuriem būtu nodrošināma </w:t>
            </w:r>
            <w:r w:rsidR="00BC2DED">
              <w:rPr>
                <w:rFonts w:cs="Times New Roman"/>
                <w:szCs w:val="24"/>
                <w:shd w:val="clear" w:color="auto" w:fill="FFFFFF"/>
              </w:rPr>
              <w:t xml:space="preserve">iespējamā VID </w:t>
            </w:r>
            <w:r w:rsidR="00BC2DED" w:rsidRPr="00BC2DED">
              <w:rPr>
                <w:rFonts w:cs="Times New Roman"/>
                <w:szCs w:val="24"/>
                <w:shd w:val="clear" w:color="auto" w:fill="FFFFFF"/>
              </w:rPr>
              <w:t>kontroles pasākumu rezultātā pieņemtā lēmuma izpilde, lai tādējādi nodrošinātu, ka valsts vai pašvaldību budžets saņem visus tam pienākošos maksājumus.</w:t>
            </w:r>
          </w:p>
          <w:p w:rsidR="00ED51DC" w:rsidRDefault="00BC2DED" w:rsidP="00BC2DED">
            <w:pPr>
              <w:tabs>
                <w:tab w:val="left" w:pos="2127"/>
                <w:tab w:val="left" w:pos="6096"/>
              </w:tabs>
              <w:ind w:firstLine="284"/>
              <w:jc w:val="both"/>
              <w:rPr>
                <w:rFonts w:eastAsia="Times New Roman"/>
                <w:szCs w:val="24"/>
                <w:lang w:eastAsia="lv-LV"/>
              </w:rPr>
            </w:pPr>
            <w:r w:rsidRPr="00BC2DED">
              <w:rPr>
                <w:rFonts w:eastAsia="Times New Roman" w:cs="Times New Roman"/>
                <w:szCs w:val="24"/>
                <w:lang w:eastAsia="lv-LV"/>
              </w:rPr>
              <w:t xml:space="preserve">Tāpat ar likumprojektu ir veiktas izmaiņas </w:t>
            </w:r>
            <w:r w:rsidRPr="00BC2DED">
              <w:rPr>
                <w:rFonts w:eastAsia="Times New Roman"/>
                <w:szCs w:val="24"/>
                <w:lang w:eastAsia="lv-LV"/>
              </w:rPr>
              <w:t>likuma “Par nodokļiem un nodevām” XI nodaļas regulējumā, paredzot atbildību ne tikai valdes loceklim, bet arī juridiskās personas faktiskajam vadītājam</w:t>
            </w:r>
            <w:r w:rsidR="009A63C6">
              <w:rPr>
                <w:rFonts w:eastAsia="Times New Roman"/>
                <w:szCs w:val="24"/>
                <w:lang w:eastAsia="lv-LV"/>
              </w:rPr>
              <w:t xml:space="preserve">, ņemot vērā, ka </w:t>
            </w:r>
            <w:r w:rsidR="00ED51DC">
              <w:rPr>
                <w:rFonts w:eastAsia="Times New Roman"/>
                <w:szCs w:val="24"/>
                <w:lang w:eastAsia="lv-LV"/>
              </w:rPr>
              <w:t xml:space="preserve">VID </w:t>
            </w:r>
            <w:r w:rsidR="009A63C6">
              <w:rPr>
                <w:rFonts w:eastAsia="Times New Roman"/>
                <w:szCs w:val="24"/>
                <w:lang w:eastAsia="lv-LV"/>
              </w:rPr>
              <w:t>b</w:t>
            </w:r>
            <w:r w:rsidR="004F0B8E" w:rsidRPr="00AA5E33">
              <w:rPr>
                <w:rFonts w:eastAsia="Times New Roman"/>
                <w:szCs w:val="24"/>
                <w:lang w:eastAsia="lv-LV"/>
              </w:rPr>
              <w:t xml:space="preserve">ieži </w:t>
            </w:r>
            <w:r w:rsidR="00ED51DC">
              <w:rPr>
                <w:rFonts w:eastAsia="Times New Roman"/>
                <w:szCs w:val="24"/>
                <w:lang w:eastAsia="lv-LV"/>
              </w:rPr>
              <w:t>konstatē gadījumus</w:t>
            </w:r>
            <w:r w:rsidR="004F0B8E" w:rsidRPr="00AA5E33">
              <w:rPr>
                <w:rFonts w:eastAsia="Times New Roman"/>
                <w:szCs w:val="24"/>
                <w:lang w:eastAsia="lv-LV"/>
              </w:rPr>
              <w:t>, kad faktiski juridiskās personas darbību nodrošina pilnvarotās personas (arī prokūristi) un personas, kuru mērķis nav veikt reālu komercdarbību un pildīt nodokļu saistības.</w:t>
            </w:r>
            <w:r w:rsidR="00220BB4">
              <w:rPr>
                <w:rFonts w:eastAsia="Times New Roman"/>
                <w:szCs w:val="24"/>
                <w:lang w:eastAsia="lv-LV"/>
              </w:rPr>
              <w:t xml:space="preserve"> </w:t>
            </w:r>
          </w:p>
          <w:p w:rsidR="004F0B8E" w:rsidRPr="008407FC" w:rsidRDefault="00220BB4" w:rsidP="00BC2DED">
            <w:pPr>
              <w:tabs>
                <w:tab w:val="left" w:pos="2127"/>
                <w:tab w:val="left" w:pos="6096"/>
              </w:tabs>
              <w:ind w:firstLine="284"/>
              <w:jc w:val="both"/>
              <w:rPr>
                <w:rFonts w:eastAsia="Times New Roman" w:cs="Times New Roman"/>
                <w:szCs w:val="24"/>
                <w:lang w:eastAsia="lv-LV"/>
              </w:rPr>
            </w:pPr>
            <w:r>
              <w:rPr>
                <w:rFonts w:eastAsia="Times New Roman"/>
                <w:szCs w:val="24"/>
                <w:lang w:eastAsia="lv-LV"/>
              </w:rPr>
              <w:t>Tiesību doktrīnā</w:t>
            </w:r>
            <w:r>
              <w:rPr>
                <w:rStyle w:val="FootnoteReference"/>
                <w:rFonts w:eastAsia="Times New Roman"/>
                <w:szCs w:val="24"/>
                <w:lang w:eastAsia="lv-LV"/>
              </w:rPr>
              <w:footnoteReference w:id="1"/>
            </w:r>
            <w:r>
              <w:rPr>
                <w:rFonts w:eastAsia="Times New Roman"/>
                <w:szCs w:val="24"/>
                <w:lang w:eastAsia="lv-LV"/>
              </w:rPr>
              <w:t xml:space="preserve"> ir atzīts</w:t>
            </w:r>
            <w:r w:rsidR="007E07C4">
              <w:rPr>
                <w:rFonts w:eastAsia="Times New Roman"/>
                <w:szCs w:val="24"/>
                <w:lang w:eastAsia="lv-LV"/>
              </w:rPr>
              <w:t xml:space="preserve">, ka valdes locekļiem paredzēto atbildību var piemērot arī tām personām, kas formāli komercreģistrā nav ierakstīti kā valdes </w:t>
            </w:r>
            <w:r w:rsidR="007E07C4" w:rsidRPr="008407FC">
              <w:rPr>
                <w:rFonts w:eastAsia="Times New Roman"/>
                <w:szCs w:val="24"/>
                <w:lang w:eastAsia="lv-LV"/>
              </w:rPr>
              <w:t>locekļi, bet faktiski īsteno valdes funkcijas – faktiskais (</w:t>
            </w:r>
            <w:r w:rsidR="007E07C4" w:rsidRPr="008407FC">
              <w:rPr>
                <w:rFonts w:eastAsia="Times New Roman"/>
                <w:i/>
                <w:szCs w:val="24"/>
                <w:lang w:eastAsia="lv-LV"/>
              </w:rPr>
              <w:t>de facto</w:t>
            </w:r>
            <w:r w:rsidR="007E07C4" w:rsidRPr="008407FC">
              <w:rPr>
                <w:rFonts w:eastAsia="Times New Roman"/>
                <w:szCs w:val="24"/>
                <w:lang w:eastAsia="lv-LV"/>
              </w:rPr>
              <w:t xml:space="preserve">) valdes loceklis. </w:t>
            </w:r>
            <w:r w:rsidR="008C1DBE" w:rsidRPr="008407FC">
              <w:rPr>
                <w:rFonts w:eastAsia="Times New Roman"/>
                <w:szCs w:val="24"/>
                <w:lang w:eastAsia="lv-LV"/>
              </w:rPr>
              <w:t xml:space="preserve">Tas varētu attiekties arī uz komercpilnvarnieku, </w:t>
            </w:r>
            <w:r w:rsidR="008407FC" w:rsidRPr="008407FC">
              <w:rPr>
                <w:rFonts w:eastAsia="Times New Roman"/>
                <w:szCs w:val="24"/>
                <w:lang w:eastAsia="lv-LV"/>
              </w:rPr>
              <w:t>prokūristu vai pat dalībnieku (akcionāru). Tomēr arī procesa uzsākšana pret šādām personām nevar pastāvēt uz prezumcijas pamata, kā arī papildus ir jāpierāda, ka konkrētā persona ir faktiskais valdes loceklis</w:t>
            </w:r>
            <w:r w:rsidR="000113EB">
              <w:rPr>
                <w:rFonts w:eastAsia="Times New Roman"/>
                <w:szCs w:val="24"/>
                <w:lang w:eastAsia="lv-LV"/>
              </w:rPr>
              <w:t>, kas faktiski rīkojies juridiskās personas vārdā</w:t>
            </w:r>
            <w:r w:rsidR="008407FC" w:rsidRPr="008407FC">
              <w:rPr>
                <w:rFonts w:eastAsia="Times New Roman"/>
                <w:szCs w:val="24"/>
                <w:lang w:eastAsia="lv-LV"/>
              </w:rPr>
              <w:t>.</w:t>
            </w:r>
          </w:p>
          <w:p w:rsidR="00862B42" w:rsidRPr="008407FC" w:rsidRDefault="00BC2DED" w:rsidP="008407FC">
            <w:pPr>
              <w:tabs>
                <w:tab w:val="left" w:pos="2127"/>
                <w:tab w:val="left" w:pos="6096"/>
              </w:tabs>
              <w:ind w:firstLine="284"/>
              <w:jc w:val="both"/>
              <w:rPr>
                <w:rFonts w:eastAsia="Times New Roman" w:cs="Times New Roman"/>
                <w:szCs w:val="24"/>
                <w:lang w:eastAsia="lv-LV"/>
              </w:rPr>
            </w:pPr>
            <w:r w:rsidRPr="008407FC">
              <w:rPr>
                <w:rFonts w:eastAsia="Times New Roman" w:cs="Times New Roman"/>
                <w:szCs w:val="24"/>
                <w:lang w:eastAsia="lv-LV"/>
              </w:rPr>
              <w:t>Jānorāda, ka n</w:t>
            </w:r>
            <w:r w:rsidRPr="008407FC">
              <w:rPr>
                <w:rFonts w:eastAsia="Times New Roman"/>
                <w:szCs w:val="24"/>
                <w:lang w:eastAsia="lv-LV"/>
              </w:rPr>
              <w:t>odokļu administrācijai ir pietiekoša kompetence un iespējas iegūt pierādījumus, lai nokavēto nodokļu maksājumu piedziņas procesa vajadzībām izvērtētu un konstatētu gan uzņēmuma pārejas gadījumus, gan atsevišķu personu darbību vai bezdarbības ietekmi uz nesamaksāto nodokļu apmēru un pieņemtu lēmumus par to atbildību. Rezultātā tiktu stiprināta juridisko personu esošo un bijušo amatpersonu</w:t>
            </w:r>
            <w:r w:rsidR="000113EB">
              <w:rPr>
                <w:rFonts w:eastAsia="Times New Roman"/>
                <w:szCs w:val="24"/>
                <w:lang w:eastAsia="lv-LV"/>
              </w:rPr>
              <w:t xml:space="preserve"> vai faktisko amatpersonu</w:t>
            </w:r>
            <w:r w:rsidRPr="008407FC">
              <w:rPr>
                <w:rFonts w:eastAsia="Times New Roman"/>
                <w:szCs w:val="24"/>
                <w:lang w:eastAsia="lv-LV"/>
              </w:rPr>
              <w:t>, pārstāvju, dalībnieku u.c. personu atbildība par juridiskās personas nodokļu maksājumu veikšanu valsts un pašvaldību budžetā un neatkarīgi no tās maksātspējas.</w:t>
            </w:r>
          </w:p>
        </w:tc>
      </w:tr>
      <w:tr w:rsidR="00CE33AC" w:rsidRPr="00750114" w:rsidTr="00A05BA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483" w:type="pct"/>
            <w:gridSpan w:val="2"/>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xml:space="preserve">Projekta izstrādē iesaistītās </w:t>
            </w:r>
            <w:r w:rsidRPr="00750114">
              <w:rPr>
                <w:rFonts w:eastAsia="Times New Roman" w:cs="Times New Roman"/>
                <w:iCs/>
                <w:szCs w:val="24"/>
                <w:lang w:eastAsia="lv-LV"/>
              </w:rPr>
              <w:lastRenderedPageBreak/>
              <w:t>institūcijas un publiskas personas kapitālsabiedrības</w:t>
            </w:r>
          </w:p>
        </w:tc>
        <w:tc>
          <w:tcPr>
            <w:tcW w:w="3167" w:type="pct"/>
            <w:tcBorders>
              <w:top w:val="outset" w:sz="6" w:space="0" w:color="auto"/>
              <w:left w:val="outset" w:sz="6" w:space="0" w:color="auto"/>
              <w:bottom w:val="outset" w:sz="6" w:space="0" w:color="auto"/>
              <w:right w:val="outset" w:sz="6" w:space="0" w:color="auto"/>
            </w:tcBorders>
            <w:hideMark/>
          </w:tcPr>
          <w:p w:rsidR="00E5323B" w:rsidRPr="00750114" w:rsidRDefault="004A04B2" w:rsidP="0033024E">
            <w:pPr>
              <w:ind w:firstLine="284"/>
              <w:rPr>
                <w:rFonts w:eastAsia="Times New Roman" w:cs="Times New Roman"/>
                <w:iCs/>
                <w:szCs w:val="24"/>
                <w:lang w:eastAsia="lv-LV"/>
              </w:rPr>
            </w:pPr>
            <w:r w:rsidRPr="00750114">
              <w:rPr>
                <w:rFonts w:eastAsia="Times New Roman" w:cs="Times New Roman"/>
                <w:iCs/>
                <w:szCs w:val="24"/>
                <w:lang w:eastAsia="lv-LV"/>
              </w:rPr>
              <w:lastRenderedPageBreak/>
              <w:t xml:space="preserve">Finanšu ministrija, </w:t>
            </w:r>
            <w:r w:rsidR="008631A7" w:rsidRPr="00750114">
              <w:rPr>
                <w:rFonts w:eastAsia="Times New Roman" w:cs="Times New Roman"/>
                <w:iCs/>
                <w:szCs w:val="24"/>
                <w:lang w:eastAsia="lv-LV"/>
              </w:rPr>
              <w:t>VID</w:t>
            </w:r>
            <w:r w:rsidRPr="00750114">
              <w:rPr>
                <w:rFonts w:eastAsia="Times New Roman" w:cs="Times New Roman"/>
                <w:iCs/>
                <w:szCs w:val="24"/>
                <w:lang w:eastAsia="lv-LV"/>
              </w:rPr>
              <w:t>.</w:t>
            </w:r>
          </w:p>
        </w:tc>
      </w:tr>
      <w:tr w:rsidR="00CE33AC" w:rsidRPr="00750114" w:rsidTr="00A05BA0">
        <w:trPr>
          <w:tblCellSpacing w:w="15" w:type="dxa"/>
        </w:trPr>
        <w:tc>
          <w:tcPr>
            <w:tcW w:w="285"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83" w:type="pct"/>
            <w:gridSpan w:val="2"/>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rsidR="001E7565" w:rsidRPr="00750114" w:rsidRDefault="00BE21FD" w:rsidP="00385F7F">
            <w:pPr>
              <w:ind w:firstLine="284"/>
              <w:jc w:val="both"/>
              <w:rPr>
                <w:rFonts w:eastAsia="Times New Roman" w:cs="Times New Roman"/>
                <w:iCs/>
                <w:szCs w:val="24"/>
                <w:lang w:eastAsia="lv-LV"/>
              </w:rPr>
            </w:pPr>
            <w:r>
              <w:t>Nav.</w:t>
            </w:r>
          </w:p>
        </w:tc>
      </w:tr>
    </w:tbl>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744"/>
        <w:gridCol w:w="5886"/>
      </w:tblGrid>
      <w:tr w:rsidR="00CE33AC" w:rsidRPr="0075011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II. Tiesību akta projekta ietekme uz sabiedrību, tautsaimniecības attīstību un administratīvo slogu</w:t>
            </w:r>
          </w:p>
        </w:tc>
      </w:tr>
      <w:tr w:rsidR="00CE33AC" w:rsidRPr="00750114" w:rsidTr="00A05B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rsidR="00B24291" w:rsidRDefault="00385F7F" w:rsidP="00DF7EFF">
            <w:pPr>
              <w:ind w:firstLine="284"/>
              <w:jc w:val="both"/>
              <w:rPr>
                <w:rFonts w:eastAsia="Times New Roman" w:cs="Times New Roman"/>
                <w:iCs/>
                <w:szCs w:val="24"/>
                <w:lang w:eastAsia="lv-LV"/>
              </w:rPr>
            </w:pPr>
            <w:r>
              <w:rPr>
                <w:rFonts w:eastAsia="Times New Roman" w:cs="Times New Roman"/>
                <w:iCs/>
                <w:szCs w:val="24"/>
                <w:lang w:eastAsia="lv-LV"/>
              </w:rPr>
              <w:t xml:space="preserve">Likumprojektā ietvertais regulējums </w:t>
            </w:r>
            <w:r w:rsidR="00B24291">
              <w:rPr>
                <w:rFonts w:eastAsia="Times New Roman" w:cs="Times New Roman"/>
                <w:iCs/>
                <w:szCs w:val="24"/>
                <w:lang w:eastAsia="lv-LV"/>
              </w:rPr>
              <w:t xml:space="preserve">attiecībā uz informācijas sniegšanu par riskantajiem darījuma partneriem attiecas uz </w:t>
            </w:r>
            <w:r w:rsidR="000F63EF">
              <w:rPr>
                <w:rFonts w:eastAsia="Times New Roman" w:cs="Times New Roman"/>
                <w:iCs/>
                <w:szCs w:val="24"/>
                <w:lang w:eastAsia="lv-LV"/>
              </w:rPr>
              <w:t>PVN</w:t>
            </w:r>
            <w:r w:rsidR="00B24291">
              <w:rPr>
                <w:rFonts w:eastAsia="Times New Roman" w:cs="Times New Roman"/>
                <w:iCs/>
                <w:szCs w:val="24"/>
                <w:lang w:eastAsia="lv-LV"/>
              </w:rPr>
              <w:t xml:space="preserve"> maksātājiem.</w:t>
            </w:r>
          </w:p>
          <w:p w:rsidR="00E5323B" w:rsidRPr="00750114" w:rsidRDefault="00B24291" w:rsidP="00DF7EFF">
            <w:pPr>
              <w:ind w:firstLine="284"/>
              <w:jc w:val="both"/>
              <w:rPr>
                <w:rFonts w:eastAsia="Times New Roman" w:cs="Times New Roman"/>
                <w:iCs/>
                <w:szCs w:val="24"/>
                <w:lang w:eastAsia="lv-LV"/>
              </w:rPr>
            </w:pPr>
            <w:r>
              <w:rPr>
                <w:rFonts w:eastAsia="Times New Roman" w:cs="Times New Roman"/>
                <w:iCs/>
                <w:szCs w:val="24"/>
                <w:lang w:eastAsia="lv-LV"/>
              </w:rPr>
              <w:t xml:space="preserve">Likumprojektā ietvertais regulējums attiecībā uz valdes locekļu atbildības pilnveidošanu </w:t>
            </w:r>
            <w:r w:rsidR="00385F7F">
              <w:rPr>
                <w:rFonts w:eastAsia="Times New Roman" w:cs="Times New Roman"/>
                <w:iCs/>
                <w:szCs w:val="24"/>
                <w:lang w:eastAsia="lv-LV"/>
              </w:rPr>
              <w:t>attiecas uz juridisko personu valdes locekļiem</w:t>
            </w:r>
            <w:r w:rsidR="00FB4E64">
              <w:rPr>
                <w:rFonts w:eastAsia="Times New Roman" w:cs="Times New Roman"/>
                <w:iCs/>
                <w:szCs w:val="24"/>
                <w:lang w:eastAsia="lv-LV"/>
              </w:rPr>
              <w:t>, kā arī</w:t>
            </w:r>
            <w:r w:rsidR="00FB4E64">
              <w:t xml:space="preserve"> </w:t>
            </w:r>
            <w:r w:rsidR="00FB4E64">
              <w:rPr>
                <w:rFonts w:eastAsia="Times New Roman" w:cs="Times New Roman"/>
                <w:iCs/>
                <w:szCs w:val="24"/>
                <w:lang w:eastAsia="lv-LV"/>
              </w:rPr>
              <w:t>juridiskās personas faktiskajiem vadītājie</w:t>
            </w:r>
            <w:r w:rsidR="00FB4E64" w:rsidRPr="00FB4E64">
              <w:rPr>
                <w:rFonts w:eastAsia="Times New Roman" w:cs="Times New Roman"/>
                <w:iCs/>
                <w:szCs w:val="24"/>
                <w:lang w:eastAsia="lv-LV"/>
              </w:rPr>
              <w:t>m</w:t>
            </w:r>
            <w:r w:rsidR="00DF7EFF">
              <w:rPr>
                <w:rFonts w:eastAsia="Times New Roman" w:cs="Times New Roman"/>
                <w:iCs/>
                <w:szCs w:val="24"/>
                <w:lang w:eastAsia="lv-LV"/>
              </w:rPr>
              <w:t>.</w:t>
            </w:r>
          </w:p>
        </w:tc>
      </w:tr>
      <w:tr w:rsidR="00CE33AC" w:rsidRPr="00750114" w:rsidTr="00A05B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472"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tcPr>
          <w:p w:rsidR="00B24291" w:rsidRPr="00750114" w:rsidRDefault="00B24291" w:rsidP="00B24291">
            <w:pPr>
              <w:ind w:firstLine="284"/>
              <w:jc w:val="both"/>
              <w:rPr>
                <w:rFonts w:eastAsia="Calibri" w:cs="Times New Roman"/>
                <w:szCs w:val="24"/>
              </w:rPr>
            </w:pPr>
            <w:r w:rsidRPr="00750114">
              <w:rPr>
                <w:rFonts w:eastAsia="Calibri" w:cs="Times New Roman"/>
                <w:szCs w:val="24"/>
              </w:rPr>
              <w:t>Likumprojektā ietvertajam tiesiskajam regulējumam attiecībā uz:</w:t>
            </w:r>
          </w:p>
          <w:p w:rsidR="00B24291" w:rsidRPr="00750114" w:rsidRDefault="00B24291" w:rsidP="00B24291">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  nodokļu maksātāja informēšanu par tā riskantajiem darījuma partneriem ir pozitīva ietekme uz uzņēmējdarbības vidi, jo tā rezultātā tiek veicināta konstruktīva sadarbība starp nodokļu administrāciju un nodokļu maksātāju, kā arī sasniegts augsts nodokļu saistību labprātīgas izpildes līmenis;</w:t>
            </w:r>
          </w:p>
          <w:p w:rsidR="001B1EB1" w:rsidRDefault="00B24291">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 xml:space="preserve">-  valdes locekļu </w:t>
            </w:r>
            <w:r w:rsidR="00652957">
              <w:rPr>
                <w:rFonts w:ascii="Times New Roman" w:hAnsi="Times New Roman" w:cs="Times New Roman"/>
                <w:sz w:val="24"/>
                <w:szCs w:val="24"/>
              </w:rPr>
              <w:t xml:space="preserve">atbildības pilnveidošanu </w:t>
            </w:r>
            <w:r w:rsidR="001B1EB1">
              <w:rPr>
                <w:rFonts w:ascii="Times New Roman" w:hAnsi="Times New Roman" w:cs="Times New Roman"/>
                <w:sz w:val="24"/>
                <w:szCs w:val="24"/>
              </w:rPr>
              <w:t xml:space="preserve">ir pozitīva ietekme uz uzņēmējdarbības vidi, jo grozījumu rezultātā juridisko personu valdes locekļi būs motivēti atbildīgāk izturēties pret normatīvajos aktos noteikto pienākumu izpildi (prevencija), </w:t>
            </w:r>
            <w:r w:rsidR="00D71537">
              <w:rPr>
                <w:rFonts w:ascii="Times New Roman" w:hAnsi="Times New Roman" w:cs="Times New Roman"/>
                <w:sz w:val="24"/>
                <w:szCs w:val="24"/>
              </w:rPr>
              <w:t xml:space="preserve">tādējādi sekmējot godprātīgu nodokļu maksājumu veikšanu, </w:t>
            </w:r>
            <w:r w:rsidR="001B1EB1">
              <w:rPr>
                <w:rFonts w:ascii="Times New Roman" w:hAnsi="Times New Roman" w:cs="Times New Roman"/>
                <w:sz w:val="24"/>
                <w:szCs w:val="24"/>
              </w:rPr>
              <w:t xml:space="preserve">gan </w:t>
            </w:r>
            <w:r w:rsidR="00D71537">
              <w:rPr>
                <w:rFonts w:ascii="Times New Roman" w:hAnsi="Times New Roman" w:cs="Times New Roman"/>
                <w:sz w:val="24"/>
                <w:szCs w:val="24"/>
              </w:rPr>
              <w:t xml:space="preserve">tiks </w:t>
            </w:r>
            <w:r w:rsidR="001B1EB1">
              <w:rPr>
                <w:rFonts w:ascii="Times New Roman" w:hAnsi="Times New Roman" w:cs="Times New Roman"/>
                <w:sz w:val="24"/>
                <w:szCs w:val="24"/>
              </w:rPr>
              <w:t>nodro</w:t>
            </w:r>
            <w:r w:rsidR="00D71537">
              <w:rPr>
                <w:rFonts w:ascii="Times New Roman" w:hAnsi="Times New Roman" w:cs="Times New Roman"/>
                <w:sz w:val="24"/>
                <w:szCs w:val="24"/>
              </w:rPr>
              <w:t>šinā</w:t>
            </w:r>
            <w:r w:rsidR="001B1EB1">
              <w:rPr>
                <w:rFonts w:ascii="Times New Roman" w:hAnsi="Times New Roman" w:cs="Times New Roman"/>
                <w:sz w:val="24"/>
                <w:szCs w:val="24"/>
              </w:rPr>
              <w:t>t</w:t>
            </w:r>
            <w:r w:rsidR="00D71537">
              <w:rPr>
                <w:rFonts w:ascii="Times New Roman" w:hAnsi="Times New Roman" w:cs="Times New Roman"/>
                <w:sz w:val="24"/>
                <w:szCs w:val="24"/>
              </w:rPr>
              <w:t>a efektīva nodokļu iekasēšanas sistēma, nodrošinot, ka budžets saņems tam pienākošos juridiskās personas savlaicīgi neveikto</w:t>
            </w:r>
            <w:r w:rsidR="00D365AE">
              <w:rPr>
                <w:rFonts w:ascii="Times New Roman" w:hAnsi="Times New Roman" w:cs="Times New Roman"/>
                <w:sz w:val="24"/>
                <w:szCs w:val="24"/>
              </w:rPr>
              <w:t>s</w:t>
            </w:r>
            <w:r w:rsidR="00D71537">
              <w:rPr>
                <w:rFonts w:ascii="Times New Roman" w:hAnsi="Times New Roman" w:cs="Times New Roman"/>
                <w:sz w:val="24"/>
                <w:szCs w:val="24"/>
              </w:rPr>
              <w:t xml:space="preserve"> nodokļu maksājumu</w:t>
            </w:r>
            <w:r w:rsidR="00D365AE">
              <w:rPr>
                <w:rFonts w:ascii="Times New Roman" w:hAnsi="Times New Roman" w:cs="Times New Roman"/>
                <w:sz w:val="24"/>
                <w:szCs w:val="24"/>
              </w:rPr>
              <w:t>s</w:t>
            </w:r>
            <w:r w:rsidR="00D71537">
              <w:rPr>
                <w:rFonts w:ascii="Times New Roman" w:hAnsi="Times New Roman" w:cs="Times New Roman"/>
                <w:sz w:val="24"/>
                <w:szCs w:val="24"/>
              </w:rPr>
              <w:t xml:space="preserve">. </w:t>
            </w:r>
          </w:p>
          <w:p w:rsidR="00AD5908" w:rsidRPr="00750114" w:rsidRDefault="00385F7F">
            <w:pPr>
              <w:pStyle w:val="NoSpacing"/>
              <w:ind w:firstLine="284"/>
              <w:jc w:val="both"/>
              <w:rPr>
                <w:rFonts w:ascii="Times New Roman" w:hAnsi="Times New Roman" w:cs="Times New Roman"/>
                <w:sz w:val="24"/>
                <w:szCs w:val="24"/>
              </w:rPr>
            </w:pPr>
            <w:r>
              <w:rPr>
                <w:rFonts w:ascii="Times New Roman" w:hAnsi="Times New Roman" w:cs="Times New Roman"/>
                <w:sz w:val="24"/>
                <w:szCs w:val="24"/>
              </w:rPr>
              <w:t>Likumprojekts nerada papildu administratīvo slogu.</w:t>
            </w:r>
          </w:p>
        </w:tc>
      </w:tr>
      <w:tr w:rsidR="00CE33AC" w:rsidRPr="00750114" w:rsidTr="00A05B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rsidR="00E5323B" w:rsidRPr="00AD1073" w:rsidRDefault="00E5323B" w:rsidP="00E5323B">
            <w:pPr>
              <w:rPr>
                <w:rFonts w:eastAsia="Times New Roman" w:cs="Times New Roman"/>
                <w:iCs/>
                <w:szCs w:val="24"/>
                <w:lang w:eastAsia="lv-LV"/>
              </w:rPr>
            </w:pPr>
            <w:r w:rsidRPr="00AD1073">
              <w:rPr>
                <w:rFonts w:eastAsia="Times New Roman" w:cs="Times New Roman"/>
                <w:iCs/>
                <w:szCs w:val="24"/>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F63B67" w:rsidRPr="00AD1073" w:rsidRDefault="00385F7F" w:rsidP="00AD1073">
            <w:pPr>
              <w:ind w:firstLine="284"/>
              <w:jc w:val="both"/>
              <w:rPr>
                <w:rFonts w:cs="Times New Roman"/>
                <w:szCs w:val="24"/>
              </w:rPr>
            </w:pPr>
            <w:r w:rsidRPr="00A951DB">
              <w:rPr>
                <w:rFonts w:eastAsia="Times New Roman" w:cs="Times New Roman"/>
                <w:szCs w:val="24"/>
                <w:lang w:eastAsia="lv-LV"/>
              </w:rPr>
              <w:t>Projekts šo jomu neskar.</w:t>
            </w:r>
          </w:p>
        </w:tc>
      </w:tr>
      <w:tr w:rsidR="00CE33AC" w:rsidRPr="00750114" w:rsidTr="00A05B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tcPr>
          <w:p w:rsidR="00A21E85" w:rsidRPr="00750114" w:rsidRDefault="00385F7F" w:rsidP="00A21E85">
            <w:pPr>
              <w:ind w:left="-11" w:firstLine="284"/>
              <w:jc w:val="both"/>
              <w:rPr>
                <w:rFonts w:eastAsia="Times New Roman" w:cs="Times New Roman"/>
                <w:iCs/>
                <w:szCs w:val="24"/>
                <w:lang w:eastAsia="lv-LV"/>
              </w:rPr>
            </w:pPr>
            <w:r w:rsidRPr="00A951DB">
              <w:rPr>
                <w:rFonts w:eastAsia="Times New Roman" w:cs="Times New Roman"/>
                <w:szCs w:val="24"/>
                <w:lang w:eastAsia="lv-LV"/>
              </w:rPr>
              <w:t>Projekts šo jomu neskar.</w:t>
            </w:r>
          </w:p>
        </w:tc>
      </w:tr>
      <w:tr w:rsidR="00CE33AC" w:rsidRPr="00750114" w:rsidTr="00A05BA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167" w:type="pct"/>
            <w:tcBorders>
              <w:top w:val="outset" w:sz="6" w:space="0" w:color="auto"/>
              <w:left w:val="outset" w:sz="6" w:space="0" w:color="auto"/>
              <w:bottom w:val="outset" w:sz="6" w:space="0" w:color="auto"/>
              <w:right w:val="outset" w:sz="6" w:space="0" w:color="auto"/>
            </w:tcBorders>
          </w:tcPr>
          <w:p w:rsidR="00E5323B" w:rsidRPr="00750114" w:rsidRDefault="00385F7F">
            <w:pPr>
              <w:ind w:left="-11" w:firstLine="284"/>
              <w:jc w:val="both"/>
              <w:rPr>
                <w:rFonts w:eastAsia="Times New Roman" w:cs="Times New Roman"/>
                <w:iCs/>
                <w:szCs w:val="24"/>
                <w:lang w:eastAsia="lv-LV"/>
              </w:rPr>
            </w:pPr>
            <w:r>
              <w:rPr>
                <w:rFonts w:eastAsia="Times New Roman" w:cs="Times New Roman"/>
                <w:iCs/>
                <w:szCs w:val="24"/>
                <w:lang w:eastAsia="lv-LV"/>
              </w:rPr>
              <w:t>Nav.</w:t>
            </w:r>
          </w:p>
        </w:tc>
      </w:tr>
    </w:tbl>
    <w:p w:rsidR="00CF1B95" w:rsidRPr="00750114" w:rsidRDefault="00CF1B95"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4"/>
        <w:gridCol w:w="867"/>
        <w:gridCol w:w="1257"/>
        <w:gridCol w:w="867"/>
        <w:gridCol w:w="1257"/>
        <w:gridCol w:w="1331"/>
      </w:tblGrid>
      <w:tr w:rsidR="001134CF" w:rsidRPr="0022005E" w:rsidTr="00385F7F">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1134CF" w:rsidRPr="0022005E" w:rsidRDefault="001134CF" w:rsidP="00385F7F">
            <w:pPr>
              <w:rPr>
                <w:rFonts w:eastAsia="Times New Roman" w:cs="Times New Roman"/>
                <w:b/>
                <w:bCs/>
                <w:iCs/>
                <w:szCs w:val="24"/>
                <w:lang w:eastAsia="lv-LV"/>
              </w:rPr>
            </w:pPr>
            <w:r w:rsidRPr="0022005E">
              <w:rPr>
                <w:rFonts w:eastAsia="Times New Roman" w:cs="Times New Roman"/>
                <w:b/>
                <w:bCs/>
                <w:iCs/>
                <w:szCs w:val="24"/>
                <w:lang w:eastAsia="lv-LV"/>
              </w:rPr>
              <w:t>III. Tiesību akta projekta ietekme uz valsts budžetu un pašvaldību budžetiem</w:t>
            </w:r>
          </w:p>
        </w:tc>
      </w:tr>
      <w:tr w:rsidR="00A35B17" w:rsidRPr="0022005E" w:rsidTr="00A35B17">
        <w:trPr>
          <w:tblCellSpacing w:w="15" w:type="dxa"/>
        </w:trPr>
        <w:tc>
          <w:tcPr>
            <w:tcW w:w="785" w:type="pct"/>
            <w:vMerge w:val="restar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Rādītāji</w:t>
            </w:r>
          </w:p>
        </w:tc>
        <w:tc>
          <w:tcPr>
            <w:tcW w:w="93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2019</w:t>
            </w:r>
          </w:p>
        </w:tc>
        <w:tc>
          <w:tcPr>
            <w:tcW w:w="3219" w:type="pct"/>
            <w:gridSpan w:val="5"/>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rPr>
                <w:rFonts w:eastAsia="Times New Roman" w:cs="Times New Roman"/>
                <w:iCs/>
                <w:szCs w:val="24"/>
                <w:lang w:eastAsia="lv-LV"/>
              </w:rPr>
            </w:pPr>
            <w:r w:rsidRPr="00174A5C">
              <w:rPr>
                <w:rFonts w:eastAsia="Times New Roman" w:cs="Times New Roman"/>
                <w:iCs/>
                <w:szCs w:val="24"/>
                <w:lang w:eastAsia="lv-LV"/>
              </w:rPr>
              <w:t>Turpmākie trīs gadi (</w:t>
            </w:r>
            <w:r w:rsidRPr="00174A5C">
              <w:rPr>
                <w:rFonts w:eastAsia="Times New Roman" w:cs="Times New Roman"/>
                <w:i/>
                <w:iCs/>
                <w:szCs w:val="24"/>
                <w:lang w:eastAsia="lv-LV"/>
              </w:rPr>
              <w:t>euro</w:t>
            </w:r>
            <w:r w:rsidRPr="00174A5C">
              <w:rPr>
                <w:rFonts w:eastAsia="Times New Roman" w:cs="Times New Roman"/>
                <w:iCs/>
                <w:szCs w:val="24"/>
                <w:lang w:eastAsia="lv-LV"/>
              </w:rPr>
              <w:t>)</w:t>
            </w:r>
          </w:p>
        </w:tc>
      </w:tr>
      <w:tr w:rsidR="00DD253C" w:rsidRPr="0022005E" w:rsidTr="00B6700F">
        <w:trPr>
          <w:tblCellSpacing w:w="15" w:type="dxa"/>
        </w:trPr>
        <w:tc>
          <w:tcPr>
            <w:tcW w:w="785" w:type="pct"/>
            <w:vMerge/>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p>
        </w:tc>
        <w:tc>
          <w:tcPr>
            <w:tcW w:w="930" w:type="pct"/>
            <w:gridSpan w:val="2"/>
            <w:vMerge/>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p>
        </w:tc>
        <w:tc>
          <w:tcPr>
            <w:tcW w:w="1194" w:type="pct"/>
            <w:gridSpan w:val="2"/>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2020</w:t>
            </w:r>
          </w:p>
        </w:tc>
        <w:tc>
          <w:tcPr>
            <w:tcW w:w="1194" w:type="pct"/>
            <w:gridSpan w:val="2"/>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2021</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2022</w:t>
            </w:r>
          </w:p>
        </w:tc>
      </w:tr>
      <w:tr w:rsidR="00A35B17" w:rsidRPr="0022005E" w:rsidTr="00B6700F">
        <w:trPr>
          <w:tblCellSpacing w:w="15" w:type="dxa"/>
        </w:trPr>
        <w:tc>
          <w:tcPr>
            <w:tcW w:w="785" w:type="pct"/>
            <w:vMerge/>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t>saskaņā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t xml:space="preserve">izmaiņas kārtējā gadā, salīdzinot ar valsts budžetu </w:t>
            </w:r>
            <w:r w:rsidRPr="0059610E">
              <w:rPr>
                <w:rFonts w:eastAsia="Times New Roman" w:cs="Times New Roman"/>
                <w:iCs/>
                <w:szCs w:val="24"/>
                <w:lang w:eastAsia="lv-LV"/>
              </w:rPr>
              <w:lastRenderedPageBreak/>
              <w:t>kārtējam gadam</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lastRenderedPageBreak/>
              <w:t>saskaņā ar vidēja termiņa budžeta ietvaru</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t xml:space="preserve">izmaiņas, salīdzinot ar vidēja termiņa budžeta ietvaru </w:t>
            </w:r>
            <w:r w:rsidRPr="0059610E">
              <w:rPr>
                <w:rFonts w:eastAsia="Times New Roman" w:cs="Times New Roman"/>
                <w:iCs/>
                <w:szCs w:val="24"/>
                <w:lang w:eastAsia="lv-LV"/>
              </w:rPr>
              <w:lastRenderedPageBreak/>
              <w:t>2020. gadam</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lastRenderedPageBreak/>
              <w:t>saskaņā ar vidēja termiņa budžeta ietvaru</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t xml:space="preserve">izmaiņas, salīdzinot ar vidēja termiņa budžeta ietvaru </w:t>
            </w:r>
            <w:r w:rsidRPr="0059610E">
              <w:rPr>
                <w:rFonts w:eastAsia="Times New Roman" w:cs="Times New Roman"/>
                <w:iCs/>
                <w:szCs w:val="24"/>
                <w:lang w:eastAsia="lv-LV"/>
              </w:rPr>
              <w:lastRenderedPageBreak/>
              <w:t>2021. gadam</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rPr>
                <w:rFonts w:eastAsia="Times New Roman" w:cs="Times New Roman"/>
                <w:iCs/>
                <w:szCs w:val="24"/>
                <w:lang w:eastAsia="lv-LV"/>
              </w:rPr>
            </w:pPr>
            <w:r w:rsidRPr="0059610E">
              <w:rPr>
                <w:rFonts w:eastAsia="Times New Roman" w:cs="Times New Roman"/>
                <w:iCs/>
                <w:szCs w:val="24"/>
                <w:lang w:eastAsia="lv-LV"/>
              </w:rPr>
              <w:lastRenderedPageBreak/>
              <w:t xml:space="preserve">izmaiņas, salīdzinot ar vidēja termiņa budžeta ietvaru </w:t>
            </w:r>
            <w:r w:rsidRPr="0059610E">
              <w:rPr>
                <w:rFonts w:eastAsia="Times New Roman" w:cs="Times New Roman"/>
                <w:iCs/>
                <w:szCs w:val="24"/>
                <w:lang w:eastAsia="lv-LV"/>
              </w:rPr>
              <w:lastRenderedPageBreak/>
              <w:t>2021. gadam</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jc w:val="center"/>
              <w:rPr>
                <w:rFonts w:eastAsia="Times New Roman" w:cs="Times New Roman"/>
                <w:iCs/>
                <w:szCs w:val="24"/>
                <w:lang w:eastAsia="lv-LV"/>
              </w:rPr>
            </w:pPr>
            <w:r w:rsidRPr="00DD253C">
              <w:rPr>
                <w:rFonts w:eastAsia="Times New Roman" w:cs="Times New Roman"/>
                <w:iCs/>
                <w:szCs w:val="24"/>
                <w:lang w:eastAsia="lv-LV"/>
              </w:rPr>
              <w:lastRenderedPageBreak/>
              <w:t>1</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2</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3</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4</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5</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6</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7</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8</w:t>
            </w:r>
          </w:p>
        </w:tc>
      </w:tr>
      <w:tr w:rsidR="00112A45"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1. Budžeta ieņēmumi</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A301B1">
            <w:pPr>
              <w:jc w:val="center"/>
              <w:rPr>
                <w:rFonts w:eastAsia="Times New Roman" w:cs="Times New Roman"/>
                <w:iCs/>
                <w:szCs w:val="24"/>
                <w:lang w:eastAsia="lv-LV"/>
              </w:rPr>
            </w:pPr>
            <w:r>
              <w:rPr>
                <w:rFonts w:eastAsia="Times New Roman" w:cs="Times New Roman"/>
                <w:iCs/>
                <w:szCs w:val="24"/>
                <w:lang w:eastAsia="lv-LV"/>
              </w:rPr>
              <w:t>5</w:t>
            </w:r>
            <w:r w:rsidR="00A35B17">
              <w:rPr>
                <w:rFonts w:eastAsia="Times New Roman" w:cs="Times New Roman"/>
                <w:iCs/>
                <w:szCs w:val="24"/>
                <w:lang w:eastAsia="lv-LV"/>
              </w:rPr>
              <w:t>180</w:t>
            </w:r>
            <w:r>
              <w:rPr>
                <w:rFonts w:eastAsia="Times New Roman" w:cs="Times New Roman"/>
                <w:iCs/>
                <w:szCs w:val="24"/>
                <w:lang w:eastAsia="lv-LV"/>
              </w:rPr>
              <w:t>000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B5D71" w:rsidRDefault="00112A45" w:rsidP="00A35B17">
            <w:pPr>
              <w:jc w:val="center"/>
              <w:rPr>
                <w:rFonts w:eastAsia="Times New Roman" w:cs="Times New Roman"/>
                <w:iCs/>
                <w:szCs w:val="24"/>
                <w:lang w:eastAsia="lv-LV"/>
              </w:rPr>
            </w:pPr>
            <w:r w:rsidRPr="005B5D71">
              <w:rPr>
                <w:rFonts w:eastAsia="Times New Roman" w:cs="Times New Roman"/>
                <w:iCs/>
                <w:szCs w:val="24"/>
                <w:lang w:eastAsia="lv-LV"/>
              </w:rPr>
              <w:t>5</w:t>
            </w:r>
            <w:r w:rsidR="00635246" w:rsidRPr="005B5D71">
              <w:rPr>
                <w:rFonts w:eastAsia="Times New Roman" w:cs="Times New Roman"/>
                <w:iCs/>
                <w:szCs w:val="24"/>
                <w:lang w:eastAsia="lv-LV"/>
              </w:rPr>
              <w:t>4</w:t>
            </w:r>
            <w:r w:rsidRPr="005B5D71">
              <w:rPr>
                <w:rFonts w:eastAsia="Times New Roman" w:cs="Times New Roman"/>
                <w:iCs/>
                <w:szCs w:val="24"/>
                <w:lang w:eastAsia="lv-LV"/>
              </w:rPr>
              <w:t>80000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B5D71" w:rsidRDefault="00A35B17" w:rsidP="00D67692">
            <w:pPr>
              <w:jc w:val="center"/>
              <w:rPr>
                <w:rFonts w:eastAsia="Times New Roman" w:cs="Times New Roman"/>
                <w:iCs/>
                <w:szCs w:val="24"/>
                <w:lang w:eastAsia="lv-LV"/>
              </w:rPr>
            </w:pPr>
            <w:r w:rsidRPr="005B5D71">
              <w:rPr>
                <w:rFonts w:eastAsia="Times New Roman" w:cs="Times New Roman"/>
                <w:iCs/>
                <w:szCs w:val="24"/>
                <w:lang w:eastAsia="lv-LV"/>
              </w:rPr>
              <w:t>5</w:t>
            </w:r>
            <w:r w:rsidR="00635246" w:rsidRPr="005B5D71">
              <w:rPr>
                <w:rFonts w:eastAsia="Times New Roman" w:cs="Times New Roman"/>
                <w:iCs/>
                <w:szCs w:val="24"/>
                <w:lang w:eastAsia="lv-LV"/>
              </w:rPr>
              <w:t>4</w:t>
            </w:r>
            <w:r w:rsidRPr="005B5D71">
              <w:rPr>
                <w:rFonts w:eastAsia="Times New Roman" w:cs="Times New Roman"/>
                <w:iCs/>
                <w:szCs w:val="24"/>
                <w:lang w:eastAsia="lv-LV"/>
              </w:rPr>
              <w:t>80000</w:t>
            </w:r>
          </w:p>
        </w:tc>
      </w:tr>
      <w:tr w:rsidR="00112A45"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1.1. valsts pamatbudžets, tai skaitā ieņēmumi no maksas pakalpojumiem un citi pašu ieņēmumi</w:t>
            </w:r>
          </w:p>
        </w:tc>
        <w:tc>
          <w:tcPr>
            <w:tcW w:w="452" w:type="pct"/>
            <w:tcBorders>
              <w:top w:val="outset" w:sz="6" w:space="0" w:color="auto"/>
              <w:left w:val="outset" w:sz="6" w:space="0" w:color="auto"/>
              <w:bottom w:val="outset" w:sz="6" w:space="0" w:color="auto"/>
              <w:right w:val="outset" w:sz="6" w:space="0" w:color="auto"/>
            </w:tcBorders>
            <w:vAlign w:val="center"/>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C16DB2" w:rsidRPr="00174A5C" w:rsidRDefault="00A35B17" w:rsidP="00790F3A">
            <w:pPr>
              <w:jc w:val="center"/>
              <w:rPr>
                <w:rFonts w:eastAsia="Times New Roman" w:cs="Times New Roman"/>
                <w:iCs/>
                <w:szCs w:val="24"/>
                <w:lang w:eastAsia="lv-LV"/>
              </w:rPr>
            </w:pPr>
            <w:r>
              <w:rPr>
                <w:rFonts w:eastAsia="Times New Roman" w:cs="Times New Roman"/>
                <w:iCs/>
                <w:szCs w:val="24"/>
                <w:lang w:eastAsia="lv-LV"/>
              </w:rPr>
              <w:t>4</w:t>
            </w:r>
            <w:r w:rsidR="00DD253C">
              <w:rPr>
                <w:rFonts w:eastAsia="Times New Roman" w:cs="Times New Roman"/>
                <w:iCs/>
                <w:szCs w:val="24"/>
                <w:lang w:eastAsia="lv-LV"/>
              </w:rPr>
              <w:t>000000 </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tcPr>
          <w:p w:rsidR="00C16DB2" w:rsidRPr="005B5D71" w:rsidRDefault="00A35B17" w:rsidP="00790F3A">
            <w:pPr>
              <w:jc w:val="center"/>
              <w:rPr>
                <w:rFonts w:eastAsia="Times New Roman" w:cs="Times New Roman"/>
                <w:iCs/>
                <w:szCs w:val="24"/>
                <w:lang w:eastAsia="lv-LV"/>
              </w:rPr>
            </w:pPr>
            <w:r w:rsidRPr="005B5D71">
              <w:rPr>
                <w:rFonts w:eastAsia="Times New Roman" w:cs="Times New Roman"/>
                <w:iCs/>
                <w:szCs w:val="24"/>
                <w:lang w:eastAsia="lv-LV"/>
              </w:rPr>
              <w:t>4</w:t>
            </w:r>
            <w:r w:rsidR="00423F60" w:rsidRPr="005B5D71">
              <w:rPr>
                <w:rFonts w:eastAsia="Times New Roman" w:cs="Times New Roman"/>
                <w:iCs/>
                <w:szCs w:val="24"/>
                <w:lang w:eastAsia="lv-LV"/>
              </w:rPr>
              <w:t>3</w:t>
            </w:r>
            <w:r w:rsidRPr="005B5D71">
              <w:rPr>
                <w:rFonts w:eastAsia="Times New Roman" w:cs="Times New Roman"/>
                <w:iCs/>
                <w:szCs w:val="24"/>
                <w:lang w:eastAsia="lv-LV"/>
              </w:rPr>
              <w:t>00000 </w:t>
            </w:r>
          </w:p>
        </w:tc>
        <w:tc>
          <w:tcPr>
            <w:tcW w:w="799" w:type="pct"/>
            <w:tcBorders>
              <w:top w:val="outset" w:sz="6" w:space="0" w:color="auto"/>
              <w:left w:val="outset" w:sz="6" w:space="0" w:color="auto"/>
              <w:bottom w:val="outset" w:sz="6" w:space="0" w:color="auto"/>
              <w:right w:val="outset" w:sz="6" w:space="0" w:color="auto"/>
            </w:tcBorders>
            <w:vAlign w:val="center"/>
          </w:tcPr>
          <w:p w:rsidR="00C16DB2" w:rsidRPr="005B5D71" w:rsidRDefault="00A35B17" w:rsidP="00385F7F">
            <w:pPr>
              <w:jc w:val="center"/>
              <w:rPr>
                <w:rFonts w:eastAsia="Times New Roman" w:cs="Times New Roman"/>
                <w:iCs/>
                <w:szCs w:val="24"/>
                <w:lang w:eastAsia="lv-LV"/>
              </w:rPr>
            </w:pPr>
            <w:r w:rsidRPr="005B5D71">
              <w:rPr>
                <w:rFonts w:eastAsia="Times New Roman" w:cs="Times New Roman"/>
                <w:iCs/>
                <w:szCs w:val="24"/>
                <w:lang w:eastAsia="lv-LV"/>
              </w:rPr>
              <w:t>4</w:t>
            </w:r>
            <w:r w:rsidR="00423F60" w:rsidRPr="005B5D71">
              <w:rPr>
                <w:rFonts w:eastAsia="Times New Roman" w:cs="Times New Roman"/>
                <w:iCs/>
                <w:szCs w:val="24"/>
                <w:lang w:eastAsia="lv-LV"/>
              </w:rPr>
              <w:t>3</w:t>
            </w:r>
            <w:r w:rsidRPr="005B5D71">
              <w:rPr>
                <w:rFonts w:eastAsia="Times New Roman" w:cs="Times New Roman"/>
                <w:iCs/>
                <w:szCs w:val="24"/>
                <w:lang w:eastAsia="lv-LV"/>
              </w:rPr>
              <w:t>00000 </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1.2. valsts speciālais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C37DFC">
            <w:pPr>
              <w:jc w:val="center"/>
              <w:rPr>
                <w:rFonts w:eastAsia="Times New Roman" w:cs="Times New Roman"/>
                <w:iCs/>
                <w:szCs w:val="24"/>
                <w:lang w:eastAsia="lv-LV"/>
              </w:rPr>
            </w:pPr>
            <w:r w:rsidRPr="00174A5C">
              <w:rPr>
                <w:rFonts w:eastAsia="Times New Roman" w:cs="Times New Roman"/>
                <w:iCs/>
                <w:szCs w:val="24"/>
                <w:lang w:eastAsia="lv-LV"/>
              </w:rPr>
              <w:t>780000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tcPr>
          <w:p w:rsidR="001134CF" w:rsidRPr="00174A5C" w:rsidRDefault="00A35B17" w:rsidP="00385F7F">
            <w:pPr>
              <w:jc w:val="center"/>
              <w:rPr>
                <w:rFonts w:eastAsia="Times New Roman" w:cs="Times New Roman"/>
                <w:iCs/>
                <w:szCs w:val="24"/>
                <w:lang w:eastAsia="lv-LV"/>
              </w:rPr>
            </w:pPr>
            <w:r w:rsidRPr="00174A5C">
              <w:rPr>
                <w:rFonts w:eastAsia="Times New Roman" w:cs="Times New Roman"/>
                <w:iCs/>
                <w:szCs w:val="24"/>
                <w:lang w:eastAsia="lv-LV"/>
              </w:rPr>
              <w:t>780000</w:t>
            </w:r>
          </w:p>
        </w:tc>
        <w:tc>
          <w:tcPr>
            <w:tcW w:w="799" w:type="pct"/>
            <w:tcBorders>
              <w:top w:val="outset" w:sz="6" w:space="0" w:color="auto"/>
              <w:left w:val="outset" w:sz="6" w:space="0" w:color="auto"/>
              <w:bottom w:val="outset" w:sz="6" w:space="0" w:color="auto"/>
              <w:right w:val="outset" w:sz="6" w:space="0" w:color="auto"/>
            </w:tcBorders>
            <w:vAlign w:val="center"/>
          </w:tcPr>
          <w:p w:rsidR="001134CF" w:rsidRPr="00174A5C" w:rsidRDefault="00A35B17" w:rsidP="00385F7F">
            <w:pPr>
              <w:jc w:val="center"/>
              <w:rPr>
                <w:rFonts w:eastAsia="Times New Roman" w:cs="Times New Roman"/>
                <w:iCs/>
                <w:szCs w:val="24"/>
                <w:lang w:eastAsia="lv-LV"/>
              </w:rPr>
            </w:pPr>
            <w:r w:rsidRPr="00174A5C">
              <w:rPr>
                <w:rFonts w:eastAsia="Times New Roman" w:cs="Times New Roman"/>
                <w:iCs/>
                <w:szCs w:val="24"/>
                <w:lang w:eastAsia="lv-LV"/>
              </w:rPr>
              <w:t>780000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1.3. pašvaldību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A2159D">
            <w:pPr>
              <w:jc w:val="center"/>
              <w:rPr>
                <w:rFonts w:eastAsia="Times New Roman" w:cs="Times New Roman"/>
                <w:iCs/>
                <w:szCs w:val="24"/>
                <w:lang w:eastAsia="lv-LV"/>
              </w:rPr>
            </w:pPr>
            <w:r w:rsidRPr="00174A5C">
              <w:rPr>
                <w:rFonts w:eastAsia="Times New Roman" w:cs="Times New Roman"/>
                <w:iCs/>
                <w:szCs w:val="24"/>
                <w:lang w:eastAsia="lv-LV"/>
              </w:rPr>
              <w:t>4</w:t>
            </w:r>
            <w:r w:rsidR="00C16DB2" w:rsidRPr="00174A5C">
              <w:rPr>
                <w:rFonts w:eastAsia="Times New Roman" w:cs="Times New Roman"/>
                <w:iCs/>
                <w:szCs w:val="24"/>
                <w:lang w:eastAsia="lv-LV"/>
              </w:rPr>
              <w:t>000</w:t>
            </w:r>
            <w:r w:rsidRPr="00174A5C">
              <w:rPr>
                <w:rFonts w:eastAsia="Times New Roman" w:cs="Times New Roman"/>
                <w:iCs/>
                <w:szCs w:val="24"/>
                <w:lang w:eastAsia="lv-LV"/>
              </w:rPr>
              <w:t>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DD253C" w:rsidRDefault="001134CF" w:rsidP="00385F7F">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tcPr>
          <w:p w:rsidR="001134CF" w:rsidRPr="00174A5C" w:rsidRDefault="00A35B17">
            <w:pPr>
              <w:jc w:val="center"/>
              <w:rPr>
                <w:rFonts w:eastAsia="Times New Roman" w:cs="Times New Roman"/>
                <w:iCs/>
                <w:szCs w:val="24"/>
                <w:lang w:eastAsia="lv-LV"/>
              </w:rPr>
            </w:pPr>
            <w:r w:rsidRPr="00174A5C">
              <w:rPr>
                <w:rFonts w:eastAsia="Times New Roman" w:cs="Times New Roman"/>
                <w:iCs/>
                <w:szCs w:val="24"/>
                <w:lang w:eastAsia="lv-LV"/>
              </w:rPr>
              <w:t>400000</w:t>
            </w:r>
          </w:p>
        </w:tc>
        <w:tc>
          <w:tcPr>
            <w:tcW w:w="799" w:type="pct"/>
            <w:tcBorders>
              <w:top w:val="outset" w:sz="6" w:space="0" w:color="auto"/>
              <w:left w:val="outset" w:sz="6" w:space="0" w:color="auto"/>
              <w:bottom w:val="outset" w:sz="6" w:space="0" w:color="auto"/>
              <w:right w:val="outset" w:sz="6" w:space="0" w:color="auto"/>
            </w:tcBorders>
            <w:vAlign w:val="center"/>
          </w:tcPr>
          <w:p w:rsidR="001134CF" w:rsidRPr="00174A5C" w:rsidRDefault="00A35B17">
            <w:pPr>
              <w:jc w:val="center"/>
              <w:rPr>
                <w:rFonts w:eastAsia="Times New Roman" w:cs="Times New Roman"/>
                <w:iCs/>
                <w:szCs w:val="24"/>
                <w:lang w:eastAsia="lv-LV"/>
              </w:rPr>
            </w:pPr>
            <w:r w:rsidRPr="00174A5C">
              <w:rPr>
                <w:rFonts w:eastAsia="Times New Roman" w:cs="Times New Roman"/>
                <w:iCs/>
                <w:szCs w:val="24"/>
                <w:lang w:eastAsia="lv-LV"/>
              </w:rPr>
              <w:t>400000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2. Budžeta izdevumi</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9B592C"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2.1. valsts pamatbudžets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9B592C"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2.2. valsts speciālais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34CF" w:rsidRPr="00DD253C" w:rsidRDefault="001134CF" w:rsidP="00385F7F">
            <w:pPr>
              <w:rPr>
                <w:rFonts w:eastAsia="Times New Roman" w:cs="Times New Roman"/>
                <w:iCs/>
                <w:szCs w:val="24"/>
                <w:lang w:eastAsia="lv-LV"/>
              </w:rPr>
            </w:pPr>
            <w:r w:rsidRPr="00DD253C">
              <w:rPr>
                <w:rFonts w:eastAsia="Times New Roman" w:cs="Times New Roman"/>
                <w:iCs/>
                <w:szCs w:val="24"/>
                <w:lang w:eastAsia="lv-LV"/>
              </w:rPr>
              <w:t>2.3. pašvaldību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174A5C" w:rsidRDefault="001134CF" w:rsidP="00385F7F">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34CF" w:rsidRPr="0059610E" w:rsidRDefault="001134CF" w:rsidP="00385F7F">
            <w:pPr>
              <w:jc w:val="center"/>
              <w:rPr>
                <w:rFonts w:eastAsia="Times New Roman" w:cs="Times New Roman"/>
                <w:iCs/>
                <w:szCs w:val="24"/>
                <w:lang w:eastAsia="lv-LV"/>
              </w:rPr>
            </w:pPr>
            <w:r w:rsidRPr="0059610E">
              <w:rPr>
                <w:rFonts w:eastAsia="Times New Roman" w:cs="Times New Roman"/>
                <w:iCs/>
                <w:szCs w:val="24"/>
                <w:lang w:eastAsia="lv-LV"/>
              </w:rPr>
              <w:t>0</w:t>
            </w:r>
          </w:p>
        </w:tc>
      </w:tr>
      <w:tr w:rsidR="00112A45"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2A45" w:rsidRPr="00DD253C" w:rsidRDefault="00112A45" w:rsidP="00112A45">
            <w:pPr>
              <w:rPr>
                <w:rFonts w:eastAsia="Times New Roman" w:cs="Times New Roman"/>
                <w:iCs/>
                <w:szCs w:val="24"/>
                <w:lang w:eastAsia="lv-LV"/>
              </w:rPr>
            </w:pPr>
            <w:r w:rsidRPr="00DD253C">
              <w:rPr>
                <w:rFonts w:eastAsia="Times New Roman" w:cs="Times New Roman"/>
                <w:iCs/>
                <w:szCs w:val="24"/>
                <w:lang w:eastAsia="lv-LV"/>
              </w:rPr>
              <w:t>3. Finansiālā ietekme</w:t>
            </w:r>
          </w:p>
        </w:tc>
        <w:tc>
          <w:tcPr>
            <w:tcW w:w="45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DD253C" w:rsidRDefault="00112A45" w:rsidP="00112A45">
            <w:pPr>
              <w:jc w:val="center"/>
              <w:rPr>
                <w:rFonts w:eastAsia="Times New Roman" w:cs="Times New Roman"/>
                <w:iCs/>
                <w:szCs w:val="24"/>
                <w:lang w:eastAsia="lv-LV"/>
              </w:rPr>
            </w:pPr>
            <w:r>
              <w:rPr>
                <w:rFonts w:eastAsia="Times New Roman" w:cs="Times New Roman"/>
                <w:iCs/>
                <w:szCs w:val="24"/>
                <w:lang w:eastAsia="lv-LV"/>
              </w:rPr>
              <w:t>5</w:t>
            </w:r>
            <w:r w:rsidR="00A35B17">
              <w:rPr>
                <w:rFonts w:eastAsia="Times New Roman" w:cs="Times New Roman"/>
                <w:iCs/>
                <w:szCs w:val="24"/>
                <w:lang w:eastAsia="lv-LV"/>
              </w:rPr>
              <w:t>180</w:t>
            </w:r>
            <w:r>
              <w:rPr>
                <w:rFonts w:eastAsia="Times New Roman" w:cs="Times New Roman"/>
                <w:iCs/>
                <w:szCs w:val="24"/>
                <w:lang w:eastAsia="lv-LV"/>
              </w:rPr>
              <w:t>000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A35B17" w:rsidP="00112A45">
            <w:pPr>
              <w:jc w:val="center"/>
              <w:rPr>
                <w:rFonts w:eastAsia="Times New Roman" w:cs="Times New Roman"/>
                <w:iCs/>
                <w:szCs w:val="24"/>
                <w:lang w:eastAsia="lv-LV"/>
              </w:rPr>
            </w:pPr>
            <w:r w:rsidRPr="005B5D71">
              <w:rPr>
                <w:rFonts w:eastAsia="Times New Roman" w:cs="Times New Roman"/>
                <w:iCs/>
                <w:szCs w:val="24"/>
                <w:lang w:eastAsia="lv-LV"/>
              </w:rPr>
              <w:t>5</w:t>
            </w:r>
            <w:r w:rsidR="00635246" w:rsidRPr="005B5D71">
              <w:rPr>
                <w:rFonts w:eastAsia="Times New Roman" w:cs="Times New Roman"/>
                <w:iCs/>
                <w:szCs w:val="24"/>
                <w:lang w:eastAsia="lv-LV"/>
              </w:rPr>
              <w:t>4</w:t>
            </w:r>
            <w:r w:rsidRPr="005B5D71">
              <w:rPr>
                <w:rFonts w:eastAsia="Times New Roman" w:cs="Times New Roman"/>
                <w:iCs/>
                <w:szCs w:val="24"/>
                <w:lang w:eastAsia="lv-LV"/>
              </w:rPr>
              <w:t>80000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A35B17" w:rsidP="00112A45">
            <w:pPr>
              <w:jc w:val="center"/>
              <w:rPr>
                <w:rFonts w:eastAsia="Times New Roman" w:cs="Times New Roman"/>
                <w:iCs/>
                <w:szCs w:val="24"/>
                <w:lang w:eastAsia="lv-LV"/>
              </w:rPr>
            </w:pPr>
            <w:r w:rsidRPr="005B5D71">
              <w:rPr>
                <w:rFonts w:eastAsia="Times New Roman" w:cs="Times New Roman"/>
                <w:iCs/>
                <w:szCs w:val="24"/>
                <w:lang w:eastAsia="lv-LV"/>
              </w:rPr>
              <w:t>5</w:t>
            </w:r>
            <w:r w:rsidR="00635246" w:rsidRPr="005B5D71">
              <w:rPr>
                <w:rFonts w:eastAsia="Times New Roman" w:cs="Times New Roman"/>
                <w:iCs/>
                <w:szCs w:val="24"/>
                <w:lang w:eastAsia="lv-LV"/>
              </w:rPr>
              <w:t>4</w:t>
            </w:r>
            <w:r w:rsidRPr="005B5D71">
              <w:rPr>
                <w:rFonts w:eastAsia="Times New Roman" w:cs="Times New Roman"/>
                <w:iCs/>
                <w:szCs w:val="24"/>
                <w:lang w:eastAsia="lv-LV"/>
              </w:rPr>
              <w:t>80000</w:t>
            </w:r>
          </w:p>
        </w:tc>
      </w:tr>
      <w:tr w:rsidR="00112A45"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2A45" w:rsidRPr="00DD253C" w:rsidRDefault="00112A45" w:rsidP="00112A45">
            <w:pPr>
              <w:rPr>
                <w:rFonts w:eastAsia="Times New Roman" w:cs="Times New Roman"/>
                <w:iCs/>
                <w:szCs w:val="24"/>
                <w:lang w:eastAsia="lv-LV"/>
              </w:rPr>
            </w:pPr>
            <w:r w:rsidRPr="00DD253C">
              <w:rPr>
                <w:rFonts w:eastAsia="Times New Roman" w:cs="Times New Roman"/>
                <w:iCs/>
                <w:szCs w:val="24"/>
                <w:lang w:eastAsia="lv-LV"/>
              </w:rPr>
              <w:t>3.1. valsts pamatbudžets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A35B17" w:rsidP="00112A45">
            <w:pPr>
              <w:jc w:val="center"/>
              <w:rPr>
                <w:rFonts w:eastAsia="Times New Roman" w:cs="Times New Roman"/>
                <w:iCs/>
                <w:szCs w:val="24"/>
                <w:highlight w:val="yellow"/>
                <w:lang w:eastAsia="lv-LV"/>
              </w:rPr>
            </w:pPr>
            <w:r>
              <w:rPr>
                <w:rFonts w:eastAsia="Times New Roman" w:cs="Times New Roman"/>
                <w:iCs/>
                <w:szCs w:val="24"/>
                <w:lang w:eastAsia="lv-LV"/>
              </w:rPr>
              <w:t>4</w:t>
            </w:r>
            <w:r w:rsidR="00112A45">
              <w:rPr>
                <w:rFonts w:eastAsia="Times New Roman" w:cs="Times New Roman"/>
                <w:iCs/>
                <w:szCs w:val="24"/>
                <w:lang w:eastAsia="lv-LV"/>
              </w:rPr>
              <w:t>000000 </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highlight w:val="yellow"/>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A35B17" w:rsidP="00112A45">
            <w:pPr>
              <w:jc w:val="center"/>
              <w:rPr>
                <w:rFonts w:eastAsia="Times New Roman" w:cs="Times New Roman"/>
                <w:iCs/>
                <w:szCs w:val="24"/>
                <w:lang w:eastAsia="lv-LV"/>
              </w:rPr>
            </w:pPr>
            <w:r w:rsidRPr="005B5D71">
              <w:rPr>
                <w:rFonts w:eastAsia="Times New Roman" w:cs="Times New Roman"/>
                <w:iCs/>
                <w:szCs w:val="24"/>
                <w:lang w:eastAsia="lv-LV"/>
              </w:rPr>
              <w:t>4</w:t>
            </w:r>
            <w:r w:rsidR="00423F60" w:rsidRPr="005B5D71">
              <w:rPr>
                <w:rFonts w:eastAsia="Times New Roman" w:cs="Times New Roman"/>
                <w:iCs/>
                <w:szCs w:val="24"/>
                <w:lang w:eastAsia="lv-LV"/>
              </w:rPr>
              <w:t>3</w:t>
            </w:r>
            <w:r w:rsidRPr="005B5D71">
              <w:rPr>
                <w:rFonts w:eastAsia="Times New Roman" w:cs="Times New Roman"/>
                <w:iCs/>
                <w:szCs w:val="24"/>
                <w:lang w:eastAsia="lv-LV"/>
              </w:rPr>
              <w:t>00000 </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A35B17" w:rsidP="00112A45">
            <w:pPr>
              <w:jc w:val="center"/>
              <w:rPr>
                <w:rFonts w:eastAsia="Times New Roman" w:cs="Times New Roman"/>
                <w:iCs/>
                <w:szCs w:val="24"/>
                <w:lang w:eastAsia="lv-LV"/>
              </w:rPr>
            </w:pPr>
            <w:r w:rsidRPr="005B5D71">
              <w:rPr>
                <w:rFonts w:eastAsia="Times New Roman" w:cs="Times New Roman"/>
                <w:iCs/>
                <w:szCs w:val="24"/>
                <w:lang w:eastAsia="lv-LV"/>
              </w:rPr>
              <w:t>4</w:t>
            </w:r>
            <w:r w:rsidR="00423F60" w:rsidRPr="005B5D71">
              <w:rPr>
                <w:rFonts w:eastAsia="Times New Roman" w:cs="Times New Roman"/>
                <w:iCs/>
                <w:szCs w:val="24"/>
                <w:lang w:eastAsia="lv-LV"/>
              </w:rPr>
              <w:t>3</w:t>
            </w:r>
            <w:r w:rsidRPr="005B5D71">
              <w:rPr>
                <w:rFonts w:eastAsia="Times New Roman" w:cs="Times New Roman"/>
                <w:iCs/>
                <w:szCs w:val="24"/>
                <w:lang w:eastAsia="lv-LV"/>
              </w:rPr>
              <w:t>00000 </w:t>
            </w:r>
          </w:p>
        </w:tc>
      </w:tr>
      <w:tr w:rsidR="00112A45"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2A45" w:rsidRPr="00DD253C" w:rsidRDefault="00112A45" w:rsidP="00112A45">
            <w:pPr>
              <w:rPr>
                <w:rFonts w:eastAsia="Times New Roman" w:cs="Times New Roman"/>
                <w:iCs/>
                <w:szCs w:val="24"/>
                <w:lang w:eastAsia="lv-LV"/>
              </w:rPr>
            </w:pPr>
            <w:r w:rsidRPr="00DD253C">
              <w:rPr>
                <w:rFonts w:eastAsia="Times New Roman" w:cs="Times New Roman"/>
                <w:iCs/>
                <w:szCs w:val="24"/>
                <w:lang w:eastAsia="lv-LV"/>
              </w:rPr>
              <w:t>3.2. speciālais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DD253C" w:rsidRDefault="00112A45" w:rsidP="00112A45">
            <w:pPr>
              <w:jc w:val="center"/>
              <w:rPr>
                <w:rFonts w:eastAsia="Times New Roman" w:cs="Times New Roman"/>
                <w:iCs/>
                <w:szCs w:val="24"/>
                <w:lang w:eastAsia="lv-LV"/>
              </w:rPr>
            </w:pPr>
            <w:r w:rsidRPr="00C0747F">
              <w:rPr>
                <w:rFonts w:eastAsia="Times New Roman" w:cs="Times New Roman"/>
                <w:iCs/>
                <w:szCs w:val="24"/>
                <w:lang w:eastAsia="lv-LV"/>
              </w:rPr>
              <w:t>780000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112A45" w:rsidP="00112A45">
            <w:pPr>
              <w:jc w:val="center"/>
              <w:rPr>
                <w:rFonts w:eastAsia="Times New Roman" w:cs="Times New Roman"/>
                <w:iCs/>
                <w:szCs w:val="24"/>
                <w:lang w:eastAsia="lv-LV"/>
              </w:rPr>
            </w:pPr>
            <w:r w:rsidRPr="005B5D71">
              <w:rPr>
                <w:rFonts w:eastAsia="Times New Roman" w:cs="Times New Roman"/>
                <w:iCs/>
                <w:szCs w:val="24"/>
                <w:lang w:eastAsia="lv-LV"/>
              </w:rPr>
              <w:t>780000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5B5D71" w:rsidRDefault="00112A45" w:rsidP="00112A45">
            <w:pPr>
              <w:jc w:val="center"/>
              <w:rPr>
                <w:rFonts w:eastAsia="Times New Roman" w:cs="Times New Roman"/>
                <w:iCs/>
                <w:szCs w:val="24"/>
                <w:lang w:eastAsia="lv-LV"/>
              </w:rPr>
            </w:pPr>
            <w:r w:rsidRPr="005B5D71">
              <w:rPr>
                <w:rFonts w:eastAsia="Times New Roman" w:cs="Times New Roman"/>
                <w:iCs/>
                <w:szCs w:val="24"/>
                <w:lang w:eastAsia="lv-LV"/>
              </w:rPr>
              <w:t>780000</w:t>
            </w:r>
          </w:p>
        </w:tc>
      </w:tr>
      <w:tr w:rsidR="00112A45" w:rsidRPr="0022005E" w:rsidTr="005B5D71">
        <w:trPr>
          <w:trHeight w:val="14"/>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112A45" w:rsidRPr="00DD253C" w:rsidRDefault="00112A45" w:rsidP="00112A45">
            <w:pPr>
              <w:rPr>
                <w:rFonts w:eastAsia="Times New Roman" w:cs="Times New Roman"/>
                <w:iCs/>
                <w:szCs w:val="24"/>
                <w:lang w:eastAsia="lv-LV"/>
              </w:rPr>
            </w:pPr>
            <w:r w:rsidRPr="00DD253C">
              <w:rPr>
                <w:rFonts w:eastAsia="Times New Roman" w:cs="Times New Roman"/>
                <w:iCs/>
                <w:szCs w:val="24"/>
                <w:lang w:eastAsia="lv-LV"/>
              </w:rPr>
              <w:t>3.3. pašvaldību budžets</w:t>
            </w:r>
          </w:p>
        </w:tc>
        <w:tc>
          <w:tcPr>
            <w:tcW w:w="45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462"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174A5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DD253C" w:rsidRDefault="00112A45" w:rsidP="00112A45">
            <w:pPr>
              <w:jc w:val="center"/>
              <w:rPr>
                <w:rFonts w:eastAsia="Times New Roman" w:cs="Times New Roman"/>
                <w:iCs/>
                <w:szCs w:val="24"/>
                <w:lang w:eastAsia="lv-LV"/>
              </w:rPr>
            </w:pPr>
            <w:r w:rsidRPr="00C0747F">
              <w:rPr>
                <w:rFonts w:eastAsia="Times New Roman" w:cs="Times New Roman"/>
                <w:iCs/>
                <w:szCs w:val="24"/>
                <w:lang w:eastAsia="lv-LV"/>
              </w:rPr>
              <w:t>400000</w:t>
            </w:r>
          </w:p>
        </w:tc>
        <w:tc>
          <w:tcPr>
            <w:tcW w:w="379" w:type="pct"/>
            <w:tcBorders>
              <w:top w:val="outset" w:sz="6" w:space="0" w:color="auto"/>
              <w:left w:val="outset" w:sz="6" w:space="0" w:color="auto"/>
              <w:bottom w:val="outset" w:sz="6" w:space="0" w:color="auto"/>
              <w:right w:val="outset" w:sz="6" w:space="0" w:color="auto"/>
            </w:tcBorders>
            <w:vAlign w:val="center"/>
            <w:hideMark/>
          </w:tcPr>
          <w:p w:rsidR="00112A45" w:rsidRPr="00174A5C" w:rsidRDefault="00112A45" w:rsidP="00112A45">
            <w:pPr>
              <w:jc w:val="center"/>
              <w:rPr>
                <w:rFonts w:eastAsia="Times New Roman" w:cs="Times New Roman"/>
                <w:iCs/>
                <w:szCs w:val="24"/>
                <w:lang w:eastAsia="lv-LV"/>
              </w:rPr>
            </w:pPr>
            <w:r w:rsidRPr="00DD253C">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DD253C" w:rsidRDefault="00112A45" w:rsidP="00112A45">
            <w:pPr>
              <w:jc w:val="center"/>
              <w:rPr>
                <w:rFonts w:eastAsia="Times New Roman" w:cs="Times New Roman"/>
                <w:iCs/>
                <w:szCs w:val="24"/>
                <w:lang w:eastAsia="lv-LV"/>
              </w:rPr>
            </w:pPr>
            <w:r w:rsidRPr="00C0747F">
              <w:rPr>
                <w:rFonts w:eastAsia="Times New Roman" w:cs="Times New Roman"/>
                <w:iCs/>
                <w:szCs w:val="24"/>
                <w:lang w:eastAsia="lv-LV"/>
              </w:rPr>
              <w:t>400000</w:t>
            </w:r>
          </w:p>
        </w:tc>
        <w:tc>
          <w:tcPr>
            <w:tcW w:w="799" w:type="pct"/>
            <w:tcBorders>
              <w:top w:val="outset" w:sz="6" w:space="0" w:color="auto"/>
              <w:left w:val="outset" w:sz="6" w:space="0" w:color="auto"/>
              <w:bottom w:val="outset" w:sz="6" w:space="0" w:color="auto"/>
              <w:right w:val="outset" w:sz="6" w:space="0" w:color="auto"/>
            </w:tcBorders>
            <w:vAlign w:val="center"/>
            <w:hideMark/>
          </w:tcPr>
          <w:p w:rsidR="00112A45" w:rsidRPr="00DD253C" w:rsidRDefault="00112A45" w:rsidP="00112A45">
            <w:pPr>
              <w:jc w:val="center"/>
              <w:rPr>
                <w:rFonts w:eastAsia="Times New Roman" w:cs="Times New Roman"/>
                <w:iCs/>
                <w:szCs w:val="24"/>
                <w:lang w:eastAsia="lv-LV"/>
              </w:rPr>
            </w:pPr>
            <w:r w:rsidRPr="00C0747F">
              <w:rPr>
                <w:rFonts w:eastAsia="Times New Roman" w:cs="Times New Roman"/>
                <w:iCs/>
                <w:szCs w:val="24"/>
                <w:lang w:eastAsia="lv-LV"/>
              </w:rPr>
              <w:t>400000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DD253C" w:rsidRDefault="00056410" w:rsidP="00056410">
            <w:pPr>
              <w:rPr>
                <w:rFonts w:eastAsia="Times New Roman" w:cs="Times New Roman"/>
                <w:iCs/>
                <w:szCs w:val="24"/>
                <w:lang w:eastAsia="lv-LV"/>
              </w:rPr>
            </w:pPr>
            <w:r w:rsidRPr="00DD253C">
              <w:rPr>
                <w:rFonts w:eastAsia="Times New Roman" w:cs="Times New Roman"/>
                <w:iCs/>
                <w:szCs w:val="24"/>
                <w:lang w:eastAsia="lv-LV"/>
              </w:rPr>
              <w:t>4. Finanšu līdzekļi papildu izdevumu finansēšanai (kompensējošu izdevumu samazinājumu norāda ar "+" zīmi)</w:t>
            </w:r>
          </w:p>
        </w:tc>
        <w:tc>
          <w:tcPr>
            <w:tcW w:w="452" w:type="pc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DD253C" w:rsidRDefault="00056410" w:rsidP="00056410">
            <w:pPr>
              <w:rPr>
                <w:rFonts w:eastAsia="Times New Roman" w:cs="Times New Roman"/>
                <w:iCs/>
                <w:szCs w:val="24"/>
                <w:lang w:eastAsia="lv-LV"/>
              </w:rPr>
            </w:pPr>
            <w:r w:rsidRPr="00DD253C">
              <w:rPr>
                <w:rFonts w:eastAsia="Times New Roman" w:cs="Times New Roman"/>
                <w:iCs/>
                <w:szCs w:val="24"/>
                <w:lang w:eastAsia="lv-LV"/>
              </w:rPr>
              <w:lastRenderedPageBreak/>
              <w:t>5. Precizēta finansiālā ietekme</w:t>
            </w:r>
          </w:p>
        </w:tc>
        <w:tc>
          <w:tcPr>
            <w:tcW w:w="452" w:type="pct"/>
            <w:vMerge w:val="restar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r w:rsidRPr="00174A5C">
              <w:rPr>
                <w:rFonts w:eastAsia="Times New Roman" w:cs="Times New Roman"/>
                <w:iCs/>
                <w:szCs w:val="24"/>
                <w:lang w:eastAsia="lv-LV"/>
              </w:rPr>
              <w:t>x</w:t>
            </w:r>
          </w:p>
          <w:p w:rsidR="00056410" w:rsidRPr="00174A5C" w:rsidRDefault="00056410" w:rsidP="00056410">
            <w:pPr>
              <w:jc w:val="center"/>
              <w:rPr>
                <w:rFonts w:eastAsia="Times New Roman" w:cs="Times New Roman"/>
                <w:iCs/>
                <w:szCs w:val="24"/>
                <w:lang w:eastAsia="lv-LV"/>
              </w:rPr>
            </w:pPr>
          </w:p>
          <w:p w:rsidR="00056410" w:rsidRPr="00174A5C" w:rsidRDefault="00056410" w:rsidP="00056410">
            <w:pPr>
              <w:jc w:val="center"/>
              <w:rPr>
                <w:rFonts w:eastAsia="Times New Roman" w:cs="Times New Roman"/>
                <w:iCs/>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056410" w:rsidRPr="00174A5C" w:rsidRDefault="00056410" w:rsidP="00056410">
            <w:pPr>
              <w:jc w:val="center"/>
              <w:rPr>
                <w:rFonts w:eastAsia="Times New Roman" w:cs="Times New Roman"/>
                <w:iCs/>
                <w:szCs w:val="24"/>
                <w:lang w:eastAsia="lv-LV"/>
              </w:rPr>
            </w:pPr>
            <w:r w:rsidRPr="00174A5C">
              <w:rPr>
                <w:rFonts w:eastAsia="Times New Roman" w:cs="Times New Roman"/>
                <w:iCs/>
                <w:szCs w:val="24"/>
                <w:lang w:eastAsia="lv-LV"/>
              </w:rPr>
              <w:t>0</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x</w:t>
            </w: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379" w:type="pct"/>
            <w:vMerge w:val="restar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x</w:t>
            </w: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A35B17">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DD253C" w:rsidRDefault="00056410" w:rsidP="00056410">
            <w:pPr>
              <w:rPr>
                <w:rFonts w:eastAsia="Times New Roman" w:cs="Times New Roman"/>
                <w:iCs/>
                <w:szCs w:val="24"/>
                <w:lang w:eastAsia="lv-LV"/>
              </w:rPr>
            </w:pPr>
            <w:r w:rsidRPr="00DD253C">
              <w:rPr>
                <w:rFonts w:eastAsia="Times New Roman" w:cs="Times New Roman"/>
                <w:iCs/>
                <w:szCs w:val="24"/>
                <w:lang w:eastAsia="lv-LV"/>
              </w:rPr>
              <w:t>5.1. valsts pamatbudžets</w:t>
            </w: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rPr>
                <w:rFonts w:eastAsia="Times New Roman" w:cs="Times New Roman"/>
                <w:iCs/>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A35B17">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DD253C" w:rsidRDefault="00056410" w:rsidP="00056410">
            <w:pPr>
              <w:rPr>
                <w:rFonts w:eastAsia="Times New Roman" w:cs="Times New Roman"/>
                <w:iCs/>
                <w:szCs w:val="24"/>
                <w:lang w:eastAsia="lv-LV"/>
              </w:rPr>
            </w:pPr>
            <w:r w:rsidRPr="00DD253C">
              <w:rPr>
                <w:rFonts w:eastAsia="Times New Roman" w:cs="Times New Roman"/>
                <w:iCs/>
                <w:szCs w:val="24"/>
                <w:lang w:eastAsia="lv-LV"/>
              </w:rPr>
              <w:t>5.2. speciālais budžets</w:t>
            </w: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rPr>
                <w:rFonts w:eastAsia="Times New Roman" w:cs="Times New Roman"/>
                <w:iCs/>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r>
      <w:tr w:rsidR="00A35B17" w:rsidRPr="0022005E" w:rsidTr="00A35B17">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DD253C" w:rsidRDefault="00056410" w:rsidP="00056410">
            <w:pPr>
              <w:rPr>
                <w:rFonts w:eastAsia="Times New Roman" w:cs="Times New Roman"/>
                <w:iCs/>
                <w:szCs w:val="24"/>
                <w:lang w:eastAsia="lv-LV"/>
              </w:rPr>
            </w:pPr>
            <w:r w:rsidRPr="00DD253C">
              <w:rPr>
                <w:rFonts w:eastAsia="Times New Roman" w:cs="Times New Roman"/>
                <w:iCs/>
                <w:szCs w:val="24"/>
                <w:lang w:eastAsia="lv-LV"/>
              </w:rPr>
              <w:t>5.3. pašvaldību budžets</w:t>
            </w:r>
          </w:p>
        </w:tc>
        <w:tc>
          <w:tcPr>
            <w:tcW w:w="452" w:type="pct"/>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rPr>
                <w:rFonts w:eastAsia="Times New Roman" w:cs="Times New Roman"/>
                <w:iCs/>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c>
          <w:tcPr>
            <w:tcW w:w="799" w:type="pct"/>
            <w:tcBorders>
              <w:top w:val="outset" w:sz="6" w:space="0" w:color="auto"/>
              <w:left w:val="outset" w:sz="6" w:space="0" w:color="auto"/>
              <w:bottom w:val="outset" w:sz="6" w:space="0" w:color="auto"/>
              <w:right w:val="outset" w:sz="6" w:space="0" w:color="auto"/>
            </w:tcBorders>
            <w:vAlign w:val="center"/>
            <w:hideMark/>
          </w:tcPr>
          <w:p w:rsidR="00056410" w:rsidRPr="0059610E" w:rsidRDefault="00056410" w:rsidP="00056410">
            <w:pPr>
              <w:jc w:val="center"/>
              <w:rPr>
                <w:rFonts w:eastAsia="Times New Roman" w:cs="Times New Roman"/>
                <w:iCs/>
                <w:szCs w:val="24"/>
                <w:lang w:eastAsia="lv-LV"/>
              </w:rPr>
            </w:pPr>
            <w:r w:rsidRPr="0059610E">
              <w:rPr>
                <w:rFonts w:eastAsia="Times New Roman" w:cs="Times New Roman"/>
                <w:iCs/>
                <w:szCs w:val="24"/>
                <w:lang w:eastAsia="lv-LV"/>
              </w:rPr>
              <w:t>0</w:t>
            </w:r>
          </w:p>
        </w:tc>
      </w:tr>
      <w:tr w:rsidR="00056410"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851732" w:rsidRDefault="00056410" w:rsidP="00056410">
            <w:pPr>
              <w:rPr>
                <w:rFonts w:eastAsia="Times New Roman" w:cs="Times New Roman"/>
                <w:iCs/>
                <w:szCs w:val="24"/>
                <w:lang w:eastAsia="lv-LV"/>
              </w:rPr>
            </w:pPr>
            <w:r w:rsidRPr="00851732">
              <w:rPr>
                <w:rFonts w:eastAsia="Times New Roman" w:cs="Times New Roman"/>
                <w:iCs/>
                <w:szCs w:val="24"/>
                <w:lang w:eastAsia="lv-LV"/>
              </w:rPr>
              <w:t>6. Detalizēts ieņēmumu un izdevumu aprēķins (ja nepieciešams, detalizētu ieņēmumu un izdevumu aprēķinu var pievienot anotācijas pielikumā)</w:t>
            </w:r>
          </w:p>
        </w:tc>
        <w:tc>
          <w:tcPr>
            <w:tcW w:w="4166"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A5CE6" w:rsidRDefault="00056410" w:rsidP="00174A5C">
            <w:pPr>
              <w:pStyle w:val="FootnoteText"/>
              <w:ind w:firstLine="284"/>
              <w:rPr>
                <w:sz w:val="24"/>
                <w:szCs w:val="24"/>
              </w:rPr>
            </w:pPr>
            <w:r w:rsidRPr="00174A5C">
              <w:rPr>
                <w:sz w:val="24"/>
                <w:szCs w:val="24"/>
              </w:rPr>
              <w:t>Paplašinot personu loku, kuras ar savu mantu atbildīgas par juridiskas personas nodokļu parādiem (</w:t>
            </w:r>
            <w:r w:rsidR="00D7782C">
              <w:rPr>
                <w:sz w:val="24"/>
                <w:szCs w:val="24"/>
              </w:rPr>
              <w:t xml:space="preserve">tajā skaitā, </w:t>
            </w:r>
            <w:r w:rsidRPr="00174A5C">
              <w:rPr>
                <w:sz w:val="24"/>
                <w:szCs w:val="24"/>
              </w:rPr>
              <w:t>juridiskās personas prokūristiem) preventīvais fiskālais ieguvums tiek novērtēts 3,83 milj. </w:t>
            </w:r>
            <w:r w:rsidRPr="00174A5C">
              <w:rPr>
                <w:i/>
                <w:sz w:val="24"/>
                <w:szCs w:val="24"/>
              </w:rPr>
              <w:t>euro</w:t>
            </w:r>
            <w:r w:rsidRPr="00174A5C">
              <w:rPr>
                <w:sz w:val="24"/>
                <w:szCs w:val="24"/>
              </w:rPr>
              <w:t xml:space="preserve"> apmērā. </w:t>
            </w:r>
            <w:r w:rsidR="00D7782C" w:rsidRPr="00174A5C">
              <w:rPr>
                <w:sz w:val="24"/>
                <w:szCs w:val="24"/>
              </w:rPr>
              <w:t xml:space="preserve">Šobrīd saskaņā ar VID sniegtajiem nodokļu parādu uzskaites datiem uz 2019. gada 1. jūliju </w:t>
            </w:r>
            <w:r w:rsidR="00EB47FA" w:rsidRPr="00174A5C">
              <w:rPr>
                <w:sz w:val="24"/>
                <w:szCs w:val="24"/>
              </w:rPr>
              <w:t>kop</w:t>
            </w:r>
            <w:r w:rsidR="00EB47FA">
              <w:rPr>
                <w:sz w:val="24"/>
                <w:szCs w:val="24"/>
              </w:rPr>
              <w:t xml:space="preserve">ējais </w:t>
            </w:r>
            <w:r w:rsidR="00D7782C" w:rsidRPr="00B6700F">
              <w:rPr>
                <w:sz w:val="24"/>
                <w:szCs w:val="24"/>
              </w:rPr>
              <w:t>reāli nepiedzen</w:t>
            </w:r>
            <w:r w:rsidR="00EB47FA" w:rsidRPr="00174A5C">
              <w:rPr>
                <w:sz w:val="24"/>
                <w:szCs w:val="24"/>
              </w:rPr>
              <w:t>amais</w:t>
            </w:r>
            <w:r w:rsidR="00D7782C" w:rsidRPr="00B6700F">
              <w:rPr>
                <w:sz w:val="24"/>
                <w:szCs w:val="24"/>
              </w:rPr>
              <w:t xml:space="preserve"> </w:t>
            </w:r>
            <w:r w:rsidR="00EB47FA">
              <w:rPr>
                <w:sz w:val="24"/>
                <w:szCs w:val="24"/>
              </w:rPr>
              <w:t xml:space="preserve">nodokļu </w:t>
            </w:r>
            <w:r w:rsidR="00D7782C" w:rsidRPr="00B6700F">
              <w:rPr>
                <w:sz w:val="24"/>
                <w:szCs w:val="24"/>
              </w:rPr>
              <w:t>par</w:t>
            </w:r>
            <w:r w:rsidR="00EB47FA" w:rsidRPr="00174A5C">
              <w:rPr>
                <w:sz w:val="24"/>
                <w:szCs w:val="24"/>
              </w:rPr>
              <w:t xml:space="preserve">āds </w:t>
            </w:r>
            <w:r w:rsidR="00EB47FA">
              <w:rPr>
                <w:sz w:val="24"/>
                <w:szCs w:val="24"/>
              </w:rPr>
              <w:t xml:space="preserve">(t.i., </w:t>
            </w:r>
            <w:r w:rsidR="00EB47FA" w:rsidRPr="00C0747F">
              <w:rPr>
                <w:sz w:val="24"/>
                <w:szCs w:val="24"/>
              </w:rPr>
              <w:t>parāds, kam iestājies piedziņas noilgums, un parāds, kuru nevar piedzīt, jo nodokļu maksātājam nav naudas līdzekļu un mantas, uz ko vērst piedziņu</w:t>
            </w:r>
            <w:r w:rsidR="00EB47FA">
              <w:rPr>
                <w:sz w:val="24"/>
                <w:szCs w:val="24"/>
              </w:rPr>
              <w:t xml:space="preserve">) </w:t>
            </w:r>
            <w:r w:rsidR="00EB47FA" w:rsidRPr="00DD253C">
              <w:rPr>
                <w:sz w:val="24"/>
                <w:szCs w:val="24"/>
              </w:rPr>
              <w:t>ir</w:t>
            </w:r>
            <w:r w:rsidR="00D7782C" w:rsidRPr="00B6700F">
              <w:rPr>
                <w:sz w:val="24"/>
                <w:szCs w:val="24"/>
              </w:rPr>
              <w:t xml:space="preserve"> </w:t>
            </w:r>
            <w:r w:rsidR="00EB47FA">
              <w:rPr>
                <w:sz w:val="24"/>
                <w:szCs w:val="24"/>
              </w:rPr>
              <w:br/>
            </w:r>
            <w:r w:rsidR="00D7782C" w:rsidRPr="00B6700F">
              <w:rPr>
                <w:sz w:val="24"/>
                <w:szCs w:val="24"/>
              </w:rPr>
              <w:t>383,03 mil</w:t>
            </w:r>
            <w:r w:rsidR="00EB47FA">
              <w:rPr>
                <w:sz w:val="24"/>
                <w:szCs w:val="24"/>
              </w:rPr>
              <w:t>j</w:t>
            </w:r>
            <w:r w:rsidR="00D7782C" w:rsidRPr="00B6700F">
              <w:rPr>
                <w:sz w:val="24"/>
                <w:szCs w:val="24"/>
              </w:rPr>
              <w:t>.</w:t>
            </w:r>
            <w:r w:rsidR="00D7782C" w:rsidRPr="00B6700F">
              <w:rPr>
                <w:i/>
                <w:sz w:val="24"/>
                <w:szCs w:val="24"/>
              </w:rPr>
              <w:t xml:space="preserve"> euro </w:t>
            </w:r>
            <w:r w:rsidR="00D7782C" w:rsidRPr="00B6700F">
              <w:rPr>
                <w:sz w:val="24"/>
                <w:szCs w:val="24"/>
              </w:rPr>
              <w:t xml:space="preserve"> apmēr</w:t>
            </w:r>
            <w:r w:rsidR="00EB47FA" w:rsidRPr="00174A5C">
              <w:rPr>
                <w:sz w:val="24"/>
                <w:szCs w:val="24"/>
              </w:rPr>
              <w:t>ā.</w:t>
            </w:r>
            <w:r w:rsidR="00C93404">
              <w:rPr>
                <w:sz w:val="24"/>
                <w:szCs w:val="24"/>
              </w:rPr>
              <w:t xml:space="preserve"> Saskaņā ar VID piedziņas ekspertu vērtējumu, paplašinot personu loku, uz kuru mantu varētu vērst piedziņu, lai segtu juridisko personu nodokļu parādu saistības valsts budžetam, optimistiski prognozējot, ieņēmumi valsts budžetā varētu būt 1-2 % no reāli nepiedzenamā nodokļu parāda summas. Tādējādi, vērtējot reālās iespējas iegūt juridisko personu nokavētos nodokļu maksājumus no to faktiskajiem vadītājiem, regulējuma fiskālais ieguvums novērtēts 1 % no </w:t>
            </w:r>
            <w:r w:rsidR="00C93404" w:rsidRPr="00C0747F">
              <w:rPr>
                <w:sz w:val="24"/>
                <w:szCs w:val="24"/>
              </w:rPr>
              <w:t>reāli nepiedzen</w:t>
            </w:r>
            <w:r w:rsidR="00C93404">
              <w:rPr>
                <w:sz w:val="24"/>
                <w:szCs w:val="24"/>
              </w:rPr>
              <w:t>amā</w:t>
            </w:r>
            <w:r w:rsidR="00C93404" w:rsidRPr="00C0747F">
              <w:rPr>
                <w:sz w:val="24"/>
                <w:szCs w:val="24"/>
              </w:rPr>
              <w:t xml:space="preserve"> </w:t>
            </w:r>
            <w:r w:rsidR="00C93404">
              <w:rPr>
                <w:sz w:val="24"/>
                <w:szCs w:val="24"/>
              </w:rPr>
              <w:t xml:space="preserve">nodokļu </w:t>
            </w:r>
            <w:r w:rsidR="00C93404" w:rsidRPr="00C0747F">
              <w:rPr>
                <w:sz w:val="24"/>
                <w:szCs w:val="24"/>
              </w:rPr>
              <w:t>par</w:t>
            </w:r>
            <w:r w:rsidR="00C93404">
              <w:rPr>
                <w:sz w:val="24"/>
                <w:szCs w:val="24"/>
              </w:rPr>
              <w:t>āda</w:t>
            </w:r>
            <w:r w:rsidR="00C93404" w:rsidRPr="00C0747F">
              <w:rPr>
                <w:sz w:val="24"/>
                <w:szCs w:val="24"/>
              </w:rPr>
              <w:t xml:space="preserve"> </w:t>
            </w:r>
            <w:r w:rsidR="00C93404">
              <w:rPr>
                <w:sz w:val="24"/>
                <w:szCs w:val="24"/>
              </w:rPr>
              <w:t>summa</w:t>
            </w:r>
            <w:r w:rsidR="00DB4CED">
              <w:rPr>
                <w:sz w:val="24"/>
                <w:szCs w:val="24"/>
              </w:rPr>
              <w:t xml:space="preserve">s jeb </w:t>
            </w:r>
            <w:r w:rsidR="00DB4CED" w:rsidRPr="00174A5C">
              <w:rPr>
                <w:sz w:val="24"/>
                <w:szCs w:val="24"/>
              </w:rPr>
              <w:t>b</w:t>
            </w:r>
            <w:r w:rsidRPr="00B6700F">
              <w:rPr>
                <w:sz w:val="24"/>
                <w:szCs w:val="24"/>
              </w:rPr>
              <w:t xml:space="preserve">udžeta ieņēmumu prognoze </w:t>
            </w:r>
            <w:r w:rsidR="000243F6" w:rsidRPr="00B6700F">
              <w:rPr>
                <w:sz w:val="24"/>
                <w:szCs w:val="24"/>
              </w:rPr>
              <w:t>2020.</w:t>
            </w:r>
            <w:r w:rsidR="00DB4CED" w:rsidRPr="00174A5C">
              <w:rPr>
                <w:sz w:val="24"/>
                <w:szCs w:val="24"/>
              </w:rPr>
              <w:t> </w:t>
            </w:r>
            <w:r w:rsidR="000243F6" w:rsidRPr="00B6700F">
              <w:rPr>
                <w:sz w:val="24"/>
                <w:szCs w:val="24"/>
              </w:rPr>
              <w:t xml:space="preserve">gadā </w:t>
            </w:r>
            <w:r w:rsidRPr="00B6700F">
              <w:rPr>
                <w:sz w:val="24"/>
                <w:szCs w:val="24"/>
              </w:rPr>
              <w:t>plānota 3,83 milj. </w:t>
            </w:r>
            <w:r w:rsidRPr="00B6700F">
              <w:rPr>
                <w:i/>
                <w:sz w:val="24"/>
                <w:szCs w:val="24"/>
              </w:rPr>
              <w:t>euro</w:t>
            </w:r>
            <w:r w:rsidRPr="00B6700F">
              <w:rPr>
                <w:sz w:val="24"/>
                <w:szCs w:val="24"/>
              </w:rPr>
              <w:t xml:space="preserve"> apmērā t.sk. PVN 2,37 milj. </w:t>
            </w:r>
            <w:r w:rsidRPr="00B6700F">
              <w:rPr>
                <w:i/>
                <w:sz w:val="24"/>
                <w:szCs w:val="24"/>
              </w:rPr>
              <w:t>euro</w:t>
            </w:r>
            <w:r w:rsidRPr="00B6700F">
              <w:rPr>
                <w:sz w:val="24"/>
                <w:szCs w:val="24"/>
              </w:rPr>
              <w:t xml:space="preserve">, </w:t>
            </w:r>
            <w:r w:rsidR="0094771F" w:rsidRPr="00B6700F">
              <w:rPr>
                <w:sz w:val="24"/>
                <w:szCs w:val="24"/>
              </w:rPr>
              <w:t>iedzīvotāju ienākuma nodoklis 0,50 milj. </w:t>
            </w:r>
            <w:r w:rsidR="0094771F" w:rsidRPr="00B6700F">
              <w:rPr>
                <w:i/>
                <w:sz w:val="24"/>
                <w:szCs w:val="24"/>
              </w:rPr>
              <w:t>euro</w:t>
            </w:r>
            <w:r w:rsidR="0094771F" w:rsidRPr="00B6700F">
              <w:rPr>
                <w:sz w:val="24"/>
                <w:szCs w:val="24"/>
              </w:rPr>
              <w:t xml:space="preserve"> un </w:t>
            </w:r>
            <w:r w:rsidRPr="00B6700F">
              <w:rPr>
                <w:sz w:val="24"/>
                <w:szCs w:val="24"/>
              </w:rPr>
              <w:t>valsts sociālās apdrošināšanas obligātās iemaksas 0,96 milj. </w:t>
            </w:r>
            <w:r w:rsidRPr="00B6700F">
              <w:rPr>
                <w:i/>
                <w:sz w:val="24"/>
                <w:szCs w:val="24"/>
              </w:rPr>
              <w:t>euro</w:t>
            </w:r>
            <w:r w:rsidR="000243F6" w:rsidRPr="00B6700F">
              <w:rPr>
                <w:sz w:val="24"/>
                <w:szCs w:val="24"/>
              </w:rPr>
              <w:t>. Tāda pati ietekme uz budžetu tiek plānota arī 2021. gadā un 2022. gadā.</w:t>
            </w:r>
          </w:p>
          <w:p w:rsidR="005A707C" w:rsidRDefault="005A707C" w:rsidP="00174A5C">
            <w:pPr>
              <w:pStyle w:val="FootnoteText"/>
              <w:ind w:firstLine="284"/>
              <w:rPr>
                <w:szCs w:val="24"/>
              </w:rPr>
            </w:pPr>
          </w:p>
          <w:tbl>
            <w:tblPr>
              <w:tblStyle w:val="TableGrid"/>
              <w:tblW w:w="0" w:type="auto"/>
              <w:tblInd w:w="76" w:type="dxa"/>
              <w:tblLook w:val="04A0" w:firstRow="1" w:lastRow="0" w:firstColumn="1" w:lastColumn="0" w:noHBand="0" w:noVBand="1"/>
            </w:tblPr>
            <w:tblGrid>
              <w:gridCol w:w="2609"/>
              <w:gridCol w:w="1680"/>
              <w:gridCol w:w="1680"/>
              <w:gridCol w:w="1403"/>
            </w:tblGrid>
            <w:tr w:rsidR="00A35B17" w:rsidRPr="00A35B17" w:rsidTr="00A05BA0">
              <w:tc>
                <w:tcPr>
                  <w:tcW w:w="7372" w:type="dxa"/>
                  <w:gridSpan w:val="4"/>
                </w:tcPr>
                <w:p w:rsidR="00056E19" w:rsidRPr="00B6700F" w:rsidRDefault="00056E19" w:rsidP="00AD2FF6">
                  <w:pPr>
                    <w:jc w:val="center"/>
                    <w:rPr>
                      <w:sz w:val="20"/>
                      <w:szCs w:val="20"/>
                    </w:rPr>
                  </w:pPr>
                  <w:r w:rsidRPr="00B6700F">
                    <w:rPr>
                      <w:sz w:val="20"/>
                      <w:szCs w:val="20"/>
                    </w:rPr>
                    <w:t xml:space="preserve">Ieņēmumu aprēķins, </w:t>
                  </w:r>
                  <w:r w:rsidRPr="00B6700F">
                    <w:rPr>
                      <w:i/>
                      <w:sz w:val="20"/>
                      <w:szCs w:val="20"/>
                    </w:rPr>
                    <w:t>euro</w:t>
                  </w:r>
                </w:p>
              </w:tc>
            </w:tr>
            <w:tr w:rsidR="00A35B17" w:rsidRPr="00A35B17" w:rsidTr="00A05BA0">
              <w:tc>
                <w:tcPr>
                  <w:tcW w:w="2609" w:type="dxa"/>
                </w:tcPr>
                <w:p w:rsidR="00056E19" w:rsidRPr="00A35B17" w:rsidRDefault="00056E19" w:rsidP="00056E19">
                  <w:pPr>
                    <w:jc w:val="both"/>
                    <w:rPr>
                      <w:sz w:val="20"/>
                      <w:szCs w:val="20"/>
                    </w:rPr>
                  </w:pPr>
                </w:p>
              </w:tc>
              <w:tc>
                <w:tcPr>
                  <w:tcW w:w="1680" w:type="dxa"/>
                </w:tcPr>
                <w:p w:rsidR="00056E19" w:rsidRPr="00B6700F" w:rsidRDefault="00056E19" w:rsidP="00056E19">
                  <w:pPr>
                    <w:jc w:val="center"/>
                    <w:rPr>
                      <w:sz w:val="20"/>
                      <w:szCs w:val="20"/>
                    </w:rPr>
                  </w:pPr>
                  <w:r w:rsidRPr="00B6700F">
                    <w:rPr>
                      <w:sz w:val="20"/>
                      <w:szCs w:val="20"/>
                    </w:rPr>
                    <w:t>2020</w:t>
                  </w:r>
                  <w:r w:rsidR="007F3887" w:rsidRPr="00A35B17">
                    <w:rPr>
                      <w:sz w:val="20"/>
                      <w:szCs w:val="20"/>
                    </w:rPr>
                    <w:t>. gadā</w:t>
                  </w:r>
                </w:p>
              </w:tc>
              <w:tc>
                <w:tcPr>
                  <w:tcW w:w="1680" w:type="dxa"/>
                </w:tcPr>
                <w:p w:rsidR="00056E19" w:rsidRPr="00B6700F" w:rsidRDefault="00056E19" w:rsidP="00056E19">
                  <w:pPr>
                    <w:jc w:val="center"/>
                    <w:rPr>
                      <w:sz w:val="20"/>
                      <w:szCs w:val="20"/>
                    </w:rPr>
                  </w:pPr>
                  <w:r w:rsidRPr="00B6700F">
                    <w:rPr>
                      <w:sz w:val="20"/>
                      <w:szCs w:val="20"/>
                    </w:rPr>
                    <w:t>2021</w:t>
                  </w:r>
                  <w:r w:rsidR="007F3887" w:rsidRPr="00A35B17">
                    <w:rPr>
                      <w:sz w:val="20"/>
                      <w:szCs w:val="20"/>
                    </w:rPr>
                    <w:t>. gadā</w:t>
                  </w:r>
                </w:p>
              </w:tc>
              <w:tc>
                <w:tcPr>
                  <w:tcW w:w="1403" w:type="dxa"/>
                </w:tcPr>
                <w:p w:rsidR="00056E19" w:rsidRPr="00B6700F" w:rsidRDefault="00056E19" w:rsidP="00056E19">
                  <w:pPr>
                    <w:jc w:val="center"/>
                    <w:rPr>
                      <w:sz w:val="20"/>
                      <w:szCs w:val="20"/>
                    </w:rPr>
                  </w:pPr>
                  <w:r w:rsidRPr="00B6700F">
                    <w:rPr>
                      <w:sz w:val="20"/>
                      <w:szCs w:val="20"/>
                    </w:rPr>
                    <w:t>2022</w:t>
                  </w:r>
                  <w:r w:rsidR="007F3887" w:rsidRPr="00B6700F">
                    <w:rPr>
                      <w:sz w:val="20"/>
                      <w:szCs w:val="20"/>
                    </w:rPr>
                    <w:t>. gadā</w:t>
                  </w:r>
                </w:p>
              </w:tc>
            </w:tr>
            <w:tr w:rsidR="00A35B17" w:rsidRPr="00A35B17" w:rsidTr="00A05BA0">
              <w:tc>
                <w:tcPr>
                  <w:tcW w:w="2609" w:type="dxa"/>
                </w:tcPr>
                <w:p w:rsidR="000D5E40" w:rsidRPr="00B6700F" w:rsidRDefault="000D5E40" w:rsidP="00B6700F">
                  <w:pPr>
                    <w:rPr>
                      <w:i/>
                      <w:sz w:val="20"/>
                      <w:szCs w:val="20"/>
                    </w:rPr>
                  </w:pPr>
                  <w:r w:rsidRPr="00B6700F">
                    <w:rPr>
                      <w:i/>
                      <w:sz w:val="20"/>
                      <w:szCs w:val="20"/>
                    </w:rPr>
                    <w:t>PVN</w:t>
                  </w:r>
                </w:p>
              </w:tc>
              <w:tc>
                <w:tcPr>
                  <w:tcW w:w="1680" w:type="dxa"/>
                </w:tcPr>
                <w:p w:rsidR="000D5E40" w:rsidRPr="00A35B17" w:rsidRDefault="000D5E40" w:rsidP="000D5E40">
                  <w:pPr>
                    <w:jc w:val="center"/>
                    <w:rPr>
                      <w:sz w:val="20"/>
                      <w:szCs w:val="20"/>
                    </w:rPr>
                  </w:pPr>
                  <w:r w:rsidRPr="00A35B17">
                    <w:rPr>
                      <w:sz w:val="20"/>
                      <w:szCs w:val="20"/>
                    </w:rPr>
                    <w:t>2 370 000</w:t>
                  </w:r>
                </w:p>
              </w:tc>
              <w:tc>
                <w:tcPr>
                  <w:tcW w:w="1680" w:type="dxa"/>
                </w:tcPr>
                <w:p w:rsidR="000D5E40" w:rsidRPr="00A35B17" w:rsidRDefault="000D5E40" w:rsidP="000D5E40">
                  <w:pPr>
                    <w:jc w:val="center"/>
                    <w:rPr>
                      <w:sz w:val="20"/>
                      <w:szCs w:val="20"/>
                    </w:rPr>
                  </w:pPr>
                  <w:r w:rsidRPr="00A35B17">
                    <w:rPr>
                      <w:sz w:val="20"/>
                      <w:szCs w:val="20"/>
                    </w:rPr>
                    <w:t>2 370 000</w:t>
                  </w:r>
                </w:p>
              </w:tc>
              <w:tc>
                <w:tcPr>
                  <w:tcW w:w="1403" w:type="dxa"/>
                </w:tcPr>
                <w:p w:rsidR="000D5E40" w:rsidRPr="00A35B17" w:rsidRDefault="000D5E40" w:rsidP="000D5E40">
                  <w:pPr>
                    <w:jc w:val="center"/>
                    <w:rPr>
                      <w:sz w:val="20"/>
                      <w:szCs w:val="20"/>
                    </w:rPr>
                  </w:pPr>
                  <w:r w:rsidRPr="00A35B17">
                    <w:rPr>
                      <w:sz w:val="20"/>
                      <w:szCs w:val="20"/>
                    </w:rPr>
                    <w:t>2 370 000</w:t>
                  </w:r>
                </w:p>
              </w:tc>
            </w:tr>
            <w:tr w:rsidR="00A35B17" w:rsidRPr="00A35B17" w:rsidTr="00A05BA0">
              <w:tc>
                <w:tcPr>
                  <w:tcW w:w="2609" w:type="dxa"/>
                </w:tcPr>
                <w:p w:rsidR="000D5E40" w:rsidRPr="00B6700F" w:rsidRDefault="000D5E40" w:rsidP="00B6700F">
                  <w:pPr>
                    <w:rPr>
                      <w:i/>
                      <w:sz w:val="20"/>
                      <w:szCs w:val="20"/>
                    </w:rPr>
                  </w:pPr>
                  <w:r w:rsidRPr="00B6700F">
                    <w:rPr>
                      <w:i/>
                      <w:sz w:val="20"/>
                      <w:szCs w:val="20"/>
                    </w:rPr>
                    <w:t xml:space="preserve">Iedzīvotāju ienākuma nodoklis, </w:t>
                  </w:r>
                  <w:r w:rsidRPr="00A35B17">
                    <w:rPr>
                      <w:i/>
                      <w:sz w:val="20"/>
                      <w:szCs w:val="20"/>
                    </w:rPr>
                    <w:t>t.sk.,</w:t>
                  </w:r>
                </w:p>
              </w:tc>
              <w:tc>
                <w:tcPr>
                  <w:tcW w:w="1680" w:type="dxa"/>
                </w:tcPr>
                <w:p w:rsidR="000D5E40" w:rsidRPr="00B6700F" w:rsidRDefault="000D5E40" w:rsidP="00B6700F">
                  <w:pPr>
                    <w:jc w:val="center"/>
                    <w:rPr>
                      <w:sz w:val="20"/>
                      <w:szCs w:val="20"/>
                    </w:rPr>
                  </w:pPr>
                  <w:r w:rsidRPr="00A35B17">
                    <w:rPr>
                      <w:sz w:val="20"/>
                      <w:szCs w:val="20"/>
                    </w:rPr>
                    <w:t>500 000</w:t>
                  </w:r>
                </w:p>
              </w:tc>
              <w:tc>
                <w:tcPr>
                  <w:tcW w:w="1680" w:type="dxa"/>
                </w:tcPr>
                <w:p w:rsidR="000D5E40" w:rsidRPr="00B6700F" w:rsidRDefault="000D5E40" w:rsidP="00B6700F">
                  <w:pPr>
                    <w:jc w:val="center"/>
                    <w:rPr>
                      <w:sz w:val="20"/>
                      <w:szCs w:val="20"/>
                    </w:rPr>
                  </w:pPr>
                  <w:r w:rsidRPr="00A35B17">
                    <w:rPr>
                      <w:sz w:val="20"/>
                      <w:szCs w:val="20"/>
                    </w:rPr>
                    <w:t>500 000</w:t>
                  </w:r>
                </w:p>
              </w:tc>
              <w:tc>
                <w:tcPr>
                  <w:tcW w:w="1403" w:type="dxa"/>
                </w:tcPr>
                <w:p w:rsidR="000D5E40" w:rsidRPr="00B6700F" w:rsidRDefault="000D5E40" w:rsidP="00B6700F">
                  <w:pPr>
                    <w:jc w:val="center"/>
                    <w:rPr>
                      <w:sz w:val="20"/>
                      <w:szCs w:val="20"/>
                    </w:rPr>
                  </w:pPr>
                  <w:r w:rsidRPr="00A35B17">
                    <w:rPr>
                      <w:sz w:val="20"/>
                      <w:szCs w:val="20"/>
                    </w:rPr>
                    <w:t>500 000</w:t>
                  </w:r>
                </w:p>
              </w:tc>
            </w:tr>
            <w:tr w:rsidR="00A35B17" w:rsidRPr="00A35B17" w:rsidTr="00A05BA0">
              <w:trPr>
                <w:trHeight w:val="60"/>
              </w:trPr>
              <w:tc>
                <w:tcPr>
                  <w:tcW w:w="2609" w:type="dxa"/>
                </w:tcPr>
                <w:p w:rsidR="000D5E40" w:rsidRPr="00B6700F" w:rsidRDefault="000D5E40" w:rsidP="00B6700F">
                  <w:pPr>
                    <w:jc w:val="right"/>
                    <w:rPr>
                      <w:i/>
                      <w:sz w:val="20"/>
                      <w:szCs w:val="20"/>
                    </w:rPr>
                  </w:pPr>
                  <w:r w:rsidRPr="00A35B17">
                    <w:rPr>
                      <w:i/>
                      <w:sz w:val="20"/>
                      <w:szCs w:val="20"/>
                    </w:rPr>
                    <w:t>Valsts pamatbudžetā</w:t>
                  </w:r>
                </w:p>
              </w:tc>
              <w:tc>
                <w:tcPr>
                  <w:tcW w:w="1680" w:type="dxa"/>
                </w:tcPr>
                <w:p w:rsidR="000D5E40" w:rsidRPr="00B6700F" w:rsidRDefault="000D5E40" w:rsidP="00B6700F">
                  <w:pPr>
                    <w:jc w:val="right"/>
                    <w:rPr>
                      <w:i/>
                      <w:sz w:val="20"/>
                      <w:szCs w:val="20"/>
                    </w:rPr>
                  </w:pPr>
                  <w:r w:rsidRPr="00B6700F">
                    <w:rPr>
                      <w:i/>
                      <w:sz w:val="20"/>
                      <w:szCs w:val="20"/>
                    </w:rPr>
                    <w:t>100 000</w:t>
                  </w:r>
                </w:p>
              </w:tc>
              <w:tc>
                <w:tcPr>
                  <w:tcW w:w="1680" w:type="dxa"/>
                </w:tcPr>
                <w:p w:rsidR="000D5E40" w:rsidRPr="00B6700F" w:rsidRDefault="000D5E40" w:rsidP="00B6700F">
                  <w:pPr>
                    <w:jc w:val="right"/>
                    <w:rPr>
                      <w:i/>
                      <w:sz w:val="20"/>
                      <w:szCs w:val="20"/>
                    </w:rPr>
                  </w:pPr>
                  <w:r w:rsidRPr="00B6700F">
                    <w:rPr>
                      <w:i/>
                      <w:sz w:val="20"/>
                      <w:szCs w:val="20"/>
                    </w:rPr>
                    <w:t>100 000</w:t>
                  </w:r>
                </w:p>
              </w:tc>
              <w:tc>
                <w:tcPr>
                  <w:tcW w:w="1403" w:type="dxa"/>
                </w:tcPr>
                <w:p w:rsidR="000D5E40" w:rsidRPr="00B6700F" w:rsidRDefault="000D5E40" w:rsidP="00B6700F">
                  <w:pPr>
                    <w:jc w:val="right"/>
                    <w:rPr>
                      <w:i/>
                      <w:sz w:val="20"/>
                      <w:szCs w:val="20"/>
                    </w:rPr>
                  </w:pPr>
                  <w:r w:rsidRPr="00B6700F">
                    <w:rPr>
                      <w:i/>
                      <w:sz w:val="20"/>
                      <w:szCs w:val="20"/>
                    </w:rPr>
                    <w:t>100 000</w:t>
                  </w:r>
                </w:p>
              </w:tc>
            </w:tr>
            <w:tr w:rsidR="00A35B17" w:rsidRPr="00A35B17" w:rsidTr="00A05BA0">
              <w:tc>
                <w:tcPr>
                  <w:tcW w:w="2609" w:type="dxa"/>
                </w:tcPr>
                <w:p w:rsidR="000D5E40" w:rsidRPr="00B6700F" w:rsidRDefault="000D5E40" w:rsidP="00B6700F">
                  <w:pPr>
                    <w:jc w:val="right"/>
                    <w:rPr>
                      <w:i/>
                      <w:sz w:val="20"/>
                      <w:szCs w:val="20"/>
                    </w:rPr>
                  </w:pPr>
                  <w:r w:rsidRPr="00A35B17">
                    <w:rPr>
                      <w:i/>
                      <w:sz w:val="20"/>
                      <w:szCs w:val="20"/>
                    </w:rPr>
                    <w:t>P</w:t>
                  </w:r>
                  <w:r w:rsidRPr="00B6700F">
                    <w:rPr>
                      <w:i/>
                      <w:sz w:val="20"/>
                      <w:szCs w:val="20"/>
                    </w:rPr>
                    <w:t>ašvaldību budžet</w:t>
                  </w:r>
                  <w:r w:rsidRPr="00A35B17">
                    <w:rPr>
                      <w:i/>
                      <w:sz w:val="20"/>
                      <w:szCs w:val="20"/>
                    </w:rPr>
                    <w:t>ā</w:t>
                  </w:r>
                </w:p>
              </w:tc>
              <w:tc>
                <w:tcPr>
                  <w:tcW w:w="1680" w:type="dxa"/>
                </w:tcPr>
                <w:p w:rsidR="000D5E40" w:rsidRPr="00B6700F" w:rsidRDefault="000D5E40" w:rsidP="00B6700F">
                  <w:pPr>
                    <w:jc w:val="right"/>
                    <w:rPr>
                      <w:i/>
                      <w:sz w:val="20"/>
                      <w:szCs w:val="20"/>
                    </w:rPr>
                  </w:pPr>
                  <w:r w:rsidRPr="00B6700F">
                    <w:rPr>
                      <w:i/>
                      <w:sz w:val="20"/>
                      <w:szCs w:val="20"/>
                    </w:rPr>
                    <w:t>400 000</w:t>
                  </w:r>
                </w:p>
              </w:tc>
              <w:tc>
                <w:tcPr>
                  <w:tcW w:w="1680" w:type="dxa"/>
                </w:tcPr>
                <w:p w:rsidR="000D5E40" w:rsidRPr="00B6700F" w:rsidRDefault="000D5E40" w:rsidP="00B6700F">
                  <w:pPr>
                    <w:jc w:val="right"/>
                    <w:rPr>
                      <w:i/>
                      <w:sz w:val="20"/>
                      <w:szCs w:val="20"/>
                    </w:rPr>
                  </w:pPr>
                  <w:r w:rsidRPr="00B6700F">
                    <w:rPr>
                      <w:i/>
                      <w:sz w:val="20"/>
                      <w:szCs w:val="20"/>
                    </w:rPr>
                    <w:t>400 000</w:t>
                  </w:r>
                </w:p>
              </w:tc>
              <w:tc>
                <w:tcPr>
                  <w:tcW w:w="1403" w:type="dxa"/>
                </w:tcPr>
                <w:p w:rsidR="000D5E40" w:rsidRPr="00B6700F" w:rsidRDefault="000D5E40" w:rsidP="00B6700F">
                  <w:pPr>
                    <w:jc w:val="right"/>
                    <w:rPr>
                      <w:i/>
                      <w:sz w:val="20"/>
                      <w:szCs w:val="20"/>
                    </w:rPr>
                  </w:pPr>
                  <w:r w:rsidRPr="00B6700F">
                    <w:rPr>
                      <w:i/>
                      <w:sz w:val="20"/>
                      <w:szCs w:val="20"/>
                    </w:rPr>
                    <w:t>400 000</w:t>
                  </w:r>
                </w:p>
              </w:tc>
            </w:tr>
            <w:tr w:rsidR="00A35B17" w:rsidRPr="00A35B17" w:rsidTr="00A05BA0">
              <w:tc>
                <w:tcPr>
                  <w:tcW w:w="2609" w:type="dxa"/>
                </w:tcPr>
                <w:p w:rsidR="000D5E40" w:rsidRPr="00B6700F" w:rsidRDefault="000D5E40" w:rsidP="00B6700F">
                  <w:pPr>
                    <w:rPr>
                      <w:i/>
                      <w:sz w:val="20"/>
                      <w:szCs w:val="20"/>
                    </w:rPr>
                  </w:pPr>
                  <w:r w:rsidRPr="00B6700F">
                    <w:rPr>
                      <w:i/>
                      <w:sz w:val="20"/>
                      <w:szCs w:val="20"/>
                    </w:rPr>
                    <w:t xml:space="preserve">Valsts sociālās apdrošināšanas obligātās iemaksas, </w:t>
                  </w:r>
                  <w:r w:rsidRPr="00A35B17">
                    <w:rPr>
                      <w:i/>
                      <w:sz w:val="20"/>
                      <w:szCs w:val="20"/>
                    </w:rPr>
                    <w:t>t.sk.,</w:t>
                  </w:r>
                </w:p>
              </w:tc>
              <w:tc>
                <w:tcPr>
                  <w:tcW w:w="1680" w:type="dxa"/>
                </w:tcPr>
                <w:p w:rsidR="000D5E40" w:rsidRPr="00B6700F" w:rsidRDefault="000D5E40" w:rsidP="00B6700F">
                  <w:pPr>
                    <w:jc w:val="center"/>
                    <w:rPr>
                      <w:sz w:val="20"/>
                      <w:szCs w:val="20"/>
                    </w:rPr>
                  </w:pPr>
                  <w:r w:rsidRPr="00A35B17">
                    <w:rPr>
                      <w:sz w:val="20"/>
                      <w:szCs w:val="20"/>
                    </w:rPr>
                    <w:t>960 000</w:t>
                  </w:r>
                </w:p>
              </w:tc>
              <w:tc>
                <w:tcPr>
                  <w:tcW w:w="1680" w:type="dxa"/>
                </w:tcPr>
                <w:p w:rsidR="000D5E40" w:rsidRPr="00B6700F" w:rsidRDefault="000D5E40" w:rsidP="00B6700F">
                  <w:pPr>
                    <w:jc w:val="center"/>
                    <w:rPr>
                      <w:sz w:val="20"/>
                      <w:szCs w:val="20"/>
                    </w:rPr>
                  </w:pPr>
                  <w:r w:rsidRPr="00A35B17">
                    <w:rPr>
                      <w:sz w:val="20"/>
                      <w:szCs w:val="20"/>
                    </w:rPr>
                    <w:t>960 000</w:t>
                  </w:r>
                </w:p>
              </w:tc>
              <w:tc>
                <w:tcPr>
                  <w:tcW w:w="1403" w:type="dxa"/>
                </w:tcPr>
                <w:p w:rsidR="000D5E40" w:rsidRPr="00B6700F" w:rsidRDefault="000D5E40" w:rsidP="00B6700F">
                  <w:pPr>
                    <w:jc w:val="center"/>
                    <w:rPr>
                      <w:sz w:val="20"/>
                      <w:szCs w:val="20"/>
                    </w:rPr>
                  </w:pPr>
                  <w:r w:rsidRPr="00A35B17">
                    <w:rPr>
                      <w:sz w:val="20"/>
                      <w:szCs w:val="20"/>
                    </w:rPr>
                    <w:t>960 000</w:t>
                  </w:r>
                </w:p>
              </w:tc>
            </w:tr>
            <w:tr w:rsidR="00A35B17" w:rsidRPr="00A35B17" w:rsidTr="00A05BA0">
              <w:tc>
                <w:tcPr>
                  <w:tcW w:w="2609" w:type="dxa"/>
                </w:tcPr>
                <w:p w:rsidR="000D5E40" w:rsidRPr="00B6700F" w:rsidRDefault="000D5E40" w:rsidP="00B6700F">
                  <w:pPr>
                    <w:jc w:val="right"/>
                    <w:rPr>
                      <w:i/>
                      <w:sz w:val="20"/>
                      <w:szCs w:val="20"/>
                    </w:rPr>
                  </w:pPr>
                  <w:r w:rsidRPr="00A35B17">
                    <w:rPr>
                      <w:i/>
                      <w:sz w:val="20"/>
                      <w:szCs w:val="20"/>
                    </w:rPr>
                    <w:t>V</w:t>
                  </w:r>
                  <w:r w:rsidRPr="00B6700F">
                    <w:rPr>
                      <w:i/>
                      <w:sz w:val="20"/>
                      <w:szCs w:val="20"/>
                    </w:rPr>
                    <w:t>alsts speciālais budžets</w:t>
                  </w:r>
                </w:p>
              </w:tc>
              <w:tc>
                <w:tcPr>
                  <w:tcW w:w="1680" w:type="dxa"/>
                </w:tcPr>
                <w:p w:rsidR="000D5E40" w:rsidRPr="00A35B17" w:rsidRDefault="000D5E40" w:rsidP="00B6700F">
                  <w:pPr>
                    <w:jc w:val="right"/>
                    <w:rPr>
                      <w:i/>
                      <w:sz w:val="20"/>
                      <w:szCs w:val="20"/>
                    </w:rPr>
                  </w:pPr>
                  <w:r w:rsidRPr="00A35B17">
                    <w:rPr>
                      <w:i/>
                      <w:sz w:val="20"/>
                      <w:szCs w:val="20"/>
                    </w:rPr>
                    <w:t>780 000</w:t>
                  </w:r>
                </w:p>
              </w:tc>
              <w:tc>
                <w:tcPr>
                  <w:tcW w:w="1680" w:type="dxa"/>
                </w:tcPr>
                <w:p w:rsidR="000D5E40" w:rsidRPr="00A35B17" w:rsidRDefault="000D5E40" w:rsidP="00B6700F">
                  <w:pPr>
                    <w:jc w:val="right"/>
                    <w:rPr>
                      <w:i/>
                      <w:sz w:val="20"/>
                      <w:szCs w:val="20"/>
                    </w:rPr>
                  </w:pPr>
                  <w:r w:rsidRPr="00A35B17">
                    <w:rPr>
                      <w:i/>
                      <w:sz w:val="20"/>
                      <w:szCs w:val="20"/>
                    </w:rPr>
                    <w:t>780 000</w:t>
                  </w:r>
                </w:p>
              </w:tc>
              <w:tc>
                <w:tcPr>
                  <w:tcW w:w="1403" w:type="dxa"/>
                </w:tcPr>
                <w:p w:rsidR="000D5E40" w:rsidRPr="00B6700F" w:rsidRDefault="000D5E40" w:rsidP="00B6700F">
                  <w:pPr>
                    <w:jc w:val="right"/>
                    <w:rPr>
                      <w:i/>
                      <w:sz w:val="20"/>
                      <w:szCs w:val="20"/>
                    </w:rPr>
                  </w:pPr>
                  <w:r w:rsidRPr="00B6700F">
                    <w:rPr>
                      <w:i/>
                      <w:sz w:val="20"/>
                      <w:szCs w:val="20"/>
                    </w:rPr>
                    <w:t>780 000</w:t>
                  </w:r>
                </w:p>
              </w:tc>
            </w:tr>
            <w:tr w:rsidR="00A35B17" w:rsidRPr="00A35B17" w:rsidTr="00A05BA0">
              <w:tc>
                <w:tcPr>
                  <w:tcW w:w="2609" w:type="dxa"/>
                </w:tcPr>
                <w:p w:rsidR="000D5E40" w:rsidRPr="00B6700F" w:rsidRDefault="000D5E40" w:rsidP="00B6700F">
                  <w:pPr>
                    <w:jc w:val="right"/>
                    <w:rPr>
                      <w:i/>
                      <w:sz w:val="20"/>
                      <w:szCs w:val="20"/>
                    </w:rPr>
                  </w:pPr>
                  <w:r w:rsidRPr="00A35B17">
                    <w:rPr>
                      <w:i/>
                      <w:sz w:val="20"/>
                      <w:szCs w:val="20"/>
                    </w:rPr>
                    <w:t>I</w:t>
                  </w:r>
                  <w:r w:rsidRPr="00B6700F">
                    <w:rPr>
                      <w:i/>
                      <w:sz w:val="20"/>
                      <w:szCs w:val="20"/>
                    </w:rPr>
                    <w:t>emaksas 2. pensijas līmenī</w:t>
                  </w:r>
                  <w:r w:rsidR="00112A45" w:rsidRPr="00A35B17">
                    <w:rPr>
                      <w:i/>
                      <w:sz w:val="20"/>
                      <w:szCs w:val="20"/>
                    </w:rPr>
                    <w:t xml:space="preserve"> (netiek ieskaitītas valsts budžetā) </w:t>
                  </w:r>
                </w:p>
              </w:tc>
              <w:tc>
                <w:tcPr>
                  <w:tcW w:w="1680" w:type="dxa"/>
                </w:tcPr>
                <w:p w:rsidR="000D5E40" w:rsidRPr="00B6700F" w:rsidRDefault="000D5E40" w:rsidP="00B6700F">
                  <w:pPr>
                    <w:jc w:val="right"/>
                    <w:rPr>
                      <w:i/>
                      <w:sz w:val="20"/>
                      <w:szCs w:val="20"/>
                    </w:rPr>
                  </w:pPr>
                  <w:r w:rsidRPr="00B6700F">
                    <w:rPr>
                      <w:i/>
                      <w:sz w:val="20"/>
                      <w:szCs w:val="20"/>
                    </w:rPr>
                    <w:t>150 000</w:t>
                  </w:r>
                </w:p>
              </w:tc>
              <w:tc>
                <w:tcPr>
                  <w:tcW w:w="1680" w:type="dxa"/>
                </w:tcPr>
                <w:p w:rsidR="000D5E40" w:rsidRPr="00B6700F" w:rsidRDefault="000D5E40" w:rsidP="00B6700F">
                  <w:pPr>
                    <w:jc w:val="right"/>
                    <w:rPr>
                      <w:i/>
                      <w:sz w:val="20"/>
                      <w:szCs w:val="20"/>
                    </w:rPr>
                  </w:pPr>
                  <w:r w:rsidRPr="00B6700F">
                    <w:rPr>
                      <w:i/>
                      <w:sz w:val="20"/>
                      <w:szCs w:val="20"/>
                    </w:rPr>
                    <w:t>150 000</w:t>
                  </w:r>
                </w:p>
              </w:tc>
              <w:tc>
                <w:tcPr>
                  <w:tcW w:w="1403" w:type="dxa"/>
                </w:tcPr>
                <w:p w:rsidR="000D5E40" w:rsidRPr="00B6700F" w:rsidRDefault="000D5E40" w:rsidP="00B6700F">
                  <w:pPr>
                    <w:jc w:val="right"/>
                    <w:rPr>
                      <w:i/>
                      <w:sz w:val="20"/>
                      <w:szCs w:val="20"/>
                    </w:rPr>
                  </w:pPr>
                  <w:r w:rsidRPr="00B6700F">
                    <w:rPr>
                      <w:i/>
                      <w:sz w:val="20"/>
                      <w:szCs w:val="20"/>
                    </w:rPr>
                    <w:t>150 000</w:t>
                  </w:r>
                </w:p>
              </w:tc>
            </w:tr>
            <w:tr w:rsidR="00A35B17" w:rsidRPr="00A35B17" w:rsidTr="00A05BA0">
              <w:tc>
                <w:tcPr>
                  <w:tcW w:w="2609" w:type="dxa"/>
                </w:tcPr>
                <w:p w:rsidR="000D5E40" w:rsidRPr="00B6700F" w:rsidRDefault="000D5E40" w:rsidP="00B6700F">
                  <w:pPr>
                    <w:jc w:val="right"/>
                    <w:rPr>
                      <w:i/>
                      <w:sz w:val="20"/>
                      <w:szCs w:val="20"/>
                    </w:rPr>
                  </w:pPr>
                  <w:r w:rsidRPr="00A35B17">
                    <w:rPr>
                      <w:i/>
                      <w:sz w:val="20"/>
                      <w:szCs w:val="20"/>
                    </w:rPr>
                    <w:t>I</w:t>
                  </w:r>
                  <w:r w:rsidRPr="00B6700F">
                    <w:rPr>
                      <w:i/>
                      <w:sz w:val="20"/>
                      <w:szCs w:val="20"/>
                    </w:rPr>
                    <w:t>eņēmumi valsts pamatbudžetā no valsts sociālās apdrošināšanas obligāto iemaksu sadales veselības aprūpes</w:t>
                  </w:r>
                </w:p>
              </w:tc>
              <w:tc>
                <w:tcPr>
                  <w:tcW w:w="1680" w:type="dxa"/>
                </w:tcPr>
                <w:p w:rsidR="000D5E40" w:rsidRPr="00B6700F" w:rsidRDefault="000D5E40" w:rsidP="00B6700F">
                  <w:pPr>
                    <w:jc w:val="right"/>
                    <w:rPr>
                      <w:i/>
                      <w:sz w:val="20"/>
                      <w:szCs w:val="20"/>
                    </w:rPr>
                  </w:pPr>
                  <w:r w:rsidRPr="00B6700F">
                    <w:rPr>
                      <w:i/>
                      <w:sz w:val="20"/>
                      <w:szCs w:val="20"/>
                    </w:rPr>
                    <w:t>30 000</w:t>
                  </w:r>
                </w:p>
              </w:tc>
              <w:tc>
                <w:tcPr>
                  <w:tcW w:w="1680" w:type="dxa"/>
                </w:tcPr>
                <w:p w:rsidR="000D5E40" w:rsidRPr="00B6700F" w:rsidRDefault="000D5E40" w:rsidP="00B6700F">
                  <w:pPr>
                    <w:jc w:val="right"/>
                    <w:rPr>
                      <w:i/>
                      <w:sz w:val="20"/>
                      <w:szCs w:val="20"/>
                    </w:rPr>
                  </w:pPr>
                  <w:r w:rsidRPr="00B6700F">
                    <w:rPr>
                      <w:i/>
                      <w:sz w:val="20"/>
                      <w:szCs w:val="20"/>
                    </w:rPr>
                    <w:t>30 000</w:t>
                  </w:r>
                </w:p>
              </w:tc>
              <w:tc>
                <w:tcPr>
                  <w:tcW w:w="1403" w:type="dxa"/>
                </w:tcPr>
                <w:p w:rsidR="000D5E40" w:rsidRPr="00B6700F" w:rsidRDefault="000D5E40" w:rsidP="00B6700F">
                  <w:pPr>
                    <w:jc w:val="right"/>
                    <w:rPr>
                      <w:i/>
                      <w:sz w:val="20"/>
                      <w:szCs w:val="20"/>
                    </w:rPr>
                  </w:pPr>
                  <w:r w:rsidRPr="00B6700F">
                    <w:rPr>
                      <w:i/>
                      <w:sz w:val="20"/>
                      <w:szCs w:val="20"/>
                    </w:rPr>
                    <w:t>30 000</w:t>
                  </w:r>
                </w:p>
              </w:tc>
            </w:tr>
            <w:tr w:rsidR="00A35B17" w:rsidRPr="00A35B17" w:rsidTr="00A05BA0">
              <w:tc>
                <w:tcPr>
                  <w:tcW w:w="2609" w:type="dxa"/>
                </w:tcPr>
                <w:p w:rsidR="000D5E40" w:rsidRPr="00B6700F" w:rsidRDefault="00112A45" w:rsidP="000D5E40">
                  <w:pPr>
                    <w:jc w:val="right"/>
                    <w:rPr>
                      <w:sz w:val="20"/>
                      <w:szCs w:val="20"/>
                    </w:rPr>
                  </w:pPr>
                  <w:r w:rsidRPr="00A35B17">
                    <w:rPr>
                      <w:sz w:val="20"/>
                      <w:szCs w:val="20"/>
                    </w:rPr>
                    <w:t>Kopā</w:t>
                  </w:r>
                </w:p>
              </w:tc>
              <w:tc>
                <w:tcPr>
                  <w:tcW w:w="1680" w:type="dxa"/>
                </w:tcPr>
                <w:p w:rsidR="000D5E40" w:rsidRPr="00B6700F" w:rsidRDefault="00112A45" w:rsidP="00B6700F">
                  <w:pPr>
                    <w:jc w:val="center"/>
                    <w:rPr>
                      <w:sz w:val="20"/>
                      <w:szCs w:val="20"/>
                    </w:rPr>
                  </w:pPr>
                  <w:r w:rsidRPr="00A35B17">
                    <w:rPr>
                      <w:sz w:val="20"/>
                      <w:szCs w:val="20"/>
                    </w:rPr>
                    <w:t>3 830 000</w:t>
                  </w:r>
                </w:p>
              </w:tc>
              <w:tc>
                <w:tcPr>
                  <w:tcW w:w="1680" w:type="dxa"/>
                </w:tcPr>
                <w:p w:rsidR="000D5E40" w:rsidRPr="00B6700F" w:rsidRDefault="00112A45" w:rsidP="00B6700F">
                  <w:pPr>
                    <w:jc w:val="center"/>
                    <w:rPr>
                      <w:sz w:val="20"/>
                      <w:szCs w:val="20"/>
                    </w:rPr>
                  </w:pPr>
                  <w:r w:rsidRPr="00A35B17">
                    <w:rPr>
                      <w:sz w:val="20"/>
                      <w:szCs w:val="20"/>
                    </w:rPr>
                    <w:t>3 830 000</w:t>
                  </w:r>
                </w:p>
              </w:tc>
              <w:tc>
                <w:tcPr>
                  <w:tcW w:w="1403" w:type="dxa"/>
                </w:tcPr>
                <w:p w:rsidR="000D5E40" w:rsidRPr="00B6700F" w:rsidRDefault="00112A45" w:rsidP="00B6700F">
                  <w:pPr>
                    <w:jc w:val="center"/>
                    <w:rPr>
                      <w:sz w:val="20"/>
                      <w:szCs w:val="20"/>
                    </w:rPr>
                  </w:pPr>
                  <w:r w:rsidRPr="00A35B17">
                    <w:rPr>
                      <w:sz w:val="20"/>
                      <w:szCs w:val="20"/>
                    </w:rPr>
                    <w:t>3 830 000</w:t>
                  </w:r>
                </w:p>
              </w:tc>
            </w:tr>
          </w:tbl>
          <w:p w:rsidR="00056410" w:rsidRPr="00851732" w:rsidRDefault="00056410" w:rsidP="00B6700F">
            <w:pPr>
              <w:ind w:firstLine="284"/>
              <w:jc w:val="both"/>
              <w:rPr>
                <w:rFonts w:cs="Times New Roman"/>
                <w:szCs w:val="24"/>
              </w:rPr>
            </w:pPr>
            <w:r w:rsidRPr="00B6700F">
              <w:rPr>
                <w:rFonts w:cs="Times New Roman"/>
                <w:szCs w:val="24"/>
              </w:rPr>
              <w:t xml:space="preserve">Attiecībā uz regulējumu, kas paredz </w:t>
            </w:r>
            <w:r w:rsidRPr="00851732">
              <w:rPr>
                <w:rFonts w:cs="Times New Roman"/>
                <w:szCs w:val="24"/>
              </w:rPr>
              <w:t>nodokļu maksātāja informēšanu par tā riskantajiem darījuma partneriem, p</w:t>
            </w:r>
            <w:r w:rsidRPr="00B6700F">
              <w:rPr>
                <w:rFonts w:cs="Times New Roman"/>
                <w:szCs w:val="24"/>
              </w:rPr>
              <w:t>ēc VID novērtējuma 2020. gadā pasākuma kopējais fis</w:t>
            </w:r>
            <w:r w:rsidR="00C8386F">
              <w:rPr>
                <w:rFonts w:cs="Times New Roman"/>
                <w:szCs w:val="24"/>
              </w:rPr>
              <w:t>kālais efekts varētu sasniegt 3 milj. </w:t>
            </w:r>
            <w:r w:rsidRPr="000243F6">
              <w:rPr>
                <w:i/>
                <w:szCs w:val="24"/>
              </w:rPr>
              <w:t>euro</w:t>
            </w:r>
            <w:r w:rsidRPr="00B6700F">
              <w:rPr>
                <w:rFonts w:cs="Times New Roman"/>
                <w:szCs w:val="24"/>
              </w:rPr>
              <w:t xml:space="preserve"> (papildus </w:t>
            </w:r>
            <w:r w:rsidRPr="00B6700F">
              <w:rPr>
                <w:rFonts w:cs="Times New Roman"/>
                <w:szCs w:val="24"/>
              </w:rPr>
              <w:lastRenderedPageBreak/>
              <w:t>PVN ieņēmumiem sasniedzot 1,5</w:t>
            </w:r>
            <w:r w:rsidR="00C8386F">
              <w:rPr>
                <w:rFonts w:cs="Times New Roman"/>
                <w:szCs w:val="24"/>
              </w:rPr>
              <w:t> </w:t>
            </w:r>
            <w:r w:rsidRPr="00B6700F">
              <w:rPr>
                <w:rFonts w:cs="Times New Roman"/>
                <w:szCs w:val="24"/>
              </w:rPr>
              <w:t>milj.</w:t>
            </w:r>
            <w:r w:rsidR="00C8386F">
              <w:rPr>
                <w:rFonts w:cs="Times New Roman"/>
                <w:szCs w:val="24"/>
              </w:rPr>
              <w:t> </w:t>
            </w:r>
            <w:r w:rsidRPr="000243F6">
              <w:rPr>
                <w:i/>
                <w:szCs w:val="24"/>
              </w:rPr>
              <w:t>euro</w:t>
            </w:r>
            <w:r w:rsidRPr="00B6700F">
              <w:rPr>
                <w:rFonts w:cs="Times New Roman"/>
                <w:szCs w:val="24"/>
              </w:rPr>
              <w:t>). Šobrīd nodokļu maksātāju informēšanas procedūra par darījuma partnera riskiem tiek veikta “konsultē vispirms” politikas ietvaros tikai atsevišķiem nodokļu maksātājiem ar lielākiem saistību izpildes riskiem, kā rezultātā komersanti brīvprātīgi precizē PVN deklarāciju saturu, izslēdzot darījumus ar šaubīgiem partneriem. Pēdējos gados šī pasākuma fiskālā atdeve ir pieaugusi. Savukārt, nostiprinot VID tiesības sniegt informāciju par riskantajiem darījuma partneriem normatīvajā aktā, ļau</w:t>
            </w:r>
            <w:r w:rsidR="005A707C">
              <w:rPr>
                <w:rFonts w:cs="Times New Roman"/>
                <w:szCs w:val="24"/>
              </w:rPr>
              <w:t>tu piemērot šo procedūru lielāka</w:t>
            </w:r>
            <w:r w:rsidRPr="00B6700F">
              <w:rPr>
                <w:rFonts w:cs="Times New Roman"/>
                <w:szCs w:val="24"/>
              </w:rPr>
              <w:t>m nodokļu maksātāju skait</w:t>
            </w:r>
            <w:r w:rsidR="005A707C">
              <w:rPr>
                <w:rFonts w:cs="Times New Roman"/>
                <w:szCs w:val="24"/>
              </w:rPr>
              <w:t>a</w:t>
            </w:r>
            <w:r w:rsidRPr="00B6700F">
              <w:rPr>
                <w:rFonts w:cs="Times New Roman"/>
                <w:szCs w:val="24"/>
              </w:rPr>
              <w:t>m, k</w:t>
            </w:r>
            <w:r w:rsidR="005A707C">
              <w:rPr>
                <w:rFonts w:cs="Times New Roman"/>
                <w:szCs w:val="24"/>
              </w:rPr>
              <w:t>ā</w:t>
            </w:r>
            <w:r w:rsidRPr="00B6700F">
              <w:rPr>
                <w:rFonts w:cs="Times New Roman"/>
                <w:szCs w:val="24"/>
              </w:rPr>
              <w:t xml:space="preserve"> arī motivētu viņus aktīvāk veikt deklarāciju precizējumus, lai nākotnē mazinātu nodokļu kontroles pasākumu varbūtību.</w:t>
            </w:r>
          </w:p>
          <w:p w:rsidR="000D5E40" w:rsidRPr="0059610E" w:rsidRDefault="00056410" w:rsidP="00B6700F">
            <w:pPr>
              <w:ind w:firstLine="284"/>
              <w:jc w:val="both"/>
              <w:rPr>
                <w:rFonts w:cs="Times New Roman"/>
                <w:szCs w:val="24"/>
              </w:rPr>
            </w:pPr>
            <w:r w:rsidRPr="00B6700F">
              <w:rPr>
                <w:rFonts w:cs="Times New Roman"/>
                <w:szCs w:val="24"/>
              </w:rPr>
              <w:t>Nodokļu kontroles pasākumu rezultātā 2019.</w:t>
            </w:r>
            <w:r>
              <w:rPr>
                <w:rFonts w:cs="Times New Roman"/>
                <w:szCs w:val="24"/>
              </w:rPr>
              <w:t> </w:t>
            </w:r>
            <w:r w:rsidRPr="00B6700F">
              <w:rPr>
                <w:rFonts w:cs="Times New Roman"/>
                <w:szCs w:val="24"/>
              </w:rPr>
              <w:t>gada 7 mēnešos saistībā ar konstatētajiem pārkāpumiem no PVN maksātāju reģistra tika izslēgti 146</w:t>
            </w:r>
            <w:r>
              <w:rPr>
                <w:rFonts w:cs="Times New Roman"/>
                <w:szCs w:val="24"/>
              </w:rPr>
              <w:t> </w:t>
            </w:r>
            <w:r w:rsidRPr="00B6700F">
              <w:rPr>
                <w:rFonts w:cs="Times New Roman"/>
                <w:szCs w:val="24"/>
              </w:rPr>
              <w:t>nodokļu maksātāji, kuriem netika veikti papildus nodokļu uzrēķini un kuru pēdējo sešu mēnešu PVN no to deklarētajiem</w:t>
            </w:r>
            <w:r>
              <w:rPr>
                <w:rFonts w:cs="Times New Roman"/>
                <w:szCs w:val="24"/>
              </w:rPr>
              <w:t xml:space="preserve"> darījumiem bija 9,8 milj. </w:t>
            </w:r>
            <w:r w:rsidRPr="000243F6">
              <w:rPr>
                <w:i/>
                <w:szCs w:val="24"/>
              </w:rPr>
              <w:t>euro</w:t>
            </w:r>
            <w:r w:rsidRPr="00B6700F">
              <w:rPr>
                <w:rFonts w:cs="Times New Roman"/>
                <w:szCs w:val="24"/>
              </w:rPr>
              <w:t>, kas savukārt tika iekļauti citu nodokļu maksātāju priekšnodoklī. Ņemot vērā iepriekš</w:t>
            </w:r>
            <w:r w:rsidR="005A707C">
              <w:rPr>
                <w:rFonts w:cs="Times New Roman"/>
                <w:szCs w:val="24"/>
              </w:rPr>
              <w:t xml:space="preserve"> </w:t>
            </w:r>
            <w:r w:rsidRPr="00B6700F">
              <w:rPr>
                <w:rFonts w:cs="Times New Roman"/>
                <w:szCs w:val="24"/>
              </w:rPr>
              <w:t>minēto</w:t>
            </w:r>
            <w:r w:rsidR="005A707C">
              <w:rPr>
                <w:rFonts w:cs="Times New Roman"/>
                <w:szCs w:val="24"/>
              </w:rPr>
              <w:t>,</w:t>
            </w:r>
            <w:r w:rsidRPr="00B6700F">
              <w:rPr>
                <w:rFonts w:cs="Times New Roman"/>
                <w:szCs w:val="24"/>
              </w:rPr>
              <w:t xml:space="preserve"> provizoriskais mazināmā saistību riska apmērs veido ap 16,8</w:t>
            </w:r>
            <w:r>
              <w:rPr>
                <w:rFonts w:cs="Times New Roman"/>
                <w:szCs w:val="24"/>
              </w:rPr>
              <w:t> milj. </w:t>
            </w:r>
            <w:r w:rsidRPr="000243F6">
              <w:rPr>
                <w:i/>
                <w:szCs w:val="24"/>
              </w:rPr>
              <w:t>euro</w:t>
            </w:r>
            <w:r w:rsidRPr="0059610E">
              <w:rPr>
                <w:rFonts w:cs="Times New Roman"/>
                <w:szCs w:val="24"/>
              </w:rPr>
              <w:t xml:space="preserve"> gadā. Balstoties uz VID ekspertu viedokli, pasākuma ietekmē varētu tikt saņemti papildus PVN deklarāciju precizējumi ap 10</w:t>
            </w:r>
            <w:r>
              <w:rPr>
                <w:rFonts w:cs="Times New Roman"/>
                <w:szCs w:val="24"/>
              </w:rPr>
              <w:t> </w:t>
            </w:r>
            <w:r w:rsidRPr="0059610E">
              <w:rPr>
                <w:rFonts w:cs="Times New Roman"/>
                <w:szCs w:val="24"/>
              </w:rPr>
              <w:t>% no riska darījumu kopējās PVN summas, tad p</w:t>
            </w:r>
            <w:r>
              <w:rPr>
                <w:rFonts w:cs="Times New Roman"/>
                <w:szCs w:val="24"/>
              </w:rPr>
              <w:t xml:space="preserve">apildus PVN ieņēmumi </w:t>
            </w:r>
            <w:r w:rsidR="00423F60">
              <w:rPr>
                <w:rFonts w:cs="Times New Roman"/>
                <w:szCs w:val="24"/>
              </w:rPr>
              <w:t xml:space="preserve">2020.gadā </w:t>
            </w:r>
            <w:r>
              <w:rPr>
                <w:rFonts w:cs="Times New Roman"/>
                <w:szCs w:val="24"/>
              </w:rPr>
              <w:t>veidos 1,5 milj. </w:t>
            </w:r>
            <w:r w:rsidRPr="000243F6">
              <w:rPr>
                <w:i/>
                <w:szCs w:val="24"/>
              </w:rPr>
              <w:t>euro</w:t>
            </w:r>
            <w:r w:rsidRPr="0059610E">
              <w:rPr>
                <w:rFonts w:cs="Times New Roman"/>
                <w:szCs w:val="24"/>
              </w:rPr>
              <w:t>.</w:t>
            </w:r>
            <w:r w:rsidR="00AD2FF6">
              <w:rPr>
                <w:rFonts w:cs="Times New Roman"/>
                <w:szCs w:val="24"/>
              </w:rPr>
              <w:t xml:space="preserve"> Plānots, ka 2021. un 2022.gadā PVN ieņēmumi palielināsies vēl par 0,3 milj. </w:t>
            </w:r>
            <w:r w:rsidR="00AD2FF6" w:rsidRPr="005B5D71">
              <w:rPr>
                <w:rFonts w:cs="Times New Roman"/>
                <w:i/>
                <w:szCs w:val="24"/>
              </w:rPr>
              <w:t>euro</w:t>
            </w:r>
            <w:r w:rsidR="00AD2FF6">
              <w:rPr>
                <w:rFonts w:cs="Times New Roman"/>
                <w:szCs w:val="24"/>
              </w:rPr>
              <w:t>.</w:t>
            </w:r>
          </w:p>
        </w:tc>
      </w:tr>
      <w:tr w:rsidR="00056410"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851732" w:rsidRDefault="00056410" w:rsidP="00056410">
            <w:pPr>
              <w:rPr>
                <w:rFonts w:eastAsia="Times New Roman" w:cs="Times New Roman"/>
                <w:iCs/>
                <w:szCs w:val="24"/>
                <w:lang w:eastAsia="lv-LV"/>
              </w:rPr>
            </w:pPr>
            <w:r w:rsidRPr="00851732">
              <w:rPr>
                <w:rFonts w:eastAsia="Times New Roman" w:cs="Times New Roman"/>
                <w:iCs/>
                <w:szCs w:val="24"/>
                <w:lang w:eastAsia="lv-LV"/>
              </w:rPr>
              <w:t>6.1. detalizēts ieņēmumu aprēķins</w:t>
            </w:r>
          </w:p>
        </w:tc>
        <w:tc>
          <w:tcPr>
            <w:tcW w:w="4166" w:type="pct"/>
            <w:gridSpan w:val="7"/>
            <w:vMerge/>
            <w:tcBorders>
              <w:top w:val="outset" w:sz="6" w:space="0" w:color="auto"/>
              <w:left w:val="outset" w:sz="6" w:space="0" w:color="auto"/>
              <w:bottom w:val="outset" w:sz="6" w:space="0" w:color="auto"/>
              <w:right w:val="outset" w:sz="6" w:space="0" w:color="auto"/>
            </w:tcBorders>
            <w:vAlign w:val="center"/>
            <w:hideMark/>
          </w:tcPr>
          <w:p w:rsidR="00056410" w:rsidRPr="00851732" w:rsidRDefault="00056410" w:rsidP="00056410">
            <w:pPr>
              <w:rPr>
                <w:rFonts w:eastAsia="Times New Roman" w:cs="Times New Roman"/>
                <w:iCs/>
                <w:szCs w:val="24"/>
                <w:lang w:eastAsia="lv-LV"/>
              </w:rPr>
            </w:pPr>
          </w:p>
        </w:tc>
      </w:tr>
      <w:tr w:rsidR="00056410"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851732" w:rsidRDefault="00056410" w:rsidP="00056410">
            <w:pPr>
              <w:rPr>
                <w:rFonts w:eastAsia="Times New Roman" w:cs="Times New Roman"/>
                <w:iCs/>
                <w:szCs w:val="24"/>
                <w:lang w:eastAsia="lv-LV"/>
              </w:rPr>
            </w:pPr>
            <w:r w:rsidRPr="00851732">
              <w:rPr>
                <w:rFonts w:eastAsia="Times New Roman" w:cs="Times New Roman"/>
                <w:iCs/>
                <w:szCs w:val="24"/>
                <w:lang w:eastAsia="lv-LV"/>
              </w:rPr>
              <w:t>6.2. detalizēts izdevumu aprēķins</w:t>
            </w:r>
          </w:p>
        </w:tc>
        <w:tc>
          <w:tcPr>
            <w:tcW w:w="4166" w:type="pct"/>
            <w:gridSpan w:val="7"/>
            <w:vMerge/>
            <w:tcBorders>
              <w:top w:val="outset" w:sz="6" w:space="0" w:color="auto"/>
              <w:left w:val="outset" w:sz="6" w:space="0" w:color="auto"/>
              <w:bottom w:val="outset" w:sz="6" w:space="0" w:color="auto"/>
              <w:right w:val="outset" w:sz="6" w:space="0" w:color="auto"/>
            </w:tcBorders>
            <w:vAlign w:val="center"/>
            <w:hideMark/>
          </w:tcPr>
          <w:p w:rsidR="00056410" w:rsidRPr="00851732" w:rsidRDefault="00056410" w:rsidP="00056410">
            <w:pPr>
              <w:rPr>
                <w:rFonts w:eastAsia="Times New Roman" w:cs="Times New Roman"/>
                <w:iCs/>
                <w:szCs w:val="24"/>
                <w:lang w:eastAsia="lv-LV"/>
              </w:rPr>
            </w:pPr>
          </w:p>
        </w:tc>
      </w:tr>
      <w:tr w:rsidR="00056410" w:rsidRPr="0022005E"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22005E" w:rsidRDefault="00056410" w:rsidP="00056410">
            <w:pPr>
              <w:rPr>
                <w:rFonts w:eastAsia="Times New Roman" w:cs="Times New Roman"/>
                <w:iCs/>
                <w:szCs w:val="24"/>
                <w:lang w:eastAsia="lv-LV"/>
              </w:rPr>
            </w:pPr>
            <w:r w:rsidRPr="0022005E">
              <w:rPr>
                <w:rFonts w:eastAsia="Times New Roman" w:cs="Times New Roman"/>
                <w:iCs/>
                <w:szCs w:val="24"/>
                <w:lang w:eastAsia="lv-LV"/>
              </w:rPr>
              <w:t>7. Amata vietu skaita izmaiņas</w:t>
            </w:r>
          </w:p>
        </w:tc>
        <w:tc>
          <w:tcPr>
            <w:tcW w:w="4166" w:type="pct"/>
            <w:gridSpan w:val="7"/>
            <w:tcBorders>
              <w:top w:val="outset" w:sz="6" w:space="0" w:color="auto"/>
              <w:left w:val="outset" w:sz="6" w:space="0" w:color="auto"/>
              <w:bottom w:val="outset" w:sz="6" w:space="0" w:color="auto"/>
              <w:right w:val="outset" w:sz="6" w:space="0" w:color="auto"/>
            </w:tcBorders>
            <w:hideMark/>
          </w:tcPr>
          <w:p w:rsidR="00056410" w:rsidRPr="0022005E" w:rsidRDefault="00056410">
            <w:pPr>
              <w:ind w:firstLine="284"/>
              <w:rPr>
                <w:rFonts w:eastAsia="Times New Roman" w:cs="Times New Roman"/>
                <w:iCs/>
                <w:szCs w:val="24"/>
                <w:lang w:eastAsia="lv-LV"/>
              </w:rPr>
            </w:pPr>
            <w:r w:rsidRPr="0022005E">
              <w:rPr>
                <w:rFonts w:eastAsia="Times New Roman" w:cs="Times New Roman"/>
                <w:iCs/>
                <w:szCs w:val="24"/>
                <w:lang w:eastAsia="lv-LV"/>
              </w:rPr>
              <w:t>Likumprojekta ietvaros nav plānotas amata vietu skaita izmaiņas.</w:t>
            </w:r>
          </w:p>
        </w:tc>
      </w:tr>
      <w:tr w:rsidR="00056410" w:rsidRPr="0076234F" w:rsidTr="00B6700F">
        <w:trPr>
          <w:tblCellSpacing w:w="15" w:type="dxa"/>
        </w:trPr>
        <w:tc>
          <w:tcPr>
            <w:tcW w:w="785" w:type="pct"/>
            <w:tcBorders>
              <w:top w:val="outset" w:sz="6" w:space="0" w:color="auto"/>
              <w:left w:val="outset" w:sz="6" w:space="0" w:color="auto"/>
              <w:bottom w:val="outset" w:sz="6" w:space="0" w:color="auto"/>
              <w:right w:val="outset" w:sz="6" w:space="0" w:color="auto"/>
            </w:tcBorders>
            <w:hideMark/>
          </w:tcPr>
          <w:p w:rsidR="00056410" w:rsidRPr="0022005E" w:rsidRDefault="00056410" w:rsidP="00056410">
            <w:pPr>
              <w:rPr>
                <w:rFonts w:eastAsia="Times New Roman" w:cs="Times New Roman"/>
                <w:iCs/>
                <w:szCs w:val="24"/>
                <w:lang w:eastAsia="lv-LV"/>
              </w:rPr>
            </w:pPr>
            <w:r w:rsidRPr="0022005E">
              <w:rPr>
                <w:rFonts w:eastAsia="Times New Roman" w:cs="Times New Roman"/>
                <w:iCs/>
                <w:szCs w:val="24"/>
                <w:lang w:eastAsia="lv-LV"/>
              </w:rPr>
              <w:t>8. Cita informācija</w:t>
            </w:r>
          </w:p>
        </w:tc>
        <w:tc>
          <w:tcPr>
            <w:tcW w:w="4166" w:type="pct"/>
            <w:gridSpan w:val="7"/>
            <w:tcBorders>
              <w:top w:val="outset" w:sz="6" w:space="0" w:color="auto"/>
              <w:left w:val="outset" w:sz="6" w:space="0" w:color="auto"/>
              <w:bottom w:val="outset" w:sz="6" w:space="0" w:color="auto"/>
              <w:right w:val="outset" w:sz="6" w:space="0" w:color="auto"/>
            </w:tcBorders>
            <w:hideMark/>
          </w:tcPr>
          <w:p w:rsidR="00056410" w:rsidRPr="0076234F" w:rsidRDefault="00AD2FF6" w:rsidP="0059610E">
            <w:pPr>
              <w:ind w:firstLine="284"/>
              <w:jc w:val="both"/>
            </w:pPr>
            <w:r>
              <w:t>Izmaiņas ieņēmumos ir iekļautas likumprojektā “Par valsts budžetu 2020.gadam” un likumprojektā</w:t>
            </w:r>
            <w:r w:rsidRPr="00AD2FF6">
              <w:t xml:space="preserve"> “Par vidēja termiņa budžeta ietv</w:t>
            </w:r>
            <w:r w:rsidR="00047C1C">
              <w:t>aru 2020., 2021. un 2022.gadam”.</w:t>
            </w:r>
            <w:bookmarkStart w:id="0" w:name="_GoBack"/>
            <w:bookmarkEnd w:id="0"/>
          </w:p>
        </w:tc>
      </w:tr>
    </w:tbl>
    <w:p w:rsidR="00A05BA0" w:rsidRPr="00750114" w:rsidRDefault="00A05BA0"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33AC" w:rsidRPr="00750114"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1B95" w:rsidRPr="00750114" w:rsidRDefault="00CF1B95" w:rsidP="007C3930">
            <w:pPr>
              <w:rPr>
                <w:rFonts w:eastAsia="Times New Roman" w:cs="Times New Roman"/>
                <w:b/>
                <w:bCs/>
                <w:iCs/>
                <w:szCs w:val="24"/>
                <w:lang w:eastAsia="lv-LV"/>
              </w:rPr>
            </w:pPr>
            <w:r w:rsidRPr="00750114">
              <w:rPr>
                <w:rFonts w:eastAsia="Times New Roman" w:cs="Times New Roman"/>
                <w:b/>
                <w:bCs/>
                <w:iCs/>
                <w:szCs w:val="24"/>
                <w:lang w:eastAsia="lv-LV"/>
              </w:rPr>
              <w:t>IV. Tiesību akta projekta ietekme uz spēkā esošo tiesību normu sistēmu</w:t>
            </w:r>
          </w:p>
        </w:tc>
      </w:tr>
      <w:tr w:rsidR="00385F7F" w:rsidRPr="00750114" w:rsidTr="00CF1B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85F7F" w:rsidRPr="00750114" w:rsidRDefault="00385F7F" w:rsidP="00385F7F">
            <w:pPr>
              <w:jc w:val="center"/>
              <w:rPr>
                <w:rFonts w:eastAsia="Times New Roman" w:cs="Times New Roman"/>
                <w:b/>
                <w:bCs/>
                <w:iCs/>
                <w:szCs w:val="24"/>
                <w:lang w:eastAsia="lv-LV"/>
              </w:rPr>
            </w:pPr>
            <w:r w:rsidRPr="00A951DB">
              <w:rPr>
                <w:rFonts w:eastAsia="Times New Roman" w:cs="Times New Roman"/>
                <w:szCs w:val="24"/>
                <w:lang w:eastAsia="lv-LV"/>
              </w:rPr>
              <w:t>Projekts šo jomu neskar.</w:t>
            </w:r>
          </w:p>
        </w:tc>
      </w:tr>
    </w:tbl>
    <w:p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CE33AC" w:rsidRPr="007501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 Tiesību akta projekta atbilstība Latvijas Republikas starptautiskajām saistībām</w:t>
            </w:r>
          </w:p>
        </w:tc>
      </w:tr>
      <w:tr w:rsidR="00CE33AC" w:rsidRPr="00750114"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E6263" w:rsidRPr="00750114" w:rsidRDefault="005E6263" w:rsidP="005E6263">
            <w:pPr>
              <w:jc w:val="center"/>
              <w:rPr>
                <w:rFonts w:eastAsia="Times New Roman" w:cs="Times New Roman"/>
                <w:b/>
                <w:bCs/>
                <w:iCs/>
                <w:szCs w:val="24"/>
                <w:lang w:eastAsia="lv-LV"/>
              </w:rPr>
            </w:pPr>
            <w:r w:rsidRPr="00750114">
              <w:rPr>
                <w:rFonts w:cs="Times New Roman"/>
                <w:szCs w:val="24"/>
                <w:lang w:eastAsia="lv-LV"/>
              </w:rPr>
              <w:t>Projekts šo jomu neskar.</w:t>
            </w:r>
          </w:p>
        </w:tc>
      </w:tr>
    </w:tbl>
    <w:p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10"/>
        <w:gridCol w:w="5620"/>
      </w:tblGrid>
      <w:tr w:rsidR="00CE33AC" w:rsidRPr="0075011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 Sabiedrības līdzdalība un komunikācijas aktivitātes</w:t>
            </w:r>
          </w:p>
        </w:tc>
      </w:tr>
      <w:tr w:rsidR="00CE33AC" w:rsidRPr="00750114" w:rsidTr="00C464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Plānotās sabiedrības līdzdalības un komunikācijas aktivitātes saistībā ar projektu</w:t>
            </w:r>
          </w:p>
        </w:tc>
        <w:tc>
          <w:tcPr>
            <w:tcW w:w="3023" w:type="pct"/>
            <w:tcBorders>
              <w:top w:val="outset" w:sz="6" w:space="0" w:color="auto"/>
              <w:left w:val="outset" w:sz="6" w:space="0" w:color="auto"/>
              <w:bottom w:val="outset" w:sz="6" w:space="0" w:color="auto"/>
              <w:right w:val="outset" w:sz="6" w:space="0" w:color="auto"/>
            </w:tcBorders>
          </w:tcPr>
          <w:p w:rsidR="00652957" w:rsidRPr="004548E8" w:rsidRDefault="00652957" w:rsidP="00652957">
            <w:pPr>
              <w:ind w:firstLine="391"/>
              <w:jc w:val="both"/>
              <w:rPr>
                <w:rFonts w:eastAsia="Calibri"/>
                <w:bCs/>
                <w:szCs w:val="24"/>
              </w:rPr>
            </w:pPr>
            <w:r w:rsidRPr="004548E8">
              <w:rPr>
                <w:rFonts w:eastAsia="Calibri"/>
                <w:bCs/>
                <w:szCs w:val="24"/>
              </w:rPr>
              <w:t>Likumprojektā iekļautais regulējum</w:t>
            </w:r>
            <w:r w:rsidR="000113EB">
              <w:rPr>
                <w:rFonts w:eastAsia="Calibri"/>
                <w:bCs/>
                <w:szCs w:val="24"/>
              </w:rPr>
              <w:t>s</w:t>
            </w:r>
            <w:r w:rsidRPr="004548E8">
              <w:rPr>
                <w:rFonts w:eastAsia="Calibri"/>
                <w:bCs/>
                <w:szCs w:val="24"/>
              </w:rPr>
              <w:t xml:space="preserve"> </w:t>
            </w:r>
            <w:r w:rsidRPr="004548E8">
              <w:rPr>
                <w:rFonts w:eastAsia="Times New Roman" w:cs="Times New Roman"/>
                <w:iCs/>
                <w:szCs w:val="24"/>
                <w:lang w:eastAsia="lv-LV"/>
              </w:rPr>
              <w:t>attiecībā uz informācijas sniegšanu par riskantajiem darījuma partneriem</w:t>
            </w:r>
            <w:r w:rsidRPr="004548E8">
              <w:rPr>
                <w:rFonts w:eastAsia="Calibri"/>
                <w:bCs/>
                <w:szCs w:val="24"/>
              </w:rPr>
              <w:t xml:space="preserve"> </w:t>
            </w:r>
            <w:r w:rsidR="004548E8" w:rsidRPr="004548E8">
              <w:rPr>
                <w:rFonts w:eastAsia="Calibri"/>
                <w:bCs/>
                <w:szCs w:val="24"/>
              </w:rPr>
              <w:t xml:space="preserve">sākotnēji </w:t>
            </w:r>
            <w:r w:rsidRPr="004548E8">
              <w:rPr>
                <w:rFonts w:eastAsia="Calibri"/>
                <w:bCs/>
                <w:szCs w:val="24"/>
              </w:rPr>
              <w:t>tika iekļauts likumprojektā “Grozījumi likumā “Par nodokļiem un nodevām””</w:t>
            </w:r>
            <w:r w:rsidR="004548E8">
              <w:rPr>
                <w:rFonts w:eastAsia="Calibri"/>
                <w:bCs/>
                <w:szCs w:val="24"/>
              </w:rPr>
              <w:t xml:space="preserve">, kas izsludināts </w:t>
            </w:r>
            <w:r w:rsidR="004548E8">
              <w:rPr>
                <w:bCs/>
                <w:szCs w:val="24"/>
              </w:rPr>
              <w:t>Valsts sekretāru sanāksmē</w:t>
            </w:r>
            <w:r w:rsidR="004548E8" w:rsidRPr="004548E8">
              <w:rPr>
                <w:bCs/>
                <w:szCs w:val="24"/>
              </w:rPr>
              <w:t xml:space="preserve"> 2018. gada 15. </w:t>
            </w:r>
            <w:r w:rsidR="004548E8">
              <w:rPr>
                <w:bCs/>
                <w:szCs w:val="24"/>
              </w:rPr>
              <w:t>novembrī (skatīt</w:t>
            </w:r>
            <w:r w:rsidR="004548E8" w:rsidRPr="004548E8">
              <w:rPr>
                <w:bCs/>
                <w:szCs w:val="24"/>
              </w:rPr>
              <w:t xml:space="preserve"> protokolu Nr. 45 </w:t>
            </w:r>
            <w:r w:rsidR="004548E8" w:rsidRPr="004548E8">
              <w:rPr>
                <w:szCs w:val="24"/>
              </w:rPr>
              <w:t>2. §, VSS-1155)</w:t>
            </w:r>
            <w:r w:rsidR="004548E8">
              <w:rPr>
                <w:szCs w:val="24"/>
              </w:rPr>
              <w:t xml:space="preserve">. </w:t>
            </w:r>
          </w:p>
          <w:p w:rsidR="004548E8" w:rsidRDefault="004548E8" w:rsidP="004548E8">
            <w:pPr>
              <w:ind w:firstLine="284"/>
              <w:jc w:val="both"/>
              <w:rPr>
                <w:rFonts w:cs="Times New Roman"/>
                <w:iCs/>
                <w:szCs w:val="24"/>
              </w:rPr>
            </w:pPr>
            <w:r>
              <w:rPr>
                <w:rFonts w:cs="Times New Roman"/>
                <w:iCs/>
                <w:szCs w:val="24"/>
              </w:rPr>
              <w:t>Pirms likumprojekta izsludināšanas i</w:t>
            </w:r>
            <w:r w:rsidRPr="00750114">
              <w:rPr>
                <w:rFonts w:cs="Times New Roman"/>
                <w:iCs/>
                <w:szCs w:val="24"/>
              </w:rPr>
              <w:t xml:space="preserve">nformācija par </w:t>
            </w:r>
            <w:r>
              <w:rPr>
                <w:rFonts w:cs="Times New Roman"/>
                <w:iCs/>
                <w:szCs w:val="24"/>
              </w:rPr>
              <w:t>projekta</w:t>
            </w:r>
            <w:r w:rsidRPr="00750114">
              <w:rPr>
                <w:rFonts w:cs="Times New Roman"/>
                <w:iCs/>
                <w:szCs w:val="24"/>
              </w:rPr>
              <w:t xml:space="preserve"> izstrādi </w:t>
            </w:r>
            <w:r>
              <w:rPr>
                <w:rFonts w:cs="Times New Roman"/>
                <w:iCs/>
                <w:szCs w:val="24"/>
              </w:rPr>
              <w:t xml:space="preserve">tika </w:t>
            </w:r>
            <w:r w:rsidRPr="00750114">
              <w:rPr>
                <w:rFonts w:cs="Times New Roman"/>
                <w:iCs/>
                <w:szCs w:val="24"/>
              </w:rPr>
              <w:t>publicēta Finanšu ministrijas tīmekļvietnē sadaļā “Sabiedrības līdzdalība” – “Tiesību aktu projekti” – “Nodokļu politika”.</w:t>
            </w:r>
          </w:p>
          <w:p w:rsidR="004548E8" w:rsidRPr="00750114" w:rsidRDefault="004548E8" w:rsidP="004548E8">
            <w:pPr>
              <w:ind w:firstLine="284"/>
              <w:jc w:val="both"/>
              <w:rPr>
                <w:rFonts w:cs="Times New Roman"/>
                <w:iCs/>
                <w:spacing w:val="-2"/>
                <w:szCs w:val="24"/>
              </w:rPr>
            </w:pPr>
            <w:r w:rsidRPr="00750114">
              <w:rPr>
                <w:rFonts w:cs="Times New Roman"/>
                <w:iCs/>
                <w:szCs w:val="24"/>
              </w:rPr>
              <w:t>L</w:t>
            </w:r>
            <w:r w:rsidRPr="00750114">
              <w:rPr>
                <w:rFonts w:cs="Times New Roman"/>
                <w:iCs/>
                <w:spacing w:val="-2"/>
                <w:szCs w:val="24"/>
              </w:rPr>
              <w:t>īdz ar to sabiedrības pārstāvji varēja līdzdarboties projekta izstrādē, rakstveidā sniedzot viedokļus par likumprojektu</w:t>
            </w:r>
            <w:r>
              <w:rPr>
                <w:rFonts w:cs="Times New Roman"/>
                <w:iCs/>
                <w:spacing w:val="-2"/>
                <w:szCs w:val="24"/>
              </w:rPr>
              <w:t xml:space="preserve"> gan pirms, gan pēc tā izsludināšanas </w:t>
            </w:r>
            <w:r w:rsidRPr="00750114">
              <w:rPr>
                <w:rFonts w:cs="Times New Roman"/>
                <w:iCs/>
                <w:spacing w:val="-2"/>
                <w:szCs w:val="24"/>
              </w:rPr>
              <w:t xml:space="preserve">Valsts </w:t>
            </w:r>
            <w:r w:rsidRPr="00750114">
              <w:rPr>
                <w:rFonts w:cs="Times New Roman"/>
                <w:iCs/>
                <w:spacing w:val="-2"/>
                <w:szCs w:val="24"/>
              </w:rPr>
              <w:lastRenderedPageBreak/>
              <w:t>sekretāru sanāksmē</w:t>
            </w:r>
            <w:r>
              <w:rPr>
                <w:rFonts w:cs="Times New Roman"/>
                <w:iCs/>
                <w:spacing w:val="-2"/>
                <w:szCs w:val="24"/>
              </w:rPr>
              <w:t>.</w:t>
            </w:r>
          </w:p>
          <w:p w:rsidR="004548E8" w:rsidRPr="00750114" w:rsidRDefault="004548E8" w:rsidP="004548E8">
            <w:pPr>
              <w:ind w:firstLine="284"/>
              <w:jc w:val="both"/>
              <w:rPr>
                <w:rFonts w:cs="Times New Roman"/>
                <w:iCs/>
                <w:spacing w:val="-2"/>
                <w:szCs w:val="24"/>
              </w:rPr>
            </w:pPr>
            <w:r w:rsidRPr="00750114">
              <w:rPr>
                <w:rFonts w:cs="Times New Roman"/>
                <w:iCs/>
                <w:szCs w:val="24"/>
              </w:rPr>
              <w:t xml:space="preserve">Vienlaikus, lai nodrošinātu sabiedrības līdzdalību likumprojekta izstrādē, atbilstoši Valsts sekretāru </w:t>
            </w:r>
            <w:r w:rsidRPr="00750114">
              <w:rPr>
                <w:rFonts w:cs="Times New Roman"/>
                <w:iCs/>
                <w:spacing w:val="-2"/>
                <w:szCs w:val="24"/>
              </w:rPr>
              <w:t xml:space="preserve">2018. gada 15. novembra </w:t>
            </w:r>
            <w:r w:rsidRPr="00750114">
              <w:rPr>
                <w:rFonts w:cs="Times New Roman"/>
                <w:iCs/>
                <w:szCs w:val="24"/>
              </w:rPr>
              <w:t xml:space="preserve">sanāksmē nolemtajam (skatīt  </w:t>
            </w:r>
            <w:r w:rsidRPr="00750114">
              <w:rPr>
                <w:rFonts w:cs="Times New Roman"/>
                <w:iCs/>
                <w:spacing w:val="-2"/>
                <w:szCs w:val="24"/>
              </w:rPr>
              <w:t>prot. Nr. 45 </w:t>
            </w:r>
            <w:r w:rsidRPr="00750114">
              <w:rPr>
                <w:rFonts w:cs="Times New Roman"/>
                <w:szCs w:val="24"/>
              </w:rPr>
              <w:t xml:space="preserve">2. §) </w:t>
            </w:r>
            <w:r w:rsidRPr="00750114">
              <w:rPr>
                <w:rFonts w:cs="Times New Roman"/>
                <w:iCs/>
                <w:szCs w:val="24"/>
              </w:rPr>
              <w:t xml:space="preserve">likumprojekts skaņots arī ar Pārresoru koordinācijas centru, Latvijas Pašvaldību savienību, Latvijas Brīvo arodbiedrību savienību, Latvijas Darba devēju konfederāciju, </w:t>
            </w:r>
            <w:r w:rsidRPr="00750114">
              <w:rPr>
                <w:rFonts w:cs="Times New Roman"/>
                <w:szCs w:val="24"/>
              </w:rPr>
              <w:t>Latvijas Tirdzniecības un rūpniecības kameru un Finanšu nozares asociāciju.</w:t>
            </w:r>
          </w:p>
          <w:p w:rsidR="00E5323B" w:rsidRDefault="00652957" w:rsidP="003D1A2D">
            <w:pPr>
              <w:ind w:firstLine="391"/>
              <w:jc w:val="both"/>
              <w:rPr>
                <w:rFonts w:eastAsia="Calibri"/>
                <w:bCs/>
                <w:shd w:val="clear" w:color="auto" w:fill="FFFFFF"/>
              </w:rPr>
            </w:pPr>
            <w:r w:rsidRPr="004548E8">
              <w:rPr>
                <w:rFonts w:eastAsia="Calibri"/>
                <w:bCs/>
                <w:szCs w:val="24"/>
              </w:rPr>
              <w:t>Attiecībā uz likumprojektā iekļauto regulējumu par valdes locekļu atbildības pilnveidošanu</w:t>
            </w:r>
            <w:r>
              <w:rPr>
                <w:rFonts w:eastAsia="Calibri"/>
                <w:bCs/>
              </w:rPr>
              <w:t xml:space="preserve"> s</w:t>
            </w:r>
            <w:r w:rsidRPr="000E7A0E">
              <w:rPr>
                <w:rFonts w:eastAsia="Calibri"/>
              </w:rPr>
              <w:t>abiedrība ir i</w:t>
            </w:r>
            <w:r>
              <w:rPr>
                <w:rFonts w:eastAsia="Calibri"/>
              </w:rPr>
              <w:t>nformēta, ņemot vērā, ka veicamais uzdevums</w:t>
            </w:r>
            <w:r w:rsidRPr="000E7A0E">
              <w:rPr>
                <w:rFonts w:eastAsia="Calibri"/>
              </w:rPr>
              <w:t xml:space="preserve"> nodokļu administrēšanas uzlabošanai</w:t>
            </w:r>
            <w:r>
              <w:rPr>
                <w:rFonts w:eastAsia="Calibri"/>
              </w:rPr>
              <w:t xml:space="preserve"> izriet no </w:t>
            </w:r>
            <w:r w:rsidRPr="000E7A0E">
              <w:rPr>
                <w:rFonts w:eastAsia="Calibri"/>
                <w:bCs/>
                <w:shd w:val="clear" w:color="auto" w:fill="FFFFFF"/>
              </w:rPr>
              <w:t xml:space="preserve">Valsts </w:t>
            </w:r>
            <w:r w:rsidR="003D1A2D">
              <w:rPr>
                <w:rFonts w:eastAsia="Calibri"/>
                <w:bCs/>
                <w:shd w:val="clear" w:color="auto" w:fill="FFFFFF"/>
              </w:rPr>
              <w:t>nodokļu politikas pamatnostādnēm 2018.-2021. gadam</w:t>
            </w:r>
            <w:r w:rsidRPr="000E7A0E">
              <w:rPr>
                <w:rFonts w:eastAsia="Calibri"/>
                <w:bCs/>
                <w:shd w:val="clear" w:color="auto" w:fill="FFFFFF"/>
              </w:rPr>
              <w:t>, kur</w:t>
            </w:r>
            <w:r w:rsidR="00487FF3">
              <w:rPr>
                <w:rFonts w:eastAsia="Calibri"/>
                <w:bCs/>
                <w:shd w:val="clear" w:color="auto" w:fill="FFFFFF"/>
              </w:rPr>
              <w:t>u</w:t>
            </w:r>
            <w:r w:rsidRPr="000E7A0E">
              <w:rPr>
                <w:rFonts w:eastAsia="Calibri"/>
                <w:bCs/>
                <w:shd w:val="clear" w:color="auto" w:fill="FFFFFF"/>
              </w:rPr>
              <w:t xml:space="preserve"> projekts Ministru kabinetā tika skatīts 2017. gada 3. maijā (skatīt protokolu Nr. 22 </w:t>
            </w:r>
            <w:bookmarkStart w:id="1" w:name="45"/>
            <w:r w:rsidRPr="000E7A0E">
              <w:rPr>
                <w:rFonts w:eastAsia="Calibri"/>
              </w:rPr>
              <w:t>45. §</w:t>
            </w:r>
            <w:bookmarkEnd w:id="1"/>
            <w:r w:rsidRPr="000E7A0E">
              <w:rPr>
                <w:rFonts w:eastAsia="Calibri"/>
              </w:rPr>
              <w:t>)</w:t>
            </w:r>
            <w:r w:rsidRPr="000E7A0E">
              <w:rPr>
                <w:rFonts w:eastAsia="Calibri"/>
                <w:bCs/>
                <w:shd w:val="clear" w:color="auto" w:fill="FFFFFF"/>
              </w:rPr>
              <w:t xml:space="preserve"> un 2017. gada 9. maija sēdē (skatīt protokolu Nr. 23 </w:t>
            </w:r>
            <w:bookmarkStart w:id="2" w:name="21"/>
            <w:r w:rsidRPr="000E7A0E">
              <w:rPr>
                <w:rFonts w:eastAsia="Calibri"/>
              </w:rPr>
              <w:t>21. §</w:t>
            </w:r>
            <w:bookmarkEnd w:id="2"/>
            <w:r w:rsidRPr="000E7A0E">
              <w:rPr>
                <w:rFonts w:eastAsia="Calibri"/>
              </w:rPr>
              <w:t>)</w:t>
            </w:r>
            <w:r w:rsidR="003D1A2D">
              <w:rPr>
                <w:rFonts w:eastAsia="Calibri"/>
                <w:bCs/>
                <w:shd w:val="clear" w:color="auto" w:fill="FFFFFF"/>
              </w:rPr>
              <w:t xml:space="preserve">. </w:t>
            </w:r>
          </w:p>
          <w:p w:rsidR="0010150C" w:rsidRPr="003D1A2D" w:rsidRDefault="0010150C" w:rsidP="003D1A2D">
            <w:pPr>
              <w:ind w:firstLine="391"/>
              <w:jc w:val="both"/>
              <w:rPr>
                <w:rFonts w:eastAsia="Calibri"/>
                <w:bCs/>
                <w:shd w:val="clear" w:color="auto" w:fill="FFFFFF"/>
              </w:rPr>
            </w:pPr>
            <w:r w:rsidRPr="000E7A0E">
              <w:rPr>
                <w:rFonts w:eastAsia="Calibri"/>
                <w:bCs/>
                <w:shd w:val="clear" w:color="auto" w:fill="FFFFFF"/>
              </w:rPr>
              <w:t xml:space="preserve">Tāpat minētais pamatnostādņu projekts tika publicēts Finanšu ministrijas tīmekļa vietnē, sadaļā </w:t>
            </w:r>
            <w:r w:rsidR="002A7644">
              <w:rPr>
                <w:rFonts w:eastAsia="Calibri"/>
              </w:rPr>
              <w:t>“</w:t>
            </w:r>
            <w:r w:rsidRPr="000E7A0E">
              <w:rPr>
                <w:rFonts w:eastAsia="Calibri"/>
              </w:rPr>
              <w:t>Nodokļu reforma”, tādējādi dodot iespēju sabiedrībai līdzdarboties pamatnostādņu izstrādes procesā.</w:t>
            </w:r>
          </w:p>
        </w:tc>
      </w:tr>
      <w:tr w:rsidR="00CE33AC" w:rsidRPr="00750114" w:rsidTr="00C4643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2.</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 projekta izstrādē</w:t>
            </w:r>
          </w:p>
        </w:tc>
        <w:tc>
          <w:tcPr>
            <w:tcW w:w="3023" w:type="pct"/>
            <w:tcBorders>
              <w:top w:val="outset" w:sz="6" w:space="0" w:color="auto"/>
              <w:left w:val="outset" w:sz="6" w:space="0" w:color="auto"/>
              <w:bottom w:val="outset" w:sz="6" w:space="0" w:color="auto"/>
              <w:right w:val="outset" w:sz="6" w:space="0" w:color="auto"/>
            </w:tcBorders>
          </w:tcPr>
          <w:p w:rsidR="003D1A2D" w:rsidRPr="00487FF3" w:rsidRDefault="003D1A2D" w:rsidP="007B4277">
            <w:pPr>
              <w:ind w:firstLine="284"/>
              <w:jc w:val="both"/>
              <w:rPr>
                <w:szCs w:val="24"/>
              </w:rPr>
            </w:pPr>
            <w:r w:rsidRPr="00487FF3">
              <w:rPr>
                <w:szCs w:val="24"/>
              </w:rPr>
              <w:t>Attiecībā uz likumprojektā iekļauto regulējumu</w:t>
            </w:r>
            <w:r w:rsidR="007B4277" w:rsidRPr="00487FF3">
              <w:rPr>
                <w:szCs w:val="24"/>
              </w:rPr>
              <w:t> </w:t>
            </w:r>
            <w:r w:rsidRPr="00487FF3">
              <w:rPr>
                <w:szCs w:val="24"/>
              </w:rPr>
              <w:t>par informācijas sniegšanu par riskantajiem darījuma partneriem s</w:t>
            </w:r>
            <w:r w:rsidRPr="00487FF3">
              <w:rPr>
                <w:rFonts w:cs="Times New Roman"/>
                <w:iCs/>
                <w:spacing w:val="-2"/>
                <w:szCs w:val="24"/>
              </w:rPr>
              <w:t xml:space="preserve">abiedrības pārstāvji varēja līdzdarboties regulējuma izstrādē, līdz 2018. gada 28. septembrim rakstveidā sniedzot viedokļus par likumprojektu “Grozījumi likumā “Par nodokļiem un nodevām”” </w:t>
            </w:r>
            <w:r w:rsidR="008C4B54" w:rsidRPr="00487FF3">
              <w:rPr>
                <w:rFonts w:cs="Times New Roman"/>
                <w:iCs/>
                <w:spacing w:val="-2"/>
                <w:szCs w:val="24"/>
              </w:rPr>
              <w:br/>
            </w:r>
            <w:r w:rsidRPr="00487FF3">
              <w:rPr>
                <w:rFonts w:cs="Times New Roman"/>
                <w:iCs/>
                <w:spacing w:val="-2"/>
                <w:szCs w:val="24"/>
              </w:rPr>
              <w:t>(VSS</w:t>
            </w:r>
            <w:r w:rsidR="008C4B54" w:rsidRPr="00487FF3">
              <w:rPr>
                <w:rFonts w:cs="Times New Roman"/>
                <w:iCs/>
                <w:spacing w:val="-2"/>
                <w:szCs w:val="24"/>
              </w:rPr>
              <w:t>-</w:t>
            </w:r>
            <w:r w:rsidRPr="00487FF3">
              <w:rPr>
                <w:rFonts w:cs="Times New Roman"/>
                <w:iCs/>
                <w:spacing w:val="-2"/>
                <w:szCs w:val="24"/>
              </w:rPr>
              <w:t>1155)</w:t>
            </w:r>
            <w:r w:rsidRPr="00487FF3">
              <w:rPr>
                <w:rFonts w:cs="Times New Roman"/>
                <w:iCs/>
                <w:szCs w:val="24"/>
              </w:rPr>
              <w:t xml:space="preserve">, par kura izstrādi informācija tika publicēta 2018. gada 17. septembrī Finanšu ministrijas tīmekļvietnē sadaļā “Sabiedrības līdzdalība” </w:t>
            </w:r>
            <w:r w:rsidRPr="00487FF3">
              <w:rPr>
                <w:rFonts w:eastAsia="Times New Roman" w:cs="Times New Roman"/>
                <w:iCs/>
                <w:szCs w:val="24"/>
                <w:lang w:eastAsia="lv-LV"/>
              </w:rPr>
              <w:t>– “Tiesību aktu projekti” – “Nodokļu politika”, adrese: http://www.fm.gov.lv/lv/Sabiedribas_lidzdaliba/tiesibu_</w:t>
            </w:r>
          </w:p>
          <w:p w:rsidR="003D1A2D" w:rsidRPr="00487FF3" w:rsidRDefault="003D1A2D" w:rsidP="003D1A2D">
            <w:pPr>
              <w:jc w:val="both"/>
              <w:rPr>
                <w:rFonts w:cs="Times New Roman"/>
                <w:szCs w:val="24"/>
              </w:rPr>
            </w:pPr>
            <w:r w:rsidRPr="00487FF3">
              <w:rPr>
                <w:rFonts w:eastAsia="Times New Roman" w:cs="Times New Roman"/>
                <w:iCs/>
                <w:szCs w:val="24"/>
                <w:lang w:eastAsia="lv-LV"/>
              </w:rPr>
              <w:t>aktu_projekti/nodoklu_politika#project508</w:t>
            </w:r>
            <w:r w:rsidRPr="00487FF3">
              <w:rPr>
                <w:rFonts w:cs="Times New Roman"/>
                <w:iCs/>
                <w:szCs w:val="24"/>
              </w:rPr>
              <w:t xml:space="preserve"> un Ministru kabineta tīmekļvietnē sadaļā “Valsts kanceleja” – “Sabiedrības līdzdalība</w:t>
            </w:r>
            <w:r w:rsidRPr="00487FF3">
              <w:rPr>
                <w:rFonts w:cs="Times New Roman"/>
                <w:szCs w:val="24"/>
              </w:rPr>
              <w:t xml:space="preserve">”, </w:t>
            </w:r>
            <w:r w:rsidRPr="00487FF3">
              <w:rPr>
                <w:rFonts w:cs="Times New Roman"/>
                <w:iCs/>
                <w:szCs w:val="24"/>
              </w:rPr>
              <w:t>adrese:</w:t>
            </w:r>
            <w:r w:rsidRPr="00487FF3">
              <w:rPr>
                <w:rFonts w:cs="Times New Roman"/>
                <w:szCs w:val="24"/>
              </w:rPr>
              <w:t xml:space="preserve"> </w:t>
            </w:r>
            <w:r w:rsidRPr="00487FF3">
              <w:rPr>
                <w:rStyle w:val="Hyperlink"/>
                <w:rFonts w:cs="Times New Roman"/>
                <w:color w:val="auto"/>
                <w:szCs w:val="24"/>
                <w:u w:val="none"/>
              </w:rPr>
              <w:t>https://mk.gov.lv/content/ministru-kabineta-diskusiju-dokumenti</w:t>
            </w:r>
            <w:r w:rsidRPr="00487FF3">
              <w:rPr>
                <w:rFonts w:cs="Times New Roman"/>
                <w:szCs w:val="24"/>
              </w:rPr>
              <w:t>.</w:t>
            </w:r>
          </w:p>
          <w:p w:rsidR="003D1A2D" w:rsidRPr="00487FF3" w:rsidRDefault="003D1A2D" w:rsidP="003D1A2D">
            <w:pPr>
              <w:ind w:firstLine="284"/>
              <w:jc w:val="both"/>
              <w:rPr>
                <w:rFonts w:cs="Times New Roman"/>
                <w:szCs w:val="24"/>
              </w:rPr>
            </w:pPr>
            <w:r w:rsidRPr="00487FF3">
              <w:rPr>
                <w:rFonts w:cs="Times New Roman"/>
                <w:szCs w:val="24"/>
              </w:rPr>
              <w:t xml:space="preserve">Tāpat sabiedrības pārstāvji varēja līdzdarboties regulējuma izstrādē, sniedzot atzinumu par </w:t>
            </w:r>
            <w:r w:rsidRPr="00487FF3">
              <w:rPr>
                <w:rFonts w:cs="Times New Roman"/>
                <w:iCs/>
                <w:spacing w:val="-2"/>
                <w:szCs w:val="24"/>
              </w:rPr>
              <w:t>likumprojektu “Grozījumi likumā “P</w:t>
            </w:r>
            <w:r w:rsidR="00AB23FF">
              <w:rPr>
                <w:rFonts w:cs="Times New Roman"/>
                <w:iCs/>
                <w:spacing w:val="-2"/>
                <w:szCs w:val="24"/>
              </w:rPr>
              <w:t>ar nodokļiem un nodevām”” (VSS-</w:t>
            </w:r>
            <w:r w:rsidRPr="00487FF3">
              <w:rPr>
                <w:rFonts w:cs="Times New Roman"/>
                <w:iCs/>
                <w:spacing w:val="-2"/>
                <w:szCs w:val="24"/>
              </w:rPr>
              <w:t xml:space="preserve">1155) </w:t>
            </w:r>
            <w:r w:rsidRPr="00487FF3">
              <w:rPr>
                <w:rFonts w:cs="Times New Roman"/>
                <w:szCs w:val="24"/>
              </w:rPr>
              <w:t xml:space="preserve">pēc tā izsludināšanas </w:t>
            </w:r>
            <w:r w:rsidRPr="00487FF3">
              <w:rPr>
                <w:rFonts w:cs="Times New Roman"/>
                <w:iCs/>
                <w:spacing w:val="-2"/>
                <w:szCs w:val="24"/>
              </w:rPr>
              <w:t xml:space="preserve">Valsts sekretāru 2018. gada 15. novembra sanāksmē (prot. Nr. 45 </w:t>
            </w:r>
            <w:bookmarkStart w:id="3" w:name="2"/>
            <w:r w:rsidRPr="00487FF3">
              <w:rPr>
                <w:rFonts w:cs="Times New Roman"/>
                <w:szCs w:val="24"/>
              </w:rPr>
              <w:t>2. §</w:t>
            </w:r>
            <w:bookmarkEnd w:id="3"/>
            <w:r w:rsidR="00DD7E9C">
              <w:rPr>
                <w:rFonts w:cs="Times New Roman"/>
                <w:szCs w:val="24"/>
              </w:rPr>
              <w:t>).</w:t>
            </w:r>
          </w:p>
          <w:p w:rsidR="00350D2B" w:rsidRPr="00487FF3" w:rsidRDefault="007B4277" w:rsidP="003D1A2D">
            <w:pPr>
              <w:ind w:firstLine="284"/>
              <w:jc w:val="both"/>
              <w:rPr>
                <w:szCs w:val="24"/>
              </w:rPr>
            </w:pPr>
            <w:r w:rsidRPr="00487FF3">
              <w:rPr>
                <w:rFonts w:cs="Times New Roman"/>
                <w:szCs w:val="24"/>
              </w:rPr>
              <w:t xml:space="preserve">Attiecībā uz </w:t>
            </w:r>
            <w:r w:rsidR="00BE21FD" w:rsidRPr="00487FF3">
              <w:rPr>
                <w:szCs w:val="24"/>
              </w:rPr>
              <w:t>likumprojektā ietvertajiem grozījumiem</w:t>
            </w:r>
            <w:r w:rsidR="00C95EE3" w:rsidRPr="00487FF3">
              <w:rPr>
                <w:szCs w:val="24"/>
              </w:rPr>
              <w:t xml:space="preserve"> saistībā ar valdes locekļu atbildības pilnveidošanu</w:t>
            </w:r>
            <w:r w:rsidR="00BE21FD" w:rsidRPr="00487FF3">
              <w:rPr>
                <w:szCs w:val="24"/>
              </w:rPr>
              <w:t xml:space="preserve"> tika diskutēts VID Attīstības padomes 2019. gada 17. jūlija sēdē</w:t>
            </w:r>
            <w:r w:rsidR="00350D2B" w:rsidRPr="00487FF3">
              <w:rPr>
                <w:szCs w:val="24"/>
              </w:rPr>
              <w:t>, kurā piedalījās pārstāvji no nevalstiskajām organizācijām</w:t>
            </w:r>
            <w:r w:rsidR="00DB6929" w:rsidRPr="00487FF3">
              <w:rPr>
                <w:szCs w:val="24"/>
              </w:rPr>
              <w:t xml:space="preserve"> (</w:t>
            </w:r>
            <w:r w:rsidR="00FA5383" w:rsidRPr="00487FF3">
              <w:rPr>
                <w:szCs w:val="24"/>
              </w:rPr>
              <w:t xml:space="preserve">Latvijas </w:t>
            </w:r>
            <w:r w:rsidR="00487FF3" w:rsidRPr="00487FF3">
              <w:rPr>
                <w:szCs w:val="24"/>
              </w:rPr>
              <w:t>T</w:t>
            </w:r>
            <w:r w:rsidR="00FA5383" w:rsidRPr="00487FF3">
              <w:rPr>
                <w:szCs w:val="24"/>
              </w:rPr>
              <w:t>irdzniecības un rūpniecības kameras un Lauksaimnieku organizāciju sadarbības padomes)</w:t>
            </w:r>
            <w:r w:rsidR="00350D2B" w:rsidRPr="00487FF3">
              <w:rPr>
                <w:szCs w:val="24"/>
              </w:rPr>
              <w:t xml:space="preserve"> Finanšu ministrijas, Tieslietu ministrijas un </w:t>
            </w:r>
            <w:r w:rsidR="00350D2B" w:rsidRPr="00487FF3">
              <w:rPr>
                <w:szCs w:val="24"/>
              </w:rPr>
              <w:lastRenderedPageBreak/>
              <w:t>Ekonomikas ministrijas</w:t>
            </w:r>
            <w:r w:rsidR="00DD7E9C">
              <w:rPr>
                <w:szCs w:val="24"/>
              </w:rPr>
              <w:t>.</w:t>
            </w:r>
          </w:p>
          <w:p w:rsidR="00350D2B" w:rsidRPr="00487FF3" w:rsidRDefault="00350D2B" w:rsidP="00350D2B">
            <w:pPr>
              <w:ind w:firstLine="284"/>
              <w:jc w:val="both"/>
              <w:rPr>
                <w:szCs w:val="24"/>
              </w:rPr>
            </w:pPr>
            <w:r w:rsidRPr="00487FF3">
              <w:rPr>
                <w:szCs w:val="24"/>
              </w:rPr>
              <w:t xml:space="preserve">Likumprojekts ir izstrādāts, ievērojot minētajā padomes sēdē diskutēto. </w:t>
            </w:r>
          </w:p>
          <w:p w:rsidR="00031C1D" w:rsidRPr="00487FF3" w:rsidRDefault="00350D2B" w:rsidP="00350D2B">
            <w:pPr>
              <w:ind w:firstLine="284"/>
              <w:jc w:val="both"/>
              <w:rPr>
                <w:rFonts w:cs="Times New Roman"/>
                <w:iCs/>
                <w:spacing w:val="-2"/>
                <w:szCs w:val="24"/>
              </w:rPr>
            </w:pPr>
            <w:r w:rsidRPr="00487FF3">
              <w:rPr>
                <w:szCs w:val="24"/>
              </w:rPr>
              <w:t>Vienlaikus, tā kā u</w:t>
            </w:r>
            <w:r w:rsidR="00BE21FD" w:rsidRPr="00487FF3">
              <w:rPr>
                <w:szCs w:val="24"/>
              </w:rPr>
              <w:t>zņēmēju organizācijas ir izteikušas atbalstu iesaistīties priekšlikumu normatīvā akta g</w:t>
            </w:r>
            <w:r w:rsidRPr="00487FF3">
              <w:rPr>
                <w:szCs w:val="24"/>
              </w:rPr>
              <w:t>rozījumu redakcijas</w:t>
            </w:r>
            <w:r w:rsidR="00487FF3" w:rsidRPr="00487FF3">
              <w:rPr>
                <w:szCs w:val="24"/>
              </w:rPr>
              <w:t xml:space="preserve"> precizēšanā, likumprojekts tika</w:t>
            </w:r>
            <w:r w:rsidRPr="00487FF3">
              <w:rPr>
                <w:szCs w:val="24"/>
              </w:rPr>
              <w:t xml:space="preserve"> nosūtīts saskaņošanai </w:t>
            </w:r>
            <w:r w:rsidR="00487FF3" w:rsidRPr="00487FF3">
              <w:rPr>
                <w:szCs w:val="24"/>
              </w:rPr>
              <w:t xml:space="preserve">arī </w:t>
            </w:r>
            <w:r w:rsidRPr="00487FF3">
              <w:rPr>
                <w:szCs w:val="24"/>
              </w:rPr>
              <w:t>nevalstiskajām organizācijām.</w:t>
            </w:r>
          </w:p>
        </w:tc>
      </w:tr>
      <w:tr w:rsidR="00CE33AC" w:rsidRPr="00750114"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lastRenderedPageBreak/>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Sabiedrības līdzdalības rezultāti</w:t>
            </w:r>
          </w:p>
        </w:tc>
        <w:tc>
          <w:tcPr>
            <w:tcW w:w="3023" w:type="pct"/>
            <w:tcBorders>
              <w:top w:val="outset" w:sz="6" w:space="0" w:color="auto"/>
              <w:left w:val="outset" w:sz="6" w:space="0" w:color="auto"/>
              <w:bottom w:val="outset" w:sz="6" w:space="0" w:color="auto"/>
              <w:right w:val="outset" w:sz="6" w:space="0" w:color="auto"/>
            </w:tcBorders>
            <w:hideMark/>
          </w:tcPr>
          <w:p w:rsidR="00487FF3" w:rsidRPr="00487FF3" w:rsidRDefault="005D66C0">
            <w:pPr>
              <w:ind w:firstLine="284"/>
              <w:jc w:val="both"/>
              <w:rPr>
                <w:rFonts w:eastAsia="Times New Roman" w:cs="Times New Roman"/>
                <w:iCs/>
                <w:szCs w:val="24"/>
                <w:lang w:eastAsia="lv-LV"/>
              </w:rPr>
            </w:pPr>
            <w:r w:rsidRPr="00487FF3">
              <w:rPr>
                <w:rFonts w:eastAsia="Times New Roman" w:cs="Times New Roman"/>
                <w:iCs/>
                <w:szCs w:val="24"/>
                <w:lang w:eastAsia="lv-LV"/>
              </w:rPr>
              <w:t>Nevalstiskais sektors</w:t>
            </w:r>
            <w:r w:rsidRPr="00487FF3">
              <w:rPr>
                <w:szCs w:val="24"/>
              </w:rPr>
              <w:t xml:space="preserve"> ir saskaņojis </w:t>
            </w:r>
            <w:r w:rsidRPr="00487FF3">
              <w:rPr>
                <w:rFonts w:eastAsia="Times New Roman" w:cs="Times New Roman"/>
                <w:iCs/>
                <w:szCs w:val="24"/>
                <w:lang w:eastAsia="lv-LV"/>
              </w:rPr>
              <w:t>regulējumu par informācijas sniegšanu par riskantajiem darījuma partneriem.</w:t>
            </w:r>
            <w:r w:rsidR="00487FF3" w:rsidRPr="00487FF3">
              <w:rPr>
                <w:rFonts w:eastAsia="Times New Roman" w:cs="Times New Roman"/>
                <w:iCs/>
                <w:szCs w:val="24"/>
                <w:lang w:eastAsia="lv-LV"/>
              </w:rPr>
              <w:t xml:space="preserve"> </w:t>
            </w:r>
          </w:p>
          <w:p w:rsidR="00B85299" w:rsidRPr="00487FF3" w:rsidRDefault="00487FF3" w:rsidP="00487FF3">
            <w:pPr>
              <w:ind w:firstLine="284"/>
              <w:jc w:val="both"/>
              <w:rPr>
                <w:rFonts w:eastAsia="Times New Roman" w:cs="Times New Roman"/>
                <w:iCs/>
                <w:szCs w:val="24"/>
                <w:lang w:eastAsia="lv-LV"/>
              </w:rPr>
            </w:pPr>
            <w:r w:rsidRPr="00487FF3">
              <w:rPr>
                <w:rFonts w:eastAsia="Times New Roman" w:cs="Times New Roman"/>
                <w:iCs/>
                <w:szCs w:val="24"/>
                <w:lang w:eastAsia="lv-LV"/>
              </w:rPr>
              <w:t xml:space="preserve">Savukārt, tā kā atzinumu par pilnveidoto regulējumu attiecībā uz </w:t>
            </w:r>
            <w:r w:rsidRPr="00487FF3">
              <w:rPr>
                <w:rFonts w:cs="Times New Roman"/>
                <w:szCs w:val="24"/>
              </w:rPr>
              <w:t>valdes locekļu atbildību nevalstiskais sektors nav sniedzis, uzskatāms, ka līdz ar to</w:t>
            </w:r>
            <w:r w:rsidRPr="00487FF3">
              <w:rPr>
                <w:szCs w:val="24"/>
                <w:lang w:eastAsia="lv-LV"/>
              </w:rPr>
              <w:t xml:space="preserve"> </w:t>
            </w:r>
            <w:r>
              <w:rPr>
                <w:szCs w:val="24"/>
                <w:lang w:eastAsia="lv-LV"/>
              </w:rPr>
              <w:t xml:space="preserve">plānotie grozījumi ir saskaņoti ar </w:t>
            </w:r>
            <w:r w:rsidRPr="00487FF3">
              <w:rPr>
                <w:szCs w:val="24"/>
                <w:lang w:eastAsia="lv-LV"/>
              </w:rPr>
              <w:t>noklusējumu.</w:t>
            </w:r>
          </w:p>
        </w:tc>
      </w:tr>
      <w:tr w:rsidR="00CE33AC" w:rsidRPr="00750114"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4.</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750114" w:rsidRDefault="007B4277" w:rsidP="00907DFC">
            <w:pPr>
              <w:ind w:firstLine="284"/>
              <w:jc w:val="both"/>
              <w:rPr>
                <w:rFonts w:eastAsia="Times New Roman" w:cs="Times New Roman"/>
                <w:iCs/>
                <w:szCs w:val="24"/>
                <w:lang w:eastAsia="lv-LV"/>
              </w:rPr>
            </w:pPr>
            <w:r w:rsidRPr="00750114">
              <w:rPr>
                <w:rFonts w:eastAsia="Times New Roman" w:cs="Times New Roman"/>
                <w:szCs w:val="24"/>
                <w:lang w:eastAsia="lv-LV"/>
              </w:rPr>
              <w:t>Sabiedrība pēc normatīvā akta pieņemšanas tiks informēta ar publikāciju oficiālajā izdevumā “Latvijas Vēstnesis”, kā arī ievietojot to bezmaksas normatīvo aktu datu bāzē www.likumi.lv.</w:t>
            </w:r>
          </w:p>
        </w:tc>
      </w:tr>
    </w:tbl>
    <w:p w:rsidR="00E5323B" w:rsidRPr="00750114" w:rsidRDefault="00E5323B" w:rsidP="00E5323B">
      <w:pPr>
        <w:rPr>
          <w:rFonts w:eastAsia="Times New Roman" w:cs="Times New Roman"/>
          <w:iCs/>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010"/>
        <w:gridCol w:w="5620"/>
      </w:tblGrid>
      <w:tr w:rsidR="00CE33AC" w:rsidRPr="00750114"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750114" w:rsidRDefault="00E5323B" w:rsidP="00E5323B">
            <w:pPr>
              <w:rPr>
                <w:rFonts w:eastAsia="Times New Roman" w:cs="Times New Roman"/>
                <w:b/>
                <w:bCs/>
                <w:iCs/>
                <w:szCs w:val="24"/>
                <w:lang w:eastAsia="lv-LV"/>
              </w:rPr>
            </w:pPr>
            <w:r w:rsidRPr="00750114">
              <w:rPr>
                <w:rFonts w:eastAsia="Times New Roman" w:cs="Times New Roman"/>
                <w:b/>
                <w:bCs/>
                <w:iCs/>
                <w:szCs w:val="24"/>
                <w:lang w:eastAsia="lv-LV"/>
              </w:rPr>
              <w:t>VII. Tiesību akta projekta izpildes nodrošināšana un tās ietekme uz institūcijām</w:t>
            </w:r>
          </w:p>
        </w:tc>
      </w:tr>
      <w:tr w:rsidR="00CE33AC" w:rsidRPr="00750114"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1.</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rsidR="00E5323B" w:rsidRPr="00750114" w:rsidRDefault="005E6263" w:rsidP="00166ACB">
            <w:pPr>
              <w:ind w:firstLine="284"/>
              <w:rPr>
                <w:rFonts w:eastAsia="Times New Roman" w:cs="Times New Roman"/>
                <w:iCs/>
                <w:szCs w:val="24"/>
                <w:lang w:eastAsia="lv-LV"/>
              </w:rPr>
            </w:pPr>
            <w:r w:rsidRPr="00750114">
              <w:rPr>
                <w:rFonts w:eastAsia="Times New Roman" w:cs="Times New Roman"/>
                <w:iCs/>
                <w:szCs w:val="24"/>
                <w:lang w:eastAsia="lv-LV"/>
              </w:rPr>
              <w:t>VID</w:t>
            </w:r>
            <w:r w:rsidR="004A2B26" w:rsidRPr="00750114">
              <w:rPr>
                <w:rFonts w:eastAsia="Times New Roman" w:cs="Times New Roman"/>
                <w:iCs/>
                <w:szCs w:val="24"/>
                <w:lang w:eastAsia="lv-LV"/>
              </w:rPr>
              <w:t>.</w:t>
            </w:r>
          </w:p>
        </w:tc>
      </w:tr>
      <w:tr w:rsidR="00CE33AC" w:rsidRPr="00750114"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2.</w:t>
            </w:r>
          </w:p>
        </w:tc>
        <w:tc>
          <w:tcPr>
            <w:tcW w:w="1615" w:type="pct"/>
            <w:tcBorders>
              <w:top w:val="outset" w:sz="6" w:space="0" w:color="auto"/>
              <w:left w:val="outset" w:sz="6" w:space="0" w:color="auto"/>
              <w:bottom w:val="outset" w:sz="6" w:space="0" w:color="auto"/>
              <w:right w:val="outset" w:sz="6" w:space="0" w:color="auto"/>
            </w:tcBorders>
            <w:hideMark/>
          </w:tcPr>
          <w:p w:rsidR="00D77D9F"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Projekta izpildes ietekme uz pārvaldes funkcijām un institucionālo struktūru.</w:t>
            </w:r>
          </w:p>
          <w:p w:rsidR="00E5323B" w:rsidRPr="00750114" w:rsidRDefault="00E5323B" w:rsidP="00D77D9F">
            <w:pPr>
              <w:rPr>
                <w:rFonts w:eastAsia="Times New Roman" w:cs="Times New Roman"/>
                <w:iCs/>
                <w:szCs w:val="24"/>
                <w:lang w:eastAsia="lv-LV"/>
              </w:rPr>
            </w:pPr>
            <w:r w:rsidRPr="00750114">
              <w:rPr>
                <w:rFonts w:eastAsia="Times New Roman" w:cs="Times New Roman"/>
                <w:iCs/>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rsidR="00907DFC" w:rsidRPr="00750114" w:rsidRDefault="00907DFC" w:rsidP="00166ACB">
            <w:pPr>
              <w:pStyle w:val="NoSpacing"/>
              <w:ind w:firstLine="284"/>
              <w:jc w:val="both"/>
              <w:rPr>
                <w:rFonts w:ascii="Times New Roman" w:hAnsi="Times New Roman" w:cs="Times New Roman"/>
                <w:sz w:val="24"/>
                <w:szCs w:val="24"/>
              </w:rPr>
            </w:pPr>
            <w:r w:rsidRPr="00750114">
              <w:rPr>
                <w:rFonts w:ascii="Times New Roman" w:hAnsi="Times New Roman" w:cs="Times New Roman"/>
                <w:sz w:val="24"/>
                <w:szCs w:val="24"/>
              </w:rPr>
              <w:t>Likumprojekts neparedz veidot jaunas institūcijas, reorganizēt vai likvidēt esošās institūcijas.</w:t>
            </w:r>
          </w:p>
          <w:p w:rsidR="00E5323B" w:rsidRPr="00750114" w:rsidRDefault="00907DFC" w:rsidP="00E652A3">
            <w:pPr>
              <w:pStyle w:val="NoSpacing"/>
              <w:ind w:firstLine="284"/>
              <w:jc w:val="both"/>
              <w:rPr>
                <w:rFonts w:eastAsia="Times New Roman"/>
                <w:iCs/>
                <w:sz w:val="24"/>
                <w:szCs w:val="24"/>
                <w:lang w:eastAsia="lv-LV"/>
              </w:rPr>
            </w:pPr>
            <w:r w:rsidRPr="00750114">
              <w:rPr>
                <w:rFonts w:ascii="Times New Roman" w:hAnsi="Times New Roman" w:cs="Times New Roman"/>
                <w:sz w:val="24"/>
                <w:szCs w:val="24"/>
              </w:rPr>
              <w:t xml:space="preserve">Likumprojekta izpilde tiks nodrošināta esošo cilvēkresursu </w:t>
            </w:r>
            <w:r w:rsidR="00B94265" w:rsidRPr="00750114">
              <w:rPr>
                <w:rFonts w:ascii="Times New Roman" w:hAnsi="Times New Roman" w:cs="Times New Roman"/>
                <w:sz w:val="24"/>
                <w:szCs w:val="24"/>
              </w:rPr>
              <w:t xml:space="preserve">un finanšu resursu </w:t>
            </w:r>
            <w:r w:rsidRPr="00750114">
              <w:rPr>
                <w:rFonts w:ascii="Times New Roman" w:hAnsi="Times New Roman" w:cs="Times New Roman"/>
                <w:sz w:val="24"/>
                <w:szCs w:val="24"/>
              </w:rPr>
              <w:t>ietvaros.</w:t>
            </w:r>
          </w:p>
        </w:tc>
      </w:tr>
      <w:tr w:rsidR="00CE33AC" w:rsidRPr="00750114" w:rsidTr="007D653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3.</w:t>
            </w:r>
          </w:p>
        </w:tc>
        <w:tc>
          <w:tcPr>
            <w:tcW w:w="1615" w:type="pct"/>
            <w:tcBorders>
              <w:top w:val="outset" w:sz="6" w:space="0" w:color="auto"/>
              <w:left w:val="outset" w:sz="6" w:space="0" w:color="auto"/>
              <w:bottom w:val="outset" w:sz="6" w:space="0" w:color="auto"/>
              <w:right w:val="outset" w:sz="6" w:space="0" w:color="auto"/>
            </w:tcBorders>
            <w:hideMark/>
          </w:tcPr>
          <w:p w:rsidR="00E5323B" w:rsidRPr="00750114" w:rsidRDefault="00E5323B" w:rsidP="00E5323B">
            <w:pPr>
              <w:rPr>
                <w:rFonts w:eastAsia="Times New Roman" w:cs="Times New Roman"/>
                <w:iCs/>
                <w:szCs w:val="24"/>
                <w:lang w:eastAsia="lv-LV"/>
              </w:rPr>
            </w:pPr>
            <w:r w:rsidRPr="00750114">
              <w:rPr>
                <w:rFonts w:eastAsia="Times New Roman" w:cs="Times New Roman"/>
                <w:iCs/>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rsidR="00E5323B" w:rsidRPr="00750114" w:rsidRDefault="00907DFC" w:rsidP="00166ACB">
            <w:pPr>
              <w:ind w:firstLine="284"/>
              <w:rPr>
                <w:rFonts w:eastAsia="Times New Roman" w:cs="Times New Roman"/>
                <w:iCs/>
                <w:szCs w:val="24"/>
                <w:lang w:eastAsia="lv-LV"/>
              </w:rPr>
            </w:pPr>
            <w:r w:rsidRPr="00750114">
              <w:rPr>
                <w:rFonts w:eastAsia="Times New Roman" w:cs="Times New Roman"/>
                <w:iCs/>
                <w:szCs w:val="24"/>
                <w:lang w:eastAsia="lv-LV"/>
              </w:rPr>
              <w:t>Nav</w:t>
            </w:r>
            <w:r w:rsidR="004A2B26" w:rsidRPr="00750114">
              <w:rPr>
                <w:rFonts w:eastAsia="Times New Roman" w:cs="Times New Roman"/>
                <w:iCs/>
                <w:szCs w:val="24"/>
                <w:lang w:eastAsia="lv-LV"/>
              </w:rPr>
              <w:t>.</w:t>
            </w:r>
          </w:p>
        </w:tc>
      </w:tr>
    </w:tbl>
    <w:p w:rsidR="00C25B49" w:rsidRPr="00750114" w:rsidRDefault="00C25B49" w:rsidP="00907DFC">
      <w:pPr>
        <w:rPr>
          <w:rFonts w:cs="Times New Roman"/>
          <w:sz w:val="28"/>
          <w:szCs w:val="28"/>
        </w:rPr>
      </w:pPr>
    </w:p>
    <w:p w:rsidR="00E5323B" w:rsidRPr="00750114" w:rsidRDefault="00E5323B" w:rsidP="00907DFC">
      <w:pPr>
        <w:rPr>
          <w:rFonts w:cs="Times New Roman"/>
          <w:sz w:val="28"/>
          <w:szCs w:val="28"/>
        </w:rPr>
      </w:pPr>
    </w:p>
    <w:p w:rsidR="00707CC3" w:rsidRDefault="00707CC3" w:rsidP="00292870">
      <w:pPr>
        <w:tabs>
          <w:tab w:val="left" w:pos="0"/>
          <w:tab w:val="right" w:pos="9071"/>
        </w:tabs>
        <w:rPr>
          <w:rFonts w:eastAsia="Times New Roman"/>
          <w:sz w:val="28"/>
          <w:szCs w:val="28"/>
          <w:lang w:eastAsia="lv-LV"/>
        </w:rPr>
      </w:pPr>
      <w:r>
        <w:rPr>
          <w:rFonts w:eastAsia="Times New Roman"/>
          <w:sz w:val="28"/>
          <w:szCs w:val="28"/>
          <w:lang w:eastAsia="lv-LV"/>
        </w:rPr>
        <w:t xml:space="preserve">Finanšu ministra vietā – </w:t>
      </w:r>
    </w:p>
    <w:p w:rsidR="00907DFC" w:rsidRPr="00750114" w:rsidRDefault="00707CC3" w:rsidP="00292870">
      <w:pPr>
        <w:tabs>
          <w:tab w:val="left" w:pos="0"/>
          <w:tab w:val="right" w:pos="9071"/>
        </w:tabs>
        <w:rPr>
          <w:rFonts w:eastAsia="Calibri" w:cs="Times New Roman"/>
          <w:sz w:val="28"/>
          <w:szCs w:val="28"/>
        </w:rPr>
      </w:pPr>
      <w:r>
        <w:rPr>
          <w:rFonts w:eastAsia="Times New Roman"/>
          <w:sz w:val="28"/>
          <w:szCs w:val="28"/>
          <w:lang w:eastAsia="lv-LV"/>
        </w:rPr>
        <w:t>Ministru prezidents</w:t>
      </w:r>
      <w:r>
        <w:rPr>
          <w:rFonts w:eastAsia="Times New Roman"/>
          <w:sz w:val="28"/>
          <w:szCs w:val="28"/>
          <w:lang w:eastAsia="lv-LV"/>
        </w:rPr>
        <w:tab/>
        <w:t>A. K. Kariņš</w:t>
      </w:r>
    </w:p>
    <w:p w:rsidR="00907DFC" w:rsidRPr="00750114" w:rsidRDefault="00907DFC" w:rsidP="00907DFC">
      <w:pPr>
        <w:tabs>
          <w:tab w:val="left" w:pos="6237"/>
        </w:tabs>
        <w:rPr>
          <w:rFonts w:eastAsia="Calibri" w:cs="Times New Roman"/>
          <w:sz w:val="28"/>
          <w:szCs w:val="28"/>
        </w:rPr>
      </w:pPr>
    </w:p>
    <w:p w:rsidR="00883CDE" w:rsidRDefault="00883CDE" w:rsidP="00907DFC">
      <w:pPr>
        <w:tabs>
          <w:tab w:val="left" w:pos="6237"/>
        </w:tabs>
        <w:rPr>
          <w:rFonts w:eastAsia="Calibri" w:cs="Times New Roman"/>
          <w:szCs w:val="24"/>
        </w:rPr>
      </w:pPr>
    </w:p>
    <w:p w:rsidR="000D2F66" w:rsidRDefault="000D2F66" w:rsidP="00907DFC">
      <w:pPr>
        <w:tabs>
          <w:tab w:val="left" w:pos="6237"/>
        </w:tabs>
        <w:rPr>
          <w:rFonts w:eastAsia="Calibri" w:cs="Times New Roman"/>
          <w:szCs w:val="24"/>
        </w:rPr>
      </w:pPr>
    </w:p>
    <w:p w:rsidR="000D2F66" w:rsidRDefault="000D2F66" w:rsidP="00907DFC">
      <w:pPr>
        <w:tabs>
          <w:tab w:val="left" w:pos="6237"/>
        </w:tabs>
        <w:rPr>
          <w:rFonts w:eastAsia="Calibri" w:cs="Times New Roman"/>
          <w:szCs w:val="24"/>
        </w:rPr>
      </w:pPr>
    </w:p>
    <w:p w:rsidR="000D2F66" w:rsidRPr="00750114" w:rsidRDefault="000D2F66" w:rsidP="00907DFC">
      <w:pPr>
        <w:tabs>
          <w:tab w:val="left" w:pos="6237"/>
        </w:tabs>
        <w:rPr>
          <w:rFonts w:eastAsia="Calibri" w:cs="Times New Roman"/>
          <w:szCs w:val="24"/>
        </w:rPr>
      </w:pPr>
    </w:p>
    <w:p w:rsidR="00907DFC" w:rsidRPr="00750114" w:rsidRDefault="00907DFC" w:rsidP="00907DFC">
      <w:pPr>
        <w:tabs>
          <w:tab w:val="left" w:pos="6237"/>
        </w:tabs>
        <w:rPr>
          <w:rFonts w:eastAsia="Calibri" w:cs="Times New Roman"/>
          <w:szCs w:val="24"/>
        </w:rPr>
      </w:pPr>
      <w:r w:rsidRPr="00750114">
        <w:rPr>
          <w:rFonts w:eastAsia="Calibri" w:cs="Times New Roman"/>
          <w:szCs w:val="24"/>
        </w:rPr>
        <w:t>Šēfere 67083942</w:t>
      </w:r>
    </w:p>
    <w:p w:rsidR="00894C55" w:rsidRPr="00CE33AC" w:rsidRDefault="00907DFC" w:rsidP="005D2304">
      <w:pPr>
        <w:tabs>
          <w:tab w:val="left" w:pos="6237"/>
        </w:tabs>
        <w:rPr>
          <w:rFonts w:cs="Times New Roman"/>
          <w:szCs w:val="28"/>
        </w:rPr>
      </w:pPr>
      <w:r w:rsidRPr="00750114">
        <w:rPr>
          <w:rFonts w:eastAsia="Calibri" w:cs="Times New Roman"/>
          <w:szCs w:val="24"/>
        </w:rPr>
        <w:t>evita.sefere@fm.gov.lv</w:t>
      </w:r>
    </w:p>
    <w:sectPr w:rsidR="00894C55" w:rsidRPr="00CE33AC" w:rsidSect="00A05BA0">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B91" w:rsidRDefault="000A6B91" w:rsidP="00894C55">
      <w:r>
        <w:separator/>
      </w:r>
    </w:p>
  </w:endnote>
  <w:endnote w:type="continuationSeparator" w:id="0">
    <w:p w:rsidR="000A6B91" w:rsidRDefault="000A6B91"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60" w:rsidRPr="00BC0F9D" w:rsidRDefault="00423F6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635246">
      <w:rPr>
        <w:rFonts w:cs="Times New Roman"/>
        <w:noProof/>
        <w:sz w:val="20"/>
        <w:szCs w:val="20"/>
      </w:rPr>
      <w:t>FMAnot_180919_NNL.docx</w:t>
    </w:r>
    <w:r w:rsidRPr="00BC0F9D">
      <w:rPr>
        <w:rFonts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F60" w:rsidRPr="00BC0F9D" w:rsidRDefault="00423F60" w:rsidP="00907DFC">
    <w:pPr>
      <w:pStyle w:val="Footer"/>
      <w:rPr>
        <w:rFonts w:cs="Times New Roman"/>
        <w:sz w:val="20"/>
        <w:szCs w:val="20"/>
      </w:rPr>
    </w:pPr>
    <w:r w:rsidRPr="00BC0F9D">
      <w:rPr>
        <w:rFonts w:cs="Times New Roman"/>
        <w:sz w:val="20"/>
        <w:szCs w:val="20"/>
      </w:rPr>
      <w:fldChar w:fldCharType="begin"/>
    </w:r>
    <w:r w:rsidRPr="00BC0F9D">
      <w:rPr>
        <w:rFonts w:cs="Times New Roman"/>
        <w:sz w:val="20"/>
        <w:szCs w:val="20"/>
      </w:rPr>
      <w:instrText xml:space="preserve"> FILENAME   \* MERGEFORMAT </w:instrText>
    </w:r>
    <w:r w:rsidRPr="00BC0F9D">
      <w:rPr>
        <w:rFonts w:cs="Times New Roman"/>
        <w:sz w:val="20"/>
        <w:szCs w:val="20"/>
      </w:rPr>
      <w:fldChar w:fldCharType="separate"/>
    </w:r>
    <w:r w:rsidR="00635246">
      <w:rPr>
        <w:rFonts w:cs="Times New Roman"/>
        <w:noProof/>
        <w:sz w:val="20"/>
        <w:szCs w:val="20"/>
      </w:rPr>
      <w:t>FMAnot_180919_NNL.docx</w:t>
    </w:r>
    <w:r w:rsidRPr="00BC0F9D">
      <w:rPr>
        <w:rFonts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B91" w:rsidRDefault="000A6B91" w:rsidP="00894C55">
      <w:r>
        <w:separator/>
      </w:r>
    </w:p>
  </w:footnote>
  <w:footnote w:type="continuationSeparator" w:id="0">
    <w:p w:rsidR="000A6B91" w:rsidRDefault="000A6B91" w:rsidP="00894C55">
      <w:r>
        <w:continuationSeparator/>
      </w:r>
    </w:p>
  </w:footnote>
  <w:footnote w:id="1">
    <w:p w:rsidR="00423F60" w:rsidRDefault="00423F60">
      <w:pPr>
        <w:pStyle w:val="FootnoteText"/>
      </w:pPr>
      <w:r>
        <w:rPr>
          <w:rStyle w:val="FootnoteReference"/>
        </w:rPr>
        <w:footnoteRef/>
      </w:r>
      <w:r>
        <w:t xml:space="preserve"> Skatīt, piemēram, Rudāns S. Valdes locekļa atbildība par sabiedrībai nodarītajiem zaudējumiem. Jurista Vārds 08.01.2013., Nr. 1(752) un Latkovskis A. Faktiskais valdes loceklis. Jurista Vārds, 27.02.2018., Nr. 9 (1015)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cs="Times New Roman"/>
        <w:noProof/>
        <w:szCs w:val="20"/>
      </w:rPr>
    </w:sdtEndPr>
    <w:sdtContent>
      <w:p w:rsidR="00423F60" w:rsidRPr="00C25B49" w:rsidRDefault="00423F60">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047C1C">
          <w:rPr>
            <w:rFonts w:cs="Times New Roman"/>
            <w:noProof/>
            <w:szCs w:val="20"/>
          </w:rPr>
          <w:t>16</w:t>
        </w:r>
        <w:r w:rsidRPr="00C25B49">
          <w:rPr>
            <w:rFonts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90EE5"/>
    <w:multiLevelType w:val="hybridMultilevel"/>
    <w:tmpl w:val="5F48D638"/>
    <w:lvl w:ilvl="0" w:tplc="6D64029C">
      <w:numFmt w:val="bullet"/>
      <w:lvlText w:val="-"/>
      <w:lvlJc w:val="left"/>
      <w:pPr>
        <w:ind w:left="720" w:hanging="360"/>
      </w:pPr>
      <w:rPr>
        <w:rFonts w:ascii="Verdana" w:eastAsia="Calibri" w:hAnsi="Verdana"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A6C3967"/>
    <w:multiLevelType w:val="hybridMultilevel"/>
    <w:tmpl w:val="D4484CEA"/>
    <w:lvl w:ilvl="0" w:tplc="04260017">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 w15:restartNumberingAfterBreak="0">
    <w:nsid w:val="47250B38"/>
    <w:multiLevelType w:val="hybridMultilevel"/>
    <w:tmpl w:val="9D88D870"/>
    <w:lvl w:ilvl="0" w:tplc="97701436">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4EBA7498"/>
    <w:multiLevelType w:val="hybridMultilevel"/>
    <w:tmpl w:val="0928C366"/>
    <w:lvl w:ilvl="0" w:tplc="0426000F">
      <w:start w:val="1"/>
      <w:numFmt w:val="decimal"/>
      <w:lvlText w:val="%1."/>
      <w:lvlJc w:val="left"/>
      <w:pPr>
        <w:ind w:left="720" w:hanging="360"/>
      </w:pPr>
    </w:lvl>
    <w:lvl w:ilvl="1" w:tplc="04260017">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440420A"/>
    <w:multiLevelType w:val="hybridMultilevel"/>
    <w:tmpl w:val="F6129CC8"/>
    <w:lvl w:ilvl="0" w:tplc="7D6E5B46">
      <w:start w:val="2"/>
      <w:numFmt w:val="bullet"/>
      <w:lvlText w:val="-"/>
      <w:lvlJc w:val="left"/>
      <w:pPr>
        <w:ind w:left="402" w:hanging="360"/>
      </w:pPr>
      <w:rPr>
        <w:rFonts w:ascii="Times New Roman" w:eastAsia="Times New Roman" w:hAnsi="Times New Roman" w:cs="Times New Roman" w:hint="default"/>
      </w:rPr>
    </w:lvl>
    <w:lvl w:ilvl="1" w:tplc="04260003" w:tentative="1">
      <w:start w:val="1"/>
      <w:numFmt w:val="bullet"/>
      <w:lvlText w:val="o"/>
      <w:lvlJc w:val="left"/>
      <w:pPr>
        <w:ind w:left="1122" w:hanging="360"/>
      </w:pPr>
      <w:rPr>
        <w:rFonts w:ascii="Courier New" w:hAnsi="Courier New" w:cs="Courier New" w:hint="default"/>
      </w:rPr>
    </w:lvl>
    <w:lvl w:ilvl="2" w:tplc="04260005" w:tentative="1">
      <w:start w:val="1"/>
      <w:numFmt w:val="bullet"/>
      <w:lvlText w:val=""/>
      <w:lvlJc w:val="left"/>
      <w:pPr>
        <w:ind w:left="1842" w:hanging="360"/>
      </w:pPr>
      <w:rPr>
        <w:rFonts w:ascii="Wingdings" w:hAnsi="Wingdings" w:hint="default"/>
      </w:rPr>
    </w:lvl>
    <w:lvl w:ilvl="3" w:tplc="04260001" w:tentative="1">
      <w:start w:val="1"/>
      <w:numFmt w:val="bullet"/>
      <w:lvlText w:val=""/>
      <w:lvlJc w:val="left"/>
      <w:pPr>
        <w:ind w:left="2562" w:hanging="360"/>
      </w:pPr>
      <w:rPr>
        <w:rFonts w:ascii="Symbol" w:hAnsi="Symbol" w:hint="default"/>
      </w:rPr>
    </w:lvl>
    <w:lvl w:ilvl="4" w:tplc="04260003" w:tentative="1">
      <w:start w:val="1"/>
      <w:numFmt w:val="bullet"/>
      <w:lvlText w:val="o"/>
      <w:lvlJc w:val="left"/>
      <w:pPr>
        <w:ind w:left="3282" w:hanging="360"/>
      </w:pPr>
      <w:rPr>
        <w:rFonts w:ascii="Courier New" w:hAnsi="Courier New" w:cs="Courier New" w:hint="default"/>
      </w:rPr>
    </w:lvl>
    <w:lvl w:ilvl="5" w:tplc="04260005" w:tentative="1">
      <w:start w:val="1"/>
      <w:numFmt w:val="bullet"/>
      <w:lvlText w:val=""/>
      <w:lvlJc w:val="left"/>
      <w:pPr>
        <w:ind w:left="4002" w:hanging="360"/>
      </w:pPr>
      <w:rPr>
        <w:rFonts w:ascii="Wingdings" w:hAnsi="Wingdings" w:hint="default"/>
      </w:rPr>
    </w:lvl>
    <w:lvl w:ilvl="6" w:tplc="04260001" w:tentative="1">
      <w:start w:val="1"/>
      <w:numFmt w:val="bullet"/>
      <w:lvlText w:val=""/>
      <w:lvlJc w:val="left"/>
      <w:pPr>
        <w:ind w:left="4722" w:hanging="360"/>
      </w:pPr>
      <w:rPr>
        <w:rFonts w:ascii="Symbol" w:hAnsi="Symbol" w:hint="default"/>
      </w:rPr>
    </w:lvl>
    <w:lvl w:ilvl="7" w:tplc="04260003" w:tentative="1">
      <w:start w:val="1"/>
      <w:numFmt w:val="bullet"/>
      <w:lvlText w:val="o"/>
      <w:lvlJc w:val="left"/>
      <w:pPr>
        <w:ind w:left="5442" w:hanging="360"/>
      </w:pPr>
      <w:rPr>
        <w:rFonts w:ascii="Courier New" w:hAnsi="Courier New" w:cs="Courier New" w:hint="default"/>
      </w:rPr>
    </w:lvl>
    <w:lvl w:ilvl="8" w:tplc="04260005" w:tentative="1">
      <w:start w:val="1"/>
      <w:numFmt w:val="bullet"/>
      <w:lvlText w:val=""/>
      <w:lvlJc w:val="left"/>
      <w:pPr>
        <w:ind w:left="6162" w:hanging="360"/>
      </w:pPr>
      <w:rPr>
        <w:rFonts w:ascii="Wingdings" w:hAnsi="Wingdings" w:hint="default"/>
      </w:rPr>
    </w:lvl>
  </w:abstractNum>
  <w:abstractNum w:abstractNumId="5" w15:restartNumberingAfterBreak="0">
    <w:nsid w:val="648D44D2"/>
    <w:multiLevelType w:val="hybridMultilevel"/>
    <w:tmpl w:val="24B2392E"/>
    <w:lvl w:ilvl="0" w:tplc="127EA922">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num w:numId="1">
    <w:abstractNumId w:val="2"/>
  </w:num>
  <w:num w:numId="2">
    <w:abstractNumId w:val="5"/>
  </w:num>
  <w:num w:numId="3">
    <w:abstractNumId w:val="4"/>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0ADC"/>
    <w:rsid w:val="00001A47"/>
    <w:rsid w:val="00002A4E"/>
    <w:rsid w:val="0000463E"/>
    <w:rsid w:val="0000658F"/>
    <w:rsid w:val="000113EB"/>
    <w:rsid w:val="00011D35"/>
    <w:rsid w:val="0001477F"/>
    <w:rsid w:val="00016BEA"/>
    <w:rsid w:val="000243F6"/>
    <w:rsid w:val="000252FD"/>
    <w:rsid w:val="00031C1D"/>
    <w:rsid w:val="000366B5"/>
    <w:rsid w:val="00037326"/>
    <w:rsid w:val="00043979"/>
    <w:rsid w:val="00044075"/>
    <w:rsid w:val="0004675F"/>
    <w:rsid w:val="00047AD1"/>
    <w:rsid w:val="00047C1C"/>
    <w:rsid w:val="00047C24"/>
    <w:rsid w:val="00047FD4"/>
    <w:rsid w:val="0005169A"/>
    <w:rsid w:val="00051C8D"/>
    <w:rsid w:val="0005248A"/>
    <w:rsid w:val="00054F4D"/>
    <w:rsid w:val="00055F7D"/>
    <w:rsid w:val="0005622A"/>
    <w:rsid w:val="00056410"/>
    <w:rsid w:val="0005645F"/>
    <w:rsid w:val="00056A6D"/>
    <w:rsid w:val="00056E19"/>
    <w:rsid w:val="00067D45"/>
    <w:rsid w:val="00070A94"/>
    <w:rsid w:val="00073512"/>
    <w:rsid w:val="0007535D"/>
    <w:rsid w:val="00076433"/>
    <w:rsid w:val="0007676B"/>
    <w:rsid w:val="00083A12"/>
    <w:rsid w:val="000866BE"/>
    <w:rsid w:val="00087A3E"/>
    <w:rsid w:val="00091F4B"/>
    <w:rsid w:val="00094833"/>
    <w:rsid w:val="00096B16"/>
    <w:rsid w:val="000A1956"/>
    <w:rsid w:val="000A3BB0"/>
    <w:rsid w:val="000A52BD"/>
    <w:rsid w:val="000A666D"/>
    <w:rsid w:val="000A6B91"/>
    <w:rsid w:val="000A6DB5"/>
    <w:rsid w:val="000B1E8D"/>
    <w:rsid w:val="000B2E31"/>
    <w:rsid w:val="000B4E35"/>
    <w:rsid w:val="000B6DF9"/>
    <w:rsid w:val="000C45C6"/>
    <w:rsid w:val="000C7E96"/>
    <w:rsid w:val="000D1D51"/>
    <w:rsid w:val="000D2F66"/>
    <w:rsid w:val="000D4D7C"/>
    <w:rsid w:val="000D5E40"/>
    <w:rsid w:val="000D6548"/>
    <w:rsid w:val="000F0147"/>
    <w:rsid w:val="000F0C20"/>
    <w:rsid w:val="000F63EF"/>
    <w:rsid w:val="001013F5"/>
    <w:rsid w:val="0010150C"/>
    <w:rsid w:val="00104427"/>
    <w:rsid w:val="00104479"/>
    <w:rsid w:val="00105DBF"/>
    <w:rsid w:val="00105F33"/>
    <w:rsid w:val="00107690"/>
    <w:rsid w:val="00110129"/>
    <w:rsid w:val="001123A4"/>
    <w:rsid w:val="00112A45"/>
    <w:rsid w:val="001134CF"/>
    <w:rsid w:val="00113E92"/>
    <w:rsid w:val="00114CC1"/>
    <w:rsid w:val="001171E7"/>
    <w:rsid w:val="0011771D"/>
    <w:rsid w:val="00124218"/>
    <w:rsid w:val="001259F9"/>
    <w:rsid w:val="00135D36"/>
    <w:rsid w:val="001427C2"/>
    <w:rsid w:val="00145BEF"/>
    <w:rsid w:val="00150911"/>
    <w:rsid w:val="0015306B"/>
    <w:rsid w:val="0015481F"/>
    <w:rsid w:val="00154D5D"/>
    <w:rsid w:val="00155446"/>
    <w:rsid w:val="00156AB0"/>
    <w:rsid w:val="00157A55"/>
    <w:rsid w:val="00157AA0"/>
    <w:rsid w:val="00157FD2"/>
    <w:rsid w:val="0016068A"/>
    <w:rsid w:val="0016307A"/>
    <w:rsid w:val="00163E86"/>
    <w:rsid w:val="001650B3"/>
    <w:rsid w:val="00166ACB"/>
    <w:rsid w:val="00171171"/>
    <w:rsid w:val="00174A5C"/>
    <w:rsid w:val="001776F3"/>
    <w:rsid w:val="00181DD1"/>
    <w:rsid w:val="001822A6"/>
    <w:rsid w:val="00185F22"/>
    <w:rsid w:val="001867A2"/>
    <w:rsid w:val="001909A4"/>
    <w:rsid w:val="001929A0"/>
    <w:rsid w:val="00192A77"/>
    <w:rsid w:val="001934AA"/>
    <w:rsid w:val="00194D9E"/>
    <w:rsid w:val="00195664"/>
    <w:rsid w:val="001957FE"/>
    <w:rsid w:val="00196F6B"/>
    <w:rsid w:val="001A1F91"/>
    <w:rsid w:val="001A3353"/>
    <w:rsid w:val="001A3486"/>
    <w:rsid w:val="001A611B"/>
    <w:rsid w:val="001A70F0"/>
    <w:rsid w:val="001B1EB1"/>
    <w:rsid w:val="001B3032"/>
    <w:rsid w:val="001B7D87"/>
    <w:rsid w:val="001B7EFA"/>
    <w:rsid w:val="001C0B11"/>
    <w:rsid w:val="001C3795"/>
    <w:rsid w:val="001D1EF2"/>
    <w:rsid w:val="001D474E"/>
    <w:rsid w:val="001D7845"/>
    <w:rsid w:val="001E00D8"/>
    <w:rsid w:val="001E1A87"/>
    <w:rsid w:val="001E1B4D"/>
    <w:rsid w:val="001E1F26"/>
    <w:rsid w:val="001E293C"/>
    <w:rsid w:val="001E3EC4"/>
    <w:rsid w:val="001E414B"/>
    <w:rsid w:val="001E592D"/>
    <w:rsid w:val="001E60AC"/>
    <w:rsid w:val="001E7504"/>
    <w:rsid w:val="001E7565"/>
    <w:rsid w:val="001F29E2"/>
    <w:rsid w:val="001F3039"/>
    <w:rsid w:val="001F3B69"/>
    <w:rsid w:val="001F6174"/>
    <w:rsid w:val="00201B79"/>
    <w:rsid w:val="0020541E"/>
    <w:rsid w:val="0020619B"/>
    <w:rsid w:val="002132E5"/>
    <w:rsid w:val="00213588"/>
    <w:rsid w:val="00214A30"/>
    <w:rsid w:val="002166A1"/>
    <w:rsid w:val="00216C34"/>
    <w:rsid w:val="00220BB4"/>
    <w:rsid w:val="00221EC6"/>
    <w:rsid w:val="00222906"/>
    <w:rsid w:val="00224772"/>
    <w:rsid w:val="00224AAB"/>
    <w:rsid w:val="00225C95"/>
    <w:rsid w:val="00232EF7"/>
    <w:rsid w:val="00233630"/>
    <w:rsid w:val="002339B3"/>
    <w:rsid w:val="002423DA"/>
    <w:rsid w:val="00243426"/>
    <w:rsid w:val="00245C89"/>
    <w:rsid w:val="00252BD5"/>
    <w:rsid w:val="0025534F"/>
    <w:rsid w:val="00256518"/>
    <w:rsid w:val="002566A4"/>
    <w:rsid w:val="00256C2D"/>
    <w:rsid w:val="00256C64"/>
    <w:rsid w:val="0026270F"/>
    <w:rsid w:val="00266857"/>
    <w:rsid w:val="002703DE"/>
    <w:rsid w:val="002733D0"/>
    <w:rsid w:val="00277345"/>
    <w:rsid w:val="002836AC"/>
    <w:rsid w:val="00284AA2"/>
    <w:rsid w:val="0028591B"/>
    <w:rsid w:val="00286551"/>
    <w:rsid w:val="00291866"/>
    <w:rsid w:val="00292578"/>
    <w:rsid w:val="00292870"/>
    <w:rsid w:val="002939FB"/>
    <w:rsid w:val="00294592"/>
    <w:rsid w:val="00295852"/>
    <w:rsid w:val="002A1B42"/>
    <w:rsid w:val="002A4497"/>
    <w:rsid w:val="002A4897"/>
    <w:rsid w:val="002A5095"/>
    <w:rsid w:val="002A5639"/>
    <w:rsid w:val="002A599B"/>
    <w:rsid w:val="002A65A9"/>
    <w:rsid w:val="002A7284"/>
    <w:rsid w:val="002A733C"/>
    <w:rsid w:val="002A7644"/>
    <w:rsid w:val="002A7BD9"/>
    <w:rsid w:val="002B0CCC"/>
    <w:rsid w:val="002B1D8B"/>
    <w:rsid w:val="002B316C"/>
    <w:rsid w:val="002B32FD"/>
    <w:rsid w:val="002B33D4"/>
    <w:rsid w:val="002B5CC0"/>
    <w:rsid w:val="002C3EE4"/>
    <w:rsid w:val="002C4CD2"/>
    <w:rsid w:val="002D18B6"/>
    <w:rsid w:val="002D299B"/>
    <w:rsid w:val="002D3078"/>
    <w:rsid w:val="002E1C05"/>
    <w:rsid w:val="002E6C35"/>
    <w:rsid w:val="002F2E82"/>
    <w:rsid w:val="002F5B69"/>
    <w:rsid w:val="0030116E"/>
    <w:rsid w:val="003014CA"/>
    <w:rsid w:val="003017CD"/>
    <w:rsid w:val="00301A4E"/>
    <w:rsid w:val="00304F42"/>
    <w:rsid w:val="00305F8E"/>
    <w:rsid w:val="00306460"/>
    <w:rsid w:val="00306870"/>
    <w:rsid w:val="003069C2"/>
    <w:rsid w:val="00306D9E"/>
    <w:rsid w:val="0030784C"/>
    <w:rsid w:val="00310115"/>
    <w:rsid w:val="00311861"/>
    <w:rsid w:val="003130B8"/>
    <w:rsid w:val="00313D3F"/>
    <w:rsid w:val="003154FC"/>
    <w:rsid w:val="00320B8F"/>
    <w:rsid w:val="00321DBA"/>
    <w:rsid w:val="0032492E"/>
    <w:rsid w:val="00324BD7"/>
    <w:rsid w:val="00325567"/>
    <w:rsid w:val="00326DF1"/>
    <w:rsid w:val="00327C71"/>
    <w:rsid w:val="0033024E"/>
    <w:rsid w:val="00331938"/>
    <w:rsid w:val="00333362"/>
    <w:rsid w:val="003357D0"/>
    <w:rsid w:val="00336D8B"/>
    <w:rsid w:val="00337C3F"/>
    <w:rsid w:val="0034028A"/>
    <w:rsid w:val="00341A27"/>
    <w:rsid w:val="003426D9"/>
    <w:rsid w:val="003428B9"/>
    <w:rsid w:val="00345795"/>
    <w:rsid w:val="00346E0D"/>
    <w:rsid w:val="00347043"/>
    <w:rsid w:val="003478B9"/>
    <w:rsid w:val="00350D2B"/>
    <w:rsid w:val="003514F2"/>
    <w:rsid w:val="00355862"/>
    <w:rsid w:val="003578AE"/>
    <w:rsid w:val="00360AD3"/>
    <w:rsid w:val="00363928"/>
    <w:rsid w:val="00363D95"/>
    <w:rsid w:val="003641DE"/>
    <w:rsid w:val="00366A0F"/>
    <w:rsid w:val="00366EFC"/>
    <w:rsid w:val="00371596"/>
    <w:rsid w:val="00372C5D"/>
    <w:rsid w:val="0037302A"/>
    <w:rsid w:val="00373969"/>
    <w:rsid w:val="00380199"/>
    <w:rsid w:val="0038024C"/>
    <w:rsid w:val="003826E2"/>
    <w:rsid w:val="00385F7F"/>
    <w:rsid w:val="003A2783"/>
    <w:rsid w:val="003A4A9E"/>
    <w:rsid w:val="003A53BF"/>
    <w:rsid w:val="003B0B81"/>
    <w:rsid w:val="003B0BF9"/>
    <w:rsid w:val="003B15A1"/>
    <w:rsid w:val="003B1D30"/>
    <w:rsid w:val="003B2FB1"/>
    <w:rsid w:val="003B6267"/>
    <w:rsid w:val="003C11CA"/>
    <w:rsid w:val="003C137C"/>
    <w:rsid w:val="003C2041"/>
    <w:rsid w:val="003C366F"/>
    <w:rsid w:val="003C4176"/>
    <w:rsid w:val="003C4DCE"/>
    <w:rsid w:val="003C773F"/>
    <w:rsid w:val="003D1061"/>
    <w:rsid w:val="003D1A2D"/>
    <w:rsid w:val="003D4BFF"/>
    <w:rsid w:val="003D4C17"/>
    <w:rsid w:val="003D6546"/>
    <w:rsid w:val="003E0791"/>
    <w:rsid w:val="003E15DE"/>
    <w:rsid w:val="003E4C9D"/>
    <w:rsid w:val="003E4D12"/>
    <w:rsid w:val="003F1DA8"/>
    <w:rsid w:val="003F225C"/>
    <w:rsid w:val="003F2860"/>
    <w:rsid w:val="003F28AC"/>
    <w:rsid w:val="003F3670"/>
    <w:rsid w:val="003F41AC"/>
    <w:rsid w:val="003F4FB2"/>
    <w:rsid w:val="003F67AF"/>
    <w:rsid w:val="00400A61"/>
    <w:rsid w:val="00404248"/>
    <w:rsid w:val="00414E01"/>
    <w:rsid w:val="00423BFA"/>
    <w:rsid w:val="00423F60"/>
    <w:rsid w:val="004250F2"/>
    <w:rsid w:val="00425300"/>
    <w:rsid w:val="004276E9"/>
    <w:rsid w:val="00430D7C"/>
    <w:rsid w:val="004343B6"/>
    <w:rsid w:val="00436572"/>
    <w:rsid w:val="00436E40"/>
    <w:rsid w:val="004414CB"/>
    <w:rsid w:val="00445268"/>
    <w:rsid w:val="004454FE"/>
    <w:rsid w:val="00445E18"/>
    <w:rsid w:val="00452780"/>
    <w:rsid w:val="00452C05"/>
    <w:rsid w:val="004548E8"/>
    <w:rsid w:val="00456E40"/>
    <w:rsid w:val="0045776F"/>
    <w:rsid w:val="00457E08"/>
    <w:rsid w:val="00462697"/>
    <w:rsid w:val="00464846"/>
    <w:rsid w:val="00466886"/>
    <w:rsid w:val="00471F27"/>
    <w:rsid w:val="00472486"/>
    <w:rsid w:val="0047261E"/>
    <w:rsid w:val="004726BD"/>
    <w:rsid w:val="00476A96"/>
    <w:rsid w:val="004770F7"/>
    <w:rsid w:val="0048077F"/>
    <w:rsid w:val="00480F23"/>
    <w:rsid w:val="00480F44"/>
    <w:rsid w:val="004812AB"/>
    <w:rsid w:val="004819DA"/>
    <w:rsid w:val="004875DB"/>
    <w:rsid w:val="00487FF3"/>
    <w:rsid w:val="004905CD"/>
    <w:rsid w:val="00493CD9"/>
    <w:rsid w:val="00495B07"/>
    <w:rsid w:val="00497D6B"/>
    <w:rsid w:val="004A04B2"/>
    <w:rsid w:val="004A2B26"/>
    <w:rsid w:val="004A531A"/>
    <w:rsid w:val="004A6061"/>
    <w:rsid w:val="004A61D9"/>
    <w:rsid w:val="004A6BBB"/>
    <w:rsid w:val="004B0FF0"/>
    <w:rsid w:val="004B7F0D"/>
    <w:rsid w:val="004C43BE"/>
    <w:rsid w:val="004D0F1E"/>
    <w:rsid w:val="004D1D8B"/>
    <w:rsid w:val="004D223E"/>
    <w:rsid w:val="004D2BB2"/>
    <w:rsid w:val="004D47C7"/>
    <w:rsid w:val="004F04CE"/>
    <w:rsid w:val="004F0B65"/>
    <w:rsid w:val="004F0B8E"/>
    <w:rsid w:val="004F766A"/>
    <w:rsid w:val="0050178F"/>
    <w:rsid w:val="00501BA5"/>
    <w:rsid w:val="00513BF2"/>
    <w:rsid w:val="00513F85"/>
    <w:rsid w:val="00514DB2"/>
    <w:rsid w:val="00517D9A"/>
    <w:rsid w:val="00525E13"/>
    <w:rsid w:val="005304E1"/>
    <w:rsid w:val="00534053"/>
    <w:rsid w:val="00536CE4"/>
    <w:rsid w:val="00536CE7"/>
    <w:rsid w:val="005414A1"/>
    <w:rsid w:val="00542112"/>
    <w:rsid w:val="005510D3"/>
    <w:rsid w:val="00553EBA"/>
    <w:rsid w:val="00554D19"/>
    <w:rsid w:val="00565B96"/>
    <w:rsid w:val="005661CF"/>
    <w:rsid w:val="00570338"/>
    <w:rsid w:val="0057118A"/>
    <w:rsid w:val="00572567"/>
    <w:rsid w:val="005804B2"/>
    <w:rsid w:val="00582847"/>
    <w:rsid w:val="00586E41"/>
    <w:rsid w:val="00590EB7"/>
    <w:rsid w:val="0059610E"/>
    <w:rsid w:val="0059683E"/>
    <w:rsid w:val="005971F8"/>
    <w:rsid w:val="005A4254"/>
    <w:rsid w:val="005A66FA"/>
    <w:rsid w:val="005A707C"/>
    <w:rsid w:val="005B320D"/>
    <w:rsid w:val="005B5D71"/>
    <w:rsid w:val="005C0CE1"/>
    <w:rsid w:val="005C182A"/>
    <w:rsid w:val="005C2B43"/>
    <w:rsid w:val="005C335B"/>
    <w:rsid w:val="005C7CA3"/>
    <w:rsid w:val="005D094B"/>
    <w:rsid w:val="005D2304"/>
    <w:rsid w:val="005D3DB3"/>
    <w:rsid w:val="005D66C0"/>
    <w:rsid w:val="005E095A"/>
    <w:rsid w:val="005E5AB1"/>
    <w:rsid w:val="005E6263"/>
    <w:rsid w:val="005F1179"/>
    <w:rsid w:val="005F6326"/>
    <w:rsid w:val="006016D4"/>
    <w:rsid w:val="00602B23"/>
    <w:rsid w:val="006038A2"/>
    <w:rsid w:val="00607DC3"/>
    <w:rsid w:val="0061236D"/>
    <w:rsid w:val="00614189"/>
    <w:rsid w:val="00617D79"/>
    <w:rsid w:val="00620DB2"/>
    <w:rsid w:val="006309E9"/>
    <w:rsid w:val="00634DB7"/>
    <w:rsid w:val="00635246"/>
    <w:rsid w:val="00635D9E"/>
    <w:rsid w:val="00637358"/>
    <w:rsid w:val="00651515"/>
    <w:rsid w:val="00652957"/>
    <w:rsid w:val="00652A12"/>
    <w:rsid w:val="00653C89"/>
    <w:rsid w:val="006551CE"/>
    <w:rsid w:val="00655F2C"/>
    <w:rsid w:val="006564DB"/>
    <w:rsid w:val="0066440B"/>
    <w:rsid w:val="00666345"/>
    <w:rsid w:val="006664C1"/>
    <w:rsid w:val="00670F7D"/>
    <w:rsid w:val="00673813"/>
    <w:rsid w:val="006743E5"/>
    <w:rsid w:val="006746A2"/>
    <w:rsid w:val="00677518"/>
    <w:rsid w:val="00677B7D"/>
    <w:rsid w:val="00682622"/>
    <w:rsid w:val="0068369A"/>
    <w:rsid w:val="00687295"/>
    <w:rsid w:val="006927EA"/>
    <w:rsid w:val="00692BDF"/>
    <w:rsid w:val="0069482E"/>
    <w:rsid w:val="006971F8"/>
    <w:rsid w:val="006A2348"/>
    <w:rsid w:val="006A2882"/>
    <w:rsid w:val="006A3545"/>
    <w:rsid w:val="006A356C"/>
    <w:rsid w:val="006A3851"/>
    <w:rsid w:val="006A41C2"/>
    <w:rsid w:val="006B1FE5"/>
    <w:rsid w:val="006B3351"/>
    <w:rsid w:val="006B6224"/>
    <w:rsid w:val="006C14E0"/>
    <w:rsid w:val="006C52AE"/>
    <w:rsid w:val="006C637A"/>
    <w:rsid w:val="006D07D5"/>
    <w:rsid w:val="006D107D"/>
    <w:rsid w:val="006D2E08"/>
    <w:rsid w:val="006D71A4"/>
    <w:rsid w:val="006D7BDF"/>
    <w:rsid w:val="006E1081"/>
    <w:rsid w:val="006E2F02"/>
    <w:rsid w:val="006E51B7"/>
    <w:rsid w:val="006F37EB"/>
    <w:rsid w:val="006F3CD9"/>
    <w:rsid w:val="006F5505"/>
    <w:rsid w:val="006F62D1"/>
    <w:rsid w:val="006F7AA0"/>
    <w:rsid w:val="00700B3A"/>
    <w:rsid w:val="00700E70"/>
    <w:rsid w:val="00702116"/>
    <w:rsid w:val="0070250D"/>
    <w:rsid w:val="007038EE"/>
    <w:rsid w:val="0070578A"/>
    <w:rsid w:val="0070680D"/>
    <w:rsid w:val="00706C70"/>
    <w:rsid w:val="00706EE0"/>
    <w:rsid w:val="00707CC3"/>
    <w:rsid w:val="00716E70"/>
    <w:rsid w:val="00720585"/>
    <w:rsid w:val="00724518"/>
    <w:rsid w:val="00727B1F"/>
    <w:rsid w:val="00735C3E"/>
    <w:rsid w:val="0073718D"/>
    <w:rsid w:val="00741285"/>
    <w:rsid w:val="0074183B"/>
    <w:rsid w:val="00741972"/>
    <w:rsid w:val="00742AC3"/>
    <w:rsid w:val="00742B50"/>
    <w:rsid w:val="00743444"/>
    <w:rsid w:val="00744625"/>
    <w:rsid w:val="007449AB"/>
    <w:rsid w:val="00745903"/>
    <w:rsid w:val="00750114"/>
    <w:rsid w:val="007503A6"/>
    <w:rsid w:val="00750604"/>
    <w:rsid w:val="00750BF4"/>
    <w:rsid w:val="007530D5"/>
    <w:rsid w:val="00753426"/>
    <w:rsid w:val="007540B6"/>
    <w:rsid w:val="0076132A"/>
    <w:rsid w:val="00761522"/>
    <w:rsid w:val="00761CD3"/>
    <w:rsid w:val="00763BB2"/>
    <w:rsid w:val="0076444B"/>
    <w:rsid w:val="0076544F"/>
    <w:rsid w:val="007702E6"/>
    <w:rsid w:val="00773AF6"/>
    <w:rsid w:val="0078682C"/>
    <w:rsid w:val="00790F3A"/>
    <w:rsid w:val="00795F71"/>
    <w:rsid w:val="007A29EE"/>
    <w:rsid w:val="007A4841"/>
    <w:rsid w:val="007A5ABC"/>
    <w:rsid w:val="007B13CF"/>
    <w:rsid w:val="007B3C6A"/>
    <w:rsid w:val="007B4277"/>
    <w:rsid w:val="007B6D83"/>
    <w:rsid w:val="007B7090"/>
    <w:rsid w:val="007C1934"/>
    <w:rsid w:val="007C38F2"/>
    <w:rsid w:val="007C3930"/>
    <w:rsid w:val="007D01F5"/>
    <w:rsid w:val="007D03DF"/>
    <w:rsid w:val="007D0BF9"/>
    <w:rsid w:val="007D4EEB"/>
    <w:rsid w:val="007D5CB4"/>
    <w:rsid w:val="007D6538"/>
    <w:rsid w:val="007E07C4"/>
    <w:rsid w:val="007E0BF8"/>
    <w:rsid w:val="007E45FA"/>
    <w:rsid w:val="007E5F7A"/>
    <w:rsid w:val="007E73AB"/>
    <w:rsid w:val="007E7A3E"/>
    <w:rsid w:val="007F0300"/>
    <w:rsid w:val="007F0A67"/>
    <w:rsid w:val="007F374A"/>
    <w:rsid w:val="007F3887"/>
    <w:rsid w:val="007F55FD"/>
    <w:rsid w:val="007F63BB"/>
    <w:rsid w:val="007F7E1F"/>
    <w:rsid w:val="00800148"/>
    <w:rsid w:val="00803A9A"/>
    <w:rsid w:val="00806E0B"/>
    <w:rsid w:val="00812911"/>
    <w:rsid w:val="00813784"/>
    <w:rsid w:val="00814248"/>
    <w:rsid w:val="0081699E"/>
    <w:rsid w:val="00816C11"/>
    <w:rsid w:val="00821E95"/>
    <w:rsid w:val="00822DC1"/>
    <w:rsid w:val="00823487"/>
    <w:rsid w:val="0082356D"/>
    <w:rsid w:val="00824344"/>
    <w:rsid w:val="00824D1B"/>
    <w:rsid w:val="008260DA"/>
    <w:rsid w:val="00830F0A"/>
    <w:rsid w:val="00833F6E"/>
    <w:rsid w:val="00834C06"/>
    <w:rsid w:val="008374C1"/>
    <w:rsid w:val="008407FC"/>
    <w:rsid w:val="00851732"/>
    <w:rsid w:val="0085234D"/>
    <w:rsid w:val="00853579"/>
    <w:rsid w:val="00860658"/>
    <w:rsid w:val="00860DEE"/>
    <w:rsid w:val="00862B42"/>
    <w:rsid w:val="00862E36"/>
    <w:rsid w:val="008631A7"/>
    <w:rsid w:val="00863DD2"/>
    <w:rsid w:val="00866F6E"/>
    <w:rsid w:val="00873345"/>
    <w:rsid w:val="00873644"/>
    <w:rsid w:val="008756C7"/>
    <w:rsid w:val="008802FC"/>
    <w:rsid w:val="008802FD"/>
    <w:rsid w:val="008814CF"/>
    <w:rsid w:val="008815FD"/>
    <w:rsid w:val="00881986"/>
    <w:rsid w:val="00883CDE"/>
    <w:rsid w:val="00891AD8"/>
    <w:rsid w:val="0089225B"/>
    <w:rsid w:val="00892FDC"/>
    <w:rsid w:val="00893608"/>
    <w:rsid w:val="00894C55"/>
    <w:rsid w:val="00897AE9"/>
    <w:rsid w:val="008A04DB"/>
    <w:rsid w:val="008A0768"/>
    <w:rsid w:val="008A1122"/>
    <w:rsid w:val="008A1452"/>
    <w:rsid w:val="008A5548"/>
    <w:rsid w:val="008A7A4F"/>
    <w:rsid w:val="008A7DBC"/>
    <w:rsid w:val="008C1DBE"/>
    <w:rsid w:val="008C2512"/>
    <w:rsid w:val="008C46B0"/>
    <w:rsid w:val="008C4B54"/>
    <w:rsid w:val="008D1BA2"/>
    <w:rsid w:val="008D5F4D"/>
    <w:rsid w:val="008F2D8A"/>
    <w:rsid w:val="008F337D"/>
    <w:rsid w:val="008F6724"/>
    <w:rsid w:val="00903D25"/>
    <w:rsid w:val="009049DD"/>
    <w:rsid w:val="009060D7"/>
    <w:rsid w:val="00907DFC"/>
    <w:rsid w:val="00910F7B"/>
    <w:rsid w:val="0091754F"/>
    <w:rsid w:val="0092294B"/>
    <w:rsid w:val="009237FC"/>
    <w:rsid w:val="00924572"/>
    <w:rsid w:val="0093156D"/>
    <w:rsid w:val="009373C6"/>
    <w:rsid w:val="00937BEB"/>
    <w:rsid w:val="0094257E"/>
    <w:rsid w:val="00942E58"/>
    <w:rsid w:val="0094373F"/>
    <w:rsid w:val="00944A2B"/>
    <w:rsid w:val="0094771F"/>
    <w:rsid w:val="00951131"/>
    <w:rsid w:val="009514EB"/>
    <w:rsid w:val="00957BFD"/>
    <w:rsid w:val="0096038A"/>
    <w:rsid w:val="00961765"/>
    <w:rsid w:val="00965F78"/>
    <w:rsid w:val="00972405"/>
    <w:rsid w:val="00974C2C"/>
    <w:rsid w:val="009812CB"/>
    <w:rsid w:val="00981670"/>
    <w:rsid w:val="0098384B"/>
    <w:rsid w:val="0098462E"/>
    <w:rsid w:val="00992AF9"/>
    <w:rsid w:val="00995685"/>
    <w:rsid w:val="00996150"/>
    <w:rsid w:val="00997D07"/>
    <w:rsid w:val="009A153C"/>
    <w:rsid w:val="009A2654"/>
    <w:rsid w:val="009A5927"/>
    <w:rsid w:val="009A63C6"/>
    <w:rsid w:val="009B592C"/>
    <w:rsid w:val="009B6654"/>
    <w:rsid w:val="009C001B"/>
    <w:rsid w:val="009C1B4C"/>
    <w:rsid w:val="009C2928"/>
    <w:rsid w:val="009C3640"/>
    <w:rsid w:val="009C46A9"/>
    <w:rsid w:val="009D3FB6"/>
    <w:rsid w:val="009D47CA"/>
    <w:rsid w:val="009E6D2C"/>
    <w:rsid w:val="009E788D"/>
    <w:rsid w:val="009F1EAE"/>
    <w:rsid w:val="009F22A4"/>
    <w:rsid w:val="009F28F7"/>
    <w:rsid w:val="009F2B6D"/>
    <w:rsid w:val="009F5970"/>
    <w:rsid w:val="00A0351F"/>
    <w:rsid w:val="00A05BA0"/>
    <w:rsid w:val="00A05FB9"/>
    <w:rsid w:val="00A07825"/>
    <w:rsid w:val="00A10D22"/>
    <w:rsid w:val="00A10FC3"/>
    <w:rsid w:val="00A11DF5"/>
    <w:rsid w:val="00A11EA6"/>
    <w:rsid w:val="00A140B7"/>
    <w:rsid w:val="00A14561"/>
    <w:rsid w:val="00A17A61"/>
    <w:rsid w:val="00A17B19"/>
    <w:rsid w:val="00A206EB"/>
    <w:rsid w:val="00A2159D"/>
    <w:rsid w:val="00A21E85"/>
    <w:rsid w:val="00A2329B"/>
    <w:rsid w:val="00A23F2A"/>
    <w:rsid w:val="00A30198"/>
    <w:rsid w:val="00A301B1"/>
    <w:rsid w:val="00A331C2"/>
    <w:rsid w:val="00A35B17"/>
    <w:rsid w:val="00A374F9"/>
    <w:rsid w:val="00A376C2"/>
    <w:rsid w:val="00A416F2"/>
    <w:rsid w:val="00A4604B"/>
    <w:rsid w:val="00A46837"/>
    <w:rsid w:val="00A524A0"/>
    <w:rsid w:val="00A6073E"/>
    <w:rsid w:val="00A63AAE"/>
    <w:rsid w:val="00A640D4"/>
    <w:rsid w:val="00A64175"/>
    <w:rsid w:val="00A66D9A"/>
    <w:rsid w:val="00A676F4"/>
    <w:rsid w:val="00A72A86"/>
    <w:rsid w:val="00A7436F"/>
    <w:rsid w:val="00A8152D"/>
    <w:rsid w:val="00A847D4"/>
    <w:rsid w:val="00A85B92"/>
    <w:rsid w:val="00A90C84"/>
    <w:rsid w:val="00A93374"/>
    <w:rsid w:val="00A96D51"/>
    <w:rsid w:val="00AA08A4"/>
    <w:rsid w:val="00AA5E33"/>
    <w:rsid w:val="00AB23FF"/>
    <w:rsid w:val="00AB5891"/>
    <w:rsid w:val="00AB7CDC"/>
    <w:rsid w:val="00AC0430"/>
    <w:rsid w:val="00AC2295"/>
    <w:rsid w:val="00AC2E1E"/>
    <w:rsid w:val="00AC4F4A"/>
    <w:rsid w:val="00AD001C"/>
    <w:rsid w:val="00AD1073"/>
    <w:rsid w:val="00AD1B71"/>
    <w:rsid w:val="00AD2FF6"/>
    <w:rsid w:val="00AD3E70"/>
    <w:rsid w:val="00AD4D19"/>
    <w:rsid w:val="00AD5908"/>
    <w:rsid w:val="00AD6242"/>
    <w:rsid w:val="00AE5567"/>
    <w:rsid w:val="00AF1239"/>
    <w:rsid w:val="00AF5C3E"/>
    <w:rsid w:val="00AF5C7A"/>
    <w:rsid w:val="00AF627D"/>
    <w:rsid w:val="00AF67B7"/>
    <w:rsid w:val="00AF6C36"/>
    <w:rsid w:val="00B03EC4"/>
    <w:rsid w:val="00B05359"/>
    <w:rsid w:val="00B06EAD"/>
    <w:rsid w:val="00B072E5"/>
    <w:rsid w:val="00B11D0E"/>
    <w:rsid w:val="00B127F3"/>
    <w:rsid w:val="00B14159"/>
    <w:rsid w:val="00B15C2D"/>
    <w:rsid w:val="00B16230"/>
    <w:rsid w:val="00B16480"/>
    <w:rsid w:val="00B2165C"/>
    <w:rsid w:val="00B23EAD"/>
    <w:rsid w:val="00B24146"/>
    <w:rsid w:val="00B24291"/>
    <w:rsid w:val="00B27BE6"/>
    <w:rsid w:val="00B27E97"/>
    <w:rsid w:val="00B306E1"/>
    <w:rsid w:val="00B322A8"/>
    <w:rsid w:val="00B33F29"/>
    <w:rsid w:val="00B424DB"/>
    <w:rsid w:val="00B4349F"/>
    <w:rsid w:val="00B445F7"/>
    <w:rsid w:val="00B44B04"/>
    <w:rsid w:val="00B45638"/>
    <w:rsid w:val="00B5161E"/>
    <w:rsid w:val="00B5672D"/>
    <w:rsid w:val="00B601A1"/>
    <w:rsid w:val="00B61EF1"/>
    <w:rsid w:val="00B62C23"/>
    <w:rsid w:val="00B63FC9"/>
    <w:rsid w:val="00B66715"/>
    <w:rsid w:val="00B667B6"/>
    <w:rsid w:val="00B6700F"/>
    <w:rsid w:val="00B70814"/>
    <w:rsid w:val="00B71652"/>
    <w:rsid w:val="00B73215"/>
    <w:rsid w:val="00B747D5"/>
    <w:rsid w:val="00B756B0"/>
    <w:rsid w:val="00B76574"/>
    <w:rsid w:val="00B81CB8"/>
    <w:rsid w:val="00B82548"/>
    <w:rsid w:val="00B83DF3"/>
    <w:rsid w:val="00B85299"/>
    <w:rsid w:val="00B93D0B"/>
    <w:rsid w:val="00B93DA5"/>
    <w:rsid w:val="00B94265"/>
    <w:rsid w:val="00B95279"/>
    <w:rsid w:val="00B95941"/>
    <w:rsid w:val="00B96577"/>
    <w:rsid w:val="00B96CCA"/>
    <w:rsid w:val="00BA0A8D"/>
    <w:rsid w:val="00BA20AA"/>
    <w:rsid w:val="00BA6EA4"/>
    <w:rsid w:val="00BB1A50"/>
    <w:rsid w:val="00BB37F2"/>
    <w:rsid w:val="00BB4098"/>
    <w:rsid w:val="00BB4CDC"/>
    <w:rsid w:val="00BB4DC2"/>
    <w:rsid w:val="00BB53C0"/>
    <w:rsid w:val="00BB614C"/>
    <w:rsid w:val="00BC0F9D"/>
    <w:rsid w:val="00BC29D9"/>
    <w:rsid w:val="00BC2DED"/>
    <w:rsid w:val="00BC4366"/>
    <w:rsid w:val="00BD1307"/>
    <w:rsid w:val="00BD2382"/>
    <w:rsid w:val="00BD4425"/>
    <w:rsid w:val="00BD55F1"/>
    <w:rsid w:val="00BD6030"/>
    <w:rsid w:val="00BD616B"/>
    <w:rsid w:val="00BE13BB"/>
    <w:rsid w:val="00BE21FD"/>
    <w:rsid w:val="00BE280E"/>
    <w:rsid w:val="00BE2BBB"/>
    <w:rsid w:val="00BE51F4"/>
    <w:rsid w:val="00BF10F9"/>
    <w:rsid w:val="00BF5FC4"/>
    <w:rsid w:val="00BF6447"/>
    <w:rsid w:val="00BF7734"/>
    <w:rsid w:val="00BF7D80"/>
    <w:rsid w:val="00C038BB"/>
    <w:rsid w:val="00C043CF"/>
    <w:rsid w:val="00C04B54"/>
    <w:rsid w:val="00C06CCF"/>
    <w:rsid w:val="00C14CF2"/>
    <w:rsid w:val="00C15265"/>
    <w:rsid w:val="00C16DB2"/>
    <w:rsid w:val="00C20017"/>
    <w:rsid w:val="00C21BC7"/>
    <w:rsid w:val="00C2321D"/>
    <w:rsid w:val="00C25B49"/>
    <w:rsid w:val="00C27D38"/>
    <w:rsid w:val="00C31349"/>
    <w:rsid w:val="00C313FD"/>
    <w:rsid w:val="00C37155"/>
    <w:rsid w:val="00C37DFC"/>
    <w:rsid w:val="00C4067F"/>
    <w:rsid w:val="00C4169C"/>
    <w:rsid w:val="00C4242F"/>
    <w:rsid w:val="00C436D2"/>
    <w:rsid w:val="00C46435"/>
    <w:rsid w:val="00C536A9"/>
    <w:rsid w:val="00C5518F"/>
    <w:rsid w:val="00C5572A"/>
    <w:rsid w:val="00C573D1"/>
    <w:rsid w:val="00C57AA0"/>
    <w:rsid w:val="00C605AE"/>
    <w:rsid w:val="00C61C0C"/>
    <w:rsid w:val="00C62A07"/>
    <w:rsid w:val="00C62A69"/>
    <w:rsid w:val="00C63D28"/>
    <w:rsid w:val="00C65E6B"/>
    <w:rsid w:val="00C67B38"/>
    <w:rsid w:val="00C735A6"/>
    <w:rsid w:val="00C73806"/>
    <w:rsid w:val="00C755AF"/>
    <w:rsid w:val="00C76EF2"/>
    <w:rsid w:val="00C77FE4"/>
    <w:rsid w:val="00C80564"/>
    <w:rsid w:val="00C82D3D"/>
    <w:rsid w:val="00C8386F"/>
    <w:rsid w:val="00C8656E"/>
    <w:rsid w:val="00C874EB"/>
    <w:rsid w:val="00C913B5"/>
    <w:rsid w:val="00C93404"/>
    <w:rsid w:val="00C93CBC"/>
    <w:rsid w:val="00C95EE3"/>
    <w:rsid w:val="00CA25AF"/>
    <w:rsid w:val="00CA7014"/>
    <w:rsid w:val="00CB0CD1"/>
    <w:rsid w:val="00CB5597"/>
    <w:rsid w:val="00CB6EA9"/>
    <w:rsid w:val="00CB748C"/>
    <w:rsid w:val="00CB7F5A"/>
    <w:rsid w:val="00CC0D2D"/>
    <w:rsid w:val="00CC1354"/>
    <w:rsid w:val="00CC47D9"/>
    <w:rsid w:val="00CC6BBD"/>
    <w:rsid w:val="00CD1125"/>
    <w:rsid w:val="00CD1743"/>
    <w:rsid w:val="00CD40DF"/>
    <w:rsid w:val="00CD677A"/>
    <w:rsid w:val="00CE04BF"/>
    <w:rsid w:val="00CE22B4"/>
    <w:rsid w:val="00CE29BC"/>
    <w:rsid w:val="00CE31C8"/>
    <w:rsid w:val="00CE33AC"/>
    <w:rsid w:val="00CE492D"/>
    <w:rsid w:val="00CE4935"/>
    <w:rsid w:val="00CE53BC"/>
    <w:rsid w:val="00CE5657"/>
    <w:rsid w:val="00CE68A0"/>
    <w:rsid w:val="00CF1B95"/>
    <w:rsid w:val="00CF31C2"/>
    <w:rsid w:val="00CF4519"/>
    <w:rsid w:val="00CF6F96"/>
    <w:rsid w:val="00D01061"/>
    <w:rsid w:val="00D02B1F"/>
    <w:rsid w:val="00D0777C"/>
    <w:rsid w:val="00D07831"/>
    <w:rsid w:val="00D11459"/>
    <w:rsid w:val="00D11AE0"/>
    <w:rsid w:val="00D133F8"/>
    <w:rsid w:val="00D14A3E"/>
    <w:rsid w:val="00D23EE3"/>
    <w:rsid w:val="00D31735"/>
    <w:rsid w:val="00D34F4E"/>
    <w:rsid w:val="00D365AE"/>
    <w:rsid w:val="00D3699D"/>
    <w:rsid w:val="00D41500"/>
    <w:rsid w:val="00D45437"/>
    <w:rsid w:val="00D47FCD"/>
    <w:rsid w:val="00D501D4"/>
    <w:rsid w:val="00D50F5E"/>
    <w:rsid w:val="00D52D1A"/>
    <w:rsid w:val="00D533A0"/>
    <w:rsid w:val="00D5444C"/>
    <w:rsid w:val="00D566F4"/>
    <w:rsid w:val="00D60A4D"/>
    <w:rsid w:val="00D60DB2"/>
    <w:rsid w:val="00D6560B"/>
    <w:rsid w:val="00D66350"/>
    <w:rsid w:val="00D67692"/>
    <w:rsid w:val="00D67872"/>
    <w:rsid w:val="00D71537"/>
    <w:rsid w:val="00D72220"/>
    <w:rsid w:val="00D72FD7"/>
    <w:rsid w:val="00D74B10"/>
    <w:rsid w:val="00D7782C"/>
    <w:rsid w:val="00D77D9F"/>
    <w:rsid w:val="00D80647"/>
    <w:rsid w:val="00D829A8"/>
    <w:rsid w:val="00D82DBE"/>
    <w:rsid w:val="00D830A2"/>
    <w:rsid w:val="00D87732"/>
    <w:rsid w:val="00D90BA0"/>
    <w:rsid w:val="00D91923"/>
    <w:rsid w:val="00D927EA"/>
    <w:rsid w:val="00D96E80"/>
    <w:rsid w:val="00D97241"/>
    <w:rsid w:val="00DA4097"/>
    <w:rsid w:val="00DA65A6"/>
    <w:rsid w:val="00DB0B64"/>
    <w:rsid w:val="00DB3BEC"/>
    <w:rsid w:val="00DB4CED"/>
    <w:rsid w:val="00DB5340"/>
    <w:rsid w:val="00DB6929"/>
    <w:rsid w:val="00DB7DA7"/>
    <w:rsid w:val="00DC17CA"/>
    <w:rsid w:val="00DC2EEE"/>
    <w:rsid w:val="00DC3DEE"/>
    <w:rsid w:val="00DC7117"/>
    <w:rsid w:val="00DD253C"/>
    <w:rsid w:val="00DD261E"/>
    <w:rsid w:val="00DD73B1"/>
    <w:rsid w:val="00DD7E9C"/>
    <w:rsid w:val="00DE0E76"/>
    <w:rsid w:val="00DE1416"/>
    <w:rsid w:val="00DE2C8E"/>
    <w:rsid w:val="00DE4F77"/>
    <w:rsid w:val="00DE5FF0"/>
    <w:rsid w:val="00DE6272"/>
    <w:rsid w:val="00DE65CA"/>
    <w:rsid w:val="00DE7CA8"/>
    <w:rsid w:val="00DF138A"/>
    <w:rsid w:val="00DF25E8"/>
    <w:rsid w:val="00DF3922"/>
    <w:rsid w:val="00DF3D11"/>
    <w:rsid w:val="00DF7EFF"/>
    <w:rsid w:val="00E001FE"/>
    <w:rsid w:val="00E02B0E"/>
    <w:rsid w:val="00E0402A"/>
    <w:rsid w:val="00E04210"/>
    <w:rsid w:val="00E04907"/>
    <w:rsid w:val="00E04E26"/>
    <w:rsid w:val="00E1046F"/>
    <w:rsid w:val="00E11FFE"/>
    <w:rsid w:val="00E151F5"/>
    <w:rsid w:val="00E163E8"/>
    <w:rsid w:val="00E21CEF"/>
    <w:rsid w:val="00E24BD6"/>
    <w:rsid w:val="00E251BA"/>
    <w:rsid w:val="00E25E77"/>
    <w:rsid w:val="00E32D10"/>
    <w:rsid w:val="00E33366"/>
    <w:rsid w:val="00E33899"/>
    <w:rsid w:val="00E357BF"/>
    <w:rsid w:val="00E358BA"/>
    <w:rsid w:val="00E363A8"/>
    <w:rsid w:val="00E36525"/>
    <w:rsid w:val="00E366A7"/>
    <w:rsid w:val="00E37059"/>
    <w:rsid w:val="00E3716B"/>
    <w:rsid w:val="00E37208"/>
    <w:rsid w:val="00E37804"/>
    <w:rsid w:val="00E43315"/>
    <w:rsid w:val="00E44773"/>
    <w:rsid w:val="00E5126A"/>
    <w:rsid w:val="00E5323B"/>
    <w:rsid w:val="00E54CEE"/>
    <w:rsid w:val="00E56F1B"/>
    <w:rsid w:val="00E6021B"/>
    <w:rsid w:val="00E61002"/>
    <w:rsid w:val="00E652A3"/>
    <w:rsid w:val="00E6706D"/>
    <w:rsid w:val="00E677A0"/>
    <w:rsid w:val="00E72EE0"/>
    <w:rsid w:val="00E730D3"/>
    <w:rsid w:val="00E776F0"/>
    <w:rsid w:val="00E8142B"/>
    <w:rsid w:val="00E81C6B"/>
    <w:rsid w:val="00E8749E"/>
    <w:rsid w:val="00E87595"/>
    <w:rsid w:val="00E90C01"/>
    <w:rsid w:val="00E9150A"/>
    <w:rsid w:val="00E92A27"/>
    <w:rsid w:val="00E933C2"/>
    <w:rsid w:val="00E95F57"/>
    <w:rsid w:val="00E9794A"/>
    <w:rsid w:val="00EA1BDF"/>
    <w:rsid w:val="00EA486E"/>
    <w:rsid w:val="00EA5CE6"/>
    <w:rsid w:val="00EA6DCF"/>
    <w:rsid w:val="00EB02F9"/>
    <w:rsid w:val="00EB42A7"/>
    <w:rsid w:val="00EB47FA"/>
    <w:rsid w:val="00EB6CB4"/>
    <w:rsid w:val="00EB7B54"/>
    <w:rsid w:val="00EC04FD"/>
    <w:rsid w:val="00EC0AA6"/>
    <w:rsid w:val="00EC2153"/>
    <w:rsid w:val="00EC45BD"/>
    <w:rsid w:val="00EC5A1F"/>
    <w:rsid w:val="00EC6D2D"/>
    <w:rsid w:val="00EC6F58"/>
    <w:rsid w:val="00EC7653"/>
    <w:rsid w:val="00ED323C"/>
    <w:rsid w:val="00ED36F5"/>
    <w:rsid w:val="00ED51DC"/>
    <w:rsid w:val="00ED6A24"/>
    <w:rsid w:val="00ED7483"/>
    <w:rsid w:val="00EE3BF6"/>
    <w:rsid w:val="00EE705C"/>
    <w:rsid w:val="00EE7BBC"/>
    <w:rsid w:val="00EF0DF7"/>
    <w:rsid w:val="00EF7155"/>
    <w:rsid w:val="00F01015"/>
    <w:rsid w:val="00F01086"/>
    <w:rsid w:val="00F05343"/>
    <w:rsid w:val="00F06A8D"/>
    <w:rsid w:val="00F16445"/>
    <w:rsid w:val="00F218F5"/>
    <w:rsid w:val="00F22115"/>
    <w:rsid w:val="00F25593"/>
    <w:rsid w:val="00F25789"/>
    <w:rsid w:val="00F31DD1"/>
    <w:rsid w:val="00F332E6"/>
    <w:rsid w:val="00F35BF8"/>
    <w:rsid w:val="00F35CBA"/>
    <w:rsid w:val="00F40D47"/>
    <w:rsid w:val="00F40F26"/>
    <w:rsid w:val="00F410F3"/>
    <w:rsid w:val="00F500C1"/>
    <w:rsid w:val="00F50350"/>
    <w:rsid w:val="00F51258"/>
    <w:rsid w:val="00F525ED"/>
    <w:rsid w:val="00F57B0C"/>
    <w:rsid w:val="00F63079"/>
    <w:rsid w:val="00F63B67"/>
    <w:rsid w:val="00F67387"/>
    <w:rsid w:val="00F73776"/>
    <w:rsid w:val="00F77363"/>
    <w:rsid w:val="00F809D9"/>
    <w:rsid w:val="00F8340F"/>
    <w:rsid w:val="00F90D41"/>
    <w:rsid w:val="00F9243C"/>
    <w:rsid w:val="00F9510E"/>
    <w:rsid w:val="00F97AC1"/>
    <w:rsid w:val="00FA494F"/>
    <w:rsid w:val="00FA5383"/>
    <w:rsid w:val="00FA5C40"/>
    <w:rsid w:val="00FA7111"/>
    <w:rsid w:val="00FB0F12"/>
    <w:rsid w:val="00FB1F04"/>
    <w:rsid w:val="00FB2001"/>
    <w:rsid w:val="00FB4C0F"/>
    <w:rsid w:val="00FB4E64"/>
    <w:rsid w:val="00FB69C5"/>
    <w:rsid w:val="00FC2F48"/>
    <w:rsid w:val="00FC461B"/>
    <w:rsid w:val="00FC5578"/>
    <w:rsid w:val="00FC6E5D"/>
    <w:rsid w:val="00FD0DF7"/>
    <w:rsid w:val="00FE384B"/>
    <w:rsid w:val="00FE4A44"/>
    <w:rsid w:val="00FE4E31"/>
    <w:rsid w:val="00FE522D"/>
    <w:rsid w:val="00FF080C"/>
    <w:rsid w:val="00FF2BBD"/>
    <w:rsid w:val="00FF4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FDC6"/>
  <w15:docId w15:val="{A2CBDC60-DF47-4C25-A76F-5B0D1466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EB7"/>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unhideWhenUsed/>
    <w:rsid w:val="003F28AC"/>
    <w:rPr>
      <w:rFonts w:ascii="Tahoma" w:hAnsi="Tahoma" w:cs="Tahoma"/>
      <w:sz w:val="16"/>
      <w:szCs w:val="16"/>
    </w:rPr>
  </w:style>
  <w:style w:type="character" w:customStyle="1" w:styleId="BalloonTextChar">
    <w:name w:val="Balloon Text Char"/>
    <w:basedOn w:val="DefaultParagraphFont"/>
    <w:link w:val="BalloonText"/>
    <w:uiPriority w:val="99"/>
    <w:rsid w:val="003F28AC"/>
    <w:rPr>
      <w:rFonts w:ascii="Tahoma" w:hAnsi="Tahoma" w:cs="Tahoma"/>
      <w:sz w:val="16"/>
      <w:szCs w:val="16"/>
    </w:rPr>
  </w:style>
  <w:style w:type="paragraph" w:styleId="NoSpacing">
    <w:name w:val="No Spacing"/>
    <w:uiPriority w:val="1"/>
    <w:qFormat/>
    <w:rsid w:val="00256C64"/>
    <w:pPr>
      <w:spacing w:after="0" w:line="240" w:lineRule="auto"/>
    </w:pPr>
  </w:style>
  <w:style w:type="paragraph" w:customStyle="1" w:styleId="Default">
    <w:name w:val="Default"/>
    <w:rsid w:val="00BA0A8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95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D01061"/>
    <w:rPr>
      <w:sz w:val="16"/>
      <w:szCs w:val="16"/>
    </w:rPr>
  </w:style>
  <w:style w:type="paragraph" w:styleId="CommentText">
    <w:name w:val="annotation text"/>
    <w:basedOn w:val="Normal"/>
    <w:link w:val="CommentTextChar"/>
    <w:unhideWhenUsed/>
    <w:rsid w:val="00D01061"/>
    <w:rPr>
      <w:sz w:val="20"/>
      <w:szCs w:val="20"/>
    </w:rPr>
  </w:style>
  <w:style w:type="character" w:customStyle="1" w:styleId="CommentTextChar">
    <w:name w:val="Comment Text Char"/>
    <w:basedOn w:val="DefaultParagraphFont"/>
    <w:link w:val="CommentText"/>
    <w:rsid w:val="00D01061"/>
    <w:rPr>
      <w:sz w:val="20"/>
      <w:szCs w:val="20"/>
    </w:rPr>
  </w:style>
  <w:style w:type="paragraph" w:styleId="CommentSubject">
    <w:name w:val="annotation subject"/>
    <w:basedOn w:val="CommentText"/>
    <w:next w:val="CommentText"/>
    <w:link w:val="CommentSubjectChar"/>
    <w:uiPriority w:val="99"/>
    <w:semiHidden/>
    <w:unhideWhenUsed/>
    <w:rsid w:val="00D01061"/>
    <w:rPr>
      <w:b/>
      <w:bCs/>
    </w:rPr>
  </w:style>
  <w:style w:type="character" w:customStyle="1" w:styleId="CommentSubjectChar">
    <w:name w:val="Comment Subject Char"/>
    <w:basedOn w:val="CommentTextChar"/>
    <w:link w:val="CommentSubject"/>
    <w:uiPriority w:val="99"/>
    <w:semiHidden/>
    <w:rsid w:val="00D01061"/>
    <w:rPr>
      <w:b/>
      <w:bCs/>
      <w:sz w:val="20"/>
      <w:szCs w:val="20"/>
    </w:rPr>
  </w:style>
  <w:style w:type="paragraph" w:styleId="ListParagraph">
    <w:name w:val="List Paragraph"/>
    <w:basedOn w:val="Normal"/>
    <w:uiPriority w:val="34"/>
    <w:qFormat/>
    <w:rsid w:val="00D45437"/>
    <w:pPr>
      <w:ind w:left="720"/>
      <w:contextualSpacing/>
    </w:pPr>
  </w:style>
  <w:style w:type="paragraph" w:styleId="FootnoteText">
    <w:name w:val="footnote text"/>
    <w:aliases w:val="Footnote,Fußnote,Fußnote Rakstz. Rakstz.,Fußnote Rakstz. Rakstz. R,Fußnote Rakstz. Rakstz. Rakstz. Rakstz. Rakstz.,Char Char Char Char Char Char Rakstz. Rakstz. Char Char Rakstz. Rakstz.,Fußnote Char Char Char Char Char Char,Fußnote Char"/>
    <w:basedOn w:val="Normal"/>
    <w:link w:val="FootnoteTextChar"/>
    <w:uiPriority w:val="99"/>
    <w:rsid w:val="00A66D9A"/>
    <w:pPr>
      <w:jc w:val="both"/>
    </w:pPr>
    <w:rPr>
      <w:rFonts w:eastAsia="Times New Roman" w:cs="Times New Roman"/>
      <w:sz w:val="20"/>
      <w:szCs w:val="20"/>
    </w:rPr>
  </w:style>
  <w:style w:type="character" w:customStyle="1" w:styleId="FootnoteTextChar">
    <w:name w:val="Footnote Text Char"/>
    <w:aliases w:val="Footnote Char,Fußnote Char1,Fußnote Rakstz. Rakstz. Char,Fußnote Rakstz. Rakstz. R Char,Fußnote Rakstz. Rakstz. Rakstz. Rakstz. Rakstz. Char,Char Char Char Char Char Char Rakstz. Rakstz. Char Char Rakstz. Rakstz. Char"/>
    <w:basedOn w:val="DefaultParagraphFont"/>
    <w:link w:val="FootnoteText"/>
    <w:uiPriority w:val="99"/>
    <w:rsid w:val="00A66D9A"/>
    <w:rPr>
      <w:rFonts w:ascii="Times New Roman" w:eastAsia="Times New Roman" w:hAnsi="Times New Roman" w:cs="Times New Roman"/>
      <w:sz w:val="20"/>
      <w:szCs w:val="20"/>
    </w:rPr>
  </w:style>
  <w:style w:type="character" w:styleId="FootnoteReference">
    <w:name w:val="footnote reference"/>
    <w:aliases w:val="Footnote Reference Number,Footnote symbol,SUPERS"/>
    <w:uiPriority w:val="99"/>
    <w:rsid w:val="00A66D9A"/>
    <w:rPr>
      <w:rFonts w:ascii="Times New Roman" w:hAnsi="Times New Roman"/>
      <w:vertAlign w:val="superscript"/>
    </w:rPr>
  </w:style>
  <w:style w:type="paragraph" w:styleId="BodyTextIndent">
    <w:name w:val="Body Text Indent"/>
    <w:basedOn w:val="Normal"/>
    <w:link w:val="BodyTextIndentChar"/>
    <w:uiPriority w:val="99"/>
    <w:unhideWhenUsed/>
    <w:rsid w:val="00E21CEF"/>
    <w:pPr>
      <w:spacing w:before="120" w:after="120"/>
      <w:ind w:left="283"/>
    </w:pPr>
    <w:rPr>
      <w:rFonts w:eastAsia="Times New Roman" w:cs="Times New Roman"/>
      <w:sz w:val="20"/>
      <w:szCs w:val="20"/>
    </w:rPr>
  </w:style>
  <w:style w:type="character" w:customStyle="1" w:styleId="BodyTextIndentChar">
    <w:name w:val="Body Text Indent Char"/>
    <w:basedOn w:val="DefaultParagraphFont"/>
    <w:link w:val="BodyTextIndent"/>
    <w:uiPriority w:val="99"/>
    <w:rsid w:val="00E21CEF"/>
    <w:rPr>
      <w:rFonts w:ascii="Times New Roman" w:eastAsia="Times New Roman" w:hAnsi="Times New Roman" w:cs="Times New Roman"/>
      <w:sz w:val="20"/>
      <w:szCs w:val="20"/>
    </w:rPr>
  </w:style>
  <w:style w:type="paragraph" w:styleId="Revision">
    <w:name w:val="Revision"/>
    <w:hidden/>
    <w:uiPriority w:val="99"/>
    <w:semiHidden/>
    <w:rsid w:val="000B2E31"/>
    <w:pPr>
      <w:spacing w:after="0" w:line="240" w:lineRule="auto"/>
    </w:pPr>
  </w:style>
  <w:style w:type="paragraph" w:styleId="NormalWeb">
    <w:name w:val="Normal (Web)"/>
    <w:basedOn w:val="Normal"/>
    <w:uiPriority w:val="99"/>
    <w:unhideWhenUsed/>
    <w:rsid w:val="00E9794A"/>
    <w:rPr>
      <w:rFonts w:cs="Times New Roman"/>
      <w:szCs w:val="24"/>
      <w:lang w:eastAsia="lv-LV"/>
    </w:rPr>
  </w:style>
  <w:style w:type="paragraph" w:styleId="BodyText">
    <w:name w:val="Body Text"/>
    <w:basedOn w:val="Normal"/>
    <w:link w:val="BodyTextChar"/>
    <w:uiPriority w:val="99"/>
    <w:semiHidden/>
    <w:unhideWhenUsed/>
    <w:rsid w:val="00833F6E"/>
    <w:pPr>
      <w:spacing w:after="120"/>
    </w:pPr>
    <w:rPr>
      <w:rFonts w:eastAsia="Times New Roman" w:cs="Times New Roman"/>
      <w:szCs w:val="24"/>
      <w:lang w:eastAsia="lv-LV"/>
    </w:rPr>
  </w:style>
  <w:style w:type="character" w:customStyle="1" w:styleId="BodyTextChar">
    <w:name w:val="Body Text Char"/>
    <w:basedOn w:val="DefaultParagraphFont"/>
    <w:link w:val="BodyText"/>
    <w:uiPriority w:val="99"/>
    <w:semiHidden/>
    <w:rsid w:val="00833F6E"/>
    <w:rPr>
      <w:rFonts w:ascii="Times New Roman" w:eastAsia="Times New Roman" w:hAnsi="Times New Roman" w:cs="Times New Roman"/>
      <w:sz w:val="24"/>
      <w:szCs w:val="24"/>
      <w:lang w:eastAsia="lv-LV"/>
    </w:rPr>
  </w:style>
  <w:style w:type="paragraph" w:customStyle="1" w:styleId="c01pointnumerotealtn">
    <w:name w:val="c01pointnumerotealtn"/>
    <w:basedOn w:val="Normal"/>
    <w:rsid w:val="00E001FE"/>
    <w:pPr>
      <w:spacing w:before="100" w:beforeAutospacing="1" w:after="240"/>
      <w:ind w:left="567" w:hanging="539"/>
      <w:jc w:val="both"/>
    </w:pPr>
    <w:rPr>
      <w:rFonts w:eastAsia="Times New Roman" w:cs="Times New Roman"/>
      <w:szCs w:val="24"/>
      <w:lang w:eastAsia="lv-LV"/>
    </w:rPr>
  </w:style>
  <w:style w:type="paragraph" w:styleId="EndnoteText">
    <w:name w:val="endnote text"/>
    <w:basedOn w:val="Normal"/>
    <w:link w:val="EndnoteTextChar"/>
    <w:uiPriority w:val="99"/>
    <w:semiHidden/>
    <w:unhideWhenUsed/>
    <w:rsid w:val="00F809D9"/>
    <w:rPr>
      <w:sz w:val="20"/>
      <w:szCs w:val="20"/>
    </w:rPr>
  </w:style>
  <w:style w:type="character" w:customStyle="1" w:styleId="EndnoteTextChar">
    <w:name w:val="Endnote Text Char"/>
    <w:basedOn w:val="DefaultParagraphFont"/>
    <w:link w:val="EndnoteText"/>
    <w:uiPriority w:val="99"/>
    <w:semiHidden/>
    <w:rsid w:val="00F809D9"/>
    <w:rPr>
      <w:rFonts w:ascii="Times New Roman" w:hAnsi="Times New Roman"/>
      <w:sz w:val="20"/>
      <w:szCs w:val="20"/>
    </w:rPr>
  </w:style>
  <w:style w:type="character" w:styleId="EndnoteReference">
    <w:name w:val="endnote reference"/>
    <w:basedOn w:val="DefaultParagraphFont"/>
    <w:uiPriority w:val="99"/>
    <w:semiHidden/>
    <w:unhideWhenUsed/>
    <w:rsid w:val="00F809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469">
      <w:bodyDiv w:val="1"/>
      <w:marLeft w:val="0"/>
      <w:marRight w:val="0"/>
      <w:marTop w:val="0"/>
      <w:marBottom w:val="0"/>
      <w:divBdr>
        <w:top w:val="none" w:sz="0" w:space="0" w:color="auto"/>
        <w:left w:val="none" w:sz="0" w:space="0" w:color="auto"/>
        <w:bottom w:val="none" w:sz="0" w:space="0" w:color="auto"/>
        <w:right w:val="none" w:sz="0" w:space="0" w:color="auto"/>
      </w:divBdr>
    </w:div>
    <w:div w:id="44761368">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44924759">
      <w:bodyDiv w:val="1"/>
      <w:marLeft w:val="0"/>
      <w:marRight w:val="0"/>
      <w:marTop w:val="0"/>
      <w:marBottom w:val="0"/>
      <w:divBdr>
        <w:top w:val="none" w:sz="0" w:space="0" w:color="auto"/>
        <w:left w:val="none" w:sz="0" w:space="0" w:color="auto"/>
        <w:bottom w:val="none" w:sz="0" w:space="0" w:color="auto"/>
        <w:right w:val="none" w:sz="0" w:space="0" w:color="auto"/>
      </w:divBdr>
    </w:div>
    <w:div w:id="433549844">
      <w:bodyDiv w:val="1"/>
      <w:marLeft w:val="0"/>
      <w:marRight w:val="0"/>
      <w:marTop w:val="0"/>
      <w:marBottom w:val="0"/>
      <w:divBdr>
        <w:top w:val="none" w:sz="0" w:space="0" w:color="auto"/>
        <w:left w:val="none" w:sz="0" w:space="0" w:color="auto"/>
        <w:bottom w:val="none" w:sz="0" w:space="0" w:color="auto"/>
        <w:right w:val="none" w:sz="0" w:space="0" w:color="auto"/>
      </w:divBdr>
    </w:div>
    <w:div w:id="680814054">
      <w:bodyDiv w:val="1"/>
      <w:marLeft w:val="0"/>
      <w:marRight w:val="0"/>
      <w:marTop w:val="0"/>
      <w:marBottom w:val="0"/>
      <w:divBdr>
        <w:top w:val="none" w:sz="0" w:space="0" w:color="auto"/>
        <w:left w:val="none" w:sz="0" w:space="0" w:color="auto"/>
        <w:bottom w:val="none" w:sz="0" w:space="0" w:color="auto"/>
        <w:right w:val="none" w:sz="0" w:space="0" w:color="auto"/>
      </w:divBdr>
    </w:div>
    <w:div w:id="717317008">
      <w:bodyDiv w:val="1"/>
      <w:marLeft w:val="0"/>
      <w:marRight w:val="0"/>
      <w:marTop w:val="0"/>
      <w:marBottom w:val="0"/>
      <w:divBdr>
        <w:top w:val="none" w:sz="0" w:space="0" w:color="auto"/>
        <w:left w:val="none" w:sz="0" w:space="0" w:color="auto"/>
        <w:bottom w:val="none" w:sz="0" w:space="0" w:color="auto"/>
        <w:right w:val="none" w:sz="0" w:space="0" w:color="auto"/>
      </w:divBdr>
    </w:div>
    <w:div w:id="844395394">
      <w:bodyDiv w:val="1"/>
      <w:marLeft w:val="0"/>
      <w:marRight w:val="0"/>
      <w:marTop w:val="0"/>
      <w:marBottom w:val="0"/>
      <w:divBdr>
        <w:top w:val="none" w:sz="0" w:space="0" w:color="auto"/>
        <w:left w:val="none" w:sz="0" w:space="0" w:color="auto"/>
        <w:bottom w:val="none" w:sz="0" w:space="0" w:color="auto"/>
        <w:right w:val="none" w:sz="0" w:space="0" w:color="auto"/>
      </w:divBdr>
    </w:div>
    <w:div w:id="851066111">
      <w:bodyDiv w:val="1"/>
      <w:marLeft w:val="0"/>
      <w:marRight w:val="0"/>
      <w:marTop w:val="0"/>
      <w:marBottom w:val="0"/>
      <w:divBdr>
        <w:top w:val="none" w:sz="0" w:space="0" w:color="auto"/>
        <w:left w:val="none" w:sz="0" w:space="0" w:color="auto"/>
        <w:bottom w:val="none" w:sz="0" w:space="0" w:color="auto"/>
        <w:right w:val="none" w:sz="0" w:space="0" w:color="auto"/>
      </w:divBdr>
    </w:div>
    <w:div w:id="1335645676">
      <w:bodyDiv w:val="1"/>
      <w:marLeft w:val="0"/>
      <w:marRight w:val="0"/>
      <w:marTop w:val="0"/>
      <w:marBottom w:val="0"/>
      <w:divBdr>
        <w:top w:val="none" w:sz="0" w:space="0" w:color="auto"/>
        <w:left w:val="none" w:sz="0" w:space="0" w:color="auto"/>
        <w:bottom w:val="none" w:sz="0" w:space="0" w:color="auto"/>
        <w:right w:val="none" w:sz="0" w:space="0" w:color="auto"/>
      </w:divBdr>
    </w:div>
    <w:div w:id="1354116308">
      <w:bodyDiv w:val="1"/>
      <w:marLeft w:val="0"/>
      <w:marRight w:val="0"/>
      <w:marTop w:val="0"/>
      <w:marBottom w:val="0"/>
      <w:divBdr>
        <w:top w:val="none" w:sz="0" w:space="0" w:color="auto"/>
        <w:left w:val="none" w:sz="0" w:space="0" w:color="auto"/>
        <w:bottom w:val="none" w:sz="0" w:space="0" w:color="auto"/>
        <w:right w:val="none" w:sz="0" w:space="0" w:color="auto"/>
      </w:divBdr>
    </w:div>
    <w:div w:id="1386641048">
      <w:bodyDiv w:val="1"/>
      <w:marLeft w:val="0"/>
      <w:marRight w:val="0"/>
      <w:marTop w:val="0"/>
      <w:marBottom w:val="0"/>
      <w:divBdr>
        <w:top w:val="none" w:sz="0" w:space="0" w:color="auto"/>
        <w:left w:val="none" w:sz="0" w:space="0" w:color="auto"/>
        <w:bottom w:val="none" w:sz="0" w:space="0" w:color="auto"/>
        <w:right w:val="none" w:sz="0" w:space="0" w:color="auto"/>
      </w:divBdr>
    </w:div>
    <w:div w:id="138741101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36091711">
      <w:bodyDiv w:val="1"/>
      <w:marLeft w:val="0"/>
      <w:marRight w:val="0"/>
      <w:marTop w:val="0"/>
      <w:marBottom w:val="0"/>
      <w:divBdr>
        <w:top w:val="none" w:sz="0" w:space="0" w:color="auto"/>
        <w:left w:val="none" w:sz="0" w:space="0" w:color="auto"/>
        <w:bottom w:val="none" w:sz="0" w:space="0" w:color="auto"/>
        <w:right w:val="none" w:sz="0" w:space="0" w:color="auto"/>
      </w:divBdr>
    </w:div>
    <w:div w:id="1699624641">
      <w:bodyDiv w:val="1"/>
      <w:marLeft w:val="0"/>
      <w:marRight w:val="0"/>
      <w:marTop w:val="0"/>
      <w:marBottom w:val="0"/>
      <w:divBdr>
        <w:top w:val="none" w:sz="0" w:space="0" w:color="auto"/>
        <w:left w:val="none" w:sz="0" w:space="0" w:color="auto"/>
        <w:bottom w:val="none" w:sz="0" w:space="0" w:color="auto"/>
        <w:right w:val="none" w:sz="0" w:space="0" w:color="auto"/>
      </w:divBdr>
    </w:div>
    <w:div w:id="1851947217">
      <w:bodyDiv w:val="1"/>
      <w:marLeft w:val="0"/>
      <w:marRight w:val="0"/>
      <w:marTop w:val="0"/>
      <w:marBottom w:val="0"/>
      <w:divBdr>
        <w:top w:val="none" w:sz="0" w:space="0" w:color="auto"/>
        <w:left w:val="none" w:sz="0" w:space="0" w:color="auto"/>
        <w:bottom w:val="none" w:sz="0" w:space="0" w:color="auto"/>
        <w:right w:val="none" w:sz="0" w:space="0" w:color="auto"/>
      </w:divBdr>
    </w:div>
    <w:div w:id="1989044107">
      <w:bodyDiv w:val="1"/>
      <w:marLeft w:val="0"/>
      <w:marRight w:val="0"/>
      <w:marTop w:val="0"/>
      <w:marBottom w:val="0"/>
      <w:divBdr>
        <w:top w:val="none" w:sz="0" w:space="0" w:color="auto"/>
        <w:left w:val="none" w:sz="0" w:space="0" w:color="auto"/>
        <w:bottom w:val="none" w:sz="0" w:space="0" w:color="auto"/>
        <w:right w:val="none" w:sz="0" w:space="0" w:color="auto"/>
      </w:divBdr>
    </w:div>
    <w:div w:id="211605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7E887DBA-24AD-4DFA-821F-34FAA3EB6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19</Pages>
  <Words>28853</Words>
  <Characters>16447</Characters>
  <Application>Microsoft Office Word</Application>
  <DocSecurity>0</DocSecurity>
  <Lines>137</Lines>
  <Paragraphs>90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nodokļiem un nodevām"" sākotnējās ietekmes novērtējuma ziņojums (anotācija)</vt:lpstr>
      <vt:lpstr>likumprojekta "Grozījumi likumā "Par nodokļiem un nodevām"" sākotnējās ietekmes novērtējuma ziņojums (anotācija)</vt:lpstr>
    </vt:vector>
  </TitlesOfParts>
  <Company>Finanšu ministrija</Company>
  <LinksUpToDate>false</LinksUpToDate>
  <CharactersWithSpaces>45210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nodokļiem un nodevām"" sākotnējās ietekmes novērtējuma ziņojums (anotācija)</dc:title>
  <dc:subject>Anotācija</dc:subject>
  <dc:creator>evita.sefere@fm.gov.lv</dc:creator>
  <dc:description>67083942, evita.sefere@fm.gov.lv</dc:description>
  <cp:lastModifiedBy>Evita Šēfere</cp:lastModifiedBy>
  <cp:revision>64</cp:revision>
  <cp:lastPrinted>2019-09-23T06:07:00Z</cp:lastPrinted>
  <dcterms:created xsi:type="dcterms:W3CDTF">2019-08-21T12:42:00Z</dcterms:created>
  <dcterms:modified xsi:type="dcterms:W3CDTF">2019-09-23T08:33:00Z</dcterms:modified>
</cp:coreProperties>
</file>