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57D4" w14:textId="77777777" w:rsidR="00E315C4" w:rsidRDefault="00E315C4" w:rsidP="00DB5A7F">
      <w:pPr>
        <w:ind w:firstLine="300"/>
        <w:jc w:val="center"/>
        <w:rPr>
          <w:bCs/>
        </w:rPr>
      </w:pPr>
      <w:bookmarkStart w:id="0" w:name="_GoBack"/>
      <w:bookmarkEnd w:id="0"/>
    </w:p>
    <w:p w14:paraId="7B98417E" w14:textId="4B8E918E" w:rsidR="00DB5A7F" w:rsidRPr="009D36DE" w:rsidRDefault="00DB5A7F" w:rsidP="00DB5A7F">
      <w:pPr>
        <w:ind w:firstLine="300"/>
        <w:jc w:val="center"/>
        <w:rPr>
          <w:bCs/>
        </w:rPr>
      </w:pPr>
      <w:r w:rsidRPr="003D6BD2">
        <w:rPr>
          <w:bCs/>
        </w:rPr>
        <w:t>Ministru kabineta rīkojuma projekta</w:t>
      </w:r>
      <w:r w:rsidRPr="003D6BD2">
        <w:rPr>
          <w:b/>
          <w:bCs/>
        </w:rPr>
        <w:t xml:space="preserve"> “</w:t>
      </w:r>
      <w:r w:rsidR="000E0985" w:rsidRPr="000E0985">
        <w:rPr>
          <w:b/>
          <w:bCs/>
        </w:rPr>
        <w:t>Par apropriācijas palielinājumu Finanšu ministrijas budžeta apakšprogramm</w:t>
      </w:r>
      <w:r w:rsidR="00BD7235">
        <w:rPr>
          <w:b/>
          <w:bCs/>
        </w:rPr>
        <w:t>ā</w:t>
      </w:r>
      <w:r w:rsidR="000E0985" w:rsidRPr="000E0985">
        <w:rPr>
          <w:b/>
          <w:bCs/>
        </w:rPr>
        <w:t xml:space="preserve"> 41.01.00 „Iemaksas Eiropas Kopienas budžetā”</w:t>
      </w:r>
      <w:r w:rsidRPr="003D6BD2">
        <w:rPr>
          <w:b/>
          <w:bCs/>
        </w:rPr>
        <w:t xml:space="preserve">” </w:t>
      </w:r>
      <w:r w:rsidRPr="003D6BD2">
        <w:rPr>
          <w:bCs/>
        </w:rPr>
        <w:t>sākotnējās ietekmes novērtējuma ziņojums (anotācija)</w:t>
      </w:r>
    </w:p>
    <w:p w14:paraId="1B158B0B" w14:textId="77777777" w:rsidR="00E50E39" w:rsidRDefault="00E50E39" w:rsidP="00DB5A7F">
      <w:pPr>
        <w:ind w:firstLine="300"/>
        <w:jc w:val="center"/>
        <w:rPr>
          <w:b/>
          <w:bCs/>
        </w:rPr>
      </w:pPr>
    </w:p>
    <w:p w14:paraId="2483D9AC" w14:textId="77777777" w:rsidR="00E315C4" w:rsidRDefault="00E315C4" w:rsidP="00DB5A7F">
      <w:pPr>
        <w:ind w:firstLine="300"/>
        <w:jc w:val="center"/>
        <w:rPr>
          <w:b/>
          <w:bCs/>
        </w:rPr>
      </w:pPr>
    </w:p>
    <w:p w14:paraId="7142698F" w14:textId="77777777" w:rsidR="009D36DE"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7D3E6E"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7D3E6E" w:rsidRDefault="009D36DE" w:rsidP="000044FA">
            <w:pPr>
              <w:spacing w:before="100" w:after="100"/>
              <w:jc w:val="center"/>
              <w:rPr>
                <w:b/>
                <w:bCs/>
              </w:rPr>
            </w:pPr>
            <w:r w:rsidRPr="007D3E6E">
              <w:rPr>
                <w:b/>
                <w:bCs/>
              </w:rPr>
              <w:t>Tiesību aktu projektu anotācijas kopsavilkums</w:t>
            </w:r>
          </w:p>
        </w:tc>
      </w:tr>
      <w:tr w:rsidR="009D36DE" w:rsidRPr="007D3E6E"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19AA8E62" w:rsidR="00DB2426" w:rsidRDefault="009D36DE" w:rsidP="000044FA">
            <w:pPr>
              <w:spacing w:before="100" w:after="100"/>
              <w:ind w:right="125"/>
              <w:jc w:val="both"/>
            </w:pPr>
            <w:r w:rsidRPr="007D3E6E">
              <w:t>Mērķis, risinājums un projekta spēkā stāšanās laiks (500 zīmes bez atstarpēm)</w:t>
            </w:r>
          </w:p>
          <w:p w14:paraId="72DE182B" w14:textId="77777777" w:rsidR="00DB2426" w:rsidRPr="00DB2426" w:rsidRDefault="00DB2426" w:rsidP="00DB2426"/>
          <w:p w14:paraId="61A8B197" w14:textId="77777777" w:rsidR="00DB2426" w:rsidRPr="00DB2426" w:rsidRDefault="00DB2426" w:rsidP="00DB2426"/>
          <w:p w14:paraId="05A8026A" w14:textId="77777777" w:rsidR="00DB2426" w:rsidRPr="00DB2426" w:rsidRDefault="00DB2426" w:rsidP="00DB2426"/>
          <w:p w14:paraId="29197F1C" w14:textId="77777777" w:rsidR="00DB2426" w:rsidRPr="00DB2426" w:rsidRDefault="00DB2426" w:rsidP="00DB2426"/>
          <w:p w14:paraId="3F2516D3" w14:textId="522E2F16" w:rsidR="00DB2426" w:rsidRDefault="00DB2426" w:rsidP="00DB2426"/>
          <w:p w14:paraId="50D137A2" w14:textId="77777777" w:rsidR="009D36DE" w:rsidRPr="00DB2426" w:rsidRDefault="009D36DE" w:rsidP="00DB2426"/>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F406F7" w14:textId="0342736A" w:rsidR="00B340BE" w:rsidRDefault="00853AC5" w:rsidP="00B340BE">
            <w:pPr>
              <w:pStyle w:val="NoSpacing"/>
              <w:spacing w:before="60" w:after="60"/>
              <w:ind w:left="91" w:right="108" w:firstLine="284"/>
              <w:jc w:val="both"/>
              <w:rPr>
                <w:rFonts w:ascii="Times New Roman" w:eastAsia="Times New Roman" w:hAnsi="Times New Roman"/>
                <w:iCs/>
                <w:sz w:val="24"/>
                <w:szCs w:val="24"/>
                <w:lang w:eastAsia="lv-LV"/>
              </w:rPr>
            </w:pPr>
            <w:r w:rsidRPr="007D3E6E">
              <w:rPr>
                <w:rFonts w:ascii="Times New Roman" w:eastAsia="Times New Roman" w:hAnsi="Times New Roman"/>
                <w:iCs/>
                <w:sz w:val="24"/>
                <w:szCs w:val="24"/>
                <w:lang w:eastAsia="lv-LV"/>
              </w:rPr>
              <w:t xml:space="preserve">Ministru kabineta rīkojuma projekta </w:t>
            </w:r>
            <w:r w:rsidRPr="007D3E6E">
              <w:rPr>
                <w:rFonts w:ascii="Times New Roman" w:hAnsi="Times New Roman"/>
                <w:bCs/>
                <w:sz w:val="24"/>
                <w:szCs w:val="24"/>
              </w:rPr>
              <w:t>“</w:t>
            </w:r>
            <w:r w:rsidR="000E0985" w:rsidRPr="000E0985">
              <w:rPr>
                <w:rFonts w:ascii="Times New Roman" w:hAnsi="Times New Roman"/>
                <w:bCs/>
                <w:sz w:val="24"/>
                <w:szCs w:val="24"/>
              </w:rPr>
              <w:t>Par apropriācijas palielinājumu Finanšu ministrijas budžeta apakšprogrammai 41.01.00 „Iemaksas Eiropas Kopienas budžetā</w:t>
            </w:r>
            <w:r w:rsidRPr="007D3E6E">
              <w:rPr>
                <w:rFonts w:ascii="Times New Roman" w:hAnsi="Times New Roman"/>
                <w:bCs/>
                <w:sz w:val="24"/>
                <w:szCs w:val="24"/>
              </w:rPr>
              <w:t>”</w:t>
            </w:r>
            <w:r w:rsidRPr="007D3E6E">
              <w:rPr>
                <w:rFonts w:ascii="Times New Roman" w:eastAsia="Times New Roman" w:hAnsi="Times New Roman"/>
                <w:iCs/>
                <w:sz w:val="24"/>
                <w:szCs w:val="24"/>
                <w:lang w:eastAsia="lv-LV"/>
              </w:rPr>
              <w:t xml:space="preserve">” (turpmāk – Ministru kabineta rīkojuma projekts) mērķis ir </w:t>
            </w:r>
            <w:r w:rsidR="00B340BE" w:rsidRPr="00B340BE">
              <w:rPr>
                <w:rFonts w:ascii="Times New Roman" w:eastAsia="Times New Roman" w:hAnsi="Times New Roman"/>
                <w:iCs/>
                <w:sz w:val="24"/>
                <w:szCs w:val="24"/>
                <w:lang w:eastAsia="lv-LV"/>
              </w:rPr>
              <w:t>nodrošināt Latvijas maksājumu E</w:t>
            </w:r>
            <w:r w:rsidR="00DA6359">
              <w:rPr>
                <w:rFonts w:ascii="Times New Roman" w:eastAsia="Times New Roman" w:hAnsi="Times New Roman"/>
                <w:iCs/>
                <w:sz w:val="24"/>
                <w:szCs w:val="24"/>
                <w:lang w:eastAsia="lv-LV"/>
              </w:rPr>
              <w:t>iropas Savienība</w:t>
            </w:r>
            <w:r w:rsidR="00DB2426">
              <w:rPr>
                <w:rFonts w:ascii="Times New Roman" w:eastAsia="Times New Roman" w:hAnsi="Times New Roman"/>
                <w:iCs/>
                <w:sz w:val="24"/>
                <w:szCs w:val="24"/>
                <w:lang w:eastAsia="lv-LV"/>
              </w:rPr>
              <w:t xml:space="preserve"> (turpmāk – ES)</w:t>
            </w:r>
            <w:r w:rsidR="00B340BE" w:rsidRPr="00B340BE">
              <w:rPr>
                <w:rFonts w:ascii="Times New Roman" w:eastAsia="Times New Roman" w:hAnsi="Times New Roman"/>
                <w:iCs/>
                <w:sz w:val="24"/>
                <w:szCs w:val="24"/>
                <w:lang w:eastAsia="lv-LV"/>
              </w:rPr>
              <w:t xml:space="preserve"> budžetā izpildi </w:t>
            </w:r>
            <w:r w:rsidR="00B340BE">
              <w:rPr>
                <w:rFonts w:ascii="Times New Roman" w:eastAsia="Times New Roman" w:hAnsi="Times New Roman"/>
                <w:iCs/>
                <w:sz w:val="24"/>
                <w:szCs w:val="24"/>
                <w:lang w:eastAsia="lv-LV"/>
              </w:rPr>
              <w:t xml:space="preserve">pilnā apmērā </w:t>
            </w:r>
            <w:r w:rsidR="00B340BE" w:rsidRPr="00B340BE">
              <w:rPr>
                <w:rFonts w:ascii="Times New Roman" w:eastAsia="Times New Roman" w:hAnsi="Times New Roman"/>
                <w:iCs/>
                <w:sz w:val="24"/>
                <w:szCs w:val="24"/>
                <w:lang w:eastAsia="lv-LV"/>
              </w:rPr>
              <w:t>saskaņā ar līgumiem, direktīvām, regulām un Eiropas Komisijas iemaksu pieprasījumiem ES pašu resursu sistēmā</w:t>
            </w:r>
            <w:r w:rsidR="00B340BE">
              <w:rPr>
                <w:rFonts w:ascii="Times New Roman" w:eastAsia="Times New Roman" w:hAnsi="Times New Roman"/>
                <w:iCs/>
                <w:sz w:val="24"/>
                <w:szCs w:val="24"/>
                <w:lang w:eastAsia="lv-LV"/>
              </w:rPr>
              <w:t>.</w:t>
            </w:r>
          </w:p>
          <w:p w14:paraId="1E84D5A2" w14:textId="77777777" w:rsidR="00853AC5" w:rsidRDefault="00B340BE" w:rsidP="00B340BE">
            <w:pPr>
              <w:pStyle w:val="NoSpacing"/>
              <w:spacing w:before="60" w:after="60"/>
              <w:ind w:left="91" w:right="108" w:firstLine="284"/>
              <w:jc w:val="both"/>
              <w:rPr>
                <w:rFonts w:ascii="Times New Roman" w:hAnsi="Times New Roman"/>
                <w:sz w:val="24"/>
                <w:szCs w:val="24"/>
              </w:rPr>
            </w:pPr>
            <w:r w:rsidRPr="00B340BE">
              <w:rPr>
                <w:rFonts w:ascii="Times New Roman" w:eastAsia="Times New Roman" w:hAnsi="Times New Roman"/>
                <w:iCs/>
                <w:sz w:val="24"/>
                <w:szCs w:val="24"/>
                <w:lang w:eastAsia="lv-LV"/>
              </w:rPr>
              <w:t xml:space="preserve"> </w:t>
            </w:r>
            <w:r w:rsidR="00853AC5" w:rsidRPr="007D3E6E">
              <w:rPr>
                <w:rFonts w:ascii="Times New Roman" w:hAnsi="Times New Roman"/>
                <w:sz w:val="24"/>
                <w:szCs w:val="24"/>
              </w:rPr>
              <w:t xml:space="preserve">Ministru kabineta rīkojuma projekts stājas spēkā tā </w:t>
            </w:r>
            <w:r w:rsidR="000A6B9A" w:rsidRPr="007D3E6E">
              <w:rPr>
                <w:rFonts w:ascii="Times New Roman" w:hAnsi="Times New Roman"/>
                <w:sz w:val="24"/>
                <w:szCs w:val="24"/>
              </w:rPr>
              <w:t>parakstīšanas brīdī</w:t>
            </w:r>
            <w:r w:rsidR="004B0522" w:rsidRPr="007D3E6E">
              <w:rPr>
                <w:rFonts w:ascii="Times New Roman" w:hAnsi="Times New Roman"/>
                <w:sz w:val="24"/>
                <w:szCs w:val="24"/>
              </w:rPr>
              <w:t xml:space="preserve"> atbilstoši </w:t>
            </w:r>
            <w:r w:rsidR="004B0522" w:rsidRPr="00DA6359">
              <w:rPr>
                <w:rFonts w:ascii="Times New Roman" w:hAnsi="Times New Roman"/>
                <w:sz w:val="24"/>
                <w:szCs w:val="24"/>
              </w:rPr>
              <w:t>Oficiālo publikāciju un tiesiskās informācijas likuma 7.panta trešajā daļā noteiktajam</w:t>
            </w:r>
            <w:r w:rsidR="00853AC5" w:rsidRPr="00DA6359">
              <w:rPr>
                <w:rFonts w:ascii="Times New Roman" w:hAnsi="Times New Roman"/>
                <w:sz w:val="24"/>
                <w:szCs w:val="24"/>
              </w:rPr>
              <w:t>.</w:t>
            </w:r>
          </w:p>
          <w:p w14:paraId="740ACEBC" w14:textId="6FA4C0C9" w:rsidR="008B3DA5" w:rsidRPr="007D3E6E" w:rsidRDefault="008B3DA5" w:rsidP="00B340BE">
            <w:pPr>
              <w:pStyle w:val="NoSpacing"/>
              <w:spacing w:before="60" w:after="60"/>
              <w:ind w:left="91" w:right="108" w:firstLine="284"/>
              <w:jc w:val="both"/>
              <w:rPr>
                <w:rFonts w:ascii="Times New Roman" w:hAnsi="Times New Roman"/>
                <w:sz w:val="24"/>
                <w:szCs w:val="24"/>
              </w:rPr>
            </w:pPr>
          </w:p>
        </w:tc>
      </w:tr>
    </w:tbl>
    <w:p w14:paraId="5AE1A044" w14:textId="77777777" w:rsidR="009D36DE" w:rsidRPr="007D3E6E" w:rsidRDefault="009D36DE" w:rsidP="000044FA">
      <w:pPr>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7D3E6E"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7D3E6E" w:rsidRDefault="009D36DE" w:rsidP="000044FA">
            <w:pPr>
              <w:spacing w:before="100" w:after="100"/>
              <w:jc w:val="center"/>
              <w:rPr>
                <w:b/>
                <w:bCs/>
              </w:rPr>
            </w:pPr>
            <w:r w:rsidRPr="007D3E6E">
              <w:rPr>
                <w:b/>
                <w:bCs/>
              </w:rPr>
              <w:t>I. Tiesību aktu projektu izstrādes nepieciešamība</w:t>
            </w:r>
          </w:p>
        </w:tc>
      </w:tr>
      <w:tr w:rsidR="009D36DE" w:rsidRPr="007D3E6E" w14:paraId="47CC67B4" w14:textId="77777777" w:rsidTr="00DA6359">
        <w:trPr>
          <w:trHeight w:val="6371"/>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7D3E6E" w:rsidRDefault="009D36DE" w:rsidP="000044FA">
            <w:pPr>
              <w:spacing w:before="100" w:after="100"/>
            </w:pPr>
            <w:r w:rsidRPr="007D3E6E">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50739D3F" w:rsidR="000E0985" w:rsidRDefault="009D36DE" w:rsidP="000044FA">
            <w:pPr>
              <w:spacing w:before="100" w:after="100"/>
            </w:pPr>
            <w:r w:rsidRPr="007D3E6E">
              <w:t>Pamatojums</w:t>
            </w:r>
          </w:p>
          <w:p w14:paraId="29F49035" w14:textId="77777777" w:rsidR="000E0985" w:rsidRPr="000E0985" w:rsidRDefault="000E0985" w:rsidP="000E0985"/>
          <w:p w14:paraId="7463586D" w14:textId="77777777" w:rsidR="000E0985" w:rsidRPr="000E0985" w:rsidRDefault="000E0985" w:rsidP="000E0985"/>
          <w:p w14:paraId="3016527B" w14:textId="77777777" w:rsidR="000E0985" w:rsidRPr="000E0985" w:rsidRDefault="000E0985" w:rsidP="000E0985"/>
          <w:p w14:paraId="035B5A93" w14:textId="77777777" w:rsidR="000E0985" w:rsidRPr="000E0985" w:rsidRDefault="000E0985" w:rsidP="000E0985"/>
          <w:p w14:paraId="558E8833" w14:textId="77777777" w:rsidR="000E0985" w:rsidRPr="000E0985" w:rsidRDefault="000E0985" w:rsidP="000E0985"/>
          <w:p w14:paraId="5AE7DD73" w14:textId="77777777" w:rsidR="000E0985" w:rsidRPr="000E0985" w:rsidRDefault="000E0985" w:rsidP="000E0985"/>
          <w:p w14:paraId="5F45AF79" w14:textId="77777777" w:rsidR="000E0985" w:rsidRPr="000E0985" w:rsidRDefault="000E0985" w:rsidP="000E0985"/>
          <w:p w14:paraId="5FDFD68C" w14:textId="77777777" w:rsidR="000E0985" w:rsidRPr="000E0985" w:rsidRDefault="000E0985" w:rsidP="000E0985"/>
          <w:p w14:paraId="2F643AA8" w14:textId="77777777" w:rsidR="000E0985" w:rsidRPr="000E0985" w:rsidRDefault="000E0985" w:rsidP="000E0985"/>
          <w:p w14:paraId="13978087" w14:textId="77777777" w:rsidR="000E0985" w:rsidRPr="000E0985" w:rsidRDefault="000E0985" w:rsidP="000E0985"/>
          <w:p w14:paraId="1731BB38" w14:textId="77777777" w:rsidR="000E0985" w:rsidRPr="000E0985" w:rsidRDefault="000E0985" w:rsidP="000E0985"/>
          <w:p w14:paraId="09AD262D" w14:textId="77777777" w:rsidR="000E0985" w:rsidRPr="000E0985" w:rsidRDefault="000E0985" w:rsidP="000E0985"/>
          <w:p w14:paraId="19E40BC5" w14:textId="77777777" w:rsidR="000E0985" w:rsidRPr="000E0985" w:rsidRDefault="000E0985" w:rsidP="000E0985"/>
          <w:p w14:paraId="24B31C66" w14:textId="77777777" w:rsidR="000E0985" w:rsidRPr="000E0985" w:rsidRDefault="000E0985" w:rsidP="000E0985"/>
          <w:p w14:paraId="11A69A08" w14:textId="77777777" w:rsidR="000E0985" w:rsidRPr="000E0985" w:rsidRDefault="000E0985" w:rsidP="000E0985"/>
          <w:p w14:paraId="408ADC40" w14:textId="77777777" w:rsidR="000E0985" w:rsidRPr="000E0985" w:rsidRDefault="000E0985" w:rsidP="000E0985"/>
          <w:p w14:paraId="1953D0DA" w14:textId="77777777" w:rsidR="000E0985" w:rsidRPr="000E0985" w:rsidRDefault="000E0985" w:rsidP="000E0985"/>
          <w:p w14:paraId="226A3138" w14:textId="5EEEFF91" w:rsidR="009D36DE" w:rsidRPr="000E0985" w:rsidRDefault="009D36DE" w:rsidP="008B3DA5"/>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86DC51" w14:textId="2CF99D1B" w:rsidR="000044FA" w:rsidRPr="007D3E6E" w:rsidRDefault="008E3C19" w:rsidP="00DA6359">
            <w:pPr>
              <w:spacing w:before="60" w:after="60"/>
              <w:ind w:left="125" w:right="113"/>
              <w:jc w:val="both"/>
            </w:pPr>
            <w:r w:rsidRPr="007D3E6E">
              <w:t xml:space="preserve">     </w:t>
            </w:r>
            <w:r w:rsidR="000A17C2" w:rsidRPr="008B3DA5">
              <w:t xml:space="preserve"> </w:t>
            </w:r>
            <w:r w:rsidR="00563563">
              <w:t xml:space="preserve">Latvijas iemaksas </w:t>
            </w:r>
            <w:r w:rsidR="00DB2426">
              <w:t>ES</w:t>
            </w:r>
            <w:r w:rsidR="00563563">
              <w:t xml:space="preserve"> budžetā tiek plānotas a</w:t>
            </w:r>
            <w:r w:rsidR="000A17C2" w:rsidRPr="008B3DA5">
              <w:t>pakšprogramm</w:t>
            </w:r>
            <w:r w:rsidR="00563563">
              <w:t>ā</w:t>
            </w:r>
            <w:r w:rsidR="000A17C2" w:rsidRPr="008B3DA5">
              <w:t xml:space="preserve"> 41</w:t>
            </w:r>
            <w:r w:rsidR="009D36DE" w:rsidRPr="008B3DA5">
              <w:t>.</w:t>
            </w:r>
            <w:r w:rsidR="000A17C2" w:rsidRPr="008B3DA5">
              <w:t>01</w:t>
            </w:r>
            <w:r w:rsidR="009D36DE" w:rsidRPr="008B3DA5">
              <w:t xml:space="preserve">.00 </w:t>
            </w:r>
            <w:r w:rsidR="009D36DE" w:rsidRPr="008B3DA5">
              <w:rPr>
                <w:bCs/>
              </w:rPr>
              <w:t>“</w:t>
            </w:r>
            <w:r w:rsidR="000A17C2" w:rsidRPr="008B3DA5">
              <w:t>Iemaksas Eiropas Kopienas budžetā</w:t>
            </w:r>
            <w:r w:rsidR="009D36DE" w:rsidRPr="008B3DA5">
              <w:rPr>
                <w:bCs/>
              </w:rPr>
              <w:t xml:space="preserve">” (turpmāk – </w:t>
            </w:r>
            <w:r w:rsidR="00E9156E" w:rsidRPr="008B3DA5">
              <w:rPr>
                <w:bCs/>
              </w:rPr>
              <w:t>41.01</w:t>
            </w:r>
            <w:r w:rsidR="009D36DE" w:rsidRPr="008B3DA5">
              <w:rPr>
                <w:bCs/>
              </w:rPr>
              <w:t xml:space="preserve">.00 </w:t>
            </w:r>
            <w:r w:rsidR="00964B8D" w:rsidRPr="008B3DA5">
              <w:rPr>
                <w:bCs/>
              </w:rPr>
              <w:t>apakš</w:t>
            </w:r>
            <w:r w:rsidR="009D36DE" w:rsidRPr="008B3DA5">
              <w:rPr>
                <w:bCs/>
              </w:rPr>
              <w:t>programma)</w:t>
            </w:r>
            <w:r w:rsidR="000A17C2" w:rsidRPr="008B3DA5">
              <w:rPr>
                <w:bCs/>
              </w:rPr>
              <w:t>, tādā veidā pildot saistības, ko Latvija k</w:t>
            </w:r>
            <w:r w:rsidR="008B3DA5" w:rsidRPr="008B3DA5">
              <w:rPr>
                <w:bCs/>
              </w:rPr>
              <w:t xml:space="preserve">ā </w:t>
            </w:r>
            <w:r w:rsidR="00DB2426">
              <w:rPr>
                <w:bCs/>
              </w:rPr>
              <w:t>ES</w:t>
            </w:r>
            <w:r w:rsidR="000A17C2" w:rsidRPr="008B3DA5">
              <w:rPr>
                <w:bCs/>
              </w:rPr>
              <w:t xml:space="preserve"> dalībvalsts ir apņēmusies pildīt, iestājoties </w:t>
            </w:r>
            <w:r w:rsidR="00DB2426">
              <w:rPr>
                <w:bCs/>
              </w:rPr>
              <w:t>ES</w:t>
            </w:r>
            <w:r w:rsidR="008B3DA5" w:rsidRPr="008B3DA5">
              <w:rPr>
                <w:bCs/>
              </w:rPr>
              <w:t xml:space="preserve"> (t.sk. </w:t>
            </w:r>
            <w:r w:rsidR="00DB2426">
              <w:rPr>
                <w:bCs/>
              </w:rPr>
              <w:t>ES</w:t>
            </w:r>
            <w:r w:rsidR="008B3DA5" w:rsidRPr="008B3DA5">
              <w:rPr>
                <w:bCs/>
              </w:rPr>
              <w:t xml:space="preserve"> </w:t>
            </w:r>
            <w:r w:rsidR="006835FE">
              <w:rPr>
                <w:bCs/>
              </w:rPr>
              <w:t>p</w:t>
            </w:r>
            <w:r w:rsidR="008B3DA5" w:rsidRPr="008B3DA5">
              <w:rPr>
                <w:bCs/>
              </w:rPr>
              <w:t>ašu resursu sistēmā)</w:t>
            </w:r>
            <w:r w:rsidR="009D36DE" w:rsidRPr="008B3DA5">
              <w:t>.</w:t>
            </w:r>
          </w:p>
          <w:p w14:paraId="6E865C03" w14:textId="62E73995" w:rsidR="00B340BE" w:rsidRDefault="008E3C19" w:rsidP="00DA6359">
            <w:pPr>
              <w:spacing w:before="60" w:after="60"/>
              <w:ind w:left="125" w:right="113"/>
              <w:jc w:val="both"/>
            </w:pPr>
            <w:r w:rsidRPr="007D3E6E">
              <w:t xml:space="preserve">     </w:t>
            </w:r>
            <w:r w:rsidR="009D36DE" w:rsidRPr="007D3E6E">
              <w:t xml:space="preserve">Likuma par </w:t>
            </w:r>
            <w:r w:rsidR="00DA6359">
              <w:t>b</w:t>
            </w:r>
            <w:r w:rsidR="009D36DE" w:rsidRPr="007D3E6E">
              <w:t>udžetu un finanšu vadību</w:t>
            </w:r>
            <w:r w:rsidR="00B340BE">
              <w:t>”</w:t>
            </w:r>
            <w:r w:rsidR="009D36DE" w:rsidRPr="007D3E6E">
              <w:t xml:space="preserve"> 9.panta </w:t>
            </w:r>
            <w:r w:rsidR="00B340BE">
              <w:t>četr</w:t>
            </w:r>
            <w:r w:rsidR="009D36DE" w:rsidRPr="007D3E6E">
              <w:t xml:space="preserve">padsmitās daļas 2.punkts nosaka tiesības finanšu ministram </w:t>
            </w:r>
            <w:r w:rsidR="00B340BE" w:rsidRPr="00B340BE">
              <w:t>palielināt gadskārtējā valsts budžeta likumā noteikto apropriāciju</w:t>
            </w:r>
            <w:r w:rsidR="00B340BE">
              <w:t xml:space="preserve"> </w:t>
            </w:r>
            <w:r w:rsidR="00DB2426">
              <w:t xml:space="preserve">ES </w:t>
            </w:r>
            <w:r w:rsidR="00B340BE" w:rsidRPr="00B340BE">
              <w:t xml:space="preserve">pašu resursu palielināšanai un </w:t>
            </w:r>
            <w:r w:rsidR="00B340BE">
              <w:t xml:space="preserve">norēķiniem ar </w:t>
            </w:r>
            <w:r w:rsidR="006835FE">
              <w:t>ES</w:t>
            </w:r>
            <w:r w:rsidR="00B340BE">
              <w:t xml:space="preserve">, </w:t>
            </w:r>
            <w:r w:rsidR="00B340BE" w:rsidRPr="00B340BE">
              <w:t>ja Saeimas Budžeta un finanšu (nodokļu) komisija piecu darba dienu laikā no attiecīgās informācijas saņemšanas ir izskatījusi to un nav iebildusi p</w:t>
            </w:r>
            <w:r w:rsidR="00DA6359">
              <w:t>ret apropriācijas palielinājumu.</w:t>
            </w:r>
          </w:p>
          <w:p w14:paraId="599C3EF9" w14:textId="7D84493C" w:rsidR="008B3DA5" w:rsidRDefault="008E3C19" w:rsidP="006835FE">
            <w:pPr>
              <w:tabs>
                <w:tab w:val="left" w:pos="4035"/>
              </w:tabs>
              <w:spacing w:before="60" w:after="60"/>
              <w:ind w:left="125" w:right="108"/>
              <w:jc w:val="both"/>
            </w:pPr>
            <w:r w:rsidRPr="007D3E6E">
              <w:t xml:space="preserve">     </w:t>
            </w:r>
            <w:r w:rsidR="00DA6359">
              <w:t>Savukārt Likuma par valsts budžetu 2019.gadam</w:t>
            </w:r>
            <w:r w:rsidR="00DA6359" w:rsidRPr="00DA6359">
              <w:t xml:space="preserve"> 27. pant</w:t>
            </w:r>
            <w:r w:rsidR="00DA6359">
              <w:t>s paredz f</w:t>
            </w:r>
            <w:r w:rsidR="00DA6359" w:rsidRPr="00DA6359">
              <w:t>inanšu ministram</w:t>
            </w:r>
            <w:r w:rsidR="00DA6359">
              <w:t xml:space="preserve"> atļaut</w:t>
            </w:r>
            <w:r w:rsidR="00DA6359" w:rsidRPr="00DA6359">
              <w:t xml:space="preserve"> veikt nepieciešamos maksājumus gadījumos, kad </w:t>
            </w:r>
            <w:r w:rsidR="006835FE">
              <w:t>ES</w:t>
            </w:r>
            <w:r w:rsidR="00DA6359" w:rsidRPr="00DA6359">
              <w:t xml:space="preserve"> iestāžu noteiktās Latvijas iemaksas </w:t>
            </w:r>
            <w:r w:rsidR="006835FE">
              <w:t>ES</w:t>
            </w:r>
            <w:r w:rsidR="00DA6359" w:rsidRPr="00DA6359">
              <w:t xml:space="preserve"> budžetā pārsniedz šajā likumā apstiprinātos apjomus</w:t>
            </w:r>
            <w:r w:rsidR="00DA6359">
              <w:t>.</w:t>
            </w:r>
          </w:p>
          <w:p w14:paraId="76403637" w14:textId="77777777" w:rsidR="009D36DE" w:rsidRPr="008B3DA5" w:rsidRDefault="009D36DE" w:rsidP="008B3DA5">
            <w:pPr>
              <w:jc w:val="center"/>
            </w:pPr>
          </w:p>
        </w:tc>
      </w:tr>
      <w:tr w:rsidR="00D6079A" w:rsidRPr="007D3E6E"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7D3E6E" w:rsidRDefault="00D6079A" w:rsidP="000044FA">
            <w:pPr>
              <w:spacing w:before="100" w:after="100"/>
            </w:pPr>
            <w:r w:rsidRPr="007D3E6E">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7D3E6E" w:rsidRDefault="00D6079A" w:rsidP="000044FA">
            <w:pPr>
              <w:spacing w:before="100" w:after="100"/>
            </w:pPr>
            <w:r w:rsidRPr="007D3E6E">
              <w:t xml:space="preserve">Pašreizējā situācija un problēmas, kuru risināšanai tiesību akta projekts izstrādāts, tiesiskā </w:t>
            </w:r>
            <w:r w:rsidRPr="007D3E6E">
              <w:lastRenderedPageBreak/>
              <w:t>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9B3583" w14:textId="77777777" w:rsidR="006B55BA" w:rsidRDefault="006B55BA" w:rsidP="006B55BA">
            <w:pPr>
              <w:spacing w:before="60" w:after="60"/>
              <w:ind w:left="125" w:right="113" w:firstLine="284"/>
              <w:jc w:val="both"/>
            </w:pPr>
            <w:r>
              <w:lastRenderedPageBreak/>
              <w:t xml:space="preserve">Likumā “Par valsts budžetu 2019.gadam” 41.01.00 apakšprogrammas finansējums ir plānots 272 560 000 </w:t>
            </w:r>
            <w:proofErr w:type="spellStart"/>
            <w:r w:rsidRPr="006B55BA">
              <w:rPr>
                <w:i/>
              </w:rPr>
              <w:t>euro</w:t>
            </w:r>
            <w:proofErr w:type="spellEnd"/>
            <w:r>
              <w:t xml:space="preserve">. </w:t>
            </w:r>
          </w:p>
          <w:p w14:paraId="7260AA4B" w14:textId="57CEC4E7" w:rsidR="006B55BA" w:rsidRDefault="006B55BA" w:rsidP="006B55BA">
            <w:pPr>
              <w:spacing w:before="60" w:after="60"/>
              <w:ind w:left="125" w:right="113" w:firstLine="284"/>
              <w:jc w:val="both"/>
            </w:pPr>
            <w:r>
              <w:t xml:space="preserve">Apakšprogrammas 41.01.00 mērķis ir nodrošināt Latvijas Republikas kā </w:t>
            </w:r>
            <w:r w:rsidR="006835FE">
              <w:t>ES</w:t>
            </w:r>
            <w:r>
              <w:t xml:space="preserve"> dalībvalsts saistību izpildi, piedaloties ES pašu resursu sistēmā.</w:t>
            </w:r>
          </w:p>
          <w:p w14:paraId="0EFA2911" w14:textId="4BCB5662" w:rsidR="006B55BA" w:rsidRDefault="006B55BA" w:rsidP="006B55BA">
            <w:pPr>
              <w:spacing w:before="60" w:after="60"/>
              <w:ind w:left="125" w:right="113" w:firstLine="284"/>
              <w:jc w:val="both"/>
            </w:pPr>
            <w:r>
              <w:lastRenderedPageBreak/>
              <w:t xml:space="preserve">Ja apakšprogrammā 41.01.00 ir nepietiekami finanšu līdzekļi līdz kārtējā gada beigām, tad Latvija nevar nodrošināt iemaksas </w:t>
            </w:r>
            <w:r w:rsidR="006835FE">
              <w:t>ES</w:t>
            </w:r>
            <w:r>
              <w:t xml:space="preserve"> budžetā pilnā apmērā.</w:t>
            </w:r>
          </w:p>
          <w:p w14:paraId="127A7059" w14:textId="58DC281B" w:rsidR="00BD7235" w:rsidRDefault="00BD7235" w:rsidP="006B55BA">
            <w:pPr>
              <w:spacing w:before="60" w:after="60"/>
              <w:ind w:left="125" w:right="113" w:firstLine="284"/>
              <w:jc w:val="both"/>
            </w:pPr>
            <w:r>
              <w:t>Saskaņā ar iedibināto praksi E</w:t>
            </w:r>
            <w:r w:rsidR="006B55BA">
              <w:t xml:space="preserve">iropas </w:t>
            </w:r>
            <w:r>
              <w:t>K</w:t>
            </w:r>
            <w:r w:rsidR="006B55BA">
              <w:t>omisija</w:t>
            </w:r>
            <w:r>
              <w:t xml:space="preserve"> ik gadu ierosina pārskatīt ES budžeta finansējumu, pamatojoties uz jaunākajām ekonomikas prognozēm, kas tiek pieņemtas Padomdevējas komitejas pašu resursu jautājumos (turpmāk – ACOR) sanāksmē. Pašu resursu atjaunoto prognožu izmantošana ir ikgadēja procedūra, lai uzlabotu ieņēmumu prognožu un attiecīgo maksājumu precizitāti, kurus dalībvalstīm pieprasa veikt budžeta gadā. </w:t>
            </w:r>
          </w:p>
          <w:p w14:paraId="7E34AE7D" w14:textId="5DA6F1E5" w:rsidR="00BD7235" w:rsidRDefault="00BD7235" w:rsidP="006B55BA">
            <w:pPr>
              <w:spacing w:before="60" w:after="60"/>
              <w:ind w:left="125" w:right="113" w:firstLine="284"/>
              <w:jc w:val="both"/>
            </w:pPr>
            <w:r>
              <w:t>Ar 2019.gada vispārējā budžeta grozījumu projektu (turpmāk – BGP) Nr.4 tiek ierosināts pārskatīt prognozi par</w:t>
            </w:r>
            <w:r w:rsidR="00DB2426">
              <w:t xml:space="preserve"> tradicionālajiem pašu resursiem (turpmāk – TPR)</w:t>
            </w:r>
            <w:r>
              <w:t xml:space="preserve">, kas jāiemaksā ES budžetā 2019.gadā, prognozi par 2019.gada </w:t>
            </w:r>
            <w:r w:rsidR="00DB2426">
              <w:t xml:space="preserve">pievienotās vērtības nodokļa (turpmāk – </w:t>
            </w:r>
            <w:r>
              <w:t>PVN</w:t>
            </w:r>
            <w:r w:rsidR="00DB2426">
              <w:t>) pašu resursa</w:t>
            </w:r>
            <w:r>
              <w:t xml:space="preserve"> un </w:t>
            </w:r>
            <w:r w:rsidR="00DB2426">
              <w:t xml:space="preserve">nacionālā kopienākuma (turpmāk – </w:t>
            </w:r>
            <w:r>
              <w:t>NKI</w:t>
            </w:r>
            <w:r w:rsidR="00DB2426">
              <w:t>) pašu resursa</w:t>
            </w:r>
            <w:r>
              <w:t xml:space="preserve"> bāzēm, kā arī atjaunot</w:t>
            </w:r>
            <w:r w:rsidR="00DB2426">
              <w:t xml:space="preserve"> b</w:t>
            </w:r>
            <w:r w:rsidR="00DB2426" w:rsidRPr="00DB2426">
              <w:t>udžeta nelīdzsvarotības korekcij</w:t>
            </w:r>
            <w:r w:rsidR="00DB2426">
              <w:t>u</w:t>
            </w:r>
            <w:r w:rsidR="00DB2426" w:rsidRPr="00DB2426">
              <w:t xml:space="preserve"> </w:t>
            </w:r>
            <w:r w:rsidR="00DB2426">
              <w:t>Apvienotajai Karalistei</w:t>
            </w:r>
            <w:r>
              <w:t xml:space="preserve"> </w:t>
            </w:r>
            <w:r w:rsidR="00DB2426">
              <w:t xml:space="preserve">(turpmāk - </w:t>
            </w:r>
            <w:r>
              <w:t>AK korekcija</w:t>
            </w:r>
            <w:r w:rsidR="00DB2426">
              <w:t>)</w:t>
            </w:r>
            <w:r>
              <w:t xml:space="preserve"> un citām dalībvalstīm piešķirtā bruto samazinājuma NKI iemaksas apjomu, kas iekļauti 2019.gada ES budžetā. Pārskatītās prognozes, kas ņemtas vērā BGP Nr.4, tika apstiprinātas ACOR 175.sanāksmē 2019.gada 24.maijā. </w:t>
            </w:r>
          </w:p>
          <w:p w14:paraId="4616FF66" w14:textId="5B2A22F5" w:rsidR="00BD7235" w:rsidRDefault="00BD7235" w:rsidP="006B55BA">
            <w:pPr>
              <w:spacing w:before="60" w:after="60"/>
              <w:ind w:left="125" w:right="113" w:firstLine="284"/>
              <w:jc w:val="both"/>
            </w:pPr>
            <w:r>
              <w:t xml:space="preserve">Pamatojoties uz BGP Nr.4 ietvaros minēto atjaunoto TPR prognozi, kā arī 2019.gada vispārējā ES budžeta un sākotnēji plānoto iemaksu izpildi, informējam, ka kārtējā gada ietvaros </w:t>
            </w:r>
            <w:r w:rsidRPr="006B55BA">
              <w:rPr>
                <w:b/>
              </w:rPr>
              <w:t xml:space="preserve">budžeta apakšprogrammā 41.01.00 ir nepieciešams papildu finansējums 15 415 470 </w:t>
            </w:r>
            <w:proofErr w:type="spellStart"/>
            <w:r w:rsidRPr="006B55BA">
              <w:rPr>
                <w:b/>
                <w:i/>
              </w:rPr>
              <w:t>euro</w:t>
            </w:r>
            <w:proofErr w:type="spellEnd"/>
            <w:r w:rsidRPr="006B55BA">
              <w:rPr>
                <w:b/>
              </w:rPr>
              <w:t xml:space="preserve"> apmērā.</w:t>
            </w:r>
          </w:p>
          <w:p w14:paraId="7B50CDFC" w14:textId="77777777" w:rsidR="00BD7235" w:rsidRDefault="00BD7235" w:rsidP="006B55BA">
            <w:pPr>
              <w:spacing w:before="60" w:after="60"/>
              <w:ind w:left="125" w:right="113" w:firstLine="284"/>
              <w:jc w:val="both"/>
            </w:pPr>
            <w:r>
              <w:t>Galvenie iemesli papildu finanšu līdzekļu nepieciešamībai ir:</w:t>
            </w:r>
          </w:p>
          <w:p w14:paraId="65FB25E5" w14:textId="218F58B3" w:rsidR="00BD7235" w:rsidRPr="006B55BA" w:rsidRDefault="00BD7235" w:rsidP="006B55BA">
            <w:pPr>
              <w:pStyle w:val="ListParagraph"/>
              <w:numPr>
                <w:ilvl w:val="0"/>
                <w:numId w:val="15"/>
              </w:numPr>
              <w:spacing w:before="60" w:after="60"/>
              <w:ind w:right="113"/>
              <w:jc w:val="both"/>
              <w:rPr>
                <w:b/>
              </w:rPr>
            </w:pPr>
            <w:r w:rsidRPr="006B55BA">
              <w:rPr>
                <w:b/>
              </w:rPr>
              <w:t>TPR prognožu pārskatīšana</w:t>
            </w:r>
          </w:p>
          <w:p w14:paraId="6EE9AB03" w14:textId="77777777" w:rsidR="00BD7235" w:rsidRDefault="00BD7235" w:rsidP="006B55BA">
            <w:pPr>
              <w:spacing w:before="60" w:after="60"/>
              <w:ind w:left="125" w:right="113" w:firstLine="284"/>
              <w:jc w:val="both"/>
            </w:pPr>
            <w:r>
              <w:t>Salīdzinājumā ar 2018.gada maijā apstiprināto prognozi 2019.gada prognozē ir izdarīti sekojoši grozījumi:</w:t>
            </w:r>
          </w:p>
          <w:p w14:paraId="155296B7" w14:textId="703FD0ED" w:rsidR="00BD7235" w:rsidRDefault="00BD7235" w:rsidP="006B55BA">
            <w:pPr>
              <w:spacing w:before="60" w:after="60"/>
              <w:ind w:left="125" w:right="113" w:firstLine="284"/>
              <w:jc w:val="both"/>
            </w:pPr>
            <w:r>
              <w:t>-</w:t>
            </w:r>
            <w:r>
              <w:tab/>
              <w:t xml:space="preserve">Latvijas TPR iemaksas 2019.gada ES budžetā ir palielinājušās par </w:t>
            </w:r>
            <w:r w:rsidRPr="00E72AB6">
              <w:rPr>
                <w:b/>
              </w:rPr>
              <w:t xml:space="preserve">8 339 882 </w:t>
            </w:r>
            <w:proofErr w:type="spellStart"/>
            <w:r w:rsidRPr="00E72AB6">
              <w:rPr>
                <w:b/>
                <w:i/>
              </w:rPr>
              <w:t>euro</w:t>
            </w:r>
            <w:proofErr w:type="spellEnd"/>
            <w:r>
              <w:t>. Respektīvi, E</w:t>
            </w:r>
            <w:r w:rsidR="002E5C95">
              <w:t xml:space="preserve">iropas </w:t>
            </w:r>
            <w:r>
              <w:t>K</w:t>
            </w:r>
            <w:r w:rsidR="002E5C95">
              <w:t>omisija</w:t>
            </w:r>
            <w:r>
              <w:t xml:space="preserve"> prognozē, ka Latvijas TPR iemaksas 2019.gada ES budžetā kopumā būs  44 800 000 </w:t>
            </w:r>
            <w:proofErr w:type="spellStart"/>
            <w:r w:rsidRPr="00F47E7F">
              <w:rPr>
                <w:i/>
              </w:rPr>
              <w:t>euro</w:t>
            </w:r>
            <w:proofErr w:type="spellEnd"/>
            <w:r>
              <w:t xml:space="preserve"> apmērā iepriekš prognozēto 36 460 118 </w:t>
            </w:r>
            <w:proofErr w:type="spellStart"/>
            <w:r w:rsidRPr="00F47E7F">
              <w:rPr>
                <w:i/>
              </w:rPr>
              <w:t>euro</w:t>
            </w:r>
            <w:proofErr w:type="spellEnd"/>
            <w:r>
              <w:t xml:space="preserve"> vietā. Jāņem vērā, ka TPR iemaksas tiek maksātas pēc fakta nevis balstoties uz prognozi, tāpēc gala rezultātā gan kopējās ES, gan Latvijas TPR iemaksas var atšķirties no iepriekš prognozētajiem apjomiem;</w:t>
            </w:r>
          </w:p>
          <w:p w14:paraId="77C76A7A" w14:textId="14B6622D" w:rsidR="002E5C95" w:rsidRPr="006835FE" w:rsidRDefault="002E5C95" w:rsidP="006835FE">
            <w:pPr>
              <w:pStyle w:val="ListParagraph"/>
              <w:numPr>
                <w:ilvl w:val="0"/>
                <w:numId w:val="15"/>
              </w:numPr>
              <w:spacing w:before="60" w:after="60"/>
              <w:ind w:right="113"/>
              <w:jc w:val="both"/>
              <w:rPr>
                <w:b/>
              </w:rPr>
            </w:pPr>
            <w:r w:rsidRPr="006835FE">
              <w:rPr>
                <w:b/>
              </w:rPr>
              <w:t>Citi iemaksu ES budžetā ietekmējošie faktori</w:t>
            </w:r>
          </w:p>
          <w:p w14:paraId="6B279ED4" w14:textId="0A531F56" w:rsidR="00BD7235" w:rsidRDefault="00BD7235" w:rsidP="006B55BA">
            <w:pPr>
              <w:spacing w:before="60" w:after="60"/>
              <w:ind w:left="125" w:right="113" w:firstLine="284"/>
              <w:jc w:val="both"/>
            </w:pPr>
            <w:r>
              <w:t xml:space="preserve">Vēl, bez iepriekš minētā jāņem vērā, ka iemaksu apmēru ES budžetā ietekmē ļoti daudzi faktori un arī tādi prognozēšanas brīdī nezināmi faktori kā: </w:t>
            </w:r>
          </w:p>
          <w:p w14:paraId="6A050E12" w14:textId="77777777" w:rsidR="00BD7235" w:rsidRDefault="00BD7235" w:rsidP="006B55BA">
            <w:pPr>
              <w:spacing w:before="60" w:after="60"/>
              <w:ind w:left="125" w:right="113" w:firstLine="284"/>
              <w:jc w:val="both"/>
            </w:pPr>
            <w:r>
              <w:t>-</w:t>
            </w:r>
            <w:r>
              <w:tab/>
              <w:t>ES budžeta grozījumi (t.sk., kuri paredz uz nākošo n+1 gadu pārcelt iepriekšējā gada ES budžeta pārpalikumu vai iztrūkumu);</w:t>
            </w:r>
          </w:p>
          <w:p w14:paraId="5EF9A779" w14:textId="77777777" w:rsidR="00BD7235" w:rsidRDefault="00BD7235" w:rsidP="006B55BA">
            <w:pPr>
              <w:spacing w:before="60" w:after="60"/>
              <w:ind w:left="125" w:right="113" w:firstLine="284"/>
              <w:jc w:val="both"/>
            </w:pPr>
            <w:r>
              <w:t>-</w:t>
            </w:r>
            <w:r>
              <w:tab/>
              <w:t>citu ES budžeta ieņēmumu apmērs (iekasētās soda naudas, kavējumu procenti, iepriekšējā gada ES budžeta izpildes pārpalikums u.tml.), jo ES budžets netiek finansēts vienīgi ar dalībvalstu iemaksām. Ja citi ES budžeta ieņēmumi pieaug, iemaksas ES budžetā samazinās;</w:t>
            </w:r>
          </w:p>
          <w:p w14:paraId="2A9AAC1E" w14:textId="77777777" w:rsidR="00BD7235" w:rsidRDefault="00BD7235" w:rsidP="006B55BA">
            <w:pPr>
              <w:spacing w:before="60" w:after="60"/>
              <w:ind w:left="125" w:right="113" w:firstLine="284"/>
              <w:jc w:val="both"/>
            </w:pPr>
            <w:r>
              <w:t>-</w:t>
            </w:r>
            <w:r>
              <w:tab/>
              <w:t xml:space="preserve">korekcijas maksājuma apmērs, kas tiek veikts, balstoties uz faktiskajiem PVN un NKI bāzes apjomiem par iepriekšējiem </w:t>
            </w:r>
            <w:r>
              <w:lastRenderedPageBreak/>
              <w:t>saimnieciskajiem gadiem. Tam var būt gan iemaksas samazinoša, gan iemaksas palielinoša ietekme atkarībā no tā, kāda ir faktisko un prognozēto PVN un NKI bāžu atšķirība.</w:t>
            </w:r>
          </w:p>
          <w:p w14:paraId="0AC9C89A" w14:textId="77777777" w:rsidR="00BD7235" w:rsidRDefault="00BD7235" w:rsidP="006B55BA">
            <w:pPr>
              <w:spacing w:before="60" w:after="60"/>
              <w:ind w:left="125" w:right="113" w:firstLine="284"/>
              <w:jc w:val="both"/>
            </w:pPr>
            <w:r>
              <w:t>-</w:t>
            </w:r>
            <w:r>
              <w:tab/>
              <w:t>ES dalībvalstu fondu līdzekļu apguves apjomu novirze no plānotajiem apjomiem. Ja dalībvalstis nespēj apgūt ES fondu līdzekļus 100% apmērā atbilstoši plānotajam, tad veidojas pārpalikums budžetā, kā rezultātā iemaksas ES budžetā samazinās un otrādi.</w:t>
            </w:r>
          </w:p>
          <w:p w14:paraId="7A217D48" w14:textId="0DC0D09D" w:rsidR="00BD7235" w:rsidRDefault="00BD7235" w:rsidP="006835FE">
            <w:pPr>
              <w:spacing w:before="60" w:after="60"/>
              <w:ind w:left="125" w:right="113"/>
              <w:jc w:val="both"/>
            </w:pPr>
            <w:r>
              <w:t>Līdz ar to iemaksu apmērs gada ietvaros ir svārstīgs un tas var gan būtiski palielināties, gan samazināties.</w:t>
            </w:r>
            <w:r w:rsidR="00D35326">
              <w:t xml:space="preserve"> </w:t>
            </w:r>
            <w:r w:rsidR="00D35326" w:rsidRPr="00D35326">
              <w:t xml:space="preserve">Ņemot vērā iepriekš minēto, vēl papildus iemaksu palielinājumam, kas izriet no TPR prognozes pārskatīšanas, uz šo brīdi tiek prognozēts  </w:t>
            </w:r>
            <w:r w:rsidR="00D35326" w:rsidRPr="00D35326">
              <w:rPr>
                <w:b/>
              </w:rPr>
              <w:t xml:space="preserve">7 075 588 </w:t>
            </w:r>
            <w:proofErr w:type="spellStart"/>
            <w:r w:rsidR="00D35326" w:rsidRPr="00D35326">
              <w:rPr>
                <w:b/>
                <w:i/>
              </w:rPr>
              <w:t>euro</w:t>
            </w:r>
            <w:proofErr w:type="spellEnd"/>
            <w:r w:rsidR="00D35326" w:rsidRPr="00D35326">
              <w:t xml:space="preserve">  iztrūkums.</w:t>
            </w:r>
          </w:p>
          <w:p w14:paraId="47875AC4" w14:textId="77777777" w:rsidR="006835FE" w:rsidRDefault="006835FE" w:rsidP="006835FE">
            <w:pPr>
              <w:spacing w:before="60" w:after="60"/>
              <w:ind w:left="125" w:right="113"/>
              <w:jc w:val="both"/>
            </w:pPr>
          </w:p>
          <w:p w14:paraId="37091B36" w14:textId="77A757C9" w:rsidR="00BD7235" w:rsidRPr="006835FE" w:rsidRDefault="002F4A0D" w:rsidP="006B55BA">
            <w:pPr>
              <w:spacing w:before="60" w:after="60"/>
              <w:ind w:left="125" w:right="113" w:firstLine="284"/>
              <w:jc w:val="both"/>
              <w:rPr>
                <w:b/>
                <w:u w:val="single"/>
              </w:rPr>
            </w:pPr>
            <w:r>
              <w:rPr>
                <w:b/>
              </w:rPr>
              <w:t>Rezultātā k</w:t>
            </w:r>
            <w:r w:rsidR="00BD7235" w:rsidRPr="006835FE">
              <w:rPr>
                <w:b/>
              </w:rPr>
              <w:t xml:space="preserve">opējā iztrūkuma summa Latvijas iemaksām 2019.gada </w:t>
            </w:r>
            <w:r w:rsidR="00B270FD" w:rsidRPr="006835FE">
              <w:rPr>
                <w:b/>
              </w:rPr>
              <w:t xml:space="preserve">ES budžetā ir 15 415 470 </w:t>
            </w:r>
            <w:proofErr w:type="spellStart"/>
            <w:r w:rsidR="00B270FD" w:rsidRPr="006835FE">
              <w:rPr>
                <w:b/>
                <w:i/>
              </w:rPr>
              <w:t>euro</w:t>
            </w:r>
            <w:proofErr w:type="spellEnd"/>
            <w:r w:rsidR="00D35326">
              <w:rPr>
                <w:b/>
              </w:rPr>
              <w:t xml:space="preserve">, kas veidojas no pārskatītās TPR prognozes (8 339 882 </w:t>
            </w:r>
            <w:proofErr w:type="spellStart"/>
            <w:r w:rsidR="00D35326">
              <w:rPr>
                <w:b/>
              </w:rPr>
              <w:t>euro</w:t>
            </w:r>
            <w:proofErr w:type="spellEnd"/>
            <w:r w:rsidR="00D35326">
              <w:rPr>
                <w:b/>
              </w:rPr>
              <w:t xml:space="preserve">) saskaņā ar BGP Nr.4 un citiem iemaksu ES budžetā ietekmējošajiem faktoriem (7 075 588 </w:t>
            </w:r>
            <w:proofErr w:type="spellStart"/>
            <w:r w:rsidR="00D35326" w:rsidRPr="00D35326">
              <w:rPr>
                <w:b/>
                <w:i/>
              </w:rPr>
              <w:t>euro</w:t>
            </w:r>
            <w:proofErr w:type="spellEnd"/>
            <w:r w:rsidR="00D35326">
              <w:rPr>
                <w:b/>
              </w:rPr>
              <w:t>).</w:t>
            </w:r>
          </w:p>
          <w:p w14:paraId="7F9C6854" w14:textId="4A368101" w:rsidR="002E5C95" w:rsidRDefault="002E5C95" w:rsidP="00D35326">
            <w:pPr>
              <w:autoSpaceDE w:val="0"/>
              <w:autoSpaceDN w:val="0"/>
              <w:adjustRightInd w:val="0"/>
              <w:spacing w:before="60" w:after="60"/>
              <w:ind w:left="125" w:right="113" w:firstLine="284"/>
              <w:jc w:val="both"/>
              <w:rPr>
                <w:b/>
              </w:rPr>
            </w:pPr>
            <w:r w:rsidRPr="005E37B5">
              <w:t xml:space="preserve">Ņemot vērā iepriekš minēto, Finanšu ministrija ir sagatavojusi Ministru kabineta rīkojuma projektu, kas paredz palielināt apropriāciju </w:t>
            </w:r>
            <w:r>
              <w:rPr>
                <w:bCs/>
              </w:rPr>
              <w:t>41.01</w:t>
            </w:r>
            <w:r w:rsidRPr="005E37B5">
              <w:rPr>
                <w:bCs/>
              </w:rPr>
              <w:t xml:space="preserve">.00 </w:t>
            </w:r>
            <w:r>
              <w:rPr>
                <w:bCs/>
              </w:rPr>
              <w:t>apakšprogrammā</w:t>
            </w:r>
            <w:r w:rsidRPr="005E37B5">
              <w:rPr>
                <w:bCs/>
              </w:rPr>
              <w:t xml:space="preserve"> </w:t>
            </w:r>
            <w:r w:rsidRPr="00D35326">
              <w:t xml:space="preserve">15 415 470 </w:t>
            </w:r>
            <w:proofErr w:type="spellStart"/>
            <w:r w:rsidRPr="00D35326">
              <w:rPr>
                <w:i/>
              </w:rPr>
              <w:t>euro</w:t>
            </w:r>
            <w:proofErr w:type="spellEnd"/>
            <w:r>
              <w:rPr>
                <w:b/>
                <w:i/>
              </w:rPr>
              <w:t xml:space="preserve"> </w:t>
            </w:r>
            <w:r>
              <w:t>apmērā</w:t>
            </w:r>
            <w:r w:rsidRPr="005E37B5">
              <w:t xml:space="preserve">, lai būtu iespējams veikt </w:t>
            </w:r>
            <w:r>
              <w:t>maksājumus</w:t>
            </w:r>
            <w:r w:rsidR="006835FE">
              <w:t xml:space="preserve"> ES</w:t>
            </w:r>
            <w:r>
              <w:t xml:space="preserve"> 2019.gada budžetā pilnā apmērā.</w:t>
            </w:r>
          </w:p>
          <w:p w14:paraId="1BD16DB1" w14:textId="3D27E8B0" w:rsidR="00D6079A" w:rsidRPr="002E5C95" w:rsidRDefault="00341D9C" w:rsidP="00D35326">
            <w:pPr>
              <w:autoSpaceDE w:val="0"/>
              <w:autoSpaceDN w:val="0"/>
              <w:adjustRightInd w:val="0"/>
              <w:spacing w:before="60" w:after="60"/>
              <w:ind w:left="125" w:right="113" w:firstLine="284"/>
              <w:jc w:val="both"/>
              <w:rPr>
                <w:b/>
              </w:rPr>
            </w:pPr>
            <w:r w:rsidRPr="008B3DA5">
              <w:rPr>
                <w:iCs/>
              </w:rPr>
              <w:t xml:space="preserve">Ja netiks palielināta apropriācija, tad netiks nodrošināta iemaksu </w:t>
            </w:r>
            <w:r w:rsidR="006835FE">
              <w:rPr>
                <w:iCs/>
              </w:rPr>
              <w:t>ES</w:t>
            </w:r>
            <w:r w:rsidRPr="008B3DA5">
              <w:rPr>
                <w:iCs/>
              </w:rPr>
              <w:t xml:space="preserve"> budžetā sagatavošana un veikšana pilnā apmērā jau sākot ar š.g. oktobri, kā rezultātā tiks aprēķināti kavējuma procenti par savlaicīgi Eiropas Komisijas kontā nepārskaitītu pašu resursu maksājumu.</w:t>
            </w:r>
          </w:p>
        </w:tc>
      </w:tr>
      <w:tr w:rsidR="009D36DE" w:rsidRPr="007D3E6E"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7D3E6E" w:rsidRDefault="009D36DE" w:rsidP="000044FA">
            <w:pPr>
              <w:spacing w:before="100" w:after="100"/>
            </w:pPr>
            <w:r w:rsidRPr="007D3E6E">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7D3E6E" w:rsidRDefault="009D36DE" w:rsidP="000044FA">
            <w:pPr>
              <w:spacing w:before="100" w:after="100"/>
            </w:pPr>
            <w:r w:rsidRPr="007D3E6E">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7D3E6E" w:rsidRDefault="003B60B8" w:rsidP="006D245F">
            <w:pPr>
              <w:spacing w:before="100" w:after="100"/>
              <w:ind w:firstLine="123"/>
              <w:jc w:val="both"/>
            </w:pPr>
            <w:r w:rsidRPr="007D3E6E">
              <w:t>Nav</w:t>
            </w:r>
          </w:p>
        </w:tc>
      </w:tr>
      <w:tr w:rsidR="009D36DE" w:rsidRPr="007D3E6E"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7D3E6E" w:rsidRDefault="009D36DE" w:rsidP="000044FA">
            <w:pPr>
              <w:spacing w:before="100" w:after="100"/>
            </w:pPr>
            <w:r w:rsidRPr="007D3E6E">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7D3E6E" w:rsidRDefault="009D36DE" w:rsidP="000044FA">
            <w:pPr>
              <w:spacing w:before="100" w:after="100"/>
            </w:pPr>
            <w:r w:rsidRPr="007D3E6E">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AC4CF6" w14:textId="55EC1D2D" w:rsidR="002C3D81" w:rsidRDefault="002C3D81" w:rsidP="002C3D81">
            <w:pPr>
              <w:spacing w:before="100" w:after="100"/>
              <w:ind w:left="123" w:right="109" w:firstLine="283"/>
              <w:jc w:val="both"/>
              <w:rPr>
                <w:bCs/>
              </w:rPr>
            </w:pPr>
            <w:r>
              <w:rPr>
                <w:bCs/>
              </w:rPr>
              <w:t>Spēkā ir nacionālā pozīcija Nr.1 “</w:t>
            </w:r>
            <w:r w:rsidRPr="002C3D81">
              <w:rPr>
                <w:bCs/>
              </w:rPr>
              <w:t xml:space="preserve">2019.gada vispārējā </w:t>
            </w:r>
            <w:r>
              <w:rPr>
                <w:bCs/>
              </w:rPr>
              <w:t xml:space="preserve">budžeta grozījumu projekts Nr.4: </w:t>
            </w:r>
            <w:r w:rsidRPr="002C3D81">
              <w:rPr>
                <w:bCs/>
              </w:rPr>
              <w:t>Maksājumu un saistību apropriāciju samazinājums saskaņā ar atjaunotajām izdevumu vajadzībām un ieņēmumu atjauninājumu (pašu resursi)</w:t>
            </w:r>
            <w:r>
              <w:rPr>
                <w:bCs/>
              </w:rPr>
              <w:t>”, kas tika apstiprināta š.g. 16.jūlija Ministru kabineta sēdē.</w:t>
            </w:r>
          </w:p>
          <w:p w14:paraId="0A4EA747" w14:textId="6075B4F7" w:rsidR="00E72AB6" w:rsidRDefault="00E72AB6" w:rsidP="00644EA2">
            <w:pPr>
              <w:spacing w:before="100" w:after="100"/>
              <w:ind w:left="123" w:right="109" w:firstLine="283"/>
              <w:jc w:val="both"/>
              <w:rPr>
                <w:bCs/>
              </w:rPr>
            </w:pPr>
            <w:r w:rsidRPr="00E72AB6">
              <w:rPr>
                <w:bCs/>
              </w:rPr>
              <w:t xml:space="preserve">BGP Nr.4 </w:t>
            </w:r>
            <w:r>
              <w:rPr>
                <w:bCs/>
              </w:rPr>
              <w:t>kopējā finansiālā ietekme uz Latvijas pašu resursu iemaksām</w:t>
            </w:r>
            <w:r w:rsidRPr="00E72AB6">
              <w:rPr>
                <w:bCs/>
              </w:rPr>
              <w:t xml:space="preserve"> </w:t>
            </w:r>
            <w:r w:rsidR="006835FE">
              <w:rPr>
                <w:bCs/>
              </w:rPr>
              <w:t>ES</w:t>
            </w:r>
            <w:r w:rsidRPr="00E72AB6">
              <w:rPr>
                <w:bCs/>
              </w:rPr>
              <w:t xml:space="preserve"> 2019.gada </w:t>
            </w:r>
            <w:r>
              <w:rPr>
                <w:bCs/>
              </w:rPr>
              <w:t xml:space="preserve">budžetā ir </w:t>
            </w:r>
            <w:r w:rsidRPr="00E72AB6">
              <w:rPr>
                <w:bCs/>
              </w:rPr>
              <w:t xml:space="preserve">15 522 565 </w:t>
            </w:r>
            <w:proofErr w:type="spellStart"/>
            <w:r w:rsidRPr="00E72AB6">
              <w:rPr>
                <w:bCs/>
                <w:i/>
              </w:rPr>
              <w:t>euro</w:t>
            </w:r>
            <w:proofErr w:type="spellEnd"/>
            <w:r w:rsidRPr="00E72AB6">
              <w:rPr>
                <w:bCs/>
              </w:rPr>
              <w:t xml:space="preserve"> (atkarībā no TPR faktiskās iekasēšanas)</w:t>
            </w:r>
            <w:r>
              <w:rPr>
                <w:bCs/>
              </w:rPr>
              <w:t>.</w:t>
            </w:r>
            <w:r w:rsidR="002F4A0D">
              <w:rPr>
                <w:bCs/>
              </w:rPr>
              <w:t xml:space="preserve"> Kopējā </w:t>
            </w:r>
            <w:r w:rsidR="00F47E7F">
              <w:rPr>
                <w:bCs/>
              </w:rPr>
              <w:t xml:space="preserve">BGP Nr.4 </w:t>
            </w:r>
            <w:r w:rsidR="002F4A0D">
              <w:rPr>
                <w:bCs/>
              </w:rPr>
              <w:t>ietekme pašlaik netiek iekļauta</w:t>
            </w:r>
            <w:r w:rsidR="00F47E7F">
              <w:rPr>
                <w:bCs/>
              </w:rPr>
              <w:t xml:space="preserve"> </w:t>
            </w:r>
            <w:r w:rsidR="00F47E7F" w:rsidRPr="00F47E7F">
              <w:rPr>
                <w:bCs/>
              </w:rPr>
              <w:t>papildu nepieciešamā finansējuma aprēķin</w:t>
            </w:r>
            <w:r w:rsidR="00F47E7F">
              <w:rPr>
                <w:bCs/>
              </w:rPr>
              <w:t>ā</w:t>
            </w:r>
            <w:r w:rsidR="002F4A0D">
              <w:rPr>
                <w:bCs/>
              </w:rPr>
              <w:t xml:space="preserve">, jo </w:t>
            </w:r>
            <w:r w:rsidR="002F4A0D" w:rsidRPr="002F4A0D">
              <w:rPr>
                <w:bCs/>
              </w:rPr>
              <w:t>pastāv iespēja, ka BGP Nr.4 finansiālā ietekme pārcelsies uz 2020.gadu, izņemot to daļu, kas attiecas uz pārskatītajām TPR prognozēm, jo</w:t>
            </w:r>
            <w:r w:rsidR="00644EA2">
              <w:rPr>
                <w:bCs/>
              </w:rPr>
              <w:t xml:space="preserve"> </w:t>
            </w:r>
            <w:r w:rsidR="002F4A0D" w:rsidRPr="002F4A0D">
              <w:rPr>
                <w:bCs/>
              </w:rPr>
              <w:t>TPR jeb muitas nodokļu iemaksas ES budžetā katra dalībvalsts veic pēc fakta.</w:t>
            </w:r>
          </w:p>
          <w:p w14:paraId="25695E48" w14:textId="6B1413DD" w:rsidR="009D36DE" w:rsidRPr="007D3E6E" w:rsidRDefault="00E86357" w:rsidP="00E86357">
            <w:pPr>
              <w:spacing w:before="100" w:after="100"/>
              <w:ind w:left="123" w:right="109" w:firstLine="283"/>
              <w:jc w:val="both"/>
            </w:pPr>
            <w:r>
              <w:rPr>
                <w:bCs/>
              </w:rPr>
              <w:t>P</w:t>
            </w:r>
            <w:r w:rsidR="00B270FD" w:rsidRPr="00B270FD">
              <w:rPr>
                <w:bCs/>
              </w:rPr>
              <w:t xml:space="preserve">astāv iespēja, ka atlikusī BGP Nr.4 </w:t>
            </w:r>
            <w:r>
              <w:rPr>
                <w:bCs/>
              </w:rPr>
              <w:t>ietekme</w:t>
            </w:r>
            <w:r w:rsidR="00E72AB6">
              <w:rPr>
                <w:bCs/>
              </w:rPr>
              <w:t xml:space="preserve"> (7 182 683 </w:t>
            </w:r>
            <w:proofErr w:type="spellStart"/>
            <w:r w:rsidR="00E72AB6" w:rsidRPr="00E72AB6">
              <w:rPr>
                <w:bCs/>
                <w:i/>
              </w:rPr>
              <w:t>euro</w:t>
            </w:r>
            <w:proofErr w:type="spellEnd"/>
            <w:r w:rsidR="00E72AB6">
              <w:rPr>
                <w:bCs/>
              </w:rPr>
              <w:t>)</w:t>
            </w:r>
            <w:r>
              <w:rPr>
                <w:bCs/>
              </w:rPr>
              <w:t xml:space="preserve"> </w:t>
            </w:r>
            <w:r w:rsidR="00B270FD" w:rsidRPr="00B270FD">
              <w:rPr>
                <w:bCs/>
              </w:rPr>
              <w:t xml:space="preserve">ES 2019.gada budžetā tiks iestrādāta š.g. decembra ikmēneša maksājumā, ja Eiropas Parlaments tos apstiprinās līdz 2019.gada </w:t>
            </w:r>
            <w:r w:rsidR="00B270FD" w:rsidRPr="00B270FD">
              <w:rPr>
                <w:bCs/>
              </w:rPr>
              <w:lastRenderedPageBreak/>
              <w:t xml:space="preserve">15.novembrim. Tātad saistībā ar lielo nenoteiktību ar BGP Nr.4 apstiprināšanas procesu nav iespējams izslēgt variantu, ka budžeta grozījumu ietekme būs 2019.gadā, kas </w:t>
            </w:r>
            <w:r w:rsidR="00B270FD">
              <w:rPr>
                <w:bCs/>
              </w:rPr>
              <w:t xml:space="preserve">attiecīgi </w:t>
            </w:r>
            <w:r w:rsidR="00F47E7F">
              <w:rPr>
                <w:bCs/>
              </w:rPr>
              <w:t xml:space="preserve">apakšprogrammā 41.01.00 </w:t>
            </w:r>
            <w:r w:rsidR="00B270FD" w:rsidRPr="00B270FD">
              <w:rPr>
                <w:bCs/>
              </w:rPr>
              <w:t xml:space="preserve">kopējo iztrūkuma apjomu varētu palielināt līdz 22 598 153 </w:t>
            </w:r>
            <w:proofErr w:type="spellStart"/>
            <w:r w:rsidR="00B270FD" w:rsidRPr="00B270FD">
              <w:rPr>
                <w:bCs/>
                <w:i/>
              </w:rPr>
              <w:t>euro</w:t>
            </w:r>
            <w:proofErr w:type="spellEnd"/>
            <w:r w:rsidR="00B270FD" w:rsidRPr="00B270FD">
              <w:rPr>
                <w:bCs/>
              </w:rPr>
              <w:t>.</w:t>
            </w:r>
          </w:p>
        </w:tc>
      </w:tr>
    </w:tbl>
    <w:p w14:paraId="3DBDB41B" w14:textId="77777777" w:rsidR="009D36DE" w:rsidRPr="007D3E6E"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7D3E6E"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7D3E6E" w:rsidRDefault="009D36DE" w:rsidP="004B4E72">
            <w:pPr>
              <w:ind w:right="-19"/>
              <w:jc w:val="center"/>
              <w:rPr>
                <w:b/>
                <w:bCs/>
              </w:rPr>
            </w:pPr>
            <w:r w:rsidRPr="007D3E6E">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7D3E6E" w:rsidRDefault="009D36DE" w:rsidP="000044FA">
            <w:pPr>
              <w:ind w:firstLine="1113"/>
              <w:jc w:val="center"/>
              <w:rPr>
                <w:b/>
                <w:bCs/>
              </w:rPr>
            </w:pPr>
          </w:p>
        </w:tc>
      </w:tr>
      <w:tr w:rsidR="001611E9" w:rsidRPr="007D3E6E"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7D3E6E" w:rsidRDefault="001611E9" w:rsidP="004B4E72">
            <w:pPr>
              <w:jc w:val="center"/>
              <w:rPr>
                <w:b/>
                <w:bCs/>
                <w:highlight w:val="green"/>
              </w:rPr>
            </w:pPr>
            <w:r w:rsidRPr="007D3E6E">
              <w:t>Projekts šo jomu neskar</w:t>
            </w:r>
          </w:p>
        </w:tc>
        <w:tc>
          <w:tcPr>
            <w:tcW w:w="40" w:type="dxa"/>
            <w:shd w:val="clear" w:color="auto" w:fill="auto"/>
            <w:tcMar>
              <w:top w:w="0" w:type="dxa"/>
              <w:left w:w="10" w:type="dxa"/>
              <w:bottom w:w="0" w:type="dxa"/>
              <w:right w:w="10" w:type="dxa"/>
            </w:tcMar>
          </w:tcPr>
          <w:p w14:paraId="4731C3D0" w14:textId="77777777" w:rsidR="001611E9" w:rsidRPr="007D3E6E" w:rsidRDefault="001611E9" w:rsidP="000044FA">
            <w:pPr>
              <w:ind w:firstLine="1113"/>
              <w:jc w:val="center"/>
              <w:rPr>
                <w:b/>
                <w:bCs/>
                <w:highlight w:val="green"/>
              </w:rPr>
            </w:pPr>
          </w:p>
        </w:tc>
      </w:tr>
    </w:tbl>
    <w:p w14:paraId="2054AA73" w14:textId="77777777" w:rsidR="00064F32"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559"/>
        <w:gridCol w:w="1418"/>
        <w:gridCol w:w="992"/>
        <w:gridCol w:w="1134"/>
        <w:gridCol w:w="850"/>
        <w:gridCol w:w="993"/>
        <w:gridCol w:w="1134"/>
        <w:gridCol w:w="8"/>
      </w:tblGrid>
      <w:tr w:rsidR="00064F32" w14:paraId="2290E396" w14:textId="77777777" w:rsidTr="00962079">
        <w:trPr>
          <w:jc w:val="center"/>
        </w:trPr>
        <w:tc>
          <w:tcPr>
            <w:tcW w:w="9501" w:type="dxa"/>
            <w:gridSpan w:val="9"/>
          </w:tcPr>
          <w:p w14:paraId="6B1BBF90" w14:textId="77777777" w:rsidR="00064F32" w:rsidRPr="00E47E33" w:rsidRDefault="00064F32" w:rsidP="000044FA">
            <w:pPr>
              <w:pStyle w:val="NoSpacing"/>
              <w:jc w:val="center"/>
              <w:rPr>
                <w:rFonts w:ascii="Times New Roman" w:hAnsi="Times New Roman"/>
                <w:sz w:val="24"/>
                <w:szCs w:val="24"/>
                <w:lang w:eastAsia="lv-LV"/>
              </w:rPr>
            </w:pPr>
            <w:r w:rsidRPr="00E47E33">
              <w:rPr>
                <w:rFonts w:ascii="Times New Roman" w:hAnsi="Times New Roman"/>
                <w:b/>
                <w:sz w:val="24"/>
                <w:szCs w:val="24"/>
                <w:lang w:eastAsia="lv-LV"/>
              </w:rPr>
              <w:t>III. Tiesību akta projekta ietekme uz valsts budžetu un pašvaldību budžetiem</w:t>
            </w:r>
          </w:p>
        </w:tc>
      </w:tr>
      <w:tr w:rsidR="00064F32" w14:paraId="5EF10583" w14:textId="77777777" w:rsidTr="007D3E6E">
        <w:trPr>
          <w:jc w:val="center"/>
        </w:trPr>
        <w:tc>
          <w:tcPr>
            <w:tcW w:w="1413" w:type="dxa"/>
            <w:vMerge w:val="restart"/>
          </w:tcPr>
          <w:p w14:paraId="70055DE7" w14:textId="77777777" w:rsidR="00372421" w:rsidRDefault="00372421" w:rsidP="00372421">
            <w:pPr>
              <w:pStyle w:val="NoSpacing"/>
              <w:jc w:val="center"/>
              <w:rPr>
                <w:rFonts w:ascii="Times New Roman" w:hAnsi="Times New Roman"/>
                <w:sz w:val="24"/>
                <w:szCs w:val="24"/>
                <w:lang w:eastAsia="lv-LV"/>
              </w:rPr>
            </w:pPr>
          </w:p>
          <w:p w14:paraId="164D976C" w14:textId="77777777" w:rsidR="00372421" w:rsidRDefault="00372421" w:rsidP="00372421">
            <w:pPr>
              <w:pStyle w:val="NoSpacing"/>
              <w:jc w:val="center"/>
              <w:rPr>
                <w:rFonts w:ascii="Times New Roman" w:hAnsi="Times New Roman"/>
                <w:sz w:val="24"/>
                <w:szCs w:val="24"/>
                <w:lang w:eastAsia="lv-LV"/>
              </w:rPr>
            </w:pPr>
          </w:p>
          <w:p w14:paraId="7F95A946" w14:textId="77777777" w:rsidR="00372421" w:rsidRDefault="00372421" w:rsidP="00372421">
            <w:pPr>
              <w:pStyle w:val="NoSpacing"/>
              <w:jc w:val="center"/>
              <w:rPr>
                <w:rFonts w:ascii="Times New Roman" w:hAnsi="Times New Roman"/>
                <w:sz w:val="24"/>
                <w:szCs w:val="24"/>
                <w:lang w:eastAsia="lv-LV"/>
              </w:rPr>
            </w:pPr>
          </w:p>
          <w:p w14:paraId="1337BA23" w14:textId="77777777" w:rsidR="00372421" w:rsidRDefault="00372421" w:rsidP="00372421">
            <w:pPr>
              <w:pStyle w:val="NoSpacing"/>
              <w:jc w:val="center"/>
              <w:rPr>
                <w:rFonts w:ascii="Times New Roman" w:hAnsi="Times New Roman"/>
                <w:sz w:val="24"/>
                <w:szCs w:val="24"/>
                <w:lang w:eastAsia="lv-LV"/>
              </w:rPr>
            </w:pPr>
          </w:p>
          <w:p w14:paraId="2B77B71A" w14:textId="32842978" w:rsidR="00064F32" w:rsidRPr="00962079" w:rsidRDefault="00064F32" w:rsidP="00372421">
            <w:pPr>
              <w:pStyle w:val="NoSpacing"/>
              <w:jc w:val="center"/>
              <w:rPr>
                <w:rFonts w:ascii="Times New Roman" w:hAnsi="Times New Roman"/>
                <w:sz w:val="24"/>
                <w:szCs w:val="24"/>
                <w:lang w:eastAsia="lv-LV"/>
              </w:rPr>
            </w:pPr>
            <w:r w:rsidRPr="00962079">
              <w:rPr>
                <w:rFonts w:ascii="Times New Roman" w:hAnsi="Times New Roman"/>
                <w:sz w:val="24"/>
                <w:szCs w:val="24"/>
                <w:lang w:eastAsia="lv-LV"/>
              </w:rPr>
              <w:t>Rādītāji</w:t>
            </w:r>
          </w:p>
        </w:tc>
        <w:tc>
          <w:tcPr>
            <w:tcW w:w="2977" w:type="dxa"/>
            <w:gridSpan w:val="2"/>
            <w:vMerge w:val="restart"/>
          </w:tcPr>
          <w:p w14:paraId="2AB83078" w14:textId="77777777" w:rsidR="00064F32" w:rsidRPr="00962079" w:rsidRDefault="008322A7" w:rsidP="00372421">
            <w:pPr>
              <w:pStyle w:val="NoSpacing"/>
              <w:jc w:val="center"/>
              <w:rPr>
                <w:rFonts w:ascii="Times New Roman" w:hAnsi="Times New Roman"/>
                <w:sz w:val="24"/>
                <w:szCs w:val="24"/>
                <w:lang w:eastAsia="lv-LV"/>
              </w:rPr>
            </w:pPr>
            <w:r>
              <w:rPr>
                <w:rFonts w:ascii="Times New Roman" w:hAnsi="Times New Roman"/>
                <w:sz w:val="24"/>
                <w:szCs w:val="24"/>
                <w:lang w:eastAsia="lv-LV"/>
              </w:rPr>
              <w:t>2019</w:t>
            </w:r>
            <w:r w:rsidR="00064F32" w:rsidRPr="00962079">
              <w:rPr>
                <w:rFonts w:ascii="Times New Roman" w:hAnsi="Times New Roman"/>
                <w:sz w:val="24"/>
                <w:szCs w:val="24"/>
                <w:lang w:eastAsia="lv-LV"/>
              </w:rPr>
              <w:t>. gads</w:t>
            </w:r>
          </w:p>
        </w:tc>
        <w:tc>
          <w:tcPr>
            <w:tcW w:w="5111" w:type="dxa"/>
            <w:gridSpan w:val="6"/>
          </w:tcPr>
          <w:p w14:paraId="77284521" w14:textId="77777777" w:rsidR="00064F32" w:rsidRPr="0027336A" w:rsidRDefault="00064F32" w:rsidP="00372421">
            <w:pPr>
              <w:pStyle w:val="NoSpacing"/>
              <w:jc w:val="center"/>
              <w:rPr>
                <w:rFonts w:ascii="Times New Roman" w:hAnsi="Times New Roman"/>
                <w:lang w:eastAsia="lv-LV"/>
              </w:rPr>
            </w:pPr>
            <w:r w:rsidRPr="0027336A">
              <w:rPr>
                <w:rFonts w:ascii="Times New Roman" w:hAnsi="Times New Roman"/>
                <w:lang w:eastAsia="lv-LV"/>
              </w:rPr>
              <w:t>Turpmākie trīs gadi (</w:t>
            </w:r>
            <w:proofErr w:type="spellStart"/>
            <w:r w:rsidRPr="0027336A">
              <w:rPr>
                <w:rFonts w:ascii="Times New Roman" w:hAnsi="Times New Roman"/>
                <w:i/>
                <w:iCs/>
                <w:lang w:eastAsia="lv-LV"/>
              </w:rPr>
              <w:t>euro</w:t>
            </w:r>
            <w:proofErr w:type="spellEnd"/>
            <w:r w:rsidRPr="0027336A">
              <w:rPr>
                <w:rFonts w:ascii="Times New Roman" w:hAnsi="Times New Roman"/>
                <w:lang w:eastAsia="lv-LV"/>
              </w:rPr>
              <w:t>)</w:t>
            </w:r>
          </w:p>
        </w:tc>
      </w:tr>
      <w:tr w:rsidR="00064F32" w14:paraId="72722EC7" w14:textId="77777777" w:rsidTr="005E37B5">
        <w:trPr>
          <w:jc w:val="center"/>
        </w:trPr>
        <w:tc>
          <w:tcPr>
            <w:tcW w:w="1413" w:type="dxa"/>
            <w:vMerge/>
          </w:tcPr>
          <w:p w14:paraId="5F6D5C9D" w14:textId="77777777" w:rsidR="00064F32" w:rsidRPr="00962079" w:rsidRDefault="00064F32" w:rsidP="00372421">
            <w:pPr>
              <w:pStyle w:val="NoSpacing"/>
              <w:jc w:val="center"/>
              <w:rPr>
                <w:rFonts w:ascii="Times New Roman" w:hAnsi="Times New Roman"/>
                <w:sz w:val="24"/>
                <w:szCs w:val="24"/>
                <w:lang w:eastAsia="lv-LV"/>
              </w:rPr>
            </w:pPr>
          </w:p>
        </w:tc>
        <w:tc>
          <w:tcPr>
            <w:tcW w:w="2977" w:type="dxa"/>
            <w:gridSpan w:val="2"/>
            <w:vMerge/>
          </w:tcPr>
          <w:p w14:paraId="0186CDB4" w14:textId="77777777" w:rsidR="00064F32" w:rsidRPr="00962079" w:rsidRDefault="00064F32" w:rsidP="00372421">
            <w:pPr>
              <w:pStyle w:val="NoSpacing"/>
              <w:jc w:val="center"/>
              <w:rPr>
                <w:rFonts w:ascii="Times New Roman" w:hAnsi="Times New Roman"/>
                <w:sz w:val="24"/>
                <w:szCs w:val="24"/>
                <w:lang w:eastAsia="lv-LV"/>
              </w:rPr>
            </w:pPr>
          </w:p>
        </w:tc>
        <w:tc>
          <w:tcPr>
            <w:tcW w:w="2126" w:type="dxa"/>
            <w:gridSpan w:val="2"/>
          </w:tcPr>
          <w:p w14:paraId="2B8E1DA0" w14:textId="77777777" w:rsidR="00064F32" w:rsidRPr="004B0522" w:rsidRDefault="008322A7" w:rsidP="00372421">
            <w:pPr>
              <w:pStyle w:val="NoSpacing"/>
              <w:jc w:val="center"/>
              <w:rPr>
                <w:rFonts w:ascii="Times New Roman" w:hAnsi="Times New Roman"/>
                <w:sz w:val="20"/>
                <w:szCs w:val="20"/>
                <w:lang w:eastAsia="lv-LV"/>
              </w:rPr>
            </w:pPr>
            <w:r>
              <w:rPr>
                <w:rFonts w:ascii="Times New Roman" w:hAnsi="Times New Roman"/>
                <w:sz w:val="20"/>
                <w:szCs w:val="20"/>
                <w:lang w:eastAsia="lv-LV"/>
              </w:rPr>
              <w:t>2020</w:t>
            </w:r>
            <w:r w:rsidR="00064F32" w:rsidRPr="004B0522">
              <w:rPr>
                <w:rFonts w:ascii="Times New Roman" w:hAnsi="Times New Roman"/>
                <w:sz w:val="20"/>
                <w:szCs w:val="20"/>
                <w:lang w:eastAsia="lv-LV"/>
              </w:rPr>
              <w:t>.gads</w:t>
            </w:r>
          </w:p>
        </w:tc>
        <w:tc>
          <w:tcPr>
            <w:tcW w:w="1843" w:type="dxa"/>
            <w:gridSpan w:val="2"/>
          </w:tcPr>
          <w:p w14:paraId="0613558D" w14:textId="77777777" w:rsidR="00064F32" w:rsidRPr="0027336A" w:rsidRDefault="008322A7" w:rsidP="00372421">
            <w:pPr>
              <w:pStyle w:val="NoSpacing"/>
              <w:jc w:val="center"/>
              <w:rPr>
                <w:rFonts w:ascii="Times New Roman" w:hAnsi="Times New Roman"/>
                <w:lang w:eastAsia="lv-LV"/>
              </w:rPr>
            </w:pPr>
            <w:r>
              <w:rPr>
                <w:rFonts w:ascii="Times New Roman" w:hAnsi="Times New Roman"/>
                <w:lang w:eastAsia="lv-LV"/>
              </w:rPr>
              <w:t>2021</w:t>
            </w:r>
            <w:r w:rsidR="00064F32" w:rsidRPr="0027336A">
              <w:rPr>
                <w:rFonts w:ascii="Times New Roman" w:hAnsi="Times New Roman"/>
                <w:lang w:eastAsia="lv-LV"/>
              </w:rPr>
              <w:t>.gads</w:t>
            </w:r>
          </w:p>
        </w:tc>
        <w:tc>
          <w:tcPr>
            <w:tcW w:w="1142" w:type="dxa"/>
            <w:gridSpan w:val="2"/>
          </w:tcPr>
          <w:p w14:paraId="2EC5B9B5" w14:textId="77777777" w:rsidR="00064F32" w:rsidRPr="0027336A" w:rsidRDefault="00064F32" w:rsidP="00372421">
            <w:pPr>
              <w:pStyle w:val="NoSpacing"/>
              <w:jc w:val="center"/>
              <w:rPr>
                <w:rFonts w:ascii="Times New Roman" w:hAnsi="Times New Roman"/>
                <w:lang w:eastAsia="lv-LV"/>
              </w:rPr>
            </w:pPr>
            <w:r w:rsidRPr="0027336A">
              <w:rPr>
                <w:rFonts w:ascii="Times New Roman" w:hAnsi="Times New Roman"/>
                <w:lang w:eastAsia="lv-LV"/>
              </w:rPr>
              <w:t>202</w:t>
            </w:r>
            <w:r w:rsidR="008322A7">
              <w:rPr>
                <w:rFonts w:ascii="Times New Roman" w:hAnsi="Times New Roman"/>
                <w:lang w:eastAsia="lv-LV"/>
              </w:rPr>
              <w:t>2</w:t>
            </w:r>
            <w:r w:rsidRPr="0027336A">
              <w:rPr>
                <w:rFonts w:ascii="Times New Roman" w:hAnsi="Times New Roman"/>
                <w:lang w:eastAsia="lv-LV"/>
              </w:rPr>
              <w:t>.gads</w:t>
            </w:r>
          </w:p>
        </w:tc>
      </w:tr>
      <w:tr w:rsidR="00064F32" w14:paraId="704E5777" w14:textId="77777777" w:rsidTr="006B55BA">
        <w:trPr>
          <w:gridAfter w:val="1"/>
          <w:wAfter w:w="8" w:type="dxa"/>
          <w:jc w:val="center"/>
        </w:trPr>
        <w:tc>
          <w:tcPr>
            <w:tcW w:w="1413" w:type="dxa"/>
            <w:vMerge/>
          </w:tcPr>
          <w:p w14:paraId="21797E92" w14:textId="77777777" w:rsidR="00064F32" w:rsidRPr="00962079" w:rsidRDefault="00064F32" w:rsidP="00372421">
            <w:pPr>
              <w:pStyle w:val="NoSpacing"/>
              <w:jc w:val="center"/>
              <w:rPr>
                <w:rFonts w:ascii="Times New Roman" w:hAnsi="Times New Roman"/>
                <w:sz w:val="24"/>
                <w:szCs w:val="24"/>
                <w:lang w:eastAsia="lv-LV"/>
              </w:rPr>
            </w:pPr>
          </w:p>
        </w:tc>
        <w:tc>
          <w:tcPr>
            <w:tcW w:w="1559" w:type="dxa"/>
          </w:tcPr>
          <w:p w14:paraId="4CF9630E" w14:textId="77777777" w:rsidR="00064F32" w:rsidRPr="00962079" w:rsidRDefault="00064F32" w:rsidP="00372421">
            <w:pPr>
              <w:pStyle w:val="NoSpacing"/>
              <w:jc w:val="center"/>
              <w:rPr>
                <w:rFonts w:ascii="Times New Roman" w:hAnsi="Times New Roman"/>
                <w:sz w:val="24"/>
                <w:szCs w:val="24"/>
                <w:lang w:eastAsia="lv-LV"/>
              </w:rPr>
            </w:pPr>
            <w:r w:rsidRPr="00962079">
              <w:rPr>
                <w:rFonts w:ascii="Times New Roman" w:hAnsi="Times New Roman"/>
                <w:sz w:val="24"/>
                <w:szCs w:val="24"/>
                <w:lang w:eastAsia="lv-LV"/>
              </w:rPr>
              <w:t>saskaņā ar valsts budžetu kārtējam gadam</w:t>
            </w:r>
          </w:p>
        </w:tc>
        <w:tc>
          <w:tcPr>
            <w:tcW w:w="1418" w:type="dxa"/>
          </w:tcPr>
          <w:p w14:paraId="1659FCE2" w14:textId="77777777" w:rsidR="00064F32" w:rsidRPr="00962079" w:rsidRDefault="00064F32" w:rsidP="00372421">
            <w:pPr>
              <w:pStyle w:val="NoSpacing"/>
              <w:jc w:val="center"/>
              <w:rPr>
                <w:rFonts w:ascii="Times New Roman" w:hAnsi="Times New Roman"/>
                <w:sz w:val="24"/>
                <w:szCs w:val="24"/>
                <w:lang w:eastAsia="lv-LV"/>
              </w:rPr>
            </w:pPr>
            <w:r w:rsidRPr="00962079">
              <w:rPr>
                <w:rFonts w:ascii="Times New Roman" w:hAnsi="Times New Roman"/>
                <w:sz w:val="24"/>
                <w:szCs w:val="24"/>
                <w:lang w:eastAsia="lv-LV"/>
              </w:rPr>
              <w:t>izmaiņas kārtējā gadā, salīdzinot ar valsts budžetu kārtējam gadam</w:t>
            </w:r>
          </w:p>
        </w:tc>
        <w:tc>
          <w:tcPr>
            <w:tcW w:w="992" w:type="dxa"/>
          </w:tcPr>
          <w:p w14:paraId="15473A0E" w14:textId="77777777" w:rsidR="00064F32" w:rsidRPr="00962079" w:rsidRDefault="00064F32" w:rsidP="00372421">
            <w:pPr>
              <w:pStyle w:val="NoSpacing"/>
              <w:jc w:val="center"/>
              <w:rPr>
                <w:rFonts w:ascii="Times New Roman" w:hAnsi="Times New Roman"/>
                <w:lang w:eastAsia="lv-LV"/>
              </w:rPr>
            </w:pPr>
            <w:r w:rsidRPr="00962079">
              <w:rPr>
                <w:rFonts w:ascii="Times New Roman" w:hAnsi="Times New Roman"/>
                <w:lang w:eastAsia="lv-LV"/>
              </w:rPr>
              <w:t>saskaņā ar vidēja termiņa budžeta ietvaru</w:t>
            </w:r>
          </w:p>
        </w:tc>
        <w:tc>
          <w:tcPr>
            <w:tcW w:w="1134" w:type="dxa"/>
          </w:tcPr>
          <w:p w14:paraId="688AD74B" w14:textId="77777777" w:rsidR="00064F32" w:rsidRPr="00962079" w:rsidRDefault="00064F32" w:rsidP="00372421">
            <w:pPr>
              <w:pStyle w:val="NoSpacing"/>
              <w:jc w:val="center"/>
              <w:rPr>
                <w:rFonts w:ascii="Times New Roman" w:hAnsi="Times New Roman"/>
                <w:lang w:eastAsia="lv-LV"/>
              </w:rPr>
            </w:pPr>
            <w:r w:rsidRPr="00962079">
              <w:rPr>
                <w:rFonts w:ascii="Times New Roman" w:hAnsi="Times New Roman"/>
                <w:lang w:eastAsia="lv-LV"/>
              </w:rPr>
              <w:t>izmaiņas, salīdzinot ar vidēja termiņa budžeta ietvaru 20</w:t>
            </w:r>
            <w:r w:rsidR="00C142F2">
              <w:rPr>
                <w:rFonts w:ascii="Times New Roman" w:hAnsi="Times New Roman"/>
                <w:lang w:eastAsia="lv-LV"/>
              </w:rPr>
              <w:t>20</w:t>
            </w:r>
            <w:r w:rsidRPr="00962079">
              <w:rPr>
                <w:rFonts w:ascii="Times New Roman" w:hAnsi="Times New Roman"/>
                <w:lang w:eastAsia="lv-LV"/>
              </w:rPr>
              <w:t>. gadam</w:t>
            </w:r>
          </w:p>
        </w:tc>
        <w:tc>
          <w:tcPr>
            <w:tcW w:w="850" w:type="dxa"/>
          </w:tcPr>
          <w:p w14:paraId="31723888" w14:textId="77777777" w:rsidR="00064F32" w:rsidRPr="00962079" w:rsidRDefault="00064F32" w:rsidP="00372421">
            <w:pPr>
              <w:pStyle w:val="NoSpacing"/>
              <w:ind w:left="-102"/>
              <w:jc w:val="center"/>
              <w:rPr>
                <w:rFonts w:ascii="Times New Roman" w:hAnsi="Times New Roman"/>
                <w:lang w:eastAsia="lv-LV"/>
              </w:rPr>
            </w:pPr>
            <w:r w:rsidRPr="00962079">
              <w:rPr>
                <w:rFonts w:ascii="Times New Roman" w:hAnsi="Times New Roman"/>
                <w:lang w:eastAsia="lv-LV"/>
              </w:rPr>
              <w:t>saskaņā ar vidēja termiņa budžeta ietvaru</w:t>
            </w:r>
          </w:p>
        </w:tc>
        <w:tc>
          <w:tcPr>
            <w:tcW w:w="993" w:type="dxa"/>
          </w:tcPr>
          <w:p w14:paraId="05EF7C8C" w14:textId="77777777" w:rsidR="00064F32" w:rsidRPr="00962079" w:rsidRDefault="00064F32" w:rsidP="00372421">
            <w:pPr>
              <w:pStyle w:val="NoSpacing"/>
              <w:ind w:left="-102"/>
              <w:jc w:val="center"/>
              <w:rPr>
                <w:rFonts w:ascii="Times New Roman" w:hAnsi="Times New Roman"/>
                <w:lang w:eastAsia="lv-LV"/>
              </w:rPr>
            </w:pPr>
            <w:r w:rsidRPr="00962079">
              <w:rPr>
                <w:rFonts w:ascii="Times New Roman" w:hAnsi="Times New Roman"/>
                <w:lang w:eastAsia="lv-LV"/>
              </w:rPr>
              <w:t>izmaiņas, salīdzinot ar vid</w:t>
            </w:r>
            <w:r w:rsidR="00C142F2">
              <w:rPr>
                <w:rFonts w:ascii="Times New Roman" w:hAnsi="Times New Roman"/>
                <w:lang w:eastAsia="lv-LV"/>
              </w:rPr>
              <w:t>ēja termiņa budžeta ietvaru 2021</w:t>
            </w:r>
            <w:r w:rsidRPr="00962079">
              <w:rPr>
                <w:rFonts w:ascii="Times New Roman" w:hAnsi="Times New Roman"/>
                <w:lang w:eastAsia="lv-LV"/>
              </w:rPr>
              <w:t>. gadam</w:t>
            </w:r>
          </w:p>
        </w:tc>
        <w:tc>
          <w:tcPr>
            <w:tcW w:w="1134" w:type="dxa"/>
          </w:tcPr>
          <w:p w14:paraId="4F89B0BE" w14:textId="77777777" w:rsidR="00064F32" w:rsidRPr="00962079" w:rsidRDefault="00064F32" w:rsidP="00372421">
            <w:pPr>
              <w:pStyle w:val="NoSpacing"/>
              <w:jc w:val="center"/>
              <w:rPr>
                <w:rFonts w:ascii="Times New Roman" w:hAnsi="Times New Roman"/>
                <w:lang w:eastAsia="lv-LV"/>
              </w:rPr>
            </w:pPr>
            <w:r w:rsidRPr="00962079">
              <w:rPr>
                <w:rFonts w:ascii="Times New Roman" w:hAnsi="Times New Roman"/>
                <w:lang w:eastAsia="lv-LV"/>
              </w:rPr>
              <w:t>izmaiņas, salīdzinot ar vidēja termiņa budžeta ietvaru 202</w:t>
            </w:r>
            <w:r w:rsidR="00C142F2">
              <w:rPr>
                <w:rFonts w:ascii="Times New Roman" w:hAnsi="Times New Roman"/>
                <w:lang w:eastAsia="lv-LV"/>
              </w:rPr>
              <w:t>1</w:t>
            </w:r>
            <w:r w:rsidRPr="00962079">
              <w:rPr>
                <w:rFonts w:ascii="Times New Roman" w:hAnsi="Times New Roman"/>
                <w:lang w:eastAsia="lv-LV"/>
              </w:rPr>
              <w:t>. gadam</w:t>
            </w:r>
          </w:p>
        </w:tc>
      </w:tr>
      <w:tr w:rsidR="00064F32" w14:paraId="06738653" w14:textId="77777777" w:rsidTr="006B55BA">
        <w:trPr>
          <w:gridAfter w:val="1"/>
          <w:wAfter w:w="8" w:type="dxa"/>
          <w:jc w:val="center"/>
        </w:trPr>
        <w:tc>
          <w:tcPr>
            <w:tcW w:w="1413" w:type="dxa"/>
            <w:vAlign w:val="center"/>
          </w:tcPr>
          <w:p w14:paraId="087E6665"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1</w:t>
            </w:r>
          </w:p>
        </w:tc>
        <w:tc>
          <w:tcPr>
            <w:tcW w:w="1559" w:type="dxa"/>
            <w:vAlign w:val="center"/>
          </w:tcPr>
          <w:p w14:paraId="742AF566"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2</w:t>
            </w:r>
          </w:p>
        </w:tc>
        <w:tc>
          <w:tcPr>
            <w:tcW w:w="1418" w:type="dxa"/>
            <w:vAlign w:val="center"/>
          </w:tcPr>
          <w:p w14:paraId="2F15398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3</w:t>
            </w:r>
          </w:p>
        </w:tc>
        <w:tc>
          <w:tcPr>
            <w:tcW w:w="992" w:type="dxa"/>
            <w:vAlign w:val="center"/>
          </w:tcPr>
          <w:p w14:paraId="5C4D947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4</w:t>
            </w:r>
          </w:p>
        </w:tc>
        <w:tc>
          <w:tcPr>
            <w:tcW w:w="1134" w:type="dxa"/>
            <w:vAlign w:val="center"/>
          </w:tcPr>
          <w:p w14:paraId="27465714"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5</w:t>
            </w:r>
          </w:p>
        </w:tc>
        <w:tc>
          <w:tcPr>
            <w:tcW w:w="850" w:type="dxa"/>
            <w:vAlign w:val="center"/>
          </w:tcPr>
          <w:p w14:paraId="508761AC"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6</w:t>
            </w:r>
          </w:p>
        </w:tc>
        <w:tc>
          <w:tcPr>
            <w:tcW w:w="993" w:type="dxa"/>
            <w:vAlign w:val="center"/>
          </w:tcPr>
          <w:p w14:paraId="74BAE14B"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7</w:t>
            </w:r>
          </w:p>
        </w:tc>
        <w:tc>
          <w:tcPr>
            <w:tcW w:w="1134" w:type="dxa"/>
            <w:vAlign w:val="center"/>
          </w:tcPr>
          <w:p w14:paraId="4061E3F8"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8</w:t>
            </w:r>
          </w:p>
        </w:tc>
      </w:tr>
      <w:tr w:rsidR="000044FA" w:rsidRPr="007D3E6E" w14:paraId="6285ABA3" w14:textId="77777777" w:rsidTr="006B55BA">
        <w:trPr>
          <w:gridAfter w:val="1"/>
          <w:wAfter w:w="8" w:type="dxa"/>
          <w:jc w:val="center"/>
        </w:trPr>
        <w:tc>
          <w:tcPr>
            <w:tcW w:w="1413" w:type="dxa"/>
          </w:tcPr>
          <w:p w14:paraId="18F4E0D7"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1. Budžeta ieņēmumi</w:t>
            </w:r>
          </w:p>
        </w:tc>
        <w:tc>
          <w:tcPr>
            <w:tcW w:w="1559" w:type="dxa"/>
          </w:tcPr>
          <w:p w14:paraId="056264E9" w14:textId="6C70D4CB" w:rsidR="001611E9" w:rsidRPr="007D3E6E" w:rsidRDefault="00401C55" w:rsidP="00962079">
            <w:pPr>
              <w:pStyle w:val="NoSpacing"/>
              <w:ind w:left="-253"/>
              <w:jc w:val="right"/>
              <w:rPr>
                <w:rFonts w:ascii="Times New Roman" w:hAnsi="Times New Roman"/>
                <w:sz w:val="24"/>
                <w:szCs w:val="24"/>
                <w:lang w:eastAsia="lv-LV"/>
              </w:rPr>
            </w:pPr>
            <w:r w:rsidRPr="004C2D52">
              <w:rPr>
                <w:rFonts w:ascii="Times New Roman" w:hAnsi="Times New Roman"/>
                <w:b/>
                <w:sz w:val="24"/>
                <w:szCs w:val="24"/>
              </w:rPr>
              <w:t>272 560 000</w:t>
            </w:r>
          </w:p>
        </w:tc>
        <w:tc>
          <w:tcPr>
            <w:tcW w:w="1418" w:type="dxa"/>
          </w:tcPr>
          <w:p w14:paraId="2AC5F917"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07F1B4E9" w14:textId="77BAE109" w:rsidR="001611E9"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1134" w:type="dxa"/>
          </w:tcPr>
          <w:p w14:paraId="5EB6020B"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7795111" w14:textId="422514BA" w:rsidR="001611E9"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993" w:type="dxa"/>
          </w:tcPr>
          <w:p w14:paraId="5427B052"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1A42E02"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044FA" w:rsidRPr="007D3E6E" w14:paraId="6E564720" w14:textId="77777777" w:rsidTr="006B55BA">
        <w:trPr>
          <w:gridAfter w:val="1"/>
          <w:wAfter w:w="8" w:type="dxa"/>
          <w:jc w:val="center"/>
        </w:trPr>
        <w:tc>
          <w:tcPr>
            <w:tcW w:w="1413" w:type="dxa"/>
          </w:tcPr>
          <w:p w14:paraId="3D166CCC"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1.1. valsts pamatbudžets, tai skaitā ieņēmumi no maksas pakalpojumiem un citi pašu ieņēmumi</w:t>
            </w:r>
          </w:p>
        </w:tc>
        <w:tc>
          <w:tcPr>
            <w:tcW w:w="1559" w:type="dxa"/>
          </w:tcPr>
          <w:p w14:paraId="2058AD1F" w14:textId="63597D9A" w:rsidR="001611E9" w:rsidRPr="007D3E6E" w:rsidRDefault="00401C55" w:rsidP="00962079">
            <w:pPr>
              <w:pStyle w:val="NoSpacing"/>
              <w:ind w:left="-253"/>
              <w:jc w:val="right"/>
              <w:rPr>
                <w:rFonts w:ascii="Times New Roman" w:hAnsi="Times New Roman"/>
                <w:sz w:val="24"/>
                <w:szCs w:val="24"/>
                <w:lang w:eastAsia="lv-LV"/>
              </w:rPr>
            </w:pPr>
            <w:r w:rsidRPr="004C2D52">
              <w:rPr>
                <w:rFonts w:ascii="Times New Roman" w:hAnsi="Times New Roman"/>
                <w:b/>
                <w:sz w:val="24"/>
                <w:szCs w:val="24"/>
              </w:rPr>
              <w:t>272 560 000</w:t>
            </w:r>
          </w:p>
        </w:tc>
        <w:tc>
          <w:tcPr>
            <w:tcW w:w="1418" w:type="dxa"/>
          </w:tcPr>
          <w:p w14:paraId="04F63E08"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75B65C1F" w14:textId="03DF7526" w:rsidR="001611E9"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1134" w:type="dxa"/>
          </w:tcPr>
          <w:p w14:paraId="6FF8F956"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3D823D9F" w14:textId="1F262E06" w:rsidR="001611E9"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993" w:type="dxa"/>
          </w:tcPr>
          <w:p w14:paraId="4882CD76"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D10F365"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8556ED" w:rsidRPr="007D3E6E" w14:paraId="7AC8B340" w14:textId="77777777" w:rsidTr="00401C55">
        <w:trPr>
          <w:gridAfter w:val="1"/>
          <w:wAfter w:w="8" w:type="dxa"/>
          <w:jc w:val="center"/>
        </w:trPr>
        <w:tc>
          <w:tcPr>
            <w:tcW w:w="1413" w:type="dxa"/>
          </w:tcPr>
          <w:p w14:paraId="5FE16CE0" w14:textId="0454825F" w:rsidR="008556ED" w:rsidRPr="008556ED" w:rsidRDefault="008556ED" w:rsidP="000044FA">
            <w:pPr>
              <w:pStyle w:val="NoSpacing"/>
              <w:rPr>
                <w:rFonts w:ascii="Times New Roman" w:hAnsi="Times New Roman"/>
                <w:i/>
                <w:lang w:eastAsia="lv-LV"/>
              </w:rPr>
            </w:pPr>
            <w:r w:rsidRPr="008556ED">
              <w:rPr>
                <w:rFonts w:ascii="Times New Roman" w:hAnsi="Times New Roman"/>
                <w:i/>
                <w:lang w:eastAsia="lv-LV"/>
              </w:rPr>
              <w:t>Apakšprogramma 41.01.00 “Iemaksas Eiropas Kopienas budžetā”</w:t>
            </w:r>
          </w:p>
        </w:tc>
        <w:tc>
          <w:tcPr>
            <w:tcW w:w="1559" w:type="dxa"/>
          </w:tcPr>
          <w:p w14:paraId="661ABFA3" w14:textId="02DC74EA" w:rsidR="008556ED" w:rsidRPr="008556ED" w:rsidRDefault="008556ED" w:rsidP="00962079">
            <w:pPr>
              <w:pStyle w:val="NoSpacing"/>
              <w:ind w:left="-253"/>
              <w:jc w:val="right"/>
              <w:rPr>
                <w:rFonts w:ascii="Times New Roman" w:hAnsi="Times New Roman"/>
                <w:b/>
                <w:i/>
                <w:sz w:val="24"/>
                <w:szCs w:val="24"/>
              </w:rPr>
            </w:pPr>
            <w:r w:rsidRPr="008556ED">
              <w:rPr>
                <w:rFonts w:ascii="Times New Roman" w:hAnsi="Times New Roman"/>
                <w:b/>
                <w:i/>
                <w:sz w:val="24"/>
                <w:szCs w:val="24"/>
              </w:rPr>
              <w:t>272 560 000</w:t>
            </w:r>
          </w:p>
        </w:tc>
        <w:tc>
          <w:tcPr>
            <w:tcW w:w="1418" w:type="dxa"/>
          </w:tcPr>
          <w:p w14:paraId="2B36D07E" w14:textId="18F808E2" w:rsidR="008556ED" w:rsidRPr="007D3E6E" w:rsidRDefault="00644EA2" w:rsidP="000044FA">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992" w:type="dxa"/>
          </w:tcPr>
          <w:p w14:paraId="70E94A69" w14:textId="7C072708" w:rsidR="008556ED"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1134" w:type="dxa"/>
          </w:tcPr>
          <w:p w14:paraId="40D899C7" w14:textId="58E8CEC4" w:rsidR="008556ED" w:rsidRPr="007D3E6E" w:rsidRDefault="00644EA2" w:rsidP="000044FA">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850" w:type="dxa"/>
          </w:tcPr>
          <w:p w14:paraId="5090360B" w14:textId="6682B005" w:rsidR="008556ED"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993" w:type="dxa"/>
          </w:tcPr>
          <w:p w14:paraId="47761A2A" w14:textId="77777777" w:rsidR="008556ED" w:rsidRPr="007D3E6E" w:rsidRDefault="008556ED" w:rsidP="000044FA">
            <w:pPr>
              <w:pStyle w:val="NoSpacing"/>
              <w:jc w:val="right"/>
              <w:rPr>
                <w:rFonts w:ascii="Times New Roman" w:hAnsi="Times New Roman"/>
                <w:sz w:val="24"/>
                <w:szCs w:val="24"/>
                <w:lang w:eastAsia="lv-LV"/>
              </w:rPr>
            </w:pPr>
          </w:p>
        </w:tc>
        <w:tc>
          <w:tcPr>
            <w:tcW w:w="1134" w:type="dxa"/>
          </w:tcPr>
          <w:p w14:paraId="18D692C1" w14:textId="152DCE8D" w:rsidR="008556ED" w:rsidRPr="007D3E6E" w:rsidRDefault="00644EA2" w:rsidP="000044FA">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r>
      <w:tr w:rsidR="00064F32" w:rsidRPr="007D3E6E" w14:paraId="68E4CF1A" w14:textId="77777777" w:rsidTr="008556ED">
        <w:trPr>
          <w:gridAfter w:val="1"/>
          <w:wAfter w:w="8" w:type="dxa"/>
          <w:jc w:val="center"/>
        </w:trPr>
        <w:tc>
          <w:tcPr>
            <w:tcW w:w="1413" w:type="dxa"/>
          </w:tcPr>
          <w:p w14:paraId="7EF383DE"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1.2. valsts speciālais budžets</w:t>
            </w:r>
          </w:p>
        </w:tc>
        <w:tc>
          <w:tcPr>
            <w:tcW w:w="1559" w:type="dxa"/>
          </w:tcPr>
          <w:p w14:paraId="5F16D58E" w14:textId="177BD6B7" w:rsidR="00064F32" w:rsidRPr="007D3E6E" w:rsidRDefault="00964B8D" w:rsidP="00962079">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418" w:type="dxa"/>
          </w:tcPr>
          <w:p w14:paraId="0A0B96C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79A53E1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34BEFB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3826F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C3B58E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4BCF405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FFC3881" w14:textId="77777777" w:rsidTr="008556ED">
        <w:trPr>
          <w:gridAfter w:val="1"/>
          <w:wAfter w:w="8" w:type="dxa"/>
          <w:jc w:val="center"/>
        </w:trPr>
        <w:tc>
          <w:tcPr>
            <w:tcW w:w="1413" w:type="dxa"/>
          </w:tcPr>
          <w:p w14:paraId="2CEA15C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1.3. pašvaldību budžets</w:t>
            </w:r>
          </w:p>
        </w:tc>
        <w:tc>
          <w:tcPr>
            <w:tcW w:w="1559" w:type="dxa"/>
          </w:tcPr>
          <w:p w14:paraId="2B532EE4" w14:textId="77777777" w:rsidR="00064F32" w:rsidRPr="007D3E6E" w:rsidRDefault="00064F32"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8" w:type="dxa"/>
          </w:tcPr>
          <w:p w14:paraId="313ABD5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992" w:type="dxa"/>
          </w:tcPr>
          <w:p w14:paraId="357F7F23"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773D403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3D4C03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3DFCA9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B6BC1F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1C3F2C8B" w14:textId="77777777" w:rsidTr="008556ED">
        <w:trPr>
          <w:gridAfter w:val="1"/>
          <w:wAfter w:w="8" w:type="dxa"/>
          <w:jc w:val="center"/>
        </w:trPr>
        <w:tc>
          <w:tcPr>
            <w:tcW w:w="1413" w:type="dxa"/>
          </w:tcPr>
          <w:p w14:paraId="4A1093A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 Budžeta izdevumi</w:t>
            </w:r>
          </w:p>
        </w:tc>
        <w:tc>
          <w:tcPr>
            <w:tcW w:w="1559" w:type="dxa"/>
          </w:tcPr>
          <w:p w14:paraId="78FDC2B0" w14:textId="2D893244" w:rsidR="00064F32" w:rsidRPr="00341D9C" w:rsidRDefault="00341D9C" w:rsidP="00962079">
            <w:pPr>
              <w:pStyle w:val="NoSpacing"/>
              <w:ind w:left="-253"/>
              <w:jc w:val="right"/>
              <w:rPr>
                <w:rFonts w:ascii="Times New Roman" w:hAnsi="Times New Roman"/>
                <w:sz w:val="24"/>
                <w:szCs w:val="24"/>
                <w:lang w:eastAsia="lv-LV"/>
              </w:rPr>
            </w:pPr>
            <w:r w:rsidRPr="004C2D52">
              <w:rPr>
                <w:rFonts w:ascii="Times New Roman" w:hAnsi="Times New Roman"/>
                <w:b/>
                <w:sz w:val="24"/>
                <w:szCs w:val="24"/>
              </w:rPr>
              <w:t>272 560 000</w:t>
            </w:r>
            <w:r w:rsidRPr="002A3849">
              <w:rPr>
                <w:b/>
                <w:sz w:val="24"/>
                <w:szCs w:val="24"/>
              </w:rPr>
              <w:t xml:space="preserve"> </w:t>
            </w:r>
          </w:p>
        </w:tc>
        <w:tc>
          <w:tcPr>
            <w:tcW w:w="1418" w:type="dxa"/>
          </w:tcPr>
          <w:p w14:paraId="3A22C34A" w14:textId="16DC6F26" w:rsidR="00064F32" w:rsidRPr="005E37B5" w:rsidRDefault="00964B8D" w:rsidP="000044FA">
            <w:pPr>
              <w:pStyle w:val="NoSpacing"/>
              <w:jc w:val="right"/>
              <w:rPr>
                <w:rFonts w:ascii="Times New Roman" w:hAnsi="Times New Roman"/>
                <w:b/>
                <w:sz w:val="24"/>
                <w:szCs w:val="24"/>
                <w:lang w:eastAsia="lv-LV"/>
              </w:rPr>
            </w:pPr>
            <w:r w:rsidRPr="00964B8D">
              <w:rPr>
                <w:rFonts w:ascii="Times New Roman" w:hAnsi="Times New Roman"/>
                <w:b/>
                <w:sz w:val="24"/>
                <w:szCs w:val="24"/>
              </w:rPr>
              <w:t>15 415 470</w:t>
            </w:r>
          </w:p>
        </w:tc>
        <w:tc>
          <w:tcPr>
            <w:tcW w:w="992" w:type="dxa"/>
          </w:tcPr>
          <w:p w14:paraId="62AAB058" w14:textId="719239C8" w:rsidR="00064F32"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1134" w:type="dxa"/>
          </w:tcPr>
          <w:p w14:paraId="493BFE3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1D94E43E" w14:textId="26312B5E" w:rsidR="00064F32"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993" w:type="dxa"/>
          </w:tcPr>
          <w:p w14:paraId="7404EAF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B6509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5F14C625" w14:textId="77777777" w:rsidTr="008556ED">
        <w:trPr>
          <w:gridAfter w:val="1"/>
          <w:wAfter w:w="8" w:type="dxa"/>
          <w:jc w:val="center"/>
        </w:trPr>
        <w:tc>
          <w:tcPr>
            <w:tcW w:w="1413" w:type="dxa"/>
          </w:tcPr>
          <w:p w14:paraId="3E9C8911" w14:textId="77777777" w:rsidR="00064F32" w:rsidRPr="00962079" w:rsidRDefault="00064F32" w:rsidP="000044FA">
            <w:pPr>
              <w:pStyle w:val="NoSpacing"/>
              <w:rPr>
                <w:rFonts w:ascii="Times New Roman" w:hAnsi="Times New Roman"/>
                <w:sz w:val="21"/>
                <w:szCs w:val="21"/>
                <w:lang w:eastAsia="lv-LV"/>
              </w:rPr>
            </w:pPr>
            <w:r w:rsidRPr="00962079">
              <w:rPr>
                <w:rFonts w:ascii="Times New Roman" w:hAnsi="Times New Roman"/>
                <w:sz w:val="21"/>
                <w:szCs w:val="21"/>
                <w:lang w:eastAsia="lv-LV"/>
              </w:rPr>
              <w:t>2.1. valsts pamatbudžets</w:t>
            </w:r>
          </w:p>
        </w:tc>
        <w:tc>
          <w:tcPr>
            <w:tcW w:w="1559" w:type="dxa"/>
          </w:tcPr>
          <w:p w14:paraId="16433056" w14:textId="7C6E6815" w:rsidR="00064F32" w:rsidRPr="00341D9C" w:rsidRDefault="00341D9C" w:rsidP="008322A7">
            <w:pPr>
              <w:pStyle w:val="NoSpacing"/>
              <w:ind w:left="-253"/>
              <w:jc w:val="right"/>
              <w:rPr>
                <w:rFonts w:ascii="Times New Roman" w:hAnsi="Times New Roman"/>
                <w:sz w:val="24"/>
                <w:szCs w:val="24"/>
                <w:lang w:eastAsia="lv-LV"/>
              </w:rPr>
            </w:pPr>
            <w:r w:rsidRPr="004C2D52">
              <w:rPr>
                <w:rFonts w:ascii="Times New Roman" w:hAnsi="Times New Roman"/>
                <w:b/>
                <w:sz w:val="24"/>
                <w:szCs w:val="24"/>
              </w:rPr>
              <w:t>272 560 000</w:t>
            </w:r>
            <w:r w:rsidRPr="002A3849">
              <w:rPr>
                <w:b/>
                <w:sz w:val="24"/>
                <w:szCs w:val="24"/>
              </w:rPr>
              <w:t xml:space="preserve"> </w:t>
            </w:r>
          </w:p>
        </w:tc>
        <w:tc>
          <w:tcPr>
            <w:tcW w:w="1418" w:type="dxa"/>
          </w:tcPr>
          <w:p w14:paraId="2AA220F2" w14:textId="1BE20DFE" w:rsidR="00064F32" w:rsidRPr="005E37B5" w:rsidRDefault="00964B8D" w:rsidP="000044FA">
            <w:pPr>
              <w:pStyle w:val="NoSpacing"/>
              <w:jc w:val="right"/>
              <w:rPr>
                <w:rFonts w:ascii="Times New Roman" w:hAnsi="Times New Roman"/>
                <w:sz w:val="24"/>
                <w:szCs w:val="24"/>
                <w:lang w:eastAsia="lv-LV"/>
              </w:rPr>
            </w:pPr>
            <w:r w:rsidRPr="00964B8D">
              <w:rPr>
                <w:rFonts w:ascii="Times New Roman" w:hAnsi="Times New Roman"/>
                <w:b/>
                <w:sz w:val="24"/>
                <w:szCs w:val="24"/>
              </w:rPr>
              <w:t>15 415 470</w:t>
            </w:r>
          </w:p>
        </w:tc>
        <w:tc>
          <w:tcPr>
            <w:tcW w:w="992" w:type="dxa"/>
          </w:tcPr>
          <w:p w14:paraId="28D6A541" w14:textId="0FDF3DE6" w:rsidR="00064F32"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1134" w:type="dxa"/>
          </w:tcPr>
          <w:p w14:paraId="4D8E711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94C429" w14:textId="3BE3D746" w:rsidR="00064F32"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993" w:type="dxa"/>
          </w:tcPr>
          <w:p w14:paraId="2236461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72AC6A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5DAFDD09" w14:textId="77777777" w:rsidTr="008556ED">
        <w:trPr>
          <w:gridAfter w:val="1"/>
          <w:wAfter w:w="8" w:type="dxa"/>
          <w:jc w:val="center"/>
        </w:trPr>
        <w:tc>
          <w:tcPr>
            <w:tcW w:w="1413" w:type="dxa"/>
          </w:tcPr>
          <w:p w14:paraId="3B02577A" w14:textId="680BE5DD" w:rsidR="00E16501" w:rsidRPr="00962079" w:rsidRDefault="000A17C2" w:rsidP="000044FA">
            <w:pPr>
              <w:pStyle w:val="NoSpacing"/>
              <w:rPr>
                <w:rFonts w:ascii="Times New Roman" w:hAnsi="Times New Roman"/>
                <w:i/>
                <w:lang w:eastAsia="lv-LV"/>
              </w:rPr>
            </w:pPr>
            <w:r>
              <w:rPr>
                <w:rFonts w:ascii="Times New Roman" w:hAnsi="Times New Roman"/>
                <w:i/>
                <w:lang w:eastAsia="lv-LV"/>
              </w:rPr>
              <w:t xml:space="preserve">Apakšprogramma 41.01.00 “Iemaksas </w:t>
            </w:r>
            <w:r>
              <w:rPr>
                <w:rFonts w:ascii="Times New Roman" w:hAnsi="Times New Roman"/>
                <w:i/>
                <w:lang w:eastAsia="lv-LV"/>
              </w:rPr>
              <w:lastRenderedPageBreak/>
              <w:t>Eiropas Kopienas budžetā”</w:t>
            </w:r>
          </w:p>
        </w:tc>
        <w:tc>
          <w:tcPr>
            <w:tcW w:w="1559" w:type="dxa"/>
          </w:tcPr>
          <w:p w14:paraId="63E2BB95" w14:textId="1415FDCC" w:rsidR="00E16501" w:rsidRPr="007D3E6E" w:rsidRDefault="000A17C2" w:rsidP="00962079">
            <w:pPr>
              <w:pStyle w:val="NoSpacing"/>
              <w:ind w:left="-253"/>
              <w:jc w:val="right"/>
              <w:rPr>
                <w:rFonts w:ascii="Times New Roman" w:hAnsi="Times New Roman"/>
                <w:i/>
                <w:sz w:val="24"/>
                <w:szCs w:val="24"/>
                <w:lang w:eastAsia="lv-LV"/>
              </w:rPr>
            </w:pPr>
            <w:r>
              <w:rPr>
                <w:rFonts w:ascii="Times New Roman" w:hAnsi="Times New Roman"/>
                <w:i/>
                <w:sz w:val="24"/>
                <w:szCs w:val="24"/>
                <w:lang w:eastAsia="lv-LV"/>
              </w:rPr>
              <w:lastRenderedPageBreak/>
              <w:t>272 560 000</w:t>
            </w:r>
          </w:p>
        </w:tc>
        <w:tc>
          <w:tcPr>
            <w:tcW w:w="1418" w:type="dxa"/>
          </w:tcPr>
          <w:p w14:paraId="0C434249" w14:textId="350995ED" w:rsidR="00E16501" w:rsidRPr="005E37B5" w:rsidRDefault="00964B8D" w:rsidP="00DE1003">
            <w:pPr>
              <w:pStyle w:val="NoSpacing"/>
              <w:jc w:val="right"/>
              <w:rPr>
                <w:rFonts w:ascii="Times New Roman" w:hAnsi="Times New Roman"/>
                <w:b/>
                <w:i/>
                <w:sz w:val="24"/>
                <w:szCs w:val="24"/>
              </w:rPr>
            </w:pPr>
            <w:r w:rsidRPr="00964B8D">
              <w:rPr>
                <w:rFonts w:ascii="Times New Roman" w:hAnsi="Times New Roman"/>
                <w:b/>
                <w:i/>
                <w:sz w:val="24"/>
                <w:szCs w:val="24"/>
              </w:rPr>
              <w:t>15 415 470</w:t>
            </w:r>
          </w:p>
        </w:tc>
        <w:tc>
          <w:tcPr>
            <w:tcW w:w="992" w:type="dxa"/>
          </w:tcPr>
          <w:p w14:paraId="0B52A75D" w14:textId="624DFDBA" w:rsidR="00E16501"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1134" w:type="dxa"/>
          </w:tcPr>
          <w:p w14:paraId="7CEB6124" w14:textId="301BA5D8" w:rsidR="00E16501" w:rsidRPr="007D3E6E" w:rsidRDefault="00644EA2" w:rsidP="000044FA">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850" w:type="dxa"/>
          </w:tcPr>
          <w:p w14:paraId="6CFA916B" w14:textId="2A7F358D" w:rsidR="00E16501" w:rsidRPr="00644EA2" w:rsidRDefault="00644EA2" w:rsidP="000044FA">
            <w:pPr>
              <w:pStyle w:val="NoSpacing"/>
              <w:jc w:val="right"/>
              <w:rPr>
                <w:rFonts w:ascii="Times New Roman" w:hAnsi="Times New Roman"/>
                <w:sz w:val="24"/>
                <w:szCs w:val="24"/>
                <w:lang w:eastAsia="lv-LV"/>
              </w:rPr>
            </w:pPr>
            <w:r w:rsidRPr="00644EA2">
              <w:rPr>
                <w:rFonts w:ascii="Times New Roman" w:hAnsi="Times New Roman"/>
                <w:sz w:val="24"/>
                <w:szCs w:val="24"/>
                <w:lang w:eastAsia="lv-LV"/>
              </w:rPr>
              <w:t>0</w:t>
            </w:r>
          </w:p>
        </w:tc>
        <w:tc>
          <w:tcPr>
            <w:tcW w:w="993" w:type="dxa"/>
          </w:tcPr>
          <w:p w14:paraId="63A9B313" w14:textId="599E0ECC" w:rsidR="00E16501" w:rsidRPr="007D3E6E" w:rsidRDefault="00644EA2" w:rsidP="000044FA">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0047CDD4" w14:textId="19DC8F07" w:rsidR="00E16501" w:rsidRPr="007D3E6E" w:rsidRDefault="00644EA2" w:rsidP="000044FA">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r>
      <w:tr w:rsidR="00064F32" w:rsidRPr="007D3E6E" w14:paraId="7FB0B2A6" w14:textId="77777777" w:rsidTr="008556ED">
        <w:trPr>
          <w:gridAfter w:val="1"/>
          <w:wAfter w:w="8" w:type="dxa"/>
          <w:jc w:val="center"/>
        </w:trPr>
        <w:tc>
          <w:tcPr>
            <w:tcW w:w="1413" w:type="dxa"/>
          </w:tcPr>
          <w:p w14:paraId="3EBF83C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2.2. valsts speciālais budžets</w:t>
            </w:r>
          </w:p>
        </w:tc>
        <w:tc>
          <w:tcPr>
            <w:tcW w:w="1559" w:type="dxa"/>
          </w:tcPr>
          <w:p w14:paraId="542E510A" w14:textId="3B2523F2" w:rsidR="00064F32" w:rsidRPr="007D3E6E" w:rsidRDefault="00253DCA" w:rsidP="00372421">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418" w:type="dxa"/>
          </w:tcPr>
          <w:p w14:paraId="0FE7C2E1"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992" w:type="dxa"/>
          </w:tcPr>
          <w:p w14:paraId="492BE7D6"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3469DC2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5C2E9A3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DFA4C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8C103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72F9969" w14:textId="77777777" w:rsidTr="008556ED">
        <w:trPr>
          <w:gridAfter w:val="1"/>
          <w:wAfter w:w="8" w:type="dxa"/>
          <w:jc w:val="center"/>
        </w:trPr>
        <w:tc>
          <w:tcPr>
            <w:tcW w:w="1413" w:type="dxa"/>
          </w:tcPr>
          <w:p w14:paraId="38C27707"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2.3. pašvaldību budžets</w:t>
            </w:r>
          </w:p>
        </w:tc>
        <w:tc>
          <w:tcPr>
            <w:tcW w:w="1559" w:type="dxa"/>
          </w:tcPr>
          <w:p w14:paraId="175D109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8" w:type="dxa"/>
          </w:tcPr>
          <w:p w14:paraId="68529B3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992" w:type="dxa"/>
          </w:tcPr>
          <w:p w14:paraId="441A7550"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613451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4E8B0C"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C3949B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CCCC85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rsidRPr="007D3E6E" w14:paraId="73CD7EDA" w14:textId="77777777" w:rsidTr="008556ED">
        <w:trPr>
          <w:gridAfter w:val="1"/>
          <w:wAfter w:w="8" w:type="dxa"/>
          <w:jc w:val="center"/>
        </w:trPr>
        <w:tc>
          <w:tcPr>
            <w:tcW w:w="1413" w:type="dxa"/>
          </w:tcPr>
          <w:p w14:paraId="381D3420"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3. Finansiālā ietekme</w:t>
            </w:r>
          </w:p>
        </w:tc>
        <w:tc>
          <w:tcPr>
            <w:tcW w:w="1559" w:type="dxa"/>
          </w:tcPr>
          <w:p w14:paraId="53658771" w14:textId="1154C3D2" w:rsidR="00253DCA" w:rsidRPr="008556ED" w:rsidRDefault="00401C55" w:rsidP="00253DCA">
            <w:pPr>
              <w:pStyle w:val="NoSpacing"/>
              <w:jc w:val="right"/>
              <w:rPr>
                <w:rFonts w:ascii="Times New Roman" w:hAnsi="Times New Roman"/>
                <w:sz w:val="24"/>
                <w:szCs w:val="24"/>
                <w:lang w:eastAsia="lv-LV"/>
              </w:rPr>
            </w:pPr>
            <w:r w:rsidRPr="008556ED">
              <w:rPr>
                <w:rFonts w:ascii="Times New Roman" w:hAnsi="Times New Roman"/>
                <w:sz w:val="24"/>
                <w:szCs w:val="24"/>
              </w:rPr>
              <w:t>0</w:t>
            </w:r>
            <w:r w:rsidR="00341D9C" w:rsidRPr="008556ED">
              <w:rPr>
                <w:rFonts w:ascii="Times New Roman" w:hAnsi="Times New Roman"/>
                <w:sz w:val="24"/>
                <w:szCs w:val="24"/>
              </w:rPr>
              <w:t xml:space="preserve"> </w:t>
            </w:r>
          </w:p>
        </w:tc>
        <w:tc>
          <w:tcPr>
            <w:tcW w:w="1418" w:type="dxa"/>
          </w:tcPr>
          <w:p w14:paraId="7909CF64" w14:textId="76873FCD" w:rsidR="00253DCA" w:rsidRPr="005E37B5" w:rsidRDefault="00253DCA" w:rsidP="00253DCA">
            <w:pPr>
              <w:ind w:left="-112"/>
              <w:jc w:val="right"/>
            </w:pPr>
            <w:r>
              <w:rPr>
                <w:b/>
              </w:rPr>
              <w:t>-</w:t>
            </w:r>
            <w:r w:rsidRPr="00964B8D">
              <w:rPr>
                <w:b/>
              </w:rPr>
              <w:t>15 415 470</w:t>
            </w:r>
          </w:p>
        </w:tc>
        <w:tc>
          <w:tcPr>
            <w:tcW w:w="992" w:type="dxa"/>
          </w:tcPr>
          <w:p w14:paraId="08662B43" w14:textId="77777777" w:rsidR="00253DCA" w:rsidRPr="005E37B5" w:rsidRDefault="00253DCA" w:rsidP="00253DC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52966D99"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FF772A0"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F5617C"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AA9812E"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rsidRPr="007D3E6E" w14:paraId="3363C3F7" w14:textId="77777777" w:rsidTr="008556ED">
        <w:trPr>
          <w:gridAfter w:val="1"/>
          <w:wAfter w:w="8" w:type="dxa"/>
          <w:jc w:val="center"/>
        </w:trPr>
        <w:tc>
          <w:tcPr>
            <w:tcW w:w="1413" w:type="dxa"/>
          </w:tcPr>
          <w:p w14:paraId="2D886A6E" w14:textId="77777777" w:rsidR="00253DCA" w:rsidRPr="00962079" w:rsidRDefault="00253DCA" w:rsidP="00253DCA">
            <w:pPr>
              <w:pStyle w:val="NoSpacing"/>
              <w:rPr>
                <w:rFonts w:ascii="Times New Roman" w:hAnsi="Times New Roman"/>
                <w:sz w:val="21"/>
                <w:szCs w:val="21"/>
                <w:lang w:eastAsia="lv-LV"/>
              </w:rPr>
            </w:pPr>
            <w:r w:rsidRPr="00962079">
              <w:rPr>
                <w:rFonts w:ascii="Times New Roman" w:hAnsi="Times New Roman"/>
                <w:sz w:val="21"/>
                <w:szCs w:val="21"/>
                <w:lang w:eastAsia="lv-LV"/>
              </w:rPr>
              <w:t>3.1. valsts pamatbudžets</w:t>
            </w:r>
          </w:p>
        </w:tc>
        <w:tc>
          <w:tcPr>
            <w:tcW w:w="1559" w:type="dxa"/>
          </w:tcPr>
          <w:p w14:paraId="6567D3E7" w14:textId="1ADDFCB4" w:rsidR="00253DCA" w:rsidRPr="008556ED" w:rsidRDefault="00401C55" w:rsidP="00253DCA">
            <w:pPr>
              <w:pStyle w:val="NoSpacing"/>
              <w:jc w:val="right"/>
              <w:rPr>
                <w:rFonts w:ascii="Times New Roman" w:hAnsi="Times New Roman"/>
                <w:sz w:val="24"/>
                <w:szCs w:val="24"/>
                <w:lang w:eastAsia="lv-LV"/>
              </w:rPr>
            </w:pPr>
            <w:r w:rsidRPr="008556ED">
              <w:rPr>
                <w:rFonts w:ascii="Times New Roman" w:hAnsi="Times New Roman"/>
                <w:sz w:val="24"/>
                <w:szCs w:val="24"/>
              </w:rPr>
              <w:t>0</w:t>
            </w:r>
            <w:r w:rsidR="00341D9C" w:rsidRPr="008556ED">
              <w:rPr>
                <w:rFonts w:ascii="Times New Roman" w:hAnsi="Times New Roman"/>
                <w:sz w:val="24"/>
                <w:szCs w:val="24"/>
              </w:rPr>
              <w:t xml:space="preserve"> </w:t>
            </w:r>
          </w:p>
        </w:tc>
        <w:tc>
          <w:tcPr>
            <w:tcW w:w="1418" w:type="dxa"/>
          </w:tcPr>
          <w:p w14:paraId="5B392BDE" w14:textId="143B36C6" w:rsidR="00253DCA" w:rsidRPr="005E37B5" w:rsidRDefault="00253DCA" w:rsidP="00253DCA">
            <w:pPr>
              <w:ind w:left="-112"/>
              <w:jc w:val="right"/>
            </w:pPr>
            <w:r>
              <w:rPr>
                <w:b/>
              </w:rPr>
              <w:t>-</w:t>
            </w:r>
            <w:r w:rsidRPr="00964B8D">
              <w:rPr>
                <w:b/>
              </w:rPr>
              <w:t>15 415 470</w:t>
            </w:r>
          </w:p>
        </w:tc>
        <w:tc>
          <w:tcPr>
            <w:tcW w:w="992" w:type="dxa"/>
          </w:tcPr>
          <w:p w14:paraId="3B54D384" w14:textId="77777777" w:rsidR="00253DCA" w:rsidRPr="005E37B5" w:rsidRDefault="00253DCA" w:rsidP="00253DC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043500F"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716338DF"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689B2A9"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B97A361"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rsidRPr="007D3E6E" w14:paraId="08C899AA" w14:textId="77777777" w:rsidTr="008556ED">
        <w:trPr>
          <w:gridAfter w:val="1"/>
          <w:wAfter w:w="8" w:type="dxa"/>
          <w:jc w:val="center"/>
        </w:trPr>
        <w:tc>
          <w:tcPr>
            <w:tcW w:w="1413" w:type="dxa"/>
          </w:tcPr>
          <w:p w14:paraId="15619ACC"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3.2. speciālais budžets</w:t>
            </w:r>
          </w:p>
        </w:tc>
        <w:tc>
          <w:tcPr>
            <w:tcW w:w="1559" w:type="dxa"/>
          </w:tcPr>
          <w:p w14:paraId="5C7C4333" w14:textId="2E73436E" w:rsidR="00253DCA" w:rsidRPr="007D3E6E" w:rsidRDefault="00253DCA" w:rsidP="00253DCA">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418" w:type="dxa"/>
          </w:tcPr>
          <w:p w14:paraId="262AD31F"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53F20CB3"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7DE10F6"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D3D705A"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690C155E"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F9CADEA"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rsidRPr="007D3E6E" w14:paraId="4AABF1C2" w14:textId="77777777" w:rsidTr="008556ED">
        <w:trPr>
          <w:gridAfter w:val="1"/>
          <w:wAfter w:w="8" w:type="dxa"/>
          <w:jc w:val="center"/>
        </w:trPr>
        <w:tc>
          <w:tcPr>
            <w:tcW w:w="1413" w:type="dxa"/>
          </w:tcPr>
          <w:p w14:paraId="12BBD651"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3.3. pašvaldību budžets</w:t>
            </w:r>
          </w:p>
        </w:tc>
        <w:tc>
          <w:tcPr>
            <w:tcW w:w="1559" w:type="dxa"/>
          </w:tcPr>
          <w:p w14:paraId="4B19A6CF"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8" w:type="dxa"/>
          </w:tcPr>
          <w:p w14:paraId="322134AF"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3EEEDD1D"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A57C92"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A8E17B"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0DEE9A7"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2B66776"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rsidRPr="007D3E6E" w14:paraId="25FC07B2" w14:textId="77777777" w:rsidTr="008556ED">
        <w:trPr>
          <w:gridAfter w:val="1"/>
          <w:wAfter w:w="8" w:type="dxa"/>
          <w:jc w:val="center"/>
        </w:trPr>
        <w:tc>
          <w:tcPr>
            <w:tcW w:w="1413" w:type="dxa"/>
          </w:tcPr>
          <w:p w14:paraId="41667BCA"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4. Finanšu līdzekļi papildu izdevumu finansēšanai (kompensējošu izdevumu samazinājumu norāda ar "+" zīmi)</w:t>
            </w:r>
          </w:p>
        </w:tc>
        <w:tc>
          <w:tcPr>
            <w:tcW w:w="1559" w:type="dxa"/>
          </w:tcPr>
          <w:p w14:paraId="13A7C5D5"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8" w:type="dxa"/>
          </w:tcPr>
          <w:p w14:paraId="265D40DE"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992" w:type="dxa"/>
          </w:tcPr>
          <w:p w14:paraId="628E38DF" w14:textId="0E994836" w:rsidR="00253DCA" w:rsidRPr="007D3E6E" w:rsidRDefault="008556ED" w:rsidP="00253DCA">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0528B402"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58E60E9" w14:textId="1BFAB40D" w:rsidR="00253DCA" w:rsidRPr="007D3E6E" w:rsidRDefault="008556ED" w:rsidP="00253DCA">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3" w:type="dxa"/>
          </w:tcPr>
          <w:p w14:paraId="42287641"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54D6A84"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rsidRPr="007D3E6E" w14:paraId="49558BB9" w14:textId="77777777" w:rsidTr="008556ED">
        <w:trPr>
          <w:gridAfter w:val="1"/>
          <w:wAfter w:w="8" w:type="dxa"/>
          <w:jc w:val="center"/>
        </w:trPr>
        <w:tc>
          <w:tcPr>
            <w:tcW w:w="1413" w:type="dxa"/>
          </w:tcPr>
          <w:p w14:paraId="50C004EA"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5. Precizēta finansiālā ietekme</w:t>
            </w:r>
          </w:p>
        </w:tc>
        <w:tc>
          <w:tcPr>
            <w:tcW w:w="1559" w:type="dxa"/>
            <w:vMerge w:val="restart"/>
          </w:tcPr>
          <w:p w14:paraId="71896942"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8" w:type="dxa"/>
          </w:tcPr>
          <w:p w14:paraId="3F980A87" w14:textId="26B67D6B" w:rsidR="00253DCA" w:rsidRPr="008556ED" w:rsidRDefault="008556ED" w:rsidP="00253DCA">
            <w:pPr>
              <w:pStyle w:val="NoSpacing"/>
              <w:jc w:val="right"/>
              <w:rPr>
                <w:rFonts w:ascii="Times New Roman" w:hAnsi="Times New Roman"/>
                <w:b/>
                <w:sz w:val="24"/>
                <w:szCs w:val="24"/>
                <w:lang w:eastAsia="lv-LV"/>
              </w:rPr>
            </w:pPr>
            <w:r w:rsidRPr="008556ED">
              <w:rPr>
                <w:rFonts w:ascii="Times New Roman" w:hAnsi="Times New Roman"/>
                <w:b/>
                <w:sz w:val="24"/>
                <w:szCs w:val="24"/>
              </w:rPr>
              <w:t>-15 415 470</w:t>
            </w:r>
          </w:p>
        </w:tc>
        <w:tc>
          <w:tcPr>
            <w:tcW w:w="992" w:type="dxa"/>
            <w:vMerge w:val="restart"/>
          </w:tcPr>
          <w:p w14:paraId="46D8B921" w14:textId="43A87236" w:rsidR="00253DCA" w:rsidRPr="007D3E6E" w:rsidRDefault="008556ED" w:rsidP="00253DCA">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034309E6"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val="restart"/>
          </w:tcPr>
          <w:p w14:paraId="3DDF670A" w14:textId="6379138F" w:rsidR="00253DCA" w:rsidRPr="007D3E6E" w:rsidRDefault="008556ED" w:rsidP="00253DCA">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3" w:type="dxa"/>
          </w:tcPr>
          <w:p w14:paraId="3E80C41A"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EFDF47"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rsidRPr="007D3E6E" w14:paraId="65B33339" w14:textId="77777777" w:rsidTr="008556ED">
        <w:trPr>
          <w:gridAfter w:val="1"/>
          <w:wAfter w:w="8" w:type="dxa"/>
          <w:jc w:val="center"/>
        </w:trPr>
        <w:tc>
          <w:tcPr>
            <w:tcW w:w="1413" w:type="dxa"/>
          </w:tcPr>
          <w:p w14:paraId="71DE0575" w14:textId="77777777" w:rsidR="00253DCA" w:rsidRPr="00962079" w:rsidRDefault="00253DCA" w:rsidP="00253DCA">
            <w:pPr>
              <w:pStyle w:val="NoSpacing"/>
              <w:rPr>
                <w:rFonts w:ascii="Times New Roman" w:hAnsi="Times New Roman"/>
                <w:sz w:val="20"/>
                <w:szCs w:val="20"/>
                <w:lang w:eastAsia="lv-LV"/>
              </w:rPr>
            </w:pPr>
            <w:r w:rsidRPr="00962079">
              <w:rPr>
                <w:rFonts w:ascii="Times New Roman" w:hAnsi="Times New Roman"/>
                <w:sz w:val="20"/>
                <w:szCs w:val="20"/>
                <w:lang w:eastAsia="lv-LV"/>
              </w:rPr>
              <w:t>5.1. valsts pamatbudžets</w:t>
            </w:r>
          </w:p>
        </w:tc>
        <w:tc>
          <w:tcPr>
            <w:tcW w:w="1559" w:type="dxa"/>
            <w:vMerge/>
          </w:tcPr>
          <w:p w14:paraId="6D843DC1" w14:textId="77777777" w:rsidR="00253DCA" w:rsidRPr="007D3E6E" w:rsidRDefault="00253DCA" w:rsidP="00253DCA">
            <w:pPr>
              <w:pStyle w:val="NoSpacing"/>
              <w:jc w:val="right"/>
              <w:rPr>
                <w:rFonts w:ascii="Times New Roman" w:hAnsi="Times New Roman"/>
                <w:sz w:val="24"/>
                <w:szCs w:val="24"/>
                <w:lang w:eastAsia="lv-LV"/>
              </w:rPr>
            </w:pPr>
          </w:p>
        </w:tc>
        <w:tc>
          <w:tcPr>
            <w:tcW w:w="1418" w:type="dxa"/>
          </w:tcPr>
          <w:p w14:paraId="054216D1" w14:textId="16336757" w:rsidR="00253DCA" w:rsidRPr="008556ED" w:rsidRDefault="008556ED" w:rsidP="00253DCA">
            <w:pPr>
              <w:pStyle w:val="NoSpacing"/>
              <w:jc w:val="right"/>
              <w:rPr>
                <w:rFonts w:ascii="Times New Roman" w:hAnsi="Times New Roman"/>
                <w:b/>
                <w:sz w:val="24"/>
                <w:szCs w:val="24"/>
                <w:lang w:eastAsia="lv-LV"/>
              </w:rPr>
            </w:pPr>
            <w:r w:rsidRPr="008556ED">
              <w:rPr>
                <w:rFonts w:ascii="Times New Roman" w:hAnsi="Times New Roman"/>
                <w:b/>
                <w:sz w:val="24"/>
                <w:szCs w:val="24"/>
              </w:rPr>
              <w:t>-15 415 470</w:t>
            </w:r>
          </w:p>
        </w:tc>
        <w:tc>
          <w:tcPr>
            <w:tcW w:w="992" w:type="dxa"/>
            <w:vMerge/>
          </w:tcPr>
          <w:p w14:paraId="53721396" w14:textId="77777777" w:rsidR="00253DCA" w:rsidRPr="007D3E6E" w:rsidRDefault="00253DCA" w:rsidP="00253DCA">
            <w:pPr>
              <w:pStyle w:val="NoSpacing"/>
              <w:jc w:val="right"/>
              <w:rPr>
                <w:rFonts w:ascii="Times New Roman" w:hAnsi="Times New Roman"/>
                <w:sz w:val="24"/>
                <w:szCs w:val="24"/>
                <w:lang w:eastAsia="lv-LV"/>
              </w:rPr>
            </w:pPr>
          </w:p>
        </w:tc>
        <w:tc>
          <w:tcPr>
            <w:tcW w:w="1134" w:type="dxa"/>
          </w:tcPr>
          <w:p w14:paraId="5A663C27"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1F1E9C21" w14:textId="77777777" w:rsidR="00253DCA" w:rsidRPr="007D3E6E" w:rsidRDefault="00253DCA" w:rsidP="00253DCA">
            <w:pPr>
              <w:pStyle w:val="NoSpacing"/>
              <w:jc w:val="right"/>
              <w:rPr>
                <w:rFonts w:ascii="Times New Roman" w:hAnsi="Times New Roman"/>
                <w:sz w:val="24"/>
                <w:szCs w:val="24"/>
                <w:lang w:eastAsia="lv-LV"/>
              </w:rPr>
            </w:pPr>
          </w:p>
        </w:tc>
        <w:tc>
          <w:tcPr>
            <w:tcW w:w="993" w:type="dxa"/>
          </w:tcPr>
          <w:p w14:paraId="74587068"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FDD3E7D"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rsidRPr="007D3E6E" w14:paraId="75A000B9" w14:textId="77777777" w:rsidTr="008556ED">
        <w:trPr>
          <w:gridAfter w:val="1"/>
          <w:wAfter w:w="8" w:type="dxa"/>
          <w:jc w:val="center"/>
        </w:trPr>
        <w:tc>
          <w:tcPr>
            <w:tcW w:w="1413" w:type="dxa"/>
          </w:tcPr>
          <w:p w14:paraId="26C10E9D"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5.2. speciālais budžets</w:t>
            </w:r>
          </w:p>
        </w:tc>
        <w:tc>
          <w:tcPr>
            <w:tcW w:w="1559" w:type="dxa"/>
            <w:vMerge/>
          </w:tcPr>
          <w:p w14:paraId="575A6F01" w14:textId="77777777" w:rsidR="00253DCA" w:rsidRPr="007D3E6E" w:rsidRDefault="00253DCA" w:rsidP="00253DCA">
            <w:pPr>
              <w:pStyle w:val="NoSpacing"/>
              <w:jc w:val="right"/>
              <w:rPr>
                <w:rFonts w:ascii="Times New Roman" w:hAnsi="Times New Roman"/>
                <w:sz w:val="24"/>
                <w:szCs w:val="24"/>
                <w:lang w:eastAsia="lv-LV"/>
              </w:rPr>
            </w:pPr>
          </w:p>
        </w:tc>
        <w:tc>
          <w:tcPr>
            <w:tcW w:w="1418" w:type="dxa"/>
          </w:tcPr>
          <w:p w14:paraId="43616EA0"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vMerge/>
          </w:tcPr>
          <w:p w14:paraId="0BDDD43C" w14:textId="77777777" w:rsidR="00253DCA" w:rsidRPr="007D3E6E" w:rsidRDefault="00253DCA" w:rsidP="00253DCA">
            <w:pPr>
              <w:pStyle w:val="NoSpacing"/>
              <w:jc w:val="right"/>
              <w:rPr>
                <w:rFonts w:ascii="Times New Roman" w:hAnsi="Times New Roman"/>
                <w:sz w:val="24"/>
                <w:szCs w:val="24"/>
                <w:lang w:eastAsia="lv-LV"/>
              </w:rPr>
            </w:pPr>
          </w:p>
        </w:tc>
        <w:tc>
          <w:tcPr>
            <w:tcW w:w="1134" w:type="dxa"/>
          </w:tcPr>
          <w:p w14:paraId="5823A8AF"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6B0B25D3" w14:textId="77777777" w:rsidR="00253DCA" w:rsidRPr="007D3E6E" w:rsidRDefault="00253DCA" w:rsidP="00253DCA">
            <w:pPr>
              <w:pStyle w:val="NoSpacing"/>
              <w:jc w:val="right"/>
              <w:rPr>
                <w:rFonts w:ascii="Times New Roman" w:hAnsi="Times New Roman"/>
                <w:sz w:val="24"/>
                <w:szCs w:val="24"/>
                <w:lang w:eastAsia="lv-LV"/>
              </w:rPr>
            </w:pPr>
          </w:p>
        </w:tc>
        <w:tc>
          <w:tcPr>
            <w:tcW w:w="993" w:type="dxa"/>
          </w:tcPr>
          <w:p w14:paraId="25B71135"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1BD3F9"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rsidRPr="007D3E6E" w14:paraId="6B097274" w14:textId="77777777" w:rsidTr="008556ED">
        <w:trPr>
          <w:gridAfter w:val="1"/>
          <w:wAfter w:w="8" w:type="dxa"/>
          <w:jc w:val="center"/>
        </w:trPr>
        <w:tc>
          <w:tcPr>
            <w:tcW w:w="1413" w:type="dxa"/>
          </w:tcPr>
          <w:p w14:paraId="1648B06C"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5.3. pašvaldību budžets</w:t>
            </w:r>
          </w:p>
        </w:tc>
        <w:tc>
          <w:tcPr>
            <w:tcW w:w="1559" w:type="dxa"/>
            <w:vMerge/>
          </w:tcPr>
          <w:p w14:paraId="7DA4D268" w14:textId="77777777" w:rsidR="00253DCA" w:rsidRPr="007D3E6E" w:rsidRDefault="00253DCA" w:rsidP="00253DCA">
            <w:pPr>
              <w:pStyle w:val="NoSpacing"/>
              <w:jc w:val="right"/>
              <w:rPr>
                <w:rFonts w:ascii="Times New Roman" w:hAnsi="Times New Roman"/>
                <w:sz w:val="24"/>
                <w:szCs w:val="24"/>
                <w:lang w:eastAsia="lv-LV"/>
              </w:rPr>
            </w:pPr>
          </w:p>
        </w:tc>
        <w:tc>
          <w:tcPr>
            <w:tcW w:w="1418" w:type="dxa"/>
          </w:tcPr>
          <w:p w14:paraId="3728E24F"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vMerge/>
          </w:tcPr>
          <w:p w14:paraId="367EB45C" w14:textId="77777777" w:rsidR="00253DCA" w:rsidRPr="007D3E6E" w:rsidRDefault="00253DCA" w:rsidP="00253DCA">
            <w:pPr>
              <w:pStyle w:val="NoSpacing"/>
              <w:jc w:val="right"/>
              <w:rPr>
                <w:rFonts w:ascii="Times New Roman" w:hAnsi="Times New Roman"/>
                <w:sz w:val="24"/>
                <w:szCs w:val="24"/>
                <w:lang w:eastAsia="lv-LV"/>
              </w:rPr>
            </w:pPr>
          </w:p>
        </w:tc>
        <w:tc>
          <w:tcPr>
            <w:tcW w:w="1134" w:type="dxa"/>
          </w:tcPr>
          <w:p w14:paraId="35DA0816"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08750598" w14:textId="77777777" w:rsidR="00253DCA" w:rsidRPr="007D3E6E" w:rsidRDefault="00253DCA" w:rsidP="00253DCA">
            <w:pPr>
              <w:pStyle w:val="NoSpacing"/>
              <w:jc w:val="right"/>
              <w:rPr>
                <w:rFonts w:ascii="Times New Roman" w:hAnsi="Times New Roman"/>
                <w:sz w:val="24"/>
                <w:szCs w:val="24"/>
                <w:lang w:eastAsia="lv-LV"/>
              </w:rPr>
            </w:pPr>
          </w:p>
        </w:tc>
        <w:tc>
          <w:tcPr>
            <w:tcW w:w="993" w:type="dxa"/>
          </w:tcPr>
          <w:p w14:paraId="0C644448"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D9C2A23" w14:textId="77777777" w:rsidR="00253DCA" w:rsidRPr="007D3E6E" w:rsidRDefault="00253DCA" w:rsidP="00253DC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253DCA" w14:paraId="2F5C9D08" w14:textId="77777777" w:rsidTr="00962079">
        <w:trPr>
          <w:jc w:val="center"/>
        </w:trPr>
        <w:tc>
          <w:tcPr>
            <w:tcW w:w="1413" w:type="dxa"/>
          </w:tcPr>
          <w:p w14:paraId="6478C227"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6. Detalizēts ieņēmumu un izdevumu aprēķins (ja nepieciešams, detalizētu ieņēmumu un izdevumu aprēķinu var pievienot anotācijas pielikumā)</w:t>
            </w:r>
          </w:p>
        </w:tc>
        <w:tc>
          <w:tcPr>
            <w:tcW w:w="8088" w:type="dxa"/>
            <w:gridSpan w:val="8"/>
            <w:vMerge w:val="restart"/>
          </w:tcPr>
          <w:p w14:paraId="07BD2F4F" w14:textId="77777777" w:rsidR="00253DCA" w:rsidRPr="007D3E6E" w:rsidRDefault="00253DCA" w:rsidP="00253DCA">
            <w:pPr>
              <w:pStyle w:val="NoSpacing"/>
              <w:rPr>
                <w:rFonts w:ascii="Times New Roman" w:hAnsi="Times New Roman"/>
                <w:sz w:val="24"/>
                <w:szCs w:val="24"/>
                <w:lang w:eastAsia="lv-LV"/>
              </w:rPr>
            </w:pPr>
          </w:p>
          <w:p w14:paraId="7FCC94B4" w14:textId="77777777" w:rsidR="00253DCA" w:rsidRPr="007D3E6E" w:rsidRDefault="00253DCA" w:rsidP="00253DCA">
            <w:pPr>
              <w:pStyle w:val="NoSpacing"/>
              <w:rPr>
                <w:rFonts w:ascii="Times New Roman" w:hAnsi="Times New Roman"/>
                <w:sz w:val="24"/>
                <w:szCs w:val="24"/>
                <w:lang w:eastAsia="lv-LV"/>
              </w:rPr>
            </w:pPr>
          </w:p>
          <w:tbl>
            <w:tblPr>
              <w:tblW w:w="7679" w:type="dxa"/>
              <w:tblLayout w:type="fixed"/>
              <w:tblLook w:val="04A0" w:firstRow="1" w:lastRow="0" w:firstColumn="1" w:lastColumn="0" w:noHBand="0" w:noVBand="1"/>
            </w:tblPr>
            <w:tblGrid>
              <w:gridCol w:w="5983"/>
              <w:gridCol w:w="1696"/>
            </w:tblGrid>
            <w:tr w:rsidR="00253DCA" w:rsidRPr="007D3E6E" w14:paraId="360470A3" w14:textId="77777777" w:rsidTr="00422AFA">
              <w:trPr>
                <w:trHeight w:val="300"/>
              </w:trPr>
              <w:tc>
                <w:tcPr>
                  <w:tcW w:w="7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1C7A2" w14:textId="27495C51" w:rsidR="00253DCA" w:rsidRPr="007D3E6E" w:rsidRDefault="00FC248C" w:rsidP="00FC248C">
                  <w:pPr>
                    <w:spacing w:before="120" w:after="120"/>
                    <w:jc w:val="center"/>
                    <w:rPr>
                      <w:b/>
                      <w:bCs/>
                      <w:color w:val="000000"/>
                    </w:rPr>
                  </w:pPr>
                  <w:r>
                    <w:rPr>
                      <w:b/>
                      <w:bCs/>
                      <w:color w:val="000000"/>
                    </w:rPr>
                    <w:t>41</w:t>
                  </w:r>
                  <w:r w:rsidR="00253DCA" w:rsidRPr="007D3E6E">
                    <w:rPr>
                      <w:b/>
                      <w:bCs/>
                      <w:color w:val="000000"/>
                    </w:rPr>
                    <w:t>.</w:t>
                  </w:r>
                  <w:r w:rsidRPr="007D3E6E">
                    <w:rPr>
                      <w:b/>
                      <w:bCs/>
                      <w:color w:val="000000"/>
                    </w:rPr>
                    <w:t>0</w:t>
                  </w:r>
                  <w:r>
                    <w:rPr>
                      <w:b/>
                      <w:bCs/>
                      <w:color w:val="000000"/>
                    </w:rPr>
                    <w:t>1</w:t>
                  </w:r>
                  <w:r w:rsidR="00253DCA" w:rsidRPr="007D3E6E">
                    <w:rPr>
                      <w:b/>
                      <w:bCs/>
                      <w:color w:val="000000"/>
                    </w:rPr>
                    <w:t xml:space="preserve">.00 </w:t>
                  </w:r>
                  <w:r>
                    <w:rPr>
                      <w:b/>
                      <w:bCs/>
                      <w:color w:val="000000"/>
                    </w:rPr>
                    <w:t>apakš</w:t>
                  </w:r>
                  <w:r w:rsidR="00253DCA" w:rsidRPr="007D3E6E">
                    <w:rPr>
                      <w:b/>
                      <w:bCs/>
                      <w:color w:val="000000"/>
                    </w:rPr>
                    <w:t>programma</w:t>
                  </w:r>
                  <w:r w:rsidR="00EB582C">
                    <w:rPr>
                      <w:b/>
                      <w:bCs/>
                      <w:color w:val="000000"/>
                    </w:rPr>
                    <w:t xml:space="preserve">s </w:t>
                  </w:r>
                  <w:r w:rsidR="00563563" w:rsidRPr="00563563">
                    <w:rPr>
                      <w:b/>
                      <w:bCs/>
                      <w:color w:val="000000"/>
                    </w:rPr>
                    <w:t>papildu nepieciešamā finansējuma aprēķins</w:t>
                  </w:r>
                </w:p>
              </w:tc>
            </w:tr>
            <w:tr w:rsidR="00253DCA" w:rsidRPr="007D3E6E" w14:paraId="40F54B71" w14:textId="77777777" w:rsidTr="00FC248C">
              <w:trPr>
                <w:trHeight w:val="1270"/>
              </w:trPr>
              <w:tc>
                <w:tcPr>
                  <w:tcW w:w="5983" w:type="dxa"/>
                  <w:tcBorders>
                    <w:top w:val="nil"/>
                    <w:left w:val="single" w:sz="4" w:space="0" w:color="auto"/>
                    <w:bottom w:val="single" w:sz="4" w:space="0" w:color="auto"/>
                    <w:right w:val="single" w:sz="4" w:space="0" w:color="auto"/>
                  </w:tcBorders>
                  <w:shd w:val="clear" w:color="auto" w:fill="auto"/>
                  <w:vAlign w:val="center"/>
                  <w:hideMark/>
                </w:tcPr>
                <w:p w14:paraId="6361EE6F" w14:textId="1FA32819" w:rsidR="00253DCA" w:rsidRPr="007D3E6E" w:rsidRDefault="00E86357" w:rsidP="00DB2426">
                  <w:pPr>
                    <w:spacing w:before="120" w:after="120"/>
                    <w:rPr>
                      <w:color w:val="000000"/>
                    </w:rPr>
                  </w:pPr>
                  <w:r>
                    <w:rPr>
                      <w:color w:val="000000"/>
                    </w:rPr>
                    <w:t xml:space="preserve">TPR prognožu pārskatīšanas rezultātā </w:t>
                  </w:r>
                  <w:r w:rsidR="00DB2426" w:rsidRPr="00DB2426">
                    <w:rPr>
                      <w:color w:val="000000"/>
                    </w:rPr>
                    <w:t xml:space="preserve">papildus </w:t>
                  </w:r>
                  <w:r>
                    <w:rPr>
                      <w:color w:val="000000"/>
                    </w:rPr>
                    <w:t>nepieciešamais finansējums</w:t>
                  </w:r>
                  <w:r w:rsidR="00F74692" w:rsidRPr="007D3E6E">
                    <w:rPr>
                      <w:iCs/>
                    </w:rPr>
                    <w:t xml:space="preserve"> </w:t>
                  </w:r>
                </w:p>
              </w:tc>
              <w:tc>
                <w:tcPr>
                  <w:tcW w:w="1696" w:type="dxa"/>
                  <w:tcBorders>
                    <w:top w:val="nil"/>
                    <w:left w:val="nil"/>
                    <w:bottom w:val="single" w:sz="4" w:space="0" w:color="auto"/>
                    <w:right w:val="single" w:sz="4" w:space="0" w:color="auto"/>
                  </w:tcBorders>
                  <w:shd w:val="clear" w:color="auto" w:fill="auto"/>
                  <w:vAlign w:val="center"/>
                  <w:hideMark/>
                </w:tcPr>
                <w:p w14:paraId="3F0514A1" w14:textId="60362A6D" w:rsidR="00253DCA" w:rsidRPr="007D3E6E" w:rsidRDefault="00E86357" w:rsidP="00253DCA">
                  <w:pPr>
                    <w:spacing w:before="120" w:after="120"/>
                    <w:jc w:val="right"/>
                    <w:rPr>
                      <w:b/>
                      <w:bCs/>
                      <w:color w:val="000000"/>
                    </w:rPr>
                  </w:pPr>
                  <w:r w:rsidRPr="00E86357">
                    <w:rPr>
                      <w:b/>
                    </w:rPr>
                    <w:t>8 339 882</w:t>
                  </w:r>
                </w:p>
              </w:tc>
            </w:tr>
            <w:tr w:rsidR="008556ED" w:rsidRPr="005E37B5" w14:paraId="4C30DCD9" w14:textId="77777777" w:rsidTr="00FC248C">
              <w:trPr>
                <w:trHeight w:val="300"/>
              </w:trPr>
              <w:tc>
                <w:tcPr>
                  <w:tcW w:w="5983" w:type="dxa"/>
                  <w:tcBorders>
                    <w:top w:val="nil"/>
                    <w:left w:val="single" w:sz="4" w:space="0" w:color="auto"/>
                    <w:bottom w:val="single" w:sz="4" w:space="0" w:color="auto"/>
                    <w:right w:val="single" w:sz="4" w:space="0" w:color="auto"/>
                  </w:tcBorders>
                  <w:shd w:val="clear" w:color="auto" w:fill="auto"/>
                  <w:vAlign w:val="center"/>
                </w:tcPr>
                <w:p w14:paraId="24C07BE9" w14:textId="14E7848B" w:rsidR="008556ED" w:rsidRPr="005E37B5" w:rsidRDefault="00DB2426" w:rsidP="006835FE">
                  <w:pPr>
                    <w:spacing w:before="120" w:after="120"/>
                    <w:rPr>
                      <w:bCs/>
                      <w:color w:val="000000"/>
                    </w:rPr>
                  </w:pPr>
                  <w:r>
                    <w:rPr>
                      <w:bCs/>
                      <w:color w:val="000000"/>
                    </w:rPr>
                    <w:t xml:space="preserve">Citu iemaksu </w:t>
                  </w:r>
                  <w:r w:rsidR="006835FE">
                    <w:rPr>
                      <w:bCs/>
                      <w:color w:val="000000"/>
                    </w:rPr>
                    <w:t>ES</w:t>
                  </w:r>
                  <w:r>
                    <w:rPr>
                      <w:bCs/>
                      <w:color w:val="000000"/>
                    </w:rPr>
                    <w:t xml:space="preserve"> </w:t>
                  </w:r>
                  <w:r w:rsidR="006835FE">
                    <w:rPr>
                      <w:bCs/>
                      <w:color w:val="000000"/>
                    </w:rPr>
                    <w:t xml:space="preserve">budžetā </w:t>
                  </w:r>
                  <w:r>
                    <w:rPr>
                      <w:bCs/>
                      <w:color w:val="000000"/>
                    </w:rPr>
                    <w:t>ietekmējošo faktoru rezultātā papildus nepieciešamais finansējums</w:t>
                  </w:r>
                </w:p>
              </w:tc>
              <w:tc>
                <w:tcPr>
                  <w:tcW w:w="1696" w:type="dxa"/>
                  <w:tcBorders>
                    <w:top w:val="nil"/>
                    <w:left w:val="nil"/>
                    <w:bottom w:val="single" w:sz="4" w:space="0" w:color="auto"/>
                    <w:right w:val="single" w:sz="4" w:space="0" w:color="auto"/>
                  </w:tcBorders>
                  <w:shd w:val="clear" w:color="auto" w:fill="auto"/>
                  <w:vAlign w:val="center"/>
                </w:tcPr>
                <w:p w14:paraId="075E6AB9" w14:textId="653307AC" w:rsidR="008556ED" w:rsidRPr="00C61270" w:rsidRDefault="00DB2426" w:rsidP="00C61270">
                  <w:pPr>
                    <w:jc w:val="right"/>
                    <w:rPr>
                      <w:b/>
                      <w:bCs/>
                      <w:color w:val="000000"/>
                    </w:rPr>
                  </w:pPr>
                  <w:r>
                    <w:rPr>
                      <w:b/>
                      <w:bCs/>
                      <w:color w:val="000000"/>
                    </w:rPr>
                    <w:t>7 075 588</w:t>
                  </w:r>
                </w:p>
              </w:tc>
            </w:tr>
            <w:tr w:rsidR="00253DCA" w:rsidRPr="005E37B5" w14:paraId="2A19A9CF" w14:textId="77777777" w:rsidTr="00FC248C">
              <w:trPr>
                <w:trHeight w:val="353"/>
              </w:trPr>
              <w:tc>
                <w:tcPr>
                  <w:tcW w:w="5983" w:type="dxa"/>
                  <w:tcBorders>
                    <w:top w:val="nil"/>
                    <w:left w:val="single" w:sz="4" w:space="0" w:color="auto"/>
                    <w:bottom w:val="single" w:sz="4" w:space="0" w:color="auto"/>
                    <w:right w:val="single" w:sz="4" w:space="0" w:color="auto"/>
                  </w:tcBorders>
                  <w:shd w:val="clear" w:color="auto" w:fill="auto"/>
                  <w:vAlign w:val="center"/>
                  <w:hideMark/>
                </w:tcPr>
                <w:p w14:paraId="20722F85" w14:textId="2AE08C12" w:rsidR="00253DCA" w:rsidRPr="005E37B5" w:rsidRDefault="00E86357" w:rsidP="00253DCA">
                  <w:pPr>
                    <w:spacing w:before="120" w:after="120"/>
                    <w:rPr>
                      <w:bCs/>
                      <w:color w:val="000000"/>
                    </w:rPr>
                  </w:pPr>
                  <w:r>
                    <w:rPr>
                      <w:bCs/>
                      <w:color w:val="000000"/>
                    </w:rPr>
                    <w:t>Kopējais p</w:t>
                  </w:r>
                  <w:r w:rsidR="00253DCA" w:rsidRPr="005E37B5">
                    <w:rPr>
                      <w:bCs/>
                      <w:color w:val="000000"/>
                    </w:rPr>
                    <w:t>apildus nepieciešamo līdzekļu apjoms līdz 2019.gada beigām</w:t>
                  </w:r>
                </w:p>
              </w:tc>
              <w:tc>
                <w:tcPr>
                  <w:tcW w:w="1696" w:type="dxa"/>
                  <w:tcBorders>
                    <w:top w:val="nil"/>
                    <w:left w:val="nil"/>
                    <w:bottom w:val="single" w:sz="4" w:space="0" w:color="auto"/>
                    <w:right w:val="single" w:sz="4" w:space="0" w:color="auto"/>
                  </w:tcBorders>
                  <w:shd w:val="clear" w:color="auto" w:fill="auto"/>
                  <w:vAlign w:val="center"/>
                  <w:hideMark/>
                </w:tcPr>
                <w:p w14:paraId="5795D503" w14:textId="38A72C65" w:rsidR="00253DCA" w:rsidRPr="005E37B5" w:rsidRDefault="00341D9C" w:rsidP="00253DCA">
                  <w:pPr>
                    <w:spacing w:before="120" w:after="120"/>
                    <w:jc w:val="right"/>
                    <w:rPr>
                      <w:b/>
                      <w:bCs/>
                      <w:color w:val="000000"/>
                    </w:rPr>
                  </w:pPr>
                  <w:r w:rsidRPr="00964B8D">
                    <w:rPr>
                      <w:b/>
                    </w:rPr>
                    <w:t>15 415</w:t>
                  </w:r>
                  <w:r>
                    <w:rPr>
                      <w:b/>
                    </w:rPr>
                    <w:t> </w:t>
                  </w:r>
                  <w:r w:rsidRPr="00964B8D">
                    <w:rPr>
                      <w:b/>
                    </w:rPr>
                    <w:t>4</w:t>
                  </w:r>
                  <w:r>
                    <w:rPr>
                      <w:b/>
                    </w:rPr>
                    <w:t xml:space="preserve">70 </w:t>
                  </w:r>
                </w:p>
              </w:tc>
            </w:tr>
          </w:tbl>
          <w:p w14:paraId="6C77CAB5" w14:textId="77777777" w:rsidR="00253DCA" w:rsidRPr="005E37B5" w:rsidRDefault="00253DCA" w:rsidP="00253DCA">
            <w:pPr>
              <w:pStyle w:val="NoSpacing"/>
              <w:spacing w:before="120" w:after="120"/>
              <w:rPr>
                <w:rFonts w:ascii="Times New Roman" w:hAnsi="Times New Roman"/>
                <w:sz w:val="24"/>
                <w:szCs w:val="24"/>
                <w:lang w:eastAsia="lv-LV"/>
              </w:rPr>
            </w:pPr>
          </w:p>
          <w:p w14:paraId="38D71C11" w14:textId="44AE24B8" w:rsidR="00253DCA" w:rsidRPr="007D3E6E" w:rsidRDefault="00253DCA" w:rsidP="00253DCA">
            <w:pPr>
              <w:spacing w:before="120" w:after="120"/>
              <w:jc w:val="both"/>
              <w:rPr>
                <w:color w:val="FF0000"/>
              </w:rPr>
            </w:pPr>
          </w:p>
        </w:tc>
      </w:tr>
      <w:tr w:rsidR="00253DCA" w14:paraId="032D437D" w14:textId="77777777" w:rsidTr="00962079">
        <w:trPr>
          <w:jc w:val="center"/>
        </w:trPr>
        <w:tc>
          <w:tcPr>
            <w:tcW w:w="1413" w:type="dxa"/>
          </w:tcPr>
          <w:p w14:paraId="0F01021E"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6.1. detalizēts ieņēmumu aprēķins</w:t>
            </w:r>
          </w:p>
        </w:tc>
        <w:tc>
          <w:tcPr>
            <w:tcW w:w="8088" w:type="dxa"/>
            <w:gridSpan w:val="8"/>
            <w:vMerge/>
          </w:tcPr>
          <w:p w14:paraId="34BAF3F1" w14:textId="77777777" w:rsidR="00253DCA" w:rsidRPr="004B0522" w:rsidRDefault="00253DCA" w:rsidP="00253DCA">
            <w:pPr>
              <w:pStyle w:val="NoSpacing"/>
              <w:jc w:val="right"/>
              <w:rPr>
                <w:rFonts w:ascii="Times New Roman" w:hAnsi="Times New Roman"/>
                <w:sz w:val="20"/>
                <w:szCs w:val="20"/>
                <w:lang w:eastAsia="lv-LV"/>
              </w:rPr>
            </w:pPr>
          </w:p>
        </w:tc>
      </w:tr>
      <w:tr w:rsidR="00253DCA" w14:paraId="3B7EF858" w14:textId="77777777" w:rsidTr="00962079">
        <w:trPr>
          <w:jc w:val="center"/>
        </w:trPr>
        <w:tc>
          <w:tcPr>
            <w:tcW w:w="1413" w:type="dxa"/>
          </w:tcPr>
          <w:p w14:paraId="7A82CB34"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lastRenderedPageBreak/>
              <w:t>6.2. detalizēts izdevumu aprēķins</w:t>
            </w:r>
          </w:p>
        </w:tc>
        <w:tc>
          <w:tcPr>
            <w:tcW w:w="8088" w:type="dxa"/>
            <w:gridSpan w:val="8"/>
            <w:vMerge/>
          </w:tcPr>
          <w:p w14:paraId="06BA7DF6" w14:textId="77777777" w:rsidR="00253DCA" w:rsidRPr="004B0522" w:rsidRDefault="00253DCA" w:rsidP="00253DCA">
            <w:pPr>
              <w:pStyle w:val="NoSpacing"/>
              <w:jc w:val="right"/>
              <w:rPr>
                <w:rFonts w:ascii="Times New Roman" w:hAnsi="Times New Roman"/>
                <w:sz w:val="20"/>
                <w:szCs w:val="20"/>
                <w:lang w:eastAsia="lv-LV"/>
              </w:rPr>
            </w:pPr>
          </w:p>
        </w:tc>
      </w:tr>
      <w:tr w:rsidR="00253DCA" w14:paraId="7DEA98C3" w14:textId="77777777" w:rsidTr="00962079">
        <w:trPr>
          <w:jc w:val="center"/>
        </w:trPr>
        <w:tc>
          <w:tcPr>
            <w:tcW w:w="1413" w:type="dxa"/>
          </w:tcPr>
          <w:p w14:paraId="110A27BB"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7. Amata vietu skaita izmaiņas</w:t>
            </w:r>
          </w:p>
        </w:tc>
        <w:tc>
          <w:tcPr>
            <w:tcW w:w="8088" w:type="dxa"/>
            <w:gridSpan w:val="8"/>
          </w:tcPr>
          <w:p w14:paraId="4DA2E9A7" w14:textId="77777777" w:rsidR="00253DCA" w:rsidRPr="004B0522" w:rsidRDefault="00253DCA" w:rsidP="00253DCA">
            <w:pPr>
              <w:pStyle w:val="NoSpacing"/>
              <w:rPr>
                <w:rFonts w:ascii="Times New Roman" w:hAnsi="Times New Roman"/>
                <w:sz w:val="24"/>
                <w:szCs w:val="24"/>
                <w:lang w:eastAsia="lv-LV"/>
              </w:rPr>
            </w:pPr>
            <w:r>
              <w:rPr>
                <w:rFonts w:ascii="Times New Roman" w:hAnsi="Times New Roman"/>
                <w:sz w:val="24"/>
                <w:szCs w:val="24"/>
              </w:rPr>
              <w:t>Projekts šo jomu neskar</w:t>
            </w:r>
          </w:p>
        </w:tc>
      </w:tr>
      <w:tr w:rsidR="00253DCA" w14:paraId="75D4CB1E" w14:textId="77777777" w:rsidTr="00962079">
        <w:trPr>
          <w:jc w:val="center"/>
        </w:trPr>
        <w:tc>
          <w:tcPr>
            <w:tcW w:w="1413" w:type="dxa"/>
          </w:tcPr>
          <w:p w14:paraId="2BF35CAA" w14:textId="77777777" w:rsidR="00253DCA" w:rsidRPr="00962079" w:rsidRDefault="00253DCA" w:rsidP="00253DCA">
            <w:pPr>
              <w:pStyle w:val="NoSpacing"/>
              <w:rPr>
                <w:rFonts w:ascii="Times New Roman" w:hAnsi="Times New Roman"/>
                <w:lang w:eastAsia="lv-LV"/>
              </w:rPr>
            </w:pPr>
            <w:r w:rsidRPr="00962079">
              <w:rPr>
                <w:rFonts w:ascii="Times New Roman" w:hAnsi="Times New Roman"/>
                <w:lang w:eastAsia="lv-LV"/>
              </w:rPr>
              <w:t>8. Cita informācija</w:t>
            </w:r>
          </w:p>
        </w:tc>
        <w:tc>
          <w:tcPr>
            <w:tcW w:w="8088" w:type="dxa"/>
            <w:gridSpan w:val="8"/>
          </w:tcPr>
          <w:p w14:paraId="3236A7EC" w14:textId="20B10CBC" w:rsidR="00253DCA" w:rsidRPr="004B0522" w:rsidRDefault="00E72AB6" w:rsidP="00253DCA">
            <w:pPr>
              <w:jc w:val="both"/>
              <w:rPr>
                <w:bCs/>
                <w:color w:val="000000"/>
              </w:rPr>
            </w:pPr>
            <w:r>
              <w:rPr>
                <w:bCs/>
                <w:color w:val="000000"/>
              </w:rPr>
              <w:t>Nav</w:t>
            </w:r>
          </w:p>
        </w:tc>
      </w:tr>
    </w:tbl>
    <w:p w14:paraId="7F813B8D" w14:textId="77777777" w:rsidR="009D36DE" w:rsidRPr="009D36DE"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7D3E6E"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7D3E6E" w:rsidRDefault="009D36DE" w:rsidP="000044FA">
            <w:pPr>
              <w:spacing w:before="100" w:after="100" w:line="293" w:lineRule="atLeast"/>
              <w:jc w:val="center"/>
            </w:pPr>
            <w:r w:rsidRPr="007D3E6E">
              <w:rPr>
                <w:b/>
                <w:bCs/>
              </w:rPr>
              <w:t>IV. Tiesību aktu projektu ietekme uz spēkā esošo tiesību normu sistēmu</w:t>
            </w:r>
          </w:p>
        </w:tc>
      </w:tr>
      <w:tr w:rsidR="009D36DE" w:rsidRPr="007D3E6E"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7D3E6E" w:rsidRDefault="009D36DE" w:rsidP="000044FA">
            <w:pPr>
              <w:spacing w:before="100" w:after="100" w:line="293" w:lineRule="atLeast"/>
              <w:jc w:val="center"/>
            </w:pPr>
            <w:r w:rsidRPr="007D3E6E">
              <w:t>Projekts šo jomu neskar</w:t>
            </w:r>
          </w:p>
        </w:tc>
      </w:tr>
    </w:tbl>
    <w:p w14:paraId="0DA1CFD5" w14:textId="77777777" w:rsidR="009D36DE" w:rsidRPr="007D3E6E" w:rsidRDefault="009D36DE" w:rsidP="000044FA"/>
    <w:tbl>
      <w:tblPr>
        <w:tblW w:w="5160" w:type="pct"/>
        <w:tblInd w:w="-145" w:type="dxa"/>
        <w:tblCellMar>
          <w:left w:w="10" w:type="dxa"/>
          <w:right w:w="10" w:type="dxa"/>
        </w:tblCellMar>
        <w:tblLook w:val="0000" w:firstRow="0" w:lastRow="0" w:firstColumn="0" w:lastColumn="0" w:noHBand="0" w:noVBand="0"/>
      </w:tblPr>
      <w:tblGrid>
        <w:gridCol w:w="9356"/>
      </w:tblGrid>
      <w:tr w:rsidR="009D36DE" w:rsidRPr="007D3E6E" w14:paraId="341A573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7D3E6E" w:rsidRDefault="009D36DE" w:rsidP="000044FA">
            <w:pPr>
              <w:spacing w:before="100" w:after="100" w:line="293" w:lineRule="atLeast"/>
              <w:jc w:val="center"/>
            </w:pPr>
            <w:r w:rsidRPr="007D3E6E">
              <w:rPr>
                <w:b/>
                <w:bCs/>
              </w:rPr>
              <w:t>V. Tiesību aktu projektu atbilstība Latvijas Republikas starptautiskajām saistībām</w:t>
            </w:r>
          </w:p>
        </w:tc>
      </w:tr>
      <w:tr w:rsidR="009D36DE" w:rsidRPr="007D3E6E" w14:paraId="55F281E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190AAB9" w14:textId="77777777" w:rsidR="009D36DE" w:rsidRPr="007D3E6E" w:rsidRDefault="009D36DE" w:rsidP="000044FA">
            <w:pPr>
              <w:spacing w:before="100" w:after="100" w:line="293" w:lineRule="atLeast"/>
              <w:jc w:val="center"/>
            </w:pPr>
            <w:r w:rsidRPr="007D3E6E">
              <w:t>Projekts šo jomu neskar</w:t>
            </w:r>
          </w:p>
        </w:tc>
      </w:tr>
    </w:tbl>
    <w:p w14:paraId="536F51B7" w14:textId="77777777" w:rsidR="009D36DE" w:rsidRPr="007D3E6E"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9D36DE" w:rsidRPr="007D3E6E"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7D3E6E" w:rsidRDefault="009D36DE" w:rsidP="000044FA">
            <w:pPr>
              <w:spacing w:before="100" w:after="100" w:line="360" w:lineRule="auto"/>
              <w:ind w:firstLine="300"/>
              <w:jc w:val="center"/>
              <w:rPr>
                <w:b/>
                <w:bCs/>
              </w:rPr>
            </w:pPr>
            <w:r w:rsidRPr="007D3E6E">
              <w:rPr>
                <w:b/>
                <w:bCs/>
              </w:rPr>
              <w:t>VI. Sabiedrības līdzdalība un komunikācijas aktivitātes</w:t>
            </w:r>
          </w:p>
        </w:tc>
      </w:tr>
      <w:tr w:rsidR="003B60B8" w:rsidRPr="007D3E6E"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7D3E6E" w:rsidRDefault="003B60B8" w:rsidP="000044FA">
            <w:pPr>
              <w:spacing w:before="100" w:after="100" w:line="360" w:lineRule="auto"/>
              <w:ind w:firstLine="300"/>
              <w:jc w:val="center"/>
              <w:rPr>
                <w:b/>
                <w:bCs/>
              </w:rPr>
            </w:pPr>
            <w:r w:rsidRPr="007D3E6E">
              <w:t>Projekts šo jomu neskar</w:t>
            </w:r>
          </w:p>
        </w:tc>
      </w:tr>
    </w:tbl>
    <w:p w14:paraId="3173A2A4" w14:textId="77777777" w:rsidR="009D36DE" w:rsidRPr="007D3E6E"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9D36DE" w:rsidRPr="007D3E6E"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7D3E6E" w:rsidRDefault="009D36DE" w:rsidP="000044FA">
            <w:pPr>
              <w:spacing w:before="100" w:after="100"/>
              <w:jc w:val="center"/>
              <w:rPr>
                <w:b/>
                <w:bCs/>
              </w:rPr>
            </w:pPr>
            <w:r w:rsidRPr="007D3E6E">
              <w:rPr>
                <w:b/>
                <w:bCs/>
              </w:rPr>
              <w:t>VII. Tiesību akta projekta izpildes nodrošināšana un tās ietekme uz institūcijām</w:t>
            </w:r>
          </w:p>
        </w:tc>
      </w:tr>
      <w:tr w:rsidR="003B60B8" w:rsidRPr="007D3E6E"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7D3E6E" w:rsidRDefault="003B60B8" w:rsidP="000044FA">
            <w:pPr>
              <w:spacing w:before="100" w:after="100"/>
            </w:pPr>
            <w:r w:rsidRPr="007D3E6E">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7D3E6E" w:rsidRDefault="003B60B8" w:rsidP="000044FA">
            <w:pPr>
              <w:spacing w:before="100" w:after="100"/>
            </w:pPr>
            <w:r w:rsidRPr="007D3E6E">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31E4905A" w:rsidR="003B60B8" w:rsidRPr="007D3E6E" w:rsidRDefault="00401C55" w:rsidP="00401C55">
            <w:pPr>
              <w:shd w:val="clear" w:color="auto" w:fill="FFFFFF"/>
              <w:spacing w:before="120" w:after="120"/>
              <w:jc w:val="both"/>
            </w:pPr>
            <w:r>
              <w:rPr>
                <w:bCs/>
                <w:color w:val="000000"/>
              </w:rPr>
              <w:t>Finanšu m</w:t>
            </w:r>
            <w:r w:rsidR="004422AA" w:rsidRPr="007D3E6E">
              <w:rPr>
                <w:bCs/>
                <w:color w:val="000000"/>
              </w:rPr>
              <w:t xml:space="preserve">inistrija </w:t>
            </w:r>
          </w:p>
        </w:tc>
      </w:tr>
      <w:tr w:rsidR="003B60B8" w:rsidRPr="007D3E6E"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7D3E6E" w:rsidRDefault="003B60B8" w:rsidP="000044FA">
            <w:pPr>
              <w:spacing w:before="100" w:after="100"/>
            </w:pPr>
            <w:r w:rsidRPr="007D3E6E">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7D3E6E" w:rsidRDefault="003B60B8" w:rsidP="000044FA">
            <w:pPr>
              <w:spacing w:before="100" w:after="100"/>
            </w:pPr>
            <w:r w:rsidRPr="007D3E6E">
              <w:t xml:space="preserve">Projekta izpildes ietekme uz pārvaldes funkcijām un institucionālo struktūru. </w:t>
            </w:r>
          </w:p>
          <w:p w14:paraId="26A504E1" w14:textId="77777777" w:rsidR="003B60B8" w:rsidRPr="007D3E6E" w:rsidRDefault="003B60B8" w:rsidP="000044FA">
            <w:pPr>
              <w:spacing w:before="100" w:after="100"/>
            </w:pPr>
            <w:r w:rsidRPr="007D3E6E">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7D3E6E" w:rsidRDefault="00B4749B" w:rsidP="000044FA">
            <w:pPr>
              <w:shd w:val="clear" w:color="auto" w:fill="FFFFFF"/>
              <w:spacing w:before="120" w:after="120"/>
              <w:jc w:val="both"/>
            </w:pPr>
            <w:r w:rsidRPr="007D3E6E">
              <w:t>Projekts šo jomu neskar</w:t>
            </w:r>
          </w:p>
          <w:p w14:paraId="07CDC1D8" w14:textId="77777777" w:rsidR="003B60B8" w:rsidRPr="007D3E6E" w:rsidRDefault="003B60B8" w:rsidP="000044FA">
            <w:pPr>
              <w:shd w:val="clear" w:color="auto" w:fill="FFFFFF"/>
              <w:jc w:val="both"/>
            </w:pPr>
          </w:p>
        </w:tc>
      </w:tr>
      <w:tr w:rsidR="009D36DE" w:rsidRPr="007D3E6E"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7D3E6E" w:rsidRDefault="009D36DE" w:rsidP="000044FA">
            <w:r w:rsidRPr="007D3E6E">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7D3E6E" w:rsidRDefault="009D36DE" w:rsidP="000044FA">
            <w:r w:rsidRPr="007D3E6E">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7D3E6E" w:rsidRDefault="009D36DE" w:rsidP="00DE03E0">
            <w:pPr>
              <w:jc w:val="both"/>
            </w:pPr>
            <w:r w:rsidRPr="007D3E6E">
              <w:t>Nav</w:t>
            </w:r>
          </w:p>
        </w:tc>
      </w:tr>
    </w:tbl>
    <w:p w14:paraId="640AE653" w14:textId="77777777" w:rsidR="009D36DE" w:rsidRPr="007D3E6E" w:rsidRDefault="009D36DE" w:rsidP="000044FA">
      <w:pPr>
        <w:ind w:firstLine="720"/>
      </w:pPr>
    </w:p>
    <w:p w14:paraId="7F84DDB1" w14:textId="77777777" w:rsidR="00372421" w:rsidRDefault="00372421" w:rsidP="00E218B9">
      <w:pPr>
        <w:pStyle w:val="BodyText"/>
        <w:jc w:val="both"/>
        <w:rPr>
          <w:sz w:val="26"/>
          <w:szCs w:val="26"/>
        </w:rPr>
      </w:pPr>
    </w:p>
    <w:p w14:paraId="039B4DD4" w14:textId="77777777" w:rsidR="00372421" w:rsidRDefault="00372421" w:rsidP="00E218B9">
      <w:pPr>
        <w:pStyle w:val="BodyText"/>
        <w:jc w:val="both"/>
        <w:rPr>
          <w:sz w:val="26"/>
          <w:szCs w:val="26"/>
        </w:rPr>
      </w:pPr>
    </w:p>
    <w:p w14:paraId="5EE3DBBF" w14:textId="239F00A9" w:rsidR="00372421" w:rsidRDefault="00372421" w:rsidP="00E218B9">
      <w:pPr>
        <w:pStyle w:val="BodyText"/>
        <w:jc w:val="both"/>
        <w:rPr>
          <w:sz w:val="26"/>
          <w:szCs w:val="26"/>
        </w:rPr>
      </w:pPr>
    </w:p>
    <w:p w14:paraId="25E92AC3" w14:textId="77777777" w:rsidR="008B3DA5" w:rsidRDefault="008B3DA5" w:rsidP="00E218B9">
      <w:pPr>
        <w:pStyle w:val="BodyText"/>
        <w:jc w:val="both"/>
        <w:rPr>
          <w:sz w:val="26"/>
          <w:szCs w:val="26"/>
        </w:rPr>
      </w:pPr>
    </w:p>
    <w:p w14:paraId="5EFF4A73" w14:textId="77777777" w:rsidR="006B55BA" w:rsidRDefault="00AC1A2E" w:rsidP="00E218B9">
      <w:pPr>
        <w:pStyle w:val="BodyText"/>
        <w:jc w:val="both"/>
        <w:rPr>
          <w:sz w:val="26"/>
          <w:szCs w:val="26"/>
        </w:rPr>
      </w:pPr>
      <w:r w:rsidRPr="00372421">
        <w:rPr>
          <w:sz w:val="26"/>
          <w:szCs w:val="26"/>
        </w:rPr>
        <w:t>Finanšu ministr</w:t>
      </w:r>
      <w:r w:rsidR="006B55BA">
        <w:rPr>
          <w:sz w:val="26"/>
          <w:szCs w:val="26"/>
        </w:rPr>
        <w:t>a vietā</w:t>
      </w:r>
    </w:p>
    <w:p w14:paraId="1721EC2D" w14:textId="4C986AAE" w:rsidR="00D444BA" w:rsidRPr="00372421" w:rsidRDefault="006B55BA" w:rsidP="00E218B9">
      <w:pPr>
        <w:pStyle w:val="BodyText"/>
        <w:jc w:val="both"/>
        <w:rPr>
          <w:sz w:val="26"/>
          <w:szCs w:val="26"/>
        </w:rPr>
      </w:pPr>
      <w:r>
        <w:rPr>
          <w:sz w:val="26"/>
          <w:szCs w:val="26"/>
        </w:rPr>
        <w:t>Ministru prezidents</w:t>
      </w:r>
      <w:r w:rsidR="00857FA9" w:rsidRPr="00372421">
        <w:rPr>
          <w:sz w:val="26"/>
          <w:szCs w:val="26"/>
        </w:rPr>
        <w:tab/>
      </w:r>
      <w:r w:rsidR="00857FA9" w:rsidRPr="00372421">
        <w:rPr>
          <w:sz w:val="26"/>
          <w:szCs w:val="26"/>
        </w:rPr>
        <w:tab/>
      </w:r>
      <w:r w:rsidR="00857FA9" w:rsidRPr="00372421">
        <w:rPr>
          <w:sz w:val="26"/>
          <w:szCs w:val="26"/>
        </w:rPr>
        <w:tab/>
      </w:r>
      <w:r w:rsidR="00857FA9" w:rsidRPr="00372421">
        <w:rPr>
          <w:sz w:val="26"/>
          <w:szCs w:val="26"/>
        </w:rPr>
        <w:tab/>
      </w:r>
      <w:r w:rsidR="0091691A" w:rsidRPr="00372421">
        <w:rPr>
          <w:sz w:val="26"/>
          <w:szCs w:val="26"/>
        </w:rPr>
        <w:tab/>
      </w:r>
      <w:r w:rsidR="0091691A" w:rsidRPr="00372421">
        <w:rPr>
          <w:sz w:val="26"/>
          <w:szCs w:val="26"/>
        </w:rPr>
        <w:tab/>
      </w:r>
      <w:r w:rsidR="009D1F15" w:rsidRPr="00372421">
        <w:rPr>
          <w:sz w:val="26"/>
          <w:szCs w:val="26"/>
        </w:rPr>
        <w:t xml:space="preserve">                      </w:t>
      </w:r>
      <w:proofErr w:type="spellStart"/>
      <w:r w:rsidR="00F47E7F">
        <w:rPr>
          <w:sz w:val="26"/>
          <w:szCs w:val="26"/>
        </w:rPr>
        <w:t>A.K.Kariņš</w:t>
      </w:r>
      <w:proofErr w:type="spellEnd"/>
      <w:r w:rsidR="0091691A" w:rsidRPr="00372421">
        <w:rPr>
          <w:sz w:val="26"/>
          <w:szCs w:val="26"/>
        </w:rPr>
        <w:tab/>
      </w:r>
    </w:p>
    <w:p w14:paraId="0B6E3685" w14:textId="77777777" w:rsidR="00E218B9" w:rsidRPr="007D3E6E" w:rsidRDefault="00E218B9" w:rsidP="00E218B9">
      <w:pPr>
        <w:pStyle w:val="BodyText"/>
        <w:jc w:val="both"/>
        <w:rPr>
          <w:sz w:val="24"/>
        </w:rPr>
      </w:pPr>
    </w:p>
    <w:p w14:paraId="3329C5E9" w14:textId="58953457" w:rsidR="002837F3" w:rsidRDefault="002837F3" w:rsidP="000C703D">
      <w:pPr>
        <w:pStyle w:val="BodyText"/>
        <w:jc w:val="left"/>
        <w:rPr>
          <w:sz w:val="20"/>
          <w:szCs w:val="20"/>
        </w:rPr>
      </w:pPr>
    </w:p>
    <w:p w14:paraId="6F05E33E" w14:textId="4C14E173" w:rsidR="00DE03E0" w:rsidRDefault="00DE03E0" w:rsidP="000C703D">
      <w:pPr>
        <w:pStyle w:val="BodyText"/>
        <w:jc w:val="left"/>
        <w:rPr>
          <w:sz w:val="20"/>
          <w:szCs w:val="20"/>
        </w:rPr>
      </w:pPr>
    </w:p>
    <w:p w14:paraId="5819CEA5" w14:textId="77777777" w:rsidR="00DE03E0" w:rsidRDefault="00DE03E0" w:rsidP="000C703D">
      <w:pPr>
        <w:pStyle w:val="BodyText"/>
        <w:jc w:val="left"/>
        <w:rPr>
          <w:sz w:val="20"/>
          <w:szCs w:val="20"/>
        </w:rPr>
      </w:pPr>
    </w:p>
    <w:p w14:paraId="0CDD299B" w14:textId="17B199CC" w:rsidR="002837F3" w:rsidRDefault="002837F3" w:rsidP="000C703D">
      <w:pPr>
        <w:pStyle w:val="BodyText"/>
        <w:jc w:val="left"/>
        <w:rPr>
          <w:sz w:val="16"/>
          <w:szCs w:val="16"/>
        </w:rPr>
      </w:pPr>
    </w:p>
    <w:p w14:paraId="1365D4BE" w14:textId="6EA1A66F" w:rsidR="00F47E7F" w:rsidRDefault="00F47E7F" w:rsidP="000C703D">
      <w:pPr>
        <w:pStyle w:val="BodyText"/>
        <w:jc w:val="left"/>
        <w:rPr>
          <w:sz w:val="16"/>
          <w:szCs w:val="16"/>
        </w:rPr>
      </w:pPr>
    </w:p>
    <w:p w14:paraId="11FBE742" w14:textId="5B9E91E8" w:rsidR="00F47E7F" w:rsidRDefault="00F47E7F" w:rsidP="000C703D">
      <w:pPr>
        <w:pStyle w:val="BodyText"/>
        <w:jc w:val="left"/>
        <w:rPr>
          <w:sz w:val="16"/>
          <w:szCs w:val="16"/>
        </w:rPr>
      </w:pPr>
    </w:p>
    <w:p w14:paraId="6D504FC3" w14:textId="77777777" w:rsidR="00F47E7F" w:rsidRPr="00372421" w:rsidRDefault="00F47E7F" w:rsidP="000C703D">
      <w:pPr>
        <w:pStyle w:val="BodyText"/>
        <w:jc w:val="left"/>
        <w:rPr>
          <w:sz w:val="16"/>
          <w:szCs w:val="16"/>
        </w:rPr>
      </w:pPr>
    </w:p>
    <w:p w14:paraId="1B91D7E2" w14:textId="6D67345E" w:rsidR="002837F3" w:rsidRPr="00372421" w:rsidRDefault="000E0985" w:rsidP="000C703D">
      <w:pPr>
        <w:pStyle w:val="BodyText"/>
        <w:jc w:val="left"/>
        <w:rPr>
          <w:sz w:val="16"/>
          <w:szCs w:val="16"/>
        </w:rPr>
      </w:pPr>
      <w:r>
        <w:rPr>
          <w:sz w:val="16"/>
          <w:szCs w:val="16"/>
        </w:rPr>
        <w:t>Līva,</w:t>
      </w:r>
      <w:r w:rsidR="002837F3" w:rsidRPr="00372421">
        <w:rPr>
          <w:sz w:val="16"/>
          <w:szCs w:val="16"/>
        </w:rPr>
        <w:t xml:space="preserve"> 670</w:t>
      </w:r>
      <w:r>
        <w:rPr>
          <w:sz w:val="16"/>
          <w:szCs w:val="16"/>
        </w:rPr>
        <w:t>83822</w:t>
      </w:r>
    </w:p>
    <w:p w14:paraId="4513B1E6" w14:textId="111B3B1C" w:rsidR="002837F3" w:rsidRPr="00372421" w:rsidRDefault="006E0377" w:rsidP="000C703D">
      <w:pPr>
        <w:pStyle w:val="BodyText"/>
        <w:jc w:val="left"/>
        <w:rPr>
          <w:sz w:val="16"/>
          <w:szCs w:val="16"/>
        </w:rPr>
      </w:pPr>
      <w:hyperlink r:id="rId8" w:history="1">
        <w:r w:rsidR="000B091A" w:rsidRPr="00864BBA">
          <w:rPr>
            <w:rStyle w:val="Hyperlink"/>
            <w:sz w:val="16"/>
            <w:szCs w:val="16"/>
          </w:rPr>
          <w:t>evija.liva@fm.gov.lv</w:t>
        </w:r>
      </w:hyperlink>
    </w:p>
    <w:sectPr w:rsidR="002837F3" w:rsidRPr="00372421" w:rsidSect="002D3E38">
      <w:headerReference w:type="even" r:id="rId9"/>
      <w:headerReference w:type="default" r:id="rId10"/>
      <w:footerReference w:type="even" r:id="rId11"/>
      <w:footerReference w:type="default" r:id="rId12"/>
      <w:headerReference w:type="first" r:id="rId13"/>
      <w:footerReference w:type="first" r:id="rId14"/>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B966" w14:textId="77777777" w:rsidR="006E0377" w:rsidRDefault="006E0377" w:rsidP="009A7EE9">
      <w:r>
        <w:separator/>
      </w:r>
    </w:p>
  </w:endnote>
  <w:endnote w:type="continuationSeparator" w:id="0">
    <w:p w14:paraId="7B563F3E" w14:textId="77777777" w:rsidR="006E0377" w:rsidRDefault="006E0377"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F136" w14:textId="77777777" w:rsidR="001E78CC" w:rsidRDefault="001E7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8027" w14:textId="1183FAB0" w:rsidR="00320C6A" w:rsidRPr="00DE03E0" w:rsidRDefault="003F1B84" w:rsidP="009D6DC8">
    <w:pPr>
      <w:pStyle w:val="Footer"/>
      <w:rPr>
        <w:sz w:val="20"/>
        <w:szCs w:val="20"/>
      </w:rP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1E78CC">
      <w:rPr>
        <w:noProof/>
        <w:sz w:val="20"/>
        <w:szCs w:val="20"/>
      </w:rPr>
      <w:t>FMAnot_Iemaksu palielinājums_190919.docx</w:t>
    </w:r>
    <w:r w:rsidRPr="00DE03E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CCB2" w14:textId="1A90B183" w:rsidR="00DE03E0" w:rsidRDefault="00DE03E0">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1E78CC">
      <w:rPr>
        <w:noProof/>
        <w:sz w:val="20"/>
        <w:szCs w:val="20"/>
      </w:rPr>
      <w:t>FMAnot_Iemaksu palielinājums_190919.docx</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6131" w14:textId="77777777" w:rsidR="006E0377" w:rsidRDefault="006E0377" w:rsidP="009A7EE9">
      <w:r>
        <w:separator/>
      </w:r>
    </w:p>
  </w:footnote>
  <w:footnote w:type="continuationSeparator" w:id="0">
    <w:p w14:paraId="1B5D2125" w14:textId="77777777" w:rsidR="006E0377" w:rsidRDefault="006E0377"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6C11" w14:textId="77777777" w:rsidR="001E78CC" w:rsidRDefault="001E7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612465"/>
      <w:docPartObj>
        <w:docPartGallery w:val="Page Numbers (Top of Page)"/>
        <w:docPartUnique/>
      </w:docPartObj>
    </w:sdtPr>
    <w:sdtEndPr>
      <w:rPr>
        <w:noProof/>
      </w:rPr>
    </w:sdtEndPr>
    <w:sdtContent>
      <w:p w14:paraId="47A5915D" w14:textId="09C6A21C" w:rsidR="00320C6A" w:rsidRDefault="00320C6A">
        <w:pPr>
          <w:pStyle w:val="Header"/>
          <w:jc w:val="center"/>
        </w:pPr>
        <w:r>
          <w:fldChar w:fldCharType="begin"/>
        </w:r>
        <w:r>
          <w:instrText xml:space="preserve"> PAGE   \* MERGEFORMAT </w:instrText>
        </w:r>
        <w:r>
          <w:fldChar w:fldCharType="separate"/>
        </w:r>
        <w:r w:rsidR="001E78CC">
          <w:rPr>
            <w:noProof/>
          </w:rPr>
          <w:t>2</w:t>
        </w:r>
        <w:r>
          <w:rPr>
            <w:noProof/>
          </w:rPr>
          <w:fldChar w:fldCharType="end"/>
        </w:r>
      </w:p>
    </w:sdtContent>
  </w:sdt>
  <w:p w14:paraId="35C688AF" w14:textId="77777777" w:rsidR="00320C6A" w:rsidRDefault="00320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C4E8" w14:textId="77777777" w:rsidR="001E78CC" w:rsidRDefault="001E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E3345E4"/>
    <w:multiLevelType w:val="hybridMultilevel"/>
    <w:tmpl w:val="0FE2A1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4"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6"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7" w15:restartNumberingAfterBreak="0">
    <w:nsid w:val="3FED347F"/>
    <w:multiLevelType w:val="hybridMultilevel"/>
    <w:tmpl w:val="75EAFC46"/>
    <w:lvl w:ilvl="0" w:tplc="0426000F">
      <w:start w:val="1"/>
      <w:numFmt w:val="decimal"/>
      <w:lvlText w:val="%1."/>
      <w:lvlJc w:val="left"/>
      <w:pPr>
        <w:ind w:left="1129" w:hanging="360"/>
      </w:p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8"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2"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3"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0"/>
  </w:num>
  <w:num w:numId="6">
    <w:abstractNumId w:val="14"/>
  </w:num>
  <w:num w:numId="7">
    <w:abstractNumId w:val="8"/>
  </w:num>
  <w:num w:numId="8">
    <w:abstractNumId w:val="15"/>
  </w:num>
  <w:num w:numId="9">
    <w:abstractNumId w:val="13"/>
  </w:num>
  <w:num w:numId="10">
    <w:abstractNumId w:val="12"/>
  </w:num>
  <w:num w:numId="11">
    <w:abstractNumId w:val="5"/>
  </w:num>
  <w:num w:numId="12">
    <w:abstractNumId w:val="3"/>
  </w:num>
  <w:num w:numId="13">
    <w:abstractNumId w:val="2"/>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28"/>
    <w:rsid w:val="000044FA"/>
    <w:rsid w:val="00011587"/>
    <w:rsid w:val="00011820"/>
    <w:rsid w:val="0005038A"/>
    <w:rsid w:val="000614F5"/>
    <w:rsid w:val="00064F32"/>
    <w:rsid w:val="000766F8"/>
    <w:rsid w:val="000818D2"/>
    <w:rsid w:val="00085845"/>
    <w:rsid w:val="000871F0"/>
    <w:rsid w:val="000916CE"/>
    <w:rsid w:val="000A17C2"/>
    <w:rsid w:val="000A6B9A"/>
    <w:rsid w:val="000B091A"/>
    <w:rsid w:val="000B283D"/>
    <w:rsid w:val="000B2CA0"/>
    <w:rsid w:val="000C07B8"/>
    <w:rsid w:val="000C703D"/>
    <w:rsid w:val="000D0EFF"/>
    <w:rsid w:val="000E0985"/>
    <w:rsid w:val="00110F94"/>
    <w:rsid w:val="00111617"/>
    <w:rsid w:val="0012264C"/>
    <w:rsid w:val="001509E7"/>
    <w:rsid w:val="00152ECC"/>
    <w:rsid w:val="00156E18"/>
    <w:rsid w:val="001611E9"/>
    <w:rsid w:val="00162EB9"/>
    <w:rsid w:val="00170CFC"/>
    <w:rsid w:val="00171A81"/>
    <w:rsid w:val="00183027"/>
    <w:rsid w:val="0019469A"/>
    <w:rsid w:val="001B419D"/>
    <w:rsid w:val="001C0756"/>
    <w:rsid w:val="001C1669"/>
    <w:rsid w:val="001C59ED"/>
    <w:rsid w:val="001E78CC"/>
    <w:rsid w:val="00202D39"/>
    <w:rsid w:val="0020584E"/>
    <w:rsid w:val="002128BD"/>
    <w:rsid w:val="002204E8"/>
    <w:rsid w:val="00253DCA"/>
    <w:rsid w:val="00261740"/>
    <w:rsid w:val="0027336A"/>
    <w:rsid w:val="0028027D"/>
    <w:rsid w:val="002837F3"/>
    <w:rsid w:val="00283E0D"/>
    <w:rsid w:val="00285775"/>
    <w:rsid w:val="002A3849"/>
    <w:rsid w:val="002A5180"/>
    <w:rsid w:val="002B19A5"/>
    <w:rsid w:val="002B3D2F"/>
    <w:rsid w:val="002B5EE7"/>
    <w:rsid w:val="002C3D81"/>
    <w:rsid w:val="002C3DC9"/>
    <w:rsid w:val="002D34CC"/>
    <w:rsid w:val="002D3E38"/>
    <w:rsid w:val="002E5C95"/>
    <w:rsid w:val="002F4A0D"/>
    <w:rsid w:val="002F5428"/>
    <w:rsid w:val="00301CBB"/>
    <w:rsid w:val="00304F3B"/>
    <w:rsid w:val="00320C6A"/>
    <w:rsid w:val="0032120D"/>
    <w:rsid w:val="0032647A"/>
    <w:rsid w:val="00335619"/>
    <w:rsid w:val="00341D9C"/>
    <w:rsid w:val="00352431"/>
    <w:rsid w:val="00363F9A"/>
    <w:rsid w:val="00370F44"/>
    <w:rsid w:val="00372421"/>
    <w:rsid w:val="003735E2"/>
    <w:rsid w:val="00384F7C"/>
    <w:rsid w:val="003B60B8"/>
    <w:rsid w:val="003C21F6"/>
    <w:rsid w:val="003C6F6D"/>
    <w:rsid w:val="003D6BD2"/>
    <w:rsid w:val="003E3E05"/>
    <w:rsid w:val="003F10D1"/>
    <w:rsid w:val="003F1B84"/>
    <w:rsid w:val="003F4BF1"/>
    <w:rsid w:val="00401C55"/>
    <w:rsid w:val="00407869"/>
    <w:rsid w:val="004170B3"/>
    <w:rsid w:val="00422AFA"/>
    <w:rsid w:val="004422AA"/>
    <w:rsid w:val="00455577"/>
    <w:rsid w:val="0047084C"/>
    <w:rsid w:val="00474ED8"/>
    <w:rsid w:val="00480A1B"/>
    <w:rsid w:val="00482307"/>
    <w:rsid w:val="004876F3"/>
    <w:rsid w:val="00493060"/>
    <w:rsid w:val="004A456A"/>
    <w:rsid w:val="004A7D0E"/>
    <w:rsid w:val="004B0522"/>
    <w:rsid w:val="004B4E72"/>
    <w:rsid w:val="004C2D52"/>
    <w:rsid w:val="004C4D7F"/>
    <w:rsid w:val="004D1D9A"/>
    <w:rsid w:val="004D5A33"/>
    <w:rsid w:val="004F70B8"/>
    <w:rsid w:val="005222BD"/>
    <w:rsid w:val="00524414"/>
    <w:rsid w:val="00524926"/>
    <w:rsid w:val="005331D5"/>
    <w:rsid w:val="0053409A"/>
    <w:rsid w:val="00542B98"/>
    <w:rsid w:val="005437C3"/>
    <w:rsid w:val="00545A7B"/>
    <w:rsid w:val="00563563"/>
    <w:rsid w:val="00567C3A"/>
    <w:rsid w:val="005717CC"/>
    <w:rsid w:val="005802FC"/>
    <w:rsid w:val="00580CBE"/>
    <w:rsid w:val="00583D19"/>
    <w:rsid w:val="005B0615"/>
    <w:rsid w:val="005B7346"/>
    <w:rsid w:val="005C5BDA"/>
    <w:rsid w:val="005D0284"/>
    <w:rsid w:val="005D2988"/>
    <w:rsid w:val="005D489A"/>
    <w:rsid w:val="005D7B3B"/>
    <w:rsid w:val="005E0012"/>
    <w:rsid w:val="005E37B5"/>
    <w:rsid w:val="005E435A"/>
    <w:rsid w:val="005E6150"/>
    <w:rsid w:val="00603455"/>
    <w:rsid w:val="00611862"/>
    <w:rsid w:val="00630442"/>
    <w:rsid w:val="00632159"/>
    <w:rsid w:val="00641D60"/>
    <w:rsid w:val="006423EF"/>
    <w:rsid w:val="00644EA2"/>
    <w:rsid w:val="00645290"/>
    <w:rsid w:val="00652E48"/>
    <w:rsid w:val="00664DE2"/>
    <w:rsid w:val="00666039"/>
    <w:rsid w:val="006835FE"/>
    <w:rsid w:val="00684B77"/>
    <w:rsid w:val="006A556C"/>
    <w:rsid w:val="006B05E0"/>
    <w:rsid w:val="006B3BBA"/>
    <w:rsid w:val="006B55BA"/>
    <w:rsid w:val="006D245F"/>
    <w:rsid w:val="006D76D5"/>
    <w:rsid w:val="006E0377"/>
    <w:rsid w:val="006E2550"/>
    <w:rsid w:val="006F2B5A"/>
    <w:rsid w:val="006F4715"/>
    <w:rsid w:val="0070316C"/>
    <w:rsid w:val="00705A8F"/>
    <w:rsid w:val="0071285B"/>
    <w:rsid w:val="00725640"/>
    <w:rsid w:val="00751999"/>
    <w:rsid w:val="00754E7D"/>
    <w:rsid w:val="0076081E"/>
    <w:rsid w:val="00763F04"/>
    <w:rsid w:val="0076428F"/>
    <w:rsid w:val="00764807"/>
    <w:rsid w:val="007733C9"/>
    <w:rsid w:val="00777791"/>
    <w:rsid w:val="00790DC9"/>
    <w:rsid w:val="00793B6F"/>
    <w:rsid w:val="007B6C93"/>
    <w:rsid w:val="007C0493"/>
    <w:rsid w:val="007C300C"/>
    <w:rsid w:val="007C4626"/>
    <w:rsid w:val="007D3E62"/>
    <w:rsid w:val="007D3E6E"/>
    <w:rsid w:val="007D4F71"/>
    <w:rsid w:val="007D693E"/>
    <w:rsid w:val="007E0FA9"/>
    <w:rsid w:val="007E157D"/>
    <w:rsid w:val="007E492A"/>
    <w:rsid w:val="007F18B8"/>
    <w:rsid w:val="00811EAA"/>
    <w:rsid w:val="00811F34"/>
    <w:rsid w:val="00814BB4"/>
    <w:rsid w:val="008278B4"/>
    <w:rsid w:val="008322A7"/>
    <w:rsid w:val="008336C8"/>
    <w:rsid w:val="008412CC"/>
    <w:rsid w:val="0085126E"/>
    <w:rsid w:val="00853AC5"/>
    <w:rsid w:val="008556ED"/>
    <w:rsid w:val="00857FA9"/>
    <w:rsid w:val="0086037C"/>
    <w:rsid w:val="00860930"/>
    <w:rsid w:val="00870008"/>
    <w:rsid w:val="00871282"/>
    <w:rsid w:val="00875E3E"/>
    <w:rsid w:val="008A5638"/>
    <w:rsid w:val="008B1594"/>
    <w:rsid w:val="008B3DA5"/>
    <w:rsid w:val="008B46B2"/>
    <w:rsid w:val="008C0091"/>
    <w:rsid w:val="008C4C8E"/>
    <w:rsid w:val="008C54BF"/>
    <w:rsid w:val="008E0870"/>
    <w:rsid w:val="008E3C19"/>
    <w:rsid w:val="008E5B7C"/>
    <w:rsid w:val="008F6918"/>
    <w:rsid w:val="00905312"/>
    <w:rsid w:val="0091691A"/>
    <w:rsid w:val="009226DC"/>
    <w:rsid w:val="009228D2"/>
    <w:rsid w:val="00923946"/>
    <w:rsid w:val="00927A17"/>
    <w:rsid w:val="00930BF9"/>
    <w:rsid w:val="00932481"/>
    <w:rsid w:val="00945363"/>
    <w:rsid w:val="00962079"/>
    <w:rsid w:val="0096231B"/>
    <w:rsid w:val="00964B8D"/>
    <w:rsid w:val="009757FD"/>
    <w:rsid w:val="00977221"/>
    <w:rsid w:val="00982034"/>
    <w:rsid w:val="009873B8"/>
    <w:rsid w:val="0099499C"/>
    <w:rsid w:val="009A48FE"/>
    <w:rsid w:val="009A4A62"/>
    <w:rsid w:val="009A6715"/>
    <w:rsid w:val="009A7EE9"/>
    <w:rsid w:val="009C6D89"/>
    <w:rsid w:val="009C7F21"/>
    <w:rsid w:val="009D1F15"/>
    <w:rsid w:val="009D36DE"/>
    <w:rsid w:val="009D6DC8"/>
    <w:rsid w:val="009E5A67"/>
    <w:rsid w:val="009F065F"/>
    <w:rsid w:val="00A0018F"/>
    <w:rsid w:val="00A02827"/>
    <w:rsid w:val="00A11E5A"/>
    <w:rsid w:val="00A12EFD"/>
    <w:rsid w:val="00A23985"/>
    <w:rsid w:val="00A26A03"/>
    <w:rsid w:val="00A310DC"/>
    <w:rsid w:val="00A37ADF"/>
    <w:rsid w:val="00A511BA"/>
    <w:rsid w:val="00A8127B"/>
    <w:rsid w:val="00A85919"/>
    <w:rsid w:val="00A914D2"/>
    <w:rsid w:val="00A93CF7"/>
    <w:rsid w:val="00A97367"/>
    <w:rsid w:val="00AA1528"/>
    <w:rsid w:val="00AA4A17"/>
    <w:rsid w:val="00AA5033"/>
    <w:rsid w:val="00AB45E9"/>
    <w:rsid w:val="00AB7DDF"/>
    <w:rsid w:val="00AC14B6"/>
    <w:rsid w:val="00AC1A2E"/>
    <w:rsid w:val="00AC7C0E"/>
    <w:rsid w:val="00AD2335"/>
    <w:rsid w:val="00AD3761"/>
    <w:rsid w:val="00AD6E8B"/>
    <w:rsid w:val="00AE7DAC"/>
    <w:rsid w:val="00B03683"/>
    <w:rsid w:val="00B05D95"/>
    <w:rsid w:val="00B14C2E"/>
    <w:rsid w:val="00B17BAC"/>
    <w:rsid w:val="00B270FD"/>
    <w:rsid w:val="00B2761E"/>
    <w:rsid w:val="00B2791A"/>
    <w:rsid w:val="00B340BE"/>
    <w:rsid w:val="00B344E5"/>
    <w:rsid w:val="00B3568E"/>
    <w:rsid w:val="00B37017"/>
    <w:rsid w:val="00B4749B"/>
    <w:rsid w:val="00B61A29"/>
    <w:rsid w:val="00B64477"/>
    <w:rsid w:val="00B672D4"/>
    <w:rsid w:val="00B71A99"/>
    <w:rsid w:val="00B7663C"/>
    <w:rsid w:val="00B87AF4"/>
    <w:rsid w:val="00B946E5"/>
    <w:rsid w:val="00BA091C"/>
    <w:rsid w:val="00BA10D2"/>
    <w:rsid w:val="00BA4D20"/>
    <w:rsid w:val="00BA7526"/>
    <w:rsid w:val="00BB2AB5"/>
    <w:rsid w:val="00BC3853"/>
    <w:rsid w:val="00BD2338"/>
    <w:rsid w:val="00BD4180"/>
    <w:rsid w:val="00BD7235"/>
    <w:rsid w:val="00BD7B24"/>
    <w:rsid w:val="00BF0C19"/>
    <w:rsid w:val="00BF18C9"/>
    <w:rsid w:val="00BF7635"/>
    <w:rsid w:val="00C13638"/>
    <w:rsid w:val="00C142F2"/>
    <w:rsid w:val="00C335C5"/>
    <w:rsid w:val="00C41B93"/>
    <w:rsid w:val="00C41E55"/>
    <w:rsid w:val="00C437F7"/>
    <w:rsid w:val="00C44880"/>
    <w:rsid w:val="00C57036"/>
    <w:rsid w:val="00C61270"/>
    <w:rsid w:val="00C621A0"/>
    <w:rsid w:val="00C63854"/>
    <w:rsid w:val="00C64112"/>
    <w:rsid w:val="00C656FF"/>
    <w:rsid w:val="00C66B75"/>
    <w:rsid w:val="00C73478"/>
    <w:rsid w:val="00C8713F"/>
    <w:rsid w:val="00C94740"/>
    <w:rsid w:val="00CB2E04"/>
    <w:rsid w:val="00CC1E07"/>
    <w:rsid w:val="00CC3A0B"/>
    <w:rsid w:val="00CF1350"/>
    <w:rsid w:val="00CF2F7B"/>
    <w:rsid w:val="00D0076B"/>
    <w:rsid w:val="00D25421"/>
    <w:rsid w:val="00D309B0"/>
    <w:rsid w:val="00D312A6"/>
    <w:rsid w:val="00D35326"/>
    <w:rsid w:val="00D43AB3"/>
    <w:rsid w:val="00D444BA"/>
    <w:rsid w:val="00D54B2D"/>
    <w:rsid w:val="00D6079A"/>
    <w:rsid w:val="00D81DFB"/>
    <w:rsid w:val="00D82EC1"/>
    <w:rsid w:val="00D84D37"/>
    <w:rsid w:val="00D90423"/>
    <w:rsid w:val="00D94EC3"/>
    <w:rsid w:val="00D97850"/>
    <w:rsid w:val="00DA451A"/>
    <w:rsid w:val="00DA6359"/>
    <w:rsid w:val="00DB1865"/>
    <w:rsid w:val="00DB2426"/>
    <w:rsid w:val="00DB37C4"/>
    <w:rsid w:val="00DB5A7F"/>
    <w:rsid w:val="00DB7B48"/>
    <w:rsid w:val="00DC37EA"/>
    <w:rsid w:val="00DE03E0"/>
    <w:rsid w:val="00DE1003"/>
    <w:rsid w:val="00DE3336"/>
    <w:rsid w:val="00DE6271"/>
    <w:rsid w:val="00E16501"/>
    <w:rsid w:val="00E218B9"/>
    <w:rsid w:val="00E315C4"/>
    <w:rsid w:val="00E366AD"/>
    <w:rsid w:val="00E458CF"/>
    <w:rsid w:val="00E47E33"/>
    <w:rsid w:val="00E50E39"/>
    <w:rsid w:val="00E72AB6"/>
    <w:rsid w:val="00E8499A"/>
    <w:rsid w:val="00E86357"/>
    <w:rsid w:val="00E9156E"/>
    <w:rsid w:val="00EA6C2F"/>
    <w:rsid w:val="00EB582C"/>
    <w:rsid w:val="00ED59B9"/>
    <w:rsid w:val="00EE3ADF"/>
    <w:rsid w:val="00EE4FC4"/>
    <w:rsid w:val="00F14DB0"/>
    <w:rsid w:val="00F14F02"/>
    <w:rsid w:val="00F154FE"/>
    <w:rsid w:val="00F21AC1"/>
    <w:rsid w:val="00F32B28"/>
    <w:rsid w:val="00F405EC"/>
    <w:rsid w:val="00F46EED"/>
    <w:rsid w:val="00F47E7F"/>
    <w:rsid w:val="00F529F2"/>
    <w:rsid w:val="00F74692"/>
    <w:rsid w:val="00F920C2"/>
    <w:rsid w:val="00F95876"/>
    <w:rsid w:val="00FA0AC6"/>
    <w:rsid w:val="00FA753E"/>
    <w:rsid w:val="00FC248C"/>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33996498">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liv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8693-ED2E-4C6A-825B-25FCA51D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7146</Words>
  <Characters>4074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palielinājumu Finanšu ministrijas budžeta apakšprogrammā 41.01.00 „Iemaksas Eiropas Kopienas budžetā”” sākotnējās ietekmes novērtējuma ziņojums (anotācija)</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palielinājumu Finanšu ministrijas budžeta apakšprogrammā 41.01.00 „Iemaksas Eiropas Kopienas budžetā”” sākotnējās ietekmes novērtējuma ziņojums (anotācija)</dc:title>
  <dc:subject>Anotācija</dc:subject>
  <dc:creator>Evija Līva</dc:creator>
  <cp:keywords/>
  <dc:description>evija.liva@fm.gov.lv; 67083822</dc:description>
  <cp:lastModifiedBy>Laimdota Adlere</cp:lastModifiedBy>
  <cp:revision>3</cp:revision>
  <cp:lastPrinted>2019-09-11T11:17:00Z</cp:lastPrinted>
  <dcterms:created xsi:type="dcterms:W3CDTF">2019-09-24T06:31:00Z</dcterms:created>
  <dcterms:modified xsi:type="dcterms:W3CDTF">2019-09-24T06:31:00Z</dcterms:modified>
</cp:coreProperties>
</file>