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ABFA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  <w:r w:rsidRPr="00EF4080">
        <w:rPr>
          <w:iCs w:val="0"/>
          <w:szCs w:val="28"/>
          <w:lang w:eastAsia="lv-LV"/>
        </w:rPr>
        <w:t>Projekts</w:t>
      </w:r>
    </w:p>
    <w:p w14:paraId="42307A26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7AE7C620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LATVIJAS REPUBLIKAS MINISTRU KABINETS</w:t>
      </w:r>
    </w:p>
    <w:p w14:paraId="28A8B82E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6BAE8E9B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2A1BE9B" w14:textId="0770921D" w:rsidR="0053581A" w:rsidRPr="00EF58AD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58AD">
        <w:rPr>
          <w:iCs w:val="0"/>
          <w:szCs w:val="28"/>
          <w:lang w:eastAsia="lv-LV"/>
        </w:rPr>
        <w:t>201</w:t>
      </w:r>
      <w:r w:rsidR="00EF58AD" w:rsidRPr="00EF58AD">
        <w:rPr>
          <w:iCs w:val="0"/>
          <w:szCs w:val="28"/>
          <w:lang w:eastAsia="lv-LV"/>
        </w:rPr>
        <w:t>9</w:t>
      </w:r>
      <w:r w:rsidRPr="00EF58AD">
        <w:rPr>
          <w:iCs w:val="0"/>
          <w:szCs w:val="28"/>
          <w:lang w:eastAsia="lv-LV"/>
        </w:rPr>
        <w:t>.</w:t>
      </w:r>
      <w:r w:rsidR="0035767B">
        <w:rPr>
          <w:iCs w:val="0"/>
          <w:szCs w:val="28"/>
          <w:lang w:eastAsia="lv-LV"/>
        </w:rPr>
        <w:t xml:space="preserve"> </w:t>
      </w:r>
      <w:r w:rsidRPr="00EF58AD">
        <w:rPr>
          <w:iCs w:val="0"/>
          <w:szCs w:val="28"/>
          <w:lang w:eastAsia="lv-LV"/>
        </w:rPr>
        <w:t>gada</w:t>
      </w:r>
      <w:r w:rsidRPr="00EF58AD">
        <w:rPr>
          <w:iCs w:val="0"/>
          <w:szCs w:val="28"/>
          <w:lang w:eastAsia="lv-LV"/>
        </w:rPr>
        <w:tab/>
        <w:t>Noteikumi Nr.</w:t>
      </w:r>
    </w:p>
    <w:p w14:paraId="321A022C" w14:textId="0F69A070" w:rsidR="0053581A" w:rsidRPr="00EF58AD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58AD">
        <w:rPr>
          <w:iCs w:val="0"/>
          <w:szCs w:val="28"/>
          <w:lang w:eastAsia="lv-LV"/>
        </w:rPr>
        <w:t>Rīgā</w:t>
      </w:r>
      <w:r w:rsidRPr="00EF58AD">
        <w:rPr>
          <w:iCs w:val="0"/>
          <w:szCs w:val="28"/>
          <w:lang w:eastAsia="lv-LV"/>
        </w:rPr>
        <w:tab/>
        <w:t>(prot.</w:t>
      </w:r>
      <w:r w:rsidR="00BB02EE" w:rsidRPr="00EF58AD">
        <w:rPr>
          <w:iCs w:val="0"/>
          <w:szCs w:val="28"/>
          <w:lang w:eastAsia="lv-LV"/>
        </w:rPr>
        <w:t xml:space="preserve"> </w:t>
      </w:r>
      <w:r w:rsidRPr="00EF58AD">
        <w:rPr>
          <w:iCs w:val="0"/>
          <w:szCs w:val="28"/>
          <w:lang w:eastAsia="lv-LV"/>
        </w:rPr>
        <w:t xml:space="preserve">Nr.      </w:t>
      </w:r>
      <w:r w:rsidR="00BB02EE" w:rsidRPr="00EF58AD">
        <w:rPr>
          <w:iCs w:val="0"/>
          <w:szCs w:val="28"/>
          <w:lang w:eastAsia="lv-LV"/>
        </w:rPr>
        <w:t>.</w:t>
      </w:r>
      <w:r w:rsidRPr="00EF58AD">
        <w:rPr>
          <w:iCs w:val="0"/>
          <w:szCs w:val="28"/>
          <w:lang w:eastAsia="lv-LV"/>
        </w:rPr>
        <w:t>§)</w:t>
      </w:r>
    </w:p>
    <w:p w14:paraId="2AD21EDD" w14:textId="77777777" w:rsidR="0053581A" w:rsidRPr="00EF58AD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9F6C5B2" w14:textId="0AF2DDD5" w:rsidR="0053581A" w:rsidRPr="00EF58AD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47D44F05" w14:textId="6F0D01E6" w:rsidR="0053581A" w:rsidRPr="00EF58AD" w:rsidRDefault="00B754E8" w:rsidP="00B754E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EF58AD">
        <w:rPr>
          <w:b/>
          <w:bCs/>
          <w:szCs w:val="28"/>
        </w:rPr>
        <w:t xml:space="preserve">Noteikumi par </w:t>
      </w:r>
      <w:r w:rsidR="00EF58AD" w:rsidRPr="00EF58AD">
        <w:rPr>
          <w:b/>
          <w:bCs/>
          <w:szCs w:val="28"/>
        </w:rPr>
        <w:t xml:space="preserve">izložu un azartspēļu nodokļa pārskatu veidlapu paraugiem </w:t>
      </w:r>
      <w:r w:rsidRPr="00EF58AD">
        <w:rPr>
          <w:b/>
          <w:bCs/>
          <w:szCs w:val="28"/>
        </w:rPr>
        <w:t xml:space="preserve">un to </w:t>
      </w:r>
      <w:r w:rsidR="006B668B">
        <w:rPr>
          <w:b/>
          <w:bCs/>
          <w:szCs w:val="28"/>
        </w:rPr>
        <w:t>aizpildīšanas kārtību</w:t>
      </w:r>
    </w:p>
    <w:p w14:paraId="3622DF6E" w14:textId="77777777" w:rsidR="00B754E8" w:rsidRPr="00EF58AD" w:rsidRDefault="00B754E8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34C12383" w14:textId="77777777" w:rsidR="00EF58AD" w:rsidRPr="00EF58AD" w:rsidRDefault="0053581A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EF58AD">
        <w:rPr>
          <w:iCs w:val="0"/>
          <w:szCs w:val="28"/>
          <w:lang w:eastAsia="lv-LV"/>
        </w:rPr>
        <w:t xml:space="preserve">Izdoti saskaņā ar </w:t>
      </w:r>
      <w:r w:rsidR="00B754E8" w:rsidRPr="00EF58AD">
        <w:rPr>
          <w:iCs w:val="0"/>
          <w:szCs w:val="28"/>
          <w:lang w:eastAsia="lv-LV"/>
        </w:rPr>
        <w:t xml:space="preserve">likuma </w:t>
      </w:r>
      <w:r w:rsidR="00B754E8" w:rsidRPr="00EF58AD">
        <w:rPr>
          <w:szCs w:val="28"/>
          <w:lang w:eastAsia="lv-LV"/>
        </w:rPr>
        <w:t xml:space="preserve">“Par </w:t>
      </w:r>
      <w:r w:rsidR="00EF58AD" w:rsidRPr="00EF58AD">
        <w:rPr>
          <w:szCs w:val="28"/>
          <w:lang w:eastAsia="lv-LV"/>
        </w:rPr>
        <w:t xml:space="preserve">izložu un azartspēļu </w:t>
      </w:r>
    </w:p>
    <w:p w14:paraId="0A66E879" w14:textId="00458E4B" w:rsidR="00AC7693" w:rsidRPr="00EF58AD" w:rsidRDefault="00EF58AD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EF58AD">
        <w:rPr>
          <w:szCs w:val="28"/>
          <w:lang w:eastAsia="lv-LV"/>
        </w:rPr>
        <w:t>nodevu un nodokli” 10.</w:t>
      </w:r>
      <w:r w:rsidR="0035767B">
        <w:rPr>
          <w:szCs w:val="28"/>
          <w:lang w:eastAsia="lv-LV"/>
        </w:rPr>
        <w:t xml:space="preserve"> </w:t>
      </w:r>
      <w:r w:rsidRPr="00EF58AD">
        <w:rPr>
          <w:szCs w:val="28"/>
          <w:lang w:eastAsia="lv-LV"/>
        </w:rPr>
        <w:t xml:space="preserve">panta sesto </w:t>
      </w:r>
      <w:r w:rsidR="00B754E8" w:rsidRPr="00EF58AD">
        <w:rPr>
          <w:iCs w:val="0"/>
          <w:szCs w:val="28"/>
          <w:lang w:eastAsia="lv-LV"/>
        </w:rPr>
        <w:t>daļu</w:t>
      </w:r>
    </w:p>
    <w:p w14:paraId="199D5EF6" w14:textId="77777777" w:rsidR="0035767B" w:rsidRDefault="0035767B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1080"/>
        <w:contextualSpacing/>
        <w:textAlignment w:val="auto"/>
        <w:rPr>
          <w:iCs w:val="0"/>
          <w:szCs w:val="28"/>
          <w:lang w:eastAsia="lv-LV"/>
        </w:rPr>
      </w:pPr>
    </w:p>
    <w:p w14:paraId="58564D98" w14:textId="447E580E" w:rsidR="00B06246" w:rsidRPr="00B06246" w:rsidRDefault="00B06246" w:rsidP="00B06246">
      <w:pPr>
        <w:pStyle w:val="ListParagraph"/>
        <w:widowControl/>
        <w:numPr>
          <w:ilvl w:val="0"/>
          <w:numId w:val="31"/>
        </w:numPr>
        <w:tabs>
          <w:tab w:val="left" w:pos="1276"/>
        </w:tabs>
        <w:suppressAutoHyphens w:val="0"/>
        <w:spacing w:line="240" w:lineRule="auto"/>
        <w:contextualSpacing/>
        <w:textAlignment w:val="auto"/>
        <w:rPr>
          <w:szCs w:val="28"/>
        </w:rPr>
      </w:pPr>
      <w:r w:rsidRPr="00B06246">
        <w:rPr>
          <w:szCs w:val="28"/>
        </w:rPr>
        <w:t>Noteikumi nosaka:</w:t>
      </w:r>
    </w:p>
    <w:p w14:paraId="01EB93B1" w14:textId="67FD9EBD" w:rsidR="00B06246" w:rsidRDefault="00B06246" w:rsidP="00B06246">
      <w:pPr>
        <w:pStyle w:val="ListParagraph"/>
        <w:widowControl/>
        <w:tabs>
          <w:tab w:val="left" w:pos="1276"/>
        </w:tabs>
        <w:suppressAutoHyphens w:val="0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1.1. pārskata par aprēķināto azartspēļu nodokli veidlapas paraugu (1. pielikums) un aizpildīšanas kārtību;</w:t>
      </w:r>
    </w:p>
    <w:p w14:paraId="458DAE1D" w14:textId="4174E83D" w:rsidR="00B06246" w:rsidRDefault="00B06246" w:rsidP="00B06246">
      <w:pPr>
        <w:pStyle w:val="ListParagraph"/>
        <w:widowControl/>
        <w:tabs>
          <w:tab w:val="left" w:pos="1276"/>
        </w:tabs>
        <w:suppressAutoHyphens w:val="0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1.2. pārskata par aprēķināto izložu nodokli par valsts un vietējā mēroga izlozēm un momentloterijām veidlapas paraugu (2. pielikums) un aizpildīšanas kārtību.</w:t>
      </w:r>
    </w:p>
    <w:p w14:paraId="63BB9E84" w14:textId="2BC8FB1D" w:rsidR="006B0B94" w:rsidRDefault="006B0B94" w:rsidP="00B0624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049E28DE" w14:textId="645234B8" w:rsidR="006B0B94" w:rsidRDefault="006B0B94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2.</w:t>
      </w:r>
      <w:r w:rsidRPr="006B0B94">
        <w:t xml:space="preserve"> </w:t>
      </w:r>
      <w:r>
        <w:t>P</w:t>
      </w:r>
      <w:r w:rsidRPr="006B0B94">
        <w:rPr>
          <w:szCs w:val="28"/>
        </w:rPr>
        <w:t>ārskat</w:t>
      </w:r>
      <w:r>
        <w:rPr>
          <w:szCs w:val="28"/>
        </w:rPr>
        <w:t>u</w:t>
      </w:r>
      <w:r w:rsidRPr="006B0B94">
        <w:rPr>
          <w:szCs w:val="28"/>
        </w:rPr>
        <w:t xml:space="preserve"> par aprēķināto azartspēļu nodokli (1. pielikums)</w:t>
      </w:r>
      <w:r>
        <w:rPr>
          <w:szCs w:val="28"/>
        </w:rPr>
        <w:t xml:space="preserve"> aizpilda šādā kārtībā:</w:t>
      </w:r>
    </w:p>
    <w:p w14:paraId="40BD59D3" w14:textId="32D4EA21" w:rsidR="006B0B94" w:rsidRDefault="006B0B94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2.1. Nodokļa maksātājs norāda gadu un mēnesi, par kuru aizpilda pārskatu, kapitālsabiedrības nosaukumu</w:t>
      </w:r>
      <w:r w:rsidR="00A26709">
        <w:rPr>
          <w:szCs w:val="28"/>
        </w:rPr>
        <w:t>, juridisko adresi</w:t>
      </w:r>
      <w:r>
        <w:rPr>
          <w:szCs w:val="28"/>
        </w:rPr>
        <w:t xml:space="preserve"> un reģistrācijas kodu</w:t>
      </w:r>
      <w:r w:rsidR="00155E17">
        <w:rPr>
          <w:szCs w:val="28"/>
        </w:rPr>
        <w:t>;</w:t>
      </w:r>
    </w:p>
    <w:p w14:paraId="3610C691" w14:textId="77777777" w:rsidR="00036627" w:rsidRDefault="00036627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2390722A" w14:textId="5983F311" w:rsidR="00155E17" w:rsidRDefault="00155E17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2.2. 1.</w:t>
      </w:r>
      <w:r w:rsidR="0020794F">
        <w:rPr>
          <w:szCs w:val="28"/>
        </w:rPr>
        <w:t>ailē “Nr.p.k.” norāda ieraksta kārtas numuru;</w:t>
      </w:r>
    </w:p>
    <w:p w14:paraId="504D0BCA" w14:textId="77777777" w:rsidR="00036627" w:rsidRDefault="00036627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24D403A8" w14:textId="71D667AA" w:rsidR="0020794F" w:rsidRDefault="0020794F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 xml:space="preserve">2.3. 2.ailē “Azartspēles veids” </w:t>
      </w:r>
      <w:r w:rsidR="00B11FDE">
        <w:rPr>
          <w:szCs w:val="28"/>
        </w:rPr>
        <w:t xml:space="preserve">attiecīgajās veidlapas rindās ir </w:t>
      </w:r>
      <w:r>
        <w:rPr>
          <w:szCs w:val="28"/>
        </w:rPr>
        <w:t>norād</w:t>
      </w:r>
      <w:r w:rsidR="00B11FDE">
        <w:rPr>
          <w:szCs w:val="28"/>
        </w:rPr>
        <w:t xml:space="preserve">īts </w:t>
      </w:r>
      <w:r w:rsidR="0040292B">
        <w:rPr>
          <w:szCs w:val="28"/>
        </w:rPr>
        <w:t>azartspēles</w:t>
      </w:r>
      <w:r>
        <w:rPr>
          <w:szCs w:val="28"/>
        </w:rPr>
        <w:t xml:space="preserve"> veid</w:t>
      </w:r>
      <w:r w:rsidR="00B11FDE">
        <w:rPr>
          <w:szCs w:val="28"/>
        </w:rPr>
        <w:t>s</w:t>
      </w:r>
      <w:r>
        <w:rPr>
          <w:szCs w:val="28"/>
        </w:rPr>
        <w:t>;</w:t>
      </w:r>
    </w:p>
    <w:p w14:paraId="05BF224F" w14:textId="77777777" w:rsidR="00036627" w:rsidRDefault="00036627" w:rsidP="00036627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79C3D4E6" w14:textId="77777777" w:rsidR="005D29F7" w:rsidRDefault="0020794F" w:rsidP="00036627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2.4. 3.ailē “Informācija par atsevišķiem azartspēļu veidiem”</w:t>
      </w:r>
      <w:r w:rsidR="00036627">
        <w:rPr>
          <w:szCs w:val="28"/>
        </w:rPr>
        <w:t xml:space="preserve"> norāda:</w:t>
      </w:r>
    </w:p>
    <w:p w14:paraId="63F44A20" w14:textId="53978F0B" w:rsidR="0020794F" w:rsidRPr="0020794F" w:rsidRDefault="0020794F" w:rsidP="00036627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 xml:space="preserve">2.4.1. </w:t>
      </w:r>
      <w:r w:rsidRPr="0020794F">
        <w:rPr>
          <w:szCs w:val="28"/>
        </w:rPr>
        <w:t>veiksmes spēlei pa tālruni – izmantotā tālruņa numuru;</w:t>
      </w:r>
    </w:p>
    <w:p w14:paraId="2DCCA24A" w14:textId="15FC05C3" w:rsidR="0020794F" w:rsidRPr="0020794F" w:rsidRDefault="0020794F" w:rsidP="00036627">
      <w:pPr>
        <w:pStyle w:val="ListParagraph"/>
        <w:widowControl/>
        <w:tabs>
          <w:tab w:val="left" w:pos="720"/>
        </w:tabs>
        <w:suppressAutoHyphens w:val="0"/>
        <w:autoSpaceDN/>
        <w:spacing w:line="240" w:lineRule="auto"/>
        <w:ind w:hanging="11"/>
        <w:contextualSpacing/>
        <w:textAlignment w:val="auto"/>
        <w:rPr>
          <w:szCs w:val="28"/>
        </w:rPr>
      </w:pPr>
      <w:r w:rsidRPr="0020794F">
        <w:rPr>
          <w:szCs w:val="28"/>
        </w:rPr>
        <w:tab/>
      </w:r>
      <w:r>
        <w:rPr>
          <w:szCs w:val="28"/>
        </w:rPr>
        <w:t>2.4.2.</w:t>
      </w:r>
      <w:r w:rsidRPr="0020794F">
        <w:rPr>
          <w:szCs w:val="28"/>
        </w:rPr>
        <w:t xml:space="preserve"> totalizatoram un derībām – likmju pieņemšanas vietu;</w:t>
      </w:r>
    </w:p>
    <w:p w14:paraId="1E7AC39B" w14:textId="46C76FBC" w:rsidR="0020794F" w:rsidRPr="0020794F" w:rsidRDefault="0020794F" w:rsidP="00036627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hanging="11"/>
        <w:contextualSpacing/>
        <w:textAlignment w:val="auto"/>
        <w:rPr>
          <w:szCs w:val="28"/>
        </w:rPr>
      </w:pPr>
      <w:r w:rsidRPr="0020794F">
        <w:rPr>
          <w:szCs w:val="28"/>
        </w:rPr>
        <w:tab/>
      </w:r>
      <w:r>
        <w:rPr>
          <w:szCs w:val="28"/>
        </w:rPr>
        <w:t xml:space="preserve">2.4.3. </w:t>
      </w:r>
      <w:r w:rsidRPr="0020794F">
        <w:rPr>
          <w:szCs w:val="28"/>
        </w:rPr>
        <w:t>bingo – bingo spēles norises vietu;</w:t>
      </w:r>
    </w:p>
    <w:p w14:paraId="1CD26997" w14:textId="279E2B52" w:rsidR="0020794F" w:rsidRDefault="0020794F" w:rsidP="00036627">
      <w:pPr>
        <w:pStyle w:val="ListParagraph"/>
        <w:widowControl/>
        <w:tabs>
          <w:tab w:val="left" w:pos="709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 w:rsidRPr="0020794F">
        <w:rPr>
          <w:szCs w:val="28"/>
        </w:rPr>
        <w:tab/>
      </w:r>
      <w:r>
        <w:rPr>
          <w:szCs w:val="28"/>
        </w:rPr>
        <w:t>2.4.4.</w:t>
      </w:r>
      <w:r w:rsidRPr="0020794F">
        <w:rPr>
          <w:szCs w:val="28"/>
        </w:rPr>
        <w:t xml:space="preserve"> interaktīvai azartspēl</w:t>
      </w:r>
      <w:r>
        <w:rPr>
          <w:szCs w:val="28"/>
        </w:rPr>
        <w:t>ei – izmantoto interneta adresi;</w:t>
      </w:r>
    </w:p>
    <w:p w14:paraId="2330FA21" w14:textId="77777777" w:rsidR="00036627" w:rsidRDefault="00036627" w:rsidP="00036627">
      <w:pPr>
        <w:ind w:firstLine="720"/>
        <w:rPr>
          <w:szCs w:val="28"/>
        </w:rPr>
      </w:pPr>
    </w:p>
    <w:p w14:paraId="5C7D90FB" w14:textId="79F0BA88" w:rsidR="00036627" w:rsidRDefault="0020794F" w:rsidP="00036627">
      <w:pPr>
        <w:ind w:firstLine="720"/>
        <w:rPr>
          <w:szCs w:val="28"/>
        </w:rPr>
      </w:pPr>
      <w:r>
        <w:rPr>
          <w:szCs w:val="28"/>
        </w:rPr>
        <w:t>2.5. 4.ailē “Azartspēļu automātu (iekārtu) skaits” norāda</w:t>
      </w:r>
      <w:r w:rsidR="00036627">
        <w:rPr>
          <w:szCs w:val="28"/>
        </w:rPr>
        <w:t>:</w:t>
      </w:r>
    </w:p>
    <w:p w14:paraId="7831FE7F" w14:textId="7032A209" w:rsidR="00036627" w:rsidRPr="003F08B7" w:rsidRDefault="00036627" w:rsidP="00036627">
      <w:pPr>
        <w:ind w:firstLine="720"/>
        <w:rPr>
          <w:szCs w:val="28"/>
        </w:rPr>
      </w:pPr>
      <w:r>
        <w:rPr>
          <w:szCs w:val="28"/>
        </w:rPr>
        <w:t xml:space="preserve">2.5.1. </w:t>
      </w:r>
      <w:r w:rsidRPr="003F08B7">
        <w:rPr>
          <w:szCs w:val="28"/>
        </w:rPr>
        <w:t>azartspēles veidam “Videospēles un mehāniskie automāti” – attiecīgajā mēnesī ekspluatēto azartspēļu automātu spēles vietu kopējo skaitu katrā administratīvajā teritorijā;</w:t>
      </w:r>
    </w:p>
    <w:p w14:paraId="30FD3517" w14:textId="23758342" w:rsidR="00036627" w:rsidRPr="003F08B7" w:rsidRDefault="00036627" w:rsidP="00036627">
      <w:pPr>
        <w:ind w:firstLine="720"/>
        <w:rPr>
          <w:szCs w:val="28"/>
        </w:rPr>
      </w:pPr>
      <w:r>
        <w:rPr>
          <w:szCs w:val="28"/>
        </w:rPr>
        <w:t>2.5.2.</w:t>
      </w:r>
      <w:r w:rsidRPr="003F08B7">
        <w:rPr>
          <w:szCs w:val="28"/>
        </w:rPr>
        <w:t xml:space="preserve"> azartspēles veidam “Rulete (cilindriskā spēle)” – attiecīgajā mēnesī ekspluatēto ruletes rotējošajai iekārtai pievienoto spēļu galdu kopējo skaitu katrā </w:t>
      </w:r>
      <w:r w:rsidRPr="003F08B7">
        <w:rPr>
          <w:szCs w:val="28"/>
        </w:rPr>
        <w:lastRenderedPageBreak/>
        <w:t>administratīvajā teritorijā;</w:t>
      </w:r>
    </w:p>
    <w:p w14:paraId="7CEA7D02" w14:textId="2A59BDED" w:rsidR="00036627" w:rsidRDefault="00036627" w:rsidP="00036627">
      <w:pPr>
        <w:ind w:firstLine="720"/>
        <w:rPr>
          <w:szCs w:val="28"/>
        </w:rPr>
      </w:pPr>
      <w:r>
        <w:rPr>
          <w:szCs w:val="28"/>
        </w:rPr>
        <w:t>2.5.3.</w:t>
      </w:r>
      <w:r w:rsidRPr="003F08B7">
        <w:rPr>
          <w:szCs w:val="28"/>
        </w:rPr>
        <w:t xml:space="preserve"> azartspēles veidam “Kāršu un kauliņu spēle” – attiecīgajā mēnesī ekspluatēto kāršu un kauliņu spēļu galdu kopējo skaitu katrā administratīvajā teritorijā</w:t>
      </w:r>
      <w:r>
        <w:rPr>
          <w:szCs w:val="28"/>
        </w:rPr>
        <w:t>;</w:t>
      </w:r>
    </w:p>
    <w:p w14:paraId="2B7A9C93" w14:textId="77777777" w:rsidR="00036627" w:rsidRDefault="00036627" w:rsidP="00036627">
      <w:pPr>
        <w:ind w:firstLine="720"/>
        <w:rPr>
          <w:szCs w:val="28"/>
        </w:rPr>
      </w:pPr>
    </w:p>
    <w:p w14:paraId="07C7AE14" w14:textId="494FD287" w:rsidR="00036627" w:rsidRPr="003F08B7" w:rsidRDefault="00036627" w:rsidP="00036627">
      <w:pPr>
        <w:spacing w:line="240" w:lineRule="auto"/>
        <w:rPr>
          <w:szCs w:val="28"/>
        </w:rPr>
      </w:pPr>
      <w:r>
        <w:rPr>
          <w:szCs w:val="28"/>
        </w:rPr>
        <w:tab/>
        <w:t xml:space="preserve">2.6. 5.ailē “Administratīvās teritorijas kods (saskaņā ar ATVK)” norāda </w:t>
      </w:r>
      <w:r w:rsidRPr="003F08B7">
        <w:rPr>
          <w:szCs w:val="28"/>
        </w:rPr>
        <w:t>tās administratīvās teritorijas kodu, kuras teritorijā:</w:t>
      </w:r>
    </w:p>
    <w:p w14:paraId="126DEFA3" w14:textId="502AA071" w:rsidR="00036627" w:rsidRPr="003F08B7" w:rsidRDefault="00036627" w:rsidP="00036627">
      <w:pPr>
        <w:spacing w:line="240" w:lineRule="auto"/>
        <w:ind w:firstLine="720"/>
        <w:rPr>
          <w:szCs w:val="28"/>
        </w:rPr>
      </w:pPr>
      <w:r>
        <w:rPr>
          <w:szCs w:val="28"/>
        </w:rPr>
        <w:t>2.6.1.</w:t>
      </w:r>
      <w:r w:rsidRPr="003F08B7">
        <w:rPr>
          <w:szCs w:val="28"/>
        </w:rPr>
        <w:t xml:space="preserve"> tiek ekspluatēta videospēle un mehāniskais automāts, organizēta rulete (cilindriskā spēle), kāršu un kauliņu spēle;</w:t>
      </w:r>
    </w:p>
    <w:p w14:paraId="1E8F06CD" w14:textId="460B4247" w:rsidR="00036627" w:rsidRPr="00F3537C" w:rsidRDefault="00036627" w:rsidP="00036627">
      <w:pPr>
        <w:spacing w:line="240" w:lineRule="auto"/>
        <w:ind w:firstLine="720"/>
        <w:rPr>
          <w:bCs/>
          <w:szCs w:val="28"/>
        </w:rPr>
      </w:pPr>
      <w:r>
        <w:rPr>
          <w:szCs w:val="28"/>
        </w:rPr>
        <w:t>2.6.2.</w:t>
      </w:r>
      <w:r w:rsidRPr="00F3537C">
        <w:rPr>
          <w:szCs w:val="28"/>
        </w:rPr>
        <w:t xml:space="preserve"> tiek pieņemtas likmes</w:t>
      </w:r>
      <w:r w:rsidRPr="00F3537C">
        <w:rPr>
          <w:bCs/>
          <w:szCs w:val="28"/>
        </w:rPr>
        <w:t xml:space="preserve"> totalizatoram un derībām;</w:t>
      </w:r>
    </w:p>
    <w:p w14:paraId="70049DFE" w14:textId="644D5ECC" w:rsidR="00036627" w:rsidRPr="00F3537C" w:rsidRDefault="00036627" w:rsidP="00036627">
      <w:pPr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2.6.3.</w:t>
      </w:r>
      <w:r w:rsidRPr="00F3537C">
        <w:rPr>
          <w:bCs/>
          <w:szCs w:val="28"/>
        </w:rPr>
        <w:t xml:space="preserve"> atrodas bingo norises vieta;</w:t>
      </w:r>
    </w:p>
    <w:p w14:paraId="7C2E09F6" w14:textId="7E2CC408" w:rsidR="00036627" w:rsidRPr="00F3537C" w:rsidRDefault="00036627" w:rsidP="00036627">
      <w:pPr>
        <w:spacing w:line="240" w:lineRule="auto"/>
        <w:ind w:firstLine="720"/>
        <w:rPr>
          <w:szCs w:val="28"/>
        </w:rPr>
      </w:pPr>
      <w:r>
        <w:rPr>
          <w:bCs/>
          <w:szCs w:val="28"/>
        </w:rPr>
        <w:t>2.6.4.</w:t>
      </w:r>
      <w:r w:rsidRPr="00F3537C">
        <w:rPr>
          <w:bCs/>
          <w:szCs w:val="28"/>
        </w:rPr>
        <w:t xml:space="preserve"> atrodas veiksmes spēles pa tālruni organizētāja juridiskā adrese.</w:t>
      </w:r>
    </w:p>
    <w:p w14:paraId="0D4129C4" w14:textId="0C897817" w:rsidR="00036627" w:rsidRDefault="00036627" w:rsidP="00036627">
      <w:pPr>
        <w:ind w:firstLine="720"/>
        <w:rPr>
          <w:szCs w:val="28"/>
        </w:rPr>
      </w:pPr>
      <w:r w:rsidRPr="00036627">
        <w:rPr>
          <w:szCs w:val="28"/>
        </w:rPr>
        <w:t>Administratīvās teritorijas kod</w:t>
      </w:r>
      <w:r>
        <w:rPr>
          <w:szCs w:val="28"/>
        </w:rPr>
        <w:t xml:space="preserve">u norāda saskaņā ar </w:t>
      </w:r>
      <w:r w:rsidRPr="00F3537C">
        <w:rPr>
          <w:szCs w:val="28"/>
        </w:rPr>
        <w:t>Latvijas Republikas Administratīvo teritoriju un t</w:t>
      </w:r>
      <w:r>
        <w:rPr>
          <w:szCs w:val="28"/>
        </w:rPr>
        <w:t>eritoriālo vienību klasifikatoru (</w:t>
      </w:r>
      <w:r w:rsidRPr="00036627">
        <w:rPr>
          <w:szCs w:val="28"/>
        </w:rPr>
        <w:t>ATVK</w:t>
      </w:r>
      <w:r>
        <w:rPr>
          <w:szCs w:val="28"/>
        </w:rPr>
        <w:t>);</w:t>
      </w:r>
    </w:p>
    <w:p w14:paraId="10D0BC1C" w14:textId="6411B3D6" w:rsidR="00036627" w:rsidRDefault="00036627" w:rsidP="00036627">
      <w:pPr>
        <w:ind w:firstLine="720"/>
        <w:rPr>
          <w:szCs w:val="28"/>
        </w:rPr>
      </w:pPr>
    </w:p>
    <w:p w14:paraId="162D0D55" w14:textId="36C3AA76" w:rsidR="00036627" w:rsidRDefault="00036627" w:rsidP="00036627">
      <w:pPr>
        <w:ind w:firstLine="720"/>
        <w:rPr>
          <w:szCs w:val="28"/>
        </w:rPr>
      </w:pPr>
      <w:r>
        <w:rPr>
          <w:szCs w:val="28"/>
        </w:rPr>
        <w:t>2.7. 6.ailē “Nodokļa gada likme (</w:t>
      </w:r>
      <w:r w:rsidRPr="00B06246">
        <w:rPr>
          <w:i/>
          <w:szCs w:val="28"/>
        </w:rPr>
        <w:t>euro</w:t>
      </w:r>
      <w:r>
        <w:rPr>
          <w:szCs w:val="28"/>
        </w:rPr>
        <w:t>)” norāda konkrētam azartspēles veidam noteikto nodokļa gada likmi (</w:t>
      </w:r>
      <w:r w:rsidRPr="00B06246">
        <w:rPr>
          <w:i/>
          <w:szCs w:val="28"/>
        </w:rPr>
        <w:t>euro</w:t>
      </w:r>
      <w:r>
        <w:rPr>
          <w:szCs w:val="28"/>
        </w:rPr>
        <w:t>);</w:t>
      </w:r>
    </w:p>
    <w:p w14:paraId="5011AB30" w14:textId="7EF86B5B" w:rsidR="00036627" w:rsidRDefault="00036627" w:rsidP="00036627">
      <w:pPr>
        <w:ind w:firstLine="720"/>
        <w:rPr>
          <w:szCs w:val="28"/>
        </w:rPr>
      </w:pPr>
    </w:p>
    <w:p w14:paraId="1B3B7839" w14:textId="0127CF89" w:rsidR="00036627" w:rsidRDefault="00036627" w:rsidP="00036627">
      <w:pPr>
        <w:ind w:firstLine="720"/>
        <w:rPr>
          <w:szCs w:val="28"/>
        </w:rPr>
      </w:pPr>
      <w:r>
        <w:rPr>
          <w:szCs w:val="28"/>
        </w:rPr>
        <w:t xml:space="preserve">2.8. 7.ailē “Nodokļa likme (%)” norāda </w:t>
      </w:r>
      <w:r w:rsidRPr="00036627">
        <w:rPr>
          <w:szCs w:val="28"/>
        </w:rPr>
        <w:t>konkrētam azartspēles veidam noteikto</w:t>
      </w:r>
      <w:r w:rsidRPr="00036627">
        <w:t xml:space="preserve"> </w:t>
      </w:r>
      <w:r w:rsidRPr="00036627">
        <w:rPr>
          <w:szCs w:val="28"/>
        </w:rPr>
        <w:t>nodokļa likmi</w:t>
      </w:r>
      <w:r>
        <w:rPr>
          <w:szCs w:val="28"/>
        </w:rPr>
        <w:t xml:space="preserve"> (procentos);</w:t>
      </w:r>
    </w:p>
    <w:p w14:paraId="28151CF5" w14:textId="5E4B4346" w:rsidR="00036627" w:rsidRDefault="00036627" w:rsidP="00036627">
      <w:pPr>
        <w:ind w:firstLine="720"/>
        <w:rPr>
          <w:szCs w:val="28"/>
        </w:rPr>
      </w:pPr>
    </w:p>
    <w:p w14:paraId="0860CB32" w14:textId="38C969C1" w:rsidR="00036627" w:rsidRDefault="00036627" w:rsidP="00193ED5">
      <w:pPr>
        <w:ind w:firstLine="720"/>
        <w:rPr>
          <w:szCs w:val="28"/>
        </w:rPr>
      </w:pPr>
      <w:r>
        <w:rPr>
          <w:szCs w:val="28"/>
        </w:rPr>
        <w:t>2.9. 8.ailē “Azartspēles organizēšanas ieņēmumi (</w:t>
      </w:r>
      <w:r w:rsidRPr="00B06246">
        <w:rPr>
          <w:i/>
          <w:szCs w:val="28"/>
        </w:rPr>
        <w:t>euro</w:t>
      </w:r>
      <w:r>
        <w:rPr>
          <w:szCs w:val="28"/>
        </w:rPr>
        <w:t xml:space="preserve">)” norāda </w:t>
      </w:r>
      <w:r w:rsidR="00193ED5" w:rsidRPr="00193ED5">
        <w:rPr>
          <w:szCs w:val="28"/>
        </w:rPr>
        <w:t>ieņēmum</w:t>
      </w:r>
      <w:r w:rsidR="00193ED5">
        <w:rPr>
          <w:szCs w:val="28"/>
        </w:rPr>
        <w:t>us no azartspēles organizēšanas:</w:t>
      </w:r>
    </w:p>
    <w:p w14:paraId="5758D1B8" w14:textId="40479B0D" w:rsidR="00193ED5" w:rsidRPr="00F3537C" w:rsidRDefault="00193ED5" w:rsidP="00193ED5">
      <w:pPr>
        <w:ind w:firstLine="720"/>
        <w:rPr>
          <w:szCs w:val="28"/>
        </w:rPr>
      </w:pPr>
      <w:r>
        <w:rPr>
          <w:szCs w:val="28"/>
        </w:rPr>
        <w:t xml:space="preserve">2.9.1. </w:t>
      </w:r>
      <w:r w:rsidRPr="00F3537C">
        <w:rPr>
          <w:szCs w:val="28"/>
        </w:rPr>
        <w:t>ieņēmumi no bingo spēles organizēšanas ir par kartīšu realizāciju saņemtā summa, no kuras atskaitīti izmaksātie laimesti;</w:t>
      </w:r>
    </w:p>
    <w:p w14:paraId="3A17399A" w14:textId="77777777" w:rsidR="00193ED5" w:rsidRDefault="00193ED5" w:rsidP="00193ED5">
      <w:pPr>
        <w:pStyle w:val="ListParagraph"/>
        <w:ind w:left="0" w:firstLine="720"/>
        <w:rPr>
          <w:szCs w:val="28"/>
        </w:rPr>
      </w:pPr>
      <w:r>
        <w:rPr>
          <w:szCs w:val="28"/>
        </w:rPr>
        <w:t xml:space="preserve">2.9.2. </w:t>
      </w:r>
      <w:r w:rsidRPr="00F3537C">
        <w:rPr>
          <w:szCs w:val="28"/>
        </w:rPr>
        <w:t>ieņēmumi no totalizatora un derību organizēšanas ir saņemtās likmes, no kurām atskaitīti izmaksātie laimesti, un tas ir pamats ar totalizatora un derību azartspēļu nodokli apliekamās summas aprēķināšanai;</w:t>
      </w:r>
    </w:p>
    <w:p w14:paraId="1031F160" w14:textId="061DA388" w:rsidR="00193ED5" w:rsidRPr="00F3537C" w:rsidRDefault="00193ED5" w:rsidP="00193ED5">
      <w:pPr>
        <w:pStyle w:val="ListParagraph"/>
        <w:ind w:left="0" w:firstLine="720"/>
        <w:rPr>
          <w:szCs w:val="28"/>
        </w:rPr>
      </w:pPr>
      <w:r>
        <w:rPr>
          <w:szCs w:val="28"/>
        </w:rPr>
        <w:t>2.9.3.</w:t>
      </w:r>
      <w:r w:rsidRPr="00F3537C">
        <w:rPr>
          <w:szCs w:val="28"/>
        </w:rPr>
        <w:t>ieņēmumi no azartspēļu organizēšanas, izmantojot elektronisko sakaru pakalpojumus, ir:</w:t>
      </w:r>
    </w:p>
    <w:p w14:paraId="6705BBB3" w14:textId="09C7CAAA" w:rsidR="00193ED5" w:rsidRPr="00193ED5" w:rsidRDefault="00193ED5" w:rsidP="00193ED5">
      <w:pPr>
        <w:widowControl/>
        <w:suppressAutoHyphens w:val="0"/>
        <w:autoSpaceDN/>
        <w:spacing w:line="240" w:lineRule="auto"/>
        <w:ind w:firstLine="709"/>
        <w:contextualSpacing/>
        <w:textAlignment w:val="auto"/>
        <w:rPr>
          <w:szCs w:val="28"/>
        </w:rPr>
      </w:pPr>
      <w:r>
        <w:rPr>
          <w:szCs w:val="28"/>
        </w:rPr>
        <w:t xml:space="preserve">1) </w:t>
      </w:r>
      <w:r w:rsidRPr="00193ED5">
        <w:rPr>
          <w:szCs w:val="28"/>
        </w:rPr>
        <w:t>iemaksāto un pieņemto dalības maksas likmju kopsumma, no kuras atskaitīti azartspēļu organizētāja izmaksātie laimesti;</w:t>
      </w:r>
    </w:p>
    <w:p w14:paraId="61FEBB56" w14:textId="77C07AC9" w:rsidR="00193ED5" w:rsidRPr="00F3537C" w:rsidRDefault="00193ED5" w:rsidP="00193ED5">
      <w:pPr>
        <w:pStyle w:val="ListParagraph"/>
        <w:ind w:left="0" w:firstLine="709"/>
        <w:rPr>
          <w:szCs w:val="28"/>
        </w:rPr>
      </w:pPr>
      <w:r>
        <w:rPr>
          <w:szCs w:val="28"/>
        </w:rPr>
        <w:t>2</w:t>
      </w:r>
      <w:r w:rsidRPr="00F3537C">
        <w:rPr>
          <w:szCs w:val="28"/>
        </w:rPr>
        <w:t>) komisijas maksa, ko saskaņā ar azartspēles noteikumiem azartspēļu organizētājs saņēmis par kāršu spēli starp spēlētājiem un ko apstiprina kredītiestādes konta izraksts;</w:t>
      </w:r>
    </w:p>
    <w:p w14:paraId="424C7DC5" w14:textId="6A3B47BA" w:rsidR="00193ED5" w:rsidRDefault="00193ED5" w:rsidP="00193ED5">
      <w:pPr>
        <w:pStyle w:val="ListParagraph"/>
        <w:ind w:left="0" w:firstLine="709"/>
        <w:rPr>
          <w:szCs w:val="28"/>
        </w:rPr>
      </w:pPr>
      <w:r>
        <w:rPr>
          <w:szCs w:val="28"/>
        </w:rPr>
        <w:t>2.9.4.</w:t>
      </w:r>
      <w:r w:rsidRPr="00F3537C">
        <w:rPr>
          <w:szCs w:val="28"/>
        </w:rPr>
        <w:t xml:space="preserve"> ieņēmumus no veiksmes spēles pa tālruni veido saņemto dalības maksas likmju summa, kas ir spēlētāja samaksātā summa, no kuras atskaitīta attiecīgā pakalpojuma sniedzēja noteiktā maksa par nodrošināto iespēju piedal</w:t>
      </w:r>
      <w:r>
        <w:rPr>
          <w:szCs w:val="28"/>
        </w:rPr>
        <w:t>īties veiksmes spēlē pa tālruni;</w:t>
      </w:r>
    </w:p>
    <w:p w14:paraId="1D5FF644" w14:textId="47E6A8A1" w:rsidR="00193ED5" w:rsidRDefault="00193ED5" w:rsidP="00193ED5">
      <w:pPr>
        <w:ind w:firstLine="720"/>
        <w:rPr>
          <w:szCs w:val="28"/>
        </w:rPr>
      </w:pPr>
    </w:p>
    <w:p w14:paraId="3F9512DB" w14:textId="0C5A090C" w:rsidR="00193ED5" w:rsidRDefault="00193ED5" w:rsidP="00193ED5">
      <w:pPr>
        <w:ind w:firstLine="720"/>
        <w:rPr>
          <w:szCs w:val="28"/>
        </w:rPr>
      </w:pPr>
      <w:r>
        <w:rPr>
          <w:szCs w:val="28"/>
        </w:rPr>
        <w:t>2.10. 9.ailē “</w:t>
      </w:r>
      <w:r w:rsidRPr="00193ED5">
        <w:rPr>
          <w:szCs w:val="28"/>
        </w:rPr>
        <w:t xml:space="preserve">Aprēķināts nodoklis par totalizatoru, derībām, bingo, </w:t>
      </w:r>
      <w:r w:rsidRPr="00193ED5">
        <w:rPr>
          <w:szCs w:val="28"/>
        </w:rPr>
        <w:lastRenderedPageBreak/>
        <w:t xml:space="preserve">interaktīvajām </w:t>
      </w:r>
      <w:r w:rsidR="006C1A11">
        <w:rPr>
          <w:szCs w:val="28"/>
        </w:rPr>
        <w:t>azart</w:t>
      </w:r>
      <w:r w:rsidRPr="00193ED5">
        <w:rPr>
          <w:szCs w:val="28"/>
        </w:rPr>
        <w:t>spēlēm un veiksmes spēli pa tālruni</w:t>
      </w:r>
      <w:r>
        <w:rPr>
          <w:szCs w:val="28"/>
        </w:rPr>
        <w:t xml:space="preserve"> </w:t>
      </w:r>
      <w:r w:rsidRPr="00193ED5">
        <w:rPr>
          <w:szCs w:val="28"/>
        </w:rPr>
        <w:t>(</w:t>
      </w:r>
      <w:r w:rsidRPr="00B06246">
        <w:rPr>
          <w:i/>
          <w:szCs w:val="28"/>
        </w:rPr>
        <w:t>euro</w:t>
      </w:r>
      <w:r w:rsidRPr="00193ED5">
        <w:rPr>
          <w:szCs w:val="28"/>
        </w:rPr>
        <w:t>)</w:t>
      </w:r>
      <w:r>
        <w:rPr>
          <w:szCs w:val="28"/>
        </w:rPr>
        <w:t xml:space="preserve"> </w:t>
      </w:r>
      <w:r w:rsidRPr="00193ED5">
        <w:rPr>
          <w:szCs w:val="28"/>
        </w:rPr>
        <w:t>(7.aile</w:t>
      </w:r>
      <w:r>
        <w:rPr>
          <w:szCs w:val="28"/>
        </w:rPr>
        <w:t xml:space="preserve"> x 8.aile)” norāda aprēķināto nodokli par minētajām azartspēlēm, un to aprēķina 7.ailē norādīto nodokļa likmi reizinot ar 8</w:t>
      </w:r>
      <w:r w:rsidRPr="00193ED5">
        <w:rPr>
          <w:szCs w:val="28"/>
        </w:rPr>
        <w:t xml:space="preserve">.ailē norādīto </w:t>
      </w:r>
      <w:r>
        <w:rPr>
          <w:szCs w:val="28"/>
        </w:rPr>
        <w:t>azartspēles organizēšanas ieņēmumu summu;</w:t>
      </w:r>
    </w:p>
    <w:p w14:paraId="3B98FB0E" w14:textId="2EFCCCB0" w:rsidR="00193ED5" w:rsidRDefault="00193ED5" w:rsidP="00193ED5">
      <w:pPr>
        <w:ind w:firstLine="720"/>
        <w:rPr>
          <w:szCs w:val="28"/>
        </w:rPr>
      </w:pPr>
    </w:p>
    <w:p w14:paraId="2BF7CC34" w14:textId="7B00FEC9" w:rsidR="004B1921" w:rsidRDefault="00193ED5" w:rsidP="00193ED5">
      <w:pPr>
        <w:ind w:firstLine="720"/>
        <w:rPr>
          <w:szCs w:val="28"/>
        </w:rPr>
      </w:pPr>
      <w:r>
        <w:rPr>
          <w:szCs w:val="28"/>
        </w:rPr>
        <w:t>2.11. 10.ailē “</w:t>
      </w:r>
      <w:r w:rsidRPr="00193ED5">
        <w:rPr>
          <w:szCs w:val="28"/>
        </w:rPr>
        <w:t>Aprēķināts no</w:t>
      </w:r>
      <w:r>
        <w:rPr>
          <w:szCs w:val="28"/>
        </w:rPr>
        <w:t xml:space="preserve">doklis par azartspēļu iekārtām </w:t>
      </w:r>
      <w:r w:rsidRPr="00193ED5">
        <w:rPr>
          <w:szCs w:val="28"/>
        </w:rPr>
        <w:t>(</w:t>
      </w:r>
      <w:r w:rsidRPr="00B06246">
        <w:rPr>
          <w:i/>
          <w:szCs w:val="28"/>
        </w:rPr>
        <w:t>euro</w:t>
      </w:r>
      <w:r w:rsidRPr="00193ED5">
        <w:rPr>
          <w:szCs w:val="28"/>
        </w:rPr>
        <w:t>)</w:t>
      </w:r>
      <w:r>
        <w:rPr>
          <w:szCs w:val="28"/>
        </w:rPr>
        <w:t xml:space="preserve"> (</w:t>
      </w:r>
      <w:r w:rsidRPr="00193ED5">
        <w:rPr>
          <w:szCs w:val="28"/>
        </w:rPr>
        <w:t>6.aile : 12 x 4.aile)</w:t>
      </w:r>
      <w:r>
        <w:rPr>
          <w:szCs w:val="28"/>
        </w:rPr>
        <w:t xml:space="preserve">” norāda </w:t>
      </w:r>
      <w:r w:rsidRPr="00193ED5">
        <w:rPr>
          <w:szCs w:val="28"/>
        </w:rPr>
        <w:t>par</w:t>
      </w:r>
      <w:r w:rsidRPr="00193ED5">
        <w:t xml:space="preserve"> </w:t>
      </w:r>
      <w:r w:rsidRPr="00193ED5">
        <w:rPr>
          <w:szCs w:val="28"/>
        </w:rPr>
        <w:t xml:space="preserve">azartspēļu iekārtām </w:t>
      </w:r>
      <w:r>
        <w:rPr>
          <w:szCs w:val="28"/>
        </w:rPr>
        <w:t xml:space="preserve">aprēķināto nodokļa summu, kuru aprēķina 6.ailē norādīto </w:t>
      </w:r>
      <w:r w:rsidR="004B1921">
        <w:rPr>
          <w:szCs w:val="28"/>
        </w:rPr>
        <w:t>nodokļa gada likmi dalot ar 12 un reizinot ar 4</w:t>
      </w:r>
      <w:r w:rsidR="004B1921" w:rsidRPr="004B1921">
        <w:rPr>
          <w:szCs w:val="28"/>
        </w:rPr>
        <w:t xml:space="preserve">.ailē norādīto </w:t>
      </w:r>
      <w:r w:rsidR="004B1921">
        <w:rPr>
          <w:szCs w:val="28"/>
        </w:rPr>
        <w:t>azartspēļu automātu (iekārtu) skaitu;</w:t>
      </w:r>
    </w:p>
    <w:p w14:paraId="703B7002" w14:textId="4609EF88" w:rsidR="00104B8A" w:rsidRDefault="00104B8A" w:rsidP="00193ED5">
      <w:pPr>
        <w:ind w:firstLine="720"/>
        <w:rPr>
          <w:szCs w:val="28"/>
        </w:rPr>
      </w:pPr>
    </w:p>
    <w:p w14:paraId="0637015D" w14:textId="6506A2E7" w:rsidR="00104B8A" w:rsidRDefault="00104B8A" w:rsidP="00193ED5">
      <w:pPr>
        <w:ind w:firstLine="720"/>
        <w:rPr>
          <w:szCs w:val="28"/>
        </w:rPr>
      </w:pPr>
      <w:r>
        <w:rPr>
          <w:szCs w:val="28"/>
        </w:rPr>
        <w:t>2.</w:t>
      </w:r>
      <w:r w:rsidR="00A26709">
        <w:rPr>
          <w:szCs w:val="28"/>
        </w:rPr>
        <w:t xml:space="preserve"> </w:t>
      </w:r>
      <w:r>
        <w:rPr>
          <w:szCs w:val="28"/>
        </w:rPr>
        <w:t xml:space="preserve">12. </w:t>
      </w:r>
      <w:r w:rsidR="00A26709">
        <w:rPr>
          <w:szCs w:val="28"/>
        </w:rPr>
        <w:t xml:space="preserve"> </w:t>
      </w:r>
      <w:r>
        <w:rPr>
          <w:szCs w:val="28"/>
        </w:rPr>
        <w:t>rindā “Kopā aprēķināts nodoklis, t.sk.</w:t>
      </w:r>
      <w:r w:rsidR="0044393D">
        <w:rPr>
          <w:szCs w:val="28"/>
        </w:rPr>
        <w:t>:</w:t>
      </w:r>
      <w:r>
        <w:rPr>
          <w:szCs w:val="28"/>
        </w:rPr>
        <w:t xml:space="preserve">” norāda aprēķināto  nodokļa kopsummu par azartspēlēm, kuru veido 9. ailes kopsumma, un </w:t>
      </w:r>
      <w:r w:rsidRPr="00104B8A">
        <w:rPr>
          <w:szCs w:val="28"/>
        </w:rPr>
        <w:t xml:space="preserve">aprēķināto  nodokļa kopsummu par </w:t>
      </w:r>
      <w:r>
        <w:rPr>
          <w:szCs w:val="28"/>
        </w:rPr>
        <w:t>azartspēļu iekārtām, kuru veido 10.</w:t>
      </w:r>
      <w:r w:rsidR="00757D70">
        <w:rPr>
          <w:szCs w:val="28"/>
        </w:rPr>
        <w:t xml:space="preserve"> </w:t>
      </w:r>
      <w:r>
        <w:rPr>
          <w:szCs w:val="28"/>
        </w:rPr>
        <w:t xml:space="preserve">ailes kopsumma. Nodokļa kopsummu atšifrē, tai skaitā norādot azartspēļu nodokļa summu sadalījumu pa budžetiem: valsts pamatbudžetā un </w:t>
      </w:r>
      <w:r w:rsidR="006C1A11">
        <w:rPr>
          <w:szCs w:val="28"/>
        </w:rPr>
        <w:t xml:space="preserve">attiecīgo </w:t>
      </w:r>
      <w:r>
        <w:rPr>
          <w:szCs w:val="28"/>
        </w:rPr>
        <w:t>pašvaldību budžetā (</w:t>
      </w:r>
      <w:r w:rsidR="00022900" w:rsidRPr="00022900">
        <w:rPr>
          <w:szCs w:val="28"/>
        </w:rPr>
        <w:t>norāda attiecīgās pašvaldības administratīvās teritorijas kodu (ATVK)</w:t>
      </w:r>
      <w:r>
        <w:rPr>
          <w:szCs w:val="28"/>
        </w:rPr>
        <w:t>).</w:t>
      </w:r>
    </w:p>
    <w:p w14:paraId="1103E291" w14:textId="4EEF588A" w:rsidR="00104B8A" w:rsidRDefault="00104B8A" w:rsidP="00193ED5">
      <w:pPr>
        <w:ind w:firstLine="720"/>
        <w:rPr>
          <w:szCs w:val="28"/>
        </w:rPr>
      </w:pPr>
    </w:p>
    <w:p w14:paraId="74688608" w14:textId="5CE28C8E" w:rsidR="004B1921" w:rsidRDefault="00A26709" w:rsidP="00A26709">
      <w:pPr>
        <w:ind w:firstLine="720"/>
        <w:rPr>
          <w:szCs w:val="28"/>
        </w:rPr>
      </w:pPr>
      <w:r>
        <w:rPr>
          <w:szCs w:val="28"/>
        </w:rPr>
        <w:t>3</w:t>
      </w:r>
      <w:r w:rsidRPr="00A26709">
        <w:rPr>
          <w:szCs w:val="28"/>
        </w:rPr>
        <w:t>. Pārskatu par aprēķināto izložu nodokli par valsts un vietējā mēroga izlozēm un momentloterijām (2. pielikums)</w:t>
      </w:r>
      <w:r>
        <w:rPr>
          <w:szCs w:val="28"/>
        </w:rPr>
        <w:t xml:space="preserve"> </w:t>
      </w:r>
      <w:r w:rsidRPr="00A26709">
        <w:rPr>
          <w:szCs w:val="28"/>
        </w:rPr>
        <w:t>aizpilda šādā kārtībā:</w:t>
      </w:r>
    </w:p>
    <w:p w14:paraId="4543FC52" w14:textId="1680DCB3" w:rsidR="00A26709" w:rsidRPr="00A26709" w:rsidRDefault="00A26709" w:rsidP="00A26709">
      <w:pPr>
        <w:ind w:firstLine="720"/>
        <w:rPr>
          <w:szCs w:val="28"/>
        </w:rPr>
      </w:pPr>
      <w:r>
        <w:rPr>
          <w:szCs w:val="28"/>
        </w:rPr>
        <w:t>3</w:t>
      </w:r>
      <w:r w:rsidRPr="00A26709">
        <w:rPr>
          <w:szCs w:val="28"/>
        </w:rPr>
        <w:t>.1. Nodokļa maksātājs norāda gadu un mēnesi, par kuru aizpilda pārskatu, kapitālsabiedrības nosaukumu</w:t>
      </w:r>
      <w:r>
        <w:rPr>
          <w:szCs w:val="28"/>
        </w:rPr>
        <w:t>, juridisko adresi</w:t>
      </w:r>
      <w:r w:rsidRPr="00A26709">
        <w:rPr>
          <w:szCs w:val="28"/>
        </w:rPr>
        <w:t xml:space="preserve"> un reģistrācijas kodu;</w:t>
      </w:r>
    </w:p>
    <w:p w14:paraId="5C33BDCA" w14:textId="77777777" w:rsidR="00A26709" w:rsidRPr="00A26709" w:rsidRDefault="00A26709" w:rsidP="00A26709">
      <w:pPr>
        <w:ind w:firstLine="720"/>
        <w:rPr>
          <w:szCs w:val="28"/>
        </w:rPr>
      </w:pPr>
    </w:p>
    <w:p w14:paraId="4804CCB8" w14:textId="620CD866" w:rsidR="00A26709" w:rsidRPr="00A26709" w:rsidRDefault="00A26709" w:rsidP="00A26709">
      <w:pPr>
        <w:ind w:firstLine="720"/>
        <w:rPr>
          <w:szCs w:val="28"/>
        </w:rPr>
      </w:pPr>
      <w:r>
        <w:rPr>
          <w:szCs w:val="28"/>
        </w:rPr>
        <w:t>3</w:t>
      </w:r>
      <w:r w:rsidRPr="00A26709">
        <w:rPr>
          <w:szCs w:val="28"/>
        </w:rPr>
        <w:t>.2. 1.</w:t>
      </w:r>
      <w:r>
        <w:rPr>
          <w:szCs w:val="28"/>
        </w:rPr>
        <w:t xml:space="preserve"> </w:t>
      </w:r>
      <w:r w:rsidRPr="00A26709">
        <w:rPr>
          <w:szCs w:val="28"/>
        </w:rPr>
        <w:t>ailē “Nr.</w:t>
      </w:r>
      <w:r>
        <w:rPr>
          <w:szCs w:val="28"/>
        </w:rPr>
        <w:t xml:space="preserve"> </w:t>
      </w:r>
      <w:r w:rsidRPr="00A26709">
        <w:rPr>
          <w:szCs w:val="28"/>
        </w:rPr>
        <w:t>p.</w:t>
      </w:r>
      <w:r>
        <w:rPr>
          <w:szCs w:val="28"/>
        </w:rPr>
        <w:t xml:space="preserve"> </w:t>
      </w:r>
      <w:r w:rsidRPr="00A26709">
        <w:rPr>
          <w:szCs w:val="28"/>
        </w:rPr>
        <w:t>k.” norāda ieraksta kārtas numuru;</w:t>
      </w:r>
    </w:p>
    <w:p w14:paraId="7B2E7C9E" w14:textId="77777777" w:rsidR="00A26709" w:rsidRPr="00A26709" w:rsidRDefault="00A26709" w:rsidP="00A26709">
      <w:pPr>
        <w:ind w:firstLine="720"/>
        <w:rPr>
          <w:szCs w:val="28"/>
        </w:rPr>
      </w:pPr>
    </w:p>
    <w:p w14:paraId="167CFB73" w14:textId="12D83C91" w:rsidR="004B1921" w:rsidRDefault="00A26709" w:rsidP="00A26709">
      <w:pPr>
        <w:ind w:firstLine="720"/>
        <w:rPr>
          <w:szCs w:val="28"/>
        </w:rPr>
      </w:pPr>
      <w:r>
        <w:rPr>
          <w:szCs w:val="28"/>
        </w:rPr>
        <w:t>3</w:t>
      </w:r>
      <w:r w:rsidRPr="00A26709">
        <w:rPr>
          <w:szCs w:val="28"/>
        </w:rPr>
        <w:t>.3. 2.</w:t>
      </w:r>
      <w:r>
        <w:rPr>
          <w:szCs w:val="28"/>
        </w:rPr>
        <w:t xml:space="preserve"> </w:t>
      </w:r>
      <w:r w:rsidRPr="00A26709">
        <w:rPr>
          <w:szCs w:val="28"/>
        </w:rPr>
        <w:t>ailē “</w:t>
      </w:r>
      <w:r>
        <w:rPr>
          <w:szCs w:val="28"/>
        </w:rPr>
        <w:t xml:space="preserve">Izlozes vai momentloterijas </w:t>
      </w:r>
      <w:r w:rsidRPr="00A26709">
        <w:rPr>
          <w:szCs w:val="28"/>
        </w:rPr>
        <w:t xml:space="preserve">veids” norāda </w:t>
      </w:r>
      <w:r>
        <w:rPr>
          <w:szCs w:val="28"/>
        </w:rPr>
        <w:t>i</w:t>
      </w:r>
      <w:r w:rsidRPr="00A26709">
        <w:rPr>
          <w:szCs w:val="28"/>
        </w:rPr>
        <w:t>zlozes</w:t>
      </w:r>
      <w:r>
        <w:rPr>
          <w:szCs w:val="28"/>
        </w:rPr>
        <w:t xml:space="preserve"> vai m</w:t>
      </w:r>
      <w:r w:rsidRPr="00A26709">
        <w:rPr>
          <w:szCs w:val="28"/>
        </w:rPr>
        <w:t xml:space="preserve">omentloterijas </w:t>
      </w:r>
      <w:r>
        <w:rPr>
          <w:szCs w:val="28"/>
        </w:rPr>
        <w:t xml:space="preserve">veidu, </w:t>
      </w:r>
      <w:r w:rsidRPr="0035638D">
        <w:rPr>
          <w:szCs w:val="28"/>
        </w:rPr>
        <w:t>lietojot šādus kodus:</w:t>
      </w:r>
    </w:p>
    <w:p w14:paraId="10B97ACD" w14:textId="5C4BDD91" w:rsidR="00A26709" w:rsidRPr="0035638D" w:rsidRDefault="00A26709" w:rsidP="00A26709">
      <w:pPr>
        <w:rPr>
          <w:szCs w:val="28"/>
        </w:rPr>
      </w:pPr>
      <w:r>
        <w:rPr>
          <w:szCs w:val="28"/>
        </w:rPr>
        <w:tab/>
        <w:t xml:space="preserve">3.3.1.  </w:t>
      </w:r>
      <w:r w:rsidRPr="0035638D">
        <w:rPr>
          <w:szCs w:val="28"/>
        </w:rPr>
        <w:t>1 – valsts mēroga izloze vai momentloterija, kuras laimestu fonds ir līdz  60 % no biļešu realizācijas ieņēmumiem;</w:t>
      </w:r>
    </w:p>
    <w:p w14:paraId="36A8B854" w14:textId="68BC2680" w:rsidR="00A26709" w:rsidRPr="0035638D" w:rsidRDefault="00A26709" w:rsidP="00A26709">
      <w:pPr>
        <w:rPr>
          <w:szCs w:val="28"/>
        </w:rPr>
      </w:pPr>
      <w:r>
        <w:rPr>
          <w:szCs w:val="28"/>
        </w:rPr>
        <w:tab/>
        <w:t>3.3.</w:t>
      </w:r>
      <w:r w:rsidRPr="0035638D">
        <w:rPr>
          <w:szCs w:val="28"/>
        </w:rPr>
        <w:t>2</w:t>
      </w:r>
      <w:r>
        <w:rPr>
          <w:szCs w:val="28"/>
        </w:rPr>
        <w:t>.  2</w:t>
      </w:r>
      <w:r w:rsidRPr="0035638D">
        <w:rPr>
          <w:szCs w:val="28"/>
        </w:rPr>
        <w:t xml:space="preserve"> – valsts mēroga izloze vai momentloterija, kuras laimestu fonds pārsniedz  60 % no biļešu realizācijas ieņēmumiem;</w:t>
      </w:r>
    </w:p>
    <w:p w14:paraId="01B44EA7" w14:textId="7144D82C" w:rsidR="00A26709" w:rsidRPr="0035638D" w:rsidRDefault="00A26709" w:rsidP="00A26709">
      <w:pPr>
        <w:rPr>
          <w:szCs w:val="28"/>
        </w:rPr>
      </w:pPr>
      <w:r>
        <w:rPr>
          <w:szCs w:val="28"/>
        </w:rPr>
        <w:tab/>
        <w:t xml:space="preserve">3.3.3.  </w:t>
      </w:r>
      <w:r w:rsidRPr="0035638D">
        <w:rPr>
          <w:szCs w:val="28"/>
        </w:rPr>
        <w:t>3 – interaktīvās izlozes;</w:t>
      </w:r>
    </w:p>
    <w:p w14:paraId="7D3A11DD" w14:textId="6623813B" w:rsidR="00A26709" w:rsidRDefault="00A26709" w:rsidP="00A26709">
      <w:pPr>
        <w:rPr>
          <w:szCs w:val="28"/>
        </w:rPr>
      </w:pPr>
      <w:r>
        <w:rPr>
          <w:szCs w:val="28"/>
        </w:rPr>
        <w:tab/>
        <w:t xml:space="preserve">3.3.4.  </w:t>
      </w:r>
      <w:r w:rsidRPr="0035638D">
        <w:rPr>
          <w:szCs w:val="28"/>
        </w:rPr>
        <w:t>4 – vietējā m</w:t>
      </w:r>
      <w:r>
        <w:rPr>
          <w:szCs w:val="28"/>
        </w:rPr>
        <w:t>ēroga izloze vai momentloterija;</w:t>
      </w:r>
    </w:p>
    <w:p w14:paraId="7B219C6E" w14:textId="44E0B35B" w:rsidR="00631676" w:rsidRDefault="00631676" w:rsidP="00A26709">
      <w:pPr>
        <w:rPr>
          <w:szCs w:val="28"/>
        </w:rPr>
      </w:pPr>
    </w:p>
    <w:p w14:paraId="7B4D8A0A" w14:textId="0D7E1A09" w:rsidR="00631676" w:rsidRDefault="00631676" w:rsidP="00631676">
      <w:pPr>
        <w:rPr>
          <w:szCs w:val="28"/>
        </w:rPr>
      </w:pPr>
      <w:r>
        <w:rPr>
          <w:szCs w:val="28"/>
        </w:rPr>
        <w:tab/>
        <w:t xml:space="preserve">3.4. 3.ailē </w:t>
      </w:r>
      <w:r w:rsidRPr="00631676">
        <w:rPr>
          <w:szCs w:val="28"/>
        </w:rPr>
        <w:t xml:space="preserve">“Izlozes vai momentloterijas </w:t>
      </w:r>
      <w:r>
        <w:rPr>
          <w:szCs w:val="28"/>
        </w:rPr>
        <w:t>nosaukums</w:t>
      </w:r>
      <w:r w:rsidRPr="00631676">
        <w:rPr>
          <w:szCs w:val="28"/>
        </w:rPr>
        <w:t>”</w:t>
      </w:r>
      <w:r>
        <w:rPr>
          <w:szCs w:val="28"/>
        </w:rPr>
        <w:t xml:space="preserve"> norāda </w:t>
      </w:r>
      <w:r w:rsidRPr="00631676">
        <w:rPr>
          <w:szCs w:val="28"/>
        </w:rPr>
        <w:t>izlozes vai momentloterijas</w:t>
      </w:r>
      <w:r>
        <w:rPr>
          <w:szCs w:val="28"/>
        </w:rPr>
        <w:t xml:space="preserve"> </w:t>
      </w:r>
      <w:r w:rsidRPr="00631676">
        <w:rPr>
          <w:szCs w:val="28"/>
        </w:rPr>
        <w:t>nosaukum</w:t>
      </w:r>
      <w:r>
        <w:rPr>
          <w:szCs w:val="28"/>
        </w:rPr>
        <w:t>u;</w:t>
      </w:r>
    </w:p>
    <w:p w14:paraId="39B970CF" w14:textId="34625CC0" w:rsidR="00631676" w:rsidRDefault="00631676" w:rsidP="00631676">
      <w:pPr>
        <w:rPr>
          <w:szCs w:val="28"/>
        </w:rPr>
      </w:pPr>
    </w:p>
    <w:p w14:paraId="3C8D0FA3" w14:textId="6E5EC46F" w:rsidR="00631676" w:rsidRDefault="00631676" w:rsidP="00631676">
      <w:pPr>
        <w:rPr>
          <w:szCs w:val="28"/>
        </w:rPr>
      </w:pPr>
      <w:r>
        <w:rPr>
          <w:szCs w:val="28"/>
        </w:rPr>
        <w:tab/>
        <w:t xml:space="preserve">3.5. 4.ailē </w:t>
      </w:r>
      <w:r w:rsidRPr="00631676">
        <w:rPr>
          <w:szCs w:val="28"/>
        </w:rPr>
        <w:t>“Administratīvās teritorijas kods (saskaņā ar ATVK)” norāda tās administratīvās teritorijas kodu, kuras teritorijā</w:t>
      </w:r>
      <w:r w:rsidR="00907B21" w:rsidRPr="00907B21">
        <w:rPr>
          <w:szCs w:val="28"/>
        </w:rPr>
        <w:t xml:space="preserve"> </w:t>
      </w:r>
      <w:r w:rsidR="00907B21" w:rsidRPr="0035638D">
        <w:rPr>
          <w:szCs w:val="28"/>
        </w:rPr>
        <w:t>tiek organizēta vietējā mēroga izloze un momentloterija.</w:t>
      </w:r>
      <w:r w:rsidR="00907B21">
        <w:rPr>
          <w:szCs w:val="28"/>
        </w:rPr>
        <w:t xml:space="preserve"> </w:t>
      </w:r>
      <w:r w:rsidR="00907B21" w:rsidRPr="00907B21">
        <w:rPr>
          <w:szCs w:val="28"/>
        </w:rPr>
        <w:t xml:space="preserve">Administratīvās teritorijas kodu norāda saskaņā ar Latvijas Republikas Administratīvo teritoriju un teritoriālo vienību klasifikatoru </w:t>
      </w:r>
      <w:r w:rsidR="00907B21" w:rsidRPr="00907B21">
        <w:rPr>
          <w:szCs w:val="28"/>
        </w:rPr>
        <w:lastRenderedPageBreak/>
        <w:t>(ATVK)</w:t>
      </w:r>
      <w:r w:rsidR="00907B21">
        <w:rPr>
          <w:szCs w:val="28"/>
        </w:rPr>
        <w:t>;</w:t>
      </w:r>
    </w:p>
    <w:p w14:paraId="44A2C12C" w14:textId="68336030" w:rsidR="00907B21" w:rsidRDefault="00E57CC2" w:rsidP="00907B21">
      <w:pPr>
        <w:rPr>
          <w:szCs w:val="28"/>
        </w:rPr>
      </w:pPr>
      <w:r>
        <w:rPr>
          <w:szCs w:val="28"/>
        </w:rPr>
        <w:tab/>
      </w:r>
      <w:r w:rsidR="00907B21">
        <w:rPr>
          <w:szCs w:val="28"/>
        </w:rPr>
        <w:t>3.6. 5.ailē “Ar nodokli apliekamais objekts izlozēm vai momentloterijām (</w:t>
      </w:r>
      <w:r w:rsidR="00907B21" w:rsidRPr="001C6999">
        <w:rPr>
          <w:i/>
          <w:szCs w:val="28"/>
        </w:rPr>
        <w:t>euro</w:t>
      </w:r>
      <w:r w:rsidR="00907B21">
        <w:rPr>
          <w:szCs w:val="28"/>
        </w:rPr>
        <w:t xml:space="preserve">)” norāda  ar izložu </w:t>
      </w:r>
      <w:r w:rsidR="00907B21" w:rsidRPr="00907B21">
        <w:rPr>
          <w:szCs w:val="28"/>
        </w:rPr>
        <w:t>nodokli apliekam</w:t>
      </w:r>
      <w:r w:rsidR="00907B21">
        <w:rPr>
          <w:szCs w:val="28"/>
        </w:rPr>
        <w:t>o</w:t>
      </w:r>
      <w:r w:rsidR="00907B21" w:rsidRPr="00907B21">
        <w:rPr>
          <w:szCs w:val="28"/>
        </w:rPr>
        <w:t xml:space="preserve"> objekt</w:t>
      </w:r>
      <w:r w:rsidR="00907B21">
        <w:rPr>
          <w:szCs w:val="28"/>
        </w:rPr>
        <w:t>u (</w:t>
      </w:r>
      <w:r w:rsidR="00907B21" w:rsidRPr="001C6999">
        <w:rPr>
          <w:i/>
          <w:szCs w:val="28"/>
        </w:rPr>
        <w:t>euro</w:t>
      </w:r>
      <w:r w:rsidR="00907B21">
        <w:rPr>
          <w:szCs w:val="28"/>
        </w:rPr>
        <w:t>);</w:t>
      </w:r>
    </w:p>
    <w:p w14:paraId="39773902" w14:textId="0D1067F1" w:rsidR="00907B21" w:rsidRDefault="00907B21" w:rsidP="00907B21">
      <w:pPr>
        <w:rPr>
          <w:szCs w:val="28"/>
        </w:rPr>
      </w:pPr>
    </w:p>
    <w:p w14:paraId="49702EB0" w14:textId="2CF94E64" w:rsidR="00907B21" w:rsidRDefault="00E57CC2" w:rsidP="00907B21">
      <w:pPr>
        <w:rPr>
          <w:szCs w:val="28"/>
        </w:rPr>
      </w:pPr>
      <w:r>
        <w:rPr>
          <w:szCs w:val="28"/>
        </w:rPr>
        <w:tab/>
      </w:r>
      <w:r w:rsidR="00907B21">
        <w:rPr>
          <w:szCs w:val="28"/>
        </w:rPr>
        <w:t>3.7. 6.ailē “Aprēķināts izložu nodoklis (5. aile x izložu nodokļa likme) (</w:t>
      </w:r>
      <w:r w:rsidR="00907B21" w:rsidRPr="001C6999">
        <w:rPr>
          <w:i/>
          <w:szCs w:val="28"/>
        </w:rPr>
        <w:t>euro</w:t>
      </w:r>
      <w:r w:rsidR="00907B21">
        <w:rPr>
          <w:szCs w:val="28"/>
        </w:rPr>
        <w:t>)” norāda nodokļa summu, kuru aprēķina 5. ailē norādīto summu reizinot ar izložu nodok</w:t>
      </w:r>
      <w:r>
        <w:rPr>
          <w:szCs w:val="28"/>
        </w:rPr>
        <w:t>ļa likmi;</w:t>
      </w:r>
    </w:p>
    <w:p w14:paraId="33A651C0" w14:textId="6215BFE8" w:rsidR="00E57CC2" w:rsidRDefault="00E57CC2" w:rsidP="00907B21">
      <w:pPr>
        <w:rPr>
          <w:szCs w:val="28"/>
        </w:rPr>
      </w:pPr>
    </w:p>
    <w:p w14:paraId="777012E0" w14:textId="236556FC" w:rsidR="00E57CC2" w:rsidRPr="00907B21" w:rsidRDefault="00E57CC2" w:rsidP="00907B21">
      <w:pPr>
        <w:rPr>
          <w:szCs w:val="28"/>
        </w:rPr>
      </w:pPr>
      <w:r>
        <w:rPr>
          <w:szCs w:val="28"/>
        </w:rPr>
        <w:tab/>
        <w:t xml:space="preserve">3.8. </w:t>
      </w:r>
      <w:r w:rsidRPr="00E57CC2">
        <w:rPr>
          <w:szCs w:val="28"/>
        </w:rPr>
        <w:t>rindā “Kopā</w:t>
      </w:r>
      <w:r w:rsidR="0044393D">
        <w:rPr>
          <w:szCs w:val="28"/>
        </w:rPr>
        <w:t xml:space="preserve"> aprēķināts nodoklis, t.sk.:</w:t>
      </w:r>
      <w:r>
        <w:rPr>
          <w:szCs w:val="28"/>
        </w:rPr>
        <w:t>”</w:t>
      </w:r>
      <w:r w:rsidRPr="00E57CC2">
        <w:rPr>
          <w:szCs w:val="28"/>
        </w:rPr>
        <w:t xml:space="preserve"> norāda aprēķināto </w:t>
      </w:r>
      <w:r>
        <w:rPr>
          <w:szCs w:val="28"/>
        </w:rPr>
        <w:t xml:space="preserve">izložu </w:t>
      </w:r>
      <w:r w:rsidRPr="00E57CC2">
        <w:rPr>
          <w:szCs w:val="28"/>
        </w:rPr>
        <w:t xml:space="preserve">nodokļa kopsummu, kuru veido </w:t>
      </w:r>
      <w:r>
        <w:rPr>
          <w:szCs w:val="28"/>
        </w:rPr>
        <w:t>6</w:t>
      </w:r>
      <w:r w:rsidRPr="00E57CC2">
        <w:rPr>
          <w:szCs w:val="28"/>
        </w:rPr>
        <w:t>. ailes kopsumma</w:t>
      </w:r>
      <w:r w:rsidR="0044393D">
        <w:rPr>
          <w:szCs w:val="28"/>
        </w:rPr>
        <w:t>. Izložu n</w:t>
      </w:r>
      <w:r w:rsidRPr="00E57CC2">
        <w:rPr>
          <w:szCs w:val="28"/>
        </w:rPr>
        <w:t xml:space="preserve">odokļa kopsummu atšifrē, tai skaitā norādot nodokļa summu sadalījumu pa budžetiem: valsts pamatbudžetā un </w:t>
      </w:r>
      <w:r w:rsidR="005D29F7">
        <w:rPr>
          <w:szCs w:val="28"/>
        </w:rPr>
        <w:t xml:space="preserve">attiecīgās </w:t>
      </w:r>
      <w:r w:rsidRPr="00E57CC2">
        <w:rPr>
          <w:szCs w:val="28"/>
        </w:rPr>
        <w:t>pašvaldīb</w:t>
      </w:r>
      <w:r w:rsidR="005D29F7">
        <w:rPr>
          <w:szCs w:val="28"/>
        </w:rPr>
        <w:t>as</w:t>
      </w:r>
      <w:r w:rsidRPr="00E57CC2">
        <w:rPr>
          <w:szCs w:val="28"/>
        </w:rPr>
        <w:t xml:space="preserve"> budžetā (norād</w:t>
      </w:r>
      <w:r w:rsidR="00022900">
        <w:rPr>
          <w:szCs w:val="28"/>
        </w:rPr>
        <w:t>a</w:t>
      </w:r>
      <w:r w:rsidRPr="00E57CC2">
        <w:rPr>
          <w:szCs w:val="28"/>
        </w:rPr>
        <w:t xml:space="preserve"> </w:t>
      </w:r>
      <w:r w:rsidR="00022900">
        <w:rPr>
          <w:szCs w:val="28"/>
        </w:rPr>
        <w:t>attiecīgās pašvaldības administratīvās teritorijas kodu (ATVK)</w:t>
      </w:r>
      <w:r w:rsidRPr="00E57CC2">
        <w:rPr>
          <w:szCs w:val="28"/>
        </w:rPr>
        <w:t>).</w:t>
      </w:r>
    </w:p>
    <w:p w14:paraId="29CFCDA5" w14:textId="65A4E32E" w:rsidR="00907B21" w:rsidRDefault="00907B21" w:rsidP="00631676">
      <w:pPr>
        <w:rPr>
          <w:szCs w:val="28"/>
        </w:rPr>
      </w:pPr>
    </w:p>
    <w:p w14:paraId="76CD546E" w14:textId="033C71B4" w:rsidR="0035767B" w:rsidRDefault="00C3579F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4</w:t>
      </w:r>
      <w:r w:rsidR="0035767B">
        <w:rPr>
          <w:szCs w:val="28"/>
        </w:rPr>
        <w:t>. Atzīt par spēku zaudējušiem Ministru kabineta 2015. gada 6. janvāra noteikumus Nr. 3 “</w:t>
      </w:r>
      <w:r w:rsidR="0035767B" w:rsidRPr="0035767B">
        <w:rPr>
          <w:szCs w:val="28"/>
        </w:rPr>
        <w:t>Noteikumi par izložu un azartspēļu nodokļa pārskatu veidlapu paraugiem un</w:t>
      </w:r>
      <w:r w:rsidR="0035767B" w:rsidRPr="0035767B">
        <w:t xml:space="preserve"> </w:t>
      </w:r>
      <w:r w:rsidR="0035767B" w:rsidRPr="0035767B">
        <w:rPr>
          <w:szCs w:val="28"/>
        </w:rPr>
        <w:t>izložu un azartspēļu nodokļa</w:t>
      </w:r>
      <w:r w:rsidR="0035767B" w:rsidRPr="0035767B">
        <w:t xml:space="preserve"> </w:t>
      </w:r>
      <w:r w:rsidR="0035767B" w:rsidRPr="0035767B">
        <w:rPr>
          <w:szCs w:val="28"/>
        </w:rPr>
        <w:t xml:space="preserve">pārskatu </w:t>
      </w:r>
      <w:r w:rsidR="0035767B">
        <w:rPr>
          <w:szCs w:val="28"/>
        </w:rPr>
        <w:t>iesniegšanas</w:t>
      </w:r>
      <w:r w:rsidR="0035767B" w:rsidRPr="0035767B">
        <w:rPr>
          <w:szCs w:val="28"/>
        </w:rPr>
        <w:t xml:space="preserve"> kārtību</w:t>
      </w:r>
      <w:r w:rsidR="0035767B">
        <w:rPr>
          <w:szCs w:val="28"/>
        </w:rPr>
        <w:t>” (Latvijas Vēstnesis, 2015, 4. nr., 2017, 183. nr.).</w:t>
      </w:r>
    </w:p>
    <w:p w14:paraId="5B7AD6E2" w14:textId="12928F39" w:rsidR="0035767B" w:rsidRDefault="0035767B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1B8D389A" w14:textId="4FA7E104" w:rsidR="0035767B" w:rsidRDefault="00C3579F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5</w:t>
      </w:r>
      <w:r w:rsidR="0035767B">
        <w:rPr>
          <w:szCs w:val="28"/>
        </w:rPr>
        <w:t>. Noteikumi stājas spēkā 2021.</w:t>
      </w:r>
      <w:r>
        <w:rPr>
          <w:szCs w:val="28"/>
        </w:rPr>
        <w:t xml:space="preserve"> </w:t>
      </w:r>
      <w:r w:rsidR="0035767B">
        <w:rPr>
          <w:szCs w:val="28"/>
        </w:rPr>
        <w:t>gada 1.</w:t>
      </w:r>
      <w:r>
        <w:rPr>
          <w:szCs w:val="28"/>
        </w:rPr>
        <w:t xml:space="preserve"> </w:t>
      </w:r>
      <w:r w:rsidR="0035767B">
        <w:rPr>
          <w:szCs w:val="28"/>
        </w:rPr>
        <w:t>janvārī.</w:t>
      </w:r>
    </w:p>
    <w:p w14:paraId="042E0A81" w14:textId="77777777" w:rsidR="00881E30" w:rsidRDefault="00881E30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631CAF27" w14:textId="5E78580A" w:rsidR="002969F3" w:rsidRDefault="002969F3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14:paraId="5AC9D0CE" w14:textId="77777777" w:rsidTr="00CC6FC1">
        <w:trPr>
          <w:trHeight w:val="1420"/>
        </w:trPr>
        <w:tc>
          <w:tcPr>
            <w:tcW w:w="4077" w:type="dxa"/>
          </w:tcPr>
          <w:p w14:paraId="07C3379D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14:paraId="1AD1DCBA" w14:textId="6BD541C5" w:rsidR="00260ABE" w:rsidRPr="007B0D71" w:rsidRDefault="00CC405A" w:rsidP="008E11A7">
            <w:pPr>
              <w:spacing w:line="240" w:lineRule="auto"/>
              <w:ind w:firstLine="2478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</w:t>
            </w:r>
            <w:r w:rsidR="008E11A7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K</w:t>
            </w:r>
            <w:r w:rsidR="008E11A7">
              <w:rPr>
                <w:color w:val="000000" w:themeColor="text1"/>
                <w:szCs w:val="28"/>
              </w:rPr>
              <w:t xml:space="preserve">. </w:t>
            </w:r>
            <w:r w:rsidR="00260ABE">
              <w:rPr>
                <w:color w:val="000000" w:themeColor="text1"/>
                <w:szCs w:val="28"/>
              </w:rPr>
              <w:t>K</w:t>
            </w:r>
            <w:r w:rsidR="00681B81">
              <w:rPr>
                <w:color w:val="000000" w:themeColor="text1"/>
                <w:szCs w:val="28"/>
              </w:rPr>
              <w:t>ariņš</w:t>
            </w:r>
          </w:p>
          <w:p w14:paraId="000D8FD6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2353A410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14:paraId="6243EC57" w14:textId="77777777" w:rsidTr="00CC6FC1">
        <w:tc>
          <w:tcPr>
            <w:tcW w:w="4077" w:type="dxa"/>
          </w:tcPr>
          <w:p w14:paraId="0B5C51E5" w14:textId="0C355335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 w:rsidR="00910870">
              <w:rPr>
                <w:color w:val="000000" w:themeColor="text1"/>
                <w:szCs w:val="28"/>
              </w:rPr>
              <w:t>s</w:t>
            </w:r>
          </w:p>
          <w:p w14:paraId="6FBE769C" w14:textId="77777777"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14:paraId="5B50B965" w14:textId="77777777"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14:paraId="42E54E87" w14:textId="25141802" w:rsidR="00260ABE" w:rsidRPr="007B0D71" w:rsidRDefault="00681B81" w:rsidP="008E11A7">
            <w:pPr>
              <w:spacing w:line="240" w:lineRule="auto"/>
              <w:ind w:firstLine="2478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J</w:t>
            </w:r>
            <w:r w:rsidR="008E11A7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Reirs</w:t>
            </w:r>
          </w:p>
          <w:p w14:paraId="72026E07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14:paraId="72E7981A" w14:textId="77777777" w:rsidR="00881E30" w:rsidRDefault="00881E30" w:rsidP="00A43EBC">
      <w:pPr>
        <w:spacing w:line="240" w:lineRule="auto"/>
        <w:rPr>
          <w:sz w:val="24"/>
        </w:rPr>
      </w:pPr>
    </w:p>
    <w:p w14:paraId="0B94CF3B" w14:textId="77777777" w:rsidR="00881E30" w:rsidRDefault="00881E30" w:rsidP="00A43EBC">
      <w:pPr>
        <w:spacing w:line="240" w:lineRule="auto"/>
        <w:rPr>
          <w:sz w:val="24"/>
        </w:rPr>
      </w:pPr>
    </w:p>
    <w:p w14:paraId="09BE0A1B" w14:textId="77777777" w:rsidR="00881E30" w:rsidRDefault="00881E30" w:rsidP="00A43EBC">
      <w:pPr>
        <w:spacing w:line="240" w:lineRule="auto"/>
        <w:rPr>
          <w:sz w:val="24"/>
        </w:rPr>
      </w:pPr>
    </w:p>
    <w:p w14:paraId="55E861A6" w14:textId="77777777" w:rsidR="00881E30" w:rsidRDefault="00881E30" w:rsidP="00A43EBC">
      <w:pPr>
        <w:spacing w:line="240" w:lineRule="auto"/>
        <w:rPr>
          <w:sz w:val="24"/>
        </w:rPr>
      </w:pPr>
    </w:p>
    <w:p w14:paraId="42DA416D" w14:textId="1E7BB639" w:rsidR="00635AA3" w:rsidRDefault="004838C7" w:rsidP="001B2C81">
      <w:pPr>
        <w:spacing w:line="240" w:lineRule="auto"/>
        <w:rPr>
          <w:sz w:val="24"/>
        </w:rPr>
      </w:pPr>
      <w:r>
        <w:rPr>
          <w:sz w:val="24"/>
        </w:rPr>
        <w:t>Kudravecs</w:t>
      </w:r>
      <w:r w:rsidR="00A43EBC" w:rsidRPr="003A1DF2">
        <w:rPr>
          <w:sz w:val="24"/>
        </w:rPr>
        <w:t xml:space="preserve"> </w:t>
      </w:r>
      <w:r w:rsidR="0065005B" w:rsidRPr="003A1DF2">
        <w:rPr>
          <w:sz w:val="24"/>
        </w:rPr>
        <w:t>67</w:t>
      </w:r>
      <w:r w:rsidR="00901F5C" w:rsidRPr="003A1DF2">
        <w:rPr>
          <w:sz w:val="24"/>
        </w:rPr>
        <w:t>12</w:t>
      </w:r>
      <w:r>
        <w:rPr>
          <w:sz w:val="24"/>
        </w:rPr>
        <w:t>2042</w:t>
      </w:r>
    </w:p>
    <w:p w14:paraId="17154ECD" w14:textId="3478502E" w:rsidR="00DF4B71" w:rsidRDefault="004838C7" w:rsidP="001B2C81">
      <w:pPr>
        <w:spacing w:line="240" w:lineRule="auto"/>
        <w:rPr>
          <w:sz w:val="24"/>
        </w:rPr>
      </w:pPr>
      <w:r>
        <w:rPr>
          <w:sz w:val="24"/>
        </w:rPr>
        <w:t>Diana.Kudravecs@vid.gov.lv</w:t>
      </w:r>
    </w:p>
    <w:sectPr w:rsidR="00DF4B71" w:rsidSect="00553140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B69E" w14:textId="77777777" w:rsidR="00D35D06" w:rsidRDefault="00D35D06">
      <w:pPr>
        <w:spacing w:line="240" w:lineRule="auto"/>
      </w:pPr>
      <w:r>
        <w:separator/>
      </w:r>
    </w:p>
  </w:endnote>
  <w:endnote w:type="continuationSeparator" w:id="0">
    <w:p w14:paraId="68F03C1A" w14:textId="77777777" w:rsidR="00D35D06" w:rsidRDefault="00D35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2797" w14:textId="708709D7" w:rsidR="0053581A" w:rsidRPr="003C549D" w:rsidRDefault="003C549D" w:rsidP="00C436F8">
    <w:pPr>
      <w:widowControl/>
      <w:suppressAutoHyphens w:val="0"/>
      <w:autoSpaceDN/>
      <w:spacing w:line="240" w:lineRule="auto"/>
      <w:textAlignment w:val="auto"/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F32A8B">
      <w:rPr>
        <w:iCs w:val="0"/>
        <w:noProof/>
        <w:sz w:val="20"/>
        <w:szCs w:val="20"/>
        <w:lang w:eastAsia="lv-LV"/>
      </w:rPr>
      <w:t>FMNot_</w:t>
    </w:r>
    <w:r w:rsidR="00192C70">
      <w:rPr>
        <w:iCs w:val="0"/>
        <w:noProof/>
        <w:sz w:val="20"/>
        <w:szCs w:val="20"/>
        <w:lang w:eastAsia="lv-LV"/>
      </w:rPr>
      <w:t>0509</w:t>
    </w:r>
    <w:r w:rsidR="00F32A8B">
      <w:rPr>
        <w:iCs w:val="0"/>
        <w:noProof/>
        <w:sz w:val="20"/>
        <w:szCs w:val="20"/>
        <w:lang w:eastAsia="lv-LV"/>
      </w:rPr>
      <w:t>19_MK_IAN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8B4C" w14:textId="50DE5681" w:rsidR="0053581A" w:rsidRPr="00553140" w:rsidRDefault="00A43EBC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F32A8B">
      <w:rPr>
        <w:iCs w:val="0"/>
        <w:noProof/>
        <w:sz w:val="20"/>
        <w:szCs w:val="20"/>
        <w:lang w:eastAsia="lv-LV"/>
      </w:rPr>
      <w:t>FMNot_</w:t>
    </w:r>
    <w:r w:rsidR="00192C70">
      <w:rPr>
        <w:iCs w:val="0"/>
        <w:noProof/>
        <w:sz w:val="20"/>
        <w:szCs w:val="20"/>
        <w:lang w:eastAsia="lv-LV"/>
      </w:rPr>
      <w:t>0509</w:t>
    </w:r>
    <w:r w:rsidR="00F32A8B">
      <w:rPr>
        <w:iCs w:val="0"/>
        <w:noProof/>
        <w:sz w:val="20"/>
        <w:szCs w:val="20"/>
        <w:lang w:eastAsia="lv-LV"/>
      </w:rPr>
      <w:t>19_MK_IAN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4132" w14:textId="77777777" w:rsidR="00D35D06" w:rsidRDefault="00D35D0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3D47BCF" w14:textId="77777777" w:rsidR="00D35D06" w:rsidRDefault="00D35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18A0" w14:textId="72939C39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ED2E36">
      <w:rPr>
        <w:noProof/>
        <w:sz w:val="24"/>
      </w:rPr>
      <w:t>4</w:t>
    </w:r>
    <w:r w:rsidRPr="00553140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45DE2"/>
    <w:multiLevelType w:val="hybridMultilevel"/>
    <w:tmpl w:val="A73422A2"/>
    <w:lvl w:ilvl="0" w:tplc="6614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CCB64E0"/>
    <w:multiLevelType w:val="hybridMultilevel"/>
    <w:tmpl w:val="6234FA14"/>
    <w:lvl w:ilvl="0" w:tplc="E244107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E84EBB"/>
    <w:multiLevelType w:val="hybridMultilevel"/>
    <w:tmpl w:val="7DB4E824"/>
    <w:lvl w:ilvl="0" w:tplc="B63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4"/>
  </w:num>
  <w:num w:numId="5">
    <w:abstractNumId w:val="22"/>
  </w:num>
  <w:num w:numId="6">
    <w:abstractNumId w:val="10"/>
  </w:num>
  <w:num w:numId="7">
    <w:abstractNumId w:val="11"/>
  </w:num>
  <w:num w:numId="8">
    <w:abstractNumId w:val="5"/>
  </w:num>
  <w:num w:numId="9">
    <w:abstractNumId w:val="17"/>
  </w:num>
  <w:num w:numId="10">
    <w:abstractNumId w:val="21"/>
  </w:num>
  <w:num w:numId="11">
    <w:abstractNumId w:val="2"/>
  </w:num>
  <w:num w:numId="12">
    <w:abstractNumId w:val="6"/>
  </w:num>
  <w:num w:numId="13">
    <w:abstractNumId w:val="29"/>
  </w:num>
  <w:num w:numId="14">
    <w:abstractNumId w:val="27"/>
  </w:num>
  <w:num w:numId="15">
    <w:abstractNumId w:val="14"/>
  </w:num>
  <w:num w:numId="16">
    <w:abstractNumId w:val="3"/>
  </w:num>
  <w:num w:numId="17">
    <w:abstractNumId w:val="25"/>
  </w:num>
  <w:num w:numId="18">
    <w:abstractNumId w:val="8"/>
  </w:num>
  <w:num w:numId="19">
    <w:abstractNumId w:val="18"/>
  </w:num>
  <w:num w:numId="20">
    <w:abstractNumId w:val="7"/>
  </w:num>
  <w:num w:numId="21">
    <w:abstractNumId w:val="1"/>
  </w:num>
  <w:num w:numId="22">
    <w:abstractNumId w:val="16"/>
  </w:num>
  <w:num w:numId="23">
    <w:abstractNumId w:val="19"/>
  </w:num>
  <w:num w:numId="24">
    <w:abstractNumId w:val="9"/>
  </w:num>
  <w:num w:numId="25">
    <w:abstractNumId w:val="15"/>
  </w:num>
  <w:num w:numId="26">
    <w:abstractNumId w:val="0"/>
  </w:num>
  <w:num w:numId="27">
    <w:abstractNumId w:val="24"/>
  </w:num>
  <w:num w:numId="28">
    <w:abstractNumId w:val="26"/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2900"/>
    <w:rsid w:val="00026F4C"/>
    <w:rsid w:val="00027650"/>
    <w:rsid w:val="00030068"/>
    <w:rsid w:val="00031B5A"/>
    <w:rsid w:val="00035965"/>
    <w:rsid w:val="00036627"/>
    <w:rsid w:val="00051DB3"/>
    <w:rsid w:val="00056F65"/>
    <w:rsid w:val="00056FFF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462B"/>
    <w:rsid w:val="000D5990"/>
    <w:rsid w:val="000E28C2"/>
    <w:rsid w:val="000E3822"/>
    <w:rsid w:val="000F0736"/>
    <w:rsid w:val="000F56D9"/>
    <w:rsid w:val="00100961"/>
    <w:rsid w:val="00101C32"/>
    <w:rsid w:val="00104B8A"/>
    <w:rsid w:val="00105004"/>
    <w:rsid w:val="00105F3A"/>
    <w:rsid w:val="0011266F"/>
    <w:rsid w:val="001131B2"/>
    <w:rsid w:val="0012367B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55E17"/>
    <w:rsid w:val="00162203"/>
    <w:rsid w:val="001634E1"/>
    <w:rsid w:val="00166152"/>
    <w:rsid w:val="00167035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2C70"/>
    <w:rsid w:val="00193294"/>
    <w:rsid w:val="00193ED5"/>
    <w:rsid w:val="001A1B5E"/>
    <w:rsid w:val="001A1D59"/>
    <w:rsid w:val="001A3C77"/>
    <w:rsid w:val="001A4805"/>
    <w:rsid w:val="001B1933"/>
    <w:rsid w:val="001B19EB"/>
    <w:rsid w:val="001B2C81"/>
    <w:rsid w:val="001B64BB"/>
    <w:rsid w:val="001B6729"/>
    <w:rsid w:val="001B6988"/>
    <w:rsid w:val="001C0CA0"/>
    <w:rsid w:val="001C313E"/>
    <w:rsid w:val="001C5D40"/>
    <w:rsid w:val="001C6999"/>
    <w:rsid w:val="001D112C"/>
    <w:rsid w:val="001D212B"/>
    <w:rsid w:val="001D2877"/>
    <w:rsid w:val="001E29F5"/>
    <w:rsid w:val="001E3148"/>
    <w:rsid w:val="001F1B2F"/>
    <w:rsid w:val="001F2F6D"/>
    <w:rsid w:val="001F3212"/>
    <w:rsid w:val="001F6088"/>
    <w:rsid w:val="0020077A"/>
    <w:rsid w:val="002028C7"/>
    <w:rsid w:val="00203B9D"/>
    <w:rsid w:val="00204562"/>
    <w:rsid w:val="00206580"/>
    <w:rsid w:val="002069A1"/>
    <w:rsid w:val="0020794F"/>
    <w:rsid w:val="002142A7"/>
    <w:rsid w:val="002157D5"/>
    <w:rsid w:val="002167E3"/>
    <w:rsid w:val="002212A3"/>
    <w:rsid w:val="00225120"/>
    <w:rsid w:val="00225BF9"/>
    <w:rsid w:val="00227F0C"/>
    <w:rsid w:val="00234F3B"/>
    <w:rsid w:val="0024124F"/>
    <w:rsid w:val="00245968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44C6E"/>
    <w:rsid w:val="00346069"/>
    <w:rsid w:val="00350671"/>
    <w:rsid w:val="00351694"/>
    <w:rsid w:val="0035727D"/>
    <w:rsid w:val="0035767B"/>
    <w:rsid w:val="00363D94"/>
    <w:rsid w:val="00367BE6"/>
    <w:rsid w:val="003743C0"/>
    <w:rsid w:val="00381376"/>
    <w:rsid w:val="00381793"/>
    <w:rsid w:val="00381C65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C549D"/>
    <w:rsid w:val="003D1885"/>
    <w:rsid w:val="003D1DBC"/>
    <w:rsid w:val="003D3E85"/>
    <w:rsid w:val="003D5AA7"/>
    <w:rsid w:val="003D6DA7"/>
    <w:rsid w:val="003E12A9"/>
    <w:rsid w:val="003E1918"/>
    <w:rsid w:val="003E3AEA"/>
    <w:rsid w:val="003F3E42"/>
    <w:rsid w:val="003F62E1"/>
    <w:rsid w:val="003F6DAF"/>
    <w:rsid w:val="00400413"/>
    <w:rsid w:val="0040292B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C23"/>
    <w:rsid w:val="004369E8"/>
    <w:rsid w:val="00441FA3"/>
    <w:rsid w:val="004437A3"/>
    <w:rsid w:val="0044393D"/>
    <w:rsid w:val="00446EBB"/>
    <w:rsid w:val="00457051"/>
    <w:rsid w:val="004618C8"/>
    <w:rsid w:val="00462755"/>
    <w:rsid w:val="00464409"/>
    <w:rsid w:val="0046564E"/>
    <w:rsid w:val="00465A3E"/>
    <w:rsid w:val="004672A1"/>
    <w:rsid w:val="0046754E"/>
    <w:rsid w:val="00471945"/>
    <w:rsid w:val="004745EF"/>
    <w:rsid w:val="004750F3"/>
    <w:rsid w:val="004753C6"/>
    <w:rsid w:val="00475BBF"/>
    <w:rsid w:val="004804E0"/>
    <w:rsid w:val="004838C7"/>
    <w:rsid w:val="004914DE"/>
    <w:rsid w:val="00492486"/>
    <w:rsid w:val="00492CC5"/>
    <w:rsid w:val="00494962"/>
    <w:rsid w:val="00495E86"/>
    <w:rsid w:val="0049659D"/>
    <w:rsid w:val="004971D5"/>
    <w:rsid w:val="004A11DA"/>
    <w:rsid w:val="004A1AD2"/>
    <w:rsid w:val="004A2FB2"/>
    <w:rsid w:val="004A3012"/>
    <w:rsid w:val="004A6FFE"/>
    <w:rsid w:val="004A77A6"/>
    <w:rsid w:val="004B0AF0"/>
    <w:rsid w:val="004B1921"/>
    <w:rsid w:val="004B3DA7"/>
    <w:rsid w:val="004B657D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4C35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418A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3611C"/>
    <w:rsid w:val="005477EE"/>
    <w:rsid w:val="00551EBE"/>
    <w:rsid w:val="00553140"/>
    <w:rsid w:val="00553C16"/>
    <w:rsid w:val="005560F5"/>
    <w:rsid w:val="00562015"/>
    <w:rsid w:val="00565CCF"/>
    <w:rsid w:val="00573617"/>
    <w:rsid w:val="00573D2D"/>
    <w:rsid w:val="005746B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51C6"/>
    <w:rsid w:val="005C6F8F"/>
    <w:rsid w:val="005D29F7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C8C"/>
    <w:rsid w:val="00624711"/>
    <w:rsid w:val="0062537C"/>
    <w:rsid w:val="00630877"/>
    <w:rsid w:val="00631676"/>
    <w:rsid w:val="00633504"/>
    <w:rsid w:val="00633F6A"/>
    <w:rsid w:val="00635AA3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1B81"/>
    <w:rsid w:val="00682FE2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0B94"/>
    <w:rsid w:val="006B24C6"/>
    <w:rsid w:val="006B26B0"/>
    <w:rsid w:val="006B51DE"/>
    <w:rsid w:val="006B5447"/>
    <w:rsid w:val="006B668B"/>
    <w:rsid w:val="006C08D2"/>
    <w:rsid w:val="006C1A11"/>
    <w:rsid w:val="006C1F0A"/>
    <w:rsid w:val="006C622E"/>
    <w:rsid w:val="006C70F0"/>
    <w:rsid w:val="006D2A92"/>
    <w:rsid w:val="006D7C90"/>
    <w:rsid w:val="006E4005"/>
    <w:rsid w:val="006F5028"/>
    <w:rsid w:val="007061F8"/>
    <w:rsid w:val="00710B25"/>
    <w:rsid w:val="0071101F"/>
    <w:rsid w:val="00711405"/>
    <w:rsid w:val="00711E62"/>
    <w:rsid w:val="007157A3"/>
    <w:rsid w:val="00720DD7"/>
    <w:rsid w:val="007214B6"/>
    <w:rsid w:val="00732B96"/>
    <w:rsid w:val="007338F9"/>
    <w:rsid w:val="007412FA"/>
    <w:rsid w:val="007428DF"/>
    <w:rsid w:val="00744C0F"/>
    <w:rsid w:val="00746947"/>
    <w:rsid w:val="007525F1"/>
    <w:rsid w:val="0075298C"/>
    <w:rsid w:val="00757D70"/>
    <w:rsid w:val="00761109"/>
    <w:rsid w:val="00763C4D"/>
    <w:rsid w:val="00763E90"/>
    <w:rsid w:val="00765E8A"/>
    <w:rsid w:val="00767ABC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A7287"/>
    <w:rsid w:val="007B3021"/>
    <w:rsid w:val="007B51E7"/>
    <w:rsid w:val="007C0B53"/>
    <w:rsid w:val="007C1A0D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1E30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B596E"/>
    <w:rsid w:val="008C26BF"/>
    <w:rsid w:val="008C3F3B"/>
    <w:rsid w:val="008D297C"/>
    <w:rsid w:val="008D2B07"/>
    <w:rsid w:val="008D54A6"/>
    <w:rsid w:val="008D5958"/>
    <w:rsid w:val="008D7B55"/>
    <w:rsid w:val="008E11A7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07B21"/>
    <w:rsid w:val="00910870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6066D"/>
    <w:rsid w:val="009648F4"/>
    <w:rsid w:val="009653FE"/>
    <w:rsid w:val="00966619"/>
    <w:rsid w:val="009667FA"/>
    <w:rsid w:val="009845B5"/>
    <w:rsid w:val="00985ADA"/>
    <w:rsid w:val="00987D8C"/>
    <w:rsid w:val="0099033F"/>
    <w:rsid w:val="00992C0A"/>
    <w:rsid w:val="009945DB"/>
    <w:rsid w:val="00994740"/>
    <w:rsid w:val="00997349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53EC"/>
    <w:rsid w:val="009D5D8F"/>
    <w:rsid w:val="009D7E2F"/>
    <w:rsid w:val="009E6A83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BA3"/>
    <w:rsid w:val="00A12FC2"/>
    <w:rsid w:val="00A135EE"/>
    <w:rsid w:val="00A2048A"/>
    <w:rsid w:val="00A20CBD"/>
    <w:rsid w:val="00A23D1F"/>
    <w:rsid w:val="00A23FC9"/>
    <w:rsid w:val="00A26709"/>
    <w:rsid w:val="00A26DE2"/>
    <w:rsid w:val="00A27092"/>
    <w:rsid w:val="00A27B44"/>
    <w:rsid w:val="00A306E5"/>
    <w:rsid w:val="00A30F5B"/>
    <w:rsid w:val="00A31BD6"/>
    <w:rsid w:val="00A37E78"/>
    <w:rsid w:val="00A40103"/>
    <w:rsid w:val="00A414F9"/>
    <w:rsid w:val="00A41AD6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5AC4"/>
    <w:rsid w:val="00A76C0E"/>
    <w:rsid w:val="00A81557"/>
    <w:rsid w:val="00A84519"/>
    <w:rsid w:val="00A84799"/>
    <w:rsid w:val="00A85D82"/>
    <w:rsid w:val="00A86A86"/>
    <w:rsid w:val="00A90324"/>
    <w:rsid w:val="00A907A6"/>
    <w:rsid w:val="00A90980"/>
    <w:rsid w:val="00A9143A"/>
    <w:rsid w:val="00A92F5B"/>
    <w:rsid w:val="00A9368B"/>
    <w:rsid w:val="00A94D8A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06246"/>
    <w:rsid w:val="00B100AC"/>
    <w:rsid w:val="00B11330"/>
    <w:rsid w:val="00B11FDE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2157"/>
    <w:rsid w:val="00B621F2"/>
    <w:rsid w:val="00B64F91"/>
    <w:rsid w:val="00B651E2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C32E8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11B"/>
    <w:rsid w:val="00C2366C"/>
    <w:rsid w:val="00C31689"/>
    <w:rsid w:val="00C33620"/>
    <w:rsid w:val="00C34275"/>
    <w:rsid w:val="00C34765"/>
    <w:rsid w:val="00C3579F"/>
    <w:rsid w:val="00C360F6"/>
    <w:rsid w:val="00C417AF"/>
    <w:rsid w:val="00C419F6"/>
    <w:rsid w:val="00C4225C"/>
    <w:rsid w:val="00C436F8"/>
    <w:rsid w:val="00C46897"/>
    <w:rsid w:val="00C52EA9"/>
    <w:rsid w:val="00C5344B"/>
    <w:rsid w:val="00C55F00"/>
    <w:rsid w:val="00C56730"/>
    <w:rsid w:val="00C56D0B"/>
    <w:rsid w:val="00C57116"/>
    <w:rsid w:val="00C61C77"/>
    <w:rsid w:val="00C61F4C"/>
    <w:rsid w:val="00C6509A"/>
    <w:rsid w:val="00C658ED"/>
    <w:rsid w:val="00C65FA0"/>
    <w:rsid w:val="00C70D37"/>
    <w:rsid w:val="00C72AE4"/>
    <w:rsid w:val="00C72CF0"/>
    <w:rsid w:val="00C77BB4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ABE"/>
    <w:rsid w:val="00CC405A"/>
    <w:rsid w:val="00CC57CB"/>
    <w:rsid w:val="00CC6A41"/>
    <w:rsid w:val="00CD21CB"/>
    <w:rsid w:val="00CD345E"/>
    <w:rsid w:val="00CD4C7F"/>
    <w:rsid w:val="00CD5C12"/>
    <w:rsid w:val="00CD5FBB"/>
    <w:rsid w:val="00CD6D66"/>
    <w:rsid w:val="00CE4760"/>
    <w:rsid w:val="00CE6152"/>
    <w:rsid w:val="00CE620C"/>
    <w:rsid w:val="00CF35CE"/>
    <w:rsid w:val="00CF59F8"/>
    <w:rsid w:val="00CF6A2B"/>
    <w:rsid w:val="00CF7AA1"/>
    <w:rsid w:val="00D01FFF"/>
    <w:rsid w:val="00D0637A"/>
    <w:rsid w:val="00D1339D"/>
    <w:rsid w:val="00D15F82"/>
    <w:rsid w:val="00D161FA"/>
    <w:rsid w:val="00D20C3B"/>
    <w:rsid w:val="00D23EB4"/>
    <w:rsid w:val="00D30282"/>
    <w:rsid w:val="00D3274B"/>
    <w:rsid w:val="00D33CBC"/>
    <w:rsid w:val="00D35261"/>
    <w:rsid w:val="00D35D06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471"/>
    <w:rsid w:val="00DA081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A0D"/>
    <w:rsid w:val="00E36B27"/>
    <w:rsid w:val="00E36B34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031"/>
    <w:rsid w:val="00E57757"/>
    <w:rsid w:val="00E57CC2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84BD8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682C"/>
    <w:rsid w:val="00ED15DE"/>
    <w:rsid w:val="00ED2E36"/>
    <w:rsid w:val="00EE0FD0"/>
    <w:rsid w:val="00EE2BDD"/>
    <w:rsid w:val="00EE383C"/>
    <w:rsid w:val="00EE44CC"/>
    <w:rsid w:val="00EF2744"/>
    <w:rsid w:val="00EF4080"/>
    <w:rsid w:val="00EF4D7C"/>
    <w:rsid w:val="00EF58AD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14D80"/>
    <w:rsid w:val="00F219AD"/>
    <w:rsid w:val="00F21E56"/>
    <w:rsid w:val="00F226FF"/>
    <w:rsid w:val="00F23B90"/>
    <w:rsid w:val="00F24E75"/>
    <w:rsid w:val="00F3136E"/>
    <w:rsid w:val="00F32A8B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67F3"/>
    <w:rsid w:val="00F8740A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  <w:rsid w:val="00FD68FF"/>
    <w:rsid w:val="00FD7381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8C552"/>
  <w15:docId w15:val="{A389CA0B-1BF0-4C59-AB7D-2DA0435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M. Kalniņš (VID)</Vad_x012b_t_x0101_js>
    <Kategorija xmlns="2e5bb04e-596e-45bd-9003-43ca78b1ba16">MK noteikumu projekts</Kategorija>
    <TAP xmlns="49b0bb89-35b3-4114-9b1c-a376ef2ba045">117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64E0-07CA-49D3-83E9-497AFBE9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D40F2-433B-4B1A-9E1A-7F42ABE9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4494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izložu un azartspēļu nodokļa pārskatu veidlapu paraugiem un to aizpildīšanas kārtību"</vt:lpstr>
    </vt:vector>
  </TitlesOfParts>
  <Company>Valsts ieņēmumu dienests/Finanšu ministrija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izložu un azartspēļu nodokļa pārskatu veidlapu paraugiem un to aizpildīšanas kārtību"</dc:title>
  <dc:subject>noteikumu projekts</dc:subject>
  <dc:creator>D. Kudravecs (VID)</dc:creator>
  <dc:description>67122042, diana.kudravecs@vid.gov.lv</dc:description>
  <cp:lastModifiedBy>Inguna Dancīte</cp:lastModifiedBy>
  <cp:revision>2</cp:revision>
  <cp:lastPrinted>2019-08-30T09:47:00Z</cp:lastPrinted>
  <dcterms:created xsi:type="dcterms:W3CDTF">2019-09-27T07:42:00Z</dcterms:created>
  <dcterms:modified xsi:type="dcterms:W3CDTF">2019-09-27T07:42:00Z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