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7550D" w14:textId="20F2E07A" w:rsidR="006D048A" w:rsidRPr="009565C8" w:rsidRDefault="00B12544" w:rsidP="00915BDC">
      <w:pPr>
        <w:spacing w:line="276" w:lineRule="auto"/>
        <w:jc w:val="center"/>
        <w:rPr>
          <w:rFonts w:cs="Times New Roman"/>
          <w:b/>
          <w:szCs w:val="24"/>
        </w:rPr>
      </w:pPr>
      <w:r w:rsidRPr="009565C8">
        <w:rPr>
          <w:rFonts w:cs="Times New Roman"/>
          <w:b/>
          <w:szCs w:val="24"/>
        </w:rPr>
        <w:t>Informatīvais ziņojums par Eiropas Savienības struktūrfondu un Kohēzijas fonda 2014.–2020.gada plānošanas perioda darbības programmas “</w:t>
      </w:r>
      <w:r w:rsidR="003F0164" w:rsidRPr="009565C8">
        <w:rPr>
          <w:rFonts w:cs="Times New Roman"/>
          <w:b/>
          <w:szCs w:val="24"/>
        </w:rPr>
        <w:t>Izaugsme un nodarbinātība</w:t>
      </w:r>
      <w:r w:rsidRPr="009565C8">
        <w:rPr>
          <w:rFonts w:cs="Times New Roman"/>
          <w:b/>
          <w:szCs w:val="24"/>
        </w:rPr>
        <w:t xml:space="preserve">” snieguma ietvarā noteikto mērķu sasniegšanas progresu un snieguma rezerves finansējuma </w:t>
      </w:r>
      <w:r w:rsidR="007302B5" w:rsidRPr="009565C8">
        <w:rPr>
          <w:rFonts w:cs="Times New Roman"/>
          <w:b/>
          <w:szCs w:val="24"/>
        </w:rPr>
        <w:t>tālāku izmantošanu</w:t>
      </w:r>
    </w:p>
    <w:sdt>
      <w:sdtPr>
        <w:rPr>
          <w:rFonts w:ascii="Times New Roman" w:eastAsiaTheme="minorHAnsi" w:hAnsi="Times New Roman" w:cstheme="minorBidi"/>
          <w:color w:val="auto"/>
          <w:sz w:val="24"/>
          <w:szCs w:val="22"/>
          <w:lang w:val="lv-LV"/>
        </w:rPr>
        <w:id w:val="1024143791"/>
        <w:docPartObj>
          <w:docPartGallery w:val="Table of Contents"/>
          <w:docPartUnique/>
        </w:docPartObj>
      </w:sdtPr>
      <w:sdtEndPr>
        <w:rPr>
          <w:bCs/>
          <w:noProof/>
        </w:rPr>
      </w:sdtEndPr>
      <w:sdtContent>
        <w:p w14:paraId="2AB73E2C" w14:textId="2B3158F4" w:rsidR="006245ED" w:rsidRDefault="006245ED" w:rsidP="00915BDC">
          <w:pPr>
            <w:pStyle w:val="TOCHeading"/>
            <w:spacing w:line="276" w:lineRule="auto"/>
          </w:pPr>
        </w:p>
        <w:p w14:paraId="39E3423B" w14:textId="3F1F924C" w:rsidR="00C763EE" w:rsidRDefault="006245ED">
          <w:pPr>
            <w:pStyle w:val="TOC2"/>
            <w:tabs>
              <w:tab w:val="right" w:leader="dot" w:pos="9061"/>
            </w:tabs>
            <w:rPr>
              <w:rFonts w:asciiTheme="minorHAnsi" w:eastAsiaTheme="minorEastAsia" w:hAnsiTheme="minorHAnsi"/>
              <w:noProof/>
              <w:sz w:val="22"/>
              <w:lang w:eastAsia="lv-LV"/>
            </w:rPr>
          </w:pPr>
          <w:r w:rsidRPr="0008520F">
            <w:fldChar w:fldCharType="begin"/>
          </w:r>
          <w:r w:rsidRPr="0008520F">
            <w:instrText xml:space="preserve"> TOC \o "1-3" \h \z \u </w:instrText>
          </w:r>
          <w:r w:rsidRPr="0008520F">
            <w:fldChar w:fldCharType="separate"/>
          </w:r>
          <w:hyperlink w:anchor="_Toc21076978" w:history="1">
            <w:r w:rsidR="00C763EE" w:rsidRPr="00E458BF">
              <w:rPr>
                <w:rStyle w:val="Hyperlink"/>
                <w:rFonts w:cs="Times New Roman"/>
                <w:b/>
                <w:noProof/>
              </w:rPr>
              <w:t>I Valsts budžeta virssaistības un to kompensēšanas risinājumi</w:t>
            </w:r>
            <w:r w:rsidR="00C763EE">
              <w:rPr>
                <w:noProof/>
                <w:webHidden/>
              </w:rPr>
              <w:tab/>
            </w:r>
            <w:r w:rsidR="00C763EE">
              <w:rPr>
                <w:noProof/>
                <w:webHidden/>
              </w:rPr>
              <w:fldChar w:fldCharType="begin"/>
            </w:r>
            <w:r w:rsidR="00C763EE">
              <w:rPr>
                <w:noProof/>
                <w:webHidden/>
              </w:rPr>
              <w:instrText xml:space="preserve"> PAGEREF _Toc21076978 \h </w:instrText>
            </w:r>
            <w:r w:rsidR="00C763EE">
              <w:rPr>
                <w:noProof/>
                <w:webHidden/>
              </w:rPr>
            </w:r>
            <w:r w:rsidR="00C763EE">
              <w:rPr>
                <w:noProof/>
                <w:webHidden/>
              </w:rPr>
              <w:fldChar w:fldCharType="separate"/>
            </w:r>
            <w:r w:rsidR="00C763EE">
              <w:rPr>
                <w:noProof/>
                <w:webHidden/>
              </w:rPr>
              <w:t>2</w:t>
            </w:r>
            <w:r w:rsidR="00C763EE">
              <w:rPr>
                <w:noProof/>
                <w:webHidden/>
              </w:rPr>
              <w:fldChar w:fldCharType="end"/>
            </w:r>
          </w:hyperlink>
        </w:p>
        <w:p w14:paraId="5E70AF04" w14:textId="1719351F" w:rsidR="00C763EE" w:rsidRDefault="00EF633F">
          <w:pPr>
            <w:pStyle w:val="TOC3"/>
            <w:tabs>
              <w:tab w:val="right" w:leader="dot" w:pos="9061"/>
            </w:tabs>
            <w:rPr>
              <w:rFonts w:asciiTheme="minorHAnsi" w:eastAsiaTheme="minorEastAsia" w:hAnsiTheme="minorHAnsi"/>
              <w:noProof/>
              <w:sz w:val="22"/>
              <w:lang w:eastAsia="lv-LV"/>
            </w:rPr>
          </w:pPr>
          <w:hyperlink w:anchor="_Toc21076979" w:history="1">
            <w:r w:rsidR="00C763EE" w:rsidRPr="00E458BF">
              <w:rPr>
                <w:rStyle w:val="Hyperlink"/>
                <w:rFonts w:cs="Times New Roman"/>
                <w:b/>
                <w:noProof/>
              </w:rPr>
              <w:t>Virssaistību būtība un sadalījums</w:t>
            </w:r>
            <w:r w:rsidR="00C763EE">
              <w:rPr>
                <w:noProof/>
                <w:webHidden/>
              </w:rPr>
              <w:tab/>
            </w:r>
            <w:r w:rsidR="00C763EE">
              <w:rPr>
                <w:noProof/>
                <w:webHidden/>
              </w:rPr>
              <w:fldChar w:fldCharType="begin"/>
            </w:r>
            <w:r w:rsidR="00C763EE">
              <w:rPr>
                <w:noProof/>
                <w:webHidden/>
              </w:rPr>
              <w:instrText xml:space="preserve"> PAGEREF _Toc21076979 \h </w:instrText>
            </w:r>
            <w:r w:rsidR="00C763EE">
              <w:rPr>
                <w:noProof/>
                <w:webHidden/>
              </w:rPr>
            </w:r>
            <w:r w:rsidR="00C763EE">
              <w:rPr>
                <w:noProof/>
                <w:webHidden/>
              </w:rPr>
              <w:fldChar w:fldCharType="separate"/>
            </w:r>
            <w:r w:rsidR="00C763EE">
              <w:rPr>
                <w:noProof/>
                <w:webHidden/>
              </w:rPr>
              <w:t>2</w:t>
            </w:r>
            <w:r w:rsidR="00C763EE">
              <w:rPr>
                <w:noProof/>
                <w:webHidden/>
              </w:rPr>
              <w:fldChar w:fldCharType="end"/>
            </w:r>
          </w:hyperlink>
        </w:p>
        <w:p w14:paraId="23F727A3" w14:textId="167D1E0F" w:rsidR="00C763EE" w:rsidRDefault="00EF633F">
          <w:pPr>
            <w:pStyle w:val="TOC3"/>
            <w:tabs>
              <w:tab w:val="right" w:leader="dot" w:pos="9061"/>
            </w:tabs>
            <w:rPr>
              <w:rFonts w:asciiTheme="minorHAnsi" w:eastAsiaTheme="minorEastAsia" w:hAnsiTheme="minorHAnsi"/>
              <w:noProof/>
              <w:sz w:val="22"/>
              <w:lang w:eastAsia="lv-LV"/>
            </w:rPr>
          </w:pPr>
          <w:hyperlink w:anchor="_Toc21076980" w:history="1">
            <w:r w:rsidR="00C763EE" w:rsidRPr="00E458BF">
              <w:rPr>
                <w:rStyle w:val="Hyperlink"/>
                <w:rFonts w:cs="Times New Roman"/>
                <w:b/>
                <w:noProof/>
              </w:rPr>
              <w:t>Virssaistību kompensēšanas alternatīvas un FM priekšlikums virssaistību kompensēšanai</w:t>
            </w:r>
            <w:r w:rsidR="00C763EE">
              <w:rPr>
                <w:noProof/>
                <w:webHidden/>
              </w:rPr>
              <w:tab/>
            </w:r>
            <w:r w:rsidR="00C763EE">
              <w:rPr>
                <w:noProof/>
                <w:webHidden/>
              </w:rPr>
              <w:fldChar w:fldCharType="begin"/>
            </w:r>
            <w:r w:rsidR="00C763EE">
              <w:rPr>
                <w:noProof/>
                <w:webHidden/>
              </w:rPr>
              <w:instrText xml:space="preserve"> PAGEREF _Toc21076980 \h </w:instrText>
            </w:r>
            <w:r w:rsidR="00C763EE">
              <w:rPr>
                <w:noProof/>
                <w:webHidden/>
              </w:rPr>
            </w:r>
            <w:r w:rsidR="00C763EE">
              <w:rPr>
                <w:noProof/>
                <w:webHidden/>
              </w:rPr>
              <w:fldChar w:fldCharType="separate"/>
            </w:r>
            <w:r w:rsidR="00C763EE">
              <w:rPr>
                <w:noProof/>
                <w:webHidden/>
              </w:rPr>
              <w:t>3</w:t>
            </w:r>
            <w:r w:rsidR="00C763EE">
              <w:rPr>
                <w:noProof/>
                <w:webHidden/>
              </w:rPr>
              <w:fldChar w:fldCharType="end"/>
            </w:r>
          </w:hyperlink>
        </w:p>
        <w:p w14:paraId="5BB8635E" w14:textId="0E3D6732" w:rsidR="00C763EE" w:rsidRDefault="00EF633F">
          <w:pPr>
            <w:pStyle w:val="TOC2"/>
            <w:tabs>
              <w:tab w:val="right" w:leader="dot" w:pos="9061"/>
            </w:tabs>
            <w:rPr>
              <w:rFonts w:asciiTheme="minorHAnsi" w:eastAsiaTheme="minorEastAsia" w:hAnsiTheme="minorHAnsi"/>
              <w:noProof/>
              <w:sz w:val="22"/>
              <w:lang w:eastAsia="lv-LV"/>
            </w:rPr>
          </w:pPr>
          <w:hyperlink w:anchor="_Toc21076981" w:history="1">
            <w:r w:rsidR="00C763EE" w:rsidRPr="00E458BF">
              <w:rPr>
                <w:rStyle w:val="Hyperlink"/>
                <w:rFonts w:cs="Times New Roman"/>
                <w:b/>
                <w:noProof/>
              </w:rPr>
              <w:t>II Snieguma rezerves būtība un snieguma ietvara nosacījumu izpildes statuss</w:t>
            </w:r>
            <w:r w:rsidR="00C763EE">
              <w:rPr>
                <w:noProof/>
                <w:webHidden/>
              </w:rPr>
              <w:tab/>
            </w:r>
            <w:r w:rsidR="00C763EE">
              <w:rPr>
                <w:noProof/>
                <w:webHidden/>
              </w:rPr>
              <w:fldChar w:fldCharType="begin"/>
            </w:r>
            <w:r w:rsidR="00C763EE">
              <w:rPr>
                <w:noProof/>
                <w:webHidden/>
              </w:rPr>
              <w:instrText xml:space="preserve"> PAGEREF _Toc21076981 \h </w:instrText>
            </w:r>
            <w:r w:rsidR="00C763EE">
              <w:rPr>
                <w:noProof/>
                <w:webHidden/>
              </w:rPr>
            </w:r>
            <w:r w:rsidR="00C763EE">
              <w:rPr>
                <w:noProof/>
                <w:webHidden/>
              </w:rPr>
              <w:fldChar w:fldCharType="separate"/>
            </w:r>
            <w:r w:rsidR="00C763EE">
              <w:rPr>
                <w:noProof/>
                <w:webHidden/>
              </w:rPr>
              <w:t>7</w:t>
            </w:r>
            <w:r w:rsidR="00C763EE">
              <w:rPr>
                <w:noProof/>
                <w:webHidden/>
              </w:rPr>
              <w:fldChar w:fldCharType="end"/>
            </w:r>
          </w:hyperlink>
        </w:p>
        <w:p w14:paraId="4BC8EE1B" w14:textId="4E60F87C" w:rsidR="00C763EE" w:rsidRDefault="00EF633F">
          <w:pPr>
            <w:pStyle w:val="TOC2"/>
            <w:tabs>
              <w:tab w:val="right" w:leader="dot" w:pos="9061"/>
            </w:tabs>
            <w:rPr>
              <w:rFonts w:asciiTheme="minorHAnsi" w:eastAsiaTheme="minorEastAsia" w:hAnsiTheme="minorHAnsi"/>
              <w:noProof/>
              <w:sz w:val="22"/>
              <w:lang w:eastAsia="lv-LV"/>
            </w:rPr>
          </w:pPr>
          <w:hyperlink w:anchor="_Toc21076982" w:history="1">
            <w:r w:rsidR="00C763EE" w:rsidRPr="00E458BF">
              <w:rPr>
                <w:rStyle w:val="Hyperlink"/>
                <w:rFonts w:cs="Times New Roman"/>
                <w:b/>
                <w:noProof/>
              </w:rPr>
              <w:t>III Atbildīgo iestāžu sniegtie priekšlikumi snieguma rezerves finansējuma un finansējuma atlikumu izmantošanai</w:t>
            </w:r>
            <w:r w:rsidR="00C763EE">
              <w:rPr>
                <w:noProof/>
                <w:webHidden/>
              </w:rPr>
              <w:tab/>
            </w:r>
            <w:r w:rsidR="00C763EE">
              <w:rPr>
                <w:noProof/>
                <w:webHidden/>
              </w:rPr>
              <w:fldChar w:fldCharType="begin"/>
            </w:r>
            <w:r w:rsidR="00C763EE">
              <w:rPr>
                <w:noProof/>
                <w:webHidden/>
              </w:rPr>
              <w:instrText xml:space="preserve"> PAGEREF _Toc21076982 \h </w:instrText>
            </w:r>
            <w:r w:rsidR="00C763EE">
              <w:rPr>
                <w:noProof/>
                <w:webHidden/>
              </w:rPr>
            </w:r>
            <w:r w:rsidR="00C763EE">
              <w:rPr>
                <w:noProof/>
                <w:webHidden/>
              </w:rPr>
              <w:fldChar w:fldCharType="separate"/>
            </w:r>
            <w:r w:rsidR="00C763EE">
              <w:rPr>
                <w:noProof/>
                <w:webHidden/>
              </w:rPr>
              <w:t>8</w:t>
            </w:r>
            <w:r w:rsidR="00C763EE">
              <w:rPr>
                <w:noProof/>
                <w:webHidden/>
              </w:rPr>
              <w:fldChar w:fldCharType="end"/>
            </w:r>
          </w:hyperlink>
        </w:p>
        <w:p w14:paraId="76635D4B" w14:textId="41B5921F" w:rsidR="00C763EE" w:rsidRDefault="00EF633F">
          <w:pPr>
            <w:pStyle w:val="TOC2"/>
            <w:tabs>
              <w:tab w:val="right" w:leader="dot" w:pos="9061"/>
            </w:tabs>
            <w:rPr>
              <w:rFonts w:asciiTheme="minorHAnsi" w:eastAsiaTheme="minorEastAsia" w:hAnsiTheme="minorHAnsi"/>
              <w:noProof/>
              <w:sz w:val="22"/>
              <w:lang w:eastAsia="lv-LV"/>
            </w:rPr>
          </w:pPr>
          <w:hyperlink w:anchor="_Toc21076983" w:history="1">
            <w:r w:rsidR="00C763EE" w:rsidRPr="00E458BF">
              <w:rPr>
                <w:rStyle w:val="Hyperlink"/>
                <w:rFonts w:cs="Times New Roman"/>
                <w:b/>
                <w:noProof/>
              </w:rPr>
              <w:t>IV Priekšlikumi snieguma rezerves finansējuma un finansējuma atlikumu novirzīšanai</w:t>
            </w:r>
            <w:r w:rsidR="00C763EE">
              <w:rPr>
                <w:noProof/>
                <w:webHidden/>
              </w:rPr>
              <w:tab/>
            </w:r>
            <w:r w:rsidR="00C763EE">
              <w:rPr>
                <w:noProof/>
                <w:webHidden/>
              </w:rPr>
              <w:fldChar w:fldCharType="begin"/>
            </w:r>
            <w:r w:rsidR="00C763EE">
              <w:rPr>
                <w:noProof/>
                <w:webHidden/>
              </w:rPr>
              <w:instrText xml:space="preserve"> PAGEREF _Toc21076983 \h </w:instrText>
            </w:r>
            <w:r w:rsidR="00C763EE">
              <w:rPr>
                <w:noProof/>
                <w:webHidden/>
              </w:rPr>
            </w:r>
            <w:r w:rsidR="00C763EE">
              <w:rPr>
                <w:noProof/>
                <w:webHidden/>
              </w:rPr>
              <w:fldChar w:fldCharType="separate"/>
            </w:r>
            <w:r w:rsidR="00C763EE">
              <w:rPr>
                <w:noProof/>
                <w:webHidden/>
              </w:rPr>
              <w:t>10</w:t>
            </w:r>
            <w:r w:rsidR="00C763EE">
              <w:rPr>
                <w:noProof/>
                <w:webHidden/>
              </w:rPr>
              <w:fldChar w:fldCharType="end"/>
            </w:r>
          </w:hyperlink>
        </w:p>
        <w:p w14:paraId="5CFEFE21" w14:textId="238A9637" w:rsidR="00C763EE" w:rsidRDefault="00EF633F">
          <w:pPr>
            <w:pStyle w:val="TOC2"/>
            <w:tabs>
              <w:tab w:val="right" w:leader="dot" w:pos="9061"/>
            </w:tabs>
            <w:rPr>
              <w:rFonts w:asciiTheme="minorHAnsi" w:eastAsiaTheme="minorEastAsia" w:hAnsiTheme="minorHAnsi"/>
              <w:noProof/>
              <w:sz w:val="22"/>
              <w:lang w:eastAsia="lv-LV"/>
            </w:rPr>
          </w:pPr>
          <w:hyperlink w:anchor="_Toc21076984" w:history="1">
            <w:r w:rsidR="00C763EE" w:rsidRPr="00E458BF">
              <w:rPr>
                <w:rStyle w:val="Hyperlink"/>
                <w:rFonts w:cs="Times New Roman"/>
                <w:b/>
                <w:noProof/>
              </w:rPr>
              <w:t>V Turpmākā rīcība un nepieciešamie lēmumi</w:t>
            </w:r>
            <w:r w:rsidR="00C763EE">
              <w:rPr>
                <w:noProof/>
                <w:webHidden/>
              </w:rPr>
              <w:tab/>
            </w:r>
            <w:r w:rsidR="00C763EE">
              <w:rPr>
                <w:noProof/>
                <w:webHidden/>
              </w:rPr>
              <w:fldChar w:fldCharType="begin"/>
            </w:r>
            <w:r w:rsidR="00C763EE">
              <w:rPr>
                <w:noProof/>
                <w:webHidden/>
              </w:rPr>
              <w:instrText xml:space="preserve"> PAGEREF _Toc21076984 \h </w:instrText>
            </w:r>
            <w:r w:rsidR="00C763EE">
              <w:rPr>
                <w:noProof/>
                <w:webHidden/>
              </w:rPr>
            </w:r>
            <w:r w:rsidR="00C763EE">
              <w:rPr>
                <w:noProof/>
                <w:webHidden/>
              </w:rPr>
              <w:fldChar w:fldCharType="separate"/>
            </w:r>
            <w:r w:rsidR="00C763EE">
              <w:rPr>
                <w:noProof/>
                <w:webHidden/>
              </w:rPr>
              <w:t>15</w:t>
            </w:r>
            <w:r w:rsidR="00C763EE">
              <w:rPr>
                <w:noProof/>
                <w:webHidden/>
              </w:rPr>
              <w:fldChar w:fldCharType="end"/>
            </w:r>
          </w:hyperlink>
        </w:p>
        <w:p w14:paraId="3BC1E155" w14:textId="1E40E022" w:rsidR="00B12544" w:rsidRPr="0008520F" w:rsidRDefault="006245ED" w:rsidP="00915BDC">
          <w:pPr>
            <w:spacing w:line="276" w:lineRule="auto"/>
          </w:pPr>
          <w:r w:rsidRPr="0008520F">
            <w:rPr>
              <w:bCs/>
              <w:noProof/>
            </w:rPr>
            <w:fldChar w:fldCharType="end"/>
          </w:r>
        </w:p>
      </w:sdtContent>
    </w:sdt>
    <w:p w14:paraId="34CEEA49" w14:textId="77777777" w:rsidR="0008520F" w:rsidRDefault="0008520F" w:rsidP="0008520F">
      <w:pPr>
        <w:pStyle w:val="ListParagraph"/>
        <w:spacing w:line="276" w:lineRule="auto"/>
        <w:ind w:left="567"/>
        <w:jc w:val="both"/>
        <w:rPr>
          <w:rFonts w:ascii="Times New Roman" w:hAnsi="Times New Roman" w:cs="Times New Roman"/>
          <w:sz w:val="24"/>
          <w:szCs w:val="24"/>
        </w:rPr>
      </w:pPr>
    </w:p>
    <w:p w14:paraId="28901856" w14:textId="694C726F" w:rsidR="00F50487" w:rsidRPr="0033214E" w:rsidRDefault="00016087" w:rsidP="00915BDC">
      <w:pPr>
        <w:pStyle w:val="ListParagraph"/>
        <w:numPr>
          <w:ilvl w:val="0"/>
          <w:numId w:val="1"/>
        </w:numPr>
        <w:spacing w:line="276" w:lineRule="auto"/>
        <w:ind w:left="567"/>
        <w:jc w:val="both"/>
        <w:rPr>
          <w:rFonts w:ascii="Times New Roman" w:hAnsi="Times New Roman" w:cs="Times New Roman"/>
          <w:sz w:val="24"/>
          <w:szCs w:val="24"/>
        </w:rPr>
      </w:pPr>
      <w:r w:rsidRPr="009565C8">
        <w:rPr>
          <w:rFonts w:ascii="Times New Roman" w:hAnsi="Times New Roman" w:cs="Times New Roman"/>
          <w:sz w:val="24"/>
          <w:szCs w:val="24"/>
        </w:rPr>
        <w:t>Informatīvais ziņojums ir sagatavots atbilstoši Ministru kabineta</w:t>
      </w:r>
      <w:r w:rsidR="0078136D" w:rsidRPr="009565C8">
        <w:rPr>
          <w:rFonts w:ascii="Times New Roman" w:hAnsi="Times New Roman" w:cs="Times New Roman"/>
          <w:sz w:val="24"/>
          <w:szCs w:val="24"/>
        </w:rPr>
        <w:t xml:space="preserve"> (turpmāk – MK)</w:t>
      </w:r>
      <w:r w:rsidRPr="009565C8">
        <w:rPr>
          <w:rFonts w:ascii="Times New Roman" w:hAnsi="Times New Roman" w:cs="Times New Roman"/>
          <w:sz w:val="24"/>
          <w:szCs w:val="24"/>
        </w:rPr>
        <w:t xml:space="preserve"> 2019.gada 23.aprīļa </w:t>
      </w:r>
      <w:proofErr w:type="spellStart"/>
      <w:r w:rsidR="00F50487" w:rsidRPr="0033214E">
        <w:rPr>
          <w:rFonts w:ascii="Times New Roman" w:hAnsi="Times New Roman" w:cs="Times New Roman"/>
          <w:sz w:val="24"/>
          <w:szCs w:val="24"/>
        </w:rPr>
        <w:t>protokollēmumam</w:t>
      </w:r>
      <w:proofErr w:type="spellEnd"/>
      <w:r w:rsidRPr="0033214E">
        <w:rPr>
          <w:rStyle w:val="FootnoteReference"/>
          <w:rFonts w:ascii="Times New Roman" w:hAnsi="Times New Roman" w:cs="Times New Roman"/>
          <w:sz w:val="24"/>
          <w:szCs w:val="24"/>
        </w:rPr>
        <w:footnoteReference w:id="1"/>
      </w:r>
      <w:r w:rsidRPr="0033214E">
        <w:rPr>
          <w:rFonts w:ascii="Times New Roman" w:hAnsi="Times New Roman" w:cs="Times New Roman"/>
          <w:sz w:val="24"/>
          <w:szCs w:val="24"/>
        </w:rPr>
        <w:t xml:space="preserve">, kas noteica </w:t>
      </w:r>
      <w:r w:rsidR="00F50487" w:rsidRPr="0033214E">
        <w:rPr>
          <w:rFonts w:ascii="Times New Roman" w:hAnsi="Times New Roman" w:cs="Times New Roman"/>
          <w:sz w:val="24"/>
          <w:szCs w:val="24"/>
        </w:rPr>
        <w:t>šādus uzdevumus:</w:t>
      </w:r>
    </w:p>
    <w:p w14:paraId="53D494B7" w14:textId="36DC3203" w:rsidR="00282198" w:rsidRPr="0033214E" w:rsidRDefault="00016087" w:rsidP="00915BDC">
      <w:pPr>
        <w:pStyle w:val="ListParagraph"/>
        <w:numPr>
          <w:ilvl w:val="1"/>
          <w:numId w:val="1"/>
        </w:numPr>
        <w:spacing w:line="276" w:lineRule="auto"/>
        <w:ind w:left="993"/>
        <w:jc w:val="both"/>
        <w:rPr>
          <w:rFonts w:ascii="Times New Roman" w:hAnsi="Times New Roman" w:cs="Times New Roman"/>
          <w:sz w:val="24"/>
          <w:szCs w:val="24"/>
        </w:rPr>
      </w:pPr>
      <w:r w:rsidRPr="0033214E">
        <w:rPr>
          <w:rFonts w:ascii="Times New Roman" w:hAnsi="Times New Roman" w:cs="Times New Roman"/>
          <w:sz w:val="24"/>
          <w:szCs w:val="24"/>
        </w:rPr>
        <w:t>Eiropas Savienības s</w:t>
      </w:r>
      <w:r w:rsidR="006245ED">
        <w:rPr>
          <w:rFonts w:ascii="Times New Roman" w:hAnsi="Times New Roman" w:cs="Times New Roman"/>
          <w:sz w:val="24"/>
          <w:szCs w:val="24"/>
        </w:rPr>
        <w:t>truktūrfondu un Kohēzijas fonda</w:t>
      </w:r>
      <w:r w:rsidRPr="0033214E">
        <w:rPr>
          <w:rFonts w:ascii="Times New Roman" w:hAnsi="Times New Roman" w:cs="Times New Roman"/>
          <w:sz w:val="24"/>
          <w:szCs w:val="24"/>
        </w:rPr>
        <w:t xml:space="preserve"> (turpmāk – ES fondi) atbildīgajām iestādēm līdz 2019.gada 1.jūlijam iesniegt </w:t>
      </w:r>
      <w:r w:rsidR="0078136D" w:rsidRPr="0033214E">
        <w:rPr>
          <w:rFonts w:ascii="Times New Roman" w:hAnsi="Times New Roman" w:cs="Times New Roman"/>
          <w:sz w:val="24"/>
          <w:szCs w:val="24"/>
        </w:rPr>
        <w:t xml:space="preserve">Finanšu ministrijai </w:t>
      </w:r>
      <w:r w:rsidR="000622AB">
        <w:rPr>
          <w:rFonts w:ascii="Times New Roman" w:hAnsi="Times New Roman" w:cs="Times New Roman"/>
          <w:sz w:val="24"/>
          <w:szCs w:val="24"/>
        </w:rPr>
        <w:br/>
      </w:r>
      <w:r w:rsidR="0078136D" w:rsidRPr="0033214E">
        <w:rPr>
          <w:rFonts w:ascii="Times New Roman" w:hAnsi="Times New Roman" w:cs="Times New Roman"/>
          <w:sz w:val="24"/>
          <w:szCs w:val="24"/>
        </w:rPr>
        <w:t>(turpmāk – FM)</w:t>
      </w:r>
      <w:r w:rsidRPr="0033214E">
        <w:rPr>
          <w:rFonts w:ascii="Times New Roman" w:hAnsi="Times New Roman" w:cs="Times New Roman"/>
          <w:sz w:val="24"/>
          <w:szCs w:val="24"/>
        </w:rPr>
        <w:t xml:space="preserve"> priekšlikumus</w:t>
      </w:r>
      <w:r w:rsidR="0078136D" w:rsidRPr="0033214E">
        <w:rPr>
          <w:rFonts w:ascii="Times New Roman" w:hAnsi="Times New Roman" w:cs="Times New Roman"/>
          <w:sz w:val="24"/>
          <w:szCs w:val="24"/>
        </w:rPr>
        <w:t xml:space="preserve"> ES fondu 2014.–2020.gada plānošanas perioda darbības programmas “</w:t>
      </w:r>
      <w:r w:rsidR="003F0164" w:rsidRPr="0033214E">
        <w:rPr>
          <w:rFonts w:ascii="Times New Roman" w:hAnsi="Times New Roman" w:cs="Times New Roman"/>
          <w:sz w:val="24"/>
          <w:szCs w:val="24"/>
        </w:rPr>
        <w:t>Izaugsme un nodarbinātība</w:t>
      </w:r>
      <w:r w:rsidR="0078136D" w:rsidRPr="0033214E">
        <w:rPr>
          <w:rFonts w:ascii="Times New Roman" w:hAnsi="Times New Roman" w:cs="Times New Roman"/>
          <w:sz w:val="24"/>
          <w:szCs w:val="24"/>
        </w:rPr>
        <w:t xml:space="preserve">” (turpmāk – darbības programma) </w:t>
      </w:r>
      <w:r w:rsidRPr="0033214E">
        <w:rPr>
          <w:rFonts w:ascii="Times New Roman" w:hAnsi="Times New Roman" w:cs="Times New Roman"/>
          <w:sz w:val="24"/>
          <w:szCs w:val="24"/>
        </w:rPr>
        <w:t>snieguma rezerves f</w:t>
      </w:r>
      <w:r w:rsidR="0078136D" w:rsidRPr="0033214E">
        <w:rPr>
          <w:rFonts w:ascii="Times New Roman" w:hAnsi="Times New Roman" w:cs="Times New Roman"/>
          <w:sz w:val="24"/>
          <w:szCs w:val="24"/>
        </w:rPr>
        <w:t xml:space="preserve">inansējuma </w:t>
      </w:r>
      <w:r w:rsidR="009B4FA7">
        <w:rPr>
          <w:rFonts w:ascii="Times New Roman" w:hAnsi="Times New Roman" w:cs="Times New Roman"/>
          <w:sz w:val="24"/>
          <w:szCs w:val="24"/>
        </w:rPr>
        <w:t>tālākai izmantošanai.</w:t>
      </w:r>
    </w:p>
    <w:p w14:paraId="400CFCDD" w14:textId="5BF66136" w:rsidR="00282198" w:rsidRPr="0033214E" w:rsidRDefault="009B4FA7" w:rsidP="00915BDC">
      <w:pPr>
        <w:pStyle w:val="ListParagraph"/>
        <w:numPr>
          <w:ilvl w:val="1"/>
          <w:numId w:val="1"/>
        </w:numPr>
        <w:spacing w:line="276" w:lineRule="auto"/>
        <w:ind w:left="993"/>
        <w:jc w:val="both"/>
        <w:rPr>
          <w:rFonts w:ascii="Times New Roman" w:hAnsi="Times New Roman" w:cs="Times New Roman"/>
          <w:sz w:val="24"/>
          <w:szCs w:val="24"/>
        </w:rPr>
      </w:pPr>
      <w:r>
        <w:rPr>
          <w:rFonts w:ascii="Times New Roman" w:hAnsi="Times New Roman" w:cs="Times New Roman"/>
          <w:sz w:val="24"/>
          <w:szCs w:val="24"/>
        </w:rPr>
        <w:t>L</w:t>
      </w:r>
      <w:r w:rsidR="00282198" w:rsidRPr="0033214E">
        <w:rPr>
          <w:rFonts w:ascii="Times New Roman" w:hAnsi="Times New Roman" w:cs="Times New Roman"/>
          <w:sz w:val="24"/>
          <w:szCs w:val="24"/>
        </w:rPr>
        <w:t xml:space="preserve">ai novērstu piešķirtā valsts budžeta </w:t>
      </w:r>
      <w:proofErr w:type="spellStart"/>
      <w:r w:rsidR="00282198" w:rsidRPr="0033214E">
        <w:rPr>
          <w:rFonts w:ascii="Times New Roman" w:hAnsi="Times New Roman" w:cs="Times New Roman"/>
          <w:sz w:val="24"/>
          <w:szCs w:val="24"/>
        </w:rPr>
        <w:t>virssaistību</w:t>
      </w:r>
      <w:proofErr w:type="spellEnd"/>
      <w:r w:rsidR="00282198" w:rsidRPr="0033214E">
        <w:rPr>
          <w:rStyle w:val="FootnoteReference"/>
          <w:rFonts w:ascii="Times New Roman" w:eastAsia="Times New Roman" w:hAnsi="Times New Roman" w:cs="Times New Roman"/>
          <w:color w:val="2A2A2A"/>
          <w:sz w:val="24"/>
          <w:szCs w:val="24"/>
          <w:lang w:eastAsia="lv-LV"/>
        </w:rPr>
        <w:footnoteReference w:id="2"/>
      </w:r>
      <w:r w:rsidR="00F45002">
        <w:rPr>
          <w:rFonts w:ascii="Times New Roman" w:eastAsia="Times New Roman" w:hAnsi="Times New Roman" w:cs="Times New Roman"/>
          <w:color w:val="2A2A2A"/>
          <w:sz w:val="24"/>
          <w:szCs w:val="24"/>
          <w:lang w:eastAsia="lv-LV"/>
        </w:rPr>
        <w:t xml:space="preserve"> </w:t>
      </w:r>
      <w:r w:rsidR="00282198" w:rsidRPr="0033214E">
        <w:rPr>
          <w:rFonts w:ascii="Times New Roman" w:hAnsi="Times New Roman" w:cs="Times New Roman"/>
          <w:sz w:val="24"/>
          <w:szCs w:val="24"/>
        </w:rPr>
        <w:t>finansējuma</w:t>
      </w:r>
      <w:r w:rsidR="00F45002">
        <w:rPr>
          <w:rFonts w:ascii="Times New Roman" w:hAnsi="Times New Roman" w:cs="Times New Roman"/>
          <w:sz w:val="24"/>
          <w:szCs w:val="24"/>
        </w:rPr>
        <w:t xml:space="preserve"> </w:t>
      </w:r>
      <w:r w:rsidR="000622AB">
        <w:rPr>
          <w:rFonts w:ascii="Times New Roman" w:hAnsi="Times New Roman" w:cs="Times New Roman"/>
          <w:sz w:val="24"/>
          <w:szCs w:val="24"/>
        </w:rPr>
        <w:br/>
      </w:r>
      <w:r w:rsidR="00F45002" w:rsidRPr="0033214E">
        <w:rPr>
          <w:rFonts w:ascii="Times New Roman" w:eastAsia="Times New Roman" w:hAnsi="Times New Roman" w:cs="Times New Roman"/>
          <w:color w:val="2A2A2A"/>
          <w:sz w:val="24"/>
          <w:szCs w:val="24"/>
          <w:lang w:eastAsia="lv-LV"/>
        </w:rPr>
        <w:t xml:space="preserve">(turpmāk – </w:t>
      </w:r>
      <w:proofErr w:type="spellStart"/>
      <w:r w:rsidR="00F45002" w:rsidRPr="0033214E">
        <w:rPr>
          <w:rFonts w:ascii="Times New Roman" w:eastAsia="Times New Roman" w:hAnsi="Times New Roman" w:cs="Times New Roman"/>
          <w:color w:val="2A2A2A"/>
          <w:sz w:val="24"/>
          <w:szCs w:val="24"/>
          <w:lang w:eastAsia="lv-LV"/>
        </w:rPr>
        <w:t>virssaistības</w:t>
      </w:r>
      <w:proofErr w:type="spellEnd"/>
      <w:r w:rsidR="00F45002" w:rsidRPr="0033214E">
        <w:rPr>
          <w:rFonts w:ascii="Times New Roman" w:eastAsia="Times New Roman" w:hAnsi="Times New Roman" w:cs="Times New Roman"/>
          <w:color w:val="2A2A2A"/>
          <w:sz w:val="24"/>
          <w:szCs w:val="24"/>
          <w:lang w:eastAsia="lv-LV"/>
        </w:rPr>
        <w:t>)</w:t>
      </w:r>
      <w:r w:rsidR="00D21EFF">
        <w:rPr>
          <w:rFonts w:ascii="Times New Roman" w:hAnsi="Times New Roman" w:cs="Times New Roman"/>
          <w:sz w:val="24"/>
          <w:szCs w:val="24"/>
        </w:rPr>
        <w:t xml:space="preserve"> 66,3 </w:t>
      </w:r>
      <w:r w:rsidR="00A65FB5">
        <w:rPr>
          <w:rFonts w:ascii="Times New Roman" w:hAnsi="Times New Roman" w:cs="Times New Roman"/>
          <w:sz w:val="24"/>
          <w:szCs w:val="24"/>
        </w:rPr>
        <w:t>milj.</w:t>
      </w:r>
      <w:r w:rsidR="00D21EFF">
        <w:rPr>
          <w:rFonts w:ascii="Times New Roman" w:hAnsi="Times New Roman" w:cs="Times New Roman"/>
          <w:sz w:val="24"/>
          <w:szCs w:val="24"/>
        </w:rPr>
        <w:t> </w:t>
      </w:r>
      <w:proofErr w:type="spellStart"/>
      <w:r w:rsidR="007B7A0A" w:rsidRPr="007B7A0A">
        <w:rPr>
          <w:rFonts w:ascii="Times New Roman" w:hAnsi="Times New Roman" w:cs="Times New Roman"/>
          <w:i/>
          <w:sz w:val="24"/>
          <w:szCs w:val="24"/>
        </w:rPr>
        <w:t>euro</w:t>
      </w:r>
      <w:proofErr w:type="spellEnd"/>
      <w:r w:rsidR="00282198" w:rsidRPr="0033214E">
        <w:rPr>
          <w:rFonts w:ascii="Times New Roman" w:hAnsi="Times New Roman" w:cs="Times New Roman"/>
          <w:sz w:val="24"/>
          <w:szCs w:val="24"/>
        </w:rPr>
        <w:t xml:space="preserve"> negatīvu fiskālo ietekmi, lemjot par snieguma rezerves finansējuma izmantošanu, primāri snieguma rezerves finansējumu novirzīt piešķirto </w:t>
      </w:r>
      <w:proofErr w:type="spellStart"/>
      <w:r w:rsidR="00282198" w:rsidRPr="0033214E">
        <w:rPr>
          <w:rFonts w:ascii="Times New Roman" w:hAnsi="Times New Roman" w:cs="Times New Roman"/>
          <w:sz w:val="24"/>
          <w:szCs w:val="24"/>
        </w:rPr>
        <w:t>virssaistību</w:t>
      </w:r>
      <w:proofErr w:type="spellEnd"/>
      <w:r w:rsidR="00282198" w:rsidRPr="0033214E">
        <w:rPr>
          <w:rFonts w:ascii="Times New Roman" w:hAnsi="Times New Roman" w:cs="Times New Roman"/>
          <w:sz w:val="24"/>
          <w:szCs w:val="24"/>
        </w:rPr>
        <w:t xml:space="preserve"> segšanai saskaņā ar MK 2015.g</w:t>
      </w:r>
      <w:r w:rsidR="001363F9">
        <w:rPr>
          <w:rFonts w:ascii="Times New Roman" w:hAnsi="Times New Roman" w:cs="Times New Roman"/>
          <w:sz w:val="24"/>
          <w:szCs w:val="24"/>
        </w:rPr>
        <w:t xml:space="preserve">ada </w:t>
      </w:r>
      <w:r w:rsidR="001363F9">
        <w:rPr>
          <w:rFonts w:ascii="Times New Roman" w:hAnsi="Times New Roman" w:cs="Times New Roman"/>
          <w:sz w:val="24"/>
          <w:szCs w:val="24"/>
        </w:rPr>
        <w:lastRenderedPageBreak/>
        <w:t>10.novembra rīkojuma Nr.709</w:t>
      </w:r>
      <w:r w:rsidR="001363F9">
        <w:rPr>
          <w:rStyle w:val="FootnoteReference"/>
          <w:rFonts w:ascii="Times New Roman" w:hAnsi="Times New Roman" w:cs="Times New Roman"/>
          <w:sz w:val="24"/>
          <w:szCs w:val="24"/>
        </w:rPr>
        <w:footnoteReference w:id="3"/>
      </w:r>
      <w:r w:rsidR="001363F9">
        <w:rPr>
          <w:rFonts w:ascii="Times New Roman" w:hAnsi="Times New Roman" w:cs="Times New Roman"/>
          <w:sz w:val="24"/>
          <w:szCs w:val="24"/>
        </w:rPr>
        <w:t xml:space="preserve"> </w:t>
      </w:r>
      <w:r w:rsidR="00282198" w:rsidRPr="0033214E">
        <w:rPr>
          <w:rFonts w:ascii="Times New Roman" w:hAnsi="Times New Roman" w:cs="Times New Roman"/>
          <w:sz w:val="24"/>
          <w:szCs w:val="24"/>
        </w:rPr>
        <w:t>6.punktu</w:t>
      </w:r>
      <w:r w:rsidR="00282198" w:rsidRPr="0033214E">
        <w:rPr>
          <w:rStyle w:val="FootnoteReference"/>
          <w:rFonts w:ascii="Times New Roman" w:eastAsia="Times New Roman" w:hAnsi="Times New Roman" w:cs="Times New Roman"/>
          <w:color w:val="2A2A2A"/>
          <w:sz w:val="24"/>
          <w:szCs w:val="24"/>
          <w:lang w:eastAsia="lv-LV"/>
        </w:rPr>
        <w:footnoteReference w:id="4"/>
      </w:r>
      <w:r w:rsidR="00F45002">
        <w:rPr>
          <w:rFonts w:ascii="Times New Roman" w:hAnsi="Times New Roman" w:cs="Times New Roman"/>
          <w:sz w:val="24"/>
          <w:szCs w:val="24"/>
        </w:rPr>
        <w:t xml:space="preserve"> un ņemot vērā likuma “P</w:t>
      </w:r>
      <w:r w:rsidR="00282198" w:rsidRPr="0033214E">
        <w:rPr>
          <w:rFonts w:ascii="Times New Roman" w:hAnsi="Times New Roman" w:cs="Times New Roman"/>
          <w:sz w:val="24"/>
          <w:szCs w:val="24"/>
        </w:rPr>
        <w:t>ar vidējā termiņa budžeta ietvaru 2018., 2019. un 2020.gadam” 19.pantā</w:t>
      </w:r>
      <w:r w:rsidR="00282198" w:rsidRPr="0033214E">
        <w:rPr>
          <w:rStyle w:val="FootnoteReference"/>
          <w:rFonts w:ascii="Times New Roman" w:eastAsia="Times New Roman" w:hAnsi="Times New Roman" w:cs="Times New Roman"/>
          <w:color w:val="2A2A2A"/>
          <w:sz w:val="24"/>
          <w:szCs w:val="24"/>
          <w:lang w:eastAsia="lv-LV"/>
        </w:rPr>
        <w:footnoteReference w:id="5"/>
      </w:r>
      <w:r w:rsidR="00282198" w:rsidRPr="0033214E">
        <w:rPr>
          <w:rFonts w:ascii="Times New Roman" w:eastAsia="Times New Roman" w:hAnsi="Times New Roman" w:cs="Times New Roman"/>
          <w:color w:val="2A2A2A"/>
          <w:sz w:val="24"/>
          <w:szCs w:val="24"/>
          <w:lang w:eastAsia="lv-LV"/>
        </w:rPr>
        <w:t xml:space="preserve"> </w:t>
      </w:r>
      <w:r>
        <w:rPr>
          <w:rFonts w:ascii="Times New Roman" w:hAnsi="Times New Roman" w:cs="Times New Roman"/>
          <w:sz w:val="24"/>
          <w:szCs w:val="24"/>
        </w:rPr>
        <w:t>noteikto.</w:t>
      </w:r>
    </w:p>
    <w:p w14:paraId="2CBADC31" w14:textId="33D9F21C" w:rsidR="00016087" w:rsidRPr="0033214E" w:rsidRDefault="00282198" w:rsidP="00915BDC">
      <w:pPr>
        <w:pStyle w:val="ListParagraph"/>
        <w:numPr>
          <w:ilvl w:val="1"/>
          <w:numId w:val="1"/>
        </w:numPr>
        <w:spacing w:line="276" w:lineRule="auto"/>
        <w:ind w:left="993"/>
        <w:jc w:val="both"/>
        <w:rPr>
          <w:rFonts w:ascii="Times New Roman" w:hAnsi="Times New Roman" w:cs="Times New Roman"/>
          <w:sz w:val="24"/>
          <w:szCs w:val="24"/>
        </w:rPr>
      </w:pPr>
      <w:r w:rsidRPr="0033214E">
        <w:rPr>
          <w:rFonts w:ascii="Times New Roman" w:hAnsi="Times New Roman" w:cs="Times New Roman"/>
          <w:sz w:val="24"/>
          <w:szCs w:val="24"/>
        </w:rPr>
        <w:t>FM sagatavot un līdz 2019.gada 30.septembrim iesniegt MK informatīvo ziņojumu par darbības programmas snieguma ietvara rezerves finansējuma</w:t>
      </w:r>
      <w:r w:rsidR="009D1E3D">
        <w:rPr>
          <w:rFonts w:ascii="Times New Roman" w:hAnsi="Times New Roman" w:cs="Times New Roman"/>
          <w:sz w:val="24"/>
          <w:szCs w:val="24"/>
        </w:rPr>
        <w:t>, kā arī ES fondu finansējuma atlikumu</w:t>
      </w:r>
      <w:r w:rsidRPr="0033214E">
        <w:rPr>
          <w:rFonts w:ascii="Times New Roman" w:hAnsi="Times New Roman" w:cs="Times New Roman"/>
          <w:sz w:val="24"/>
          <w:szCs w:val="24"/>
        </w:rPr>
        <w:t xml:space="preserve"> izlietojuma iespējām un priekšlikumiem.</w:t>
      </w:r>
    </w:p>
    <w:p w14:paraId="67DAC40B" w14:textId="32ED62BD" w:rsidR="0078136D" w:rsidRPr="0033214E" w:rsidRDefault="0078136D" w:rsidP="00915BDC">
      <w:pPr>
        <w:pStyle w:val="ListParagraph"/>
        <w:numPr>
          <w:ilvl w:val="0"/>
          <w:numId w:val="1"/>
        </w:numPr>
        <w:spacing w:line="276" w:lineRule="auto"/>
        <w:ind w:left="567" w:hanging="567"/>
        <w:jc w:val="both"/>
        <w:rPr>
          <w:rFonts w:ascii="Times New Roman" w:hAnsi="Times New Roman" w:cs="Times New Roman"/>
          <w:sz w:val="24"/>
          <w:szCs w:val="24"/>
        </w:rPr>
      </w:pPr>
      <w:r w:rsidRPr="0033214E">
        <w:rPr>
          <w:rFonts w:ascii="Times New Roman" w:hAnsi="Times New Roman" w:cs="Times New Roman"/>
          <w:sz w:val="24"/>
          <w:szCs w:val="24"/>
        </w:rPr>
        <w:t xml:space="preserve">Informatīvā ziņojuma mērķis ir nodrošināt </w:t>
      </w:r>
      <w:r w:rsidR="00282198" w:rsidRPr="0033214E">
        <w:rPr>
          <w:rFonts w:ascii="Times New Roman" w:hAnsi="Times New Roman" w:cs="Times New Roman"/>
          <w:sz w:val="24"/>
          <w:szCs w:val="24"/>
        </w:rPr>
        <w:t xml:space="preserve">pamatu </w:t>
      </w:r>
      <w:r w:rsidRPr="0033214E">
        <w:rPr>
          <w:rFonts w:ascii="Times New Roman" w:hAnsi="Times New Roman" w:cs="Times New Roman"/>
          <w:sz w:val="24"/>
          <w:szCs w:val="24"/>
        </w:rPr>
        <w:t>koordinēt</w:t>
      </w:r>
      <w:r w:rsidR="00282198" w:rsidRPr="0033214E">
        <w:rPr>
          <w:rFonts w:ascii="Times New Roman" w:hAnsi="Times New Roman" w:cs="Times New Roman"/>
          <w:sz w:val="24"/>
          <w:szCs w:val="24"/>
        </w:rPr>
        <w:t>ai</w:t>
      </w:r>
      <w:r w:rsidRPr="0033214E">
        <w:rPr>
          <w:rFonts w:ascii="Times New Roman" w:hAnsi="Times New Roman" w:cs="Times New Roman"/>
          <w:sz w:val="24"/>
          <w:szCs w:val="24"/>
        </w:rPr>
        <w:t xml:space="preserve"> </w:t>
      </w:r>
      <w:r w:rsidR="00282198" w:rsidRPr="0033214E">
        <w:rPr>
          <w:rFonts w:ascii="Times New Roman" w:hAnsi="Times New Roman" w:cs="Times New Roman"/>
          <w:sz w:val="24"/>
          <w:szCs w:val="24"/>
        </w:rPr>
        <w:t xml:space="preserve">kompleksa </w:t>
      </w:r>
      <w:r w:rsidRPr="0033214E">
        <w:rPr>
          <w:rFonts w:ascii="Times New Roman" w:hAnsi="Times New Roman" w:cs="Times New Roman"/>
          <w:sz w:val="24"/>
          <w:szCs w:val="24"/>
        </w:rPr>
        <w:t>lēmum</w:t>
      </w:r>
      <w:r w:rsidR="00282198" w:rsidRPr="0033214E">
        <w:rPr>
          <w:rFonts w:ascii="Times New Roman" w:hAnsi="Times New Roman" w:cs="Times New Roman"/>
          <w:sz w:val="24"/>
          <w:szCs w:val="24"/>
        </w:rPr>
        <w:t>a pieņemšanai</w:t>
      </w:r>
      <w:r w:rsidRPr="0033214E">
        <w:rPr>
          <w:rFonts w:ascii="Times New Roman" w:hAnsi="Times New Roman" w:cs="Times New Roman"/>
          <w:sz w:val="24"/>
          <w:szCs w:val="24"/>
        </w:rPr>
        <w:t xml:space="preserve"> par </w:t>
      </w:r>
      <w:r w:rsidR="00282198" w:rsidRPr="0033214E">
        <w:rPr>
          <w:rFonts w:ascii="Times New Roman" w:hAnsi="Times New Roman" w:cs="Times New Roman"/>
          <w:sz w:val="24"/>
          <w:szCs w:val="24"/>
        </w:rPr>
        <w:t xml:space="preserve">darbības programmas </w:t>
      </w:r>
      <w:r w:rsidRPr="0033214E">
        <w:rPr>
          <w:rFonts w:ascii="Times New Roman" w:hAnsi="Times New Roman" w:cs="Times New Roman"/>
          <w:sz w:val="24"/>
          <w:szCs w:val="24"/>
        </w:rPr>
        <w:t>snieguma rezerves finansējuma</w:t>
      </w:r>
      <w:r w:rsidR="00282198" w:rsidRPr="0033214E">
        <w:rPr>
          <w:rFonts w:ascii="Times New Roman" w:hAnsi="Times New Roman" w:cs="Times New Roman"/>
          <w:sz w:val="24"/>
          <w:szCs w:val="24"/>
        </w:rPr>
        <w:t xml:space="preserve"> novirzīšanu</w:t>
      </w:r>
      <w:r w:rsidR="00F45002">
        <w:rPr>
          <w:rFonts w:ascii="Times New Roman" w:hAnsi="Times New Roman" w:cs="Times New Roman"/>
          <w:sz w:val="24"/>
          <w:szCs w:val="24"/>
        </w:rPr>
        <w:t>, kā arī</w:t>
      </w:r>
      <w:r w:rsidR="00282198" w:rsidRPr="0033214E">
        <w:rPr>
          <w:rFonts w:ascii="Times New Roman" w:hAnsi="Times New Roman" w:cs="Times New Roman"/>
          <w:sz w:val="24"/>
          <w:szCs w:val="24"/>
        </w:rPr>
        <w:t xml:space="preserve"> ES fondu finansējuma atlikumu</w:t>
      </w:r>
      <w:r w:rsidRPr="0033214E">
        <w:rPr>
          <w:rFonts w:ascii="Times New Roman" w:hAnsi="Times New Roman" w:cs="Times New Roman"/>
          <w:sz w:val="24"/>
          <w:szCs w:val="24"/>
        </w:rPr>
        <w:t xml:space="preserve"> </w:t>
      </w:r>
      <w:r w:rsidR="00282198" w:rsidRPr="0033214E">
        <w:rPr>
          <w:rFonts w:ascii="Times New Roman" w:hAnsi="Times New Roman" w:cs="Times New Roman"/>
          <w:sz w:val="24"/>
          <w:szCs w:val="24"/>
        </w:rPr>
        <w:t>izmantošanu</w:t>
      </w:r>
      <w:r w:rsidRPr="0033214E">
        <w:rPr>
          <w:rFonts w:ascii="Times New Roman" w:hAnsi="Times New Roman" w:cs="Times New Roman"/>
          <w:sz w:val="24"/>
          <w:szCs w:val="24"/>
        </w:rPr>
        <w:t xml:space="preserve">. </w:t>
      </w:r>
    </w:p>
    <w:p w14:paraId="76D4C294" w14:textId="39A5E5A4" w:rsidR="00016087" w:rsidRDefault="00B82B9F" w:rsidP="00915BDC">
      <w:pPr>
        <w:pStyle w:val="ListParagraph"/>
        <w:numPr>
          <w:ilvl w:val="0"/>
          <w:numId w:val="1"/>
        </w:numPr>
        <w:spacing w:line="276" w:lineRule="auto"/>
        <w:ind w:left="567" w:hanging="567"/>
        <w:jc w:val="both"/>
        <w:rPr>
          <w:rFonts w:ascii="Times New Roman" w:hAnsi="Times New Roman" w:cs="Times New Roman"/>
          <w:sz w:val="24"/>
          <w:szCs w:val="24"/>
        </w:rPr>
      </w:pPr>
      <w:r w:rsidRPr="0033214E">
        <w:rPr>
          <w:rFonts w:ascii="Times New Roman" w:hAnsi="Times New Roman" w:cs="Times New Roman"/>
          <w:sz w:val="24"/>
          <w:szCs w:val="24"/>
        </w:rPr>
        <w:t>I</w:t>
      </w:r>
      <w:r w:rsidR="0078136D" w:rsidRPr="0033214E">
        <w:rPr>
          <w:rFonts w:ascii="Times New Roman" w:hAnsi="Times New Roman" w:cs="Times New Roman"/>
          <w:sz w:val="24"/>
          <w:szCs w:val="24"/>
        </w:rPr>
        <w:t xml:space="preserve">nformatīvajā ziņojumā </w:t>
      </w:r>
      <w:r w:rsidR="00022578" w:rsidRPr="0033214E">
        <w:rPr>
          <w:rFonts w:ascii="Times New Roman" w:hAnsi="Times New Roman" w:cs="Times New Roman"/>
          <w:sz w:val="24"/>
          <w:szCs w:val="24"/>
        </w:rPr>
        <w:t>sniegta</w:t>
      </w:r>
      <w:r w:rsidR="0078136D" w:rsidRPr="0033214E">
        <w:rPr>
          <w:rFonts w:ascii="Times New Roman" w:hAnsi="Times New Roman" w:cs="Times New Roman"/>
          <w:sz w:val="24"/>
          <w:szCs w:val="24"/>
        </w:rPr>
        <w:t xml:space="preserve"> informācija par </w:t>
      </w:r>
      <w:proofErr w:type="spellStart"/>
      <w:r w:rsidR="007D3F3D">
        <w:rPr>
          <w:rFonts w:ascii="Times New Roman" w:hAnsi="Times New Roman" w:cs="Times New Roman"/>
          <w:sz w:val="24"/>
          <w:szCs w:val="24"/>
        </w:rPr>
        <w:t>virssaistību</w:t>
      </w:r>
      <w:proofErr w:type="spellEnd"/>
      <w:r w:rsidR="007D3F3D">
        <w:rPr>
          <w:rFonts w:ascii="Times New Roman" w:hAnsi="Times New Roman" w:cs="Times New Roman"/>
          <w:sz w:val="24"/>
          <w:szCs w:val="24"/>
        </w:rPr>
        <w:t xml:space="preserve"> būtību</w:t>
      </w:r>
      <w:r w:rsidR="006C4FA7">
        <w:rPr>
          <w:rFonts w:ascii="Times New Roman" w:hAnsi="Times New Roman" w:cs="Times New Roman"/>
          <w:sz w:val="24"/>
          <w:szCs w:val="24"/>
        </w:rPr>
        <w:t>,</w:t>
      </w:r>
      <w:r w:rsidR="007D3F3D">
        <w:rPr>
          <w:rFonts w:ascii="Times New Roman" w:hAnsi="Times New Roman" w:cs="Times New Roman"/>
          <w:sz w:val="24"/>
          <w:szCs w:val="24"/>
        </w:rPr>
        <w:t xml:space="preserve"> statusu</w:t>
      </w:r>
      <w:r w:rsidR="006C4FA7">
        <w:rPr>
          <w:rFonts w:ascii="Times New Roman" w:hAnsi="Times New Roman" w:cs="Times New Roman"/>
          <w:sz w:val="24"/>
          <w:szCs w:val="24"/>
        </w:rPr>
        <w:t xml:space="preserve"> un</w:t>
      </w:r>
      <w:r w:rsidR="007D3F3D">
        <w:rPr>
          <w:rFonts w:ascii="Times New Roman" w:hAnsi="Times New Roman" w:cs="Times New Roman"/>
          <w:sz w:val="24"/>
          <w:szCs w:val="24"/>
        </w:rPr>
        <w:t xml:space="preserve"> kompensēšanas risinājumiem, </w:t>
      </w:r>
      <w:r w:rsidR="0078136D" w:rsidRPr="0033214E">
        <w:rPr>
          <w:rFonts w:ascii="Times New Roman" w:hAnsi="Times New Roman" w:cs="Times New Roman"/>
          <w:sz w:val="24"/>
          <w:szCs w:val="24"/>
        </w:rPr>
        <w:t xml:space="preserve">snieguma rezerves būtību, snieguma ietvara izpildes progresu, </w:t>
      </w:r>
      <w:r w:rsidR="00F45002">
        <w:rPr>
          <w:rFonts w:ascii="Times New Roman" w:hAnsi="Times New Roman" w:cs="Times New Roman"/>
          <w:sz w:val="24"/>
          <w:szCs w:val="24"/>
        </w:rPr>
        <w:t xml:space="preserve">ES fondu </w:t>
      </w:r>
      <w:r w:rsidR="00F45002" w:rsidRPr="0033214E">
        <w:rPr>
          <w:rFonts w:ascii="Times New Roman" w:hAnsi="Times New Roman" w:cs="Times New Roman"/>
          <w:sz w:val="24"/>
          <w:szCs w:val="24"/>
        </w:rPr>
        <w:t xml:space="preserve">finansējuma atlikumu </w:t>
      </w:r>
      <w:r w:rsidR="00282198" w:rsidRPr="0033214E">
        <w:rPr>
          <w:rFonts w:ascii="Times New Roman" w:hAnsi="Times New Roman" w:cs="Times New Roman"/>
          <w:sz w:val="24"/>
          <w:szCs w:val="24"/>
        </w:rPr>
        <w:t xml:space="preserve">statusu, </w:t>
      </w:r>
      <w:r w:rsidR="0078136D" w:rsidRPr="0033214E">
        <w:rPr>
          <w:rFonts w:ascii="Times New Roman" w:hAnsi="Times New Roman" w:cs="Times New Roman"/>
          <w:sz w:val="24"/>
          <w:szCs w:val="24"/>
        </w:rPr>
        <w:t xml:space="preserve">ES fondu atbildīgo iestāžu </w:t>
      </w:r>
      <w:r w:rsidR="00282198" w:rsidRPr="0033214E">
        <w:rPr>
          <w:rFonts w:ascii="Times New Roman" w:hAnsi="Times New Roman" w:cs="Times New Roman"/>
          <w:sz w:val="24"/>
          <w:szCs w:val="24"/>
        </w:rPr>
        <w:t xml:space="preserve">sniegto informāciju un ierosinājumiem, kā arī </w:t>
      </w:r>
      <w:r w:rsidR="00B074E0" w:rsidRPr="0033214E">
        <w:rPr>
          <w:rFonts w:ascii="Times New Roman" w:hAnsi="Times New Roman" w:cs="Times New Roman"/>
          <w:sz w:val="24"/>
          <w:szCs w:val="24"/>
        </w:rPr>
        <w:t>sniegti priekšlikumi</w:t>
      </w:r>
      <w:r w:rsidR="0078136D" w:rsidRPr="0033214E">
        <w:rPr>
          <w:rFonts w:ascii="Times New Roman" w:hAnsi="Times New Roman" w:cs="Times New Roman"/>
          <w:sz w:val="24"/>
          <w:szCs w:val="24"/>
        </w:rPr>
        <w:t xml:space="preserve"> snieguma rezerves finansējuma</w:t>
      </w:r>
      <w:r w:rsidR="00282198" w:rsidRPr="0033214E">
        <w:rPr>
          <w:rFonts w:ascii="Times New Roman" w:hAnsi="Times New Roman" w:cs="Times New Roman"/>
          <w:sz w:val="24"/>
          <w:szCs w:val="24"/>
        </w:rPr>
        <w:t xml:space="preserve"> un</w:t>
      </w:r>
      <w:r w:rsidR="0078136D" w:rsidRPr="0033214E">
        <w:rPr>
          <w:rFonts w:ascii="Times New Roman" w:hAnsi="Times New Roman" w:cs="Times New Roman"/>
          <w:sz w:val="24"/>
          <w:szCs w:val="24"/>
        </w:rPr>
        <w:t xml:space="preserve"> finansējuma atlikumu</w:t>
      </w:r>
      <w:r w:rsidR="00B074E0" w:rsidRPr="0033214E">
        <w:rPr>
          <w:rFonts w:ascii="Times New Roman" w:hAnsi="Times New Roman" w:cs="Times New Roman"/>
          <w:sz w:val="24"/>
          <w:szCs w:val="24"/>
        </w:rPr>
        <w:t xml:space="preserve"> turpmākai</w:t>
      </w:r>
      <w:r w:rsidR="0078136D" w:rsidRPr="0033214E">
        <w:rPr>
          <w:rFonts w:ascii="Times New Roman" w:hAnsi="Times New Roman" w:cs="Times New Roman"/>
          <w:sz w:val="24"/>
          <w:szCs w:val="24"/>
        </w:rPr>
        <w:t xml:space="preserve"> izmantošanai. </w:t>
      </w:r>
    </w:p>
    <w:p w14:paraId="35C1FB98" w14:textId="77777777" w:rsidR="0008520F" w:rsidRPr="0033214E" w:rsidRDefault="0008520F" w:rsidP="0008520F">
      <w:pPr>
        <w:pStyle w:val="ListParagraph"/>
        <w:spacing w:line="276" w:lineRule="auto"/>
        <w:ind w:left="567"/>
        <w:jc w:val="both"/>
        <w:rPr>
          <w:rFonts w:ascii="Times New Roman" w:hAnsi="Times New Roman" w:cs="Times New Roman"/>
          <w:sz w:val="24"/>
          <w:szCs w:val="24"/>
        </w:rPr>
      </w:pPr>
    </w:p>
    <w:p w14:paraId="2DF1A254" w14:textId="16E60111" w:rsidR="00AA0994" w:rsidRDefault="00AA0994" w:rsidP="00393EE7">
      <w:pPr>
        <w:pStyle w:val="Heading2"/>
        <w:spacing w:line="276" w:lineRule="auto"/>
        <w:ind w:left="567"/>
        <w:jc w:val="center"/>
        <w:rPr>
          <w:rFonts w:ascii="Times New Roman" w:hAnsi="Times New Roman" w:cs="Times New Roman"/>
          <w:b/>
          <w:color w:val="auto"/>
          <w:sz w:val="24"/>
          <w:szCs w:val="24"/>
        </w:rPr>
      </w:pPr>
      <w:bookmarkStart w:id="0" w:name="_Toc21076978"/>
      <w:r w:rsidRPr="00D81DBC">
        <w:rPr>
          <w:rFonts w:ascii="Times New Roman" w:hAnsi="Times New Roman" w:cs="Times New Roman"/>
          <w:b/>
          <w:color w:val="auto"/>
          <w:sz w:val="24"/>
          <w:szCs w:val="24"/>
        </w:rPr>
        <w:t xml:space="preserve">I </w:t>
      </w:r>
      <w:r w:rsidR="007D3F3D">
        <w:rPr>
          <w:rFonts w:ascii="Times New Roman" w:hAnsi="Times New Roman" w:cs="Times New Roman"/>
          <w:b/>
          <w:color w:val="auto"/>
          <w:sz w:val="24"/>
          <w:szCs w:val="24"/>
        </w:rPr>
        <w:t xml:space="preserve">Valsts budžeta </w:t>
      </w:r>
      <w:proofErr w:type="spellStart"/>
      <w:r w:rsidR="007D3F3D">
        <w:rPr>
          <w:rFonts w:ascii="Times New Roman" w:hAnsi="Times New Roman" w:cs="Times New Roman"/>
          <w:b/>
          <w:color w:val="auto"/>
          <w:sz w:val="24"/>
          <w:szCs w:val="24"/>
        </w:rPr>
        <w:t>virssaistības</w:t>
      </w:r>
      <w:proofErr w:type="spellEnd"/>
      <w:r w:rsidR="00F02210" w:rsidRPr="00D81DBC">
        <w:rPr>
          <w:rFonts w:ascii="Times New Roman" w:hAnsi="Times New Roman" w:cs="Times New Roman"/>
          <w:b/>
          <w:color w:val="auto"/>
          <w:sz w:val="24"/>
          <w:szCs w:val="24"/>
        </w:rPr>
        <w:t xml:space="preserve"> </w:t>
      </w:r>
      <w:r w:rsidR="00A304FA" w:rsidRPr="00D81DBC">
        <w:rPr>
          <w:rFonts w:ascii="Times New Roman" w:hAnsi="Times New Roman" w:cs="Times New Roman"/>
          <w:b/>
          <w:color w:val="auto"/>
          <w:sz w:val="24"/>
          <w:szCs w:val="24"/>
        </w:rPr>
        <w:t>un to</w:t>
      </w:r>
      <w:r w:rsidR="00F02210" w:rsidRPr="00D81DBC">
        <w:rPr>
          <w:rFonts w:ascii="Times New Roman" w:hAnsi="Times New Roman" w:cs="Times New Roman"/>
          <w:b/>
          <w:color w:val="auto"/>
          <w:sz w:val="24"/>
          <w:szCs w:val="24"/>
        </w:rPr>
        <w:t xml:space="preserve"> kompensēšanas risinājumi</w:t>
      </w:r>
      <w:bookmarkEnd w:id="0"/>
    </w:p>
    <w:p w14:paraId="10C3AFD6" w14:textId="77777777" w:rsidR="008B544C" w:rsidRPr="008B544C" w:rsidRDefault="008B544C" w:rsidP="00915BDC">
      <w:pPr>
        <w:spacing w:line="276" w:lineRule="auto"/>
      </w:pPr>
    </w:p>
    <w:p w14:paraId="1FF0FDF0" w14:textId="7D0EC9D6" w:rsidR="00AA0994" w:rsidRPr="008B544C" w:rsidRDefault="007D3F3D" w:rsidP="00915BDC">
      <w:pPr>
        <w:pStyle w:val="Heading3"/>
        <w:spacing w:line="276" w:lineRule="auto"/>
        <w:rPr>
          <w:rFonts w:ascii="Times New Roman" w:hAnsi="Times New Roman" w:cs="Times New Roman"/>
          <w:b/>
          <w:color w:val="auto"/>
          <w:u w:val="single"/>
        </w:rPr>
      </w:pPr>
      <w:bookmarkStart w:id="1" w:name="_Toc21076979"/>
      <w:proofErr w:type="spellStart"/>
      <w:r w:rsidRPr="007D3F3D">
        <w:rPr>
          <w:rFonts w:ascii="Times New Roman" w:hAnsi="Times New Roman" w:cs="Times New Roman"/>
          <w:b/>
          <w:color w:val="auto"/>
          <w:u w:val="single"/>
        </w:rPr>
        <w:t>Virssaistību</w:t>
      </w:r>
      <w:proofErr w:type="spellEnd"/>
      <w:r w:rsidRPr="007D3F3D">
        <w:rPr>
          <w:rFonts w:ascii="Times New Roman" w:hAnsi="Times New Roman" w:cs="Times New Roman"/>
          <w:b/>
          <w:color w:val="auto"/>
          <w:u w:val="single"/>
        </w:rPr>
        <w:t xml:space="preserve"> būtība un sa</w:t>
      </w:r>
      <w:r>
        <w:rPr>
          <w:rFonts w:ascii="Times New Roman" w:hAnsi="Times New Roman" w:cs="Times New Roman"/>
          <w:b/>
          <w:color w:val="auto"/>
          <w:u w:val="single"/>
        </w:rPr>
        <w:t>da</w:t>
      </w:r>
      <w:r w:rsidRPr="007D3F3D">
        <w:rPr>
          <w:rFonts w:ascii="Times New Roman" w:hAnsi="Times New Roman" w:cs="Times New Roman"/>
          <w:b/>
          <w:color w:val="auto"/>
          <w:u w:val="single"/>
        </w:rPr>
        <w:t>lījums</w:t>
      </w:r>
      <w:bookmarkEnd w:id="1"/>
    </w:p>
    <w:p w14:paraId="50D46CF9" w14:textId="2C6E2FC6" w:rsidR="007D3F3D" w:rsidRPr="007D3F3D" w:rsidRDefault="007D3F3D" w:rsidP="00915BDC">
      <w:pPr>
        <w:pStyle w:val="ListParagraph"/>
        <w:numPr>
          <w:ilvl w:val="0"/>
          <w:numId w:val="1"/>
        </w:numPr>
        <w:tabs>
          <w:tab w:val="left" w:pos="2880"/>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ES fondu</w:t>
      </w:r>
      <w:r w:rsidR="0047564F">
        <w:rPr>
          <w:rFonts w:ascii="Times New Roman" w:hAnsi="Times New Roman" w:cs="Times New Roman"/>
          <w:sz w:val="24"/>
          <w:szCs w:val="24"/>
        </w:rPr>
        <w:t xml:space="preserve"> </w:t>
      </w:r>
      <w:r w:rsidR="0047564F" w:rsidRPr="0047564F">
        <w:rPr>
          <w:rFonts w:ascii="Times New Roman" w:hAnsi="Times New Roman" w:cs="Times New Roman"/>
          <w:sz w:val="24"/>
          <w:szCs w:val="24"/>
        </w:rPr>
        <w:t>2014.–2020.gada plānošanas period</w:t>
      </w:r>
      <w:r w:rsidR="0047564F">
        <w:rPr>
          <w:rFonts w:ascii="Times New Roman" w:hAnsi="Times New Roman" w:cs="Times New Roman"/>
          <w:sz w:val="24"/>
          <w:szCs w:val="24"/>
        </w:rPr>
        <w:t>a</w:t>
      </w:r>
      <w:r>
        <w:rPr>
          <w:rFonts w:ascii="Times New Roman" w:hAnsi="Times New Roman" w:cs="Times New Roman"/>
          <w:sz w:val="24"/>
          <w:szCs w:val="24"/>
        </w:rPr>
        <w:t xml:space="preserve"> likums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paredz</w:t>
      </w:r>
      <w:r w:rsidR="0047564F">
        <w:rPr>
          <w:rFonts w:ascii="Times New Roman" w:hAnsi="Times New Roman" w:cs="Times New Roman"/>
          <w:sz w:val="24"/>
          <w:szCs w:val="24"/>
        </w:rPr>
        <w:t xml:space="preserve"> iespēju uzņemties </w:t>
      </w:r>
      <w:proofErr w:type="spellStart"/>
      <w:r w:rsidR="0047564F">
        <w:rPr>
          <w:rFonts w:ascii="Times New Roman" w:hAnsi="Times New Roman" w:cs="Times New Roman"/>
          <w:sz w:val="24"/>
          <w:szCs w:val="24"/>
        </w:rPr>
        <w:t>virssaistības</w:t>
      </w:r>
      <w:proofErr w:type="spellEnd"/>
      <w:r w:rsidR="0047564F">
        <w:rPr>
          <w:rFonts w:ascii="Times New Roman" w:hAnsi="Times New Roman" w:cs="Times New Roman"/>
          <w:sz w:val="24"/>
          <w:szCs w:val="24"/>
        </w:rPr>
        <w:t xml:space="preserve">, proti, papildus ES fondu finansējuma apjomam uzņemties </w:t>
      </w:r>
      <w:r w:rsidR="006C4FA7">
        <w:rPr>
          <w:rFonts w:ascii="Times New Roman" w:hAnsi="Times New Roman" w:cs="Times New Roman"/>
          <w:sz w:val="24"/>
          <w:szCs w:val="24"/>
        </w:rPr>
        <w:t>s</w:t>
      </w:r>
      <w:r w:rsidR="0047564F" w:rsidRPr="0047564F">
        <w:rPr>
          <w:rFonts w:ascii="Times New Roman" w:hAnsi="Times New Roman" w:cs="Times New Roman"/>
          <w:sz w:val="24"/>
          <w:szCs w:val="24"/>
        </w:rPr>
        <w:t>aistības veikt maksājumus no valsts budžeta</w:t>
      </w:r>
      <w:r w:rsidR="0047564F">
        <w:rPr>
          <w:rFonts w:ascii="Times New Roman" w:hAnsi="Times New Roman" w:cs="Times New Roman"/>
          <w:sz w:val="24"/>
          <w:szCs w:val="24"/>
        </w:rPr>
        <w:t xml:space="preserve"> attiecināmo izdevumu segšanai ar mērķi plānošanas perioda beigās nodrošināt ES fondu finansējuma pilnīgu izmantošanu, ņemot vērā potenciālos neatbilstoši veiktos izdevumus (turpmāk – neatbilstības), pārtrauktos projektus utt.</w:t>
      </w:r>
    </w:p>
    <w:p w14:paraId="5C7DF167" w14:textId="5D6EBDB7" w:rsidR="00AA0994" w:rsidRPr="007108D0" w:rsidRDefault="00AA0994" w:rsidP="00915BDC">
      <w:pPr>
        <w:pStyle w:val="ListParagraph"/>
        <w:numPr>
          <w:ilvl w:val="0"/>
          <w:numId w:val="1"/>
        </w:numPr>
        <w:tabs>
          <w:tab w:val="left" w:pos="2880"/>
        </w:tabs>
        <w:spacing w:line="276" w:lineRule="auto"/>
        <w:ind w:left="567" w:hanging="567"/>
        <w:jc w:val="both"/>
        <w:rPr>
          <w:rFonts w:ascii="Times New Roman" w:hAnsi="Times New Roman" w:cs="Times New Roman"/>
          <w:sz w:val="24"/>
          <w:szCs w:val="24"/>
        </w:rPr>
      </w:pPr>
      <w:r w:rsidRPr="007108D0">
        <w:rPr>
          <w:rFonts w:ascii="Times New Roman" w:hAnsi="Times New Roman" w:cs="Times New Roman"/>
          <w:sz w:val="24"/>
          <w:szCs w:val="24"/>
        </w:rPr>
        <w:t>Bez ES fondu 2014.</w:t>
      </w:r>
      <w:r w:rsidR="00A65FB5">
        <w:rPr>
          <w:rFonts w:ascii="Times New Roman" w:hAnsi="Times New Roman" w:cs="Times New Roman"/>
          <w:sz w:val="24"/>
          <w:szCs w:val="24"/>
        </w:rPr>
        <w:t>–</w:t>
      </w:r>
      <w:r w:rsidRPr="007108D0">
        <w:rPr>
          <w:rFonts w:ascii="Times New Roman" w:hAnsi="Times New Roman" w:cs="Times New Roman"/>
          <w:sz w:val="24"/>
          <w:szCs w:val="24"/>
        </w:rPr>
        <w:t>2</w:t>
      </w:r>
      <w:r w:rsidR="00A65FB5">
        <w:rPr>
          <w:rFonts w:ascii="Times New Roman" w:hAnsi="Times New Roman" w:cs="Times New Roman"/>
          <w:sz w:val="24"/>
          <w:szCs w:val="24"/>
        </w:rPr>
        <w:t>020.</w:t>
      </w:r>
      <w:r w:rsidRPr="007108D0">
        <w:rPr>
          <w:rFonts w:ascii="Times New Roman" w:hAnsi="Times New Roman" w:cs="Times New Roman"/>
          <w:sz w:val="24"/>
          <w:szCs w:val="24"/>
        </w:rPr>
        <w:t>gada</w:t>
      </w:r>
      <w:r w:rsidR="00A65FB5">
        <w:rPr>
          <w:rFonts w:ascii="Times New Roman" w:hAnsi="Times New Roman" w:cs="Times New Roman"/>
          <w:sz w:val="24"/>
          <w:szCs w:val="24"/>
        </w:rPr>
        <w:t xml:space="preserve"> plānošanas periodā projektu īstenošanai </w:t>
      </w:r>
      <w:r w:rsidR="00FB6836">
        <w:rPr>
          <w:rFonts w:ascii="Times New Roman" w:hAnsi="Times New Roman" w:cs="Times New Roman"/>
          <w:sz w:val="24"/>
          <w:szCs w:val="24"/>
        </w:rPr>
        <w:t xml:space="preserve">kopā </w:t>
      </w:r>
      <w:r w:rsidR="00A65FB5">
        <w:rPr>
          <w:rFonts w:ascii="Times New Roman" w:hAnsi="Times New Roman" w:cs="Times New Roman"/>
          <w:sz w:val="24"/>
          <w:szCs w:val="24"/>
        </w:rPr>
        <w:t>pieejamā ES fondu finansējuma</w:t>
      </w:r>
      <w:r w:rsidRPr="007108D0">
        <w:rPr>
          <w:rFonts w:ascii="Times New Roman" w:hAnsi="Times New Roman" w:cs="Times New Roman"/>
          <w:sz w:val="24"/>
          <w:szCs w:val="24"/>
        </w:rPr>
        <w:t xml:space="preserve"> </w:t>
      </w:r>
      <w:r w:rsidR="00D21EFF">
        <w:rPr>
          <w:rFonts w:ascii="Times New Roman" w:hAnsi="Times New Roman" w:cs="Times New Roman"/>
          <w:sz w:val="24"/>
          <w:szCs w:val="24"/>
        </w:rPr>
        <w:t>4,4 mljrd. </w:t>
      </w:r>
      <w:proofErr w:type="spellStart"/>
      <w:r w:rsidR="007B7A0A" w:rsidRPr="007B7A0A">
        <w:rPr>
          <w:rFonts w:ascii="Times New Roman" w:hAnsi="Times New Roman" w:cs="Times New Roman"/>
          <w:i/>
          <w:sz w:val="24"/>
          <w:szCs w:val="24"/>
        </w:rPr>
        <w:t>euro</w:t>
      </w:r>
      <w:proofErr w:type="spellEnd"/>
      <w:r w:rsidR="00A65FB5" w:rsidRPr="007108D0">
        <w:rPr>
          <w:rFonts w:ascii="Times New Roman" w:hAnsi="Times New Roman" w:cs="Times New Roman"/>
          <w:sz w:val="24"/>
          <w:szCs w:val="24"/>
        </w:rPr>
        <w:t xml:space="preserve"> </w:t>
      </w:r>
      <w:r w:rsidRPr="007108D0">
        <w:rPr>
          <w:rFonts w:ascii="Times New Roman" w:hAnsi="Times New Roman" w:cs="Times New Roman"/>
          <w:sz w:val="24"/>
          <w:szCs w:val="24"/>
        </w:rPr>
        <w:t xml:space="preserve">atsevišķos </w:t>
      </w:r>
      <w:r w:rsidR="004B459E">
        <w:rPr>
          <w:rFonts w:ascii="Times New Roman" w:hAnsi="Times New Roman" w:cs="Times New Roman"/>
          <w:sz w:val="24"/>
          <w:szCs w:val="24"/>
        </w:rPr>
        <w:t xml:space="preserve">specifiskajos atbalsta mērķos </w:t>
      </w:r>
      <w:r w:rsidR="000622AB">
        <w:rPr>
          <w:rFonts w:ascii="Times New Roman" w:hAnsi="Times New Roman" w:cs="Times New Roman"/>
          <w:sz w:val="24"/>
          <w:szCs w:val="24"/>
        </w:rPr>
        <w:br/>
      </w:r>
      <w:r w:rsidR="004B459E">
        <w:rPr>
          <w:rFonts w:ascii="Times New Roman" w:hAnsi="Times New Roman" w:cs="Times New Roman"/>
          <w:sz w:val="24"/>
          <w:szCs w:val="24"/>
        </w:rPr>
        <w:t xml:space="preserve">(turpmāk – </w:t>
      </w:r>
      <w:r w:rsidRPr="006C4FA7">
        <w:rPr>
          <w:rFonts w:ascii="Times New Roman" w:hAnsi="Times New Roman" w:cs="Times New Roman"/>
          <w:b/>
          <w:sz w:val="24"/>
          <w:szCs w:val="24"/>
        </w:rPr>
        <w:t>S</w:t>
      </w:r>
      <w:r w:rsidRPr="006C4FA7">
        <w:rPr>
          <w:rFonts w:ascii="Times New Roman" w:hAnsi="Times New Roman" w:cs="Times New Roman"/>
          <w:sz w:val="24"/>
          <w:szCs w:val="24"/>
        </w:rPr>
        <w:t>AM</w:t>
      </w:r>
      <w:r w:rsidR="004B459E">
        <w:rPr>
          <w:rFonts w:ascii="Times New Roman" w:hAnsi="Times New Roman" w:cs="Times New Roman"/>
          <w:sz w:val="24"/>
          <w:szCs w:val="24"/>
        </w:rPr>
        <w:t>)</w:t>
      </w:r>
      <w:r w:rsidRPr="006C4FA7">
        <w:rPr>
          <w:rFonts w:ascii="Times New Roman" w:hAnsi="Times New Roman" w:cs="Times New Roman"/>
          <w:sz w:val="24"/>
          <w:szCs w:val="24"/>
        </w:rPr>
        <w:t xml:space="preserve"> </w:t>
      </w:r>
      <w:r w:rsidRPr="006C4FA7">
        <w:rPr>
          <w:rFonts w:ascii="Times New Roman" w:hAnsi="Times New Roman" w:cs="Times New Roman"/>
          <w:b/>
          <w:sz w:val="24"/>
          <w:szCs w:val="24"/>
        </w:rPr>
        <w:t xml:space="preserve">piešķirtas </w:t>
      </w:r>
      <w:proofErr w:type="spellStart"/>
      <w:r w:rsidRPr="006C4FA7">
        <w:rPr>
          <w:rFonts w:ascii="Times New Roman" w:hAnsi="Times New Roman" w:cs="Times New Roman"/>
          <w:b/>
          <w:sz w:val="24"/>
          <w:szCs w:val="24"/>
        </w:rPr>
        <w:t>virssaistības</w:t>
      </w:r>
      <w:proofErr w:type="spellEnd"/>
      <w:r w:rsidRPr="006C4FA7">
        <w:rPr>
          <w:rFonts w:ascii="Times New Roman" w:hAnsi="Times New Roman" w:cs="Times New Roman"/>
          <w:b/>
          <w:sz w:val="24"/>
          <w:szCs w:val="24"/>
        </w:rPr>
        <w:t xml:space="preserve"> </w:t>
      </w:r>
      <w:r w:rsidR="00A65FB5" w:rsidRPr="006C4FA7">
        <w:rPr>
          <w:rFonts w:ascii="Times New Roman" w:hAnsi="Times New Roman" w:cs="Times New Roman"/>
          <w:b/>
          <w:sz w:val="24"/>
          <w:szCs w:val="24"/>
        </w:rPr>
        <w:t xml:space="preserve">kopā </w:t>
      </w:r>
      <w:r w:rsidR="00D21EFF">
        <w:rPr>
          <w:rFonts w:ascii="Times New Roman" w:hAnsi="Times New Roman" w:cs="Times New Roman"/>
          <w:b/>
          <w:sz w:val="24"/>
          <w:szCs w:val="24"/>
        </w:rPr>
        <w:t>66,3 milj. </w:t>
      </w:r>
      <w:proofErr w:type="spellStart"/>
      <w:r w:rsidR="007B7A0A" w:rsidRPr="007B7A0A">
        <w:rPr>
          <w:rFonts w:ascii="Times New Roman" w:hAnsi="Times New Roman" w:cs="Times New Roman"/>
          <w:b/>
          <w:i/>
          <w:sz w:val="24"/>
          <w:szCs w:val="24"/>
        </w:rPr>
        <w:t>euro</w:t>
      </w:r>
      <w:proofErr w:type="spellEnd"/>
      <w:r w:rsidRPr="006C4FA7">
        <w:rPr>
          <w:rFonts w:ascii="Times New Roman" w:hAnsi="Times New Roman" w:cs="Times New Roman"/>
          <w:b/>
          <w:sz w:val="24"/>
          <w:szCs w:val="24"/>
        </w:rPr>
        <w:t>.</w:t>
      </w:r>
      <w:r w:rsidR="00210B51">
        <w:rPr>
          <w:rFonts w:ascii="Times New Roman" w:hAnsi="Times New Roman" w:cs="Times New Roman"/>
          <w:sz w:val="24"/>
          <w:szCs w:val="24"/>
        </w:rPr>
        <w:t xml:space="preserve"> </w:t>
      </w:r>
    </w:p>
    <w:p w14:paraId="673DD83F" w14:textId="40891387" w:rsidR="00AA0994" w:rsidRPr="008004B0" w:rsidRDefault="00D64897" w:rsidP="00EF26CA">
      <w:pPr>
        <w:pStyle w:val="ListParagraph"/>
        <w:numPr>
          <w:ilvl w:val="0"/>
          <w:numId w:val="1"/>
        </w:numPr>
        <w:tabs>
          <w:tab w:val="left" w:pos="2880"/>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Ar MK </w:t>
      </w:r>
      <w:r w:rsidR="00656869">
        <w:rPr>
          <w:rFonts w:ascii="Times New Roman" w:hAnsi="Times New Roman" w:cs="Times New Roman"/>
          <w:sz w:val="24"/>
          <w:szCs w:val="24"/>
        </w:rPr>
        <w:t>2015.gada 10.</w:t>
      </w:r>
      <w:r>
        <w:rPr>
          <w:rFonts w:ascii="Times New Roman" w:hAnsi="Times New Roman" w:cs="Times New Roman"/>
          <w:sz w:val="24"/>
          <w:szCs w:val="24"/>
        </w:rPr>
        <w:t>novembra rīkojumu Nr.709</w:t>
      </w:r>
      <w:r w:rsidRPr="00656869">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Eiropas Reģionālās attīstības fonda (turpmāk – ERAF)</w:t>
      </w:r>
      <w:r w:rsidRPr="007108D0">
        <w:rPr>
          <w:rFonts w:ascii="Times New Roman" w:hAnsi="Times New Roman" w:cs="Times New Roman"/>
          <w:sz w:val="24"/>
          <w:szCs w:val="24"/>
        </w:rPr>
        <w:t xml:space="preserve"> </w:t>
      </w:r>
      <w:proofErr w:type="spellStart"/>
      <w:r w:rsidRPr="007108D0">
        <w:rPr>
          <w:rFonts w:ascii="Times New Roman" w:hAnsi="Times New Roman" w:cs="Times New Roman"/>
          <w:sz w:val="24"/>
          <w:szCs w:val="24"/>
        </w:rPr>
        <w:t>virssaistības</w:t>
      </w:r>
      <w:proofErr w:type="spellEnd"/>
      <w:r w:rsidRPr="007108D0">
        <w:rPr>
          <w:rFonts w:ascii="Times New Roman" w:hAnsi="Times New Roman" w:cs="Times New Roman"/>
          <w:sz w:val="24"/>
          <w:szCs w:val="24"/>
        </w:rPr>
        <w:t xml:space="preserve"> 53,0 milj. </w:t>
      </w:r>
      <w:proofErr w:type="spellStart"/>
      <w:r w:rsidR="007B7A0A" w:rsidRPr="007B7A0A">
        <w:rPr>
          <w:rFonts w:ascii="Times New Roman" w:hAnsi="Times New Roman" w:cs="Times New Roman"/>
          <w:i/>
          <w:sz w:val="24"/>
          <w:szCs w:val="24"/>
        </w:rPr>
        <w:t>euro</w:t>
      </w:r>
      <w:proofErr w:type="spellEnd"/>
      <w:r w:rsidRPr="007108D0">
        <w:rPr>
          <w:rFonts w:ascii="Times New Roman" w:hAnsi="Times New Roman" w:cs="Times New Roman"/>
          <w:sz w:val="24"/>
          <w:szCs w:val="24"/>
        </w:rPr>
        <w:t xml:space="preserve"> </w:t>
      </w:r>
      <w:r>
        <w:rPr>
          <w:rFonts w:ascii="Times New Roman" w:hAnsi="Times New Roman" w:cs="Times New Roman"/>
          <w:sz w:val="24"/>
          <w:szCs w:val="24"/>
        </w:rPr>
        <w:t xml:space="preserve">tika </w:t>
      </w:r>
      <w:r w:rsidRPr="007108D0">
        <w:rPr>
          <w:rFonts w:ascii="Times New Roman" w:hAnsi="Times New Roman" w:cs="Times New Roman"/>
          <w:sz w:val="24"/>
          <w:szCs w:val="24"/>
        </w:rPr>
        <w:t xml:space="preserve">piešķirtas </w:t>
      </w:r>
      <w:r w:rsidR="00AA0994" w:rsidRPr="007108D0">
        <w:rPr>
          <w:rFonts w:ascii="Times New Roman" w:hAnsi="Times New Roman" w:cs="Times New Roman"/>
          <w:sz w:val="24"/>
          <w:szCs w:val="24"/>
        </w:rPr>
        <w:t>integrēto teritoriālo investīciju</w:t>
      </w:r>
      <w:r w:rsidR="00BF3A67">
        <w:rPr>
          <w:rFonts w:ascii="Times New Roman" w:hAnsi="Times New Roman" w:cs="Times New Roman"/>
          <w:sz w:val="24"/>
          <w:szCs w:val="24"/>
        </w:rPr>
        <w:t xml:space="preserve"> (turpmāk – ITI) </w:t>
      </w:r>
      <w:r w:rsidR="00AA0994" w:rsidRPr="007108D0">
        <w:rPr>
          <w:rFonts w:ascii="Times New Roman" w:hAnsi="Times New Roman" w:cs="Times New Roman"/>
          <w:sz w:val="24"/>
          <w:szCs w:val="24"/>
        </w:rPr>
        <w:t>īstenošanai nacionālās nozīmes attīstību centriem (pašvaldību projektiem)</w:t>
      </w:r>
      <w:r w:rsidR="00656869">
        <w:rPr>
          <w:rFonts w:ascii="Times New Roman" w:hAnsi="Times New Roman" w:cs="Times New Roman"/>
          <w:sz w:val="24"/>
          <w:szCs w:val="24"/>
        </w:rPr>
        <w:t xml:space="preserve">. </w:t>
      </w:r>
    </w:p>
    <w:p w14:paraId="711076AD" w14:textId="74AAE5CF" w:rsidR="00AA0994" w:rsidRPr="007108D0" w:rsidRDefault="00656869" w:rsidP="00915BDC">
      <w:pPr>
        <w:pStyle w:val="ListParagraph"/>
        <w:numPr>
          <w:ilvl w:val="0"/>
          <w:numId w:val="1"/>
        </w:numPr>
        <w:tabs>
          <w:tab w:val="left" w:pos="2880"/>
        </w:tabs>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2018.gada 31.</w:t>
      </w:r>
      <w:r w:rsidR="00AA0994" w:rsidRPr="007108D0">
        <w:rPr>
          <w:rFonts w:ascii="Times New Roman" w:hAnsi="Times New Roman" w:cs="Times New Roman"/>
          <w:sz w:val="24"/>
          <w:szCs w:val="24"/>
        </w:rPr>
        <w:t xml:space="preserve">oktobrī </w:t>
      </w:r>
      <w:r w:rsidR="00D64897">
        <w:rPr>
          <w:rFonts w:ascii="Times New Roman" w:hAnsi="Times New Roman" w:cs="Times New Roman"/>
          <w:sz w:val="24"/>
          <w:szCs w:val="24"/>
        </w:rPr>
        <w:t>MK 2015.gada 10.novembra rīkojumā Nr.</w:t>
      </w:r>
      <w:r w:rsidR="00AA0994" w:rsidRPr="007108D0">
        <w:rPr>
          <w:rFonts w:ascii="Times New Roman" w:hAnsi="Times New Roman" w:cs="Times New Roman"/>
          <w:sz w:val="24"/>
          <w:szCs w:val="24"/>
        </w:rPr>
        <w:t>709</w:t>
      </w:r>
      <w:r w:rsidR="00D64897">
        <w:rPr>
          <w:rFonts w:ascii="Times New Roman" w:hAnsi="Times New Roman" w:cs="Times New Roman"/>
          <w:sz w:val="24"/>
          <w:szCs w:val="24"/>
        </w:rPr>
        <w:t xml:space="preserve"> tika veikti grozījumi</w:t>
      </w:r>
      <w:r w:rsidR="00AA0994" w:rsidRPr="007108D0">
        <w:rPr>
          <w:rStyle w:val="FootnoteReference"/>
          <w:rFonts w:ascii="Times New Roman" w:hAnsi="Times New Roman" w:cs="Times New Roman"/>
          <w:sz w:val="24"/>
          <w:szCs w:val="24"/>
        </w:rPr>
        <w:footnoteReference w:id="8"/>
      </w:r>
      <w:r w:rsidR="00AA0994" w:rsidRPr="007108D0">
        <w:rPr>
          <w:rFonts w:ascii="Times New Roman" w:hAnsi="Times New Roman" w:cs="Times New Roman"/>
          <w:sz w:val="24"/>
          <w:szCs w:val="24"/>
        </w:rPr>
        <w:t xml:space="preserve">, pārdalot piešķirtās </w:t>
      </w:r>
      <w:proofErr w:type="spellStart"/>
      <w:r w:rsidR="00AA0994" w:rsidRPr="007108D0">
        <w:rPr>
          <w:rFonts w:ascii="Times New Roman" w:hAnsi="Times New Roman" w:cs="Times New Roman"/>
          <w:sz w:val="24"/>
          <w:szCs w:val="24"/>
        </w:rPr>
        <w:t>virssaistības</w:t>
      </w:r>
      <w:proofErr w:type="spellEnd"/>
      <w:r w:rsidR="00AA0994" w:rsidRPr="007108D0">
        <w:rPr>
          <w:rFonts w:ascii="Times New Roman" w:hAnsi="Times New Roman" w:cs="Times New Roman"/>
          <w:sz w:val="24"/>
          <w:szCs w:val="24"/>
        </w:rPr>
        <w:t xml:space="preserve"> st</w:t>
      </w:r>
      <w:r w:rsidR="00E83FC3">
        <w:rPr>
          <w:rFonts w:ascii="Times New Roman" w:hAnsi="Times New Roman" w:cs="Times New Roman"/>
          <w:sz w:val="24"/>
          <w:szCs w:val="24"/>
        </w:rPr>
        <w:t xml:space="preserve">arp SAM. Atbilstoši minētajam </w:t>
      </w:r>
      <w:proofErr w:type="spellStart"/>
      <w:r w:rsidR="00AA0994" w:rsidRPr="006C4FA7">
        <w:rPr>
          <w:rFonts w:ascii="Times New Roman" w:hAnsi="Times New Roman" w:cs="Times New Roman"/>
          <w:b/>
          <w:sz w:val="24"/>
          <w:szCs w:val="24"/>
        </w:rPr>
        <w:t>virssaistības</w:t>
      </w:r>
      <w:proofErr w:type="spellEnd"/>
      <w:r w:rsidR="00AA0994" w:rsidRPr="006C4FA7">
        <w:rPr>
          <w:rFonts w:ascii="Times New Roman" w:hAnsi="Times New Roman" w:cs="Times New Roman"/>
          <w:b/>
          <w:sz w:val="24"/>
          <w:szCs w:val="24"/>
        </w:rPr>
        <w:t xml:space="preserve"> piešķirtas</w:t>
      </w:r>
      <w:r w:rsidR="00210B51" w:rsidRPr="006C4FA7">
        <w:rPr>
          <w:rStyle w:val="FootnoteReference"/>
          <w:rFonts w:ascii="Times New Roman" w:hAnsi="Times New Roman" w:cs="Times New Roman"/>
          <w:b/>
          <w:sz w:val="24"/>
          <w:szCs w:val="24"/>
        </w:rPr>
        <w:footnoteReference w:id="9"/>
      </w:r>
      <w:r w:rsidR="00AA0994" w:rsidRPr="006C4FA7">
        <w:rPr>
          <w:rFonts w:ascii="Times New Roman" w:hAnsi="Times New Roman" w:cs="Times New Roman"/>
          <w:b/>
          <w:sz w:val="24"/>
          <w:szCs w:val="24"/>
        </w:rPr>
        <w:t>:</w:t>
      </w:r>
    </w:p>
    <w:p w14:paraId="1FA5D04C" w14:textId="1BF65A69" w:rsidR="00AA0994" w:rsidRPr="00A43133" w:rsidRDefault="00AA0994" w:rsidP="00915BDC">
      <w:pPr>
        <w:pStyle w:val="ListParagraph"/>
        <w:numPr>
          <w:ilvl w:val="0"/>
          <w:numId w:val="28"/>
        </w:numPr>
        <w:spacing w:after="0" w:line="276" w:lineRule="auto"/>
        <w:ind w:left="1276"/>
        <w:jc w:val="both"/>
        <w:rPr>
          <w:rFonts w:ascii="Times New Roman" w:hAnsi="Times New Roman" w:cs="Times New Roman"/>
          <w:b/>
          <w:sz w:val="24"/>
          <w:szCs w:val="24"/>
        </w:rPr>
      </w:pPr>
      <w:r w:rsidRPr="006C4FA7">
        <w:rPr>
          <w:rFonts w:ascii="Times New Roman" w:hAnsi="Times New Roman" w:cs="Times New Roman"/>
          <w:b/>
          <w:sz w:val="24"/>
          <w:szCs w:val="24"/>
        </w:rPr>
        <w:t>Vides aizsardzības un reģionālās attīstības</w:t>
      </w:r>
      <w:r w:rsidRPr="007108D0">
        <w:rPr>
          <w:rFonts w:ascii="Times New Roman" w:hAnsi="Times New Roman" w:cs="Times New Roman"/>
          <w:sz w:val="24"/>
          <w:szCs w:val="24"/>
        </w:rPr>
        <w:t xml:space="preserve"> </w:t>
      </w:r>
      <w:r w:rsidR="005D790A" w:rsidRPr="004B479A">
        <w:rPr>
          <w:rFonts w:ascii="Times New Roman" w:hAnsi="Times New Roman" w:cs="Times New Roman"/>
          <w:b/>
          <w:sz w:val="24"/>
          <w:szCs w:val="24"/>
        </w:rPr>
        <w:t xml:space="preserve">ministrijas </w:t>
      </w:r>
      <w:r w:rsidR="00A304FA">
        <w:rPr>
          <w:rFonts w:ascii="Times New Roman" w:hAnsi="Times New Roman" w:cs="Times New Roman"/>
          <w:sz w:val="24"/>
          <w:szCs w:val="24"/>
        </w:rPr>
        <w:t xml:space="preserve">(turpmāk – VARAM) </w:t>
      </w:r>
      <w:r w:rsidR="00D64897">
        <w:rPr>
          <w:rFonts w:ascii="Times New Roman" w:hAnsi="Times New Roman" w:cs="Times New Roman"/>
          <w:sz w:val="24"/>
          <w:szCs w:val="24"/>
        </w:rPr>
        <w:t xml:space="preserve">pārziņā esošajiem </w:t>
      </w:r>
      <w:r w:rsidR="003E70CE">
        <w:rPr>
          <w:rFonts w:ascii="Times New Roman" w:hAnsi="Times New Roman" w:cs="Times New Roman"/>
          <w:sz w:val="24"/>
          <w:szCs w:val="24"/>
        </w:rPr>
        <w:t>SAM</w:t>
      </w:r>
      <w:r w:rsidR="004B479A" w:rsidRPr="0033214E">
        <w:rPr>
          <w:rFonts w:ascii="Times New Roman" w:hAnsi="Times New Roman" w:cs="Times New Roman"/>
          <w:sz w:val="24"/>
          <w:szCs w:val="24"/>
        </w:rPr>
        <w:t xml:space="preserve"> </w:t>
      </w:r>
      <w:r w:rsidRPr="007108D0">
        <w:rPr>
          <w:rFonts w:ascii="Times New Roman" w:hAnsi="Times New Roman" w:cs="Times New Roman"/>
          <w:sz w:val="24"/>
          <w:szCs w:val="24"/>
        </w:rPr>
        <w:t xml:space="preserve"> </w:t>
      </w:r>
      <w:r w:rsidR="00C52DE7">
        <w:rPr>
          <w:rFonts w:ascii="Times New Roman" w:hAnsi="Times New Roman" w:cs="Times New Roman"/>
          <w:b/>
          <w:sz w:val="24"/>
          <w:szCs w:val="24"/>
        </w:rPr>
        <w:t>34,1 </w:t>
      </w:r>
      <w:r w:rsidRPr="00A43133">
        <w:rPr>
          <w:rFonts w:ascii="Times New Roman" w:hAnsi="Times New Roman" w:cs="Times New Roman"/>
          <w:b/>
          <w:sz w:val="24"/>
          <w:szCs w:val="24"/>
        </w:rPr>
        <w:t xml:space="preserve">milj. </w:t>
      </w:r>
      <w:proofErr w:type="spellStart"/>
      <w:r w:rsidR="007B7A0A" w:rsidRPr="007B7A0A">
        <w:rPr>
          <w:rFonts w:ascii="Times New Roman" w:hAnsi="Times New Roman" w:cs="Times New Roman"/>
          <w:b/>
          <w:i/>
          <w:sz w:val="24"/>
          <w:szCs w:val="24"/>
        </w:rPr>
        <w:t>euro</w:t>
      </w:r>
      <w:proofErr w:type="spellEnd"/>
      <w:r w:rsidRPr="00A43133">
        <w:rPr>
          <w:rFonts w:ascii="Times New Roman" w:hAnsi="Times New Roman" w:cs="Times New Roman"/>
          <w:b/>
          <w:sz w:val="24"/>
          <w:szCs w:val="24"/>
        </w:rPr>
        <w:t>:</w:t>
      </w:r>
    </w:p>
    <w:p w14:paraId="3734BA6B" w14:textId="12B9E76F" w:rsidR="00AA0994" w:rsidRPr="00115D7E" w:rsidRDefault="00D64897" w:rsidP="00915BDC">
      <w:pPr>
        <w:pStyle w:val="ListParagraph"/>
        <w:numPr>
          <w:ilvl w:val="1"/>
          <w:numId w:val="29"/>
        </w:numPr>
        <w:spacing w:after="0" w:line="276" w:lineRule="auto"/>
        <w:ind w:left="1701"/>
        <w:jc w:val="both"/>
        <w:rPr>
          <w:rFonts w:ascii="Times New Roman" w:hAnsi="Times New Roman" w:cs="Times New Roman"/>
          <w:sz w:val="24"/>
          <w:szCs w:val="24"/>
        </w:rPr>
      </w:pPr>
      <w:r w:rsidRPr="00115D7E">
        <w:rPr>
          <w:rFonts w:ascii="Times New Roman" w:hAnsi="Times New Roman" w:cs="Times New Roman"/>
          <w:sz w:val="24"/>
          <w:szCs w:val="24"/>
        </w:rPr>
        <w:t>3.3.1.</w:t>
      </w:r>
      <w:r w:rsidR="00AA0994" w:rsidRPr="00115D7E">
        <w:rPr>
          <w:rFonts w:ascii="Times New Roman" w:hAnsi="Times New Roman" w:cs="Times New Roman"/>
          <w:sz w:val="24"/>
          <w:szCs w:val="24"/>
        </w:rPr>
        <w:t>SAM “</w:t>
      </w:r>
      <w:r w:rsidR="00115D7E" w:rsidRPr="00115D7E">
        <w:rPr>
          <w:rFonts w:ascii="Times New Roman" w:hAnsi="Times New Roman" w:cs="Times New Roman"/>
          <w:sz w:val="24"/>
          <w:szCs w:val="24"/>
        </w:rPr>
        <w:t>Palielināt privāto investīciju apjomu reģionos, veicot ieguldījumus uzņēmējdarbības attīstībai atbilstoši pašvaldību attīstības programmās noteiktajai teritoriju ekonomiskajai specializācijai un balstoties uz vietējo uzņēmēju vajadzībām</w:t>
      </w:r>
      <w:r w:rsidR="00AA0994" w:rsidRPr="00115D7E">
        <w:rPr>
          <w:rFonts w:ascii="Times New Roman" w:hAnsi="Times New Roman" w:cs="Times New Roman"/>
          <w:sz w:val="24"/>
          <w:szCs w:val="24"/>
        </w:rPr>
        <w:t xml:space="preserve">” </w:t>
      </w:r>
      <w:r w:rsidR="00DF27EF">
        <w:rPr>
          <w:rFonts w:ascii="Times New Roman" w:hAnsi="Times New Roman" w:cs="Times New Roman"/>
          <w:sz w:val="24"/>
          <w:szCs w:val="24"/>
        </w:rPr>
        <w:t xml:space="preserve">(turpmāk – 3.3.1.SAM) </w:t>
      </w:r>
      <w:r w:rsidR="00AA0994" w:rsidRPr="00115D7E">
        <w:rPr>
          <w:rFonts w:ascii="Times New Roman" w:hAnsi="Times New Roman" w:cs="Times New Roman"/>
          <w:sz w:val="24"/>
          <w:szCs w:val="24"/>
        </w:rPr>
        <w:t>5,2 milj. </w:t>
      </w:r>
      <w:proofErr w:type="spellStart"/>
      <w:r w:rsidR="007B7A0A" w:rsidRPr="007B7A0A">
        <w:rPr>
          <w:rFonts w:ascii="Times New Roman" w:hAnsi="Times New Roman" w:cs="Times New Roman"/>
          <w:i/>
          <w:sz w:val="24"/>
          <w:szCs w:val="24"/>
        </w:rPr>
        <w:t>euro</w:t>
      </w:r>
      <w:proofErr w:type="spellEnd"/>
      <w:r w:rsidR="00FB6836">
        <w:rPr>
          <w:rFonts w:ascii="Times New Roman" w:hAnsi="Times New Roman" w:cs="Times New Roman"/>
          <w:sz w:val="24"/>
          <w:szCs w:val="24"/>
        </w:rPr>
        <w:t>;</w:t>
      </w:r>
    </w:p>
    <w:p w14:paraId="7CE0674B" w14:textId="1A4C3D28" w:rsidR="00AA0994" w:rsidRPr="00115D7E" w:rsidRDefault="00D64897" w:rsidP="00915BDC">
      <w:pPr>
        <w:pStyle w:val="ListParagraph"/>
        <w:numPr>
          <w:ilvl w:val="1"/>
          <w:numId w:val="29"/>
        </w:numPr>
        <w:spacing w:after="0" w:line="276" w:lineRule="auto"/>
        <w:ind w:left="1701"/>
        <w:jc w:val="both"/>
        <w:rPr>
          <w:rFonts w:ascii="Times New Roman" w:hAnsi="Times New Roman" w:cs="Times New Roman"/>
          <w:sz w:val="24"/>
          <w:szCs w:val="24"/>
        </w:rPr>
      </w:pPr>
      <w:r w:rsidRPr="00115D7E">
        <w:rPr>
          <w:rFonts w:ascii="Times New Roman" w:hAnsi="Times New Roman" w:cs="Times New Roman"/>
          <w:sz w:val="24"/>
          <w:szCs w:val="24"/>
        </w:rPr>
        <w:t>4.2.2.</w:t>
      </w:r>
      <w:r w:rsidR="00AA0994" w:rsidRPr="00115D7E">
        <w:rPr>
          <w:rFonts w:ascii="Times New Roman" w:hAnsi="Times New Roman" w:cs="Times New Roman"/>
          <w:sz w:val="24"/>
          <w:szCs w:val="24"/>
        </w:rPr>
        <w:t>SAM “</w:t>
      </w:r>
      <w:r w:rsidR="00115D7E" w:rsidRPr="00115D7E">
        <w:rPr>
          <w:rFonts w:ascii="Times New Roman" w:hAnsi="Times New Roman" w:cs="Times New Roman"/>
          <w:bCs/>
          <w:sz w:val="24"/>
          <w:szCs w:val="24"/>
        </w:rPr>
        <w:t>Atbilstoši pašvaldības integrētajām attīstības programmām sekmēt energoefektivitātes paaugstināšanu un atjaunojamo energoresursu izmantošanu pašvaldību ēkās</w:t>
      </w:r>
      <w:r w:rsidR="00AA0994" w:rsidRPr="00115D7E">
        <w:rPr>
          <w:rFonts w:ascii="Times New Roman" w:hAnsi="Times New Roman" w:cs="Times New Roman"/>
          <w:sz w:val="24"/>
          <w:szCs w:val="24"/>
        </w:rPr>
        <w:t xml:space="preserve">” </w:t>
      </w:r>
      <w:r w:rsidR="00DF27EF">
        <w:rPr>
          <w:rFonts w:ascii="Times New Roman" w:hAnsi="Times New Roman" w:cs="Times New Roman"/>
          <w:sz w:val="24"/>
          <w:szCs w:val="24"/>
        </w:rPr>
        <w:t xml:space="preserve">(turpmāk – 4.2.2.SAM) </w:t>
      </w:r>
      <w:r w:rsidR="00AA0994" w:rsidRPr="00115D7E">
        <w:rPr>
          <w:rFonts w:ascii="Times New Roman" w:hAnsi="Times New Roman" w:cs="Times New Roman"/>
          <w:sz w:val="24"/>
          <w:szCs w:val="24"/>
        </w:rPr>
        <w:t>15,6 milj. </w:t>
      </w:r>
      <w:proofErr w:type="spellStart"/>
      <w:r w:rsidR="007B7A0A" w:rsidRPr="007B7A0A">
        <w:rPr>
          <w:rFonts w:ascii="Times New Roman" w:hAnsi="Times New Roman" w:cs="Times New Roman"/>
          <w:i/>
          <w:sz w:val="24"/>
          <w:szCs w:val="24"/>
        </w:rPr>
        <w:t>euro</w:t>
      </w:r>
      <w:proofErr w:type="spellEnd"/>
      <w:r w:rsidR="00FB6836">
        <w:rPr>
          <w:rFonts w:ascii="Times New Roman" w:hAnsi="Times New Roman" w:cs="Times New Roman"/>
          <w:sz w:val="24"/>
          <w:szCs w:val="24"/>
        </w:rPr>
        <w:t>;</w:t>
      </w:r>
    </w:p>
    <w:p w14:paraId="1EC8836C" w14:textId="5038E191" w:rsidR="00AA0994" w:rsidRPr="00A43133" w:rsidRDefault="00AA0994" w:rsidP="00915BDC">
      <w:pPr>
        <w:pStyle w:val="ListParagraph"/>
        <w:numPr>
          <w:ilvl w:val="0"/>
          <w:numId w:val="28"/>
        </w:numPr>
        <w:spacing w:after="0" w:line="276" w:lineRule="auto"/>
        <w:ind w:left="1276"/>
        <w:jc w:val="both"/>
        <w:rPr>
          <w:rFonts w:ascii="Times New Roman" w:hAnsi="Times New Roman" w:cs="Times New Roman"/>
          <w:b/>
          <w:sz w:val="24"/>
          <w:szCs w:val="24"/>
        </w:rPr>
      </w:pPr>
      <w:r w:rsidRPr="006C4FA7">
        <w:rPr>
          <w:rFonts w:ascii="Times New Roman" w:hAnsi="Times New Roman" w:cs="Times New Roman"/>
          <w:b/>
          <w:sz w:val="24"/>
          <w:szCs w:val="24"/>
        </w:rPr>
        <w:t>Kultūras ministrijas</w:t>
      </w:r>
      <w:r w:rsidR="00A304FA">
        <w:rPr>
          <w:rFonts w:ascii="Times New Roman" w:hAnsi="Times New Roman" w:cs="Times New Roman"/>
          <w:sz w:val="24"/>
          <w:szCs w:val="24"/>
        </w:rPr>
        <w:t xml:space="preserve"> (turpmāk – KM)</w:t>
      </w:r>
      <w:r w:rsidRPr="007108D0">
        <w:rPr>
          <w:rFonts w:ascii="Times New Roman" w:hAnsi="Times New Roman" w:cs="Times New Roman"/>
          <w:sz w:val="24"/>
          <w:szCs w:val="24"/>
        </w:rPr>
        <w:t xml:space="preserve"> </w:t>
      </w:r>
      <w:r w:rsidR="00D64897">
        <w:rPr>
          <w:rFonts w:ascii="Times New Roman" w:hAnsi="Times New Roman" w:cs="Times New Roman"/>
          <w:sz w:val="24"/>
          <w:szCs w:val="24"/>
        </w:rPr>
        <w:t>pārziņā esošajam 5.5.1.</w:t>
      </w:r>
      <w:r w:rsidRPr="007108D0">
        <w:rPr>
          <w:rFonts w:ascii="Times New Roman" w:hAnsi="Times New Roman" w:cs="Times New Roman"/>
          <w:sz w:val="24"/>
          <w:szCs w:val="24"/>
        </w:rPr>
        <w:t>SAM “</w:t>
      </w:r>
      <w:r w:rsidR="00115D7E" w:rsidRPr="00115D7E">
        <w:rPr>
          <w:rFonts w:ascii="Times New Roman" w:hAnsi="Times New Roman" w:cs="Times New Roman"/>
          <w:sz w:val="24"/>
          <w:szCs w:val="24"/>
        </w:rPr>
        <w:t>Saglabāt, aizsargāt un attīstīt nozīmīgu kultūras un dabas mantojumu, kā arī attīstīt ar to saistītos pakalpojumus</w:t>
      </w:r>
      <w:r w:rsidRPr="007108D0">
        <w:rPr>
          <w:rFonts w:ascii="Times New Roman" w:hAnsi="Times New Roman" w:cs="Times New Roman"/>
          <w:sz w:val="24"/>
          <w:szCs w:val="24"/>
        </w:rPr>
        <w:t xml:space="preserve">” </w:t>
      </w:r>
      <w:r w:rsidRPr="00A43133">
        <w:rPr>
          <w:rFonts w:ascii="Times New Roman" w:hAnsi="Times New Roman" w:cs="Times New Roman"/>
          <w:b/>
          <w:sz w:val="24"/>
          <w:szCs w:val="24"/>
        </w:rPr>
        <w:t>28,1 milj. </w:t>
      </w:r>
      <w:proofErr w:type="spellStart"/>
      <w:r w:rsidR="007B7A0A" w:rsidRPr="007B7A0A">
        <w:rPr>
          <w:rFonts w:ascii="Times New Roman" w:hAnsi="Times New Roman" w:cs="Times New Roman"/>
          <w:b/>
          <w:i/>
          <w:sz w:val="24"/>
          <w:szCs w:val="24"/>
        </w:rPr>
        <w:t>euro</w:t>
      </w:r>
      <w:proofErr w:type="spellEnd"/>
      <w:r w:rsidR="00E83FC3" w:rsidRPr="00A43133">
        <w:rPr>
          <w:rFonts w:ascii="Times New Roman" w:hAnsi="Times New Roman" w:cs="Times New Roman"/>
          <w:b/>
          <w:i/>
          <w:sz w:val="24"/>
          <w:szCs w:val="24"/>
        </w:rPr>
        <w:t>;</w:t>
      </w:r>
    </w:p>
    <w:p w14:paraId="3018A420" w14:textId="718810F8" w:rsidR="00AA0994" w:rsidRDefault="00AA0994" w:rsidP="00915BDC">
      <w:pPr>
        <w:pStyle w:val="ListParagraph"/>
        <w:numPr>
          <w:ilvl w:val="0"/>
          <w:numId w:val="28"/>
        </w:numPr>
        <w:spacing w:after="0" w:line="276" w:lineRule="auto"/>
        <w:ind w:left="1276"/>
        <w:jc w:val="both"/>
        <w:rPr>
          <w:rFonts w:ascii="Times New Roman" w:hAnsi="Times New Roman" w:cs="Times New Roman"/>
          <w:sz w:val="24"/>
          <w:szCs w:val="24"/>
        </w:rPr>
      </w:pPr>
      <w:r w:rsidRPr="006C4FA7">
        <w:rPr>
          <w:rFonts w:ascii="Times New Roman" w:hAnsi="Times New Roman" w:cs="Times New Roman"/>
          <w:b/>
          <w:sz w:val="24"/>
          <w:szCs w:val="24"/>
        </w:rPr>
        <w:t>Izglītības un zinātnes min</w:t>
      </w:r>
      <w:r w:rsidR="00D64897" w:rsidRPr="006C4FA7">
        <w:rPr>
          <w:rFonts w:ascii="Times New Roman" w:hAnsi="Times New Roman" w:cs="Times New Roman"/>
          <w:b/>
          <w:sz w:val="24"/>
          <w:szCs w:val="24"/>
        </w:rPr>
        <w:t>istrijas</w:t>
      </w:r>
      <w:r w:rsidR="00F708C6">
        <w:rPr>
          <w:rFonts w:ascii="Times New Roman" w:hAnsi="Times New Roman" w:cs="Times New Roman"/>
          <w:sz w:val="24"/>
          <w:szCs w:val="24"/>
        </w:rPr>
        <w:t xml:space="preserve"> (turpmāk – IZM)</w:t>
      </w:r>
      <w:r w:rsidR="00D64897">
        <w:rPr>
          <w:rFonts w:ascii="Times New Roman" w:hAnsi="Times New Roman" w:cs="Times New Roman"/>
          <w:sz w:val="24"/>
          <w:szCs w:val="24"/>
        </w:rPr>
        <w:t xml:space="preserve"> </w:t>
      </w:r>
      <w:r w:rsidR="00E83FC3">
        <w:rPr>
          <w:rFonts w:ascii="Times New Roman" w:hAnsi="Times New Roman" w:cs="Times New Roman"/>
          <w:sz w:val="24"/>
          <w:szCs w:val="24"/>
        </w:rPr>
        <w:t>pārziņā esošajam</w:t>
      </w:r>
      <w:r w:rsidR="00D64897">
        <w:rPr>
          <w:rFonts w:ascii="Times New Roman" w:hAnsi="Times New Roman" w:cs="Times New Roman"/>
          <w:sz w:val="24"/>
          <w:szCs w:val="24"/>
        </w:rPr>
        <w:t xml:space="preserve"> 8.1.2.</w:t>
      </w:r>
      <w:r w:rsidRPr="007108D0">
        <w:rPr>
          <w:rFonts w:ascii="Times New Roman" w:hAnsi="Times New Roman" w:cs="Times New Roman"/>
          <w:sz w:val="24"/>
          <w:szCs w:val="24"/>
        </w:rPr>
        <w:t>SAM “</w:t>
      </w:r>
      <w:r w:rsidR="00115D7E" w:rsidRPr="00115D7E">
        <w:rPr>
          <w:rFonts w:ascii="Times New Roman" w:hAnsi="Times New Roman" w:cs="Times New Roman"/>
          <w:sz w:val="24"/>
          <w:szCs w:val="24"/>
        </w:rPr>
        <w:t>Uzlabot vispārējās izglītības iestāžu mācību vidi</w:t>
      </w:r>
      <w:r w:rsidRPr="007108D0">
        <w:rPr>
          <w:rFonts w:ascii="Times New Roman" w:hAnsi="Times New Roman" w:cs="Times New Roman"/>
          <w:sz w:val="24"/>
          <w:szCs w:val="24"/>
        </w:rPr>
        <w:t xml:space="preserve">” </w:t>
      </w:r>
      <w:r w:rsidRPr="00A43133">
        <w:rPr>
          <w:rFonts w:ascii="Times New Roman" w:hAnsi="Times New Roman" w:cs="Times New Roman"/>
          <w:b/>
          <w:sz w:val="24"/>
          <w:szCs w:val="24"/>
        </w:rPr>
        <w:t>4,1 milj. </w:t>
      </w:r>
      <w:proofErr w:type="spellStart"/>
      <w:r w:rsidR="007B7A0A" w:rsidRPr="007B7A0A">
        <w:rPr>
          <w:rFonts w:ascii="Times New Roman" w:hAnsi="Times New Roman" w:cs="Times New Roman"/>
          <w:b/>
          <w:i/>
          <w:sz w:val="24"/>
          <w:szCs w:val="24"/>
        </w:rPr>
        <w:t>euro</w:t>
      </w:r>
      <w:proofErr w:type="spellEnd"/>
      <w:r w:rsidRPr="00A43133">
        <w:rPr>
          <w:rFonts w:ascii="Times New Roman" w:hAnsi="Times New Roman" w:cs="Times New Roman"/>
          <w:b/>
          <w:sz w:val="24"/>
          <w:szCs w:val="24"/>
        </w:rPr>
        <w:t>.</w:t>
      </w:r>
    </w:p>
    <w:p w14:paraId="3F4E1393" w14:textId="488A47AF" w:rsidR="0008520F" w:rsidRPr="00EF26CA" w:rsidRDefault="00EF26CA" w:rsidP="008004B0">
      <w:pPr>
        <w:pStyle w:val="ListParagraph"/>
        <w:numPr>
          <w:ilvl w:val="0"/>
          <w:numId w:val="1"/>
        </w:numPr>
        <w:spacing w:line="276" w:lineRule="auto"/>
        <w:ind w:left="567"/>
        <w:jc w:val="both"/>
        <w:rPr>
          <w:rFonts w:cs="Times New Roman"/>
          <w:szCs w:val="24"/>
        </w:rPr>
      </w:pPr>
      <w:r w:rsidRPr="00EF26CA">
        <w:rPr>
          <w:rFonts w:ascii="Times New Roman" w:hAnsi="Times New Roman" w:cs="Times New Roman"/>
          <w:sz w:val="24"/>
          <w:szCs w:val="24"/>
        </w:rPr>
        <w:t xml:space="preserve">Savukārt MK 2017.gada 28.marta </w:t>
      </w:r>
      <w:proofErr w:type="spellStart"/>
      <w:r w:rsidRPr="00EF26CA">
        <w:rPr>
          <w:rFonts w:ascii="Times New Roman" w:hAnsi="Times New Roman" w:cs="Times New Roman"/>
          <w:sz w:val="24"/>
          <w:szCs w:val="24"/>
        </w:rPr>
        <w:t>protokollēmums</w:t>
      </w:r>
      <w:proofErr w:type="spellEnd"/>
      <w:r w:rsidRPr="00EF26CA">
        <w:rPr>
          <w:rFonts w:ascii="Times New Roman" w:hAnsi="Times New Roman" w:cs="Times New Roman"/>
          <w:sz w:val="24"/>
          <w:szCs w:val="24"/>
        </w:rPr>
        <w:t xml:space="preserve"> Nr.16 32.§ noteica piešķirt ERAF </w:t>
      </w:r>
      <w:proofErr w:type="spellStart"/>
      <w:r w:rsidRPr="00EF26CA">
        <w:rPr>
          <w:rFonts w:ascii="Times New Roman" w:hAnsi="Times New Roman" w:cs="Times New Roman"/>
          <w:sz w:val="24"/>
          <w:szCs w:val="24"/>
        </w:rPr>
        <w:t>virssaistības</w:t>
      </w:r>
      <w:proofErr w:type="spellEnd"/>
      <w:r w:rsidRPr="00EF26CA">
        <w:rPr>
          <w:rFonts w:ascii="Times New Roman" w:hAnsi="Times New Roman" w:cs="Times New Roman"/>
          <w:sz w:val="24"/>
          <w:szCs w:val="24"/>
        </w:rPr>
        <w:t xml:space="preserve"> VARAM</w:t>
      </w:r>
      <w:r w:rsidRPr="008004B0">
        <w:rPr>
          <w:rFonts w:ascii="Times New Roman" w:hAnsi="Times New Roman" w:cs="Times New Roman"/>
          <w:b/>
          <w:sz w:val="24"/>
          <w:szCs w:val="24"/>
        </w:rPr>
        <w:t xml:space="preserve"> </w:t>
      </w:r>
      <w:r>
        <w:rPr>
          <w:rFonts w:ascii="Times New Roman" w:hAnsi="Times New Roman" w:cs="Times New Roman"/>
          <w:sz w:val="24"/>
          <w:szCs w:val="24"/>
        </w:rPr>
        <w:t xml:space="preserve">pārziņā esošajam </w:t>
      </w:r>
      <w:r w:rsidRPr="008004B0">
        <w:rPr>
          <w:rFonts w:ascii="Times New Roman" w:hAnsi="Times New Roman" w:cs="Times New Roman"/>
          <w:b/>
          <w:sz w:val="24"/>
          <w:szCs w:val="24"/>
        </w:rPr>
        <w:t xml:space="preserve">Inčukalna </w:t>
      </w:r>
      <w:proofErr w:type="spellStart"/>
      <w:r w:rsidRPr="008004B0">
        <w:rPr>
          <w:rFonts w:ascii="Times New Roman" w:hAnsi="Times New Roman" w:cs="Times New Roman"/>
          <w:b/>
          <w:sz w:val="24"/>
          <w:szCs w:val="24"/>
        </w:rPr>
        <w:t>sērskābā</w:t>
      </w:r>
      <w:proofErr w:type="spellEnd"/>
      <w:r w:rsidRPr="008004B0">
        <w:rPr>
          <w:rFonts w:ascii="Times New Roman" w:hAnsi="Times New Roman" w:cs="Times New Roman"/>
          <w:b/>
          <w:sz w:val="24"/>
          <w:szCs w:val="24"/>
        </w:rPr>
        <w:t xml:space="preserve"> gudrona dīķa sanācijas projektam 13,3 milj. </w:t>
      </w:r>
      <w:proofErr w:type="spellStart"/>
      <w:r w:rsidRPr="008004B0">
        <w:rPr>
          <w:rFonts w:ascii="Times New Roman" w:hAnsi="Times New Roman" w:cs="Times New Roman"/>
          <w:b/>
          <w:i/>
          <w:sz w:val="24"/>
          <w:szCs w:val="24"/>
        </w:rPr>
        <w:t>euro</w:t>
      </w:r>
      <w:proofErr w:type="spellEnd"/>
      <w:r w:rsidRPr="00EF26CA">
        <w:rPr>
          <w:rStyle w:val="FootnoteReference"/>
          <w:rFonts w:ascii="Times New Roman" w:hAnsi="Times New Roman" w:cs="Times New Roman"/>
          <w:sz w:val="24"/>
          <w:szCs w:val="24"/>
        </w:rPr>
        <w:footnoteReference w:id="10"/>
      </w:r>
      <w:r w:rsidRPr="00EF26CA">
        <w:rPr>
          <w:rFonts w:ascii="Times New Roman" w:hAnsi="Times New Roman" w:cs="Times New Roman"/>
          <w:sz w:val="24"/>
          <w:szCs w:val="24"/>
        </w:rPr>
        <w:t>.</w:t>
      </w:r>
    </w:p>
    <w:p w14:paraId="10A9A55B" w14:textId="77777777" w:rsidR="00EF26CA" w:rsidRPr="00C52DE7" w:rsidRDefault="00EF26CA" w:rsidP="00C52DE7">
      <w:pPr>
        <w:spacing w:line="276" w:lineRule="auto"/>
        <w:jc w:val="both"/>
        <w:rPr>
          <w:rFonts w:cs="Times New Roman"/>
          <w:szCs w:val="24"/>
        </w:rPr>
      </w:pPr>
    </w:p>
    <w:p w14:paraId="3D490FF9" w14:textId="321E9802" w:rsidR="003F5575" w:rsidRPr="00C52DE7" w:rsidRDefault="00B124A3" w:rsidP="00C52DE7">
      <w:pPr>
        <w:pStyle w:val="Heading3"/>
        <w:spacing w:line="276" w:lineRule="auto"/>
        <w:rPr>
          <w:rFonts w:ascii="Times New Roman" w:hAnsi="Times New Roman" w:cs="Times New Roman"/>
          <w:b/>
          <w:color w:val="auto"/>
          <w:u w:val="single"/>
        </w:rPr>
      </w:pPr>
      <w:bookmarkStart w:id="2" w:name="_Toc21076980"/>
      <w:proofErr w:type="spellStart"/>
      <w:r w:rsidRPr="007D3F3D">
        <w:rPr>
          <w:rFonts w:ascii="Times New Roman" w:hAnsi="Times New Roman" w:cs="Times New Roman"/>
          <w:b/>
          <w:color w:val="auto"/>
          <w:u w:val="single"/>
        </w:rPr>
        <w:t>Virssaistību</w:t>
      </w:r>
      <w:proofErr w:type="spellEnd"/>
      <w:r w:rsidRPr="007D3F3D">
        <w:rPr>
          <w:rFonts w:ascii="Times New Roman" w:hAnsi="Times New Roman" w:cs="Times New Roman"/>
          <w:b/>
          <w:color w:val="auto"/>
          <w:u w:val="single"/>
        </w:rPr>
        <w:t xml:space="preserve"> </w:t>
      </w:r>
      <w:r w:rsidR="006C4FA7">
        <w:rPr>
          <w:rFonts w:ascii="Times New Roman" w:hAnsi="Times New Roman" w:cs="Times New Roman"/>
          <w:b/>
          <w:color w:val="auto"/>
          <w:u w:val="single"/>
        </w:rPr>
        <w:t>kompensēšana</w:t>
      </w:r>
      <w:r w:rsidR="000535B0">
        <w:rPr>
          <w:rFonts w:ascii="Times New Roman" w:hAnsi="Times New Roman" w:cs="Times New Roman"/>
          <w:b/>
          <w:color w:val="auto"/>
          <w:u w:val="single"/>
        </w:rPr>
        <w:t xml:space="preserve">s </w:t>
      </w:r>
      <w:r w:rsidR="003F5575">
        <w:rPr>
          <w:rFonts w:ascii="Times New Roman" w:hAnsi="Times New Roman" w:cs="Times New Roman"/>
          <w:b/>
          <w:color w:val="auto"/>
          <w:u w:val="single"/>
        </w:rPr>
        <w:t xml:space="preserve">alternatīvas un FM priekšlikums </w:t>
      </w:r>
      <w:proofErr w:type="spellStart"/>
      <w:r w:rsidR="003F5575">
        <w:rPr>
          <w:rFonts w:ascii="Times New Roman" w:hAnsi="Times New Roman" w:cs="Times New Roman"/>
          <w:b/>
          <w:color w:val="auto"/>
          <w:u w:val="single"/>
        </w:rPr>
        <w:t>virssaistību</w:t>
      </w:r>
      <w:proofErr w:type="spellEnd"/>
      <w:r w:rsidR="003F5575">
        <w:rPr>
          <w:rFonts w:ascii="Times New Roman" w:hAnsi="Times New Roman" w:cs="Times New Roman"/>
          <w:b/>
          <w:color w:val="auto"/>
          <w:u w:val="single"/>
        </w:rPr>
        <w:t xml:space="preserve"> kompensēšanai</w:t>
      </w:r>
      <w:bookmarkEnd w:id="2"/>
    </w:p>
    <w:p w14:paraId="5E1A3F54" w14:textId="7A3ABE97" w:rsidR="003E70CE" w:rsidRPr="00C52DE7" w:rsidRDefault="003E70CE">
      <w:pPr>
        <w:pStyle w:val="ListParagraph"/>
        <w:numPr>
          <w:ilvl w:val="0"/>
          <w:numId w:val="1"/>
        </w:numPr>
        <w:spacing w:line="276" w:lineRule="auto"/>
        <w:ind w:left="567" w:hanging="567"/>
        <w:jc w:val="both"/>
        <w:rPr>
          <w:rFonts w:ascii="Times New Roman" w:hAnsi="Times New Roman" w:cs="Times New Roman"/>
          <w:b/>
          <w:sz w:val="24"/>
          <w:szCs w:val="24"/>
        </w:rPr>
      </w:pPr>
      <w:r w:rsidRPr="00C52DE7">
        <w:rPr>
          <w:rFonts w:ascii="Times New Roman" w:hAnsi="Times New Roman" w:cs="Times New Roman"/>
          <w:b/>
          <w:sz w:val="24"/>
          <w:szCs w:val="24"/>
        </w:rPr>
        <w:t>Atbildīgās iestādes</w:t>
      </w:r>
      <w:r w:rsidRPr="00C52DE7">
        <w:rPr>
          <w:rFonts w:ascii="Times New Roman" w:hAnsi="Times New Roman" w:cs="Times New Roman"/>
          <w:sz w:val="24"/>
          <w:szCs w:val="24"/>
        </w:rPr>
        <w:t xml:space="preserve"> snieguma rezerves finansējuma pārdaļu procesa ietvaros </w:t>
      </w:r>
      <w:r w:rsidRPr="00C52DE7">
        <w:rPr>
          <w:rFonts w:ascii="Times New Roman" w:hAnsi="Times New Roman" w:cs="Times New Roman"/>
          <w:b/>
          <w:sz w:val="24"/>
          <w:szCs w:val="24"/>
        </w:rPr>
        <w:t xml:space="preserve">nav sniegušas priekšlikumus </w:t>
      </w:r>
      <w:proofErr w:type="spellStart"/>
      <w:r w:rsidRPr="00C52DE7">
        <w:rPr>
          <w:rFonts w:ascii="Times New Roman" w:hAnsi="Times New Roman" w:cs="Times New Roman"/>
          <w:b/>
          <w:sz w:val="24"/>
          <w:szCs w:val="24"/>
        </w:rPr>
        <w:t>virssaistību</w:t>
      </w:r>
      <w:proofErr w:type="spellEnd"/>
      <w:r w:rsidRPr="00C52DE7">
        <w:rPr>
          <w:rFonts w:ascii="Times New Roman" w:hAnsi="Times New Roman" w:cs="Times New Roman"/>
          <w:b/>
          <w:sz w:val="24"/>
          <w:szCs w:val="24"/>
        </w:rPr>
        <w:t xml:space="preserve"> kompensēšanai</w:t>
      </w:r>
      <w:r w:rsidRPr="00C52DE7">
        <w:rPr>
          <w:rFonts w:ascii="Times New Roman" w:hAnsi="Times New Roman" w:cs="Times New Roman"/>
          <w:sz w:val="24"/>
          <w:szCs w:val="24"/>
        </w:rPr>
        <w:t xml:space="preserve"> neitrālas ietekmes uz budžetu nodrošināšanai.</w:t>
      </w:r>
    </w:p>
    <w:p w14:paraId="6FA7ED9B" w14:textId="54F733C1" w:rsidR="00B124A3" w:rsidRPr="00BF5134" w:rsidRDefault="00BF5134">
      <w:pPr>
        <w:pStyle w:val="ListParagraph"/>
        <w:numPr>
          <w:ilvl w:val="0"/>
          <w:numId w:val="1"/>
        </w:numPr>
        <w:spacing w:line="276" w:lineRule="auto"/>
        <w:ind w:left="567" w:hanging="567"/>
        <w:jc w:val="both"/>
        <w:rPr>
          <w:b/>
        </w:rPr>
      </w:pPr>
      <w:proofErr w:type="spellStart"/>
      <w:r w:rsidRPr="003E70CE">
        <w:rPr>
          <w:rFonts w:ascii="Times New Roman" w:hAnsi="Times New Roman" w:cs="Times New Roman"/>
          <w:sz w:val="24"/>
          <w:szCs w:val="24"/>
        </w:rPr>
        <w:t>V</w:t>
      </w:r>
      <w:r w:rsidR="008057FA" w:rsidRPr="003E70CE">
        <w:rPr>
          <w:rFonts w:ascii="Times New Roman" w:hAnsi="Times New Roman" w:cs="Times New Roman"/>
          <w:sz w:val="24"/>
          <w:szCs w:val="24"/>
        </w:rPr>
        <w:t>irssaistību</w:t>
      </w:r>
      <w:proofErr w:type="spellEnd"/>
      <w:r w:rsidR="008057FA" w:rsidRPr="003E70CE">
        <w:rPr>
          <w:rFonts w:ascii="Times New Roman" w:hAnsi="Times New Roman" w:cs="Times New Roman"/>
          <w:sz w:val="24"/>
          <w:szCs w:val="24"/>
        </w:rPr>
        <w:t xml:space="preserve"> kompensēšana skatāma kontekstā ne tikai ar</w:t>
      </w:r>
      <w:r w:rsidR="00B124A3" w:rsidRPr="003E70CE">
        <w:rPr>
          <w:rFonts w:ascii="Times New Roman" w:hAnsi="Times New Roman" w:cs="Times New Roman"/>
          <w:sz w:val="24"/>
          <w:szCs w:val="24"/>
        </w:rPr>
        <w:t xml:space="preserve"> </w:t>
      </w:r>
      <w:proofErr w:type="spellStart"/>
      <w:r w:rsidR="00B124A3" w:rsidRPr="003E70CE">
        <w:rPr>
          <w:rFonts w:ascii="Times New Roman" w:hAnsi="Times New Roman" w:cs="Times New Roman"/>
          <w:sz w:val="24"/>
          <w:szCs w:val="24"/>
        </w:rPr>
        <w:t>virssaistību</w:t>
      </w:r>
      <w:proofErr w:type="spellEnd"/>
      <w:r w:rsidR="00B124A3" w:rsidRPr="003E70CE">
        <w:rPr>
          <w:rFonts w:ascii="Times New Roman" w:hAnsi="Times New Roman" w:cs="Times New Roman"/>
          <w:sz w:val="24"/>
          <w:szCs w:val="24"/>
        </w:rPr>
        <w:t xml:space="preserve"> finansējuma </w:t>
      </w:r>
      <w:r w:rsidR="00403820" w:rsidRPr="003E70CE">
        <w:rPr>
          <w:rFonts w:ascii="Times New Roman" w:hAnsi="Times New Roman" w:cs="Times New Roman"/>
          <w:sz w:val="24"/>
          <w:szCs w:val="24"/>
        </w:rPr>
        <w:t>tie</w:t>
      </w:r>
      <w:r w:rsidR="00C90B7D" w:rsidRPr="003E70CE">
        <w:rPr>
          <w:rFonts w:ascii="Times New Roman" w:hAnsi="Times New Roman" w:cs="Times New Roman"/>
          <w:sz w:val="24"/>
          <w:szCs w:val="24"/>
        </w:rPr>
        <w:t>šo</w:t>
      </w:r>
      <w:r w:rsidR="00403820" w:rsidRPr="003E70CE">
        <w:rPr>
          <w:rFonts w:ascii="Times New Roman" w:hAnsi="Times New Roman" w:cs="Times New Roman"/>
          <w:sz w:val="24"/>
          <w:szCs w:val="24"/>
        </w:rPr>
        <w:t xml:space="preserve"> </w:t>
      </w:r>
      <w:r w:rsidR="00B124A3" w:rsidRPr="003E70CE">
        <w:rPr>
          <w:rFonts w:ascii="Times New Roman" w:hAnsi="Times New Roman" w:cs="Times New Roman"/>
          <w:sz w:val="24"/>
          <w:szCs w:val="24"/>
        </w:rPr>
        <w:t>negatīvo ietekmi uz valsts budžetu</w:t>
      </w:r>
      <w:r w:rsidR="008057FA" w:rsidRPr="003E70CE">
        <w:rPr>
          <w:rFonts w:ascii="Times New Roman" w:hAnsi="Times New Roman" w:cs="Times New Roman"/>
          <w:sz w:val="24"/>
          <w:szCs w:val="24"/>
        </w:rPr>
        <w:t>, bet a</w:t>
      </w:r>
      <w:r w:rsidR="00493BF7" w:rsidRPr="003E70CE">
        <w:rPr>
          <w:rFonts w:ascii="Times New Roman" w:hAnsi="Times New Roman" w:cs="Times New Roman"/>
          <w:sz w:val="24"/>
          <w:szCs w:val="24"/>
        </w:rPr>
        <w:t xml:space="preserve">rī </w:t>
      </w:r>
      <w:r w:rsidR="00C90B7D" w:rsidRPr="003E70CE">
        <w:rPr>
          <w:rFonts w:ascii="Times New Roman" w:hAnsi="Times New Roman" w:cs="Times New Roman"/>
          <w:sz w:val="24"/>
          <w:szCs w:val="24"/>
        </w:rPr>
        <w:t>ar prognoz</w:t>
      </w:r>
      <w:r w:rsidR="0086381F" w:rsidRPr="003E70CE">
        <w:rPr>
          <w:rFonts w:ascii="Times New Roman" w:hAnsi="Times New Roman" w:cs="Times New Roman"/>
          <w:sz w:val="24"/>
          <w:szCs w:val="24"/>
        </w:rPr>
        <w:t>ēm</w:t>
      </w:r>
      <w:r w:rsidR="00B124A3" w:rsidRPr="003E70CE">
        <w:rPr>
          <w:rFonts w:ascii="Times New Roman" w:hAnsi="Times New Roman" w:cs="Times New Roman"/>
          <w:sz w:val="24"/>
          <w:szCs w:val="24"/>
        </w:rPr>
        <w:t xml:space="preserve"> Latvijai piešķirtā</w:t>
      </w:r>
      <w:r w:rsidR="00493BF7" w:rsidRPr="003E70CE">
        <w:rPr>
          <w:rFonts w:ascii="Times New Roman" w:hAnsi="Times New Roman" w:cs="Times New Roman"/>
          <w:sz w:val="24"/>
          <w:szCs w:val="24"/>
        </w:rPr>
        <w:t xml:space="preserve"> ES fondu</w:t>
      </w:r>
      <w:r w:rsidR="00493BF7" w:rsidRPr="00A43133">
        <w:rPr>
          <w:rFonts w:ascii="Times New Roman" w:hAnsi="Times New Roman" w:cs="Times New Roman"/>
          <w:sz w:val="24"/>
          <w:szCs w:val="24"/>
        </w:rPr>
        <w:t xml:space="preserve"> finansējuma saņemšan</w:t>
      </w:r>
      <w:r w:rsidR="0086381F" w:rsidRPr="00A43133">
        <w:rPr>
          <w:rFonts w:ascii="Times New Roman" w:hAnsi="Times New Roman" w:cs="Times New Roman"/>
          <w:sz w:val="24"/>
          <w:szCs w:val="24"/>
        </w:rPr>
        <w:t xml:space="preserve">ai </w:t>
      </w:r>
      <w:r w:rsidR="00B124A3" w:rsidRPr="00A43133">
        <w:rPr>
          <w:rFonts w:ascii="Times New Roman" w:hAnsi="Times New Roman" w:cs="Times New Roman"/>
          <w:sz w:val="24"/>
          <w:szCs w:val="24"/>
        </w:rPr>
        <w:t xml:space="preserve">pilnā apmērā </w:t>
      </w:r>
      <w:r w:rsidR="00493BF7" w:rsidRPr="00A43133">
        <w:rPr>
          <w:rFonts w:ascii="Times New Roman" w:hAnsi="Times New Roman" w:cs="Times New Roman"/>
          <w:sz w:val="24"/>
          <w:szCs w:val="24"/>
        </w:rPr>
        <w:t>arī be</w:t>
      </w:r>
      <w:r>
        <w:rPr>
          <w:rFonts w:ascii="Times New Roman" w:hAnsi="Times New Roman" w:cs="Times New Roman"/>
          <w:sz w:val="24"/>
          <w:szCs w:val="24"/>
        </w:rPr>
        <w:t xml:space="preserve">z </w:t>
      </w:r>
      <w:proofErr w:type="spellStart"/>
      <w:r>
        <w:rPr>
          <w:rFonts w:ascii="Times New Roman" w:hAnsi="Times New Roman" w:cs="Times New Roman"/>
          <w:sz w:val="24"/>
          <w:szCs w:val="24"/>
        </w:rPr>
        <w:t>virssaistībām</w:t>
      </w:r>
      <w:proofErr w:type="spellEnd"/>
      <w:r>
        <w:rPr>
          <w:rFonts w:ascii="Times New Roman" w:hAnsi="Times New Roman" w:cs="Times New Roman"/>
          <w:sz w:val="24"/>
          <w:szCs w:val="24"/>
        </w:rPr>
        <w:t xml:space="preserve"> (</w:t>
      </w:r>
      <w:r w:rsidR="00B124A3" w:rsidRPr="00A43133">
        <w:rPr>
          <w:rFonts w:ascii="Times New Roman" w:hAnsi="Times New Roman" w:cs="Times New Roman"/>
          <w:sz w:val="24"/>
          <w:szCs w:val="24"/>
        </w:rPr>
        <w:t>jo projektu īstenotāju pašu publiskais līdzfinansējums</w:t>
      </w:r>
      <w:r w:rsidR="00493BF7" w:rsidRPr="00A43133">
        <w:rPr>
          <w:rFonts w:ascii="Times New Roman" w:hAnsi="Times New Roman" w:cs="Times New Roman"/>
          <w:sz w:val="24"/>
          <w:szCs w:val="24"/>
        </w:rPr>
        <w:t xml:space="preserve"> jau šobrīd</w:t>
      </w:r>
      <w:r w:rsidR="00B124A3" w:rsidRPr="00A43133">
        <w:rPr>
          <w:rFonts w:ascii="Times New Roman" w:hAnsi="Times New Roman" w:cs="Times New Roman"/>
          <w:sz w:val="24"/>
          <w:szCs w:val="24"/>
        </w:rPr>
        <w:t xml:space="preserve"> ir lielāks nekā minimāli noteiktais</w:t>
      </w:r>
      <w:r w:rsidR="00493BF7" w:rsidRPr="00A43133">
        <w:rPr>
          <w:rFonts w:ascii="Times New Roman" w:hAnsi="Times New Roman" w:cs="Times New Roman"/>
          <w:sz w:val="24"/>
          <w:szCs w:val="24"/>
        </w:rPr>
        <w:t xml:space="preserve"> darbības programmā</w:t>
      </w:r>
      <w:r>
        <w:rPr>
          <w:rFonts w:ascii="Times New Roman" w:hAnsi="Times New Roman" w:cs="Times New Roman"/>
          <w:sz w:val="24"/>
          <w:szCs w:val="24"/>
        </w:rPr>
        <w:t xml:space="preserve">). </w:t>
      </w:r>
      <w:r w:rsidRPr="00D14509">
        <w:rPr>
          <w:rFonts w:ascii="Times New Roman" w:hAnsi="Times New Roman" w:cs="Times New Roman"/>
          <w:sz w:val="24"/>
          <w:szCs w:val="24"/>
        </w:rPr>
        <w:t>Ņemot vērā, ka ES fondu projektu ieviešana turpin</w:t>
      </w:r>
      <w:r>
        <w:rPr>
          <w:rFonts w:ascii="Times New Roman" w:hAnsi="Times New Roman" w:cs="Times New Roman"/>
          <w:sz w:val="24"/>
          <w:szCs w:val="24"/>
        </w:rPr>
        <w:t>ās līdz 2023.</w:t>
      </w:r>
      <w:r w:rsidRPr="00D14509">
        <w:rPr>
          <w:rFonts w:ascii="Times New Roman" w:hAnsi="Times New Roman" w:cs="Times New Roman"/>
          <w:sz w:val="24"/>
          <w:szCs w:val="24"/>
        </w:rPr>
        <w:t xml:space="preserve">gada </w:t>
      </w:r>
      <w:r w:rsidRPr="00BF5134">
        <w:rPr>
          <w:rFonts w:ascii="Times New Roman" w:hAnsi="Times New Roman" w:cs="Times New Roman"/>
          <w:sz w:val="24"/>
          <w:szCs w:val="24"/>
        </w:rPr>
        <w:t xml:space="preserve">beigām, kas ir EK noteiktais izdevumu </w:t>
      </w:r>
      <w:proofErr w:type="spellStart"/>
      <w:r w:rsidRPr="00BF5134">
        <w:rPr>
          <w:rFonts w:ascii="Times New Roman" w:hAnsi="Times New Roman" w:cs="Times New Roman"/>
          <w:sz w:val="24"/>
          <w:szCs w:val="24"/>
        </w:rPr>
        <w:t>attiecināmības</w:t>
      </w:r>
      <w:proofErr w:type="spellEnd"/>
      <w:r w:rsidRPr="00BF5134">
        <w:rPr>
          <w:rFonts w:ascii="Times New Roman" w:hAnsi="Times New Roman" w:cs="Times New Roman"/>
          <w:sz w:val="24"/>
          <w:szCs w:val="24"/>
        </w:rPr>
        <w:t xml:space="preserve"> termiņš, un, lai nodrošinātu efektīvu risku pārvaldību un nodrošinātu </w:t>
      </w:r>
      <w:proofErr w:type="spellStart"/>
      <w:r w:rsidRPr="00BF5134">
        <w:rPr>
          <w:rFonts w:ascii="Times New Roman" w:hAnsi="Times New Roman" w:cs="Times New Roman"/>
          <w:sz w:val="24"/>
          <w:szCs w:val="24"/>
        </w:rPr>
        <w:t>virssaistību</w:t>
      </w:r>
      <w:proofErr w:type="spellEnd"/>
      <w:r w:rsidRPr="00BF5134">
        <w:rPr>
          <w:rFonts w:ascii="Times New Roman" w:hAnsi="Times New Roman" w:cs="Times New Roman"/>
          <w:sz w:val="24"/>
          <w:szCs w:val="24"/>
        </w:rPr>
        <w:t xml:space="preserve"> neitrālu ietekmi uz valsts budžeta bilanci, </w:t>
      </w:r>
      <w:r w:rsidRPr="00BF5134">
        <w:rPr>
          <w:rFonts w:ascii="Times New Roman" w:hAnsi="Times New Roman" w:cs="Times New Roman"/>
          <w:b/>
          <w:sz w:val="24"/>
          <w:szCs w:val="24"/>
        </w:rPr>
        <w:t xml:space="preserve">racionāli ir veikt pasākumus, kas </w:t>
      </w:r>
      <w:proofErr w:type="spellStart"/>
      <w:r w:rsidRPr="00BF5134">
        <w:rPr>
          <w:rFonts w:ascii="Times New Roman" w:hAnsi="Times New Roman" w:cs="Times New Roman"/>
          <w:b/>
          <w:sz w:val="24"/>
          <w:szCs w:val="24"/>
        </w:rPr>
        <w:t>virssaistības</w:t>
      </w:r>
      <w:proofErr w:type="spellEnd"/>
      <w:r w:rsidRPr="00BF5134">
        <w:rPr>
          <w:rFonts w:ascii="Times New Roman" w:hAnsi="Times New Roman" w:cs="Times New Roman"/>
          <w:b/>
          <w:sz w:val="24"/>
          <w:szCs w:val="24"/>
        </w:rPr>
        <w:t xml:space="preserve"> kompensētu līdz plānošanas perioda beigām </w:t>
      </w:r>
      <w:r>
        <w:rPr>
          <w:rFonts w:ascii="Times New Roman" w:hAnsi="Times New Roman" w:cs="Times New Roman"/>
          <w:b/>
          <w:sz w:val="24"/>
          <w:szCs w:val="24"/>
        </w:rPr>
        <w:t>no ES</w:t>
      </w:r>
      <w:r w:rsidRPr="00BF5134">
        <w:rPr>
          <w:rFonts w:ascii="Times New Roman" w:hAnsi="Times New Roman" w:cs="Times New Roman"/>
          <w:b/>
          <w:sz w:val="24"/>
          <w:szCs w:val="24"/>
        </w:rPr>
        <w:t xml:space="preserve"> fondu atbrīvota finansējuma. </w:t>
      </w:r>
    </w:p>
    <w:p w14:paraId="5E3EC9BD" w14:textId="539275EF" w:rsidR="00AA0994" w:rsidRPr="007108D0" w:rsidRDefault="002B0D6D" w:rsidP="00915BDC">
      <w:pPr>
        <w:pStyle w:val="ListParagraph"/>
        <w:numPr>
          <w:ilvl w:val="0"/>
          <w:numId w:val="1"/>
        </w:numPr>
        <w:spacing w:line="276" w:lineRule="auto"/>
        <w:ind w:left="567" w:hanging="567"/>
        <w:jc w:val="both"/>
        <w:rPr>
          <w:rStyle w:val="spelle"/>
          <w:rFonts w:ascii="Times New Roman" w:hAnsi="Times New Roman" w:cs="Times New Roman"/>
          <w:sz w:val="24"/>
          <w:szCs w:val="24"/>
        </w:rPr>
      </w:pPr>
      <w:r>
        <w:rPr>
          <w:rStyle w:val="spelle"/>
          <w:rFonts w:ascii="Times New Roman" w:hAnsi="Times New Roman" w:cs="Times New Roman"/>
          <w:sz w:val="24"/>
          <w:szCs w:val="24"/>
        </w:rPr>
        <w:lastRenderedPageBreak/>
        <w:t xml:space="preserve">Analizējot iespējamo pakāpeniskas </w:t>
      </w:r>
      <w:proofErr w:type="spellStart"/>
      <w:r>
        <w:rPr>
          <w:rStyle w:val="spelle"/>
          <w:rFonts w:ascii="Times New Roman" w:hAnsi="Times New Roman" w:cs="Times New Roman"/>
          <w:sz w:val="24"/>
          <w:szCs w:val="24"/>
        </w:rPr>
        <w:t>virssaistību</w:t>
      </w:r>
      <w:proofErr w:type="spellEnd"/>
      <w:r>
        <w:rPr>
          <w:rStyle w:val="spelle"/>
          <w:rFonts w:ascii="Times New Roman" w:hAnsi="Times New Roman" w:cs="Times New Roman"/>
          <w:sz w:val="24"/>
          <w:szCs w:val="24"/>
        </w:rPr>
        <w:t xml:space="preserve"> kompensēšanas risinājumu, </w:t>
      </w:r>
      <w:r w:rsidR="00AA0994" w:rsidRPr="007108D0">
        <w:rPr>
          <w:rStyle w:val="spelle"/>
          <w:rFonts w:ascii="Times New Roman" w:hAnsi="Times New Roman" w:cs="Times New Roman"/>
          <w:sz w:val="24"/>
          <w:szCs w:val="24"/>
        </w:rPr>
        <w:t xml:space="preserve">FM ir </w:t>
      </w:r>
      <w:r w:rsidR="00E83FC3">
        <w:rPr>
          <w:rStyle w:val="spelle"/>
          <w:rFonts w:ascii="Times New Roman" w:hAnsi="Times New Roman" w:cs="Times New Roman"/>
          <w:sz w:val="24"/>
          <w:szCs w:val="24"/>
        </w:rPr>
        <w:t>izstrādājusi prognozes</w:t>
      </w:r>
      <w:r w:rsidR="00AA0994" w:rsidRPr="007108D0">
        <w:rPr>
          <w:rStyle w:val="spelle"/>
          <w:rFonts w:ascii="Times New Roman" w:hAnsi="Times New Roman" w:cs="Times New Roman"/>
          <w:sz w:val="24"/>
          <w:szCs w:val="24"/>
        </w:rPr>
        <w:t xml:space="preserve"> provizoriski no EK saņem</w:t>
      </w:r>
      <w:r w:rsidR="00E83FC3">
        <w:rPr>
          <w:rStyle w:val="spelle"/>
          <w:rFonts w:ascii="Times New Roman" w:hAnsi="Times New Roman" w:cs="Times New Roman"/>
          <w:sz w:val="24"/>
          <w:szCs w:val="24"/>
        </w:rPr>
        <w:t>amaj</w:t>
      </w:r>
      <w:r w:rsidR="00AA0994" w:rsidRPr="007108D0">
        <w:rPr>
          <w:rStyle w:val="spelle"/>
          <w:rFonts w:ascii="Times New Roman" w:hAnsi="Times New Roman" w:cs="Times New Roman"/>
          <w:sz w:val="24"/>
          <w:szCs w:val="24"/>
        </w:rPr>
        <w:t xml:space="preserve">am ES fondu finansējumam. Prognozēs izmantoti pieņēmumi, t.sk. ņemot vērā </w:t>
      </w:r>
      <w:r w:rsidR="00E83FC3" w:rsidRPr="007108D0">
        <w:rPr>
          <w:rStyle w:val="spelle"/>
          <w:rFonts w:ascii="Times New Roman" w:hAnsi="Times New Roman" w:cs="Times New Roman"/>
          <w:sz w:val="24"/>
          <w:szCs w:val="24"/>
        </w:rPr>
        <w:t xml:space="preserve">ES fondu </w:t>
      </w:r>
      <w:r w:rsidR="00AA0994" w:rsidRPr="007108D0">
        <w:rPr>
          <w:rStyle w:val="spelle"/>
          <w:rFonts w:ascii="Times New Roman" w:hAnsi="Times New Roman" w:cs="Times New Roman"/>
          <w:sz w:val="24"/>
          <w:szCs w:val="24"/>
        </w:rPr>
        <w:t>2007.</w:t>
      </w:r>
      <w:r w:rsidR="00E83FC3">
        <w:rPr>
          <w:rStyle w:val="spelle"/>
          <w:rFonts w:ascii="Times New Roman" w:hAnsi="Times New Roman" w:cs="Times New Roman"/>
          <w:sz w:val="24"/>
          <w:szCs w:val="24"/>
        </w:rPr>
        <w:t>–2013.</w:t>
      </w:r>
      <w:r w:rsidR="00AA0994" w:rsidRPr="007108D0">
        <w:rPr>
          <w:rStyle w:val="spelle"/>
          <w:rFonts w:ascii="Times New Roman" w:hAnsi="Times New Roman" w:cs="Times New Roman"/>
          <w:sz w:val="24"/>
          <w:szCs w:val="24"/>
        </w:rPr>
        <w:t xml:space="preserve">gada plānošanas perioda statistiku par lauztajiem līgumiem un </w:t>
      </w:r>
      <w:r w:rsidR="005D790A">
        <w:rPr>
          <w:rStyle w:val="spelle"/>
          <w:rFonts w:ascii="Times New Roman" w:hAnsi="Times New Roman" w:cs="Times New Roman"/>
          <w:sz w:val="24"/>
          <w:szCs w:val="24"/>
        </w:rPr>
        <w:t xml:space="preserve">tā ietvaros </w:t>
      </w:r>
      <w:r w:rsidR="00AA0994" w:rsidRPr="007108D0">
        <w:rPr>
          <w:rStyle w:val="spelle"/>
          <w:rFonts w:ascii="Times New Roman" w:hAnsi="Times New Roman" w:cs="Times New Roman"/>
          <w:sz w:val="24"/>
          <w:szCs w:val="24"/>
        </w:rPr>
        <w:t>pārtraukt</w:t>
      </w:r>
      <w:r w:rsidR="00E83FC3">
        <w:rPr>
          <w:rStyle w:val="spelle"/>
          <w:rFonts w:ascii="Times New Roman" w:hAnsi="Times New Roman" w:cs="Times New Roman"/>
          <w:sz w:val="24"/>
          <w:szCs w:val="24"/>
        </w:rPr>
        <w:t>aj</w:t>
      </w:r>
      <w:r w:rsidR="00AA0994" w:rsidRPr="007108D0">
        <w:rPr>
          <w:rStyle w:val="spelle"/>
          <w:rFonts w:ascii="Times New Roman" w:hAnsi="Times New Roman" w:cs="Times New Roman"/>
          <w:sz w:val="24"/>
          <w:szCs w:val="24"/>
        </w:rPr>
        <w:t>iem projektiem, to</w:t>
      </w:r>
      <w:r w:rsidR="00E83FC3">
        <w:rPr>
          <w:rStyle w:val="spelle"/>
          <w:rFonts w:ascii="Times New Roman" w:hAnsi="Times New Roman" w:cs="Times New Roman"/>
          <w:sz w:val="24"/>
          <w:szCs w:val="24"/>
        </w:rPr>
        <w:t>s</w:t>
      </w:r>
      <w:r w:rsidR="00AA0994" w:rsidRPr="007108D0">
        <w:rPr>
          <w:rStyle w:val="spelle"/>
          <w:rFonts w:ascii="Times New Roman" w:hAnsi="Times New Roman" w:cs="Times New Roman"/>
          <w:sz w:val="24"/>
          <w:szCs w:val="24"/>
        </w:rPr>
        <w:t xml:space="preserve"> pielāgojot </w:t>
      </w:r>
      <w:r w:rsidR="001363F9" w:rsidRPr="007108D0">
        <w:rPr>
          <w:rStyle w:val="spelle"/>
          <w:rFonts w:ascii="Times New Roman" w:hAnsi="Times New Roman" w:cs="Times New Roman"/>
          <w:sz w:val="24"/>
          <w:szCs w:val="24"/>
        </w:rPr>
        <w:t>ES fond</w:t>
      </w:r>
      <w:r w:rsidR="001363F9">
        <w:rPr>
          <w:rStyle w:val="spelle"/>
          <w:rFonts w:ascii="Times New Roman" w:hAnsi="Times New Roman" w:cs="Times New Roman"/>
          <w:sz w:val="24"/>
          <w:szCs w:val="24"/>
        </w:rPr>
        <w:t>u</w:t>
      </w:r>
      <w:r w:rsidR="001363F9" w:rsidRPr="007108D0">
        <w:rPr>
          <w:rStyle w:val="spelle"/>
          <w:rFonts w:ascii="Times New Roman" w:hAnsi="Times New Roman" w:cs="Times New Roman"/>
          <w:sz w:val="24"/>
          <w:szCs w:val="24"/>
        </w:rPr>
        <w:t xml:space="preserve"> </w:t>
      </w:r>
      <w:r w:rsidR="00AA0994" w:rsidRPr="007108D0">
        <w:rPr>
          <w:rStyle w:val="spelle"/>
          <w:rFonts w:ascii="Times New Roman" w:hAnsi="Times New Roman" w:cs="Times New Roman"/>
          <w:sz w:val="24"/>
          <w:szCs w:val="24"/>
        </w:rPr>
        <w:t>2014.</w:t>
      </w:r>
      <w:r w:rsidR="00E83FC3">
        <w:rPr>
          <w:rStyle w:val="spelle"/>
          <w:rFonts w:ascii="Times New Roman" w:hAnsi="Times New Roman" w:cs="Times New Roman"/>
          <w:sz w:val="24"/>
          <w:szCs w:val="24"/>
        </w:rPr>
        <w:t>–</w:t>
      </w:r>
      <w:r w:rsidR="001363F9">
        <w:rPr>
          <w:rStyle w:val="spelle"/>
          <w:rFonts w:ascii="Times New Roman" w:hAnsi="Times New Roman" w:cs="Times New Roman"/>
          <w:sz w:val="24"/>
          <w:szCs w:val="24"/>
        </w:rPr>
        <w:t>2020.</w:t>
      </w:r>
      <w:r w:rsidR="00AA0994" w:rsidRPr="007108D0">
        <w:rPr>
          <w:rStyle w:val="spelle"/>
          <w:rFonts w:ascii="Times New Roman" w:hAnsi="Times New Roman" w:cs="Times New Roman"/>
          <w:sz w:val="24"/>
          <w:szCs w:val="24"/>
        </w:rPr>
        <w:t xml:space="preserve">gada </w:t>
      </w:r>
      <w:r w:rsidR="00F17E9B">
        <w:rPr>
          <w:rStyle w:val="spelle"/>
          <w:rFonts w:ascii="Times New Roman" w:hAnsi="Times New Roman" w:cs="Times New Roman"/>
          <w:sz w:val="24"/>
          <w:szCs w:val="24"/>
        </w:rPr>
        <w:t>plānošanas perioda specifikai</w:t>
      </w:r>
      <w:r w:rsidR="00AA0994" w:rsidRPr="007108D0">
        <w:rPr>
          <w:rStyle w:val="FootnoteReference"/>
          <w:rFonts w:ascii="Times New Roman" w:hAnsi="Times New Roman" w:cs="Times New Roman"/>
          <w:sz w:val="24"/>
          <w:szCs w:val="24"/>
        </w:rPr>
        <w:footnoteReference w:id="11"/>
      </w:r>
      <w:r w:rsidR="00AA0994" w:rsidRPr="007108D0">
        <w:rPr>
          <w:rStyle w:val="spelle"/>
          <w:rFonts w:ascii="Times New Roman" w:hAnsi="Times New Roman" w:cs="Times New Roman"/>
          <w:sz w:val="24"/>
          <w:szCs w:val="24"/>
        </w:rPr>
        <w:t xml:space="preserve">. </w:t>
      </w:r>
      <w:r w:rsidR="00E83FC3">
        <w:rPr>
          <w:rStyle w:val="spelle"/>
          <w:rFonts w:ascii="Times New Roman" w:hAnsi="Times New Roman" w:cs="Times New Roman"/>
          <w:sz w:val="24"/>
          <w:szCs w:val="24"/>
        </w:rPr>
        <w:t>V</w:t>
      </w:r>
      <w:r w:rsidR="00AA0994" w:rsidRPr="007108D0">
        <w:rPr>
          <w:rStyle w:val="spelle"/>
          <w:rFonts w:ascii="Times New Roman" w:hAnsi="Times New Roman" w:cs="Times New Roman"/>
          <w:sz w:val="24"/>
          <w:szCs w:val="24"/>
        </w:rPr>
        <w:t>eidojot lauzto līgum</w:t>
      </w:r>
      <w:r w:rsidR="00E83FC3">
        <w:rPr>
          <w:rStyle w:val="spelle"/>
          <w:rFonts w:ascii="Times New Roman" w:hAnsi="Times New Roman" w:cs="Times New Roman"/>
          <w:sz w:val="24"/>
          <w:szCs w:val="24"/>
        </w:rPr>
        <w:t xml:space="preserve">u un neatbilstību prognozi </w:t>
      </w:r>
      <w:r w:rsidR="00E83FC3" w:rsidRPr="007108D0">
        <w:rPr>
          <w:rStyle w:val="spelle"/>
          <w:rFonts w:ascii="Times New Roman" w:hAnsi="Times New Roman" w:cs="Times New Roman"/>
          <w:sz w:val="24"/>
          <w:szCs w:val="24"/>
        </w:rPr>
        <w:t>ES fondu</w:t>
      </w:r>
      <w:r w:rsidR="00E83FC3">
        <w:rPr>
          <w:rStyle w:val="spelle"/>
          <w:rFonts w:ascii="Times New Roman" w:hAnsi="Times New Roman" w:cs="Times New Roman"/>
          <w:sz w:val="24"/>
          <w:szCs w:val="24"/>
        </w:rPr>
        <w:t xml:space="preserve"> 2014</w:t>
      </w:r>
      <w:r w:rsidR="00FB6836">
        <w:rPr>
          <w:rStyle w:val="spelle"/>
          <w:rFonts w:ascii="Times New Roman" w:hAnsi="Times New Roman" w:cs="Times New Roman"/>
          <w:sz w:val="24"/>
          <w:szCs w:val="24"/>
        </w:rPr>
        <w:t>.</w:t>
      </w:r>
      <w:r w:rsidR="00E83FC3">
        <w:rPr>
          <w:rStyle w:val="spelle"/>
          <w:rFonts w:ascii="Times New Roman" w:hAnsi="Times New Roman" w:cs="Times New Roman"/>
          <w:sz w:val="24"/>
          <w:szCs w:val="24"/>
        </w:rPr>
        <w:t>–</w:t>
      </w:r>
      <w:r w:rsidR="00AA0994" w:rsidRPr="007108D0">
        <w:rPr>
          <w:rStyle w:val="spelle"/>
          <w:rFonts w:ascii="Times New Roman" w:hAnsi="Times New Roman" w:cs="Times New Roman"/>
          <w:sz w:val="24"/>
          <w:szCs w:val="24"/>
        </w:rPr>
        <w:t>2</w:t>
      </w:r>
      <w:r w:rsidR="00E83FC3">
        <w:rPr>
          <w:rStyle w:val="spelle"/>
          <w:rFonts w:ascii="Times New Roman" w:hAnsi="Times New Roman" w:cs="Times New Roman"/>
          <w:sz w:val="24"/>
          <w:szCs w:val="24"/>
        </w:rPr>
        <w:t>020.</w:t>
      </w:r>
      <w:r w:rsidR="00AA0994" w:rsidRPr="007108D0">
        <w:rPr>
          <w:rStyle w:val="spelle"/>
          <w:rFonts w:ascii="Times New Roman" w:hAnsi="Times New Roman" w:cs="Times New Roman"/>
          <w:sz w:val="24"/>
          <w:szCs w:val="24"/>
        </w:rPr>
        <w:t xml:space="preserve">gada plānošanas periodam, FM ir pieņēmusi, ka atbildīgās iestādes un finansējuma saņēmēji </w:t>
      </w:r>
      <w:r w:rsidR="005D790A">
        <w:rPr>
          <w:rStyle w:val="spelle"/>
          <w:rFonts w:ascii="Times New Roman" w:hAnsi="Times New Roman" w:cs="Times New Roman"/>
          <w:sz w:val="24"/>
          <w:szCs w:val="24"/>
        </w:rPr>
        <w:t>ņems vērā</w:t>
      </w:r>
      <w:r w:rsidR="00E83FC3">
        <w:rPr>
          <w:rStyle w:val="spelle"/>
          <w:rFonts w:ascii="Times New Roman" w:hAnsi="Times New Roman" w:cs="Times New Roman"/>
          <w:sz w:val="24"/>
          <w:szCs w:val="24"/>
        </w:rPr>
        <w:t xml:space="preserve"> iepriekšējā periodā iegūto pieredzi, </w:t>
      </w:r>
      <w:r w:rsidR="005D790A">
        <w:rPr>
          <w:rStyle w:val="spelle"/>
          <w:rFonts w:ascii="Times New Roman" w:hAnsi="Times New Roman" w:cs="Times New Roman"/>
          <w:sz w:val="24"/>
          <w:szCs w:val="24"/>
        </w:rPr>
        <w:t xml:space="preserve">pirms attiecīgo lēmumu pieņemšanas, </w:t>
      </w:r>
      <w:r w:rsidR="00E83FC3">
        <w:rPr>
          <w:rStyle w:val="spelle"/>
          <w:rFonts w:ascii="Times New Roman" w:hAnsi="Times New Roman" w:cs="Times New Roman"/>
          <w:sz w:val="24"/>
          <w:szCs w:val="24"/>
        </w:rPr>
        <w:t>izvērtējot potenciāl</w:t>
      </w:r>
      <w:r w:rsidR="005D790A">
        <w:rPr>
          <w:rStyle w:val="spelle"/>
          <w:rFonts w:ascii="Times New Roman" w:hAnsi="Times New Roman" w:cs="Times New Roman"/>
          <w:sz w:val="24"/>
          <w:szCs w:val="24"/>
        </w:rPr>
        <w:t xml:space="preserve">os </w:t>
      </w:r>
      <w:r w:rsidR="00AA0994" w:rsidRPr="007108D0">
        <w:rPr>
          <w:rStyle w:val="spelle"/>
          <w:rFonts w:ascii="Times New Roman" w:hAnsi="Times New Roman" w:cs="Times New Roman"/>
          <w:sz w:val="24"/>
          <w:szCs w:val="24"/>
        </w:rPr>
        <w:t>risk</w:t>
      </w:r>
      <w:r w:rsidR="00E83FC3">
        <w:rPr>
          <w:rStyle w:val="spelle"/>
          <w:rFonts w:ascii="Times New Roman" w:hAnsi="Times New Roman" w:cs="Times New Roman"/>
          <w:sz w:val="24"/>
          <w:szCs w:val="24"/>
        </w:rPr>
        <w:t>us</w:t>
      </w:r>
      <w:r w:rsidR="00F708C6">
        <w:rPr>
          <w:rStyle w:val="spelle"/>
          <w:rFonts w:ascii="Times New Roman" w:hAnsi="Times New Roman" w:cs="Times New Roman"/>
          <w:sz w:val="24"/>
          <w:szCs w:val="24"/>
        </w:rPr>
        <w:t xml:space="preserve"> un</w:t>
      </w:r>
      <w:r w:rsidR="00AA0994" w:rsidRPr="007108D0">
        <w:rPr>
          <w:rStyle w:val="spelle"/>
          <w:rFonts w:ascii="Times New Roman" w:hAnsi="Times New Roman" w:cs="Times New Roman"/>
          <w:sz w:val="24"/>
          <w:szCs w:val="24"/>
        </w:rPr>
        <w:t xml:space="preserve"> </w:t>
      </w:r>
      <w:r w:rsidR="00E83FC3">
        <w:rPr>
          <w:rStyle w:val="spelle"/>
          <w:rFonts w:ascii="Times New Roman" w:hAnsi="Times New Roman" w:cs="Times New Roman"/>
          <w:sz w:val="24"/>
          <w:szCs w:val="24"/>
        </w:rPr>
        <w:t>neatkārtojot</w:t>
      </w:r>
      <w:r w:rsidR="00AA0994" w:rsidRPr="007108D0">
        <w:rPr>
          <w:rStyle w:val="spelle"/>
          <w:rFonts w:ascii="Times New Roman" w:hAnsi="Times New Roman" w:cs="Times New Roman"/>
          <w:sz w:val="24"/>
          <w:szCs w:val="24"/>
        </w:rPr>
        <w:t xml:space="preserve"> </w:t>
      </w:r>
      <w:r w:rsidR="00E83FC3" w:rsidRPr="007108D0">
        <w:rPr>
          <w:rStyle w:val="spelle"/>
          <w:rFonts w:ascii="Times New Roman" w:hAnsi="Times New Roman" w:cs="Times New Roman"/>
          <w:sz w:val="24"/>
          <w:szCs w:val="24"/>
        </w:rPr>
        <w:t xml:space="preserve">ES fondu </w:t>
      </w:r>
      <w:r w:rsidR="00E83FC3">
        <w:rPr>
          <w:rStyle w:val="spelle"/>
          <w:rFonts w:ascii="Times New Roman" w:hAnsi="Times New Roman" w:cs="Times New Roman"/>
          <w:sz w:val="24"/>
          <w:szCs w:val="24"/>
        </w:rPr>
        <w:t>2007.–2013.</w:t>
      </w:r>
      <w:r w:rsidR="00AA0994" w:rsidRPr="007108D0">
        <w:rPr>
          <w:rStyle w:val="spelle"/>
          <w:rFonts w:ascii="Times New Roman" w:hAnsi="Times New Roman" w:cs="Times New Roman"/>
          <w:sz w:val="24"/>
          <w:szCs w:val="24"/>
        </w:rPr>
        <w:t>gada plānošanas periodā</w:t>
      </w:r>
      <w:r w:rsidR="005D790A">
        <w:rPr>
          <w:rStyle w:val="spelle"/>
          <w:rFonts w:ascii="Times New Roman" w:hAnsi="Times New Roman" w:cs="Times New Roman"/>
          <w:sz w:val="24"/>
          <w:szCs w:val="24"/>
        </w:rPr>
        <w:t xml:space="preserve"> pieļautās kļūdas</w:t>
      </w:r>
      <w:r w:rsidR="00AA0994" w:rsidRPr="007108D0">
        <w:rPr>
          <w:rStyle w:val="spelle"/>
          <w:rFonts w:ascii="Times New Roman" w:hAnsi="Times New Roman" w:cs="Times New Roman"/>
          <w:sz w:val="24"/>
          <w:szCs w:val="24"/>
        </w:rPr>
        <w:t xml:space="preserve"> </w:t>
      </w:r>
      <w:r w:rsidR="00F708C6">
        <w:rPr>
          <w:rStyle w:val="spelle"/>
          <w:rFonts w:ascii="Times New Roman" w:hAnsi="Times New Roman" w:cs="Times New Roman"/>
          <w:sz w:val="24"/>
          <w:szCs w:val="24"/>
        </w:rPr>
        <w:t>pārtraukto projektu un neatbilstīb</w:t>
      </w:r>
      <w:r w:rsidR="005D790A">
        <w:rPr>
          <w:rStyle w:val="spelle"/>
          <w:rFonts w:ascii="Times New Roman" w:hAnsi="Times New Roman" w:cs="Times New Roman"/>
          <w:sz w:val="24"/>
          <w:szCs w:val="24"/>
        </w:rPr>
        <w:t>u ietvaros</w:t>
      </w:r>
      <w:r w:rsidR="00741329">
        <w:rPr>
          <w:rStyle w:val="spelle"/>
          <w:rFonts w:ascii="Times New Roman" w:hAnsi="Times New Roman" w:cs="Times New Roman"/>
          <w:sz w:val="24"/>
          <w:szCs w:val="24"/>
        </w:rPr>
        <w:t>.</w:t>
      </w:r>
      <w:r w:rsidR="00741329">
        <w:rPr>
          <w:rStyle w:val="FootnoteReference"/>
          <w:rFonts w:ascii="Times New Roman" w:hAnsi="Times New Roman" w:cs="Times New Roman"/>
          <w:sz w:val="24"/>
          <w:szCs w:val="24"/>
        </w:rPr>
        <w:footnoteReference w:id="12"/>
      </w:r>
    </w:p>
    <w:p w14:paraId="609CC4BA" w14:textId="65D0315E" w:rsidR="00725E6C" w:rsidRPr="00F86C7C" w:rsidRDefault="00725E6C" w:rsidP="00F86C7C">
      <w:pPr>
        <w:pStyle w:val="ListParagraph"/>
        <w:numPr>
          <w:ilvl w:val="0"/>
          <w:numId w:val="1"/>
        </w:numPr>
        <w:spacing w:line="276" w:lineRule="auto"/>
        <w:ind w:left="567" w:hanging="567"/>
        <w:jc w:val="both"/>
        <w:rPr>
          <w:rStyle w:val="CommentReference"/>
          <w:rFonts w:ascii="Times New Roman" w:hAnsi="Times New Roman" w:cs="Times New Roman"/>
          <w:sz w:val="24"/>
          <w:szCs w:val="24"/>
        </w:rPr>
      </w:pPr>
      <w:r w:rsidRPr="00D14509">
        <w:rPr>
          <w:rFonts w:ascii="Times New Roman" w:hAnsi="Times New Roman" w:cs="Times New Roman"/>
          <w:sz w:val="24"/>
          <w:szCs w:val="24"/>
        </w:rPr>
        <w:t xml:space="preserve">ES fondu 2007.–2013.gada plānošanas periodā kopā bija piešķirtas </w:t>
      </w:r>
      <w:proofErr w:type="spellStart"/>
      <w:r w:rsidRPr="00D14509">
        <w:rPr>
          <w:rFonts w:ascii="Times New Roman" w:hAnsi="Times New Roman" w:cs="Times New Roman"/>
          <w:sz w:val="24"/>
          <w:szCs w:val="24"/>
        </w:rPr>
        <w:t>virssaistības</w:t>
      </w:r>
      <w:proofErr w:type="spellEnd"/>
      <w:r w:rsidRPr="00D14509">
        <w:rPr>
          <w:rFonts w:ascii="Times New Roman" w:hAnsi="Times New Roman" w:cs="Times New Roman"/>
          <w:sz w:val="24"/>
          <w:szCs w:val="24"/>
        </w:rPr>
        <w:t xml:space="preserve"> 402,3 milj. </w:t>
      </w:r>
      <w:proofErr w:type="spellStart"/>
      <w:r w:rsidR="007B7A0A" w:rsidRPr="007B7A0A">
        <w:rPr>
          <w:rFonts w:ascii="Times New Roman" w:hAnsi="Times New Roman" w:cs="Times New Roman"/>
          <w:i/>
          <w:sz w:val="24"/>
          <w:szCs w:val="24"/>
        </w:rPr>
        <w:t>euro</w:t>
      </w:r>
      <w:proofErr w:type="spellEnd"/>
      <w:r w:rsidRPr="00D14509">
        <w:rPr>
          <w:rFonts w:ascii="Times New Roman" w:hAnsi="Times New Roman" w:cs="Times New Roman"/>
          <w:sz w:val="24"/>
          <w:szCs w:val="24"/>
        </w:rPr>
        <w:t xml:space="preserve"> un vienlaikus, lai kompensētu </w:t>
      </w:r>
      <w:proofErr w:type="spellStart"/>
      <w:r w:rsidRPr="00D14509">
        <w:rPr>
          <w:rFonts w:ascii="Times New Roman" w:hAnsi="Times New Roman" w:cs="Times New Roman"/>
          <w:sz w:val="24"/>
          <w:szCs w:val="24"/>
        </w:rPr>
        <w:t>virssaistības</w:t>
      </w:r>
      <w:proofErr w:type="spellEnd"/>
      <w:r w:rsidRPr="00D14509">
        <w:rPr>
          <w:rFonts w:ascii="Times New Roman" w:hAnsi="Times New Roman" w:cs="Times New Roman"/>
          <w:sz w:val="24"/>
          <w:szCs w:val="24"/>
        </w:rPr>
        <w:t>, plānošanas perioda laikā ar atsevišķiem MK lēmumiem tika noteikti ierobežojumi ES fondu atbrīvotā finansējuma atkārtotai izmantošanai ES fondu investīc</w:t>
      </w:r>
      <w:r w:rsidR="00A43133">
        <w:rPr>
          <w:rFonts w:ascii="Times New Roman" w:hAnsi="Times New Roman" w:cs="Times New Roman"/>
          <w:sz w:val="24"/>
          <w:szCs w:val="24"/>
        </w:rPr>
        <w:t>ijām. Noslēdzot ES fondu 2007.–</w:t>
      </w:r>
      <w:r w:rsidRPr="00D14509">
        <w:rPr>
          <w:rFonts w:ascii="Times New Roman" w:hAnsi="Times New Roman" w:cs="Times New Roman"/>
          <w:sz w:val="24"/>
          <w:szCs w:val="24"/>
        </w:rPr>
        <w:t xml:space="preserve">2013.gada plānošanas periodu, </w:t>
      </w:r>
      <w:r>
        <w:rPr>
          <w:rFonts w:ascii="Times New Roman" w:hAnsi="Times New Roman" w:cs="Times New Roman"/>
          <w:sz w:val="24"/>
          <w:szCs w:val="24"/>
        </w:rPr>
        <w:t>Latvija deklarēja EK attiecināmo</w:t>
      </w:r>
      <w:r w:rsidRPr="00D14509">
        <w:rPr>
          <w:rFonts w:ascii="Times New Roman" w:hAnsi="Times New Roman" w:cs="Times New Roman"/>
          <w:sz w:val="24"/>
          <w:szCs w:val="24"/>
        </w:rPr>
        <w:t>s publiskos izdevumus virs minimāli nepieciešamā, lai saņem</w:t>
      </w:r>
      <w:r w:rsidR="00D21EFF">
        <w:rPr>
          <w:rFonts w:ascii="Times New Roman" w:hAnsi="Times New Roman" w:cs="Times New Roman"/>
          <w:sz w:val="24"/>
          <w:szCs w:val="24"/>
        </w:rPr>
        <w:t>tu 100% ES fondu piešķīrumu 4,5 </w:t>
      </w:r>
      <w:r w:rsidRPr="00D14509">
        <w:rPr>
          <w:rFonts w:ascii="Times New Roman" w:hAnsi="Times New Roman" w:cs="Times New Roman"/>
          <w:sz w:val="24"/>
          <w:szCs w:val="24"/>
        </w:rPr>
        <w:t>mljrd</w:t>
      </w:r>
      <w:r w:rsidR="00D21EFF">
        <w:rPr>
          <w:rFonts w:ascii="Times New Roman" w:hAnsi="Times New Roman" w:cs="Times New Roman"/>
          <w:sz w:val="24"/>
          <w:szCs w:val="24"/>
        </w:rPr>
        <w:t>. </w:t>
      </w:r>
      <w:proofErr w:type="spellStart"/>
      <w:r w:rsidR="007B7A0A" w:rsidRPr="007B7A0A">
        <w:rPr>
          <w:rFonts w:ascii="Times New Roman" w:hAnsi="Times New Roman" w:cs="Times New Roman"/>
          <w:i/>
          <w:sz w:val="24"/>
          <w:szCs w:val="24"/>
        </w:rPr>
        <w:t>euro</w:t>
      </w:r>
      <w:proofErr w:type="spellEnd"/>
      <w:r w:rsidRPr="00D14509">
        <w:rPr>
          <w:rFonts w:ascii="Times New Roman" w:hAnsi="Times New Roman" w:cs="Times New Roman"/>
          <w:i/>
          <w:sz w:val="24"/>
          <w:szCs w:val="24"/>
        </w:rPr>
        <w:t xml:space="preserve"> </w:t>
      </w:r>
      <w:r w:rsidRPr="00D14509">
        <w:rPr>
          <w:rFonts w:ascii="Times New Roman" w:hAnsi="Times New Roman" w:cs="Times New Roman"/>
          <w:sz w:val="24"/>
          <w:szCs w:val="24"/>
        </w:rPr>
        <w:t>(pārsniegums 333,5 milj. </w:t>
      </w:r>
      <w:proofErr w:type="spellStart"/>
      <w:r w:rsidR="007B7A0A" w:rsidRPr="007B7A0A">
        <w:rPr>
          <w:rFonts w:ascii="Times New Roman" w:hAnsi="Times New Roman" w:cs="Times New Roman"/>
          <w:i/>
          <w:sz w:val="24"/>
          <w:szCs w:val="24"/>
        </w:rPr>
        <w:t>euro</w:t>
      </w:r>
      <w:proofErr w:type="spellEnd"/>
      <w:r w:rsidRPr="00D14509">
        <w:rPr>
          <w:rFonts w:ascii="Times New Roman" w:hAnsi="Times New Roman" w:cs="Times New Roman"/>
          <w:i/>
          <w:sz w:val="24"/>
          <w:szCs w:val="24"/>
        </w:rPr>
        <w:t xml:space="preserve">, </w:t>
      </w:r>
      <w:r w:rsidRPr="00A43133">
        <w:rPr>
          <w:rFonts w:ascii="Times New Roman" w:hAnsi="Times New Roman" w:cs="Times New Roman"/>
          <w:sz w:val="24"/>
          <w:szCs w:val="24"/>
        </w:rPr>
        <w:t>par ko nav saņemams ES fondu līdzfinansējums no EK)</w:t>
      </w:r>
      <w:r w:rsidRPr="00D14509">
        <w:rPr>
          <w:rFonts w:ascii="Times New Roman" w:hAnsi="Times New Roman" w:cs="Times New Roman"/>
          <w:sz w:val="24"/>
          <w:szCs w:val="24"/>
        </w:rPr>
        <w:t xml:space="preserve">. Šis publisko deklarēto izdevumu pārsniegums veidojās gan dēļ pilnībā “nedzēstām” </w:t>
      </w:r>
      <w:proofErr w:type="spellStart"/>
      <w:r w:rsidRPr="00D14509">
        <w:rPr>
          <w:rFonts w:ascii="Times New Roman" w:hAnsi="Times New Roman" w:cs="Times New Roman"/>
          <w:sz w:val="24"/>
          <w:szCs w:val="24"/>
        </w:rPr>
        <w:t>virssaistībām</w:t>
      </w:r>
      <w:proofErr w:type="spellEnd"/>
      <w:r w:rsidRPr="00D14509">
        <w:rPr>
          <w:rFonts w:ascii="Times New Roman" w:hAnsi="Times New Roman" w:cs="Times New Roman"/>
          <w:sz w:val="24"/>
          <w:szCs w:val="24"/>
        </w:rPr>
        <w:t>, gan dēļ papildus finansējuma saņēmēju pašu lielāka līdzfi</w:t>
      </w:r>
      <w:r w:rsidR="00D21EFF">
        <w:rPr>
          <w:rFonts w:ascii="Times New Roman" w:hAnsi="Times New Roman" w:cs="Times New Roman"/>
          <w:sz w:val="24"/>
          <w:szCs w:val="24"/>
        </w:rPr>
        <w:t xml:space="preserve">nansējuma (īpaši pašvaldības). </w:t>
      </w:r>
      <w:r w:rsidRPr="00D14509">
        <w:rPr>
          <w:rFonts w:ascii="Times New Roman" w:hAnsi="Times New Roman" w:cs="Times New Roman"/>
          <w:sz w:val="24"/>
          <w:szCs w:val="24"/>
        </w:rPr>
        <w:t xml:space="preserve">Tādējādi secināms, ka publisko līdzekļu pārsniegums, par ko valsts budžeta ieņēmumos nav saņemams ES fondu līdzfinansējums, ierobežo budžeta fiskālo telpu citiem prioritāriem mērķiem. </w:t>
      </w:r>
    </w:p>
    <w:p w14:paraId="729C4FFD" w14:textId="5E58347B" w:rsidR="00C90B7D" w:rsidRPr="008B544C" w:rsidRDefault="00A43133" w:rsidP="00915BDC">
      <w:pPr>
        <w:pStyle w:val="ListParagraph"/>
        <w:numPr>
          <w:ilvl w:val="0"/>
          <w:numId w:val="1"/>
        </w:numPr>
        <w:spacing w:line="276" w:lineRule="auto"/>
        <w:ind w:left="567" w:hanging="567"/>
        <w:jc w:val="both"/>
        <w:rPr>
          <w:rStyle w:val="spelle"/>
          <w:rFonts w:ascii="Times New Roman" w:hAnsi="Times New Roman" w:cs="Times New Roman"/>
          <w:sz w:val="24"/>
          <w:szCs w:val="24"/>
        </w:rPr>
      </w:pPr>
      <w:r w:rsidRPr="009B4FA7">
        <w:rPr>
          <w:rStyle w:val="CommentReference"/>
          <w:rFonts w:ascii="Times New Roman" w:hAnsi="Times New Roman" w:cs="Times New Roman"/>
          <w:sz w:val="24"/>
          <w:szCs w:val="24"/>
        </w:rPr>
        <w:t>Atbilstoši</w:t>
      </w:r>
      <w:r w:rsidR="00B25876" w:rsidRPr="009B4FA7">
        <w:rPr>
          <w:rStyle w:val="CommentReference"/>
          <w:rFonts w:ascii="Times New Roman" w:hAnsi="Times New Roman" w:cs="Times New Roman"/>
          <w:sz w:val="24"/>
          <w:szCs w:val="24"/>
        </w:rPr>
        <w:t xml:space="preserve"> </w:t>
      </w:r>
      <w:r w:rsidR="00741329" w:rsidRPr="009B4FA7">
        <w:rPr>
          <w:rStyle w:val="CommentReference"/>
          <w:rFonts w:ascii="Times New Roman" w:hAnsi="Times New Roman" w:cs="Times New Roman"/>
          <w:sz w:val="24"/>
          <w:szCs w:val="24"/>
        </w:rPr>
        <w:t>prognozēm</w:t>
      </w:r>
      <w:r w:rsidR="0086381F" w:rsidRPr="009B4FA7">
        <w:rPr>
          <w:rStyle w:val="CommentReference"/>
          <w:rFonts w:ascii="Times New Roman" w:hAnsi="Times New Roman" w:cs="Times New Roman"/>
          <w:sz w:val="24"/>
          <w:szCs w:val="24"/>
        </w:rPr>
        <w:t xml:space="preserve">, </w:t>
      </w:r>
      <w:r w:rsidR="008B544C" w:rsidRPr="009B4FA7">
        <w:rPr>
          <w:rStyle w:val="spelle"/>
          <w:rFonts w:ascii="Times New Roman" w:hAnsi="Times New Roman" w:cs="Times New Roman"/>
          <w:sz w:val="24"/>
          <w:szCs w:val="24"/>
        </w:rPr>
        <w:t>FM analizējusi iespējas noteikt</w:t>
      </w:r>
      <w:r w:rsidR="008B544C" w:rsidRPr="009B4FA7">
        <w:rPr>
          <w:rFonts w:ascii="Times New Roman" w:hAnsi="Times New Roman" w:cs="Times New Roman"/>
          <w:sz w:val="24"/>
          <w:szCs w:val="24"/>
        </w:rPr>
        <w:t>, ka</w:t>
      </w:r>
      <w:r w:rsidR="00C90B7D" w:rsidRPr="009B4FA7">
        <w:rPr>
          <w:rFonts w:ascii="Times New Roman" w:hAnsi="Times New Roman" w:cs="Times New Roman"/>
          <w:sz w:val="24"/>
          <w:szCs w:val="24"/>
        </w:rPr>
        <w:t xml:space="preserve"> </w:t>
      </w:r>
      <w:r w:rsidR="008B544C" w:rsidRPr="009B4FA7">
        <w:rPr>
          <w:rStyle w:val="spelle"/>
          <w:rFonts w:ascii="Times New Roman" w:hAnsi="Times New Roman" w:cs="Times New Roman"/>
          <w:sz w:val="24"/>
          <w:szCs w:val="24"/>
        </w:rPr>
        <w:t>atbrīvotais ES fondu finansējums (ja kādā projektā ir konstatētas neatbilstības, tiek lauzts līgums, rodas ietaupījums vai projektu iesniegumu atlases kārtas noslēgumā izveidojas atlikums) nevar</w:t>
      </w:r>
      <w:r w:rsidR="008B544C" w:rsidRPr="008B544C">
        <w:rPr>
          <w:rStyle w:val="spelle"/>
          <w:rFonts w:ascii="Times New Roman" w:hAnsi="Times New Roman" w:cs="Times New Roman"/>
          <w:sz w:val="24"/>
          <w:szCs w:val="24"/>
        </w:rPr>
        <w:t xml:space="preserve"> tikt novirzīts citu ES fonda projektu īst</w:t>
      </w:r>
      <w:r w:rsidR="003B2CCE">
        <w:rPr>
          <w:rStyle w:val="spelle"/>
          <w:rFonts w:ascii="Times New Roman" w:hAnsi="Times New Roman" w:cs="Times New Roman"/>
          <w:sz w:val="24"/>
          <w:szCs w:val="24"/>
        </w:rPr>
        <w:t xml:space="preserve">enošanai – tādā veidā </w:t>
      </w:r>
      <w:r w:rsidR="002B0D6D">
        <w:rPr>
          <w:rStyle w:val="spelle"/>
          <w:rFonts w:ascii="Times New Roman" w:hAnsi="Times New Roman" w:cs="Times New Roman"/>
          <w:sz w:val="24"/>
          <w:szCs w:val="24"/>
        </w:rPr>
        <w:t xml:space="preserve">atbrīvojot finansējumu </w:t>
      </w:r>
      <w:proofErr w:type="spellStart"/>
      <w:r w:rsidR="002B0D6D">
        <w:rPr>
          <w:rStyle w:val="spelle"/>
          <w:rFonts w:ascii="Times New Roman" w:hAnsi="Times New Roman" w:cs="Times New Roman"/>
          <w:sz w:val="24"/>
          <w:szCs w:val="24"/>
        </w:rPr>
        <w:t>virssaistību</w:t>
      </w:r>
      <w:proofErr w:type="spellEnd"/>
      <w:r w:rsidR="002B0D6D">
        <w:rPr>
          <w:rStyle w:val="spelle"/>
          <w:rFonts w:ascii="Times New Roman" w:hAnsi="Times New Roman" w:cs="Times New Roman"/>
          <w:sz w:val="24"/>
          <w:szCs w:val="24"/>
        </w:rPr>
        <w:t xml:space="preserve"> kompensēšanai un </w:t>
      </w:r>
      <w:r w:rsidR="003B2CCE">
        <w:rPr>
          <w:rStyle w:val="spelle"/>
          <w:rFonts w:ascii="Times New Roman" w:hAnsi="Times New Roman" w:cs="Times New Roman"/>
          <w:sz w:val="24"/>
          <w:szCs w:val="24"/>
        </w:rPr>
        <w:t>novēršot potenciālu</w:t>
      </w:r>
      <w:r w:rsidR="00B25876">
        <w:rPr>
          <w:rStyle w:val="spelle"/>
          <w:rFonts w:ascii="Times New Roman" w:hAnsi="Times New Roman" w:cs="Times New Roman"/>
          <w:sz w:val="24"/>
          <w:szCs w:val="24"/>
        </w:rPr>
        <w:t xml:space="preserve"> negatīvu ietekmi</w:t>
      </w:r>
      <w:r w:rsidR="003B2CCE">
        <w:rPr>
          <w:rStyle w:val="spelle"/>
          <w:rFonts w:ascii="Times New Roman" w:hAnsi="Times New Roman" w:cs="Times New Roman"/>
          <w:sz w:val="24"/>
          <w:szCs w:val="24"/>
        </w:rPr>
        <w:t xml:space="preserve"> uz valsts budžetu ar pārmērīgām papildu publiskajām saistībām</w:t>
      </w:r>
      <w:r w:rsidR="00B25876">
        <w:rPr>
          <w:rStyle w:val="spelle"/>
          <w:rFonts w:ascii="Times New Roman" w:hAnsi="Times New Roman" w:cs="Times New Roman"/>
          <w:sz w:val="24"/>
          <w:szCs w:val="24"/>
        </w:rPr>
        <w:t>.</w:t>
      </w:r>
    </w:p>
    <w:p w14:paraId="35248E4A" w14:textId="330419B2" w:rsidR="00347CAD" w:rsidRPr="003F4498" w:rsidRDefault="00AA0994" w:rsidP="00915BDC">
      <w:pPr>
        <w:pStyle w:val="ListParagraph"/>
        <w:numPr>
          <w:ilvl w:val="0"/>
          <w:numId w:val="1"/>
        </w:numPr>
        <w:spacing w:line="276" w:lineRule="auto"/>
        <w:ind w:left="567" w:hanging="567"/>
        <w:jc w:val="both"/>
        <w:rPr>
          <w:rStyle w:val="spelle"/>
          <w:rFonts w:ascii="Times New Roman" w:hAnsi="Times New Roman" w:cs="Times New Roman"/>
          <w:i/>
          <w:sz w:val="24"/>
          <w:szCs w:val="24"/>
        </w:rPr>
      </w:pPr>
      <w:r w:rsidRPr="0043753E">
        <w:rPr>
          <w:rStyle w:val="spelle"/>
          <w:rFonts w:ascii="Times New Roman" w:hAnsi="Times New Roman" w:cs="Times New Roman"/>
          <w:sz w:val="24"/>
          <w:szCs w:val="24"/>
        </w:rPr>
        <w:t xml:space="preserve">Ņemot vērā FM veikto </w:t>
      </w:r>
      <w:proofErr w:type="spellStart"/>
      <w:r w:rsidRPr="0043753E">
        <w:rPr>
          <w:rStyle w:val="spelle"/>
          <w:rFonts w:ascii="Times New Roman" w:hAnsi="Times New Roman" w:cs="Times New Roman"/>
          <w:sz w:val="24"/>
          <w:szCs w:val="24"/>
        </w:rPr>
        <w:t>izvērtējumu</w:t>
      </w:r>
      <w:proofErr w:type="spellEnd"/>
      <w:r w:rsidRPr="0043753E">
        <w:rPr>
          <w:rStyle w:val="spelle"/>
          <w:rFonts w:ascii="Times New Roman" w:hAnsi="Times New Roman" w:cs="Times New Roman"/>
          <w:sz w:val="24"/>
          <w:szCs w:val="24"/>
        </w:rPr>
        <w:t xml:space="preserve">, t.sk. provizorisko neatbilstību un lauzto līgumu apmēru, </w:t>
      </w:r>
      <w:r w:rsidR="008B544C" w:rsidRPr="0043753E">
        <w:rPr>
          <w:rStyle w:val="spelle"/>
          <w:rFonts w:ascii="Times New Roman" w:hAnsi="Times New Roman" w:cs="Times New Roman"/>
          <w:sz w:val="24"/>
          <w:szCs w:val="24"/>
        </w:rPr>
        <w:t xml:space="preserve">šāds </w:t>
      </w:r>
      <w:r w:rsidRPr="0043753E">
        <w:rPr>
          <w:rStyle w:val="spelle"/>
          <w:rFonts w:ascii="Times New Roman" w:hAnsi="Times New Roman" w:cs="Times New Roman"/>
          <w:sz w:val="24"/>
          <w:szCs w:val="24"/>
        </w:rPr>
        <w:t xml:space="preserve">liegums atkārtoti izmantot </w:t>
      </w:r>
      <w:r w:rsidR="000174B4" w:rsidRPr="0043753E">
        <w:rPr>
          <w:rStyle w:val="spelle"/>
          <w:rFonts w:ascii="Times New Roman" w:hAnsi="Times New Roman" w:cs="Times New Roman"/>
          <w:sz w:val="24"/>
          <w:szCs w:val="24"/>
        </w:rPr>
        <w:t xml:space="preserve">atbrīvojušos finansējumu </w:t>
      </w:r>
      <w:r w:rsidR="00D80124">
        <w:rPr>
          <w:rStyle w:val="spelle"/>
          <w:rFonts w:ascii="Times New Roman" w:hAnsi="Times New Roman" w:cs="Times New Roman"/>
          <w:sz w:val="24"/>
          <w:szCs w:val="24"/>
        </w:rPr>
        <w:t xml:space="preserve">kopumā </w:t>
      </w:r>
      <w:r w:rsidR="000174B4" w:rsidRPr="0043753E">
        <w:rPr>
          <w:rStyle w:val="spelle"/>
          <w:rFonts w:ascii="Times New Roman" w:hAnsi="Times New Roman" w:cs="Times New Roman"/>
          <w:sz w:val="24"/>
          <w:szCs w:val="24"/>
        </w:rPr>
        <w:t>neradītu</w:t>
      </w:r>
      <w:r w:rsidRPr="0043753E">
        <w:rPr>
          <w:rStyle w:val="spelle"/>
          <w:rFonts w:ascii="Times New Roman" w:hAnsi="Times New Roman" w:cs="Times New Roman"/>
          <w:sz w:val="24"/>
          <w:szCs w:val="24"/>
        </w:rPr>
        <w:t xml:space="preserve"> risku z</w:t>
      </w:r>
      <w:r w:rsidR="00F708C6" w:rsidRPr="0043753E">
        <w:rPr>
          <w:rStyle w:val="spelle"/>
          <w:rFonts w:ascii="Times New Roman" w:hAnsi="Times New Roman" w:cs="Times New Roman"/>
          <w:sz w:val="24"/>
          <w:szCs w:val="24"/>
        </w:rPr>
        <w:t>audēt daļu ES fondu piešķīruma (skatīt ilustrāciju Nr.</w:t>
      </w:r>
      <w:r w:rsidRPr="0043753E">
        <w:rPr>
          <w:rStyle w:val="spelle"/>
          <w:rFonts w:ascii="Times New Roman" w:hAnsi="Times New Roman" w:cs="Times New Roman"/>
          <w:sz w:val="24"/>
          <w:szCs w:val="24"/>
        </w:rPr>
        <w:t>1</w:t>
      </w:r>
      <w:r w:rsidR="00F708C6" w:rsidRPr="0043753E">
        <w:rPr>
          <w:rStyle w:val="spelle"/>
          <w:rFonts w:ascii="Times New Roman" w:hAnsi="Times New Roman" w:cs="Times New Roman"/>
          <w:sz w:val="24"/>
          <w:szCs w:val="24"/>
        </w:rPr>
        <w:t>). Šāds s</w:t>
      </w:r>
      <w:r w:rsidRPr="0043753E">
        <w:rPr>
          <w:rStyle w:val="spelle"/>
          <w:rFonts w:ascii="Times New Roman" w:hAnsi="Times New Roman" w:cs="Times New Roman"/>
          <w:sz w:val="24"/>
          <w:szCs w:val="24"/>
        </w:rPr>
        <w:t xml:space="preserve">ecinājums izdarīts, pieņemot, ka līdzīgi </w:t>
      </w:r>
      <w:r w:rsidR="00F708C6" w:rsidRPr="0043753E">
        <w:rPr>
          <w:rStyle w:val="spelle"/>
          <w:rFonts w:ascii="Times New Roman" w:hAnsi="Times New Roman" w:cs="Times New Roman"/>
          <w:sz w:val="24"/>
          <w:szCs w:val="24"/>
        </w:rPr>
        <w:t xml:space="preserve">ES fondu </w:t>
      </w:r>
      <w:r w:rsidRPr="0043753E">
        <w:rPr>
          <w:rStyle w:val="spelle"/>
          <w:rFonts w:ascii="Times New Roman" w:hAnsi="Times New Roman" w:cs="Times New Roman"/>
          <w:sz w:val="24"/>
          <w:szCs w:val="24"/>
        </w:rPr>
        <w:t>2007.</w:t>
      </w:r>
      <w:r w:rsidR="00F708C6" w:rsidRPr="0043753E">
        <w:rPr>
          <w:rStyle w:val="spelle"/>
          <w:rFonts w:ascii="Times New Roman" w:hAnsi="Times New Roman" w:cs="Times New Roman"/>
          <w:sz w:val="24"/>
          <w:szCs w:val="24"/>
        </w:rPr>
        <w:t>–</w:t>
      </w:r>
      <w:r w:rsidRPr="0043753E">
        <w:rPr>
          <w:rStyle w:val="spelle"/>
          <w:rFonts w:ascii="Times New Roman" w:hAnsi="Times New Roman" w:cs="Times New Roman"/>
          <w:sz w:val="24"/>
          <w:szCs w:val="24"/>
        </w:rPr>
        <w:t>2</w:t>
      </w:r>
      <w:r w:rsidR="00F708C6" w:rsidRPr="0043753E">
        <w:rPr>
          <w:rStyle w:val="spelle"/>
          <w:rFonts w:ascii="Times New Roman" w:hAnsi="Times New Roman" w:cs="Times New Roman"/>
          <w:sz w:val="24"/>
          <w:szCs w:val="24"/>
        </w:rPr>
        <w:t>013.</w:t>
      </w:r>
      <w:r w:rsidRPr="0043753E">
        <w:rPr>
          <w:rStyle w:val="spelle"/>
          <w:rFonts w:ascii="Times New Roman" w:hAnsi="Times New Roman" w:cs="Times New Roman"/>
          <w:sz w:val="24"/>
          <w:szCs w:val="24"/>
        </w:rPr>
        <w:t xml:space="preserve">gada plānošanas periodam arī </w:t>
      </w:r>
      <w:r w:rsidR="00F708C6" w:rsidRPr="0043753E">
        <w:rPr>
          <w:rStyle w:val="spelle"/>
          <w:rFonts w:ascii="Times New Roman" w:hAnsi="Times New Roman" w:cs="Times New Roman"/>
          <w:sz w:val="24"/>
          <w:szCs w:val="24"/>
        </w:rPr>
        <w:t xml:space="preserve">ES fondu </w:t>
      </w:r>
      <w:r w:rsidR="00F0566A">
        <w:rPr>
          <w:rStyle w:val="spelle"/>
          <w:rFonts w:ascii="Times New Roman" w:hAnsi="Times New Roman" w:cs="Times New Roman"/>
          <w:sz w:val="24"/>
          <w:szCs w:val="24"/>
        </w:rPr>
        <w:br/>
      </w:r>
      <w:r w:rsidRPr="0043753E">
        <w:rPr>
          <w:rStyle w:val="spelle"/>
          <w:rFonts w:ascii="Times New Roman" w:hAnsi="Times New Roman" w:cs="Times New Roman"/>
          <w:sz w:val="24"/>
          <w:szCs w:val="24"/>
        </w:rPr>
        <w:t>2014.</w:t>
      </w:r>
      <w:r w:rsidR="00F708C6" w:rsidRPr="0043753E">
        <w:rPr>
          <w:rStyle w:val="spelle"/>
          <w:rFonts w:ascii="Times New Roman" w:hAnsi="Times New Roman" w:cs="Times New Roman"/>
          <w:sz w:val="24"/>
          <w:szCs w:val="24"/>
        </w:rPr>
        <w:t>–</w:t>
      </w:r>
      <w:r w:rsidRPr="0043753E">
        <w:rPr>
          <w:rStyle w:val="spelle"/>
          <w:rFonts w:ascii="Times New Roman" w:hAnsi="Times New Roman" w:cs="Times New Roman"/>
          <w:sz w:val="24"/>
          <w:szCs w:val="24"/>
        </w:rPr>
        <w:t>2020.gada plānošanas perioda beigās būs pieļaujama izdevumu elastība starp prioritārajiem virzieniem un fondiem, t.i., prioritārais virziens ar EK pieprasāmo izdevumu rezervi varēs kompensēt izdevumu trūkumu citā prioritārajā virzienā, kurā sniegts atbalsts ar tāda paša fonda līdzfinansējumu</w:t>
      </w:r>
      <w:r w:rsidR="00DF759C" w:rsidRPr="0043753E">
        <w:rPr>
          <w:rStyle w:val="spelle"/>
          <w:rFonts w:ascii="Times New Roman" w:hAnsi="Times New Roman" w:cs="Times New Roman"/>
          <w:sz w:val="24"/>
          <w:szCs w:val="24"/>
        </w:rPr>
        <w:t>. Tomēr, l</w:t>
      </w:r>
      <w:r w:rsidRPr="0043753E">
        <w:rPr>
          <w:rStyle w:val="spelle"/>
          <w:rFonts w:ascii="Times New Roman" w:hAnsi="Times New Roman" w:cs="Times New Roman"/>
          <w:sz w:val="24"/>
          <w:szCs w:val="24"/>
        </w:rPr>
        <w:t xml:space="preserve">ai gan vairākas </w:t>
      </w:r>
      <w:r w:rsidR="00DF759C" w:rsidRPr="0043753E">
        <w:rPr>
          <w:rStyle w:val="spelle"/>
          <w:rFonts w:ascii="Times New Roman" w:hAnsi="Times New Roman" w:cs="Times New Roman"/>
          <w:sz w:val="24"/>
          <w:szCs w:val="24"/>
        </w:rPr>
        <w:t xml:space="preserve">Eiropas </w:t>
      </w:r>
      <w:r w:rsidR="00DF759C" w:rsidRPr="00851D33">
        <w:rPr>
          <w:rStyle w:val="spelle"/>
          <w:rFonts w:ascii="Times New Roman" w:hAnsi="Times New Roman" w:cs="Times New Roman"/>
          <w:sz w:val="24"/>
          <w:szCs w:val="24"/>
        </w:rPr>
        <w:lastRenderedPageBreak/>
        <w:t xml:space="preserve">Savienības </w:t>
      </w:r>
      <w:r w:rsidRPr="00851D33">
        <w:rPr>
          <w:rStyle w:val="spelle"/>
          <w:rFonts w:ascii="Times New Roman" w:hAnsi="Times New Roman" w:cs="Times New Roman"/>
          <w:sz w:val="24"/>
          <w:szCs w:val="24"/>
        </w:rPr>
        <w:t xml:space="preserve">dalībvalstis, </w:t>
      </w:r>
      <w:r w:rsidR="00DF759C" w:rsidRPr="00851D33">
        <w:rPr>
          <w:rStyle w:val="spelle"/>
          <w:rFonts w:ascii="Times New Roman" w:hAnsi="Times New Roman" w:cs="Times New Roman"/>
          <w:sz w:val="24"/>
          <w:szCs w:val="24"/>
        </w:rPr>
        <w:t>t.sk. Latvija</w:t>
      </w:r>
      <w:r w:rsidRPr="00851D33">
        <w:rPr>
          <w:rStyle w:val="spelle"/>
          <w:rFonts w:ascii="Times New Roman" w:hAnsi="Times New Roman" w:cs="Times New Roman"/>
          <w:sz w:val="24"/>
          <w:szCs w:val="24"/>
        </w:rPr>
        <w:t xml:space="preserve">, ir uzdevušas </w:t>
      </w:r>
      <w:r w:rsidR="00DF759C" w:rsidRPr="00851D33">
        <w:rPr>
          <w:rStyle w:val="spelle"/>
          <w:rFonts w:ascii="Times New Roman" w:hAnsi="Times New Roman" w:cs="Times New Roman"/>
          <w:sz w:val="24"/>
          <w:szCs w:val="24"/>
        </w:rPr>
        <w:t xml:space="preserve">EK </w:t>
      </w:r>
      <w:r w:rsidRPr="00851D33">
        <w:rPr>
          <w:rStyle w:val="spelle"/>
          <w:rFonts w:ascii="Times New Roman" w:hAnsi="Times New Roman" w:cs="Times New Roman"/>
          <w:sz w:val="24"/>
          <w:szCs w:val="24"/>
        </w:rPr>
        <w:t xml:space="preserve">jautājumu par šādu pieeju, līdz 2019.gada </w:t>
      </w:r>
      <w:r w:rsidR="0018093D" w:rsidRPr="00851D33">
        <w:rPr>
          <w:rStyle w:val="spelle"/>
          <w:rFonts w:ascii="Times New Roman" w:hAnsi="Times New Roman" w:cs="Times New Roman"/>
          <w:sz w:val="24"/>
          <w:szCs w:val="24"/>
        </w:rPr>
        <w:t>16</w:t>
      </w:r>
      <w:r w:rsidRPr="00851D33">
        <w:rPr>
          <w:rStyle w:val="spelle"/>
          <w:rFonts w:ascii="Times New Roman" w:hAnsi="Times New Roman" w:cs="Times New Roman"/>
          <w:sz w:val="24"/>
          <w:szCs w:val="24"/>
        </w:rPr>
        <w:t>.</w:t>
      </w:r>
      <w:r w:rsidR="0018093D" w:rsidRPr="00851D33">
        <w:rPr>
          <w:rStyle w:val="spelle"/>
          <w:rFonts w:ascii="Times New Roman" w:hAnsi="Times New Roman" w:cs="Times New Roman"/>
          <w:sz w:val="24"/>
          <w:szCs w:val="24"/>
        </w:rPr>
        <w:t>septembrim</w:t>
      </w:r>
      <w:r w:rsidR="0018093D" w:rsidRPr="0043753E">
        <w:rPr>
          <w:rStyle w:val="spelle"/>
          <w:rFonts w:ascii="Times New Roman" w:hAnsi="Times New Roman" w:cs="Times New Roman"/>
          <w:sz w:val="24"/>
          <w:szCs w:val="24"/>
        </w:rPr>
        <w:t xml:space="preserve"> </w:t>
      </w:r>
      <w:r w:rsidRPr="0043753E">
        <w:rPr>
          <w:rStyle w:val="spelle"/>
          <w:rFonts w:ascii="Times New Roman" w:hAnsi="Times New Roman" w:cs="Times New Roman"/>
          <w:sz w:val="24"/>
          <w:szCs w:val="24"/>
        </w:rPr>
        <w:t xml:space="preserve">EK nav apstiprinājusi izdevumu elastības piemērošanu </w:t>
      </w:r>
      <w:r w:rsidR="00DF759C" w:rsidRPr="0043753E">
        <w:rPr>
          <w:rStyle w:val="spelle"/>
          <w:rFonts w:ascii="Times New Roman" w:hAnsi="Times New Roman" w:cs="Times New Roman"/>
          <w:sz w:val="24"/>
          <w:szCs w:val="24"/>
        </w:rPr>
        <w:t xml:space="preserve">ES fondu </w:t>
      </w:r>
      <w:r w:rsidRPr="0043753E">
        <w:rPr>
          <w:rStyle w:val="spelle"/>
          <w:rFonts w:ascii="Times New Roman" w:hAnsi="Times New Roman" w:cs="Times New Roman"/>
          <w:sz w:val="24"/>
          <w:szCs w:val="24"/>
        </w:rPr>
        <w:t>201</w:t>
      </w:r>
      <w:r w:rsidRPr="003F4498">
        <w:rPr>
          <w:rStyle w:val="spelle"/>
          <w:rFonts w:ascii="Times New Roman" w:hAnsi="Times New Roman" w:cs="Times New Roman"/>
          <w:sz w:val="24"/>
          <w:szCs w:val="24"/>
        </w:rPr>
        <w:t>4.</w:t>
      </w:r>
      <w:r w:rsidR="00DF759C" w:rsidRPr="003F4498">
        <w:rPr>
          <w:rStyle w:val="spelle"/>
          <w:rFonts w:ascii="Times New Roman" w:hAnsi="Times New Roman" w:cs="Times New Roman"/>
          <w:sz w:val="24"/>
          <w:szCs w:val="24"/>
        </w:rPr>
        <w:t>–</w:t>
      </w:r>
      <w:r w:rsidRPr="003F4498">
        <w:rPr>
          <w:rStyle w:val="spelle"/>
          <w:rFonts w:ascii="Times New Roman" w:hAnsi="Times New Roman" w:cs="Times New Roman"/>
          <w:sz w:val="24"/>
          <w:szCs w:val="24"/>
        </w:rPr>
        <w:t>2</w:t>
      </w:r>
      <w:r w:rsidR="00DF759C" w:rsidRPr="003F4498">
        <w:rPr>
          <w:rStyle w:val="spelle"/>
          <w:rFonts w:ascii="Times New Roman" w:hAnsi="Times New Roman" w:cs="Times New Roman"/>
          <w:sz w:val="24"/>
          <w:szCs w:val="24"/>
        </w:rPr>
        <w:t>020.</w:t>
      </w:r>
      <w:r w:rsidRPr="003F4498">
        <w:rPr>
          <w:rStyle w:val="spelle"/>
          <w:rFonts w:ascii="Times New Roman" w:hAnsi="Times New Roman" w:cs="Times New Roman"/>
          <w:sz w:val="24"/>
          <w:szCs w:val="24"/>
        </w:rPr>
        <w:t xml:space="preserve">gada plānošanas periodā. </w:t>
      </w:r>
      <w:r w:rsidR="000174B4" w:rsidRPr="003F4498">
        <w:rPr>
          <w:rStyle w:val="spelle"/>
          <w:rFonts w:ascii="Times New Roman" w:hAnsi="Times New Roman" w:cs="Times New Roman"/>
          <w:sz w:val="24"/>
          <w:szCs w:val="24"/>
        </w:rPr>
        <w:t>Tas nozīmē iespējamu risku, ka</w:t>
      </w:r>
      <w:r w:rsidRPr="003F4498">
        <w:rPr>
          <w:rStyle w:val="spelle"/>
          <w:rFonts w:ascii="Times New Roman" w:hAnsi="Times New Roman" w:cs="Times New Roman"/>
          <w:sz w:val="24"/>
          <w:szCs w:val="24"/>
        </w:rPr>
        <w:t xml:space="preserve"> izdevumu elastības trūkuma gadījumā atsevišķos prioritārajos virzienos </w:t>
      </w:r>
      <w:r w:rsidR="00143D72" w:rsidRPr="003F4498">
        <w:rPr>
          <w:rStyle w:val="spelle"/>
          <w:rFonts w:ascii="Times New Roman" w:hAnsi="Times New Roman" w:cs="Times New Roman"/>
          <w:sz w:val="24"/>
          <w:szCs w:val="24"/>
        </w:rPr>
        <w:t xml:space="preserve">plānošanas </w:t>
      </w:r>
      <w:r w:rsidRPr="003F4498">
        <w:rPr>
          <w:rStyle w:val="spelle"/>
          <w:rFonts w:ascii="Times New Roman" w:hAnsi="Times New Roman" w:cs="Times New Roman"/>
          <w:sz w:val="24"/>
          <w:szCs w:val="24"/>
        </w:rPr>
        <w:t>perioda</w:t>
      </w:r>
      <w:r w:rsidR="00C26242" w:rsidRPr="003F4498">
        <w:rPr>
          <w:rStyle w:val="spelle"/>
          <w:rFonts w:ascii="Times New Roman" w:hAnsi="Times New Roman" w:cs="Times New Roman"/>
          <w:sz w:val="24"/>
          <w:szCs w:val="24"/>
        </w:rPr>
        <w:t xml:space="preserve"> beigās var pietrūkt attiecināmie izdevumi</w:t>
      </w:r>
      <w:r w:rsidRPr="003F4498">
        <w:rPr>
          <w:rStyle w:val="spelle"/>
          <w:rFonts w:ascii="Times New Roman" w:hAnsi="Times New Roman" w:cs="Times New Roman"/>
          <w:sz w:val="24"/>
          <w:szCs w:val="24"/>
        </w:rPr>
        <w:t xml:space="preserve"> ES fondu aploksnes 100% saņemšanai no EK – kopā iztrūkums varētu sasniegt 20,8 milj. </w:t>
      </w:r>
      <w:proofErr w:type="spellStart"/>
      <w:r w:rsidR="007B7A0A" w:rsidRPr="007B7A0A">
        <w:rPr>
          <w:rStyle w:val="spelle"/>
          <w:rFonts w:ascii="Times New Roman" w:hAnsi="Times New Roman" w:cs="Times New Roman"/>
          <w:i/>
          <w:sz w:val="24"/>
          <w:szCs w:val="24"/>
        </w:rPr>
        <w:t>euro</w:t>
      </w:r>
      <w:proofErr w:type="spellEnd"/>
      <w:r w:rsidR="0043753E" w:rsidRPr="003F4498">
        <w:rPr>
          <w:rStyle w:val="spelle"/>
          <w:rFonts w:ascii="Times New Roman" w:hAnsi="Times New Roman" w:cs="Times New Roman"/>
          <w:i/>
          <w:sz w:val="24"/>
          <w:szCs w:val="24"/>
        </w:rPr>
        <w:t xml:space="preserve"> – </w:t>
      </w:r>
      <w:r w:rsidR="0043753E" w:rsidRPr="003F4498">
        <w:rPr>
          <w:rStyle w:val="spelle"/>
          <w:rFonts w:ascii="Times New Roman" w:hAnsi="Times New Roman" w:cs="Times New Roman"/>
          <w:sz w:val="24"/>
          <w:szCs w:val="24"/>
        </w:rPr>
        <w:t xml:space="preserve">lielākie riski šobrīd prognozēti </w:t>
      </w:r>
      <w:r w:rsidR="0043753E" w:rsidRPr="00B45D62">
        <w:rPr>
          <w:rFonts w:ascii="Times New Roman" w:hAnsi="Times New Roman" w:cs="Times New Roman"/>
          <w:sz w:val="24"/>
          <w:szCs w:val="24"/>
        </w:rPr>
        <w:t>5.prioritārajā</w:t>
      </w:r>
      <w:r w:rsidR="0043753E" w:rsidRPr="00B45D62">
        <w:rPr>
          <w:rFonts w:ascii="Times New Roman" w:hAnsi="Times New Roman" w:cs="Times New Roman"/>
          <w:color w:val="000000"/>
          <w:sz w:val="24"/>
          <w:szCs w:val="24"/>
        </w:rPr>
        <w:t xml:space="preserve"> virzienā “</w:t>
      </w:r>
      <w:r w:rsidR="0043753E" w:rsidRPr="00B45D62">
        <w:rPr>
          <w:rFonts w:ascii="Times New Roman" w:hAnsi="Times New Roman" w:cs="Times New Roman"/>
          <w:sz w:val="24"/>
          <w:szCs w:val="24"/>
        </w:rPr>
        <w:t>Vides aizsardzība un resursu izmantošanas efektivitāte” (Kohēzijas fonds)</w:t>
      </w:r>
      <w:r w:rsidR="0043753E">
        <w:rPr>
          <w:rFonts w:ascii="Times New Roman" w:hAnsi="Times New Roman" w:cs="Times New Roman"/>
          <w:sz w:val="24"/>
          <w:szCs w:val="24"/>
        </w:rPr>
        <w:t xml:space="preserve">, </w:t>
      </w:r>
      <w:r w:rsidR="0043753E" w:rsidRPr="003F4498">
        <w:rPr>
          <w:rStyle w:val="spelle"/>
          <w:rFonts w:ascii="Times New Roman" w:hAnsi="Times New Roman" w:cs="Times New Roman"/>
          <w:sz w:val="24"/>
          <w:szCs w:val="24"/>
        </w:rPr>
        <w:t>2.prioritārajā virzienā</w:t>
      </w:r>
      <w:r w:rsidR="0043753E" w:rsidRPr="003F4498">
        <w:rPr>
          <w:rFonts w:ascii="Times New Roman" w:hAnsi="Times New Roman" w:cs="Times New Roman"/>
          <w:color w:val="000000"/>
          <w:sz w:val="24"/>
          <w:szCs w:val="24"/>
        </w:rPr>
        <w:t xml:space="preserve"> “</w:t>
      </w:r>
      <w:r w:rsidR="0043753E" w:rsidRPr="003F4498">
        <w:rPr>
          <w:rFonts w:ascii="Times New Roman" w:hAnsi="Times New Roman" w:cs="Times New Roman"/>
          <w:sz w:val="24"/>
          <w:szCs w:val="24"/>
        </w:rPr>
        <w:t>IKT pieejamība, e-pārvalde un pakalpojumi”</w:t>
      </w:r>
      <w:r w:rsidR="003F4498">
        <w:rPr>
          <w:rFonts w:ascii="Times New Roman" w:hAnsi="Times New Roman" w:cs="Times New Roman"/>
          <w:sz w:val="24"/>
          <w:szCs w:val="24"/>
        </w:rPr>
        <w:t xml:space="preserve"> </w:t>
      </w:r>
      <w:r w:rsidR="0043753E" w:rsidRPr="003F4498">
        <w:rPr>
          <w:rFonts w:ascii="Times New Roman" w:hAnsi="Times New Roman" w:cs="Times New Roman"/>
          <w:sz w:val="24"/>
          <w:szCs w:val="24"/>
        </w:rPr>
        <w:t>(ERAF) un 8.prioritārajā virzienā</w:t>
      </w:r>
      <w:r w:rsidR="0043753E" w:rsidRPr="003F4498">
        <w:rPr>
          <w:rFonts w:ascii="Times New Roman" w:hAnsi="Times New Roman" w:cs="Times New Roman"/>
          <w:color w:val="000000"/>
          <w:sz w:val="24"/>
          <w:szCs w:val="24"/>
        </w:rPr>
        <w:t xml:space="preserve"> “</w:t>
      </w:r>
      <w:r w:rsidR="0043753E" w:rsidRPr="003F4498">
        <w:rPr>
          <w:rFonts w:ascii="Times New Roman" w:hAnsi="Times New Roman" w:cs="Times New Roman"/>
          <w:sz w:val="24"/>
          <w:szCs w:val="24"/>
        </w:rPr>
        <w:t>Izglītība, prasmes un mūžizglītība”</w:t>
      </w:r>
      <w:r w:rsidR="0043753E" w:rsidRPr="003F4498">
        <w:rPr>
          <w:rStyle w:val="spelle"/>
          <w:rFonts w:ascii="Times New Roman" w:hAnsi="Times New Roman" w:cs="Times New Roman"/>
          <w:sz w:val="24"/>
          <w:szCs w:val="24"/>
        </w:rPr>
        <w:t xml:space="preserve"> </w:t>
      </w:r>
      <w:r w:rsidR="0043753E">
        <w:rPr>
          <w:rStyle w:val="spelle"/>
          <w:rFonts w:ascii="Times New Roman" w:hAnsi="Times New Roman" w:cs="Times New Roman"/>
          <w:sz w:val="24"/>
          <w:szCs w:val="24"/>
        </w:rPr>
        <w:t>(Eiropas Sociālais fonds</w:t>
      </w:r>
      <w:r w:rsidR="00B21954">
        <w:rPr>
          <w:rStyle w:val="spelle"/>
          <w:rFonts w:ascii="Times New Roman" w:hAnsi="Times New Roman" w:cs="Times New Roman"/>
          <w:sz w:val="24"/>
          <w:szCs w:val="24"/>
        </w:rPr>
        <w:t xml:space="preserve"> (turpmāk – ESF)</w:t>
      </w:r>
      <w:r w:rsidR="0043753E">
        <w:rPr>
          <w:rStyle w:val="spelle"/>
          <w:rFonts w:ascii="Times New Roman" w:hAnsi="Times New Roman" w:cs="Times New Roman"/>
          <w:sz w:val="24"/>
          <w:szCs w:val="24"/>
        </w:rPr>
        <w:t>)</w:t>
      </w:r>
      <w:r w:rsidRPr="003F4498">
        <w:rPr>
          <w:rStyle w:val="FootnoteReference"/>
          <w:rFonts w:ascii="Times New Roman" w:hAnsi="Times New Roman" w:cs="Times New Roman"/>
          <w:sz w:val="24"/>
          <w:szCs w:val="24"/>
        </w:rPr>
        <w:footnoteReference w:id="13"/>
      </w:r>
      <w:r w:rsidRPr="003F4498">
        <w:rPr>
          <w:rStyle w:val="spelle"/>
          <w:rFonts w:ascii="Times New Roman" w:hAnsi="Times New Roman" w:cs="Times New Roman"/>
          <w:sz w:val="24"/>
          <w:szCs w:val="24"/>
        </w:rPr>
        <w:t xml:space="preserve">. </w:t>
      </w:r>
    </w:p>
    <w:p w14:paraId="220F41A6" w14:textId="17D9F6CA" w:rsidR="00A41D31" w:rsidRDefault="00B25876" w:rsidP="00915BDC">
      <w:pPr>
        <w:pStyle w:val="ListParagraph"/>
        <w:numPr>
          <w:ilvl w:val="0"/>
          <w:numId w:val="1"/>
        </w:numPr>
        <w:spacing w:line="276" w:lineRule="auto"/>
        <w:ind w:left="567" w:hanging="567"/>
        <w:jc w:val="both"/>
        <w:rPr>
          <w:rFonts w:ascii="Times New Roman" w:hAnsi="Times New Roman" w:cs="Times New Roman"/>
          <w:sz w:val="24"/>
          <w:szCs w:val="24"/>
        </w:rPr>
      </w:pPr>
      <w:r>
        <w:rPr>
          <w:rStyle w:val="spelle"/>
          <w:rFonts w:ascii="Times New Roman" w:hAnsi="Times New Roman" w:cs="Times New Roman"/>
          <w:sz w:val="24"/>
          <w:szCs w:val="24"/>
        </w:rPr>
        <w:t xml:space="preserve">Vairākos </w:t>
      </w:r>
      <w:r w:rsidR="00C26242">
        <w:rPr>
          <w:rStyle w:val="spelle"/>
          <w:rFonts w:ascii="Times New Roman" w:hAnsi="Times New Roman" w:cs="Times New Roman"/>
          <w:sz w:val="24"/>
          <w:szCs w:val="24"/>
        </w:rPr>
        <w:t xml:space="preserve">gadījumos </w:t>
      </w:r>
      <w:r w:rsidR="00D80124">
        <w:rPr>
          <w:rStyle w:val="spelle"/>
          <w:rFonts w:ascii="Times New Roman" w:hAnsi="Times New Roman" w:cs="Times New Roman"/>
          <w:sz w:val="24"/>
          <w:szCs w:val="24"/>
        </w:rPr>
        <w:t xml:space="preserve">ir prognozēta ievērojama deklarējamo izdevumu rezerve, </w:t>
      </w:r>
      <w:r w:rsidR="00C44EED">
        <w:rPr>
          <w:rStyle w:val="spelle"/>
          <w:rFonts w:ascii="Times New Roman" w:hAnsi="Times New Roman" w:cs="Times New Roman"/>
          <w:sz w:val="24"/>
          <w:szCs w:val="24"/>
        </w:rPr>
        <w:t>jo</w:t>
      </w:r>
      <w:r w:rsidR="00D80124">
        <w:rPr>
          <w:rStyle w:val="spelle"/>
          <w:rFonts w:ascii="Times New Roman" w:hAnsi="Times New Roman" w:cs="Times New Roman"/>
          <w:sz w:val="24"/>
          <w:szCs w:val="24"/>
        </w:rPr>
        <w:t xml:space="preserve"> </w:t>
      </w:r>
      <w:r w:rsidR="006301E9">
        <w:rPr>
          <w:rStyle w:val="spelle"/>
          <w:rFonts w:ascii="Times New Roman" w:hAnsi="Times New Roman" w:cs="Times New Roman"/>
          <w:sz w:val="24"/>
          <w:szCs w:val="24"/>
        </w:rPr>
        <w:t>faktiskais</w:t>
      </w:r>
      <w:r w:rsidR="00617B47">
        <w:rPr>
          <w:rStyle w:val="spelle"/>
          <w:rFonts w:ascii="Times New Roman" w:hAnsi="Times New Roman" w:cs="Times New Roman"/>
          <w:sz w:val="24"/>
          <w:szCs w:val="24"/>
        </w:rPr>
        <w:t xml:space="preserve"> </w:t>
      </w:r>
      <w:r w:rsidR="00C35A09">
        <w:rPr>
          <w:rStyle w:val="spelle"/>
          <w:rFonts w:ascii="Times New Roman" w:hAnsi="Times New Roman" w:cs="Times New Roman"/>
          <w:sz w:val="24"/>
          <w:szCs w:val="24"/>
        </w:rPr>
        <w:t xml:space="preserve">publiskais </w:t>
      </w:r>
      <w:r w:rsidR="00347CAD">
        <w:rPr>
          <w:rStyle w:val="spelle"/>
          <w:rFonts w:ascii="Times New Roman" w:hAnsi="Times New Roman" w:cs="Times New Roman"/>
          <w:sz w:val="24"/>
          <w:szCs w:val="24"/>
        </w:rPr>
        <w:t xml:space="preserve">līdzfinansējums pārsniedz darbības programmā </w:t>
      </w:r>
      <w:r w:rsidR="00A71AB7">
        <w:rPr>
          <w:rStyle w:val="spelle"/>
          <w:rFonts w:ascii="Times New Roman" w:hAnsi="Times New Roman" w:cs="Times New Roman"/>
          <w:sz w:val="24"/>
          <w:szCs w:val="24"/>
        </w:rPr>
        <w:t xml:space="preserve">minimāli </w:t>
      </w:r>
      <w:r w:rsidR="00347CAD">
        <w:rPr>
          <w:rStyle w:val="spelle"/>
          <w:rFonts w:ascii="Times New Roman" w:hAnsi="Times New Roman" w:cs="Times New Roman"/>
          <w:sz w:val="24"/>
          <w:szCs w:val="24"/>
        </w:rPr>
        <w:t xml:space="preserve">noteikto </w:t>
      </w:r>
      <w:r w:rsidR="007C0879">
        <w:rPr>
          <w:rStyle w:val="spelle"/>
          <w:rFonts w:ascii="Times New Roman" w:hAnsi="Times New Roman" w:cs="Times New Roman"/>
          <w:sz w:val="24"/>
          <w:szCs w:val="24"/>
        </w:rPr>
        <w:t xml:space="preserve">publiskā </w:t>
      </w:r>
      <w:r w:rsidR="00347CAD">
        <w:rPr>
          <w:rStyle w:val="spelle"/>
          <w:rFonts w:ascii="Times New Roman" w:hAnsi="Times New Roman" w:cs="Times New Roman"/>
          <w:sz w:val="24"/>
          <w:szCs w:val="24"/>
        </w:rPr>
        <w:t>līdzfinansējum</w:t>
      </w:r>
      <w:r w:rsidR="006301E9">
        <w:rPr>
          <w:rStyle w:val="spelle"/>
          <w:rFonts w:ascii="Times New Roman" w:hAnsi="Times New Roman" w:cs="Times New Roman"/>
          <w:sz w:val="24"/>
          <w:szCs w:val="24"/>
        </w:rPr>
        <w:t>a likmi</w:t>
      </w:r>
      <w:r w:rsidR="00D80124">
        <w:rPr>
          <w:rStyle w:val="spelle"/>
          <w:rFonts w:ascii="Times New Roman" w:hAnsi="Times New Roman" w:cs="Times New Roman"/>
          <w:sz w:val="24"/>
          <w:szCs w:val="24"/>
        </w:rPr>
        <w:t>.</w:t>
      </w:r>
      <w:r w:rsidR="00143D72">
        <w:rPr>
          <w:rStyle w:val="spelle"/>
          <w:rFonts w:ascii="Times New Roman" w:hAnsi="Times New Roman" w:cs="Times New Roman"/>
          <w:sz w:val="24"/>
          <w:szCs w:val="24"/>
        </w:rPr>
        <w:t xml:space="preserve"> </w:t>
      </w:r>
      <w:r w:rsidR="003F4498" w:rsidRPr="00D80124">
        <w:rPr>
          <w:rStyle w:val="spelle"/>
          <w:rFonts w:ascii="Times New Roman" w:hAnsi="Times New Roman" w:cs="Times New Roman"/>
          <w:sz w:val="24"/>
          <w:szCs w:val="24"/>
        </w:rPr>
        <w:t xml:space="preserve">ES fondu </w:t>
      </w:r>
      <w:r w:rsidR="003F4498" w:rsidRPr="00D80124">
        <w:rPr>
          <w:rFonts w:ascii="Times New Roman" w:hAnsi="Times New Roman" w:cs="Times New Roman"/>
          <w:sz w:val="24"/>
          <w:szCs w:val="24"/>
        </w:rPr>
        <w:t>2007.–2013.gada plānošanas period</w:t>
      </w:r>
      <w:r w:rsidR="00C44EED">
        <w:rPr>
          <w:rFonts w:ascii="Times New Roman" w:hAnsi="Times New Roman" w:cs="Times New Roman"/>
          <w:sz w:val="24"/>
          <w:szCs w:val="24"/>
        </w:rPr>
        <w:t xml:space="preserve">a pieredze rāda, ka </w:t>
      </w:r>
      <w:r w:rsidR="003F4498" w:rsidRPr="00D80124">
        <w:rPr>
          <w:rFonts w:ascii="Times New Roman" w:hAnsi="Times New Roman" w:cs="Times New Roman"/>
          <w:sz w:val="24"/>
          <w:szCs w:val="24"/>
        </w:rPr>
        <w:t>vid</w:t>
      </w:r>
      <w:r w:rsidR="00D80124">
        <w:rPr>
          <w:rFonts w:ascii="Times New Roman" w:hAnsi="Times New Roman" w:cs="Times New Roman"/>
          <w:sz w:val="24"/>
          <w:szCs w:val="24"/>
        </w:rPr>
        <w:t>ējais neatbilstību/lauzto līgumu apjoms ir 5%</w:t>
      </w:r>
      <w:r>
        <w:rPr>
          <w:rFonts w:ascii="Times New Roman" w:hAnsi="Times New Roman" w:cs="Times New Roman"/>
          <w:sz w:val="24"/>
          <w:szCs w:val="24"/>
        </w:rPr>
        <w:t xml:space="preserve"> (</w:t>
      </w:r>
      <w:r w:rsidR="00E51978">
        <w:rPr>
          <w:rFonts w:ascii="Times New Roman" w:hAnsi="Times New Roman" w:cs="Times New Roman"/>
          <w:sz w:val="24"/>
          <w:szCs w:val="24"/>
        </w:rPr>
        <w:t xml:space="preserve">prognozējamais vidējais </w:t>
      </w:r>
      <w:r w:rsidR="00E51978" w:rsidRPr="00E51978">
        <w:rPr>
          <w:rFonts w:ascii="Times New Roman" w:hAnsi="Times New Roman" w:cs="Times New Roman"/>
          <w:sz w:val="24"/>
          <w:szCs w:val="24"/>
        </w:rPr>
        <w:t>ES fondu 2014.–2020.gada plānošanas perioda</w:t>
      </w:r>
      <w:r w:rsidR="00E51978">
        <w:rPr>
          <w:rFonts w:ascii="Times New Roman" w:hAnsi="Times New Roman" w:cs="Times New Roman"/>
          <w:sz w:val="24"/>
          <w:szCs w:val="24"/>
        </w:rPr>
        <w:t xml:space="preserve"> neatbilstī</w:t>
      </w:r>
      <w:r>
        <w:rPr>
          <w:rFonts w:ascii="Times New Roman" w:hAnsi="Times New Roman" w:cs="Times New Roman"/>
          <w:sz w:val="24"/>
          <w:szCs w:val="24"/>
        </w:rPr>
        <w:t>bu/lauzto līgumu apjoms ir 4,1%)</w:t>
      </w:r>
      <w:r w:rsidR="00EA340C">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r w:rsidR="00D80124">
        <w:rPr>
          <w:rFonts w:ascii="Times New Roman" w:hAnsi="Times New Roman" w:cs="Times New Roman"/>
          <w:sz w:val="24"/>
          <w:szCs w:val="24"/>
        </w:rPr>
        <w:t xml:space="preserve"> </w:t>
      </w:r>
    </w:p>
    <w:p w14:paraId="07D8FF57" w14:textId="6EE16F40" w:rsidR="00725E6C" w:rsidRDefault="00C44EED" w:rsidP="00915BDC">
      <w:pPr>
        <w:pStyle w:val="ListParagraph"/>
        <w:numPr>
          <w:ilvl w:val="0"/>
          <w:numId w:val="1"/>
        </w:numPr>
        <w:spacing w:line="276" w:lineRule="auto"/>
        <w:ind w:left="567" w:hanging="567"/>
        <w:jc w:val="both"/>
        <w:rPr>
          <w:rStyle w:val="spelle"/>
          <w:rFonts w:ascii="Times New Roman" w:hAnsi="Times New Roman" w:cs="Times New Roman"/>
          <w:sz w:val="24"/>
          <w:szCs w:val="24"/>
        </w:rPr>
      </w:pPr>
      <w:r>
        <w:rPr>
          <w:rStyle w:val="spelle"/>
          <w:rFonts w:ascii="Times New Roman" w:hAnsi="Times New Roman" w:cs="Times New Roman"/>
          <w:b/>
          <w:sz w:val="24"/>
          <w:szCs w:val="24"/>
        </w:rPr>
        <w:t xml:space="preserve">Ņemot vērā minēto, </w:t>
      </w:r>
      <w:proofErr w:type="spellStart"/>
      <w:r w:rsidR="002B0D6D">
        <w:rPr>
          <w:rStyle w:val="spelle"/>
          <w:rFonts w:ascii="Times New Roman" w:hAnsi="Times New Roman" w:cs="Times New Roman"/>
          <w:b/>
          <w:sz w:val="24"/>
          <w:szCs w:val="24"/>
        </w:rPr>
        <w:t>virssaistību</w:t>
      </w:r>
      <w:proofErr w:type="spellEnd"/>
      <w:r w:rsidR="002B0D6D">
        <w:rPr>
          <w:rStyle w:val="spelle"/>
          <w:rFonts w:ascii="Times New Roman" w:hAnsi="Times New Roman" w:cs="Times New Roman"/>
          <w:b/>
          <w:sz w:val="24"/>
          <w:szCs w:val="24"/>
        </w:rPr>
        <w:t xml:space="preserve"> kompensēšanai</w:t>
      </w:r>
      <w:r w:rsidR="002B0D6D" w:rsidRPr="00D80124">
        <w:rPr>
          <w:rStyle w:val="spelle"/>
          <w:rFonts w:ascii="Times New Roman" w:hAnsi="Times New Roman" w:cs="Times New Roman"/>
          <w:b/>
          <w:sz w:val="24"/>
          <w:szCs w:val="24"/>
        </w:rPr>
        <w:t xml:space="preserve"> </w:t>
      </w:r>
      <w:r w:rsidR="00EA340C">
        <w:rPr>
          <w:rStyle w:val="spelle"/>
          <w:rFonts w:ascii="Times New Roman" w:hAnsi="Times New Roman" w:cs="Times New Roman"/>
          <w:b/>
          <w:sz w:val="24"/>
          <w:szCs w:val="24"/>
        </w:rPr>
        <w:t xml:space="preserve">piemērojot </w:t>
      </w:r>
      <w:r>
        <w:rPr>
          <w:rStyle w:val="spelle"/>
          <w:rFonts w:ascii="Times New Roman" w:hAnsi="Times New Roman" w:cs="Times New Roman"/>
          <w:b/>
          <w:sz w:val="24"/>
          <w:szCs w:val="24"/>
        </w:rPr>
        <w:t>l</w:t>
      </w:r>
      <w:r w:rsidR="003B2CCE">
        <w:rPr>
          <w:rStyle w:val="spelle"/>
          <w:rFonts w:ascii="Times New Roman" w:hAnsi="Times New Roman" w:cs="Times New Roman"/>
          <w:b/>
          <w:sz w:val="24"/>
          <w:szCs w:val="24"/>
        </w:rPr>
        <w:t>iegum</w:t>
      </w:r>
      <w:r w:rsidR="00EA340C">
        <w:rPr>
          <w:rStyle w:val="spelle"/>
          <w:rFonts w:ascii="Times New Roman" w:hAnsi="Times New Roman" w:cs="Times New Roman"/>
          <w:b/>
          <w:sz w:val="24"/>
          <w:szCs w:val="24"/>
        </w:rPr>
        <w:t>u</w:t>
      </w:r>
      <w:r w:rsidR="002B0D6D">
        <w:rPr>
          <w:rStyle w:val="spelle"/>
          <w:rFonts w:ascii="Times New Roman" w:hAnsi="Times New Roman" w:cs="Times New Roman"/>
          <w:b/>
          <w:sz w:val="24"/>
          <w:szCs w:val="24"/>
        </w:rPr>
        <w:t>,</w:t>
      </w:r>
      <w:r w:rsidR="001363F9" w:rsidRPr="00D80124">
        <w:rPr>
          <w:rStyle w:val="spelle"/>
          <w:rFonts w:ascii="Times New Roman" w:hAnsi="Times New Roman" w:cs="Times New Roman"/>
          <w:b/>
          <w:sz w:val="24"/>
          <w:szCs w:val="24"/>
        </w:rPr>
        <w:t xml:space="preserve"> atkārtoti izmantot atbrīvojušos finansējumu</w:t>
      </w:r>
      <w:r w:rsidR="00851D33">
        <w:rPr>
          <w:rStyle w:val="spelle"/>
          <w:rFonts w:ascii="Times New Roman" w:hAnsi="Times New Roman" w:cs="Times New Roman"/>
          <w:b/>
          <w:sz w:val="24"/>
          <w:szCs w:val="24"/>
        </w:rPr>
        <w:t xml:space="preserve"> tikai</w:t>
      </w:r>
      <w:r w:rsidR="001363F9" w:rsidRPr="00D80124">
        <w:rPr>
          <w:rStyle w:val="spelle"/>
          <w:rFonts w:ascii="Times New Roman" w:hAnsi="Times New Roman" w:cs="Times New Roman"/>
          <w:b/>
          <w:sz w:val="24"/>
          <w:szCs w:val="24"/>
        </w:rPr>
        <w:t xml:space="preserve"> tajos</w:t>
      </w:r>
      <w:r w:rsidR="001363F9" w:rsidRPr="00D80124">
        <w:rPr>
          <w:rStyle w:val="spelle"/>
          <w:rFonts w:ascii="Times New Roman" w:hAnsi="Times New Roman" w:cs="Times New Roman"/>
          <w:sz w:val="24"/>
          <w:szCs w:val="24"/>
        </w:rPr>
        <w:t xml:space="preserve"> </w:t>
      </w:r>
      <w:r w:rsidR="001363F9" w:rsidRPr="00D80124">
        <w:rPr>
          <w:rStyle w:val="spelle"/>
          <w:rFonts w:ascii="Times New Roman" w:hAnsi="Times New Roman" w:cs="Times New Roman"/>
          <w:b/>
          <w:sz w:val="24"/>
          <w:szCs w:val="24"/>
        </w:rPr>
        <w:t xml:space="preserve">prioritārajos virzienos, kur </w:t>
      </w:r>
      <w:r w:rsidR="00D80124">
        <w:rPr>
          <w:rStyle w:val="spelle"/>
          <w:rFonts w:ascii="Times New Roman" w:hAnsi="Times New Roman" w:cs="Times New Roman"/>
          <w:b/>
          <w:sz w:val="24"/>
          <w:szCs w:val="24"/>
        </w:rPr>
        <w:t>šobrīd deklarējamo maksājumu rezerve</w:t>
      </w:r>
      <w:r w:rsidR="001363F9" w:rsidRPr="00D80124">
        <w:rPr>
          <w:rStyle w:val="spelle"/>
          <w:rFonts w:ascii="Times New Roman" w:hAnsi="Times New Roman" w:cs="Times New Roman"/>
          <w:b/>
          <w:sz w:val="24"/>
          <w:szCs w:val="24"/>
        </w:rPr>
        <w:t xml:space="preserve"> </w:t>
      </w:r>
      <w:r w:rsidR="00E51978">
        <w:rPr>
          <w:rStyle w:val="spelle"/>
          <w:rFonts w:ascii="Times New Roman" w:hAnsi="Times New Roman" w:cs="Times New Roman"/>
          <w:b/>
          <w:sz w:val="24"/>
          <w:szCs w:val="24"/>
        </w:rPr>
        <w:t>prognozēta</w:t>
      </w:r>
      <w:r w:rsidR="00E51978" w:rsidRPr="00D80124">
        <w:rPr>
          <w:rStyle w:val="spelle"/>
          <w:rFonts w:ascii="Times New Roman" w:hAnsi="Times New Roman" w:cs="Times New Roman"/>
          <w:b/>
          <w:sz w:val="24"/>
          <w:szCs w:val="24"/>
        </w:rPr>
        <w:t xml:space="preserve"> </w:t>
      </w:r>
      <w:r w:rsidR="00A64E1C">
        <w:rPr>
          <w:rStyle w:val="spelle"/>
          <w:rFonts w:ascii="Times New Roman" w:hAnsi="Times New Roman" w:cs="Times New Roman"/>
          <w:b/>
          <w:sz w:val="24"/>
          <w:szCs w:val="24"/>
        </w:rPr>
        <w:t>virs</w:t>
      </w:r>
      <w:r w:rsidR="001363F9" w:rsidRPr="00D80124">
        <w:rPr>
          <w:rStyle w:val="spelle"/>
          <w:rFonts w:ascii="Times New Roman" w:hAnsi="Times New Roman" w:cs="Times New Roman"/>
          <w:b/>
          <w:sz w:val="24"/>
          <w:szCs w:val="24"/>
        </w:rPr>
        <w:t xml:space="preserve"> 5%</w:t>
      </w:r>
      <w:r w:rsidR="001363F9" w:rsidRPr="00D80124">
        <w:rPr>
          <w:rStyle w:val="spelle"/>
          <w:rFonts w:ascii="Times New Roman" w:hAnsi="Times New Roman" w:cs="Times New Roman"/>
          <w:sz w:val="24"/>
          <w:szCs w:val="24"/>
        </w:rPr>
        <w:t xml:space="preserve">, </w:t>
      </w:r>
      <w:r w:rsidR="008B544C" w:rsidRPr="00D80124">
        <w:rPr>
          <w:rStyle w:val="spelle"/>
          <w:rFonts w:ascii="Times New Roman" w:hAnsi="Times New Roman" w:cs="Times New Roman"/>
          <w:sz w:val="24"/>
          <w:szCs w:val="24"/>
        </w:rPr>
        <w:t>potenciāli</w:t>
      </w:r>
      <w:r w:rsidR="00E51978">
        <w:rPr>
          <w:rStyle w:val="spelle"/>
          <w:rFonts w:ascii="Times New Roman" w:hAnsi="Times New Roman" w:cs="Times New Roman"/>
          <w:sz w:val="24"/>
          <w:szCs w:val="24"/>
        </w:rPr>
        <w:t xml:space="preserve"> </w:t>
      </w:r>
      <w:r w:rsidR="00EA340C">
        <w:rPr>
          <w:rStyle w:val="spelle"/>
          <w:rFonts w:ascii="Times New Roman" w:hAnsi="Times New Roman" w:cs="Times New Roman"/>
          <w:sz w:val="24"/>
          <w:szCs w:val="24"/>
        </w:rPr>
        <w:t xml:space="preserve">tiktu atsvērts </w:t>
      </w:r>
      <w:r w:rsidR="00B25876">
        <w:rPr>
          <w:rStyle w:val="spelle"/>
          <w:rFonts w:ascii="Times New Roman" w:hAnsi="Times New Roman" w:cs="Times New Roman"/>
          <w:sz w:val="24"/>
          <w:szCs w:val="24"/>
        </w:rPr>
        <w:t>risk</w:t>
      </w:r>
      <w:r w:rsidR="00EA340C">
        <w:rPr>
          <w:rStyle w:val="spelle"/>
          <w:rFonts w:ascii="Times New Roman" w:hAnsi="Times New Roman" w:cs="Times New Roman"/>
          <w:sz w:val="24"/>
          <w:szCs w:val="24"/>
        </w:rPr>
        <w:t>s</w:t>
      </w:r>
      <w:r w:rsidR="001363F9" w:rsidRPr="00D80124">
        <w:rPr>
          <w:rStyle w:val="spelle"/>
          <w:rFonts w:ascii="Times New Roman" w:hAnsi="Times New Roman" w:cs="Times New Roman"/>
          <w:sz w:val="24"/>
          <w:szCs w:val="24"/>
        </w:rPr>
        <w:t xml:space="preserve"> ES fondu finansējuma attiecināmo izdevumu iztrūkumam </w:t>
      </w:r>
      <w:r w:rsidR="00B25876">
        <w:rPr>
          <w:rStyle w:val="spelle"/>
          <w:rFonts w:ascii="Times New Roman" w:hAnsi="Times New Roman" w:cs="Times New Roman"/>
          <w:sz w:val="24"/>
          <w:szCs w:val="24"/>
        </w:rPr>
        <w:t xml:space="preserve">šajos prioritārajos virzienos </w:t>
      </w:r>
      <w:r w:rsidR="001363F9" w:rsidRPr="00D80124">
        <w:rPr>
          <w:rStyle w:val="spelle"/>
          <w:rFonts w:ascii="Times New Roman" w:hAnsi="Times New Roman" w:cs="Times New Roman"/>
          <w:sz w:val="24"/>
          <w:szCs w:val="24"/>
        </w:rPr>
        <w:t>perioda beigās.</w:t>
      </w:r>
    </w:p>
    <w:p w14:paraId="6761F7A4" w14:textId="5C7EC6D8" w:rsidR="00725E6C" w:rsidRPr="000E69AD" w:rsidRDefault="00725E6C" w:rsidP="00725E6C">
      <w:pPr>
        <w:pStyle w:val="ListParagraph"/>
        <w:numPr>
          <w:ilvl w:val="0"/>
          <w:numId w:val="1"/>
        </w:numPr>
        <w:spacing w:line="276" w:lineRule="auto"/>
        <w:ind w:left="567" w:hanging="567"/>
        <w:jc w:val="both"/>
        <w:rPr>
          <w:rStyle w:val="CommentReference"/>
          <w:rFonts w:ascii="Times New Roman" w:hAnsi="Times New Roman" w:cs="Times New Roman"/>
          <w:b/>
          <w:sz w:val="24"/>
          <w:szCs w:val="24"/>
        </w:rPr>
      </w:pPr>
      <w:r>
        <w:rPr>
          <w:rFonts w:ascii="Times New Roman" w:hAnsi="Times New Roman" w:cs="Times New Roman"/>
          <w:sz w:val="24"/>
          <w:szCs w:val="24"/>
        </w:rPr>
        <w:t xml:space="preserve">Ņemot vērā iepriekš minēto analīzi par </w:t>
      </w:r>
      <w:proofErr w:type="spellStart"/>
      <w:r>
        <w:rPr>
          <w:rFonts w:ascii="Times New Roman" w:hAnsi="Times New Roman" w:cs="Times New Roman"/>
          <w:sz w:val="24"/>
          <w:szCs w:val="24"/>
        </w:rPr>
        <w:t>virssaistību</w:t>
      </w:r>
      <w:proofErr w:type="spellEnd"/>
      <w:r>
        <w:rPr>
          <w:rFonts w:ascii="Times New Roman" w:hAnsi="Times New Roman" w:cs="Times New Roman"/>
          <w:sz w:val="24"/>
          <w:szCs w:val="24"/>
        </w:rPr>
        <w:t xml:space="preserve"> negatīvo ietekmi uz fiskālo telpu</w:t>
      </w:r>
      <w:r w:rsidR="00F86C7C">
        <w:rPr>
          <w:rFonts w:ascii="Times New Roman" w:hAnsi="Times New Roman" w:cs="Times New Roman"/>
          <w:sz w:val="24"/>
          <w:szCs w:val="24"/>
        </w:rPr>
        <w:t xml:space="preserve"> un vienlaikus prognozēto pietie</w:t>
      </w:r>
      <w:r>
        <w:rPr>
          <w:rFonts w:ascii="Times New Roman" w:hAnsi="Times New Roman" w:cs="Times New Roman"/>
          <w:sz w:val="24"/>
          <w:szCs w:val="24"/>
        </w:rPr>
        <w:t xml:space="preserve">kamo deklarējamo publisko izdevumu apmēru arī bez papildu </w:t>
      </w:r>
      <w:proofErr w:type="spellStart"/>
      <w:r>
        <w:rPr>
          <w:rFonts w:ascii="Times New Roman" w:hAnsi="Times New Roman" w:cs="Times New Roman"/>
          <w:sz w:val="24"/>
          <w:szCs w:val="24"/>
        </w:rPr>
        <w:t>virssaistībām</w:t>
      </w:r>
      <w:proofErr w:type="spellEnd"/>
      <w:r>
        <w:rPr>
          <w:rFonts w:ascii="Times New Roman" w:hAnsi="Times New Roman" w:cs="Times New Roman"/>
          <w:sz w:val="24"/>
          <w:szCs w:val="24"/>
        </w:rPr>
        <w:t xml:space="preserve">, </w:t>
      </w:r>
      <w:r w:rsidRPr="00D14509">
        <w:rPr>
          <w:rFonts w:ascii="Times New Roman" w:hAnsi="Times New Roman" w:cs="Times New Roman"/>
          <w:b/>
          <w:sz w:val="24"/>
          <w:szCs w:val="24"/>
        </w:rPr>
        <w:t xml:space="preserve">turpmāk </w:t>
      </w:r>
      <w:r w:rsidRPr="000E69AD">
        <w:rPr>
          <w:rFonts w:ascii="Times New Roman" w:hAnsi="Times New Roman" w:cs="Times New Roman"/>
          <w:b/>
          <w:sz w:val="24"/>
          <w:szCs w:val="24"/>
        </w:rPr>
        <w:t xml:space="preserve">nav </w:t>
      </w:r>
      <w:r w:rsidRPr="00D14509">
        <w:rPr>
          <w:rFonts w:ascii="Times New Roman" w:hAnsi="Times New Roman" w:cs="Times New Roman"/>
          <w:b/>
          <w:sz w:val="24"/>
          <w:szCs w:val="24"/>
        </w:rPr>
        <w:t xml:space="preserve">nepieciešamības un pamata lemt par papildu </w:t>
      </w:r>
      <w:proofErr w:type="spellStart"/>
      <w:r w:rsidRPr="00D14509">
        <w:rPr>
          <w:rFonts w:ascii="Times New Roman" w:hAnsi="Times New Roman" w:cs="Times New Roman"/>
          <w:b/>
          <w:sz w:val="24"/>
          <w:szCs w:val="24"/>
        </w:rPr>
        <w:t>virssaistību</w:t>
      </w:r>
      <w:proofErr w:type="spellEnd"/>
      <w:r w:rsidRPr="00D14509">
        <w:rPr>
          <w:rFonts w:ascii="Times New Roman" w:hAnsi="Times New Roman" w:cs="Times New Roman"/>
          <w:b/>
          <w:sz w:val="24"/>
          <w:szCs w:val="24"/>
        </w:rPr>
        <w:t xml:space="preserve"> uzņemšano</w:t>
      </w:r>
      <w:r>
        <w:rPr>
          <w:rFonts w:ascii="Times New Roman" w:hAnsi="Times New Roman" w:cs="Times New Roman"/>
          <w:b/>
          <w:sz w:val="24"/>
          <w:szCs w:val="24"/>
        </w:rPr>
        <w:t xml:space="preserve">s, bet jāveic pasākumi jau piešķirto </w:t>
      </w:r>
      <w:proofErr w:type="spellStart"/>
      <w:r>
        <w:rPr>
          <w:rFonts w:ascii="Times New Roman" w:hAnsi="Times New Roman" w:cs="Times New Roman"/>
          <w:b/>
          <w:sz w:val="24"/>
          <w:szCs w:val="24"/>
        </w:rPr>
        <w:t>virssaistību</w:t>
      </w:r>
      <w:proofErr w:type="spellEnd"/>
      <w:r>
        <w:rPr>
          <w:rFonts w:ascii="Times New Roman" w:hAnsi="Times New Roman" w:cs="Times New Roman"/>
          <w:b/>
          <w:sz w:val="24"/>
          <w:szCs w:val="24"/>
        </w:rPr>
        <w:t xml:space="preserve"> kompensēšanai līdz plānošanas perioda beigām.</w:t>
      </w:r>
    </w:p>
    <w:p w14:paraId="34662C8A" w14:textId="6E444A4E" w:rsidR="00725E6C" w:rsidRPr="00D14509" w:rsidRDefault="00725E6C" w:rsidP="00725E6C">
      <w:pPr>
        <w:pStyle w:val="ListParagraph"/>
        <w:numPr>
          <w:ilvl w:val="0"/>
          <w:numId w:val="1"/>
        </w:numPr>
        <w:spacing w:line="276" w:lineRule="auto"/>
        <w:ind w:left="567" w:hanging="567"/>
        <w:jc w:val="both"/>
        <w:rPr>
          <w:rFonts w:ascii="Times New Roman" w:hAnsi="Times New Roman" w:cs="Times New Roman"/>
          <w:b/>
          <w:sz w:val="24"/>
          <w:szCs w:val="24"/>
        </w:rPr>
      </w:pPr>
      <w:r>
        <w:rPr>
          <w:rFonts w:ascii="Times New Roman" w:hAnsi="Times New Roman" w:cs="Times New Roman"/>
          <w:sz w:val="24"/>
          <w:szCs w:val="24"/>
        </w:rPr>
        <w:t>Lai saskaņā ar likumu “P</w:t>
      </w:r>
      <w:r w:rsidRPr="0033214E">
        <w:rPr>
          <w:rFonts w:ascii="Times New Roman" w:hAnsi="Times New Roman" w:cs="Times New Roman"/>
          <w:sz w:val="24"/>
          <w:szCs w:val="24"/>
        </w:rPr>
        <w:t>ar vidējā termiņa budžeta ietvaru 2018., 2019. un 2020.gadam”</w:t>
      </w:r>
      <w:r>
        <w:rPr>
          <w:rFonts w:ascii="Times New Roman" w:hAnsi="Times New Roman" w:cs="Times New Roman"/>
          <w:sz w:val="24"/>
          <w:szCs w:val="24"/>
        </w:rPr>
        <w:t xml:space="preserve"> nodrošinātu </w:t>
      </w:r>
      <w:proofErr w:type="spellStart"/>
      <w:r w:rsidRPr="00FA4FEB">
        <w:rPr>
          <w:rFonts w:ascii="Times New Roman" w:hAnsi="Times New Roman" w:cs="Times New Roman"/>
          <w:sz w:val="24"/>
          <w:szCs w:val="24"/>
        </w:rPr>
        <w:t>virssaistību</w:t>
      </w:r>
      <w:proofErr w:type="spellEnd"/>
      <w:r w:rsidRPr="00FA4FEB">
        <w:rPr>
          <w:rFonts w:ascii="Times New Roman" w:hAnsi="Times New Roman" w:cs="Times New Roman"/>
          <w:sz w:val="24"/>
          <w:szCs w:val="24"/>
        </w:rPr>
        <w:t xml:space="preserve"> “dzēša</w:t>
      </w:r>
      <w:r>
        <w:rPr>
          <w:rFonts w:ascii="Times New Roman" w:hAnsi="Times New Roman" w:cs="Times New Roman"/>
          <w:sz w:val="24"/>
          <w:szCs w:val="24"/>
        </w:rPr>
        <w:t>nu</w:t>
      </w:r>
      <w:r w:rsidRPr="00FA4FEB">
        <w:rPr>
          <w:rFonts w:ascii="Times New Roman" w:hAnsi="Times New Roman" w:cs="Times New Roman"/>
          <w:sz w:val="24"/>
          <w:szCs w:val="24"/>
        </w:rPr>
        <w:t>”</w:t>
      </w:r>
      <w:r>
        <w:rPr>
          <w:rFonts w:ascii="Times New Roman" w:hAnsi="Times New Roman" w:cs="Times New Roman"/>
          <w:sz w:val="24"/>
          <w:szCs w:val="24"/>
        </w:rPr>
        <w:t xml:space="preserve"> ar ES fondu finansējuma pārdalēm pēc </w:t>
      </w:r>
      <w:proofErr w:type="spellStart"/>
      <w:r>
        <w:rPr>
          <w:rFonts w:ascii="Times New Roman" w:hAnsi="Times New Roman" w:cs="Times New Roman"/>
          <w:sz w:val="24"/>
          <w:szCs w:val="24"/>
        </w:rPr>
        <w:t>vidusposma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izvērtējuma</w:t>
      </w:r>
      <w:proofErr w:type="spellEnd"/>
      <w:r>
        <w:rPr>
          <w:rFonts w:ascii="Times New Roman" w:hAnsi="Times New Roman" w:cs="Times New Roman"/>
          <w:sz w:val="24"/>
          <w:szCs w:val="24"/>
        </w:rPr>
        <w:t xml:space="preserve">, atslogojot valsts budžeta telpu, </w:t>
      </w:r>
      <w:r w:rsidRPr="00D14509">
        <w:rPr>
          <w:rFonts w:ascii="Times New Roman" w:hAnsi="Times New Roman" w:cs="Times New Roman"/>
          <w:b/>
          <w:sz w:val="24"/>
          <w:szCs w:val="24"/>
        </w:rPr>
        <w:t xml:space="preserve">iespējami šādi risinājumu varianti </w:t>
      </w:r>
      <w:r w:rsidR="00F86C7C">
        <w:rPr>
          <w:rFonts w:ascii="Times New Roman" w:hAnsi="Times New Roman" w:cs="Times New Roman"/>
          <w:b/>
          <w:sz w:val="24"/>
          <w:szCs w:val="24"/>
        </w:rPr>
        <w:t>vai</w:t>
      </w:r>
      <w:r w:rsidRPr="00D14509">
        <w:rPr>
          <w:rFonts w:ascii="Times New Roman" w:hAnsi="Times New Roman" w:cs="Times New Roman"/>
          <w:b/>
          <w:sz w:val="24"/>
          <w:szCs w:val="24"/>
        </w:rPr>
        <w:t xml:space="preserve"> to kombinācijas:</w:t>
      </w:r>
    </w:p>
    <w:p w14:paraId="4EC77B6E" w14:textId="6F0D1F5D" w:rsidR="00725E6C" w:rsidRPr="00B124A3" w:rsidRDefault="009A0F9D" w:rsidP="00F86C7C">
      <w:pPr>
        <w:pStyle w:val="ListParagraph"/>
        <w:numPr>
          <w:ilvl w:val="0"/>
          <w:numId w:val="40"/>
        </w:numPr>
        <w:spacing w:line="276" w:lineRule="auto"/>
        <w:ind w:left="993"/>
        <w:jc w:val="both"/>
        <w:rPr>
          <w:rFonts w:ascii="Times New Roman" w:hAnsi="Times New Roman" w:cs="Times New Roman"/>
          <w:sz w:val="24"/>
          <w:szCs w:val="24"/>
        </w:rPr>
      </w:pPr>
      <w:proofErr w:type="spellStart"/>
      <w:r>
        <w:rPr>
          <w:rFonts w:ascii="Times New Roman" w:hAnsi="Times New Roman" w:cs="Times New Roman"/>
          <w:b/>
          <w:sz w:val="24"/>
          <w:szCs w:val="24"/>
        </w:rPr>
        <w:t>V</w:t>
      </w:r>
      <w:r w:rsidR="00725E6C" w:rsidRPr="00B124A3">
        <w:rPr>
          <w:rFonts w:ascii="Times New Roman" w:hAnsi="Times New Roman" w:cs="Times New Roman"/>
          <w:b/>
          <w:sz w:val="24"/>
          <w:szCs w:val="24"/>
        </w:rPr>
        <w:t>irssaistību</w:t>
      </w:r>
      <w:proofErr w:type="spellEnd"/>
      <w:r w:rsidR="00725E6C" w:rsidRPr="00B124A3">
        <w:rPr>
          <w:rFonts w:ascii="Times New Roman" w:hAnsi="Times New Roman" w:cs="Times New Roman"/>
          <w:b/>
          <w:sz w:val="24"/>
          <w:szCs w:val="24"/>
        </w:rPr>
        <w:t xml:space="preserve"> kompensēšanas pasākumi jānodrošina VARAM, IZM un KM</w:t>
      </w:r>
      <w:r w:rsidR="00725E6C" w:rsidRPr="00B124A3">
        <w:rPr>
          <w:rFonts w:ascii="Times New Roman" w:hAnsi="Times New Roman" w:cs="Times New Roman"/>
          <w:sz w:val="24"/>
          <w:szCs w:val="24"/>
        </w:rPr>
        <w:t xml:space="preserve"> pārziņā esošo SAM/pasākumu</w:t>
      </w:r>
      <w:r w:rsidR="00725E6C">
        <w:rPr>
          <w:rFonts w:ascii="Times New Roman" w:hAnsi="Times New Roman" w:cs="Times New Roman"/>
          <w:sz w:val="24"/>
          <w:szCs w:val="24"/>
        </w:rPr>
        <w:t>,</w:t>
      </w:r>
      <w:r w:rsidR="00725E6C" w:rsidRPr="00B124A3">
        <w:rPr>
          <w:rFonts w:ascii="Times New Roman" w:hAnsi="Times New Roman" w:cs="Times New Roman"/>
          <w:sz w:val="24"/>
          <w:szCs w:val="24"/>
        </w:rPr>
        <w:t xml:space="preserve"> </w:t>
      </w:r>
      <w:r w:rsidR="00725E6C">
        <w:rPr>
          <w:rFonts w:ascii="Times New Roman" w:hAnsi="Times New Roman" w:cs="Times New Roman"/>
          <w:sz w:val="24"/>
          <w:szCs w:val="24"/>
        </w:rPr>
        <w:t xml:space="preserve"> kuros </w:t>
      </w:r>
      <w:r w:rsidR="00725E6C" w:rsidRPr="00B124A3">
        <w:rPr>
          <w:rFonts w:ascii="Times New Roman" w:hAnsi="Times New Roman" w:cs="Times New Roman"/>
          <w:sz w:val="24"/>
          <w:szCs w:val="24"/>
        </w:rPr>
        <w:t>piešķirt</w:t>
      </w:r>
      <w:r w:rsidR="00725E6C">
        <w:rPr>
          <w:rFonts w:ascii="Times New Roman" w:hAnsi="Times New Roman" w:cs="Times New Roman"/>
          <w:sz w:val="24"/>
          <w:szCs w:val="24"/>
        </w:rPr>
        <w:t>a</w:t>
      </w:r>
      <w:r w:rsidR="00725E6C" w:rsidRPr="00B124A3">
        <w:rPr>
          <w:rFonts w:ascii="Times New Roman" w:hAnsi="Times New Roman" w:cs="Times New Roman"/>
          <w:sz w:val="24"/>
          <w:szCs w:val="24"/>
        </w:rPr>
        <w:t xml:space="preserve">s </w:t>
      </w:r>
      <w:proofErr w:type="spellStart"/>
      <w:r w:rsidR="00725E6C" w:rsidRPr="00B124A3">
        <w:rPr>
          <w:rFonts w:ascii="Times New Roman" w:hAnsi="Times New Roman" w:cs="Times New Roman"/>
          <w:sz w:val="24"/>
          <w:szCs w:val="24"/>
        </w:rPr>
        <w:t>virssaistības</w:t>
      </w:r>
      <w:proofErr w:type="spellEnd"/>
      <w:r w:rsidR="00725E6C">
        <w:rPr>
          <w:rFonts w:ascii="Times New Roman" w:hAnsi="Times New Roman" w:cs="Times New Roman"/>
          <w:sz w:val="24"/>
          <w:szCs w:val="24"/>
        </w:rPr>
        <w:t>, ietvaros, samazinot pieej</w:t>
      </w:r>
      <w:r w:rsidR="00F86C7C">
        <w:rPr>
          <w:rFonts w:ascii="Times New Roman" w:hAnsi="Times New Roman" w:cs="Times New Roman"/>
          <w:sz w:val="24"/>
          <w:szCs w:val="24"/>
        </w:rPr>
        <w:t>am</w:t>
      </w:r>
      <w:r w:rsidR="00725E6C">
        <w:rPr>
          <w:rFonts w:ascii="Times New Roman" w:hAnsi="Times New Roman" w:cs="Times New Roman"/>
          <w:sz w:val="24"/>
          <w:szCs w:val="24"/>
        </w:rPr>
        <w:t>o ES fondu finansējuma apjomu</w:t>
      </w:r>
      <w:r>
        <w:rPr>
          <w:rFonts w:ascii="Times New Roman" w:hAnsi="Times New Roman" w:cs="Times New Roman"/>
          <w:sz w:val="24"/>
          <w:szCs w:val="24"/>
        </w:rPr>
        <w:t>.</w:t>
      </w:r>
    </w:p>
    <w:p w14:paraId="55D707DF" w14:textId="1B1AC18B" w:rsidR="00725E6C" w:rsidRDefault="009A0F9D" w:rsidP="00F86C7C">
      <w:pPr>
        <w:pStyle w:val="ListParagraph"/>
        <w:numPr>
          <w:ilvl w:val="0"/>
          <w:numId w:val="40"/>
        </w:numPr>
        <w:spacing w:line="276" w:lineRule="auto"/>
        <w:ind w:left="993"/>
        <w:jc w:val="both"/>
        <w:rPr>
          <w:rFonts w:ascii="Times New Roman" w:hAnsi="Times New Roman" w:cs="Times New Roman"/>
          <w:sz w:val="24"/>
          <w:szCs w:val="24"/>
        </w:rPr>
      </w:pPr>
      <w:proofErr w:type="spellStart"/>
      <w:r>
        <w:rPr>
          <w:rFonts w:ascii="Times New Roman" w:hAnsi="Times New Roman" w:cs="Times New Roman"/>
          <w:sz w:val="24"/>
          <w:szCs w:val="24"/>
        </w:rPr>
        <w:t>V</w:t>
      </w:r>
      <w:r w:rsidR="00725E6C" w:rsidRPr="00B124A3">
        <w:rPr>
          <w:rFonts w:ascii="Times New Roman" w:hAnsi="Times New Roman" w:cs="Times New Roman"/>
          <w:sz w:val="24"/>
          <w:szCs w:val="24"/>
        </w:rPr>
        <w:t>irssaistību</w:t>
      </w:r>
      <w:proofErr w:type="spellEnd"/>
      <w:r w:rsidR="00725E6C" w:rsidRPr="00B124A3">
        <w:rPr>
          <w:rFonts w:ascii="Times New Roman" w:hAnsi="Times New Roman" w:cs="Times New Roman"/>
          <w:sz w:val="24"/>
          <w:szCs w:val="24"/>
        </w:rPr>
        <w:t xml:space="preserve"> kompensēšanas pasākumus </w:t>
      </w:r>
      <w:r w:rsidR="00725E6C">
        <w:rPr>
          <w:rFonts w:ascii="Times New Roman" w:hAnsi="Times New Roman" w:cs="Times New Roman"/>
          <w:sz w:val="24"/>
          <w:szCs w:val="24"/>
        </w:rPr>
        <w:t xml:space="preserve">solidāri </w:t>
      </w:r>
      <w:r w:rsidR="00725E6C" w:rsidRPr="00B124A3">
        <w:rPr>
          <w:rFonts w:ascii="Times New Roman" w:hAnsi="Times New Roman" w:cs="Times New Roman"/>
          <w:b/>
          <w:sz w:val="24"/>
          <w:szCs w:val="24"/>
        </w:rPr>
        <w:t>nodrošina visas atbildīgās iestādes</w:t>
      </w:r>
      <w:r w:rsidR="00725E6C">
        <w:rPr>
          <w:rFonts w:ascii="Times New Roman" w:hAnsi="Times New Roman" w:cs="Times New Roman"/>
          <w:b/>
          <w:sz w:val="24"/>
          <w:szCs w:val="24"/>
        </w:rPr>
        <w:t xml:space="preserve">, </w:t>
      </w:r>
      <w:r w:rsidR="00725E6C">
        <w:rPr>
          <w:rFonts w:ascii="Times New Roman" w:hAnsi="Times New Roman" w:cs="Times New Roman"/>
          <w:sz w:val="24"/>
          <w:szCs w:val="24"/>
        </w:rPr>
        <w:t>samazinot pieej</w:t>
      </w:r>
      <w:r w:rsidR="00F86C7C">
        <w:rPr>
          <w:rFonts w:ascii="Times New Roman" w:hAnsi="Times New Roman" w:cs="Times New Roman"/>
          <w:sz w:val="24"/>
          <w:szCs w:val="24"/>
        </w:rPr>
        <w:t>am</w:t>
      </w:r>
      <w:r w:rsidR="00725E6C">
        <w:rPr>
          <w:rFonts w:ascii="Times New Roman" w:hAnsi="Times New Roman" w:cs="Times New Roman"/>
          <w:sz w:val="24"/>
          <w:szCs w:val="24"/>
        </w:rPr>
        <w:t xml:space="preserve">o ES fondu </w:t>
      </w:r>
      <w:r w:rsidR="00F86C7C">
        <w:rPr>
          <w:rFonts w:ascii="Times New Roman" w:hAnsi="Times New Roman" w:cs="Times New Roman"/>
          <w:sz w:val="24"/>
          <w:szCs w:val="24"/>
        </w:rPr>
        <w:t xml:space="preserve">snieguma rezerves </w:t>
      </w:r>
      <w:r w:rsidR="00725E6C" w:rsidRPr="00A15B72">
        <w:rPr>
          <w:rFonts w:ascii="Times New Roman" w:hAnsi="Times New Roman" w:cs="Times New Roman"/>
          <w:sz w:val="24"/>
          <w:szCs w:val="24"/>
        </w:rPr>
        <w:t xml:space="preserve">finansējuma apjomu </w:t>
      </w:r>
      <w:r w:rsidR="00725E6C" w:rsidRPr="00E94E2B">
        <w:rPr>
          <w:rFonts w:ascii="Times New Roman" w:hAnsi="Times New Roman" w:cs="Times New Roman"/>
          <w:sz w:val="24"/>
          <w:szCs w:val="24"/>
        </w:rPr>
        <w:t>proporcionāli atbildīgās iestādes ES fondu piešķīrumam</w:t>
      </w:r>
      <w:r>
        <w:rPr>
          <w:rFonts w:ascii="Times New Roman" w:hAnsi="Times New Roman" w:cs="Times New Roman"/>
          <w:sz w:val="24"/>
          <w:szCs w:val="24"/>
        </w:rPr>
        <w:t>.</w:t>
      </w:r>
    </w:p>
    <w:p w14:paraId="1FE47955" w14:textId="0641AB8D" w:rsidR="00F86C7C" w:rsidRDefault="00725E6C" w:rsidP="00A43133">
      <w:pPr>
        <w:pStyle w:val="ListParagraph"/>
        <w:numPr>
          <w:ilvl w:val="0"/>
          <w:numId w:val="40"/>
        </w:numPr>
        <w:spacing w:line="276" w:lineRule="auto"/>
        <w:ind w:left="993"/>
        <w:jc w:val="both"/>
        <w:rPr>
          <w:rFonts w:ascii="Times New Roman" w:hAnsi="Times New Roman" w:cs="Times New Roman"/>
          <w:sz w:val="24"/>
          <w:szCs w:val="24"/>
        </w:rPr>
      </w:pPr>
      <w:r>
        <w:rPr>
          <w:rFonts w:ascii="Times New Roman" w:hAnsi="Times New Roman" w:cs="Times New Roman"/>
          <w:sz w:val="24"/>
          <w:szCs w:val="24"/>
        </w:rPr>
        <w:t xml:space="preserve">FM priekšlikums, </w:t>
      </w:r>
      <w:r w:rsidR="00A00516">
        <w:rPr>
          <w:rFonts w:ascii="Times New Roman" w:hAnsi="Times New Roman" w:cs="Times New Roman"/>
          <w:sz w:val="24"/>
          <w:szCs w:val="24"/>
        </w:rPr>
        <w:t xml:space="preserve">kas izstrādāts, </w:t>
      </w:r>
      <w:r>
        <w:rPr>
          <w:rFonts w:ascii="Times New Roman" w:hAnsi="Times New Roman" w:cs="Times New Roman"/>
          <w:sz w:val="24"/>
          <w:szCs w:val="24"/>
        </w:rPr>
        <w:t xml:space="preserve">ņemot vērā iepriekš sniegto analīzi </w:t>
      </w:r>
      <w:r w:rsidR="00A00516">
        <w:rPr>
          <w:rFonts w:ascii="Times New Roman" w:hAnsi="Times New Roman" w:cs="Times New Roman"/>
          <w:sz w:val="24"/>
          <w:szCs w:val="24"/>
        </w:rPr>
        <w:t>un atbilstoši MK 2019.gada 17.septembra lemtajam</w:t>
      </w:r>
      <w:r w:rsidR="00794333">
        <w:rPr>
          <w:rFonts w:ascii="Times New Roman" w:hAnsi="Times New Roman" w:cs="Times New Roman"/>
          <w:sz w:val="24"/>
          <w:szCs w:val="24"/>
        </w:rPr>
        <w:t xml:space="preserve"> </w:t>
      </w:r>
      <w:r w:rsidR="00A00516">
        <w:rPr>
          <w:rFonts w:ascii="Times New Roman" w:hAnsi="Times New Roman" w:cs="Times New Roman"/>
          <w:sz w:val="24"/>
          <w:szCs w:val="24"/>
        </w:rPr>
        <w:t xml:space="preserve">kompensēt </w:t>
      </w:r>
      <w:proofErr w:type="spellStart"/>
      <w:r w:rsidR="00A00516">
        <w:rPr>
          <w:rFonts w:ascii="Times New Roman" w:hAnsi="Times New Roman" w:cs="Times New Roman"/>
          <w:sz w:val="24"/>
          <w:szCs w:val="24"/>
        </w:rPr>
        <w:t>virssaistības</w:t>
      </w:r>
      <w:proofErr w:type="spellEnd"/>
      <w:r w:rsidR="00A00516">
        <w:rPr>
          <w:rFonts w:ascii="Times New Roman" w:hAnsi="Times New Roman" w:cs="Times New Roman"/>
          <w:sz w:val="24"/>
          <w:szCs w:val="24"/>
        </w:rPr>
        <w:t xml:space="preserve"> līdz </w:t>
      </w:r>
      <w:r w:rsidR="00A00516" w:rsidRPr="0012471E">
        <w:rPr>
          <w:rFonts w:ascii="Times New Roman" w:hAnsi="Times New Roman"/>
          <w:sz w:val="24"/>
          <w:szCs w:val="24"/>
        </w:rPr>
        <w:t xml:space="preserve">plānošanas perioda beigām </w:t>
      </w:r>
      <w:r w:rsidR="00A00516">
        <w:rPr>
          <w:rFonts w:ascii="Times New Roman" w:hAnsi="Times New Roman"/>
          <w:sz w:val="24"/>
          <w:szCs w:val="24"/>
        </w:rPr>
        <w:t>no turpmāk atbrīvotā</w:t>
      </w:r>
      <w:r w:rsidR="00A00516" w:rsidRPr="0012471E">
        <w:rPr>
          <w:rFonts w:ascii="Times New Roman" w:hAnsi="Times New Roman"/>
          <w:sz w:val="24"/>
          <w:szCs w:val="24"/>
        </w:rPr>
        <w:t xml:space="preserve"> finansējuma</w:t>
      </w:r>
      <w:r w:rsidR="00A00516">
        <w:rPr>
          <w:rFonts w:ascii="Times New Roman" w:hAnsi="Times New Roman" w:cs="Times New Roman"/>
          <w:sz w:val="24"/>
          <w:szCs w:val="24"/>
        </w:rPr>
        <w:t xml:space="preserve">, FM piedāvājot konkrētu kompensēšanas mehānismu, lai </w:t>
      </w:r>
      <w:r w:rsidRPr="00A43133">
        <w:rPr>
          <w:rFonts w:ascii="Times New Roman" w:hAnsi="Times New Roman" w:cs="Times New Roman"/>
          <w:sz w:val="24"/>
          <w:szCs w:val="24"/>
        </w:rPr>
        <w:t xml:space="preserve">nodrošinātu efektīvu investīciju un ES fondu pilnīgas izmantošanas risku pārvaldību un nodrošinātu </w:t>
      </w:r>
      <w:proofErr w:type="spellStart"/>
      <w:r w:rsidRPr="00A43133">
        <w:rPr>
          <w:rFonts w:ascii="Times New Roman" w:hAnsi="Times New Roman" w:cs="Times New Roman"/>
          <w:sz w:val="24"/>
          <w:szCs w:val="24"/>
        </w:rPr>
        <w:t>virssaistību</w:t>
      </w:r>
      <w:proofErr w:type="spellEnd"/>
      <w:r w:rsidRPr="00A43133">
        <w:rPr>
          <w:rFonts w:ascii="Times New Roman" w:hAnsi="Times New Roman" w:cs="Times New Roman"/>
          <w:sz w:val="24"/>
          <w:szCs w:val="24"/>
        </w:rPr>
        <w:t xml:space="preserve"> neitrālu ietekmi uz valsts budžeta </w:t>
      </w:r>
      <w:r w:rsidRPr="00A43133">
        <w:rPr>
          <w:rFonts w:ascii="Times New Roman" w:hAnsi="Times New Roman" w:cs="Times New Roman"/>
          <w:sz w:val="24"/>
          <w:szCs w:val="24"/>
        </w:rPr>
        <w:lastRenderedPageBreak/>
        <w:t>bilanc</w:t>
      </w:r>
      <w:r w:rsidR="00F86C7C">
        <w:rPr>
          <w:rFonts w:ascii="Times New Roman" w:hAnsi="Times New Roman" w:cs="Times New Roman"/>
          <w:sz w:val="24"/>
          <w:szCs w:val="24"/>
        </w:rPr>
        <w:t>i</w:t>
      </w:r>
      <w:r w:rsidR="00794333">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Pr="00A43133">
        <w:rPr>
          <w:rFonts w:ascii="Times New Roman" w:hAnsi="Times New Roman" w:cs="Times New Roman"/>
          <w:sz w:val="24"/>
          <w:szCs w:val="24"/>
        </w:rPr>
        <w:t xml:space="preserve"> </w:t>
      </w:r>
      <w:r w:rsidRPr="006B6905">
        <w:rPr>
          <w:rFonts w:ascii="Times New Roman" w:hAnsi="Times New Roman" w:cs="Times New Roman"/>
          <w:b/>
          <w:sz w:val="24"/>
          <w:szCs w:val="24"/>
        </w:rPr>
        <w:t>lemt par</w:t>
      </w:r>
      <w:r w:rsidRPr="006B6905">
        <w:rPr>
          <w:rStyle w:val="spelle"/>
          <w:rFonts w:ascii="Times New Roman" w:hAnsi="Times New Roman" w:cs="Times New Roman"/>
          <w:b/>
          <w:sz w:val="24"/>
          <w:szCs w:val="24"/>
        </w:rPr>
        <w:t xml:space="preserve"> liegumu atkārtoti izmantot atbrīvojušos ES fondu finansējumu</w:t>
      </w:r>
      <w:r w:rsidRPr="00F86C7C">
        <w:rPr>
          <w:rStyle w:val="spelle"/>
          <w:rFonts w:ascii="Times New Roman" w:hAnsi="Times New Roman" w:cs="Times New Roman"/>
          <w:sz w:val="24"/>
          <w:szCs w:val="24"/>
        </w:rPr>
        <w:t xml:space="preserve">, </w:t>
      </w:r>
      <w:r w:rsidRPr="00F86C7C">
        <w:rPr>
          <w:rFonts w:ascii="Times New Roman" w:hAnsi="Times New Roman" w:cs="Times New Roman"/>
          <w:sz w:val="24"/>
          <w:szCs w:val="24"/>
        </w:rPr>
        <w:t xml:space="preserve">piešķirtās </w:t>
      </w:r>
      <w:proofErr w:type="spellStart"/>
      <w:r w:rsidRPr="00F86C7C">
        <w:rPr>
          <w:rFonts w:ascii="Times New Roman" w:hAnsi="Times New Roman" w:cs="Times New Roman"/>
          <w:sz w:val="24"/>
          <w:szCs w:val="24"/>
        </w:rPr>
        <w:t>virssaistības</w:t>
      </w:r>
      <w:proofErr w:type="spellEnd"/>
      <w:r w:rsidRPr="00F86C7C">
        <w:rPr>
          <w:rFonts w:ascii="Times New Roman" w:hAnsi="Times New Roman" w:cs="Times New Roman"/>
          <w:sz w:val="24"/>
          <w:szCs w:val="24"/>
        </w:rPr>
        <w:t xml:space="preserve"> kopā 66,3 milj. </w:t>
      </w:r>
      <w:proofErr w:type="spellStart"/>
      <w:r w:rsidR="007B7A0A" w:rsidRPr="007B7A0A">
        <w:rPr>
          <w:rFonts w:ascii="Times New Roman" w:hAnsi="Times New Roman" w:cs="Times New Roman"/>
          <w:i/>
          <w:sz w:val="24"/>
          <w:szCs w:val="24"/>
        </w:rPr>
        <w:t>euro</w:t>
      </w:r>
      <w:proofErr w:type="spellEnd"/>
      <w:r w:rsidRPr="00725E6C">
        <w:rPr>
          <w:rFonts w:ascii="Times New Roman" w:hAnsi="Times New Roman" w:cs="Times New Roman"/>
          <w:sz w:val="24"/>
          <w:szCs w:val="24"/>
        </w:rPr>
        <w:t xml:space="preserve"> </w:t>
      </w:r>
      <w:r w:rsidR="00F86C7C">
        <w:rPr>
          <w:rFonts w:ascii="Times New Roman" w:hAnsi="Times New Roman" w:cs="Times New Roman"/>
          <w:sz w:val="24"/>
          <w:szCs w:val="24"/>
        </w:rPr>
        <w:t>kompensē</w:t>
      </w:r>
      <w:r>
        <w:rPr>
          <w:rFonts w:ascii="Times New Roman" w:hAnsi="Times New Roman" w:cs="Times New Roman"/>
          <w:sz w:val="24"/>
          <w:szCs w:val="24"/>
        </w:rPr>
        <w:t>jot</w:t>
      </w:r>
      <w:r w:rsidRPr="00A43133">
        <w:rPr>
          <w:rFonts w:ascii="Times New Roman" w:hAnsi="Times New Roman" w:cs="Times New Roman"/>
          <w:sz w:val="24"/>
          <w:szCs w:val="24"/>
        </w:rPr>
        <w:t xml:space="preserve"> līdz plānošanas perioda beigām</w:t>
      </w:r>
      <w:r w:rsidRPr="00F86C7C">
        <w:rPr>
          <w:rFonts w:ascii="Times New Roman" w:hAnsi="Times New Roman" w:cs="Times New Roman"/>
          <w:sz w:val="24"/>
          <w:szCs w:val="24"/>
        </w:rPr>
        <w:t>, t.i. atbrīvoto</w:t>
      </w:r>
      <w:r w:rsidRPr="00725E6C">
        <w:rPr>
          <w:rFonts w:ascii="Times New Roman" w:hAnsi="Times New Roman" w:cs="Times New Roman"/>
          <w:sz w:val="24"/>
          <w:szCs w:val="24"/>
        </w:rPr>
        <w:t xml:space="preserve"> ES fondu finansējumu (no neatbilstoši veikto izdevumu un lauzto līgumu </w:t>
      </w:r>
      <w:r w:rsidR="00246822">
        <w:rPr>
          <w:rFonts w:ascii="Times New Roman" w:hAnsi="Times New Roman" w:cs="Times New Roman"/>
          <w:sz w:val="24"/>
          <w:szCs w:val="24"/>
        </w:rPr>
        <w:t>rezultātā atbrīvotā</w:t>
      </w:r>
      <w:r w:rsidRPr="00725E6C">
        <w:rPr>
          <w:rFonts w:ascii="Times New Roman" w:hAnsi="Times New Roman" w:cs="Times New Roman"/>
          <w:sz w:val="24"/>
          <w:szCs w:val="24"/>
        </w:rPr>
        <w:t xml:space="preserve"> finansējuma) atstāj neizmantotu, nepārdala citiem projektiem vai citām projekta </w:t>
      </w:r>
      <w:r w:rsidRPr="00E94E2B">
        <w:rPr>
          <w:rFonts w:ascii="Times New Roman" w:hAnsi="Times New Roman" w:cs="Times New Roman"/>
          <w:sz w:val="24"/>
          <w:szCs w:val="24"/>
        </w:rPr>
        <w:t>darbībām</w:t>
      </w:r>
      <w:r w:rsidRPr="00E94E2B" w:rsidDel="000E5B99">
        <w:rPr>
          <w:rFonts w:ascii="Times New Roman" w:hAnsi="Times New Roman" w:cs="Times New Roman"/>
          <w:sz w:val="24"/>
          <w:szCs w:val="24"/>
        </w:rPr>
        <w:t xml:space="preserve"> </w:t>
      </w:r>
      <w:r w:rsidR="000622AB">
        <w:rPr>
          <w:rFonts w:ascii="Times New Roman" w:hAnsi="Times New Roman" w:cs="Times New Roman"/>
          <w:sz w:val="24"/>
          <w:szCs w:val="24"/>
        </w:rPr>
        <w:t>šādos</w:t>
      </w:r>
      <w:r>
        <w:rPr>
          <w:rFonts w:ascii="Times New Roman" w:hAnsi="Times New Roman" w:cs="Times New Roman"/>
          <w:sz w:val="24"/>
          <w:szCs w:val="24"/>
        </w:rPr>
        <w:t xml:space="preserve"> darbības programmas</w:t>
      </w:r>
      <w:r w:rsidRPr="00E94E2B">
        <w:rPr>
          <w:rFonts w:ascii="Times New Roman" w:hAnsi="Times New Roman" w:cs="Times New Roman"/>
          <w:sz w:val="24"/>
          <w:szCs w:val="24"/>
        </w:rPr>
        <w:t xml:space="preserve"> prioritārajos virzienos</w:t>
      </w:r>
      <w:r>
        <w:rPr>
          <w:rFonts w:ascii="Times New Roman" w:hAnsi="Times New Roman" w:cs="Times New Roman"/>
          <w:sz w:val="24"/>
          <w:szCs w:val="24"/>
        </w:rPr>
        <w:t>, kuros prognozētais deklarējamais publiskais finansējums ir pietiekams</w:t>
      </w:r>
      <w:r w:rsidRPr="00E94E2B">
        <w:rPr>
          <w:rFonts w:ascii="Times New Roman" w:hAnsi="Times New Roman" w:cs="Times New Roman"/>
          <w:sz w:val="24"/>
          <w:szCs w:val="24"/>
        </w:rPr>
        <w:t>:</w:t>
      </w:r>
    </w:p>
    <w:p w14:paraId="7F9512DC" w14:textId="77777777" w:rsidR="00F86C7C" w:rsidRDefault="00725E6C" w:rsidP="00A43133">
      <w:pPr>
        <w:pStyle w:val="ListParagraph"/>
        <w:numPr>
          <w:ilvl w:val="1"/>
          <w:numId w:val="40"/>
        </w:numPr>
        <w:spacing w:line="276" w:lineRule="auto"/>
        <w:ind w:left="1701"/>
        <w:jc w:val="both"/>
        <w:rPr>
          <w:rFonts w:ascii="Times New Roman" w:hAnsi="Times New Roman" w:cs="Times New Roman"/>
          <w:sz w:val="24"/>
          <w:szCs w:val="24"/>
        </w:rPr>
      </w:pPr>
      <w:r w:rsidRPr="00A43133">
        <w:rPr>
          <w:rFonts w:ascii="Times New Roman" w:hAnsi="Times New Roman" w:cs="Times New Roman"/>
          <w:sz w:val="24"/>
          <w:szCs w:val="24"/>
        </w:rPr>
        <w:t>ERAF 1.prioritārajā virzienā “Pētniecības, tehnoloģiju attīstība un inovācijas”;</w:t>
      </w:r>
    </w:p>
    <w:p w14:paraId="424F8FAE" w14:textId="77777777" w:rsidR="00F86C7C" w:rsidRDefault="00725E6C" w:rsidP="00A43133">
      <w:pPr>
        <w:pStyle w:val="ListParagraph"/>
        <w:numPr>
          <w:ilvl w:val="1"/>
          <w:numId w:val="40"/>
        </w:numPr>
        <w:spacing w:line="276" w:lineRule="auto"/>
        <w:ind w:left="1701"/>
        <w:jc w:val="both"/>
        <w:rPr>
          <w:rFonts w:ascii="Times New Roman" w:hAnsi="Times New Roman" w:cs="Times New Roman"/>
          <w:sz w:val="24"/>
          <w:szCs w:val="24"/>
        </w:rPr>
      </w:pPr>
      <w:r w:rsidRPr="00A43133">
        <w:rPr>
          <w:rFonts w:ascii="Times New Roman" w:hAnsi="Times New Roman" w:cs="Times New Roman"/>
          <w:sz w:val="24"/>
          <w:szCs w:val="24"/>
        </w:rPr>
        <w:t>ERAF 3.prioritārajā virzienā “Mazo un vidējo komersantu konkurētspēja”;</w:t>
      </w:r>
    </w:p>
    <w:p w14:paraId="70C07141" w14:textId="77777777" w:rsidR="00F86C7C" w:rsidRDefault="00725E6C" w:rsidP="00A43133">
      <w:pPr>
        <w:pStyle w:val="ListParagraph"/>
        <w:numPr>
          <w:ilvl w:val="1"/>
          <w:numId w:val="40"/>
        </w:numPr>
        <w:spacing w:line="276" w:lineRule="auto"/>
        <w:ind w:left="1701"/>
        <w:jc w:val="both"/>
        <w:rPr>
          <w:rFonts w:ascii="Times New Roman" w:hAnsi="Times New Roman" w:cs="Times New Roman"/>
          <w:sz w:val="24"/>
          <w:szCs w:val="24"/>
        </w:rPr>
      </w:pPr>
      <w:r w:rsidRPr="00A43133">
        <w:rPr>
          <w:rFonts w:ascii="Times New Roman" w:hAnsi="Times New Roman" w:cs="Times New Roman"/>
          <w:sz w:val="24"/>
          <w:szCs w:val="24"/>
        </w:rPr>
        <w:t>ERAF 5.prioritārajā virzienā “Vides aizsardzība un resursu izmantošanas efektivitāte”;</w:t>
      </w:r>
    </w:p>
    <w:p w14:paraId="4E149780" w14:textId="77777777" w:rsidR="00F86C7C" w:rsidRDefault="00725E6C" w:rsidP="00A43133">
      <w:pPr>
        <w:pStyle w:val="ListParagraph"/>
        <w:numPr>
          <w:ilvl w:val="1"/>
          <w:numId w:val="40"/>
        </w:numPr>
        <w:spacing w:line="276" w:lineRule="auto"/>
        <w:ind w:left="1701"/>
        <w:jc w:val="both"/>
        <w:rPr>
          <w:rFonts w:ascii="Times New Roman" w:hAnsi="Times New Roman" w:cs="Times New Roman"/>
          <w:sz w:val="24"/>
          <w:szCs w:val="24"/>
        </w:rPr>
      </w:pPr>
      <w:r w:rsidRPr="00A43133">
        <w:rPr>
          <w:rFonts w:ascii="Times New Roman" w:hAnsi="Times New Roman" w:cs="Times New Roman"/>
          <w:sz w:val="24"/>
          <w:szCs w:val="24"/>
        </w:rPr>
        <w:t>ERAF 8.prioritārajā virzienā “Izglītība, prasmes un mūžizglītība”;</w:t>
      </w:r>
    </w:p>
    <w:p w14:paraId="34792E41" w14:textId="1CDF4633" w:rsidR="00F86C7C" w:rsidRDefault="00725E6C" w:rsidP="00A43133">
      <w:pPr>
        <w:pStyle w:val="ListParagraph"/>
        <w:numPr>
          <w:ilvl w:val="1"/>
          <w:numId w:val="40"/>
        </w:numPr>
        <w:spacing w:line="276" w:lineRule="auto"/>
        <w:ind w:left="1701"/>
        <w:jc w:val="both"/>
        <w:rPr>
          <w:rFonts w:ascii="Times New Roman" w:hAnsi="Times New Roman" w:cs="Times New Roman"/>
          <w:sz w:val="24"/>
          <w:szCs w:val="24"/>
        </w:rPr>
      </w:pPr>
      <w:r w:rsidRPr="00A43133">
        <w:rPr>
          <w:rFonts w:ascii="Times New Roman" w:hAnsi="Times New Roman" w:cs="Times New Roman"/>
          <w:sz w:val="24"/>
          <w:szCs w:val="24"/>
        </w:rPr>
        <w:t>ERAF 9.prioritārajā virzienā “Sociālā iekļaušana un nabadzības apkarošana”</w:t>
      </w:r>
      <w:r w:rsidR="00264B0E">
        <w:rPr>
          <w:rFonts w:ascii="Times New Roman" w:hAnsi="Times New Roman" w:cs="Times New Roman"/>
          <w:sz w:val="24"/>
          <w:szCs w:val="24"/>
        </w:rPr>
        <w:t xml:space="preserve"> (turpmāk – 9.prioritārais virziens)</w:t>
      </w:r>
      <w:r w:rsidRPr="00A43133">
        <w:rPr>
          <w:rFonts w:ascii="Times New Roman" w:hAnsi="Times New Roman" w:cs="Times New Roman"/>
          <w:sz w:val="24"/>
          <w:szCs w:val="24"/>
        </w:rPr>
        <w:t>;</w:t>
      </w:r>
    </w:p>
    <w:p w14:paraId="349C4799" w14:textId="1C0951F5" w:rsidR="00F86C7C" w:rsidRDefault="00B21954" w:rsidP="00A43133">
      <w:pPr>
        <w:pStyle w:val="ListParagraph"/>
        <w:numPr>
          <w:ilvl w:val="1"/>
          <w:numId w:val="40"/>
        </w:numPr>
        <w:spacing w:line="276" w:lineRule="auto"/>
        <w:ind w:left="1701"/>
        <w:jc w:val="both"/>
        <w:rPr>
          <w:rFonts w:ascii="Times New Roman" w:hAnsi="Times New Roman" w:cs="Times New Roman"/>
          <w:sz w:val="24"/>
          <w:szCs w:val="24"/>
        </w:rPr>
      </w:pPr>
      <w:r>
        <w:rPr>
          <w:rFonts w:ascii="Times New Roman" w:hAnsi="Times New Roman" w:cs="Times New Roman"/>
          <w:sz w:val="24"/>
          <w:szCs w:val="24"/>
        </w:rPr>
        <w:t>ESF</w:t>
      </w:r>
      <w:r w:rsidR="00725E6C" w:rsidRPr="00A43133">
        <w:rPr>
          <w:rFonts w:ascii="Times New Roman" w:hAnsi="Times New Roman" w:cs="Times New Roman"/>
          <w:sz w:val="24"/>
          <w:szCs w:val="24"/>
        </w:rPr>
        <w:t xml:space="preserve"> 9.prioritārajā virzienā; </w:t>
      </w:r>
    </w:p>
    <w:p w14:paraId="6B191D01" w14:textId="45B4653A" w:rsidR="00347CAD" w:rsidRPr="00F86C7C" w:rsidRDefault="00725E6C" w:rsidP="00A43133">
      <w:pPr>
        <w:pStyle w:val="ListParagraph"/>
        <w:numPr>
          <w:ilvl w:val="1"/>
          <w:numId w:val="40"/>
        </w:numPr>
        <w:spacing w:line="276" w:lineRule="auto"/>
        <w:ind w:left="1701"/>
        <w:jc w:val="both"/>
        <w:rPr>
          <w:rStyle w:val="spelle"/>
          <w:rFonts w:ascii="Times New Roman" w:hAnsi="Times New Roman" w:cs="Times New Roman"/>
          <w:sz w:val="24"/>
          <w:szCs w:val="24"/>
        </w:rPr>
      </w:pPr>
      <w:r w:rsidRPr="00A43133">
        <w:rPr>
          <w:rFonts w:ascii="Times New Roman" w:hAnsi="Times New Roman" w:cs="Times New Roman"/>
          <w:sz w:val="24"/>
          <w:szCs w:val="24"/>
        </w:rPr>
        <w:t>Kohēzijas fonda 6.prioritārajā virzienā “Ilgtspējīga transporta sistēma”.</w:t>
      </w:r>
      <w:r w:rsidR="003B2CCE" w:rsidRPr="00F86C7C">
        <w:rPr>
          <w:rStyle w:val="spelle"/>
          <w:rFonts w:ascii="Times New Roman" w:hAnsi="Times New Roman" w:cs="Times New Roman"/>
          <w:sz w:val="24"/>
          <w:szCs w:val="24"/>
        </w:rPr>
        <w:t xml:space="preserve"> </w:t>
      </w:r>
    </w:p>
    <w:p w14:paraId="4A8A1B5E" w14:textId="1C35350A" w:rsidR="00F02210" w:rsidRPr="00F86C7C" w:rsidRDefault="00AA0994" w:rsidP="00F86C7C">
      <w:pPr>
        <w:pStyle w:val="ListParagraph"/>
        <w:numPr>
          <w:ilvl w:val="0"/>
          <w:numId w:val="1"/>
        </w:numPr>
        <w:spacing w:line="276" w:lineRule="auto"/>
        <w:ind w:left="567" w:hanging="567"/>
        <w:jc w:val="both"/>
        <w:rPr>
          <w:rStyle w:val="spelle"/>
          <w:rFonts w:ascii="Times New Roman" w:hAnsi="Times New Roman" w:cs="Times New Roman"/>
          <w:sz w:val="24"/>
          <w:szCs w:val="24"/>
        </w:rPr>
      </w:pPr>
      <w:r w:rsidRPr="007108D0">
        <w:rPr>
          <w:rStyle w:val="spelle"/>
          <w:rFonts w:ascii="Times New Roman" w:hAnsi="Times New Roman" w:cs="Times New Roman"/>
          <w:sz w:val="24"/>
          <w:szCs w:val="24"/>
        </w:rPr>
        <w:t xml:space="preserve">Pieņemot liegumu atkārtoti izmantot atbrīvojušos finansējumu, </w:t>
      </w:r>
      <w:r w:rsidRPr="00B25876">
        <w:rPr>
          <w:rStyle w:val="spelle"/>
          <w:rFonts w:ascii="Times New Roman" w:hAnsi="Times New Roman" w:cs="Times New Roman"/>
          <w:b/>
          <w:sz w:val="24"/>
          <w:szCs w:val="24"/>
        </w:rPr>
        <w:t xml:space="preserve">FM regulāri uzraudzīs provizorisko EK pieprasāmo izdevumu apjomu perioda beigās, </w:t>
      </w:r>
      <w:proofErr w:type="spellStart"/>
      <w:r w:rsidRPr="00B25876">
        <w:rPr>
          <w:rStyle w:val="spelle"/>
          <w:rFonts w:ascii="Times New Roman" w:hAnsi="Times New Roman" w:cs="Times New Roman"/>
          <w:b/>
          <w:sz w:val="24"/>
          <w:szCs w:val="24"/>
        </w:rPr>
        <w:t>proaktīvi</w:t>
      </w:r>
      <w:proofErr w:type="spellEnd"/>
      <w:r w:rsidRPr="00B25876">
        <w:rPr>
          <w:rStyle w:val="spelle"/>
          <w:rFonts w:ascii="Times New Roman" w:hAnsi="Times New Roman" w:cs="Times New Roman"/>
          <w:b/>
          <w:sz w:val="24"/>
          <w:szCs w:val="24"/>
        </w:rPr>
        <w:t xml:space="preserve"> sniedzot priekšlikumus </w:t>
      </w:r>
      <w:r w:rsidR="00C26242" w:rsidRPr="00B25876">
        <w:rPr>
          <w:rStyle w:val="spelle"/>
          <w:rFonts w:ascii="Times New Roman" w:hAnsi="Times New Roman" w:cs="Times New Roman"/>
          <w:b/>
          <w:sz w:val="24"/>
          <w:szCs w:val="24"/>
        </w:rPr>
        <w:t>rīcībai</w:t>
      </w:r>
      <w:r w:rsidR="00C26242">
        <w:rPr>
          <w:rStyle w:val="spelle"/>
          <w:rFonts w:ascii="Times New Roman" w:hAnsi="Times New Roman" w:cs="Times New Roman"/>
          <w:sz w:val="24"/>
          <w:szCs w:val="24"/>
        </w:rPr>
        <w:t xml:space="preserve"> </w:t>
      </w:r>
      <w:r w:rsidR="00725E6C">
        <w:rPr>
          <w:rStyle w:val="spelle"/>
          <w:rFonts w:ascii="Times New Roman" w:hAnsi="Times New Roman" w:cs="Times New Roman"/>
          <w:sz w:val="24"/>
          <w:szCs w:val="24"/>
        </w:rPr>
        <w:t xml:space="preserve">ES fondu </w:t>
      </w:r>
      <w:r w:rsidRPr="007108D0">
        <w:rPr>
          <w:rStyle w:val="spelle"/>
          <w:rFonts w:ascii="Times New Roman" w:hAnsi="Times New Roman" w:cs="Times New Roman"/>
          <w:sz w:val="24"/>
          <w:szCs w:val="24"/>
        </w:rPr>
        <w:t>piešķīruma zaudēšanas novēršanai, ja radīsies tāda nepieciešamība.</w:t>
      </w:r>
      <w:r w:rsidRPr="00F86C7C">
        <w:rPr>
          <w:rStyle w:val="spelle"/>
          <w:rFonts w:ascii="Times New Roman" w:hAnsi="Times New Roman" w:cs="Times New Roman"/>
          <w:sz w:val="24"/>
          <w:szCs w:val="24"/>
        </w:rPr>
        <w:t xml:space="preserve"> </w:t>
      </w:r>
    </w:p>
    <w:p w14:paraId="5EC2C99A" w14:textId="5AA3065A" w:rsidR="00AA0994" w:rsidRPr="00F02210" w:rsidRDefault="00AA0994" w:rsidP="00915BDC">
      <w:pPr>
        <w:spacing w:line="276" w:lineRule="auto"/>
        <w:jc w:val="both"/>
        <w:rPr>
          <w:rStyle w:val="spelle"/>
          <w:rFonts w:cs="Times New Roman"/>
          <w:sz w:val="20"/>
          <w:szCs w:val="20"/>
        </w:rPr>
      </w:pPr>
      <w:r w:rsidRPr="00F02210">
        <w:rPr>
          <w:rFonts w:cs="Times New Roman"/>
          <w:b/>
          <w:i/>
          <w:sz w:val="20"/>
          <w:szCs w:val="20"/>
        </w:rPr>
        <w:t>I</w:t>
      </w:r>
      <w:r w:rsidR="00F02210">
        <w:rPr>
          <w:rFonts w:cs="Times New Roman"/>
          <w:b/>
          <w:i/>
          <w:sz w:val="20"/>
          <w:szCs w:val="20"/>
        </w:rPr>
        <w:t>lustrācija Nr.</w:t>
      </w:r>
      <w:r w:rsidRPr="00F02210">
        <w:rPr>
          <w:rFonts w:cs="Times New Roman"/>
          <w:b/>
          <w:i/>
          <w:sz w:val="20"/>
          <w:szCs w:val="20"/>
        </w:rPr>
        <w:t>1</w:t>
      </w:r>
      <w:r w:rsidRPr="00F02210">
        <w:rPr>
          <w:rFonts w:cs="Times New Roman"/>
          <w:i/>
          <w:sz w:val="20"/>
          <w:szCs w:val="20"/>
        </w:rPr>
        <w:t xml:space="preserve"> </w:t>
      </w:r>
      <w:r w:rsidRPr="00F02210">
        <w:rPr>
          <w:rFonts w:cs="Times New Roman"/>
          <w:i/>
          <w:color w:val="0D0D0D" w:themeColor="text1" w:themeTint="F2"/>
          <w:sz w:val="20"/>
          <w:szCs w:val="20"/>
        </w:rPr>
        <w:t xml:space="preserve">Deklarējamo maksājumu prognoze, noslēdzot </w:t>
      </w:r>
      <w:r w:rsidR="00A05F68" w:rsidRPr="00F02210">
        <w:rPr>
          <w:rFonts w:cs="Times New Roman"/>
          <w:i/>
          <w:color w:val="0D0D0D" w:themeColor="text1" w:themeTint="F2"/>
          <w:sz w:val="20"/>
          <w:szCs w:val="20"/>
        </w:rPr>
        <w:t xml:space="preserve">ES fondu </w:t>
      </w:r>
      <w:r w:rsidRPr="00F02210">
        <w:rPr>
          <w:rFonts w:cs="Times New Roman"/>
          <w:i/>
          <w:color w:val="0D0D0D" w:themeColor="text1" w:themeTint="F2"/>
          <w:sz w:val="20"/>
          <w:szCs w:val="20"/>
        </w:rPr>
        <w:t>2014.</w:t>
      </w:r>
      <w:r w:rsidR="00A05F68">
        <w:rPr>
          <w:rFonts w:cs="Times New Roman"/>
          <w:i/>
          <w:color w:val="0D0D0D" w:themeColor="text1" w:themeTint="F2"/>
          <w:sz w:val="20"/>
          <w:szCs w:val="20"/>
        </w:rPr>
        <w:t>–</w:t>
      </w:r>
      <w:r w:rsidRPr="00F02210">
        <w:rPr>
          <w:rFonts w:cs="Times New Roman"/>
          <w:i/>
          <w:color w:val="0D0D0D" w:themeColor="text1" w:themeTint="F2"/>
          <w:sz w:val="20"/>
          <w:szCs w:val="20"/>
        </w:rPr>
        <w:t>2</w:t>
      </w:r>
      <w:r w:rsidR="00A05F68">
        <w:rPr>
          <w:rFonts w:cs="Times New Roman"/>
          <w:i/>
          <w:color w:val="0D0D0D" w:themeColor="text1" w:themeTint="F2"/>
          <w:sz w:val="20"/>
          <w:szCs w:val="20"/>
        </w:rPr>
        <w:t>020.</w:t>
      </w:r>
      <w:r w:rsidRPr="00F02210">
        <w:rPr>
          <w:rFonts w:cs="Times New Roman"/>
          <w:i/>
          <w:color w:val="0D0D0D" w:themeColor="text1" w:themeTint="F2"/>
          <w:sz w:val="20"/>
          <w:szCs w:val="20"/>
        </w:rPr>
        <w:t xml:space="preserve">gada plānošanas periodu (2024.gadā), milj. </w:t>
      </w:r>
      <w:proofErr w:type="spellStart"/>
      <w:r w:rsidR="007B7A0A" w:rsidRPr="007B7A0A">
        <w:rPr>
          <w:rFonts w:cs="Times New Roman"/>
          <w:i/>
          <w:color w:val="0D0D0D" w:themeColor="text1" w:themeTint="F2"/>
          <w:sz w:val="20"/>
          <w:szCs w:val="20"/>
        </w:rPr>
        <w:t>euro</w:t>
      </w:r>
      <w:proofErr w:type="spellEnd"/>
      <w:r w:rsidR="00A05F68">
        <w:rPr>
          <w:rFonts w:cs="Times New Roman"/>
          <w:i/>
          <w:color w:val="0D0D0D" w:themeColor="text1" w:themeTint="F2"/>
          <w:sz w:val="20"/>
          <w:szCs w:val="20"/>
        </w:rPr>
        <w:t>, ES fondu daļa</w:t>
      </w:r>
      <w:r w:rsidRPr="00F02210">
        <w:rPr>
          <w:rStyle w:val="FootnoteReference"/>
          <w:rFonts w:cs="Times New Roman"/>
          <w:i/>
          <w:color w:val="0D0D0D" w:themeColor="text1" w:themeTint="F2"/>
          <w:sz w:val="20"/>
          <w:szCs w:val="20"/>
        </w:rPr>
        <w:footnoteReference w:id="16"/>
      </w:r>
      <w:r w:rsidRPr="00F02210">
        <w:rPr>
          <w:rFonts w:cs="Times New Roman"/>
          <w:color w:val="0D0D0D" w:themeColor="text1" w:themeTint="F2"/>
          <w:sz w:val="20"/>
          <w:szCs w:val="20"/>
        </w:rPr>
        <w:t xml:space="preserve"> </w:t>
      </w:r>
      <w:r w:rsidRPr="00F02210">
        <w:rPr>
          <w:rFonts w:cs="Times New Roman"/>
          <w:i/>
          <w:color w:val="0D0D0D" w:themeColor="text1" w:themeTint="F2"/>
          <w:sz w:val="20"/>
          <w:szCs w:val="20"/>
        </w:rPr>
        <w:t xml:space="preserve"> </w:t>
      </w:r>
    </w:p>
    <w:p w14:paraId="71BCF8DA" w14:textId="77777777" w:rsidR="00AA0994" w:rsidRPr="00AA0994" w:rsidRDefault="00AA0994" w:rsidP="00915BDC">
      <w:pPr>
        <w:spacing w:line="276" w:lineRule="auto"/>
        <w:jc w:val="both"/>
        <w:rPr>
          <w:rStyle w:val="spelle"/>
          <w:rFonts w:cs="Times New Roman"/>
          <w:szCs w:val="24"/>
        </w:rPr>
      </w:pPr>
    </w:p>
    <w:p w14:paraId="73F645DF" w14:textId="10930338" w:rsidR="00971CB4" w:rsidRDefault="00AA0994" w:rsidP="00915BDC">
      <w:pPr>
        <w:tabs>
          <w:tab w:val="left" w:pos="2880"/>
        </w:tabs>
        <w:spacing w:line="276" w:lineRule="auto"/>
        <w:rPr>
          <w:rFonts w:cs="Times New Roman"/>
          <w:szCs w:val="24"/>
        </w:rPr>
      </w:pPr>
      <w:r w:rsidRPr="00AA0994">
        <w:rPr>
          <w:rFonts w:cs="Times New Roman"/>
          <w:noProof/>
          <w:szCs w:val="24"/>
          <w:lang w:eastAsia="lv-LV"/>
        </w:rPr>
        <mc:AlternateContent>
          <mc:Choice Requires="wps">
            <w:drawing>
              <wp:anchor distT="0" distB="0" distL="114300" distR="114300" simplePos="0" relativeHeight="251659264" behindDoc="0" locked="0" layoutInCell="1" allowOverlap="1" wp14:anchorId="2AB7F260" wp14:editId="6DDA176D">
                <wp:simplePos x="0" y="0"/>
                <wp:positionH relativeFrom="column">
                  <wp:posOffset>1876755</wp:posOffset>
                </wp:positionH>
                <wp:positionV relativeFrom="paragraph">
                  <wp:posOffset>257022</wp:posOffset>
                </wp:positionV>
                <wp:extent cx="1616659" cy="694944"/>
                <wp:effectExtent l="0" t="0" r="22225" b="10160"/>
                <wp:wrapNone/>
                <wp:docPr id="2" name="Text Box 2"/>
                <wp:cNvGraphicFramePr/>
                <a:graphic xmlns:a="http://schemas.openxmlformats.org/drawingml/2006/main">
                  <a:graphicData uri="http://schemas.microsoft.com/office/word/2010/wordprocessingShape">
                    <wps:wsp>
                      <wps:cNvSpPr txBox="1"/>
                      <wps:spPr>
                        <a:xfrm>
                          <a:off x="0" y="0"/>
                          <a:ext cx="1616659" cy="694944"/>
                        </a:xfrm>
                        <a:prstGeom prst="rect">
                          <a:avLst/>
                        </a:prstGeom>
                        <a:solidFill>
                          <a:schemeClr val="lt1"/>
                        </a:solidFill>
                        <a:ln w="6350">
                          <a:solidFill>
                            <a:prstClr val="black"/>
                          </a:solidFill>
                        </a:ln>
                      </wps:spPr>
                      <wps:txbx>
                        <w:txbxContent>
                          <w:p w14:paraId="35074BC0" w14:textId="6B3B9FCE" w:rsidR="005550C5" w:rsidRPr="00055CE6" w:rsidRDefault="005550C5" w:rsidP="00AA0994">
                            <w:r>
                              <w:t xml:space="preserve">Kopā 153 milj. </w:t>
                            </w:r>
                            <w:proofErr w:type="spellStart"/>
                            <w:r w:rsidRPr="007B7A0A">
                              <w:rPr>
                                <w:i/>
                              </w:rPr>
                              <w:t>euro</w:t>
                            </w:r>
                            <w:proofErr w:type="spellEnd"/>
                            <w:r>
                              <w:rPr>
                                <w:i/>
                              </w:rPr>
                              <w:t xml:space="preserve"> </w:t>
                            </w:r>
                            <w:r>
                              <w:t xml:space="preserve">rezerve, ja netiek dzēstas </w:t>
                            </w:r>
                            <w:proofErr w:type="spellStart"/>
                            <w:r>
                              <w:t>virssaistības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B7F260" id="_x0000_t202" coordsize="21600,21600" o:spt="202" path="m,l,21600r21600,l21600,xe">
                <v:stroke joinstyle="miter"/>
                <v:path gradientshapeok="t" o:connecttype="rect"/>
              </v:shapetype>
              <v:shape id="Text Box 2" o:spid="_x0000_s1026" type="#_x0000_t202" style="position:absolute;margin-left:147.8pt;margin-top:20.25pt;width:127.3pt;height:5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" fillcolor="white [3201]" strokeweight=".5pt">
                <v:textbox>
                  <w:txbxContent>
                    <w:p w14:paraId="35074BC0" w14:textId="6B3B9FCE" w:rsidR="005550C5" w:rsidRPr="00055CE6" w:rsidRDefault="005550C5" w:rsidP="00AA0994">
                      <w:r>
                        <w:t xml:space="preserve">Kopā 153 milj. </w:t>
                      </w:r>
                      <w:r w:rsidRPr="007B7A0A">
                        <w:rPr>
                          <w:i/>
                        </w:rPr>
                        <w:t>euro</w:t>
                      </w:r>
                      <w:r>
                        <w:rPr>
                          <w:i/>
                        </w:rPr>
                        <w:t xml:space="preserve"> </w:t>
                      </w:r>
                      <w:r>
                        <w:t>rezerve, ja netiek dzēstas virssaistības</w:t>
                      </w:r>
                    </w:p>
                  </w:txbxContent>
                </v:textbox>
              </v:shape>
            </w:pict>
          </mc:Fallback>
        </mc:AlternateContent>
      </w:r>
      <w:r w:rsidRPr="00AA0994">
        <w:rPr>
          <w:rFonts w:cs="Times New Roman"/>
          <w:noProof/>
          <w:szCs w:val="24"/>
          <w:lang w:eastAsia="lv-LV"/>
        </w:rPr>
        <w:drawing>
          <wp:inline distT="0" distB="0" distL="0" distR="0" wp14:anchorId="62C1A688" wp14:editId="216B24C1">
            <wp:extent cx="5810250" cy="2830195"/>
            <wp:effectExtent l="0" t="0" r="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16BAB42" w14:textId="6614EA4A" w:rsidR="007D3F3D" w:rsidRDefault="007D3F3D" w:rsidP="00915BDC">
      <w:pPr>
        <w:spacing w:line="276" w:lineRule="auto"/>
        <w:jc w:val="both"/>
        <w:rPr>
          <w:rFonts w:cs="Times New Roman"/>
          <w:szCs w:val="24"/>
        </w:rPr>
      </w:pPr>
    </w:p>
    <w:p w14:paraId="4B6D0920" w14:textId="77777777" w:rsidR="0008520F" w:rsidRPr="007D3F3D" w:rsidRDefault="0008520F" w:rsidP="00915BDC">
      <w:pPr>
        <w:spacing w:line="276" w:lineRule="auto"/>
        <w:jc w:val="both"/>
        <w:rPr>
          <w:rFonts w:cs="Times New Roman"/>
          <w:szCs w:val="24"/>
        </w:rPr>
      </w:pPr>
    </w:p>
    <w:p w14:paraId="4C5A400B" w14:textId="373EC2FF" w:rsidR="007D3F3D" w:rsidRPr="0033214E" w:rsidRDefault="007D3F3D" w:rsidP="00915BDC">
      <w:pPr>
        <w:pStyle w:val="Heading2"/>
        <w:spacing w:line="276" w:lineRule="auto"/>
        <w:jc w:val="center"/>
        <w:rPr>
          <w:rFonts w:ascii="Times New Roman" w:hAnsi="Times New Roman" w:cs="Times New Roman"/>
          <w:b/>
          <w:color w:val="auto"/>
          <w:sz w:val="24"/>
          <w:szCs w:val="24"/>
        </w:rPr>
      </w:pPr>
      <w:r w:rsidRPr="0033214E">
        <w:rPr>
          <w:rFonts w:ascii="Times New Roman" w:hAnsi="Times New Roman" w:cs="Times New Roman"/>
          <w:b/>
          <w:color w:val="auto"/>
          <w:sz w:val="24"/>
          <w:szCs w:val="24"/>
        </w:rPr>
        <w:lastRenderedPageBreak/>
        <w:t xml:space="preserve"> </w:t>
      </w:r>
      <w:bookmarkStart w:id="3" w:name="_Toc21076981"/>
      <w:r>
        <w:rPr>
          <w:rFonts w:ascii="Times New Roman" w:hAnsi="Times New Roman" w:cs="Times New Roman"/>
          <w:b/>
          <w:color w:val="auto"/>
          <w:sz w:val="24"/>
          <w:szCs w:val="24"/>
        </w:rPr>
        <w:t xml:space="preserve">II </w:t>
      </w:r>
      <w:r w:rsidRPr="0033214E">
        <w:rPr>
          <w:rFonts w:ascii="Times New Roman" w:hAnsi="Times New Roman" w:cs="Times New Roman"/>
          <w:b/>
          <w:color w:val="auto"/>
          <w:sz w:val="24"/>
          <w:szCs w:val="24"/>
        </w:rPr>
        <w:t>Snieguma rezerves būtība un snieguma ietvara nosacījumu izpildes statuss</w:t>
      </w:r>
      <w:bookmarkEnd w:id="3"/>
    </w:p>
    <w:p w14:paraId="0A5C0C79" w14:textId="77777777" w:rsidR="007D3F3D" w:rsidRDefault="007D3F3D" w:rsidP="00915BDC">
      <w:pPr>
        <w:pStyle w:val="ListParagraph"/>
        <w:spacing w:line="276" w:lineRule="auto"/>
        <w:ind w:left="567"/>
        <w:jc w:val="both"/>
        <w:rPr>
          <w:rFonts w:ascii="Times New Roman" w:hAnsi="Times New Roman" w:cs="Times New Roman"/>
          <w:sz w:val="24"/>
          <w:szCs w:val="24"/>
        </w:rPr>
      </w:pPr>
    </w:p>
    <w:p w14:paraId="1A4B2EA9" w14:textId="49569471" w:rsidR="007D3F3D" w:rsidRPr="0033214E" w:rsidRDefault="007D3F3D" w:rsidP="00915BDC">
      <w:pPr>
        <w:pStyle w:val="ListParagraph"/>
        <w:numPr>
          <w:ilvl w:val="0"/>
          <w:numId w:val="1"/>
        </w:numPr>
        <w:spacing w:line="276" w:lineRule="auto"/>
        <w:ind w:left="567" w:hanging="567"/>
        <w:jc w:val="both"/>
        <w:rPr>
          <w:rFonts w:ascii="Times New Roman" w:hAnsi="Times New Roman" w:cs="Times New Roman"/>
          <w:sz w:val="24"/>
          <w:szCs w:val="24"/>
        </w:rPr>
      </w:pPr>
      <w:r w:rsidRPr="0033214E">
        <w:rPr>
          <w:rFonts w:ascii="Times New Roman" w:hAnsi="Times New Roman" w:cs="Times New Roman"/>
          <w:sz w:val="24"/>
          <w:szCs w:val="24"/>
        </w:rPr>
        <w:t>Saskaņā ar Regulu Nr.1303/2013</w:t>
      </w:r>
      <w:r w:rsidRPr="0033214E">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un Eiropas Komisijas (turpmāk – EK)</w:t>
      </w:r>
      <w:r w:rsidRPr="0033214E">
        <w:rPr>
          <w:rFonts w:ascii="Times New Roman" w:hAnsi="Times New Roman" w:cs="Times New Roman"/>
          <w:sz w:val="24"/>
          <w:szCs w:val="24"/>
        </w:rPr>
        <w:t xml:space="preserve"> vadlīnijām</w:t>
      </w:r>
      <w:r w:rsidRPr="0033214E">
        <w:rPr>
          <w:rStyle w:val="FootnoteReference"/>
          <w:rFonts w:ascii="Times New Roman" w:hAnsi="Times New Roman" w:cs="Times New Roman"/>
          <w:sz w:val="24"/>
          <w:szCs w:val="24"/>
        </w:rPr>
        <w:footnoteReference w:id="18"/>
      </w:r>
      <w:r w:rsidRPr="0033214E">
        <w:rPr>
          <w:rFonts w:ascii="Times New Roman" w:hAnsi="Times New Roman" w:cs="Times New Roman"/>
          <w:sz w:val="24"/>
          <w:szCs w:val="24"/>
        </w:rPr>
        <w:t xml:space="preserve">, katram darbības programmas prioritārajam virzienam ir izveidots snieguma ietvars, kas ir noteikts rādītāju kopums ar sasniedzamām vērtībām gan </w:t>
      </w:r>
      <w:proofErr w:type="spellStart"/>
      <w:r w:rsidRPr="0033214E">
        <w:rPr>
          <w:rFonts w:ascii="Times New Roman" w:hAnsi="Times New Roman" w:cs="Times New Roman"/>
          <w:sz w:val="24"/>
          <w:szCs w:val="24"/>
        </w:rPr>
        <w:t>vidusposmā</w:t>
      </w:r>
      <w:proofErr w:type="spellEnd"/>
      <w:r w:rsidRPr="0033214E">
        <w:rPr>
          <w:rFonts w:ascii="Times New Roman" w:hAnsi="Times New Roman" w:cs="Times New Roman"/>
          <w:sz w:val="24"/>
          <w:szCs w:val="24"/>
        </w:rPr>
        <w:t>, t.i. līdz 2018.gada 31.decembrim, gan</w:t>
      </w:r>
      <w:r>
        <w:rPr>
          <w:rFonts w:ascii="Times New Roman" w:hAnsi="Times New Roman" w:cs="Times New Roman"/>
          <w:sz w:val="24"/>
          <w:szCs w:val="24"/>
        </w:rPr>
        <w:t xml:space="preserve"> līdz plānošanas perioda beigām – </w:t>
      </w:r>
      <w:r w:rsidRPr="0033214E">
        <w:rPr>
          <w:rFonts w:ascii="Times New Roman" w:hAnsi="Times New Roman" w:cs="Times New Roman"/>
          <w:sz w:val="24"/>
          <w:szCs w:val="24"/>
        </w:rPr>
        <w:t>2023.gada 31.decembri</w:t>
      </w:r>
      <w:r>
        <w:rPr>
          <w:rFonts w:ascii="Times New Roman" w:hAnsi="Times New Roman" w:cs="Times New Roman"/>
          <w:sz w:val="24"/>
          <w:szCs w:val="24"/>
        </w:rPr>
        <w:t>m</w:t>
      </w:r>
      <w:r w:rsidRPr="0033214E">
        <w:rPr>
          <w:rFonts w:ascii="Times New Roman" w:hAnsi="Times New Roman" w:cs="Times New Roman"/>
          <w:sz w:val="24"/>
          <w:szCs w:val="24"/>
        </w:rPr>
        <w:t>. Snieguma ietvarā ietverti gan finanšu rādītāji (deklarētie izdevumi)</w:t>
      </w:r>
      <w:r w:rsidRPr="0033214E">
        <w:rPr>
          <w:rStyle w:val="FootnoteReference"/>
          <w:rFonts w:ascii="Times New Roman" w:hAnsi="Times New Roman" w:cs="Times New Roman"/>
          <w:sz w:val="24"/>
          <w:szCs w:val="24"/>
        </w:rPr>
        <w:footnoteReference w:id="19"/>
      </w:r>
      <w:r w:rsidRPr="0033214E">
        <w:rPr>
          <w:rFonts w:ascii="Times New Roman" w:hAnsi="Times New Roman" w:cs="Times New Roman"/>
          <w:sz w:val="24"/>
          <w:szCs w:val="24"/>
        </w:rPr>
        <w:t xml:space="preserve"> gan atsevišķu </w:t>
      </w:r>
      <w:r w:rsidR="004B479A">
        <w:rPr>
          <w:rFonts w:ascii="Times New Roman" w:hAnsi="Times New Roman" w:cs="Times New Roman"/>
          <w:sz w:val="24"/>
          <w:szCs w:val="24"/>
        </w:rPr>
        <w:t>SAM</w:t>
      </w:r>
      <w:r w:rsidR="00FE17B7">
        <w:rPr>
          <w:rFonts w:ascii="Times New Roman" w:hAnsi="Times New Roman" w:cs="Times New Roman"/>
          <w:sz w:val="24"/>
          <w:szCs w:val="24"/>
        </w:rPr>
        <w:t xml:space="preserve"> </w:t>
      </w:r>
      <w:r w:rsidRPr="0033214E">
        <w:rPr>
          <w:rFonts w:ascii="Times New Roman" w:hAnsi="Times New Roman" w:cs="Times New Roman"/>
          <w:sz w:val="24"/>
          <w:szCs w:val="24"/>
        </w:rPr>
        <w:t>iznākuma rādītāji.</w:t>
      </w:r>
    </w:p>
    <w:p w14:paraId="5149C32A" w14:textId="77777777" w:rsidR="007D3F3D" w:rsidRPr="0033214E" w:rsidRDefault="007D3F3D" w:rsidP="00915BDC">
      <w:pPr>
        <w:pStyle w:val="ListParagraph"/>
        <w:numPr>
          <w:ilvl w:val="0"/>
          <w:numId w:val="1"/>
        </w:numPr>
        <w:spacing w:line="276" w:lineRule="auto"/>
        <w:ind w:left="567" w:hanging="567"/>
        <w:jc w:val="both"/>
        <w:rPr>
          <w:rFonts w:ascii="Times New Roman" w:hAnsi="Times New Roman" w:cs="Times New Roman"/>
          <w:sz w:val="24"/>
          <w:szCs w:val="24"/>
        </w:rPr>
      </w:pPr>
      <w:r w:rsidRPr="0033214E">
        <w:rPr>
          <w:rFonts w:ascii="Times New Roman" w:hAnsi="Times New Roman" w:cs="Times New Roman"/>
          <w:sz w:val="24"/>
          <w:szCs w:val="24"/>
        </w:rPr>
        <w:t xml:space="preserve">Vienlaikus saskaņā ar Regulas Nr.1303/2013 </w:t>
      </w:r>
      <w:r>
        <w:rPr>
          <w:rFonts w:ascii="Times New Roman" w:hAnsi="Times New Roman" w:cs="Times New Roman"/>
          <w:sz w:val="24"/>
          <w:szCs w:val="24"/>
        </w:rPr>
        <w:t xml:space="preserve">20.pantu </w:t>
      </w:r>
      <w:r w:rsidRPr="0033214E">
        <w:rPr>
          <w:rFonts w:ascii="Times New Roman" w:hAnsi="Times New Roman" w:cs="Times New Roman"/>
          <w:sz w:val="24"/>
          <w:szCs w:val="24"/>
        </w:rPr>
        <w:t>tiek noteikts snieguma rezerves finansējums</w:t>
      </w:r>
      <w:r>
        <w:rPr>
          <w:rFonts w:ascii="Times New Roman" w:hAnsi="Times New Roman" w:cs="Times New Roman"/>
          <w:sz w:val="24"/>
          <w:szCs w:val="24"/>
        </w:rPr>
        <w:t xml:space="preserve"> – </w:t>
      </w:r>
      <w:r w:rsidRPr="0033214E">
        <w:rPr>
          <w:rFonts w:ascii="Times New Roman" w:hAnsi="Times New Roman" w:cs="Times New Roman"/>
          <w:sz w:val="24"/>
          <w:szCs w:val="24"/>
        </w:rPr>
        <w:t xml:space="preserve">6% </w:t>
      </w:r>
      <w:r>
        <w:rPr>
          <w:rFonts w:ascii="Times New Roman" w:hAnsi="Times New Roman" w:cs="Times New Roman"/>
          <w:sz w:val="24"/>
          <w:szCs w:val="24"/>
        </w:rPr>
        <w:t xml:space="preserve">no </w:t>
      </w:r>
      <w:r w:rsidRPr="0033214E">
        <w:rPr>
          <w:rFonts w:ascii="Times New Roman" w:hAnsi="Times New Roman" w:cs="Times New Roman"/>
          <w:sz w:val="24"/>
          <w:szCs w:val="24"/>
        </w:rPr>
        <w:t>kopējā Latvijai piešķirtā ES fondu finansējuma</w:t>
      </w:r>
      <w:r>
        <w:rPr>
          <w:rFonts w:ascii="Times New Roman" w:hAnsi="Times New Roman" w:cs="Times New Roman"/>
          <w:sz w:val="24"/>
          <w:szCs w:val="24"/>
        </w:rPr>
        <w:t>. Snieguma rezerves finansējums</w:t>
      </w:r>
      <w:r w:rsidRPr="0033214E">
        <w:rPr>
          <w:rFonts w:ascii="Times New Roman" w:hAnsi="Times New Roman" w:cs="Times New Roman"/>
          <w:sz w:val="24"/>
          <w:szCs w:val="24"/>
        </w:rPr>
        <w:t xml:space="preserve"> </w:t>
      </w:r>
      <w:r>
        <w:rPr>
          <w:rFonts w:ascii="Times New Roman" w:hAnsi="Times New Roman" w:cs="Times New Roman"/>
          <w:sz w:val="24"/>
          <w:szCs w:val="24"/>
        </w:rPr>
        <w:t>tiek faktiski piešķirts</w:t>
      </w:r>
      <w:r w:rsidRPr="0033214E">
        <w:rPr>
          <w:rFonts w:ascii="Times New Roman" w:hAnsi="Times New Roman" w:cs="Times New Roman"/>
          <w:sz w:val="24"/>
          <w:szCs w:val="24"/>
        </w:rPr>
        <w:t xml:space="preserve"> un var tikt izmantots prioritārajā virzienā tikai snieguma ietvarā noteikto rādītāju izpildes gadījumā</w:t>
      </w:r>
      <w:r>
        <w:rPr>
          <w:rFonts w:ascii="Times New Roman" w:hAnsi="Times New Roman" w:cs="Times New Roman"/>
          <w:sz w:val="24"/>
          <w:szCs w:val="24"/>
        </w:rPr>
        <w:t>, par ko gala lēmumu 2019.gadā</w:t>
      </w:r>
      <w:r w:rsidRPr="0033214E">
        <w:rPr>
          <w:rFonts w:ascii="Times New Roman" w:hAnsi="Times New Roman" w:cs="Times New Roman"/>
          <w:sz w:val="24"/>
          <w:szCs w:val="24"/>
        </w:rPr>
        <w:t xml:space="preserve"> pieņem EK. </w:t>
      </w:r>
    </w:p>
    <w:p w14:paraId="4CCD98F6" w14:textId="77777777" w:rsidR="008104EB" w:rsidRDefault="007D3F3D" w:rsidP="00915BDC">
      <w:pPr>
        <w:pStyle w:val="ListParagraph"/>
        <w:numPr>
          <w:ilvl w:val="0"/>
          <w:numId w:val="1"/>
        </w:numPr>
        <w:spacing w:line="276" w:lineRule="auto"/>
        <w:ind w:left="567" w:hanging="567"/>
        <w:jc w:val="both"/>
        <w:rPr>
          <w:rFonts w:ascii="Times New Roman" w:hAnsi="Times New Roman" w:cs="Times New Roman"/>
          <w:sz w:val="24"/>
          <w:szCs w:val="24"/>
        </w:rPr>
      </w:pPr>
      <w:r w:rsidRPr="0033214E">
        <w:rPr>
          <w:rFonts w:ascii="Times New Roman" w:hAnsi="Times New Roman" w:cs="Times New Roman"/>
          <w:sz w:val="24"/>
          <w:szCs w:val="24"/>
        </w:rPr>
        <w:t>Tā kā</w:t>
      </w:r>
      <w:r w:rsidRPr="0033214E">
        <w:rPr>
          <w:rFonts w:ascii="Times New Roman" w:hAnsi="Times New Roman" w:cs="Times New Roman"/>
          <w:bCs/>
          <w:sz w:val="24"/>
          <w:szCs w:val="24"/>
        </w:rPr>
        <w:t xml:space="preserve"> līdz attiecīga EK lēmuma pieņemšanai 2019.gadā snieguma rezerves finansējums nav uzskatāms par pieejamu,</w:t>
      </w:r>
      <w:r w:rsidRPr="0033214E">
        <w:rPr>
          <w:rFonts w:ascii="Times New Roman" w:hAnsi="Times New Roman" w:cs="Times New Roman"/>
          <w:color w:val="000000" w:themeColor="text1"/>
          <w:sz w:val="24"/>
          <w:szCs w:val="24"/>
        </w:rPr>
        <w:t xml:space="preserve"> atbildīgās iestādes līdz 2018.gada 31.decembrim plānoja investīcijas tikai par faktiski pieejamo ES fondu finansējumu (bez </w:t>
      </w:r>
      <w:r>
        <w:rPr>
          <w:rFonts w:ascii="Times New Roman" w:hAnsi="Times New Roman" w:cs="Times New Roman"/>
          <w:color w:val="000000" w:themeColor="text1"/>
          <w:sz w:val="24"/>
          <w:szCs w:val="24"/>
        </w:rPr>
        <w:t xml:space="preserve">snieguma </w:t>
      </w:r>
      <w:r w:rsidRPr="0033214E">
        <w:rPr>
          <w:rFonts w:ascii="Times New Roman" w:hAnsi="Times New Roman" w:cs="Times New Roman"/>
          <w:color w:val="000000" w:themeColor="text1"/>
          <w:sz w:val="24"/>
          <w:szCs w:val="24"/>
        </w:rPr>
        <w:t xml:space="preserve">rezerves), pārziņā esošo SAM/pasākumu starpā sadalot piemērojamo snieguma rezervi. </w:t>
      </w:r>
      <w:r w:rsidRPr="0033214E">
        <w:rPr>
          <w:rFonts w:ascii="Times New Roman" w:hAnsi="Times New Roman" w:cs="Times New Roman"/>
          <w:sz w:val="24"/>
          <w:szCs w:val="24"/>
        </w:rPr>
        <w:t>Attiecīgs regulējums tika ietverts MK noteikumos par SAM/pasākuma īstenošanu.</w:t>
      </w:r>
    </w:p>
    <w:p w14:paraId="755CA83D" w14:textId="266FDD9B" w:rsidR="008104EB" w:rsidRPr="008104EB" w:rsidRDefault="008104EB" w:rsidP="00915BDC">
      <w:pPr>
        <w:pStyle w:val="ListParagraph"/>
        <w:numPr>
          <w:ilvl w:val="0"/>
          <w:numId w:val="1"/>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sidRPr="008104EB">
        <w:rPr>
          <w:rFonts w:ascii="Times New Roman" w:hAnsi="Times New Roman" w:cs="Times New Roman"/>
          <w:sz w:val="24"/>
          <w:szCs w:val="24"/>
        </w:rPr>
        <w:t>r atsevišķiem MK lēmumiem</w:t>
      </w:r>
      <w:r w:rsidRPr="0033214E">
        <w:rPr>
          <w:rStyle w:val="FootnoteReference"/>
          <w:rFonts w:ascii="Times New Roman" w:hAnsi="Times New Roman" w:cs="Times New Roman"/>
          <w:sz w:val="24"/>
          <w:szCs w:val="24"/>
        </w:rPr>
        <w:footnoteReference w:id="20"/>
      </w:r>
      <w:r w:rsidRPr="008104EB">
        <w:rPr>
          <w:rFonts w:ascii="Times New Roman" w:hAnsi="Times New Roman" w:cs="Times New Roman"/>
          <w:sz w:val="24"/>
          <w:szCs w:val="24"/>
        </w:rPr>
        <w:t xml:space="preserve"> atļauta snieguma rezerves</w:t>
      </w:r>
      <w:r w:rsidR="000622AB">
        <w:rPr>
          <w:rFonts w:ascii="Times New Roman" w:hAnsi="Times New Roman" w:cs="Times New Roman"/>
          <w:sz w:val="24"/>
          <w:szCs w:val="24"/>
        </w:rPr>
        <w:t xml:space="preserve"> ātrāka izmantošana kopumā 45,5 milj. </w:t>
      </w:r>
      <w:proofErr w:type="spellStart"/>
      <w:r w:rsidR="007B7A0A" w:rsidRPr="007B7A0A">
        <w:rPr>
          <w:rFonts w:ascii="Times New Roman" w:hAnsi="Times New Roman" w:cs="Times New Roman"/>
          <w:i/>
          <w:sz w:val="24"/>
          <w:szCs w:val="24"/>
        </w:rPr>
        <w:t>euro</w:t>
      </w:r>
      <w:proofErr w:type="spellEnd"/>
      <w:r w:rsidRPr="008104EB">
        <w:rPr>
          <w:rFonts w:ascii="Times New Roman" w:hAnsi="Times New Roman" w:cs="Times New Roman"/>
          <w:i/>
          <w:sz w:val="24"/>
          <w:szCs w:val="24"/>
        </w:rPr>
        <w:t xml:space="preserve"> </w:t>
      </w:r>
      <w:r w:rsidRPr="008104EB">
        <w:rPr>
          <w:rFonts w:ascii="Times New Roman" w:hAnsi="Times New Roman" w:cs="Times New Roman"/>
          <w:sz w:val="24"/>
          <w:szCs w:val="24"/>
        </w:rPr>
        <w:t>atsevišķos SAM/pasākumos 1.prioritārajā virzienā “Pētniecība, tehnoloģiju attīstība un inovācijas”, 6.prioritārajā virzienā “Ilgtspējīga transporta sistēma”, kā arī 9.prioritārajā virzienā</w:t>
      </w:r>
      <w:r>
        <w:rPr>
          <w:rFonts w:ascii="Times New Roman" w:hAnsi="Times New Roman" w:cs="Times New Roman"/>
          <w:sz w:val="24"/>
          <w:szCs w:val="24"/>
        </w:rPr>
        <w:t>.</w:t>
      </w:r>
      <w:r w:rsidRPr="008104EB">
        <w:rPr>
          <w:rFonts w:ascii="Times New Roman" w:hAnsi="Times New Roman" w:cs="Times New Roman"/>
          <w:sz w:val="24"/>
          <w:szCs w:val="24"/>
        </w:rPr>
        <w:t xml:space="preserve"> </w:t>
      </w:r>
    </w:p>
    <w:p w14:paraId="2E13FCB1" w14:textId="13589791" w:rsidR="007D3F3D" w:rsidRPr="007D3F3D" w:rsidRDefault="007D3F3D" w:rsidP="00915BDC">
      <w:pPr>
        <w:pStyle w:val="ListParagraph"/>
        <w:numPr>
          <w:ilvl w:val="0"/>
          <w:numId w:val="1"/>
        </w:numPr>
        <w:spacing w:line="276" w:lineRule="auto"/>
        <w:ind w:left="567" w:hanging="567"/>
        <w:jc w:val="both"/>
        <w:rPr>
          <w:rFonts w:ascii="Times New Roman" w:hAnsi="Times New Roman" w:cs="Times New Roman"/>
          <w:sz w:val="24"/>
          <w:szCs w:val="24"/>
        </w:rPr>
      </w:pPr>
      <w:r w:rsidRPr="007D3F3D">
        <w:rPr>
          <w:rFonts w:ascii="Times New Roman" w:hAnsi="Times New Roman" w:cs="Times New Roman"/>
          <w:sz w:val="24"/>
          <w:szCs w:val="24"/>
        </w:rPr>
        <w:t>Lai veicinātu snieguma ietvara nosacījumu izpildi un saņemtu snieguma rezerves finansējumu, tika nodrošināta efektīva risku pārvaldība, kā arī tieša un mērķtiecīga sadarbība ar projektu īstenotājiem un EK. Intensif</w:t>
      </w:r>
      <w:r w:rsidR="000622AB">
        <w:rPr>
          <w:rFonts w:ascii="Times New Roman" w:hAnsi="Times New Roman" w:cs="Times New Roman"/>
          <w:sz w:val="24"/>
          <w:szCs w:val="24"/>
        </w:rPr>
        <w:t>icējot naudas plūsmas un veicot</w:t>
      </w:r>
      <w:r w:rsidRPr="007D3F3D">
        <w:rPr>
          <w:rFonts w:ascii="Times New Roman" w:hAnsi="Times New Roman" w:cs="Times New Roman"/>
          <w:sz w:val="24"/>
          <w:szCs w:val="24"/>
        </w:rPr>
        <w:t xml:space="preserve"> pārdomātas</w:t>
      </w:r>
      <w:r w:rsidRPr="007D3F3D" w:rsidDel="00FD7216">
        <w:rPr>
          <w:rFonts w:ascii="Times New Roman" w:hAnsi="Times New Roman" w:cs="Times New Roman"/>
          <w:sz w:val="24"/>
          <w:szCs w:val="24"/>
        </w:rPr>
        <w:t xml:space="preserve"> </w:t>
      </w:r>
      <w:r w:rsidRPr="007D3F3D">
        <w:rPr>
          <w:rFonts w:ascii="Times New Roman" w:hAnsi="Times New Roman" w:cs="Times New Roman"/>
          <w:sz w:val="24"/>
          <w:szCs w:val="24"/>
        </w:rPr>
        <w:t xml:space="preserve">darbības, Latvija ir sekmīgi izpildījusi darbības programmā noteiktās starpposma vērtības visos prioritārajos virzienos, lai varētu saņemt snieguma rezerves finansējumu. Tieši 2018.gadā būtiski uzlabojās noteikto rādītāju starpposma vērtību izpildes progress. Lai arī atsevišķos prioritārajos virzienos ir bijis lēnāks progress, daži </w:t>
      </w:r>
      <w:r w:rsidRPr="007D3F3D">
        <w:rPr>
          <w:rFonts w:ascii="Times New Roman" w:hAnsi="Times New Roman" w:cs="Times New Roman"/>
          <w:sz w:val="24"/>
          <w:szCs w:val="24"/>
        </w:rPr>
        <w:lastRenderedPageBreak/>
        <w:t>rādītāji pat krietni pārpildīti</w:t>
      </w:r>
      <w:r w:rsidRPr="0033214E">
        <w:rPr>
          <w:rStyle w:val="FootnoteReference"/>
          <w:rFonts w:ascii="Times New Roman" w:hAnsi="Times New Roman" w:cs="Times New Roman"/>
          <w:iCs/>
          <w:sz w:val="24"/>
          <w:szCs w:val="24"/>
        </w:rPr>
        <w:footnoteReference w:id="21"/>
      </w:r>
      <w:r w:rsidRPr="007D3F3D">
        <w:rPr>
          <w:rFonts w:ascii="Times New Roman" w:hAnsi="Times New Roman" w:cs="Times New Roman"/>
          <w:sz w:val="24"/>
          <w:szCs w:val="24"/>
        </w:rPr>
        <w:t>.</w:t>
      </w:r>
      <w:r w:rsidR="008104EB">
        <w:rPr>
          <w:rFonts w:ascii="Times New Roman" w:hAnsi="Times New Roman" w:cs="Times New Roman"/>
          <w:sz w:val="24"/>
          <w:szCs w:val="24"/>
        </w:rPr>
        <w:t xml:space="preserve"> Tomēr jāņem vērā, ka </w:t>
      </w:r>
      <w:r w:rsidR="00CE7D34">
        <w:rPr>
          <w:rFonts w:ascii="Times New Roman" w:hAnsi="Times New Roman" w:cs="Times New Roman"/>
          <w:sz w:val="24"/>
          <w:szCs w:val="24"/>
        </w:rPr>
        <w:t xml:space="preserve">2017. un 2018.gadā </w:t>
      </w:r>
      <w:r w:rsidR="008104EB">
        <w:rPr>
          <w:rFonts w:ascii="Times New Roman" w:hAnsi="Times New Roman" w:cs="Times New Roman"/>
          <w:sz w:val="24"/>
          <w:szCs w:val="24"/>
        </w:rPr>
        <w:t xml:space="preserve">ar darbības programmas grozījumiem tika veiktas izmaiņas </w:t>
      </w:r>
      <w:r w:rsidR="00CE7D34">
        <w:rPr>
          <w:rFonts w:ascii="Times New Roman" w:hAnsi="Times New Roman" w:cs="Times New Roman"/>
          <w:sz w:val="24"/>
          <w:szCs w:val="24"/>
        </w:rPr>
        <w:t>vairāku</w:t>
      </w:r>
      <w:r w:rsidR="007D2457">
        <w:rPr>
          <w:rFonts w:ascii="Times New Roman" w:hAnsi="Times New Roman" w:cs="Times New Roman"/>
          <w:sz w:val="24"/>
          <w:szCs w:val="24"/>
        </w:rPr>
        <w:t xml:space="preserve"> atbildīgo iestāžu pārziņā esošo</w:t>
      </w:r>
      <w:r w:rsidR="008104EB">
        <w:rPr>
          <w:rFonts w:ascii="Times New Roman" w:hAnsi="Times New Roman" w:cs="Times New Roman"/>
          <w:sz w:val="24"/>
          <w:szCs w:val="24"/>
        </w:rPr>
        <w:t xml:space="preserve"> prio</w:t>
      </w:r>
      <w:r w:rsidR="007D2457">
        <w:rPr>
          <w:rFonts w:ascii="Times New Roman" w:hAnsi="Times New Roman" w:cs="Times New Roman"/>
          <w:sz w:val="24"/>
          <w:szCs w:val="24"/>
        </w:rPr>
        <w:t>ritāro virzienu snieguma ietvaros</w:t>
      </w:r>
      <w:r w:rsidR="008104EB">
        <w:rPr>
          <w:rFonts w:ascii="Times New Roman" w:hAnsi="Times New Roman" w:cs="Times New Roman"/>
          <w:sz w:val="24"/>
          <w:szCs w:val="24"/>
        </w:rPr>
        <w:t>, lai potenciāli nezaudētu snieguma rezerves finansējumu.</w:t>
      </w:r>
      <w:r w:rsidR="008104EB">
        <w:rPr>
          <w:rStyle w:val="FootnoteReference"/>
          <w:rFonts w:ascii="Times New Roman" w:hAnsi="Times New Roman" w:cs="Times New Roman"/>
          <w:sz w:val="24"/>
          <w:szCs w:val="24"/>
        </w:rPr>
        <w:footnoteReference w:id="22"/>
      </w:r>
    </w:p>
    <w:p w14:paraId="4FD1CCBF" w14:textId="77777777" w:rsidR="007D3F3D" w:rsidRPr="00AA0994" w:rsidRDefault="007D3F3D" w:rsidP="00915BDC">
      <w:pPr>
        <w:pStyle w:val="ListParagraph"/>
        <w:numPr>
          <w:ilvl w:val="0"/>
          <w:numId w:val="1"/>
        </w:numPr>
        <w:tabs>
          <w:tab w:val="left" w:pos="2880"/>
        </w:tabs>
        <w:spacing w:line="276" w:lineRule="auto"/>
        <w:ind w:left="567" w:hanging="567"/>
        <w:jc w:val="both"/>
        <w:rPr>
          <w:rFonts w:ascii="Times New Roman" w:hAnsi="Times New Roman" w:cs="Times New Roman"/>
          <w:sz w:val="24"/>
          <w:szCs w:val="24"/>
        </w:rPr>
      </w:pPr>
      <w:r w:rsidRPr="0033214E">
        <w:rPr>
          <w:rFonts w:ascii="Times New Roman" w:hAnsi="Times New Roman" w:cs="Times New Roman"/>
          <w:sz w:val="24"/>
          <w:szCs w:val="24"/>
        </w:rPr>
        <w:t>2019.gada 16.augustā EK pieņēmusi pozitīvu lēmumu</w:t>
      </w:r>
      <w:r w:rsidRPr="0033214E">
        <w:rPr>
          <w:rStyle w:val="FootnoteReference"/>
          <w:rFonts w:ascii="Times New Roman" w:hAnsi="Times New Roman" w:cs="Times New Roman"/>
          <w:sz w:val="24"/>
          <w:szCs w:val="24"/>
        </w:rPr>
        <w:footnoteReference w:id="23"/>
      </w:r>
      <w:r w:rsidRPr="0033214E">
        <w:rPr>
          <w:rFonts w:ascii="Times New Roman" w:hAnsi="Times New Roman" w:cs="Times New Roman"/>
          <w:sz w:val="24"/>
          <w:szCs w:val="24"/>
        </w:rPr>
        <w:t xml:space="preserve"> par darbības programmā noteikto starpposma mērķu izpildi. Līdz ar to Latvija ir saņēmusi darbības programmā noteikto 6% snieguma rezerves finansējumu turpmākai izmantošanai</w:t>
      </w:r>
      <w:r w:rsidRPr="0033214E">
        <w:rPr>
          <w:rFonts w:ascii="Times New Roman" w:hAnsi="Times New Roman" w:cs="Times New Roman"/>
          <w:i/>
          <w:sz w:val="24"/>
          <w:szCs w:val="24"/>
        </w:rPr>
        <w:t>.</w:t>
      </w:r>
    </w:p>
    <w:p w14:paraId="48A54731" w14:textId="2F52925C" w:rsidR="007D3F3D" w:rsidRPr="0033214E" w:rsidRDefault="007D3F3D" w:rsidP="00915BDC">
      <w:pPr>
        <w:tabs>
          <w:tab w:val="left" w:pos="2880"/>
        </w:tabs>
        <w:spacing w:line="276" w:lineRule="auto"/>
        <w:rPr>
          <w:rFonts w:cs="Times New Roman"/>
          <w:szCs w:val="24"/>
        </w:rPr>
      </w:pPr>
    </w:p>
    <w:p w14:paraId="0E32A99B" w14:textId="1A7A63AD" w:rsidR="00145FFC" w:rsidRPr="0033214E" w:rsidRDefault="006245ED" w:rsidP="0008520F">
      <w:pPr>
        <w:pStyle w:val="Heading2"/>
        <w:jc w:val="center"/>
        <w:rPr>
          <w:rFonts w:ascii="Times New Roman" w:hAnsi="Times New Roman" w:cs="Times New Roman"/>
          <w:b/>
          <w:color w:val="auto"/>
          <w:sz w:val="24"/>
          <w:szCs w:val="24"/>
        </w:rPr>
      </w:pPr>
      <w:bookmarkStart w:id="4" w:name="_Toc21076982"/>
      <w:r>
        <w:rPr>
          <w:rFonts w:ascii="Times New Roman" w:hAnsi="Times New Roman" w:cs="Times New Roman"/>
          <w:b/>
          <w:color w:val="auto"/>
          <w:sz w:val="24"/>
          <w:szCs w:val="24"/>
        </w:rPr>
        <w:t>I</w:t>
      </w:r>
      <w:r w:rsidR="00145FFC" w:rsidRPr="0033214E">
        <w:rPr>
          <w:rFonts w:ascii="Times New Roman" w:hAnsi="Times New Roman" w:cs="Times New Roman"/>
          <w:b/>
          <w:color w:val="auto"/>
          <w:sz w:val="24"/>
          <w:szCs w:val="24"/>
        </w:rPr>
        <w:t>I</w:t>
      </w:r>
      <w:r w:rsidR="00AA0994">
        <w:rPr>
          <w:rFonts w:ascii="Times New Roman" w:hAnsi="Times New Roman" w:cs="Times New Roman"/>
          <w:b/>
          <w:color w:val="auto"/>
          <w:sz w:val="24"/>
          <w:szCs w:val="24"/>
        </w:rPr>
        <w:t>I</w:t>
      </w:r>
      <w:r w:rsidR="00145FFC" w:rsidRPr="0033214E">
        <w:rPr>
          <w:rFonts w:ascii="Times New Roman" w:hAnsi="Times New Roman" w:cs="Times New Roman"/>
          <w:b/>
          <w:color w:val="auto"/>
          <w:sz w:val="24"/>
          <w:szCs w:val="24"/>
        </w:rPr>
        <w:t xml:space="preserve"> Atbildīgo iestāžu sniegtie priekšlikumi snieguma rezerves</w:t>
      </w:r>
      <w:r w:rsidR="005355D5">
        <w:rPr>
          <w:rFonts w:ascii="Times New Roman" w:hAnsi="Times New Roman" w:cs="Times New Roman"/>
          <w:b/>
          <w:color w:val="auto"/>
          <w:sz w:val="24"/>
          <w:szCs w:val="24"/>
        </w:rPr>
        <w:t xml:space="preserve"> finansējuma un finansējuma atlikumu</w:t>
      </w:r>
      <w:r w:rsidR="00145FFC" w:rsidRPr="0033214E">
        <w:rPr>
          <w:rFonts w:ascii="Times New Roman" w:hAnsi="Times New Roman" w:cs="Times New Roman"/>
          <w:b/>
          <w:color w:val="auto"/>
          <w:sz w:val="24"/>
          <w:szCs w:val="24"/>
        </w:rPr>
        <w:t xml:space="preserve"> izmantošanai</w:t>
      </w:r>
      <w:bookmarkEnd w:id="4"/>
      <w:r w:rsidR="00A212C4" w:rsidRPr="0033214E">
        <w:rPr>
          <w:rFonts w:ascii="Times New Roman" w:hAnsi="Times New Roman" w:cs="Times New Roman"/>
          <w:b/>
          <w:color w:val="auto"/>
          <w:sz w:val="24"/>
          <w:szCs w:val="24"/>
        </w:rPr>
        <w:t xml:space="preserve"> </w:t>
      </w:r>
    </w:p>
    <w:p w14:paraId="161E8246" w14:textId="143D4A6C" w:rsidR="00145FFC" w:rsidRPr="0033214E" w:rsidRDefault="00145FFC" w:rsidP="0008520F">
      <w:pPr>
        <w:tabs>
          <w:tab w:val="left" w:pos="2880"/>
        </w:tabs>
        <w:rPr>
          <w:rFonts w:cs="Times New Roman"/>
          <w:szCs w:val="24"/>
        </w:rPr>
      </w:pPr>
    </w:p>
    <w:p w14:paraId="39B51018" w14:textId="1172077C" w:rsidR="00D80124" w:rsidRDefault="008F1CCD" w:rsidP="00DB2596">
      <w:pPr>
        <w:pStyle w:val="ListParagraph"/>
        <w:numPr>
          <w:ilvl w:val="0"/>
          <w:numId w:val="1"/>
        </w:numPr>
        <w:spacing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t>A</w:t>
      </w:r>
      <w:r w:rsidRPr="0033214E">
        <w:rPr>
          <w:rFonts w:ascii="Times New Roman" w:hAnsi="Times New Roman" w:cs="Times New Roman"/>
          <w:sz w:val="24"/>
          <w:szCs w:val="24"/>
        </w:rPr>
        <w:t xml:space="preserve">tbilstoši MK uzdevumam </w:t>
      </w:r>
      <w:r>
        <w:rPr>
          <w:rFonts w:ascii="Times New Roman" w:hAnsi="Times New Roman" w:cs="Times New Roman"/>
          <w:sz w:val="24"/>
          <w:szCs w:val="24"/>
        </w:rPr>
        <w:t>p</w:t>
      </w:r>
      <w:r w:rsidR="009C5FCC" w:rsidRPr="0033214E">
        <w:rPr>
          <w:rFonts w:ascii="Times New Roman" w:hAnsi="Times New Roman" w:cs="Times New Roman"/>
          <w:sz w:val="24"/>
          <w:szCs w:val="24"/>
        </w:rPr>
        <w:t xml:space="preserve">ar ES fondu īstenošanu atbildīgās iestādes ir sniegušas priekšlikumus </w:t>
      </w:r>
      <w:r w:rsidR="009C5FCC" w:rsidRPr="002609C5">
        <w:rPr>
          <w:rFonts w:ascii="Times New Roman" w:hAnsi="Times New Roman" w:cs="Times New Roman"/>
          <w:b/>
          <w:sz w:val="24"/>
          <w:szCs w:val="24"/>
        </w:rPr>
        <w:t>snieguma rezerves, kopā 267</w:t>
      </w:r>
      <w:r w:rsidR="000622AB">
        <w:rPr>
          <w:rFonts w:ascii="Times New Roman" w:hAnsi="Times New Roman" w:cs="Times New Roman"/>
          <w:b/>
          <w:sz w:val="24"/>
          <w:szCs w:val="24"/>
        </w:rPr>
        <w:t>,4 </w:t>
      </w:r>
      <w:r w:rsidR="002609C5" w:rsidRPr="002609C5">
        <w:rPr>
          <w:rFonts w:ascii="Times New Roman" w:hAnsi="Times New Roman" w:cs="Times New Roman"/>
          <w:b/>
          <w:sz w:val="24"/>
          <w:szCs w:val="24"/>
        </w:rPr>
        <w:t>milj.</w:t>
      </w:r>
      <w:r w:rsidR="000622AB">
        <w:rPr>
          <w:rFonts w:ascii="Times New Roman" w:hAnsi="Times New Roman" w:cs="Times New Roman"/>
          <w:b/>
          <w:sz w:val="24"/>
          <w:szCs w:val="24"/>
        </w:rPr>
        <w:t> </w:t>
      </w:r>
      <w:proofErr w:type="spellStart"/>
      <w:r w:rsidR="007B7A0A" w:rsidRPr="007B7A0A">
        <w:rPr>
          <w:rFonts w:ascii="Times New Roman" w:hAnsi="Times New Roman" w:cs="Times New Roman"/>
          <w:b/>
          <w:i/>
          <w:sz w:val="24"/>
          <w:szCs w:val="24"/>
        </w:rPr>
        <w:t>euro</w:t>
      </w:r>
      <w:proofErr w:type="spellEnd"/>
      <w:r w:rsidR="009C5FCC" w:rsidRPr="0033214E">
        <w:rPr>
          <w:rFonts w:ascii="Times New Roman" w:hAnsi="Times New Roman" w:cs="Times New Roman"/>
          <w:sz w:val="24"/>
          <w:szCs w:val="24"/>
        </w:rPr>
        <w:t>, novirzīšanai</w:t>
      </w:r>
      <w:r w:rsidR="00D41578" w:rsidRPr="0033214E">
        <w:rPr>
          <w:rFonts w:ascii="Times New Roman" w:hAnsi="Times New Roman" w:cs="Times New Roman"/>
          <w:sz w:val="24"/>
          <w:szCs w:val="24"/>
        </w:rPr>
        <w:t>, t</w:t>
      </w:r>
      <w:r w:rsidR="00470EAA" w:rsidRPr="0033214E">
        <w:rPr>
          <w:rFonts w:ascii="Times New Roman" w:hAnsi="Times New Roman" w:cs="Times New Roman"/>
          <w:sz w:val="24"/>
          <w:szCs w:val="24"/>
        </w:rPr>
        <w:t>.</w:t>
      </w:r>
      <w:r w:rsidR="00D41578" w:rsidRPr="0033214E">
        <w:rPr>
          <w:rFonts w:ascii="Times New Roman" w:hAnsi="Times New Roman" w:cs="Times New Roman"/>
          <w:sz w:val="24"/>
          <w:szCs w:val="24"/>
        </w:rPr>
        <w:t>sk.</w:t>
      </w:r>
      <w:r w:rsidR="009C5FCC" w:rsidRPr="0033214E">
        <w:rPr>
          <w:rFonts w:ascii="Times New Roman" w:hAnsi="Times New Roman" w:cs="Times New Roman"/>
          <w:sz w:val="24"/>
          <w:szCs w:val="24"/>
        </w:rPr>
        <w:t xml:space="preserve"> esošo SAM, pasākumu un kārtu turpmākai īstenošanai</w:t>
      </w:r>
      <w:r w:rsidR="00D41578" w:rsidRPr="0033214E">
        <w:rPr>
          <w:rFonts w:ascii="Times New Roman" w:hAnsi="Times New Roman" w:cs="Times New Roman"/>
          <w:sz w:val="24"/>
          <w:szCs w:val="24"/>
        </w:rPr>
        <w:t>,</w:t>
      </w:r>
      <w:r w:rsidR="009C5FCC" w:rsidRPr="0033214E">
        <w:rPr>
          <w:rFonts w:ascii="Times New Roman" w:hAnsi="Times New Roman" w:cs="Times New Roman"/>
          <w:sz w:val="24"/>
          <w:szCs w:val="24"/>
        </w:rPr>
        <w:t xml:space="preserve"> jaunu projektu iesni</w:t>
      </w:r>
      <w:r w:rsidR="00D41578" w:rsidRPr="0033214E">
        <w:rPr>
          <w:rFonts w:ascii="Times New Roman" w:hAnsi="Times New Roman" w:cs="Times New Roman"/>
          <w:sz w:val="24"/>
          <w:szCs w:val="24"/>
        </w:rPr>
        <w:t>egumu atlases kārtu īstenošanai, kā arī atsevišķām jaunām iniciatīvām.</w:t>
      </w:r>
      <w:r w:rsidR="009C5FCC" w:rsidRPr="0033214E">
        <w:rPr>
          <w:rFonts w:ascii="Times New Roman" w:hAnsi="Times New Roman" w:cs="Times New Roman"/>
          <w:sz w:val="24"/>
          <w:szCs w:val="24"/>
        </w:rPr>
        <w:t xml:space="preserve"> Kopumā secināms, ka lielāko daļu snieguma rezerves finansējuma piedāvāts izmantot </w:t>
      </w:r>
      <w:r w:rsidR="00470EAA" w:rsidRPr="0033214E">
        <w:rPr>
          <w:rFonts w:ascii="Times New Roman" w:hAnsi="Times New Roman" w:cs="Times New Roman"/>
          <w:sz w:val="24"/>
          <w:szCs w:val="24"/>
        </w:rPr>
        <w:t xml:space="preserve">atbilstoši </w:t>
      </w:r>
      <w:r w:rsidR="009C5FCC" w:rsidRPr="0033214E">
        <w:rPr>
          <w:rFonts w:ascii="Times New Roman" w:hAnsi="Times New Roman" w:cs="Times New Roman"/>
          <w:sz w:val="24"/>
          <w:szCs w:val="24"/>
        </w:rPr>
        <w:t>sākotnēji</w:t>
      </w:r>
      <w:r w:rsidR="00470EAA" w:rsidRPr="0033214E">
        <w:rPr>
          <w:rFonts w:ascii="Times New Roman" w:hAnsi="Times New Roman" w:cs="Times New Roman"/>
          <w:sz w:val="24"/>
          <w:szCs w:val="24"/>
        </w:rPr>
        <w:t>em investīciju</w:t>
      </w:r>
      <w:r w:rsidR="009C5FCC" w:rsidRPr="0033214E">
        <w:rPr>
          <w:rFonts w:ascii="Times New Roman" w:hAnsi="Times New Roman" w:cs="Times New Roman"/>
          <w:sz w:val="24"/>
          <w:szCs w:val="24"/>
        </w:rPr>
        <w:t xml:space="preserve"> </w:t>
      </w:r>
      <w:r w:rsidR="00470EAA" w:rsidRPr="0033214E">
        <w:rPr>
          <w:rFonts w:ascii="Times New Roman" w:hAnsi="Times New Roman" w:cs="Times New Roman"/>
          <w:sz w:val="24"/>
          <w:szCs w:val="24"/>
        </w:rPr>
        <w:t>plāniem</w:t>
      </w:r>
      <w:r w:rsidR="009C5FCC" w:rsidRPr="0033214E">
        <w:rPr>
          <w:rFonts w:ascii="Times New Roman" w:hAnsi="Times New Roman" w:cs="Times New Roman"/>
          <w:sz w:val="24"/>
          <w:szCs w:val="24"/>
        </w:rPr>
        <w:t xml:space="preserve">, atsevišķos gadījumos piedāvājot to pārdalīt uz citu SAM/pasākumu/kārtu atbildīgās iestādes </w:t>
      </w:r>
      <w:r w:rsidR="00227E6C" w:rsidRPr="006245ED">
        <w:rPr>
          <w:rFonts w:ascii="Times New Roman" w:hAnsi="Times New Roman" w:cs="Times New Roman"/>
          <w:sz w:val="24"/>
          <w:szCs w:val="24"/>
        </w:rPr>
        <w:t xml:space="preserve">pieejamā ES fondu finansējuma </w:t>
      </w:r>
      <w:r w:rsidR="009C5FCC" w:rsidRPr="006245ED">
        <w:rPr>
          <w:rFonts w:ascii="Times New Roman" w:hAnsi="Times New Roman" w:cs="Times New Roman"/>
          <w:sz w:val="24"/>
          <w:szCs w:val="24"/>
        </w:rPr>
        <w:t>ietvaros</w:t>
      </w:r>
      <w:r w:rsidR="00D80124">
        <w:rPr>
          <w:rFonts w:ascii="Times New Roman" w:hAnsi="Times New Roman" w:cs="Times New Roman"/>
          <w:sz w:val="24"/>
          <w:szCs w:val="24"/>
        </w:rPr>
        <w:t xml:space="preserve"> (skatīt Tabulu Nr.1)</w:t>
      </w:r>
      <w:r w:rsidR="009C5FCC" w:rsidRPr="006245ED">
        <w:rPr>
          <w:rFonts w:ascii="Times New Roman" w:hAnsi="Times New Roman" w:cs="Times New Roman"/>
          <w:sz w:val="24"/>
          <w:szCs w:val="24"/>
        </w:rPr>
        <w:t>. Tāpat atbildīgās iestādes sniegušas priekšlikumus</w:t>
      </w:r>
      <w:r w:rsidR="005D790A">
        <w:rPr>
          <w:rFonts w:ascii="Times New Roman" w:hAnsi="Times New Roman" w:cs="Times New Roman"/>
          <w:sz w:val="24"/>
          <w:szCs w:val="24"/>
        </w:rPr>
        <w:t xml:space="preserve"> to</w:t>
      </w:r>
      <w:r w:rsidR="009C5FCC" w:rsidRPr="006245ED">
        <w:rPr>
          <w:rFonts w:ascii="Times New Roman" w:hAnsi="Times New Roman" w:cs="Times New Roman"/>
          <w:sz w:val="24"/>
          <w:szCs w:val="24"/>
        </w:rPr>
        <w:t xml:space="preserve"> pārziņā </w:t>
      </w:r>
      <w:proofErr w:type="spellStart"/>
      <w:r w:rsidR="009C5FCC" w:rsidRPr="006245ED">
        <w:rPr>
          <w:rFonts w:ascii="Times New Roman" w:hAnsi="Times New Roman" w:cs="Times New Roman"/>
          <w:sz w:val="24"/>
          <w:szCs w:val="24"/>
        </w:rPr>
        <w:t>esošajo</w:t>
      </w:r>
      <w:proofErr w:type="spellEnd"/>
      <w:r w:rsidR="009C5FCC" w:rsidRPr="006245ED">
        <w:rPr>
          <w:rFonts w:ascii="Times New Roman" w:hAnsi="Times New Roman" w:cs="Times New Roman"/>
          <w:sz w:val="24"/>
          <w:szCs w:val="24"/>
        </w:rPr>
        <w:t xml:space="preserve"> SAM/pasākum</w:t>
      </w:r>
      <w:r w:rsidR="00542FE0">
        <w:rPr>
          <w:rFonts w:ascii="Times New Roman" w:hAnsi="Times New Roman" w:cs="Times New Roman"/>
          <w:sz w:val="24"/>
          <w:szCs w:val="24"/>
        </w:rPr>
        <w:t>u</w:t>
      </w:r>
      <w:r w:rsidR="009C5FCC" w:rsidRPr="006245ED">
        <w:rPr>
          <w:rFonts w:ascii="Times New Roman" w:hAnsi="Times New Roman" w:cs="Times New Roman"/>
          <w:sz w:val="24"/>
          <w:szCs w:val="24"/>
        </w:rPr>
        <w:t xml:space="preserve"> </w:t>
      </w:r>
      <w:r w:rsidR="002609C5" w:rsidRPr="002609C5">
        <w:rPr>
          <w:rFonts w:ascii="Times New Roman" w:hAnsi="Times New Roman" w:cs="Times New Roman"/>
          <w:b/>
          <w:sz w:val="24"/>
          <w:szCs w:val="24"/>
        </w:rPr>
        <w:t>finansējuma</w:t>
      </w:r>
      <w:r w:rsidR="00542FE0">
        <w:rPr>
          <w:rFonts w:ascii="Times New Roman" w:hAnsi="Times New Roman" w:cs="Times New Roman"/>
          <w:b/>
          <w:sz w:val="24"/>
          <w:szCs w:val="24"/>
        </w:rPr>
        <w:t xml:space="preserve"> </w:t>
      </w:r>
      <w:r w:rsidR="00542FE0" w:rsidRPr="00EF633F">
        <w:rPr>
          <w:rFonts w:ascii="Times New Roman" w:hAnsi="Times New Roman" w:cs="Times New Roman"/>
          <w:b/>
          <w:sz w:val="24"/>
          <w:szCs w:val="24"/>
        </w:rPr>
        <w:t>atlikumu</w:t>
      </w:r>
      <w:r w:rsidR="009C5FCC" w:rsidRPr="00EF633F">
        <w:rPr>
          <w:rFonts w:ascii="Times New Roman" w:hAnsi="Times New Roman" w:cs="Times New Roman"/>
          <w:sz w:val="24"/>
          <w:szCs w:val="24"/>
        </w:rPr>
        <w:t xml:space="preserve"> </w:t>
      </w:r>
      <w:r w:rsidR="00542FE0" w:rsidRPr="00EF633F">
        <w:rPr>
          <w:rFonts w:ascii="Times New Roman" w:eastAsia="Times New Roman" w:hAnsi="Times New Roman" w:cs="Times New Roman"/>
          <w:b/>
          <w:bCs/>
          <w:color w:val="000000"/>
          <w:sz w:val="24"/>
          <w:szCs w:val="24"/>
          <w:lang w:eastAsia="lv-LV"/>
        </w:rPr>
        <w:t>4</w:t>
      </w:r>
      <w:r w:rsidR="004000E5" w:rsidRPr="00EF633F">
        <w:rPr>
          <w:rFonts w:ascii="Times New Roman" w:eastAsia="Times New Roman" w:hAnsi="Times New Roman" w:cs="Times New Roman"/>
          <w:b/>
          <w:bCs/>
          <w:color w:val="000000"/>
          <w:sz w:val="24"/>
          <w:szCs w:val="24"/>
          <w:lang w:eastAsia="lv-LV"/>
        </w:rPr>
        <w:t>26</w:t>
      </w:r>
      <w:r w:rsidR="00542FE0" w:rsidRPr="00EF633F">
        <w:rPr>
          <w:rFonts w:ascii="Times New Roman" w:eastAsia="Times New Roman" w:hAnsi="Times New Roman" w:cs="Times New Roman"/>
          <w:b/>
          <w:bCs/>
          <w:color w:val="000000"/>
          <w:sz w:val="24"/>
          <w:szCs w:val="24"/>
          <w:lang w:eastAsia="lv-LV"/>
        </w:rPr>
        <w:t>,</w:t>
      </w:r>
      <w:r w:rsidR="004000E5" w:rsidRPr="00EF633F">
        <w:rPr>
          <w:rFonts w:ascii="Times New Roman" w:eastAsia="Times New Roman" w:hAnsi="Times New Roman" w:cs="Times New Roman"/>
          <w:b/>
          <w:bCs/>
          <w:color w:val="000000"/>
          <w:sz w:val="24"/>
          <w:szCs w:val="24"/>
          <w:lang w:eastAsia="lv-LV"/>
        </w:rPr>
        <w:t>0</w:t>
      </w:r>
      <w:r w:rsidR="002609C5" w:rsidRPr="00EF633F">
        <w:rPr>
          <w:rFonts w:ascii="Times New Roman" w:eastAsia="Times New Roman" w:hAnsi="Times New Roman" w:cs="Times New Roman"/>
          <w:b/>
          <w:bCs/>
          <w:color w:val="000000"/>
          <w:sz w:val="24"/>
          <w:szCs w:val="24"/>
          <w:lang w:eastAsia="lv-LV"/>
        </w:rPr>
        <w:t xml:space="preserve"> milj. </w:t>
      </w:r>
      <w:proofErr w:type="spellStart"/>
      <w:r w:rsidR="007B7A0A" w:rsidRPr="00EF633F">
        <w:rPr>
          <w:rFonts w:ascii="Times New Roman" w:eastAsia="Times New Roman" w:hAnsi="Times New Roman" w:cs="Times New Roman"/>
          <w:b/>
          <w:bCs/>
          <w:i/>
          <w:color w:val="000000"/>
          <w:sz w:val="24"/>
          <w:szCs w:val="24"/>
          <w:lang w:eastAsia="lv-LV"/>
        </w:rPr>
        <w:t>euro</w:t>
      </w:r>
      <w:proofErr w:type="spellEnd"/>
      <w:r w:rsidR="005355D5" w:rsidRPr="00EF633F">
        <w:rPr>
          <w:rStyle w:val="FootnoteReference"/>
          <w:rFonts w:ascii="Times New Roman" w:eastAsia="Times New Roman" w:hAnsi="Times New Roman" w:cs="Times New Roman"/>
          <w:b/>
          <w:bCs/>
          <w:color w:val="000000"/>
          <w:sz w:val="24"/>
          <w:szCs w:val="24"/>
          <w:lang w:eastAsia="lv-LV"/>
        </w:rPr>
        <w:footnoteReference w:id="24"/>
      </w:r>
      <w:r w:rsidR="002609C5" w:rsidRPr="00EF633F">
        <w:rPr>
          <w:rFonts w:ascii="Times New Roman" w:hAnsi="Times New Roman" w:cs="Times New Roman"/>
          <w:sz w:val="24"/>
          <w:szCs w:val="24"/>
        </w:rPr>
        <w:t xml:space="preserve"> </w:t>
      </w:r>
      <w:r w:rsidR="00D41578" w:rsidRPr="00EF633F">
        <w:rPr>
          <w:rFonts w:ascii="Times New Roman" w:hAnsi="Times New Roman" w:cs="Times New Roman"/>
          <w:sz w:val="24"/>
          <w:szCs w:val="24"/>
        </w:rPr>
        <w:t>tālākai izmantošanai</w:t>
      </w:r>
      <w:r w:rsidR="009C5FCC" w:rsidRPr="005355D5">
        <w:rPr>
          <w:rFonts w:ascii="Times New Roman" w:hAnsi="Times New Roman" w:cs="Times New Roman"/>
          <w:sz w:val="24"/>
          <w:szCs w:val="24"/>
        </w:rPr>
        <w:t>.</w:t>
      </w:r>
      <w:r w:rsidR="00876B93" w:rsidRPr="005355D5">
        <w:rPr>
          <w:rFonts w:ascii="Times New Roman" w:hAnsi="Times New Roman" w:cs="Times New Roman"/>
          <w:sz w:val="24"/>
          <w:szCs w:val="24"/>
        </w:rPr>
        <w:t xml:space="preserve"> </w:t>
      </w:r>
      <w:r w:rsidR="003925E9" w:rsidRPr="005355D5">
        <w:rPr>
          <w:rFonts w:ascii="Times New Roman" w:hAnsi="Times New Roman" w:cs="Times New Roman"/>
          <w:sz w:val="24"/>
          <w:szCs w:val="24"/>
        </w:rPr>
        <w:t xml:space="preserve">Detalizēta informācija par pieejamo snieguma rezerves finansējumu un finansējuma atlikumu </w:t>
      </w:r>
      <w:r w:rsidR="00C70174" w:rsidRPr="005355D5">
        <w:rPr>
          <w:rFonts w:ascii="Times New Roman" w:hAnsi="Times New Roman" w:cs="Times New Roman"/>
          <w:sz w:val="24"/>
          <w:szCs w:val="24"/>
        </w:rPr>
        <w:t xml:space="preserve">SAM/pasākumu līmenī </w:t>
      </w:r>
      <w:r w:rsidR="00470EAA" w:rsidRPr="005355D5">
        <w:rPr>
          <w:rFonts w:ascii="Times New Roman" w:hAnsi="Times New Roman" w:cs="Times New Roman"/>
          <w:sz w:val="24"/>
          <w:szCs w:val="24"/>
        </w:rPr>
        <w:t>apkopota</w:t>
      </w:r>
      <w:r w:rsidR="005355D5">
        <w:rPr>
          <w:rFonts w:ascii="Times New Roman" w:hAnsi="Times New Roman" w:cs="Times New Roman"/>
          <w:sz w:val="24"/>
          <w:szCs w:val="24"/>
        </w:rPr>
        <w:t xml:space="preserve"> informatīvā ziņojuma</w:t>
      </w:r>
      <w:r w:rsidR="00470EAA" w:rsidRPr="005355D5">
        <w:rPr>
          <w:rFonts w:ascii="Times New Roman" w:hAnsi="Times New Roman" w:cs="Times New Roman"/>
          <w:sz w:val="24"/>
          <w:szCs w:val="24"/>
        </w:rPr>
        <w:t xml:space="preserve"> </w:t>
      </w:r>
      <w:r w:rsidR="003925E9" w:rsidRPr="005355D5">
        <w:rPr>
          <w:rFonts w:ascii="Times New Roman" w:hAnsi="Times New Roman" w:cs="Times New Roman"/>
          <w:sz w:val="24"/>
          <w:szCs w:val="24"/>
        </w:rPr>
        <w:t>1.pielikumā</w:t>
      </w:r>
      <w:r w:rsidR="00873561">
        <w:rPr>
          <w:rFonts w:ascii="Times New Roman" w:hAnsi="Times New Roman" w:cs="Times New Roman"/>
          <w:sz w:val="24"/>
          <w:szCs w:val="24"/>
        </w:rPr>
        <w:t xml:space="preserve"> </w:t>
      </w:r>
      <w:r w:rsidR="00873561" w:rsidRPr="00C65658">
        <w:rPr>
          <w:rFonts w:ascii="Times New Roman" w:hAnsi="Times New Roman" w:cs="Times New Roman"/>
          <w:sz w:val="24"/>
          <w:szCs w:val="24"/>
        </w:rPr>
        <w:t>“Snieguma rezerves finansējuma un finansējuma atlikumu novirzīšanas priekšlikumi”</w:t>
      </w:r>
      <w:r w:rsidR="00873561">
        <w:rPr>
          <w:rFonts w:ascii="Times New Roman" w:hAnsi="Times New Roman" w:cs="Times New Roman"/>
          <w:sz w:val="24"/>
          <w:szCs w:val="24"/>
        </w:rPr>
        <w:t xml:space="preserve"> </w:t>
      </w:r>
      <w:r w:rsidR="000622AB">
        <w:rPr>
          <w:rFonts w:ascii="Times New Roman" w:hAnsi="Times New Roman" w:cs="Times New Roman"/>
          <w:sz w:val="24"/>
          <w:szCs w:val="24"/>
        </w:rPr>
        <w:br/>
      </w:r>
      <w:r w:rsidR="00873561">
        <w:rPr>
          <w:rFonts w:ascii="Times New Roman" w:hAnsi="Times New Roman" w:cs="Times New Roman"/>
          <w:sz w:val="24"/>
          <w:szCs w:val="24"/>
        </w:rPr>
        <w:t>(turpmāk – 1.pielikums)</w:t>
      </w:r>
      <w:r w:rsidR="003925E9" w:rsidRPr="005355D5">
        <w:rPr>
          <w:rFonts w:ascii="Times New Roman" w:hAnsi="Times New Roman" w:cs="Times New Roman"/>
          <w:sz w:val="24"/>
          <w:szCs w:val="24"/>
        </w:rPr>
        <w:t>.</w:t>
      </w:r>
    </w:p>
    <w:p w14:paraId="23D81717" w14:textId="3C9D0459" w:rsidR="003E70CE" w:rsidRPr="003E70CE" w:rsidRDefault="003E70CE" w:rsidP="003E70CE">
      <w:pPr>
        <w:spacing w:line="276" w:lineRule="auto"/>
        <w:jc w:val="both"/>
        <w:rPr>
          <w:rFonts w:cs="Times New Roman"/>
          <w:szCs w:val="24"/>
        </w:rPr>
      </w:pPr>
      <w:r w:rsidRPr="00A43133">
        <w:rPr>
          <w:rFonts w:eastAsia="Times New Roman" w:cs="Times New Roman"/>
          <w:b/>
          <w:bCs/>
          <w:i/>
          <w:color w:val="000000"/>
          <w:sz w:val="20"/>
          <w:szCs w:val="20"/>
          <w:lang w:eastAsia="lv-LV"/>
        </w:rPr>
        <w:t xml:space="preserve">Tabula Nr.2. </w:t>
      </w:r>
      <w:r w:rsidRPr="00A43133">
        <w:rPr>
          <w:rFonts w:eastAsia="Times New Roman" w:cs="Times New Roman"/>
          <w:bCs/>
          <w:i/>
          <w:color w:val="000000"/>
          <w:sz w:val="20"/>
          <w:szCs w:val="20"/>
          <w:lang w:eastAsia="lv-LV"/>
        </w:rPr>
        <w:t>Atbildīgo iestāžu priekšlikumu apkopojums</w:t>
      </w:r>
      <w:r>
        <w:rPr>
          <w:rFonts w:eastAsia="Times New Roman" w:cs="Times New Roman"/>
          <w:bCs/>
          <w:i/>
          <w:color w:val="000000"/>
          <w:sz w:val="20"/>
          <w:szCs w:val="20"/>
          <w:lang w:eastAsia="lv-LV"/>
        </w:rPr>
        <w:t xml:space="preserve"> turpmākai nenokontraktētā finansējuma un snieguma rezerves novirzīšanai</w:t>
      </w:r>
    </w:p>
    <w:tbl>
      <w:tblPr>
        <w:tblStyle w:val="TableGrid"/>
        <w:tblpPr w:leftFromText="180" w:rightFromText="180" w:vertAnchor="text" w:horzAnchor="margin" w:tblpXSpec="right" w:tblpY="283"/>
        <w:tblW w:w="9776" w:type="dxa"/>
        <w:tblLayout w:type="fixed"/>
        <w:tblLook w:val="04A0" w:firstRow="1" w:lastRow="0" w:firstColumn="1" w:lastColumn="0" w:noHBand="0" w:noVBand="1"/>
      </w:tblPr>
      <w:tblGrid>
        <w:gridCol w:w="988"/>
        <w:gridCol w:w="1134"/>
        <w:gridCol w:w="1417"/>
        <w:gridCol w:w="1276"/>
        <w:gridCol w:w="1134"/>
        <w:gridCol w:w="1276"/>
        <w:gridCol w:w="1134"/>
        <w:gridCol w:w="1417"/>
      </w:tblGrid>
      <w:tr w:rsidR="003E70CE" w:rsidRPr="00F16F82" w14:paraId="50DF0DF0" w14:textId="77777777" w:rsidTr="003E70CE">
        <w:trPr>
          <w:tblHeader/>
        </w:trPr>
        <w:tc>
          <w:tcPr>
            <w:tcW w:w="988" w:type="dxa"/>
            <w:tcBorders>
              <w:bottom w:val="single" w:sz="12" w:space="0" w:color="auto"/>
            </w:tcBorders>
            <w:shd w:val="clear" w:color="auto" w:fill="D0CECE" w:themeFill="background2" w:themeFillShade="E6"/>
            <w:vAlign w:val="center"/>
          </w:tcPr>
          <w:p w14:paraId="0FA94B00" w14:textId="77777777" w:rsidR="003E70CE" w:rsidRPr="00F16F82" w:rsidRDefault="003E70CE" w:rsidP="003E70CE">
            <w:pPr>
              <w:jc w:val="center"/>
              <w:rPr>
                <w:b/>
                <w:sz w:val="20"/>
                <w:szCs w:val="20"/>
              </w:rPr>
            </w:pPr>
            <w:r w:rsidRPr="00F16F82">
              <w:rPr>
                <w:b/>
                <w:sz w:val="20"/>
                <w:szCs w:val="20"/>
              </w:rPr>
              <w:t>AI</w:t>
            </w:r>
          </w:p>
        </w:tc>
        <w:tc>
          <w:tcPr>
            <w:tcW w:w="1134" w:type="dxa"/>
            <w:tcBorders>
              <w:bottom w:val="single" w:sz="12" w:space="0" w:color="auto"/>
            </w:tcBorders>
            <w:shd w:val="clear" w:color="auto" w:fill="D0CECE" w:themeFill="background2" w:themeFillShade="E6"/>
            <w:vAlign w:val="center"/>
          </w:tcPr>
          <w:p w14:paraId="6CAEF1A6" w14:textId="77777777" w:rsidR="003E70CE" w:rsidRPr="00F16F82" w:rsidRDefault="003E70CE" w:rsidP="003E70CE">
            <w:pPr>
              <w:jc w:val="center"/>
              <w:rPr>
                <w:b/>
                <w:sz w:val="20"/>
                <w:szCs w:val="20"/>
              </w:rPr>
            </w:pPr>
            <w:r w:rsidRPr="00F16F82">
              <w:rPr>
                <w:b/>
                <w:sz w:val="20"/>
                <w:szCs w:val="20"/>
              </w:rPr>
              <w:t>ES fondu Rezerve/ Atlikumi</w:t>
            </w:r>
          </w:p>
        </w:tc>
        <w:tc>
          <w:tcPr>
            <w:tcW w:w="1417" w:type="dxa"/>
            <w:tcBorders>
              <w:bottom w:val="single" w:sz="12" w:space="0" w:color="auto"/>
            </w:tcBorders>
            <w:shd w:val="clear" w:color="auto" w:fill="D0CECE" w:themeFill="background2" w:themeFillShade="E6"/>
            <w:vAlign w:val="center"/>
          </w:tcPr>
          <w:p w14:paraId="0E79656B" w14:textId="77777777" w:rsidR="003E70CE" w:rsidRPr="00F16F82" w:rsidRDefault="003E70CE" w:rsidP="003E70CE">
            <w:pPr>
              <w:jc w:val="center"/>
              <w:rPr>
                <w:b/>
                <w:sz w:val="20"/>
                <w:szCs w:val="20"/>
              </w:rPr>
            </w:pPr>
            <w:r w:rsidRPr="00F16F82">
              <w:rPr>
                <w:b/>
                <w:sz w:val="20"/>
                <w:szCs w:val="20"/>
              </w:rPr>
              <w:t>Atbilstoši plānotajam SAM/</w:t>
            </w:r>
          </w:p>
          <w:p w14:paraId="623473F0" w14:textId="77777777" w:rsidR="003E70CE" w:rsidRPr="00F16F82" w:rsidRDefault="003E70CE" w:rsidP="003E70CE">
            <w:pPr>
              <w:jc w:val="center"/>
              <w:rPr>
                <w:b/>
                <w:sz w:val="20"/>
                <w:szCs w:val="20"/>
              </w:rPr>
            </w:pPr>
            <w:r w:rsidRPr="00F16F82">
              <w:rPr>
                <w:b/>
                <w:sz w:val="20"/>
                <w:szCs w:val="20"/>
              </w:rPr>
              <w:t>pasākumā/</w:t>
            </w:r>
            <w:r>
              <w:rPr>
                <w:b/>
                <w:sz w:val="20"/>
                <w:szCs w:val="20"/>
              </w:rPr>
              <w:t xml:space="preserve"> </w:t>
            </w:r>
            <w:r w:rsidRPr="00F16F82">
              <w:rPr>
                <w:b/>
                <w:sz w:val="20"/>
                <w:szCs w:val="20"/>
              </w:rPr>
              <w:t>kārtā</w:t>
            </w:r>
          </w:p>
        </w:tc>
        <w:tc>
          <w:tcPr>
            <w:tcW w:w="1276" w:type="dxa"/>
            <w:tcBorders>
              <w:bottom w:val="single" w:sz="12" w:space="0" w:color="auto"/>
            </w:tcBorders>
            <w:shd w:val="clear" w:color="auto" w:fill="D0CECE" w:themeFill="background2" w:themeFillShade="E6"/>
            <w:vAlign w:val="center"/>
          </w:tcPr>
          <w:p w14:paraId="1150B5A0" w14:textId="77777777" w:rsidR="003E70CE" w:rsidRPr="00F16F82" w:rsidRDefault="003E70CE" w:rsidP="003E70CE">
            <w:pPr>
              <w:jc w:val="center"/>
              <w:rPr>
                <w:b/>
                <w:sz w:val="20"/>
                <w:szCs w:val="20"/>
              </w:rPr>
            </w:pPr>
            <w:r w:rsidRPr="00F16F82">
              <w:rPr>
                <w:b/>
                <w:sz w:val="20"/>
                <w:szCs w:val="20"/>
              </w:rPr>
              <w:t>Pārdalīt uz citu SAM/</w:t>
            </w:r>
            <w:r>
              <w:rPr>
                <w:b/>
                <w:sz w:val="20"/>
                <w:szCs w:val="20"/>
              </w:rPr>
              <w:t xml:space="preserve"> </w:t>
            </w:r>
            <w:r w:rsidRPr="00F16F82">
              <w:rPr>
                <w:b/>
                <w:sz w:val="20"/>
                <w:szCs w:val="20"/>
              </w:rPr>
              <w:t>pasākumu/</w:t>
            </w:r>
            <w:r>
              <w:rPr>
                <w:b/>
                <w:sz w:val="20"/>
                <w:szCs w:val="20"/>
              </w:rPr>
              <w:t xml:space="preserve"> </w:t>
            </w:r>
            <w:r w:rsidRPr="00F16F82">
              <w:rPr>
                <w:b/>
                <w:sz w:val="20"/>
                <w:szCs w:val="20"/>
              </w:rPr>
              <w:t>kārtu, tajā pašā prioritārā virzienā</w:t>
            </w:r>
          </w:p>
        </w:tc>
        <w:tc>
          <w:tcPr>
            <w:tcW w:w="1134" w:type="dxa"/>
            <w:tcBorders>
              <w:bottom w:val="single" w:sz="12" w:space="0" w:color="auto"/>
            </w:tcBorders>
            <w:shd w:val="clear" w:color="auto" w:fill="D0CECE" w:themeFill="background2" w:themeFillShade="E6"/>
            <w:vAlign w:val="center"/>
          </w:tcPr>
          <w:p w14:paraId="60548321" w14:textId="77777777" w:rsidR="003E70CE" w:rsidRPr="00F16F82" w:rsidRDefault="003E70CE" w:rsidP="003E70CE">
            <w:pPr>
              <w:jc w:val="center"/>
              <w:rPr>
                <w:b/>
                <w:sz w:val="20"/>
                <w:szCs w:val="20"/>
              </w:rPr>
            </w:pPr>
            <w:r w:rsidRPr="00F16F82">
              <w:rPr>
                <w:b/>
                <w:sz w:val="20"/>
                <w:szCs w:val="20"/>
              </w:rPr>
              <w:t>Pārdalīt uz citu prioritāro virzienu</w:t>
            </w:r>
          </w:p>
        </w:tc>
        <w:tc>
          <w:tcPr>
            <w:tcW w:w="1276" w:type="dxa"/>
            <w:tcBorders>
              <w:bottom w:val="single" w:sz="12" w:space="0" w:color="auto"/>
            </w:tcBorders>
            <w:shd w:val="clear" w:color="auto" w:fill="D0CECE" w:themeFill="background2" w:themeFillShade="E6"/>
            <w:vAlign w:val="center"/>
          </w:tcPr>
          <w:p w14:paraId="2537782F" w14:textId="77777777" w:rsidR="003E70CE" w:rsidRPr="00F16F82" w:rsidRDefault="003E70CE" w:rsidP="003E70CE">
            <w:pPr>
              <w:jc w:val="center"/>
              <w:rPr>
                <w:b/>
                <w:sz w:val="20"/>
                <w:szCs w:val="20"/>
              </w:rPr>
            </w:pPr>
            <w:r w:rsidRPr="00F16F82">
              <w:rPr>
                <w:b/>
                <w:sz w:val="20"/>
                <w:szCs w:val="20"/>
              </w:rPr>
              <w:t>Kombinēts variants/ jauna iniciatīva</w:t>
            </w:r>
          </w:p>
        </w:tc>
        <w:tc>
          <w:tcPr>
            <w:tcW w:w="1134" w:type="dxa"/>
            <w:tcBorders>
              <w:bottom w:val="single" w:sz="12" w:space="0" w:color="auto"/>
              <w:right w:val="single" w:sz="12" w:space="0" w:color="auto"/>
            </w:tcBorders>
            <w:shd w:val="clear" w:color="auto" w:fill="D0CECE" w:themeFill="background2" w:themeFillShade="E6"/>
            <w:vAlign w:val="center"/>
          </w:tcPr>
          <w:p w14:paraId="5C0A6BD4" w14:textId="77777777" w:rsidR="003E70CE" w:rsidRPr="00F16F82" w:rsidRDefault="003E70CE" w:rsidP="003E70CE">
            <w:pPr>
              <w:jc w:val="center"/>
              <w:rPr>
                <w:b/>
                <w:sz w:val="20"/>
                <w:szCs w:val="20"/>
              </w:rPr>
            </w:pPr>
            <w:r w:rsidRPr="00F16F82">
              <w:rPr>
                <w:b/>
                <w:sz w:val="20"/>
                <w:szCs w:val="20"/>
              </w:rPr>
              <w:t>Nav paredzēta rezerve/</w:t>
            </w:r>
          </w:p>
          <w:p w14:paraId="16D78C2B" w14:textId="77777777" w:rsidR="003E70CE" w:rsidRPr="00F16F82" w:rsidRDefault="003E70CE" w:rsidP="003E70CE">
            <w:pPr>
              <w:jc w:val="center"/>
              <w:rPr>
                <w:b/>
                <w:sz w:val="20"/>
                <w:szCs w:val="20"/>
              </w:rPr>
            </w:pPr>
            <w:r w:rsidRPr="00F16F82">
              <w:rPr>
                <w:b/>
                <w:sz w:val="20"/>
                <w:szCs w:val="20"/>
              </w:rPr>
              <w:t>nav atlikumu</w:t>
            </w:r>
          </w:p>
        </w:tc>
        <w:tc>
          <w:tcPr>
            <w:tcW w:w="1417" w:type="dxa"/>
            <w:tcBorders>
              <w:left w:val="single" w:sz="12" w:space="0" w:color="auto"/>
              <w:bottom w:val="single" w:sz="12" w:space="0" w:color="auto"/>
            </w:tcBorders>
            <w:shd w:val="clear" w:color="auto" w:fill="D0CECE" w:themeFill="background2" w:themeFillShade="E6"/>
            <w:vAlign w:val="center"/>
          </w:tcPr>
          <w:p w14:paraId="66291387" w14:textId="77777777" w:rsidR="003E70CE" w:rsidRPr="00F16F82" w:rsidRDefault="003E70CE" w:rsidP="003E70CE">
            <w:pPr>
              <w:jc w:val="center"/>
              <w:rPr>
                <w:b/>
                <w:sz w:val="20"/>
                <w:szCs w:val="20"/>
              </w:rPr>
            </w:pPr>
            <w:r w:rsidRPr="00F16F82">
              <w:rPr>
                <w:b/>
                <w:sz w:val="20"/>
                <w:szCs w:val="20"/>
              </w:rPr>
              <w:t xml:space="preserve">Kopā </w:t>
            </w:r>
            <w:r w:rsidRPr="00F16F82">
              <w:rPr>
                <w:b/>
                <w:i/>
                <w:sz w:val="20"/>
                <w:szCs w:val="20"/>
              </w:rPr>
              <w:t>EUR</w:t>
            </w:r>
          </w:p>
        </w:tc>
      </w:tr>
      <w:tr w:rsidR="003E70CE" w:rsidRPr="00F16F82" w14:paraId="60AF009A" w14:textId="77777777" w:rsidTr="003E70CE">
        <w:tc>
          <w:tcPr>
            <w:tcW w:w="988" w:type="dxa"/>
            <w:vMerge w:val="restart"/>
            <w:tcBorders>
              <w:top w:val="single" w:sz="12" w:space="0" w:color="auto"/>
            </w:tcBorders>
            <w:vAlign w:val="center"/>
          </w:tcPr>
          <w:p w14:paraId="18269F9C" w14:textId="77777777" w:rsidR="003E70CE" w:rsidRPr="00F16F82" w:rsidRDefault="003E70CE" w:rsidP="003E70CE">
            <w:pPr>
              <w:jc w:val="center"/>
              <w:rPr>
                <w:b/>
                <w:sz w:val="20"/>
                <w:szCs w:val="20"/>
              </w:rPr>
            </w:pPr>
            <w:r w:rsidRPr="00F16F82">
              <w:rPr>
                <w:b/>
                <w:sz w:val="20"/>
                <w:szCs w:val="20"/>
              </w:rPr>
              <w:t>SM</w:t>
            </w:r>
          </w:p>
        </w:tc>
        <w:tc>
          <w:tcPr>
            <w:tcW w:w="1134" w:type="dxa"/>
            <w:tcBorders>
              <w:top w:val="single" w:sz="12" w:space="0" w:color="auto"/>
            </w:tcBorders>
            <w:vAlign w:val="center"/>
          </w:tcPr>
          <w:p w14:paraId="1CC5DAF9" w14:textId="77777777" w:rsidR="003E70CE" w:rsidRPr="00F16F82" w:rsidRDefault="003E70CE" w:rsidP="003E70CE">
            <w:pPr>
              <w:jc w:val="center"/>
              <w:rPr>
                <w:sz w:val="20"/>
                <w:szCs w:val="20"/>
              </w:rPr>
            </w:pPr>
            <w:r w:rsidRPr="00F16F82">
              <w:rPr>
                <w:sz w:val="20"/>
                <w:szCs w:val="20"/>
              </w:rPr>
              <w:t>Rezerve</w:t>
            </w:r>
          </w:p>
        </w:tc>
        <w:tc>
          <w:tcPr>
            <w:tcW w:w="1417" w:type="dxa"/>
            <w:tcBorders>
              <w:top w:val="single" w:sz="12" w:space="0" w:color="auto"/>
            </w:tcBorders>
            <w:vAlign w:val="center"/>
          </w:tcPr>
          <w:p w14:paraId="6D6E37E1" w14:textId="77777777" w:rsidR="003E70CE" w:rsidRPr="00F16F82" w:rsidRDefault="003E70CE" w:rsidP="003E70CE">
            <w:pPr>
              <w:jc w:val="center"/>
              <w:rPr>
                <w:sz w:val="20"/>
                <w:szCs w:val="20"/>
              </w:rPr>
            </w:pPr>
            <w:r w:rsidRPr="00F16F82">
              <w:rPr>
                <w:sz w:val="20"/>
                <w:szCs w:val="20"/>
              </w:rPr>
              <w:t>47 124 849</w:t>
            </w:r>
          </w:p>
        </w:tc>
        <w:tc>
          <w:tcPr>
            <w:tcW w:w="1276" w:type="dxa"/>
            <w:tcBorders>
              <w:top w:val="single" w:sz="12" w:space="0" w:color="auto"/>
            </w:tcBorders>
            <w:vAlign w:val="center"/>
          </w:tcPr>
          <w:p w14:paraId="3862A022" w14:textId="77777777" w:rsidR="003E70CE" w:rsidRPr="00F16F82" w:rsidRDefault="003E70CE" w:rsidP="003E70CE">
            <w:pPr>
              <w:jc w:val="center"/>
              <w:rPr>
                <w:sz w:val="20"/>
                <w:szCs w:val="20"/>
              </w:rPr>
            </w:pPr>
            <w:r w:rsidRPr="00F16F82">
              <w:rPr>
                <w:sz w:val="20"/>
                <w:szCs w:val="20"/>
              </w:rPr>
              <w:t>432 615</w:t>
            </w:r>
          </w:p>
        </w:tc>
        <w:tc>
          <w:tcPr>
            <w:tcW w:w="1134" w:type="dxa"/>
            <w:tcBorders>
              <w:top w:val="single" w:sz="12" w:space="0" w:color="auto"/>
            </w:tcBorders>
            <w:vAlign w:val="center"/>
          </w:tcPr>
          <w:p w14:paraId="3AA619AF" w14:textId="77777777" w:rsidR="003E70CE" w:rsidRPr="00F16F82" w:rsidRDefault="003E70CE" w:rsidP="003E70CE">
            <w:pPr>
              <w:jc w:val="center"/>
              <w:rPr>
                <w:sz w:val="20"/>
                <w:szCs w:val="20"/>
              </w:rPr>
            </w:pPr>
            <w:r w:rsidRPr="00F16F82">
              <w:rPr>
                <w:sz w:val="20"/>
                <w:szCs w:val="20"/>
              </w:rPr>
              <w:t>0</w:t>
            </w:r>
          </w:p>
        </w:tc>
        <w:tc>
          <w:tcPr>
            <w:tcW w:w="1276" w:type="dxa"/>
            <w:tcBorders>
              <w:top w:val="single" w:sz="12" w:space="0" w:color="auto"/>
            </w:tcBorders>
            <w:vAlign w:val="center"/>
          </w:tcPr>
          <w:p w14:paraId="1134268B" w14:textId="77777777" w:rsidR="003E70CE" w:rsidRPr="00F16F82" w:rsidRDefault="003E70CE" w:rsidP="003E70CE">
            <w:pPr>
              <w:jc w:val="center"/>
              <w:rPr>
                <w:sz w:val="20"/>
                <w:szCs w:val="20"/>
              </w:rPr>
            </w:pPr>
            <w:r w:rsidRPr="00F16F82">
              <w:rPr>
                <w:sz w:val="20"/>
                <w:szCs w:val="20"/>
              </w:rPr>
              <w:t>5 939 203</w:t>
            </w:r>
          </w:p>
        </w:tc>
        <w:tc>
          <w:tcPr>
            <w:tcW w:w="1134" w:type="dxa"/>
            <w:tcBorders>
              <w:top w:val="single" w:sz="12" w:space="0" w:color="auto"/>
              <w:right w:val="single" w:sz="12" w:space="0" w:color="auto"/>
            </w:tcBorders>
            <w:vAlign w:val="center"/>
          </w:tcPr>
          <w:p w14:paraId="18B75F6A" w14:textId="77777777" w:rsidR="003E70CE" w:rsidRPr="00F16F82" w:rsidRDefault="003E70CE" w:rsidP="003E70CE">
            <w:pPr>
              <w:jc w:val="center"/>
              <w:rPr>
                <w:sz w:val="20"/>
                <w:szCs w:val="20"/>
              </w:rPr>
            </w:pPr>
            <w:r w:rsidRPr="00F16F82">
              <w:rPr>
                <w:sz w:val="20"/>
                <w:szCs w:val="20"/>
              </w:rPr>
              <w:t>0</w:t>
            </w:r>
          </w:p>
        </w:tc>
        <w:tc>
          <w:tcPr>
            <w:tcW w:w="1417" w:type="dxa"/>
            <w:tcBorders>
              <w:top w:val="single" w:sz="12" w:space="0" w:color="auto"/>
              <w:left w:val="single" w:sz="12" w:space="0" w:color="auto"/>
            </w:tcBorders>
            <w:vAlign w:val="center"/>
          </w:tcPr>
          <w:p w14:paraId="4DD432D5" w14:textId="77777777" w:rsidR="003E70CE" w:rsidRPr="00F16F82" w:rsidRDefault="003E70CE" w:rsidP="003E70CE">
            <w:pPr>
              <w:jc w:val="center"/>
              <w:rPr>
                <w:sz w:val="20"/>
                <w:szCs w:val="20"/>
              </w:rPr>
            </w:pPr>
            <w:r w:rsidRPr="00F16F82">
              <w:rPr>
                <w:sz w:val="20"/>
                <w:szCs w:val="20"/>
              </w:rPr>
              <w:t>53 496 667</w:t>
            </w:r>
          </w:p>
        </w:tc>
      </w:tr>
      <w:tr w:rsidR="003E70CE" w:rsidRPr="00F16F82" w14:paraId="6A2BB150" w14:textId="77777777" w:rsidTr="003E70CE">
        <w:tc>
          <w:tcPr>
            <w:tcW w:w="988" w:type="dxa"/>
            <w:vMerge/>
            <w:tcBorders>
              <w:bottom w:val="single" w:sz="12" w:space="0" w:color="auto"/>
            </w:tcBorders>
            <w:vAlign w:val="center"/>
          </w:tcPr>
          <w:p w14:paraId="34B6EB03" w14:textId="77777777" w:rsidR="003E70CE" w:rsidRPr="00F16F82" w:rsidRDefault="003E70CE" w:rsidP="003E70CE">
            <w:pPr>
              <w:jc w:val="center"/>
              <w:rPr>
                <w:b/>
                <w:sz w:val="20"/>
                <w:szCs w:val="20"/>
              </w:rPr>
            </w:pPr>
          </w:p>
        </w:tc>
        <w:tc>
          <w:tcPr>
            <w:tcW w:w="1134" w:type="dxa"/>
            <w:tcBorders>
              <w:bottom w:val="single" w:sz="12" w:space="0" w:color="auto"/>
            </w:tcBorders>
            <w:vAlign w:val="center"/>
          </w:tcPr>
          <w:p w14:paraId="6862AE79" w14:textId="77777777" w:rsidR="003E70CE" w:rsidRPr="00F16F82" w:rsidRDefault="003E70CE" w:rsidP="003E70CE">
            <w:pPr>
              <w:jc w:val="center"/>
              <w:rPr>
                <w:sz w:val="20"/>
                <w:szCs w:val="20"/>
              </w:rPr>
            </w:pPr>
            <w:r w:rsidRPr="00F16F82">
              <w:rPr>
                <w:sz w:val="20"/>
                <w:szCs w:val="20"/>
              </w:rPr>
              <w:t>Atlikumi</w:t>
            </w:r>
          </w:p>
        </w:tc>
        <w:tc>
          <w:tcPr>
            <w:tcW w:w="1417" w:type="dxa"/>
            <w:tcBorders>
              <w:bottom w:val="single" w:sz="12" w:space="0" w:color="auto"/>
            </w:tcBorders>
            <w:vAlign w:val="center"/>
          </w:tcPr>
          <w:p w14:paraId="2CCC56BD" w14:textId="5CFA33BA" w:rsidR="003E70CE" w:rsidRPr="00FB4E62" w:rsidRDefault="00EC3BD2" w:rsidP="003E70CE">
            <w:pPr>
              <w:jc w:val="center"/>
              <w:rPr>
                <w:sz w:val="20"/>
                <w:szCs w:val="20"/>
              </w:rPr>
            </w:pPr>
            <w:r w:rsidRPr="00EC3BD2">
              <w:rPr>
                <w:sz w:val="20"/>
                <w:szCs w:val="20"/>
              </w:rPr>
              <w:t>60 152 486</w:t>
            </w:r>
          </w:p>
        </w:tc>
        <w:tc>
          <w:tcPr>
            <w:tcW w:w="1276" w:type="dxa"/>
            <w:tcBorders>
              <w:bottom w:val="single" w:sz="12" w:space="0" w:color="auto"/>
            </w:tcBorders>
            <w:vAlign w:val="center"/>
          </w:tcPr>
          <w:p w14:paraId="36285106" w14:textId="77777777" w:rsidR="003E70CE" w:rsidRPr="00FB4E62" w:rsidRDefault="003E70CE" w:rsidP="003E70CE">
            <w:pPr>
              <w:jc w:val="center"/>
              <w:rPr>
                <w:sz w:val="20"/>
                <w:szCs w:val="20"/>
              </w:rPr>
            </w:pPr>
            <w:r w:rsidRPr="00FB4E62">
              <w:rPr>
                <w:sz w:val="20"/>
                <w:szCs w:val="20"/>
              </w:rPr>
              <w:t>28 539</w:t>
            </w:r>
          </w:p>
        </w:tc>
        <w:tc>
          <w:tcPr>
            <w:tcW w:w="1134" w:type="dxa"/>
            <w:tcBorders>
              <w:bottom w:val="single" w:sz="12" w:space="0" w:color="auto"/>
            </w:tcBorders>
            <w:vAlign w:val="center"/>
          </w:tcPr>
          <w:p w14:paraId="43B92E25" w14:textId="77777777" w:rsidR="003E70CE" w:rsidRPr="00FB4E62" w:rsidRDefault="003E70CE" w:rsidP="003E70CE">
            <w:pPr>
              <w:jc w:val="center"/>
              <w:rPr>
                <w:sz w:val="20"/>
                <w:szCs w:val="20"/>
              </w:rPr>
            </w:pPr>
            <w:r w:rsidRPr="00FB4E62">
              <w:rPr>
                <w:sz w:val="20"/>
                <w:szCs w:val="20"/>
              </w:rPr>
              <w:t>0</w:t>
            </w:r>
          </w:p>
        </w:tc>
        <w:tc>
          <w:tcPr>
            <w:tcW w:w="1276" w:type="dxa"/>
            <w:tcBorders>
              <w:bottom w:val="single" w:sz="12" w:space="0" w:color="auto"/>
            </w:tcBorders>
            <w:vAlign w:val="center"/>
          </w:tcPr>
          <w:p w14:paraId="322C088D" w14:textId="77777777" w:rsidR="003E70CE" w:rsidRPr="00FB4E62" w:rsidRDefault="003E70CE" w:rsidP="003E70CE">
            <w:pPr>
              <w:jc w:val="center"/>
              <w:rPr>
                <w:sz w:val="20"/>
                <w:szCs w:val="20"/>
              </w:rPr>
            </w:pPr>
            <w:r w:rsidRPr="00FB4E62">
              <w:rPr>
                <w:sz w:val="20"/>
                <w:szCs w:val="20"/>
              </w:rPr>
              <w:t>65 673 861</w:t>
            </w:r>
          </w:p>
        </w:tc>
        <w:tc>
          <w:tcPr>
            <w:tcW w:w="1134" w:type="dxa"/>
            <w:tcBorders>
              <w:bottom w:val="single" w:sz="12" w:space="0" w:color="auto"/>
              <w:right w:val="single" w:sz="12" w:space="0" w:color="auto"/>
            </w:tcBorders>
            <w:vAlign w:val="center"/>
          </w:tcPr>
          <w:p w14:paraId="5E50CB28" w14:textId="675B9A28" w:rsidR="003E70CE" w:rsidRPr="00FB4E62" w:rsidRDefault="004000E5" w:rsidP="003E70CE">
            <w:pPr>
              <w:jc w:val="center"/>
              <w:rPr>
                <w:sz w:val="20"/>
                <w:szCs w:val="20"/>
              </w:rPr>
            </w:pPr>
            <w:r w:rsidRPr="004000E5">
              <w:rPr>
                <w:sz w:val="20"/>
                <w:szCs w:val="20"/>
              </w:rPr>
              <w:t>49 037 518</w:t>
            </w:r>
          </w:p>
        </w:tc>
        <w:tc>
          <w:tcPr>
            <w:tcW w:w="1417" w:type="dxa"/>
            <w:tcBorders>
              <w:left w:val="single" w:sz="12" w:space="0" w:color="auto"/>
              <w:bottom w:val="single" w:sz="12" w:space="0" w:color="auto"/>
            </w:tcBorders>
            <w:vAlign w:val="center"/>
          </w:tcPr>
          <w:p w14:paraId="5C8EB7BD" w14:textId="070E88D9" w:rsidR="003E70CE" w:rsidRPr="00FB4E62" w:rsidRDefault="004000E5" w:rsidP="003E70CE">
            <w:pPr>
              <w:jc w:val="center"/>
              <w:rPr>
                <w:sz w:val="20"/>
                <w:szCs w:val="20"/>
              </w:rPr>
            </w:pPr>
            <w:r w:rsidRPr="004000E5">
              <w:rPr>
                <w:sz w:val="20"/>
                <w:szCs w:val="20"/>
              </w:rPr>
              <w:t>174 892 404</w:t>
            </w:r>
          </w:p>
        </w:tc>
      </w:tr>
      <w:tr w:rsidR="003E70CE" w:rsidRPr="00F16F82" w14:paraId="202927AA" w14:textId="77777777" w:rsidTr="003E70CE">
        <w:tc>
          <w:tcPr>
            <w:tcW w:w="988" w:type="dxa"/>
            <w:vMerge w:val="restart"/>
            <w:tcBorders>
              <w:top w:val="single" w:sz="12" w:space="0" w:color="auto"/>
            </w:tcBorders>
            <w:vAlign w:val="center"/>
          </w:tcPr>
          <w:p w14:paraId="293E3A3B" w14:textId="77777777" w:rsidR="003E70CE" w:rsidRPr="00F16F82" w:rsidRDefault="003E70CE" w:rsidP="003E70CE">
            <w:pPr>
              <w:jc w:val="center"/>
              <w:rPr>
                <w:b/>
                <w:sz w:val="20"/>
                <w:szCs w:val="20"/>
              </w:rPr>
            </w:pPr>
            <w:r w:rsidRPr="00F16F82">
              <w:rPr>
                <w:b/>
                <w:sz w:val="20"/>
                <w:szCs w:val="20"/>
              </w:rPr>
              <w:t>EM</w:t>
            </w:r>
          </w:p>
        </w:tc>
        <w:tc>
          <w:tcPr>
            <w:tcW w:w="1134" w:type="dxa"/>
            <w:tcBorders>
              <w:top w:val="single" w:sz="12" w:space="0" w:color="auto"/>
            </w:tcBorders>
            <w:vAlign w:val="center"/>
          </w:tcPr>
          <w:p w14:paraId="534CC00D" w14:textId="77777777" w:rsidR="003E70CE" w:rsidRPr="00F16F82" w:rsidRDefault="003E70CE" w:rsidP="003E70CE">
            <w:pPr>
              <w:jc w:val="center"/>
              <w:rPr>
                <w:sz w:val="20"/>
                <w:szCs w:val="20"/>
              </w:rPr>
            </w:pPr>
            <w:r w:rsidRPr="00F16F82">
              <w:rPr>
                <w:sz w:val="20"/>
                <w:szCs w:val="20"/>
              </w:rPr>
              <w:t>Rezerve</w:t>
            </w:r>
          </w:p>
        </w:tc>
        <w:tc>
          <w:tcPr>
            <w:tcW w:w="1417" w:type="dxa"/>
            <w:tcBorders>
              <w:top w:val="single" w:sz="12" w:space="0" w:color="auto"/>
            </w:tcBorders>
            <w:vAlign w:val="center"/>
          </w:tcPr>
          <w:p w14:paraId="42708BAA" w14:textId="77777777" w:rsidR="003E70CE" w:rsidRPr="00FB4E62" w:rsidRDefault="003E70CE" w:rsidP="003E70CE">
            <w:pPr>
              <w:jc w:val="center"/>
              <w:rPr>
                <w:sz w:val="20"/>
                <w:szCs w:val="20"/>
              </w:rPr>
            </w:pPr>
            <w:r w:rsidRPr="00FB4E62">
              <w:rPr>
                <w:sz w:val="20"/>
                <w:szCs w:val="20"/>
              </w:rPr>
              <w:t>26 125 212</w:t>
            </w:r>
          </w:p>
        </w:tc>
        <w:tc>
          <w:tcPr>
            <w:tcW w:w="1276" w:type="dxa"/>
            <w:tcBorders>
              <w:top w:val="single" w:sz="12" w:space="0" w:color="auto"/>
            </w:tcBorders>
            <w:vAlign w:val="center"/>
          </w:tcPr>
          <w:p w14:paraId="72AAC389" w14:textId="77777777" w:rsidR="003E70CE" w:rsidRPr="00FB4E62" w:rsidRDefault="003E70CE" w:rsidP="003E70CE">
            <w:pPr>
              <w:jc w:val="center"/>
              <w:rPr>
                <w:sz w:val="20"/>
                <w:szCs w:val="20"/>
              </w:rPr>
            </w:pPr>
            <w:r w:rsidRPr="00FB4E62">
              <w:rPr>
                <w:sz w:val="20"/>
                <w:szCs w:val="20"/>
              </w:rPr>
              <w:t>21 819 403</w:t>
            </w:r>
          </w:p>
        </w:tc>
        <w:tc>
          <w:tcPr>
            <w:tcW w:w="1134" w:type="dxa"/>
            <w:tcBorders>
              <w:top w:val="single" w:sz="12" w:space="0" w:color="auto"/>
            </w:tcBorders>
            <w:vAlign w:val="center"/>
          </w:tcPr>
          <w:p w14:paraId="1C1C4340" w14:textId="77777777" w:rsidR="003E70CE" w:rsidRPr="00FB4E62" w:rsidRDefault="003E70CE" w:rsidP="003E70CE">
            <w:pPr>
              <w:jc w:val="center"/>
              <w:rPr>
                <w:sz w:val="20"/>
                <w:szCs w:val="20"/>
              </w:rPr>
            </w:pPr>
            <w:r w:rsidRPr="00FB4E62">
              <w:rPr>
                <w:sz w:val="20"/>
                <w:szCs w:val="20"/>
              </w:rPr>
              <w:t>0</w:t>
            </w:r>
          </w:p>
        </w:tc>
        <w:tc>
          <w:tcPr>
            <w:tcW w:w="1276" w:type="dxa"/>
            <w:tcBorders>
              <w:top w:val="single" w:sz="12" w:space="0" w:color="auto"/>
            </w:tcBorders>
            <w:vAlign w:val="center"/>
          </w:tcPr>
          <w:p w14:paraId="034CB80F" w14:textId="77777777" w:rsidR="003E70CE" w:rsidRPr="00FB4E62" w:rsidRDefault="003E70CE" w:rsidP="003E70CE">
            <w:pPr>
              <w:jc w:val="center"/>
              <w:rPr>
                <w:sz w:val="20"/>
                <w:szCs w:val="20"/>
              </w:rPr>
            </w:pPr>
            <w:r w:rsidRPr="00FB4E62">
              <w:rPr>
                <w:sz w:val="20"/>
                <w:szCs w:val="20"/>
              </w:rPr>
              <w:t>0</w:t>
            </w:r>
          </w:p>
        </w:tc>
        <w:tc>
          <w:tcPr>
            <w:tcW w:w="1134" w:type="dxa"/>
            <w:tcBorders>
              <w:top w:val="single" w:sz="12" w:space="0" w:color="auto"/>
              <w:right w:val="single" w:sz="12" w:space="0" w:color="auto"/>
            </w:tcBorders>
            <w:vAlign w:val="center"/>
          </w:tcPr>
          <w:p w14:paraId="313DC7B4" w14:textId="77777777" w:rsidR="003E70CE" w:rsidRPr="00FB4E62" w:rsidRDefault="003E70CE" w:rsidP="003E70CE">
            <w:pPr>
              <w:jc w:val="center"/>
              <w:rPr>
                <w:sz w:val="20"/>
                <w:szCs w:val="20"/>
              </w:rPr>
            </w:pPr>
            <w:r w:rsidRPr="00FB4E62">
              <w:rPr>
                <w:sz w:val="20"/>
                <w:szCs w:val="20"/>
              </w:rPr>
              <w:t>0</w:t>
            </w:r>
          </w:p>
        </w:tc>
        <w:tc>
          <w:tcPr>
            <w:tcW w:w="1417" w:type="dxa"/>
            <w:tcBorders>
              <w:top w:val="single" w:sz="12" w:space="0" w:color="auto"/>
              <w:left w:val="single" w:sz="12" w:space="0" w:color="auto"/>
            </w:tcBorders>
            <w:vAlign w:val="center"/>
          </w:tcPr>
          <w:p w14:paraId="2A231D56" w14:textId="77777777" w:rsidR="003E70CE" w:rsidRPr="00FB4E62" w:rsidRDefault="003E70CE" w:rsidP="003E70CE">
            <w:pPr>
              <w:jc w:val="center"/>
              <w:rPr>
                <w:sz w:val="20"/>
                <w:szCs w:val="20"/>
              </w:rPr>
            </w:pPr>
            <w:r w:rsidRPr="00FB4E62">
              <w:rPr>
                <w:sz w:val="20"/>
                <w:szCs w:val="20"/>
              </w:rPr>
              <w:t>47 944 615</w:t>
            </w:r>
          </w:p>
        </w:tc>
      </w:tr>
      <w:tr w:rsidR="003E70CE" w:rsidRPr="00F16F82" w14:paraId="44F2BBEA" w14:textId="77777777" w:rsidTr="003E70CE">
        <w:tc>
          <w:tcPr>
            <w:tcW w:w="988" w:type="dxa"/>
            <w:vMerge/>
            <w:tcBorders>
              <w:bottom w:val="single" w:sz="12" w:space="0" w:color="auto"/>
            </w:tcBorders>
            <w:vAlign w:val="center"/>
          </w:tcPr>
          <w:p w14:paraId="65E359CE" w14:textId="77777777" w:rsidR="003E70CE" w:rsidRPr="00F16F82" w:rsidRDefault="003E70CE" w:rsidP="003E70CE">
            <w:pPr>
              <w:jc w:val="center"/>
              <w:rPr>
                <w:b/>
                <w:sz w:val="20"/>
                <w:szCs w:val="20"/>
              </w:rPr>
            </w:pPr>
          </w:p>
        </w:tc>
        <w:tc>
          <w:tcPr>
            <w:tcW w:w="1134" w:type="dxa"/>
            <w:tcBorders>
              <w:bottom w:val="single" w:sz="12" w:space="0" w:color="auto"/>
            </w:tcBorders>
            <w:vAlign w:val="center"/>
          </w:tcPr>
          <w:p w14:paraId="5DF924C0" w14:textId="77777777" w:rsidR="003E70CE" w:rsidRPr="00F16F82" w:rsidRDefault="003E70CE" w:rsidP="003E70CE">
            <w:pPr>
              <w:jc w:val="center"/>
              <w:rPr>
                <w:sz w:val="20"/>
                <w:szCs w:val="20"/>
              </w:rPr>
            </w:pPr>
            <w:r w:rsidRPr="00F16F82">
              <w:rPr>
                <w:sz w:val="20"/>
                <w:szCs w:val="20"/>
              </w:rPr>
              <w:t>Atlikumi</w:t>
            </w:r>
          </w:p>
        </w:tc>
        <w:tc>
          <w:tcPr>
            <w:tcW w:w="1417" w:type="dxa"/>
            <w:tcBorders>
              <w:bottom w:val="single" w:sz="12" w:space="0" w:color="auto"/>
            </w:tcBorders>
            <w:vAlign w:val="center"/>
          </w:tcPr>
          <w:p w14:paraId="3A03CFB0" w14:textId="77777777" w:rsidR="003E70CE" w:rsidRPr="00FB4E62" w:rsidRDefault="003E70CE" w:rsidP="003E70CE">
            <w:pPr>
              <w:jc w:val="center"/>
              <w:rPr>
                <w:sz w:val="20"/>
                <w:szCs w:val="20"/>
              </w:rPr>
            </w:pPr>
            <w:r w:rsidRPr="00FB4E62">
              <w:rPr>
                <w:sz w:val="20"/>
                <w:szCs w:val="20"/>
              </w:rPr>
              <w:t>25 052 474</w:t>
            </w:r>
          </w:p>
        </w:tc>
        <w:tc>
          <w:tcPr>
            <w:tcW w:w="1276" w:type="dxa"/>
            <w:tcBorders>
              <w:bottom w:val="single" w:sz="12" w:space="0" w:color="auto"/>
            </w:tcBorders>
            <w:vAlign w:val="center"/>
          </w:tcPr>
          <w:p w14:paraId="3F436908" w14:textId="77777777" w:rsidR="003E70CE" w:rsidRPr="00FB4E62" w:rsidRDefault="003E70CE" w:rsidP="003E70CE">
            <w:pPr>
              <w:jc w:val="center"/>
              <w:rPr>
                <w:sz w:val="20"/>
                <w:szCs w:val="20"/>
              </w:rPr>
            </w:pPr>
            <w:r w:rsidRPr="00FB4E62">
              <w:rPr>
                <w:sz w:val="20"/>
                <w:szCs w:val="20"/>
              </w:rPr>
              <w:t>30 718 125</w:t>
            </w:r>
          </w:p>
        </w:tc>
        <w:tc>
          <w:tcPr>
            <w:tcW w:w="1134" w:type="dxa"/>
            <w:tcBorders>
              <w:bottom w:val="single" w:sz="12" w:space="0" w:color="auto"/>
            </w:tcBorders>
            <w:vAlign w:val="center"/>
          </w:tcPr>
          <w:p w14:paraId="1821266F" w14:textId="77777777" w:rsidR="003E70CE" w:rsidRPr="00FB4E62" w:rsidRDefault="003E70CE" w:rsidP="003E70CE">
            <w:pPr>
              <w:jc w:val="center"/>
              <w:rPr>
                <w:sz w:val="20"/>
                <w:szCs w:val="20"/>
              </w:rPr>
            </w:pPr>
            <w:r w:rsidRPr="00FB4E62">
              <w:rPr>
                <w:sz w:val="20"/>
                <w:szCs w:val="20"/>
              </w:rPr>
              <w:t>0</w:t>
            </w:r>
          </w:p>
        </w:tc>
        <w:tc>
          <w:tcPr>
            <w:tcW w:w="1276" w:type="dxa"/>
            <w:tcBorders>
              <w:bottom w:val="single" w:sz="12" w:space="0" w:color="auto"/>
            </w:tcBorders>
            <w:vAlign w:val="center"/>
          </w:tcPr>
          <w:p w14:paraId="4ACC3196" w14:textId="77777777" w:rsidR="003E70CE" w:rsidRPr="00FB4E62" w:rsidRDefault="003E70CE" w:rsidP="003E70CE">
            <w:pPr>
              <w:jc w:val="center"/>
              <w:rPr>
                <w:sz w:val="20"/>
                <w:szCs w:val="20"/>
              </w:rPr>
            </w:pPr>
            <w:r w:rsidRPr="00FB4E62">
              <w:rPr>
                <w:sz w:val="20"/>
                <w:szCs w:val="20"/>
              </w:rPr>
              <w:t>0</w:t>
            </w:r>
          </w:p>
        </w:tc>
        <w:tc>
          <w:tcPr>
            <w:tcW w:w="1134" w:type="dxa"/>
            <w:tcBorders>
              <w:bottom w:val="single" w:sz="12" w:space="0" w:color="auto"/>
              <w:right w:val="single" w:sz="12" w:space="0" w:color="auto"/>
            </w:tcBorders>
            <w:vAlign w:val="center"/>
          </w:tcPr>
          <w:p w14:paraId="1697295A" w14:textId="77777777" w:rsidR="003E70CE" w:rsidRPr="00FB4E62" w:rsidRDefault="003E70CE" w:rsidP="003E70CE">
            <w:pPr>
              <w:jc w:val="center"/>
              <w:rPr>
                <w:sz w:val="20"/>
                <w:szCs w:val="20"/>
              </w:rPr>
            </w:pPr>
            <w:r w:rsidRPr="00FB4E62">
              <w:rPr>
                <w:sz w:val="20"/>
                <w:szCs w:val="20"/>
              </w:rPr>
              <w:t>10 369 427</w:t>
            </w:r>
          </w:p>
        </w:tc>
        <w:tc>
          <w:tcPr>
            <w:tcW w:w="1417" w:type="dxa"/>
            <w:tcBorders>
              <w:left w:val="single" w:sz="12" w:space="0" w:color="auto"/>
              <w:bottom w:val="single" w:sz="12" w:space="0" w:color="auto"/>
            </w:tcBorders>
            <w:vAlign w:val="center"/>
          </w:tcPr>
          <w:p w14:paraId="401A1DB7" w14:textId="77777777" w:rsidR="003E70CE" w:rsidRPr="00FB4E62" w:rsidRDefault="003E70CE" w:rsidP="003E70CE">
            <w:pPr>
              <w:jc w:val="center"/>
              <w:rPr>
                <w:sz w:val="20"/>
                <w:szCs w:val="20"/>
              </w:rPr>
            </w:pPr>
            <w:r w:rsidRPr="00FB4E62">
              <w:rPr>
                <w:sz w:val="20"/>
                <w:szCs w:val="20"/>
              </w:rPr>
              <w:t>66 140 026</w:t>
            </w:r>
          </w:p>
        </w:tc>
      </w:tr>
      <w:tr w:rsidR="003E70CE" w:rsidRPr="00F16F82" w14:paraId="1B190D62" w14:textId="77777777" w:rsidTr="003E70CE">
        <w:tc>
          <w:tcPr>
            <w:tcW w:w="988" w:type="dxa"/>
            <w:vMerge w:val="restart"/>
            <w:tcBorders>
              <w:top w:val="single" w:sz="12" w:space="0" w:color="auto"/>
            </w:tcBorders>
            <w:vAlign w:val="center"/>
          </w:tcPr>
          <w:p w14:paraId="2F1FCFF5" w14:textId="77777777" w:rsidR="003E70CE" w:rsidRPr="00F16F82" w:rsidRDefault="003E70CE" w:rsidP="003E70CE">
            <w:pPr>
              <w:jc w:val="center"/>
              <w:rPr>
                <w:b/>
                <w:sz w:val="20"/>
                <w:szCs w:val="20"/>
              </w:rPr>
            </w:pPr>
            <w:r w:rsidRPr="00F16F82">
              <w:rPr>
                <w:b/>
                <w:sz w:val="20"/>
                <w:szCs w:val="20"/>
              </w:rPr>
              <w:t>VARAM</w:t>
            </w:r>
          </w:p>
        </w:tc>
        <w:tc>
          <w:tcPr>
            <w:tcW w:w="1134" w:type="dxa"/>
            <w:tcBorders>
              <w:top w:val="single" w:sz="12" w:space="0" w:color="auto"/>
            </w:tcBorders>
            <w:vAlign w:val="center"/>
          </w:tcPr>
          <w:p w14:paraId="7279BC92" w14:textId="77777777" w:rsidR="003E70CE" w:rsidRPr="00F16F82" w:rsidRDefault="003E70CE" w:rsidP="003E70CE">
            <w:pPr>
              <w:jc w:val="center"/>
              <w:rPr>
                <w:sz w:val="20"/>
                <w:szCs w:val="20"/>
              </w:rPr>
            </w:pPr>
            <w:r w:rsidRPr="00F16F82">
              <w:rPr>
                <w:sz w:val="20"/>
                <w:szCs w:val="20"/>
              </w:rPr>
              <w:t>Rezerve</w:t>
            </w:r>
          </w:p>
        </w:tc>
        <w:tc>
          <w:tcPr>
            <w:tcW w:w="1417" w:type="dxa"/>
            <w:tcBorders>
              <w:top w:val="single" w:sz="12" w:space="0" w:color="auto"/>
            </w:tcBorders>
            <w:vAlign w:val="center"/>
          </w:tcPr>
          <w:p w14:paraId="434433AF" w14:textId="77777777" w:rsidR="003E70CE" w:rsidRPr="00FB4E62" w:rsidRDefault="003E70CE" w:rsidP="003E70CE">
            <w:pPr>
              <w:jc w:val="center"/>
              <w:rPr>
                <w:sz w:val="20"/>
                <w:szCs w:val="20"/>
              </w:rPr>
            </w:pPr>
            <w:r w:rsidRPr="00FB4E62">
              <w:rPr>
                <w:sz w:val="20"/>
                <w:szCs w:val="20"/>
              </w:rPr>
              <w:t>23 274 944</w:t>
            </w:r>
          </w:p>
        </w:tc>
        <w:tc>
          <w:tcPr>
            <w:tcW w:w="1276" w:type="dxa"/>
            <w:tcBorders>
              <w:top w:val="single" w:sz="12" w:space="0" w:color="auto"/>
            </w:tcBorders>
            <w:vAlign w:val="center"/>
          </w:tcPr>
          <w:p w14:paraId="2A7FAA26" w14:textId="77777777" w:rsidR="003E70CE" w:rsidRPr="00FB4E62" w:rsidRDefault="003E70CE" w:rsidP="003E70CE">
            <w:pPr>
              <w:jc w:val="center"/>
              <w:rPr>
                <w:sz w:val="20"/>
                <w:szCs w:val="20"/>
              </w:rPr>
            </w:pPr>
            <w:r w:rsidRPr="00FB4E62">
              <w:rPr>
                <w:sz w:val="20"/>
                <w:szCs w:val="20"/>
              </w:rPr>
              <w:t>18 966 532</w:t>
            </w:r>
          </w:p>
        </w:tc>
        <w:tc>
          <w:tcPr>
            <w:tcW w:w="1134" w:type="dxa"/>
            <w:tcBorders>
              <w:top w:val="single" w:sz="12" w:space="0" w:color="auto"/>
            </w:tcBorders>
            <w:vAlign w:val="center"/>
          </w:tcPr>
          <w:p w14:paraId="7EAF4B05" w14:textId="77777777" w:rsidR="003E70CE" w:rsidRPr="00FB4E62" w:rsidRDefault="003E70CE" w:rsidP="003E70CE">
            <w:pPr>
              <w:jc w:val="center"/>
              <w:rPr>
                <w:sz w:val="20"/>
                <w:szCs w:val="20"/>
              </w:rPr>
            </w:pPr>
            <w:r w:rsidRPr="00FB4E62">
              <w:rPr>
                <w:sz w:val="20"/>
                <w:szCs w:val="20"/>
              </w:rPr>
              <w:t>0</w:t>
            </w:r>
          </w:p>
        </w:tc>
        <w:tc>
          <w:tcPr>
            <w:tcW w:w="1276" w:type="dxa"/>
            <w:tcBorders>
              <w:top w:val="single" w:sz="12" w:space="0" w:color="auto"/>
            </w:tcBorders>
            <w:vAlign w:val="center"/>
          </w:tcPr>
          <w:p w14:paraId="25DDE924" w14:textId="77777777" w:rsidR="003E70CE" w:rsidRPr="00FB4E62" w:rsidRDefault="003E70CE" w:rsidP="003E70CE">
            <w:pPr>
              <w:jc w:val="center"/>
              <w:rPr>
                <w:sz w:val="20"/>
                <w:szCs w:val="20"/>
              </w:rPr>
            </w:pPr>
            <w:r w:rsidRPr="00FB4E62">
              <w:rPr>
                <w:sz w:val="20"/>
                <w:szCs w:val="20"/>
              </w:rPr>
              <w:t>0</w:t>
            </w:r>
          </w:p>
        </w:tc>
        <w:tc>
          <w:tcPr>
            <w:tcW w:w="1134" w:type="dxa"/>
            <w:tcBorders>
              <w:top w:val="single" w:sz="12" w:space="0" w:color="auto"/>
              <w:right w:val="single" w:sz="12" w:space="0" w:color="auto"/>
            </w:tcBorders>
            <w:vAlign w:val="center"/>
          </w:tcPr>
          <w:p w14:paraId="4D45DA53" w14:textId="77777777" w:rsidR="003E70CE" w:rsidRPr="00FB4E62" w:rsidRDefault="003E70CE" w:rsidP="003E70CE">
            <w:pPr>
              <w:jc w:val="center"/>
              <w:rPr>
                <w:sz w:val="20"/>
                <w:szCs w:val="20"/>
              </w:rPr>
            </w:pPr>
            <w:r w:rsidRPr="00FB4E62">
              <w:rPr>
                <w:sz w:val="20"/>
                <w:szCs w:val="20"/>
              </w:rPr>
              <w:t>0</w:t>
            </w:r>
          </w:p>
        </w:tc>
        <w:tc>
          <w:tcPr>
            <w:tcW w:w="1417" w:type="dxa"/>
            <w:tcBorders>
              <w:top w:val="single" w:sz="12" w:space="0" w:color="auto"/>
              <w:left w:val="single" w:sz="12" w:space="0" w:color="auto"/>
            </w:tcBorders>
            <w:vAlign w:val="center"/>
          </w:tcPr>
          <w:p w14:paraId="0BD5909A" w14:textId="77777777" w:rsidR="003E70CE" w:rsidRPr="00FB4E62" w:rsidRDefault="003E70CE" w:rsidP="003E70CE">
            <w:pPr>
              <w:jc w:val="center"/>
              <w:rPr>
                <w:sz w:val="20"/>
                <w:szCs w:val="20"/>
              </w:rPr>
            </w:pPr>
            <w:r w:rsidRPr="00FB4E62">
              <w:rPr>
                <w:sz w:val="20"/>
                <w:szCs w:val="20"/>
              </w:rPr>
              <w:t>42 241 476</w:t>
            </w:r>
          </w:p>
        </w:tc>
      </w:tr>
      <w:tr w:rsidR="003E70CE" w:rsidRPr="00F16F82" w14:paraId="39AA6285" w14:textId="77777777" w:rsidTr="003E70CE">
        <w:tc>
          <w:tcPr>
            <w:tcW w:w="988" w:type="dxa"/>
            <w:vMerge/>
            <w:tcBorders>
              <w:bottom w:val="single" w:sz="12" w:space="0" w:color="auto"/>
            </w:tcBorders>
            <w:vAlign w:val="center"/>
          </w:tcPr>
          <w:p w14:paraId="2B232D3D" w14:textId="77777777" w:rsidR="003E70CE" w:rsidRPr="00F16F82" w:rsidRDefault="003E70CE" w:rsidP="003E70CE">
            <w:pPr>
              <w:jc w:val="center"/>
              <w:rPr>
                <w:b/>
                <w:sz w:val="20"/>
                <w:szCs w:val="20"/>
              </w:rPr>
            </w:pPr>
          </w:p>
        </w:tc>
        <w:tc>
          <w:tcPr>
            <w:tcW w:w="1134" w:type="dxa"/>
            <w:tcBorders>
              <w:bottom w:val="single" w:sz="12" w:space="0" w:color="auto"/>
            </w:tcBorders>
            <w:vAlign w:val="center"/>
          </w:tcPr>
          <w:p w14:paraId="7F8B3F51" w14:textId="77777777" w:rsidR="003E70CE" w:rsidRPr="00F16F82" w:rsidRDefault="003E70CE" w:rsidP="003E70CE">
            <w:pPr>
              <w:jc w:val="center"/>
              <w:rPr>
                <w:sz w:val="20"/>
                <w:szCs w:val="20"/>
              </w:rPr>
            </w:pPr>
            <w:r w:rsidRPr="00F16F82">
              <w:rPr>
                <w:sz w:val="20"/>
                <w:szCs w:val="20"/>
              </w:rPr>
              <w:t>Atlikumi</w:t>
            </w:r>
          </w:p>
        </w:tc>
        <w:tc>
          <w:tcPr>
            <w:tcW w:w="1417" w:type="dxa"/>
            <w:tcBorders>
              <w:bottom w:val="single" w:sz="12" w:space="0" w:color="auto"/>
            </w:tcBorders>
            <w:vAlign w:val="center"/>
          </w:tcPr>
          <w:p w14:paraId="1C09158B" w14:textId="77777777" w:rsidR="003E70CE" w:rsidRPr="00FB4E62" w:rsidRDefault="003E70CE" w:rsidP="003E70CE">
            <w:pPr>
              <w:jc w:val="center"/>
              <w:rPr>
                <w:sz w:val="20"/>
                <w:szCs w:val="20"/>
              </w:rPr>
            </w:pPr>
            <w:r w:rsidRPr="00FB4E62">
              <w:rPr>
                <w:sz w:val="20"/>
                <w:szCs w:val="20"/>
              </w:rPr>
              <w:t>50 234 526</w:t>
            </w:r>
          </w:p>
        </w:tc>
        <w:tc>
          <w:tcPr>
            <w:tcW w:w="1276" w:type="dxa"/>
            <w:tcBorders>
              <w:bottom w:val="single" w:sz="12" w:space="0" w:color="auto"/>
            </w:tcBorders>
            <w:vAlign w:val="center"/>
          </w:tcPr>
          <w:p w14:paraId="238C2694" w14:textId="77777777" w:rsidR="003E70CE" w:rsidRPr="00FB4E62" w:rsidRDefault="003E70CE" w:rsidP="003E70CE">
            <w:pPr>
              <w:jc w:val="center"/>
              <w:rPr>
                <w:sz w:val="20"/>
                <w:szCs w:val="20"/>
              </w:rPr>
            </w:pPr>
            <w:r w:rsidRPr="00FB4E62">
              <w:rPr>
                <w:sz w:val="20"/>
                <w:szCs w:val="20"/>
              </w:rPr>
              <w:t>25 089 799</w:t>
            </w:r>
          </w:p>
        </w:tc>
        <w:tc>
          <w:tcPr>
            <w:tcW w:w="1134" w:type="dxa"/>
            <w:tcBorders>
              <w:bottom w:val="single" w:sz="12" w:space="0" w:color="auto"/>
            </w:tcBorders>
            <w:vAlign w:val="center"/>
          </w:tcPr>
          <w:p w14:paraId="52B0AE44" w14:textId="77777777" w:rsidR="003E70CE" w:rsidRPr="00FB4E62" w:rsidRDefault="003E70CE" w:rsidP="003E70CE">
            <w:pPr>
              <w:jc w:val="center"/>
              <w:rPr>
                <w:sz w:val="20"/>
                <w:szCs w:val="20"/>
              </w:rPr>
            </w:pPr>
            <w:r w:rsidRPr="00FB4E62">
              <w:rPr>
                <w:sz w:val="20"/>
                <w:szCs w:val="20"/>
              </w:rPr>
              <w:t>0</w:t>
            </w:r>
          </w:p>
        </w:tc>
        <w:tc>
          <w:tcPr>
            <w:tcW w:w="1276" w:type="dxa"/>
            <w:tcBorders>
              <w:bottom w:val="single" w:sz="12" w:space="0" w:color="auto"/>
            </w:tcBorders>
            <w:vAlign w:val="center"/>
          </w:tcPr>
          <w:p w14:paraId="5F1A50E0" w14:textId="77777777" w:rsidR="003E70CE" w:rsidRPr="00FB4E62" w:rsidRDefault="003E70CE" w:rsidP="003E70CE">
            <w:pPr>
              <w:jc w:val="center"/>
              <w:rPr>
                <w:sz w:val="20"/>
                <w:szCs w:val="20"/>
              </w:rPr>
            </w:pPr>
            <w:r w:rsidRPr="00FB4E62">
              <w:rPr>
                <w:sz w:val="20"/>
                <w:szCs w:val="20"/>
              </w:rPr>
              <w:t>0</w:t>
            </w:r>
          </w:p>
        </w:tc>
        <w:tc>
          <w:tcPr>
            <w:tcW w:w="1134" w:type="dxa"/>
            <w:tcBorders>
              <w:bottom w:val="single" w:sz="12" w:space="0" w:color="auto"/>
              <w:right w:val="single" w:sz="12" w:space="0" w:color="auto"/>
            </w:tcBorders>
            <w:vAlign w:val="center"/>
          </w:tcPr>
          <w:p w14:paraId="0F9D89FA" w14:textId="77777777" w:rsidR="003E70CE" w:rsidRPr="00FB4E62" w:rsidRDefault="003E70CE" w:rsidP="003E70CE">
            <w:pPr>
              <w:jc w:val="center"/>
              <w:rPr>
                <w:sz w:val="20"/>
                <w:szCs w:val="20"/>
              </w:rPr>
            </w:pPr>
            <w:r w:rsidRPr="00FB4E62">
              <w:rPr>
                <w:sz w:val="20"/>
                <w:szCs w:val="20"/>
              </w:rPr>
              <w:t>3</w:t>
            </w:r>
          </w:p>
        </w:tc>
        <w:tc>
          <w:tcPr>
            <w:tcW w:w="1417" w:type="dxa"/>
            <w:tcBorders>
              <w:left w:val="single" w:sz="12" w:space="0" w:color="auto"/>
              <w:bottom w:val="single" w:sz="12" w:space="0" w:color="auto"/>
            </w:tcBorders>
            <w:vAlign w:val="center"/>
          </w:tcPr>
          <w:p w14:paraId="29C3052D" w14:textId="77777777" w:rsidR="003E70CE" w:rsidRPr="00FB4E62" w:rsidRDefault="003E70CE" w:rsidP="003E70CE">
            <w:pPr>
              <w:jc w:val="center"/>
              <w:rPr>
                <w:sz w:val="20"/>
                <w:szCs w:val="20"/>
              </w:rPr>
            </w:pPr>
            <w:r w:rsidRPr="00FB4E62">
              <w:rPr>
                <w:sz w:val="20"/>
                <w:szCs w:val="20"/>
              </w:rPr>
              <w:t>75 324 328</w:t>
            </w:r>
          </w:p>
        </w:tc>
      </w:tr>
      <w:tr w:rsidR="003E70CE" w:rsidRPr="00F16F82" w14:paraId="1C8ED243" w14:textId="77777777" w:rsidTr="003E70CE">
        <w:tc>
          <w:tcPr>
            <w:tcW w:w="988" w:type="dxa"/>
            <w:vMerge w:val="restart"/>
            <w:tcBorders>
              <w:top w:val="single" w:sz="12" w:space="0" w:color="auto"/>
            </w:tcBorders>
            <w:vAlign w:val="center"/>
          </w:tcPr>
          <w:p w14:paraId="5892539E" w14:textId="77777777" w:rsidR="003E70CE" w:rsidRPr="00F16F82" w:rsidRDefault="003E70CE" w:rsidP="003E70CE">
            <w:pPr>
              <w:jc w:val="center"/>
              <w:rPr>
                <w:b/>
                <w:sz w:val="20"/>
                <w:szCs w:val="20"/>
              </w:rPr>
            </w:pPr>
            <w:r w:rsidRPr="00F16F82">
              <w:rPr>
                <w:b/>
                <w:sz w:val="20"/>
                <w:szCs w:val="20"/>
              </w:rPr>
              <w:lastRenderedPageBreak/>
              <w:t>LM</w:t>
            </w:r>
          </w:p>
        </w:tc>
        <w:tc>
          <w:tcPr>
            <w:tcW w:w="1134" w:type="dxa"/>
            <w:tcBorders>
              <w:top w:val="single" w:sz="12" w:space="0" w:color="auto"/>
            </w:tcBorders>
            <w:vAlign w:val="center"/>
          </w:tcPr>
          <w:p w14:paraId="009EC34C" w14:textId="77777777" w:rsidR="003E70CE" w:rsidRPr="00F16F82" w:rsidRDefault="003E70CE" w:rsidP="003E70CE">
            <w:pPr>
              <w:jc w:val="center"/>
              <w:rPr>
                <w:sz w:val="20"/>
                <w:szCs w:val="20"/>
              </w:rPr>
            </w:pPr>
            <w:r w:rsidRPr="00F16F82">
              <w:rPr>
                <w:sz w:val="20"/>
                <w:szCs w:val="20"/>
              </w:rPr>
              <w:t>Rezerve</w:t>
            </w:r>
          </w:p>
        </w:tc>
        <w:tc>
          <w:tcPr>
            <w:tcW w:w="1417" w:type="dxa"/>
            <w:tcBorders>
              <w:top w:val="single" w:sz="12" w:space="0" w:color="auto"/>
            </w:tcBorders>
            <w:vAlign w:val="center"/>
          </w:tcPr>
          <w:p w14:paraId="65B6E77D" w14:textId="77777777" w:rsidR="003E70CE" w:rsidRPr="00FB4E62" w:rsidRDefault="003E70CE" w:rsidP="003E70CE">
            <w:pPr>
              <w:jc w:val="center"/>
              <w:rPr>
                <w:sz w:val="20"/>
                <w:szCs w:val="20"/>
              </w:rPr>
            </w:pPr>
            <w:r w:rsidRPr="00FB4E62">
              <w:rPr>
                <w:sz w:val="20"/>
                <w:szCs w:val="20"/>
              </w:rPr>
              <w:t>5 682 904</w:t>
            </w:r>
          </w:p>
        </w:tc>
        <w:tc>
          <w:tcPr>
            <w:tcW w:w="1276" w:type="dxa"/>
            <w:tcBorders>
              <w:top w:val="single" w:sz="12" w:space="0" w:color="auto"/>
            </w:tcBorders>
            <w:vAlign w:val="center"/>
          </w:tcPr>
          <w:p w14:paraId="34DB9F0C" w14:textId="77777777" w:rsidR="003E70CE" w:rsidRPr="00FB4E62" w:rsidRDefault="003E70CE" w:rsidP="003E70CE">
            <w:pPr>
              <w:jc w:val="center"/>
              <w:rPr>
                <w:sz w:val="20"/>
                <w:szCs w:val="20"/>
              </w:rPr>
            </w:pPr>
            <w:r w:rsidRPr="00FB4E62">
              <w:rPr>
                <w:sz w:val="20"/>
                <w:szCs w:val="20"/>
              </w:rPr>
              <w:t>11 135 952</w:t>
            </w:r>
          </w:p>
        </w:tc>
        <w:tc>
          <w:tcPr>
            <w:tcW w:w="1134" w:type="dxa"/>
            <w:tcBorders>
              <w:top w:val="single" w:sz="12" w:space="0" w:color="auto"/>
            </w:tcBorders>
            <w:vAlign w:val="center"/>
          </w:tcPr>
          <w:p w14:paraId="68715F3B" w14:textId="77777777" w:rsidR="003E70CE" w:rsidRPr="00FB4E62" w:rsidRDefault="003E70CE" w:rsidP="003E70CE">
            <w:pPr>
              <w:jc w:val="center"/>
              <w:rPr>
                <w:sz w:val="20"/>
                <w:szCs w:val="20"/>
              </w:rPr>
            </w:pPr>
            <w:r w:rsidRPr="00FB4E62">
              <w:rPr>
                <w:sz w:val="20"/>
                <w:szCs w:val="20"/>
              </w:rPr>
              <w:t>1 274 049</w:t>
            </w:r>
          </w:p>
        </w:tc>
        <w:tc>
          <w:tcPr>
            <w:tcW w:w="1276" w:type="dxa"/>
            <w:tcBorders>
              <w:top w:val="single" w:sz="12" w:space="0" w:color="auto"/>
            </w:tcBorders>
            <w:vAlign w:val="center"/>
          </w:tcPr>
          <w:p w14:paraId="605F4C66" w14:textId="77777777" w:rsidR="003E70CE" w:rsidRPr="00FB4E62" w:rsidRDefault="003E70CE" w:rsidP="003E70CE">
            <w:pPr>
              <w:jc w:val="center"/>
              <w:rPr>
                <w:sz w:val="20"/>
                <w:szCs w:val="20"/>
              </w:rPr>
            </w:pPr>
            <w:r w:rsidRPr="00FB4E62">
              <w:rPr>
                <w:sz w:val="20"/>
                <w:szCs w:val="20"/>
              </w:rPr>
              <w:t>0</w:t>
            </w:r>
          </w:p>
        </w:tc>
        <w:tc>
          <w:tcPr>
            <w:tcW w:w="1134" w:type="dxa"/>
            <w:tcBorders>
              <w:top w:val="single" w:sz="12" w:space="0" w:color="auto"/>
              <w:right w:val="single" w:sz="12" w:space="0" w:color="auto"/>
            </w:tcBorders>
            <w:vAlign w:val="center"/>
          </w:tcPr>
          <w:p w14:paraId="4302C975" w14:textId="77777777" w:rsidR="003E70CE" w:rsidRPr="00FB4E62" w:rsidRDefault="003E70CE" w:rsidP="003E70CE">
            <w:pPr>
              <w:jc w:val="center"/>
              <w:rPr>
                <w:sz w:val="20"/>
                <w:szCs w:val="20"/>
              </w:rPr>
            </w:pPr>
            <w:r w:rsidRPr="00FB4E62">
              <w:rPr>
                <w:sz w:val="20"/>
                <w:szCs w:val="20"/>
              </w:rPr>
              <w:t>0</w:t>
            </w:r>
          </w:p>
        </w:tc>
        <w:tc>
          <w:tcPr>
            <w:tcW w:w="1417" w:type="dxa"/>
            <w:tcBorders>
              <w:top w:val="single" w:sz="12" w:space="0" w:color="auto"/>
              <w:left w:val="single" w:sz="12" w:space="0" w:color="auto"/>
            </w:tcBorders>
            <w:vAlign w:val="center"/>
          </w:tcPr>
          <w:p w14:paraId="5CF776A0" w14:textId="77777777" w:rsidR="003E70CE" w:rsidRPr="00FB4E62" w:rsidRDefault="003E70CE" w:rsidP="003E70CE">
            <w:pPr>
              <w:jc w:val="center"/>
              <w:rPr>
                <w:sz w:val="20"/>
                <w:szCs w:val="20"/>
              </w:rPr>
            </w:pPr>
            <w:r w:rsidRPr="00FB4E62">
              <w:rPr>
                <w:sz w:val="20"/>
                <w:szCs w:val="20"/>
              </w:rPr>
              <w:t>18 092 905</w:t>
            </w:r>
          </w:p>
        </w:tc>
      </w:tr>
      <w:tr w:rsidR="003E70CE" w:rsidRPr="00F16F82" w14:paraId="5660232F" w14:textId="77777777" w:rsidTr="003E70CE">
        <w:tc>
          <w:tcPr>
            <w:tcW w:w="988" w:type="dxa"/>
            <w:vMerge/>
            <w:tcBorders>
              <w:bottom w:val="single" w:sz="12" w:space="0" w:color="auto"/>
            </w:tcBorders>
            <w:vAlign w:val="center"/>
          </w:tcPr>
          <w:p w14:paraId="2E250AAA" w14:textId="77777777" w:rsidR="003E70CE" w:rsidRPr="00F16F82" w:rsidRDefault="003E70CE" w:rsidP="003E70CE">
            <w:pPr>
              <w:jc w:val="center"/>
              <w:rPr>
                <w:b/>
                <w:sz w:val="20"/>
                <w:szCs w:val="20"/>
              </w:rPr>
            </w:pPr>
          </w:p>
        </w:tc>
        <w:tc>
          <w:tcPr>
            <w:tcW w:w="1134" w:type="dxa"/>
            <w:tcBorders>
              <w:bottom w:val="single" w:sz="12" w:space="0" w:color="auto"/>
            </w:tcBorders>
            <w:vAlign w:val="center"/>
          </w:tcPr>
          <w:p w14:paraId="5E16E9AF" w14:textId="77777777" w:rsidR="003E70CE" w:rsidRPr="00F16F82" w:rsidRDefault="003E70CE" w:rsidP="003E70CE">
            <w:pPr>
              <w:jc w:val="center"/>
              <w:rPr>
                <w:sz w:val="20"/>
                <w:szCs w:val="20"/>
              </w:rPr>
            </w:pPr>
            <w:r w:rsidRPr="00F16F82">
              <w:rPr>
                <w:sz w:val="20"/>
                <w:szCs w:val="20"/>
              </w:rPr>
              <w:t>Atlikumi</w:t>
            </w:r>
          </w:p>
        </w:tc>
        <w:tc>
          <w:tcPr>
            <w:tcW w:w="1417" w:type="dxa"/>
            <w:tcBorders>
              <w:bottom w:val="single" w:sz="12" w:space="0" w:color="auto"/>
            </w:tcBorders>
            <w:vAlign w:val="center"/>
          </w:tcPr>
          <w:p w14:paraId="300FB4D1" w14:textId="77777777" w:rsidR="003E70CE" w:rsidRPr="00FB4E62" w:rsidRDefault="003E70CE" w:rsidP="003E70CE">
            <w:pPr>
              <w:jc w:val="center"/>
              <w:rPr>
                <w:sz w:val="20"/>
                <w:szCs w:val="20"/>
              </w:rPr>
            </w:pPr>
            <w:r w:rsidRPr="00FB4E62">
              <w:rPr>
                <w:sz w:val="20"/>
                <w:szCs w:val="20"/>
              </w:rPr>
              <w:t>4 471 445</w:t>
            </w:r>
          </w:p>
        </w:tc>
        <w:tc>
          <w:tcPr>
            <w:tcW w:w="1276" w:type="dxa"/>
            <w:tcBorders>
              <w:bottom w:val="single" w:sz="12" w:space="0" w:color="auto"/>
            </w:tcBorders>
            <w:vAlign w:val="center"/>
          </w:tcPr>
          <w:p w14:paraId="65989263" w14:textId="77777777" w:rsidR="003E70CE" w:rsidRPr="00FB4E62" w:rsidRDefault="003E70CE" w:rsidP="003E70CE">
            <w:pPr>
              <w:jc w:val="center"/>
              <w:rPr>
                <w:sz w:val="20"/>
                <w:szCs w:val="20"/>
              </w:rPr>
            </w:pPr>
            <w:r w:rsidRPr="00FB4E62">
              <w:rPr>
                <w:sz w:val="20"/>
                <w:szCs w:val="20"/>
              </w:rPr>
              <w:t>12 610 179</w:t>
            </w:r>
          </w:p>
        </w:tc>
        <w:tc>
          <w:tcPr>
            <w:tcW w:w="1134" w:type="dxa"/>
            <w:tcBorders>
              <w:bottom w:val="single" w:sz="12" w:space="0" w:color="auto"/>
            </w:tcBorders>
            <w:vAlign w:val="center"/>
          </w:tcPr>
          <w:p w14:paraId="2934BF5A" w14:textId="77777777" w:rsidR="003E70CE" w:rsidRPr="00FB4E62" w:rsidRDefault="003E70CE" w:rsidP="003E70CE">
            <w:pPr>
              <w:jc w:val="center"/>
              <w:rPr>
                <w:sz w:val="20"/>
                <w:szCs w:val="20"/>
              </w:rPr>
            </w:pPr>
            <w:r w:rsidRPr="00FB4E62">
              <w:rPr>
                <w:sz w:val="20"/>
                <w:szCs w:val="20"/>
              </w:rPr>
              <w:t>3 019 248</w:t>
            </w:r>
          </w:p>
        </w:tc>
        <w:tc>
          <w:tcPr>
            <w:tcW w:w="1276" w:type="dxa"/>
            <w:tcBorders>
              <w:bottom w:val="single" w:sz="12" w:space="0" w:color="auto"/>
            </w:tcBorders>
            <w:vAlign w:val="center"/>
          </w:tcPr>
          <w:p w14:paraId="679D9BF0" w14:textId="77777777" w:rsidR="003E70CE" w:rsidRPr="00FB4E62" w:rsidRDefault="003E70CE" w:rsidP="003E70CE">
            <w:pPr>
              <w:jc w:val="center"/>
              <w:rPr>
                <w:sz w:val="20"/>
                <w:szCs w:val="20"/>
              </w:rPr>
            </w:pPr>
            <w:r w:rsidRPr="00FB4E62">
              <w:rPr>
                <w:sz w:val="20"/>
                <w:szCs w:val="20"/>
              </w:rPr>
              <w:t>0</w:t>
            </w:r>
          </w:p>
        </w:tc>
        <w:tc>
          <w:tcPr>
            <w:tcW w:w="1134" w:type="dxa"/>
            <w:tcBorders>
              <w:bottom w:val="single" w:sz="12" w:space="0" w:color="auto"/>
              <w:right w:val="single" w:sz="12" w:space="0" w:color="auto"/>
            </w:tcBorders>
            <w:vAlign w:val="center"/>
          </w:tcPr>
          <w:p w14:paraId="24742187" w14:textId="77777777" w:rsidR="003E70CE" w:rsidRPr="00FB4E62" w:rsidRDefault="003E70CE" w:rsidP="003E70CE">
            <w:pPr>
              <w:jc w:val="center"/>
              <w:rPr>
                <w:sz w:val="20"/>
                <w:szCs w:val="20"/>
              </w:rPr>
            </w:pPr>
            <w:r w:rsidRPr="00FB4E62">
              <w:rPr>
                <w:sz w:val="20"/>
                <w:szCs w:val="20"/>
              </w:rPr>
              <w:t>0</w:t>
            </w:r>
          </w:p>
        </w:tc>
        <w:tc>
          <w:tcPr>
            <w:tcW w:w="1417" w:type="dxa"/>
            <w:tcBorders>
              <w:left w:val="single" w:sz="12" w:space="0" w:color="auto"/>
              <w:bottom w:val="single" w:sz="12" w:space="0" w:color="auto"/>
            </w:tcBorders>
            <w:vAlign w:val="center"/>
          </w:tcPr>
          <w:p w14:paraId="1636FBA2" w14:textId="77777777" w:rsidR="003E70CE" w:rsidRPr="00FB4E62" w:rsidRDefault="003E70CE" w:rsidP="003E70CE">
            <w:pPr>
              <w:jc w:val="center"/>
              <w:rPr>
                <w:sz w:val="20"/>
                <w:szCs w:val="20"/>
              </w:rPr>
            </w:pPr>
            <w:r w:rsidRPr="00FB4E62">
              <w:rPr>
                <w:sz w:val="20"/>
                <w:szCs w:val="20"/>
              </w:rPr>
              <w:t>20 100 872</w:t>
            </w:r>
          </w:p>
        </w:tc>
      </w:tr>
      <w:tr w:rsidR="003E70CE" w:rsidRPr="00F16F82" w14:paraId="70D0E3B5" w14:textId="77777777" w:rsidTr="003E70CE">
        <w:tc>
          <w:tcPr>
            <w:tcW w:w="988" w:type="dxa"/>
            <w:vMerge w:val="restart"/>
            <w:tcBorders>
              <w:top w:val="single" w:sz="12" w:space="0" w:color="auto"/>
            </w:tcBorders>
            <w:vAlign w:val="center"/>
          </w:tcPr>
          <w:p w14:paraId="413297CB" w14:textId="77777777" w:rsidR="003E70CE" w:rsidRPr="00F16F82" w:rsidRDefault="003E70CE" w:rsidP="003E70CE">
            <w:pPr>
              <w:jc w:val="center"/>
              <w:rPr>
                <w:b/>
                <w:sz w:val="20"/>
                <w:szCs w:val="20"/>
              </w:rPr>
            </w:pPr>
            <w:r w:rsidRPr="00F16F82">
              <w:rPr>
                <w:b/>
                <w:sz w:val="20"/>
                <w:szCs w:val="20"/>
              </w:rPr>
              <w:t>IZM</w:t>
            </w:r>
          </w:p>
        </w:tc>
        <w:tc>
          <w:tcPr>
            <w:tcW w:w="1134" w:type="dxa"/>
            <w:tcBorders>
              <w:top w:val="single" w:sz="12" w:space="0" w:color="auto"/>
            </w:tcBorders>
            <w:vAlign w:val="center"/>
          </w:tcPr>
          <w:p w14:paraId="4CF618CB" w14:textId="77777777" w:rsidR="003E70CE" w:rsidRPr="00F16F82" w:rsidRDefault="003E70CE" w:rsidP="003E70CE">
            <w:pPr>
              <w:jc w:val="center"/>
              <w:rPr>
                <w:sz w:val="20"/>
                <w:szCs w:val="20"/>
              </w:rPr>
            </w:pPr>
            <w:r w:rsidRPr="00F16F82">
              <w:rPr>
                <w:sz w:val="20"/>
                <w:szCs w:val="20"/>
              </w:rPr>
              <w:t>Rezerve</w:t>
            </w:r>
          </w:p>
        </w:tc>
        <w:tc>
          <w:tcPr>
            <w:tcW w:w="1417" w:type="dxa"/>
            <w:tcBorders>
              <w:top w:val="single" w:sz="12" w:space="0" w:color="auto"/>
            </w:tcBorders>
            <w:vAlign w:val="center"/>
          </w:tcPr>
          <w:p w14:paraId="1821F99E" w14:textId="77777777" w:rsidR="003E70CE" w:rsidRPr="00FB4E62" w:rsidRDefault="003E70CE" w:rsidP="003E70CE">
            <w:pPr>
              <w:jc w:val="center"/>
              <w:rPr>
                <w:sz w:val="20"/>
                <w:szCs w:val="20"/>
              </w:rPr>
            </w:pPr>
            <w:r w:rsidRPr="00FB4E62">
              <w:rPr>
                <w:sz w:val="20"/>
                <w:szCs w:val="20"/>
              </w:rPr>
              <w:t>20 033 985</w:t>
            </w:r>
          </w:p>
        </w:tc>
        <w:tc>
          <w:tcPr>
            <w:tcW w:w="1276" w:type="dxa"/>
            <w:tcBorders>
              <w:top w:val="single" w:sz="12" w:space="0" w:color="auto"/>
            </w:tcBorders>
            <w:vAlign w:val="center"/>
          </w:tcPr>
          <w:p w14:paraId="6A71DC04" w14:textId="77777777" w:rsidR="003E70CE" w:rsidRPr="00FB4E62" w:rsidRDefault="003E70CE" w:rsidP="003E70CE">
            <w:pPr>
              <w:jc w:val="center"/>
              <w:rPr>
                <w:sz w:val="20"/>
                <w:szCs w:val="20"/>
              </w:rPr>
            </w:pPr>
            <w:r w:rsidRPr="00FB4E62">
              <w:rPr>
                <w:sz w:val="20"/>
                <w:szCs w:val="20"/>
              </w:rPr>
              <w:t>22 261 242</w:t>
            </w:r>
          </w:p>
        </w:tc>
        <w:tc>
          <w:tcPr>
            <w:tcW w:w="1134" w:type="dxa"/>
            <w:tcBorders>
              <w:top w:val="single" w:sz="12" w:space="0" w:color="auto"/>
            </w:tcBorders>
            <w:vAlign w:val="center"/>
          </w:tcPr>
          <w:p w14:paraId="2D127972" w14:textId="77777777" w:rsidR="003E70CE" w:rsidRPr="00FB4E62" w:rsidRDefault="003E70CE" w:rsidP="003E70CE">
            <w:pPr>
              <w:jc w:val="center"/>
              <w:rPr>
                <w:sz w:val="20"/>
                <w:szCs w:val="20"/>
              </w:rPr>
            </w:pPr>
            <w:r w:rsidRPr="00FB4E62">
              <w:rPr>
                <w:sz w:val="20"/>
                <w:szCs w:val="20"/>
              </w:rPr>
              <w:t>0</w:t>
            </w:r>
          </w:p>
        </w:tc>
        <w:tc>
          <w:tcPr>
            <w:tcW w:w="1276" w:type="dxa"/>
            <w:tcBorders>
              <w:top w:val="single" w:sz="12" w:space="0" w:color="auto"/>
            </w:tcBorders>
            <w:vAlign w:val="center"/>
          </w:tcPr>
          <w:p w14:paraId="38C9C4C9" w14:textId="77777777" w:rsidR="003E70CE" w:rsidRPr="00FB4E62" w:rsidRDefault="003E70CE" w:rsidP="003E70CE">
            <w:pPr>
              <w:jc w:val="center"/>
              <w:rPr>
                <w:sz w:val="20"/>
                <w:szCs w:val="20"/>
              </w:rPr>
            </w:pPr>
            <w:r w:rsidRPr="00FB4E62">
              <w:rPr>
                <w:sz w:val="20"/>
                <w:szCs w:val="20"/>
              </w:rPr>
              <w:t>1 815 163</w:t>
            </w:r>
          </w:p>
        </w:tc>
        <w:tc>
          <w:tcPr>
            <w:tcW w:w="1134" w:type="dxa"/>
            <w:tcBorders>
              <w:top w:val="single" w:sz="12" w:space="0" w:color="auto"/>
              <w:right w:val="single" w:sz="12" w:space="0" w:color="auto"/>
            </w:tcBorders>
            <w:vAlign w:val="center"/>
          </w:tcPr>
          <w:p w14:paraId="2F8F199A" w14:textId="77777777" w:rsidR="003E70CE" w:rsidRPr="00FB4E62" w:rsidRDefault="003E70CE" w:rsidP="003E70CE">
            <w:pPr>
              <w:jc w:val="center"/>
              <w:rPr>
                <w:sz w:val="20"/>
                <w:szCs w:val="20"/>
              </w:rPr>
            </w:pPr>
            <w:r w:rsidRPr="00FB4E62">
              <w:rPr>
                <w:sz w:val="20"/>
                <w:szCs w:val="20"/>
              </w:rPr>
              <w:t>0</w:t>
            </w:r>
          </w:p>
        </w:tc>
        <w:tc>
          <w:tcPr>
            <w:tcW w:w="1417" w:type="dxa"/>
            <w:tcBorders>
              <w:top w:val="single" w:sz="12" w:space="0" w:color="auto"/>
              <w:left w:val="single" w:sz="12" w:space="0" w:color="auto"/>
            </w:tcBorders>
            <w:vAlign w:val="center"/>
          </w:tcPr>
          <w:p w14:paraId="1FD606D5" w14:textId="77777777" w:rsidR="003E70CE" w:rsidRPr="00FB4E62" w:rsidRDefault="003E70CE" w:rsidP="003E70CE">
            <w:pPr>
              <w:jc w:val="center"/>
              <w:rPr>
                <w:sz w:val="20"/>
                <w:szCs w:val="20"/>
              </w:rPr>
            </w:pPr>
            <w:r w:rsidRPr="00FB4E62">
              <w:rPr>
                <w:sz w:val="20"/>
                <w:szCs w:val="20"/>
              </w:rPr>
              <w:t>44 110 390</w:t>
            </w:r>
          </w:p>
        </w:tc>
      </w:tr>
      <w:tr w:rsidR="003E70CE" w:rsidRPr="00F16F82" w14:paraId="76516D45" w14:textId="77777777" w:rsidTr="003E70CE">
        <w:tc>
          <w:tcPr>
            <w:tcW w:w="988" w:type="dxa"/>
            <w:vMerge/>
            <w:tcBorders>
              <w:bottom w:val="single" w:sz="12" w:space="0" w:color="auto"/>
            </w:tcBorders>
            <w:vAlign w:val="center"/>
          </w:tcPr>
          <w:p w14:paraId="18BC77CA" w14:textId="77777777" w:rsidR="003E70CE" w:rsidRPr="00F16F82" w:rsidRDefault="003E70CE" w:rsidP="003E70CE">
            <w:pPr>
              <w:jc w:val="center"/>
              <w:rPr>
                <w:b/>
                <w:sz w:val="20"/>
                <w:szCs w:val="20"/>
              </w:rPr>
            </w:pPr>
          </w:p>
        </w:tc>
        <w:tc>
          <w:tcPr>
            <w:tcW w:w="1134" w:type="dxa"/>
            <w:tcBorders>
              <w:bottom w:val="single" w:sz="12" w:space="0" w:color="auto"/>
            </w:tcBorders>
            <w:vAlign w:val="center"/>
          </w:tcPr>
          <w:p w14:paraId="114C3C8E" w14:textId="77777777" w:rsidR="003E70CE" w:rsidRPr="00F16F82" w:rsidRDefault="003E70CE" w:rsidP="003E70CE">
            <w:pPr>
              <w:jc w:val="center"/>
              <w:rPr>
                <w:sz w:val="20"/>
                <w:szCs w:val="20"/>
              </w:rPr>
            </w:pPr>
            <w:r w:rsidRPr="00F16F82">
              <w:rPr>
                <w:sz w:val="20"/>
                <w:szCs w:val="20"/>
              </w:rPr>
              <w:t>Atlikumi</w:t>
            </w:r>
          </w:p>
        </w:tc>
        <w:tc>
          <w:tcPr>
            <w:tcW w:w="1417" w:type="dxa"/>
            <w:tcBorders>
              <w:bottom w:val="single" w:sz="12" w:space="0" w:color="auto"/>
            </w:tcBorders>
            <w:vAlign w:val="center"/>
          </w:tcPr>
          <w:p w14:paraId="34BBC198" w14:textId="77777777" w:rsidR="003E70CE" w:rsidRPr="00FB4E62" w:rsidRDefault="003E70CE" w:rsidP="003E70CE">
            <w:pPr>
              <w:jc w:val="center"/>
              <w:rPr>
                <w:sz w:val="20"/>
                <w:szCs w:val="20"/>
              </w:rPr>
            </w:pPr>
            <w:r w:rsidRPr="00FB4E62">
              <w:rPr>
                <w:sz w:val="20"/>
                <w:szCs w:val="20"/>
              </w:rPr>
              <w:t>15 660 025</w:t>
            </w:r>
          </w:p>
        </w:tc>
        <w:tc>
          <w:tcPr>
            <w:tcW w:w="1276" w:type="dxa"/>
            <w:tcBorders>
              <w:bottom w:val="single" w:sz="12" w:space="0" w:color="auto"/>
            </w:tcBorders>
            <w:vAlign w:val="center"/>
          </w:tcPr>
          <w:p w14:paraId="21FEABED" w14:textId="77777777" w:rsidR="003E70CE" w:rsidRPr="00FB4E62" w:rsidRDefault="003E70CE" w:rsidP="003E70CE">
            <w:pPr>
              <w:jc w:val="center"/>
              <w:rPr>
                <w:sz w:val="20"/>
                <w:szCs w:val="20"/>
              </w:rPr>
            </w:pPr>
            <w:r w:rsidRPr="00FB4E62">
              <w:rPr>
                <w:sz w:val="20"/>
                <w:szCs w:val="20"/>
              </w:rPr>
              <w:t>11 697 588</w:t>
            </w:r>
          </w:p>
        </w:tc>
        <w:tc>
          <w:tcPr>
            <w:tcW w:w="1134" w:type="dxa"/>
            <w:tcBorders>
              <w:bottom w:val="single" w:sz="12" w:space="0" w:color="auto"/>
            </w:tcBorders>
            <w:vAlign w:val="center"/>
          </w:tcPr>
          <w:p w14:paraId="4216766B" w14:textId="77777777" w:rsidR="003E70CE" w:rsidRPr="00FB4E62" w:rsidRDefault="003E70CE" w:rsidP="003E70CE">
            <w:pPr>
              <w:jc w:val="center"/>
              <w:rPr>
                <w:sz w:val="20"/>
                <w:szCs w:val="20"/>
              </w:rPr>
            </w:pPr>
            <w:r w:rsidRPr="00FB4E62">
              <w:rPr>
                <w:sz w:val="20"/>
                <w:szCs w:val="20"/>
              </w:rPr>
              <w:t>0</w:t>
            </w:r>
          </w:p>
        </w:tc>
        <w:tc>
          <w:tcPr>
            <w:tcW w:w="1276" w:type="dxa"/>
            <w:tcBorders>
              <w:bottom w:val="single" w:sz="12" w:space="0" w:color="auto"/>
            </w:tcBorders>
            <w:vAlign w:val="center"/>
          </w:tcPr>
          <w:p w14:paraId="72C9C01C" w14:textId="77777777" w:rsidR="003E70CE" w:rsidRPr="00FB4E62" w:rsidRDefault="003E70CE" w:rsidP="003E70CE">
            <w:pPr>
              <w:jc w:val="center"/>
              <w:rPr>
                <w:sz w:val="20"/>
                <w:szCs w:val="20"/>
              </w:rPr>
            </w:pPr>
            <w:r w:rsidRPr="00FB4E62">
              <w:rPr>
                <w:sz w:val="20"/>
                <w:szCs w:val="20"/>
              </w:rPr>
              <w:t>6 684 837</w:t>
            </w:r>
          </w:p>
        </w:tc>
        <w:tc>
          <w:tcPr>
            <w:tcW w:w="1134" w:type="dxa"/>
            <w:tcBorders>
              <w:bottom w:val="single" w:sz="12" w:space="0" w:color="auto"/>
              <w:right w:val="single" w:sz="12" w:space="0" w:color="auto"/>
            </w:tcBorders>
            <w:vAlign w:val="center"/>
          </w:tcPr>
          <w:p w14:paraId="40DBD8D3" w14:textId="77777777" w:rsidR="003E70CE" w:rsidRPr="00FB4E62" w:rsidRDefault="003E70CE" w:rsidP="003E70CE">
            <w:pPr>
              <w:jc w:val="center"/>
              <w:rPr>
                <w:sz w:val="20"/>
                <w:szCs w:val="20"/>
              </w:rPr>
            </w:pPr>
            <w:r w:rsidRPr="00FB4E62">
              <w:rPr>
                <w:sz w:val="20"/>
                <w:szCs w:val="20"/>
              </w:rPr>
              <w:t>131 469</w:t>
            </w:r>
          </w:p>
        </w:tc>
        <w:tc>
          <w:tcPr>
            <w:tcW w:w="1417" w:type="dxa"/>
            <w:tcBorders>
              <w:left w:val="single" w:sz="12" w:space="0" w:color="auto"/>
              <w:bottom w:val="single" w:sz="12" w:space="0" w:color="auto"/>
            </w:tcBorders>
            <w:vAlign w:val="center"/>
          </w:tcPr>
          <w:p w14:paraId="4D19EACC" w14:textId="77777777" w:rsidR="003E70CE" w:rsidRPr="00FB4E62" w:rsidRDefault="003E70CE" w:rsidP="003E70CE">
            <w:pPr>
              <w:jc w:val="center"/>
              <w:rPr>
                <w:sz w:val="20"/>
                <w:szCs w:val="20"/>
              </w:rPr>
            </w:pPr>
            <w:r w:rsidRPr="00FB4E62">
              <w:rPr>
                <w:sz w:val="20"/>
                <w:szCs w:val="20"/>
              </w:rPr>
              <w:t>34 173 919</w:t>
            </w:r>
          </w:p>
        </w:tc>
      </w:tr>
      <w:tr w:rsidR="003E70CE" w:rsidRPr="00F16F82" w14:paraId="202FC8FA" w14:textId="77777777" w:rsidTr="003E70CE">
        <w:tc>
          <w:tcPr>
            <w:tcW w:w="988" w:type="dxa"/>
            <w:vMerge w:val="restart"/>
            <w:tcBorders>
              <w:top w:val="single" w:sz="12" w:space="0" w:color="auto"/>
            </w:tcBorders>
            <w:vAlign w:val="center"/>
          </w:tcPr>
          <w:p w14:paraId="2CD9F61D" w14:textId="77777777" w:rsidR="003E70CE" w:rsidRPr="00F16F82" w:rsidRDefault="003E70CE" w:rsidP="003E70CE">
            <w:pPr>
              <w:jc w:val="center"/>
              <w:rPr>
                <w:b/>
                <w:sz w:val="20"/>
                <w:szCs w:val="20"/>
              </w:rPr>
            </w:pPr>
            <w:r w:rsidRPr="00F16F82">
              <w:rPr>
                <w:b/>
                <w:sz w:val="20"/>
                <w:szCs w:val="20"/>
              </w:rPr>
              <w:t>KM</w:t>
            </w:r>
          </w:p>
        </w:tc>
        <w:tc>
          <w:tcPr>
            <w:tcW w:w="1134" w:type="dxa"/>
            <w:tcBorders>
              <w:top w:val="single" w:sz="12" w:space="0" w:color="auto"/>
            </w:tcBorders>
            <w:vAlign w:val="center"/>
          </w:tcPr>
          <w:p w14:paraId="40C38EBA" w14:textId="77777777" w:rsidR="003E70CE" w:rsidRPr="00F16F82" w:rsidRDefault="003E70CE" w:rsidP="003E70CE">
            <w:pPr>
              <w:jc w:val="center"/>
              <w:rPr>
                <w:sz w:val="20"/>
                <w:szCs w:val="20"/>
              </w:rPr>
            </w:pPr>
            <w:r w:rsidRPr="00F16F82">
              <w:rPr>
                <w:sz w:val="20"/>
                <w:szCs w:val="20"/>
              </w:rPr>
              <w:t>Rezerve</w:t>
            </w:r>
          </w:p>
        </w:tc>
        <w:tc>
          <w:tcPr>
            <w:tcW w:w="1417" w:type="dxa"/>
            <w:tcBorders>
              <w:top w:val="single" w:sz="12" w:space="0" w:color="auto"/>
            </w:tcBorders>
            <w:vAlign w:val="center"/>
          </w:tcPr>
          <w:p w14:paraId="29474765" w14:textId="77777777" w:rsidR="003E70CE" w:rsidRPr="00FB4E62" w:rsidRDefault="003E70CE" w:rsidP="003E70CE">
            <w:pPr>
              <w:jc w:val="center"/>
              <w:rPr>
                <w:sz w:val="20"/>
                <w:szCs w:val="20"/>
              </w:rPr>
            </w:pPr>
            <w:r w:rsidRPr="00FB4E62">
              <w:rPr>
                <w:sz w:val="20"/>
                <w:szCs w:val="20"/>
              </w:rPr>
              <w:t>4 902 968</w:t>
            </w:r>
          </w:p>
        </w:tc>
        <w:tc>
          <w:tcPr>
            <w:tcW w:w="1276" w:type="dxa"/>
            <w:tcBorders>
              <w:top w:val="single" w:sz="12" w:space="0" w:color="auto"/>
            </w:tcBorders>
            <w:vAlign w:val="center"/>
          </w:tcPr>
          <w:p w14:paraId="2E8AAEA8" w14:textId="77777777" w:rsidR="003E70CE" w:rsidRPr="00FB4E62" w:rsidRDefault="003E70CE" w:rsidP="003E70CE">
            <w:pPr>
              <w:jc w:val="center"/>
              <w:rPr>
                <w:sz w:val="20"/>
                <w:szCs w:val="20"/>
              </w:rPr>
            </w:pPr>
            <w:r w:rsidRPr="00FB4E62">
              <w:rPr>
                <w:sz w:val="20"/>
                <w:szCs w:val="20"/>
              </w:rPr>
              <w:t>2 146 457</w:t>
            </w:r>
          </w:p>
        </w:tc>
        <w:tc>
          <w:tcPr>
            <w:tcW w:w="1134" w:type="dxa"/>
            <w:tcBorders>
              <w:top w:val="single" w:sz="12" w:space="0" w:color="auto"/>
            </w:tcBorders>
            <w:vAlign w:val="center"/>
          </w:tcPr>
          <w:p w14:paraId="195B2904" w14:textId="77777777" w:rsidR="003E70CE" w:rsidRPr="00FB4E62" w:rsidRDefault="003E70CE" w:rsidP="003E70CE">
            <w:pPr>
              <w:jc w:val="center"/>
              <w:rPr>
                <w:sz w:val="20"/>
                <w:szCs w:val="20"/>
              </w:rPr>
            </w:pPr>
            <w:r w:rsidRPr="00FB4E62">
              <w:rPr>
                <w:sz w:val="20"/>
                <w:szCs w:val="20"/>
              </w:rPr>
              <w:t>0</w:t>
            </w:r>
          </w:p>
        </w:tc>
        <w:tc>
          <w:tcPr>
            <w:tcW w:w="1276" w:type="dxa"/>
            <w:tcBorders>
              <w:top w:val="single" w:sz="12" w:space="0" w:color="auto"/>
            </w:tcBorders>
            <w:vAlign w:val="center"/>
          </w:tcPr>
          <w:p w14:paraId="59414AF4" w14:textId="77777777" w:rsidR="003E70CE" w:rsidRPr="00FB4E62" w:rsidRDefault="003E70CE" w:rsidP="003E70CE">
            <w:pPr>
              <w:jc w:val="center"/>
              <w:rPr>
                <w:sz w:val="20"/>
                <w:szCs w:val="20"/>
              </w:rPr>
            </w:pPr>
            <w:r w:rsidRPr="00FB4E62">
              <w:rPr>
                <w:sz w:val="20"/>
                <w:szCs w:val="20"/>
              </w:rPr>
              <w:t>0</w:t>
            </w:r>
          </w:p>
        </w:tc>
        <w:tc>
          <w:tcPr>
            <w:tcW w:w="1134" w:type="dxa"/>
            <w:tcBorders>
              <w:top w:val="single" w:sz="12" w:space="0" w:color="auto"/>
              <w:right w:val="single" w:sz="12" w:space="0" w:color="auto"/>
            </w:tcBorders>
            <w:vAlign w:val="center"/>
          </w:tcPr>
          <w:p w14:paraId="38E55DF0" w14:textId="77777777" w:rsidR="003E70CE" w:rsidRPr="00FB4E62" w:rsidRDefault="003E70CE" w:rsidP="003E70CE">
            <w:pPr>
              <w:jc w:val="center"/>
              <w:rPr>
                <w:sz w:val="20"/>
                <w:szCs w:val="20"/>
              </w:rPr>
            </w:pPr>
            <w:r w:rsidRPr="00FB4E62">
              <w:rPr>
                <w:sz w:val="20"/>
                <w:szCs w:val="20"/>
              </w:rPr>
              <w:t>0</w:t>
            </w:r>
          </w:p>
        </w:tc>
        <w:tc>
          <w:tcPr>
            <w:tcW w:w="1417" w:type="dxa"/>
            <w:tcBorders>
              <w:top w:val="single" w:sz="12" w:space="0" w:color="auto"/>
              <w:left w:val="single" w:sz="12" w:space="0" w:color="auto"/>
            </w:tcBorders>
            <w:vAlign w:val="center"/>
          </w:tcPr>
          <w:p w14:paraId="52519E39" w14:textId="77777777" w:rsidR="003E70CE" w:rsidRPr="00FB4E62" w:rsidRDefault="003E70CE" w:rsidP="003E70CE">
            <w:pPr>
              <w:jc w:val="center"/>
              <w:rPr>
                <w:sz w:val="20"/>
                <w:szCs w:val="20"/>
              </w:rPr>
            </w:pPr>
            <w:r w:rsidRPr="00FB4E62">
              <w:rPr>
                <w:sz w:val="20"/>
                <w:szCs w:val="20"/>
              </w:rPr>
              <w:t>7 049 425</w:t>
            </w:r>
          </w:p>
        </w:tc>
      </w:tr>
      <w:tr w:rsidR="003E70CE" w:rsidRPr="00F16F82" w14:paraId="1DB3950E" w14:textId="77777777" w:rsidTr="003E70CE">
        <w:tc>
          <w:tcPr>
            <w:tcW w:w="988" w:type="dxa"/>
            <w:vMerge/>
            <w:tcBorders>
              <w:bottom w:val="single" w:sz="12" w:space="0" w:color="auto"/>
            </w:tcBorders>
            <w:vAlign w:val="center"/>
          </w:tcPr>
          <w:p w14:paraId="643DD13F" w14:textId="77777777" w:rsidR="003E70CE" w:rsidRPr="00F16F82" w:rsidRDefault="003E70CE" w:rsidP="003E70CE">
            <w:pPr>
              <w:jc w:val="center"/>
              <w:rPr>
                <w:b/>
                <w:sz w:val="20"/>
                <w:szCs w:val="20"/>
              </w:rPr>
            </w:pPr>
          </w:p>
        </w:tc>
        <w:tc>
          <w:tcPr>
            <w:tcW w:w="1134" w:type="dxa"/>
            <w:tcBorders>
              <w:bottom w:val="single" w:sz="12" w:space="0" w:color="auto"/>
            </w:tcBorders>
            <w:vAlign w:val="center"/>
          </w:tcPr>
          <w:p w14:paraId="32914118" w14:textId="77777777" w:rsidR="003E70CE" w:rsidRPr="00F16F82" w:rsidRDefault="003E70CE" w:rsidP="003E70CE">
            <w:pPr>
              <w:jc w:val="center"/>
              <w:rPr>
                <w:sz w:val="20"/>
                <w:szCs w:val="20"/>
              </w:rPr>
            </w:pPr>
            <w:r w:rsidRPr="00F16F82">
              <w:rPr>
                <w:sz w:val="20"/>
                <w:szCs w:val="20"/>
              </w:rPr>
              <w:t>Atlikumi</w:t>
            </w:r>
          </w:p>
        </w:tc>
        <w:tc>
          <w:tcPr>
            <w:tcW w:w="1417" w:type="dxa"/>
            <w:tcBorders>
              <w:bottom w:val="single" w:sz="12" w:space="0" w:color="auto"/>
            </w:tcBorders>
            <w:vAlign w:val="center"/>
          </w:tcPr>
          <w:p w14:paraId="097AFC14" w14:textId="77777777" w:rsidR="003E70CE" w:rsidRPr="00FB4E62" w:rsidRDefault="003E70CE" w:rsidP="003E70CE">
            <w:pPr>
              <w:jc w:val="center"/>
              <w:rPr>
                <w:sz w:val="20"/>
                <w:szCs w:val="20"/>
              </w:rPr>
            </w:pPr>
            <w:r w:rsidRPr="00FB4E62">
              <w:rPr>
                <w:sz w:val="20"/>
                <w:szCs w:val="20"/>
              </w:rPr>
              <w:t>33 390 323</w:t>
            </w:r>
          </w:p>
        </w:tc>
        <w:tc>
          <w:tcPr>
            <w:tcW w:w="1276" w:type="dxa"/>
            <w:tcBorders>
              <w:bottom w:val="single" w:sz="12" w:space="0" w:color="auto"/>
            </w:tcBorders>
            <w:vAlign w:val="center"/>
          </w:tcPr>
          <w:p w14:paraId="4E25543F" w14:textId="77777777" w:rsidR="003E70CE" w:rsidRPr="00FB4E62" w:rsidRDefault="003E70CE" w:rsidP="003E70CE">
            <w:pPr>
              <w:jc w:val="center"/>
              <w:rPr>
                <w:sz w:val="20"/>
                <w:szCs w:val="20"/>
              </w:rPr>
            </w:pPr>
            <w:r w:rsidRPr="00FB4E62">
              <w:rPr>
                <w:sz w:val="20"/>
                <w:szCs w:val="20"/>
              </w:rPr>
              <w:t>209 843</w:t>
            </w:r>
          </w:p>
        </w:tc>
        <w:tc>
          <w:tcPr>
            <w:tcW w:w="1134" w:type="dxa"/>
            <w:tcBorders>
              <w:bottom w:val="single" w:sz="12" w:space="0" w:color="auto"/>
            </w:tcBorders>
            <w:vAlign w:val="center"/>
          </w:tcPr>
          <w:p w14:paraId="091DCB95" w14:textId="77777777" w:rsidR="003E70CE" w:rsidRPr="00FB4E62" w:rsidRDefault="003E70CE" w:rsidP="003E70CE">
            <w:pPr>
              <w:jc w:val="center"/>
              <w:rPr>
                <w:sz w:val="20"/>
                <w:szCs w:val="20"/>
              </w:rPr>
            </w:pPr>
            <w:r w:rsidRPr="00FB4E62">
              <w:rPr>
                <w:sz w:val="20"/>
                <w:szCs w:val="20"/>
              </w:rPr>
              <w:t>0</w:t>
            </w:r>
          </w:p>
        </w:tc>
        <w:tc>
          <w:tcPr>
            <w:tcW w:w="1276" w:type="dxa"/>
            <w:tcBorders>
              <w:bottom w:val="single" w:sz="12" w:space="0" w:color="auto"/>
            </w:tcBorders>
            <w:vAlign w:val="center"/>
          </w:tcPr>
          <w:p w14:paraId="5717CCAC" w14:textId="77777777" w:rsidR="003E70CE" w:rsidRPr="00FB4E62" w:rsidRDefault="003E70CE" w:rsidP="003E70CE">
            <w:pPr>
              <w:jc w:val="center"/>
              <w:rPr>
                <w:sz w:val="20"/>
                <w:szCs w:val="20"/>
              </w:rPr>
            </w:pPr>
            <w:r w:rsidRPr="00FB4E62">
              <w:rPr>
                <w:sz w:val="20"/>
                <w:szCs w:val="20"/>
              </w:rPr>
              <w:t>0</w:t>
            </w:r>
          </w:p>
        </w:tc>
        <w:tc>
          <w:tcPr>
            <w:tcW w:w="1134" w:type="dxa"/>
            <w:tcBorders>
              <w:bottom w:val="single" w:sz="12" w:space="0" w:color="auto"/>
              <w:right w:val="single" w:sz="12" w:space="0" w:color="auto"/>
            </w:tcBorders>
            <w:vAlign w:val="center"/>
          </w:tcPr>
          <w:p w14:paraId="4713CF81" w14:textId="77777777" w:rsidR="003E70CE" w:rsidRPr="00FB4E62" w:rsidRDefault="003E70CE" w:rsidP="003E70CE">
            <w:pPr>
              <w:jc w:val="center"/>
              <w:rPr>
                <w:sz w:val="20"/>
                <w:szCs w:val="20"/>
              </w:rPr>
            </w:pPr>
            <w:r w:rsidRPr="00FB4E62">
              <w:rPr>
                <w:sz w:val="20"/>
                <w:szCs w:val="20"/>
              </w:rPr>
              <w:t>0</w:t>
            </w:r>
          </w:p>
        </w:tc>
        <w:tc>
          <w:tcPr>
            <w:tcW w:w="1417" w:type="dxa"/>
            <w:tcBorders>
              <w:left w:val="single" w:sz="12" w:space="0" w:color="auto"/>
              <w:bottom w:val="single" w:sz="12" w:space="0" w:color="auto"/>
            </w:tcBorders>
            <w:vAlign w:val="center"/>
          </w:tcPr>
          <w:p w14:paraId="5E0C6CB7" w14:textId="77777777" w:rsidR="003E70CE" w:rsidRPr="00FB4E62" w:rsidRDefault="003E70CE" w:rsidP="003E70CE">
            <w:pPr>
              <w:jc w:val="center"/>
              <w:rPr>
                <w:sz w:val="20"/>
                <w:szCs w:val="20"/>
              </w:rPr>
            </w:pPr>
            <w:r w:rsidRPr="00FB4E62">
              <w:rPr>
                <w:sz w:val="20"/>
                <w:szCs w:val="20"/>
              </w:rPr>
              <w:t>33 600 166</w:t>
            </w:r>
          </w:p>
        </w:tc>
      </w:tr>
      <w:tr w:rsidR="003E70CE" w:rsidRPr="00F16F82" w14:paraId="61D15591" w14:textId="77777777" w:rsidTr="003E70CE">
        <w:tc>
          <w:tcPr>
            <w:tcW w:w="988" w:type="dxa"/>
            <w:vMerge w:val="restart"/>
            <w:tcBorders>
              <w:top w:val="single" w:sz="12" w:space="0" w:color="auto"/>
            </w:tcBorders>
            <w:vAlign w:val="center"/>
          </w:tcPr>
          <w:p w14:paraId="0D69F522" w14:textId="77777777" w:rsidR="003E70CE" w:rsidRPr="00F16F82" w:rsidRDefault="003E70CE" w:rsidP="003E70CE">
            <w:pPr>
              <w:jc w:val="center"/>
              <w:rPr>
                <w:b/>
                <w:sz w:val="20"/>
                <w:szCs w:val="20"/>
              </w:rPr>
            </w:pPr>
            <w:r w:rsidRPr="00F16F82">
              <w:rPr>
                <w:b/>
                <w:sz w:val="20"/>
                <w:szCs w:val="20"/>
              </w:rPr>
              <w:t>VM</w:t>
            </w:r>
          </w:p>
        </w:tc>
        <w:tc>
          <w:tcPr>
            <w:tcW w:w="1134" w:type="dxa"/>
            <w:tcBorders>
              <w:top w:val="single" w:sz="12" w:space="0" w:color="auto"/>
            </w:tcBorders>
            <w:vAlign w:val="center"/>
          </w:tcPr>
          <w:p w14:paraId="34EDD1EC" w14:textId="77777777" w:rsidR="003E70CE" w:rsidRPr="00F16F82" w:rsidRDefault="003E70CE" w:rsidP="003E70CE">
            <w:pPr>
              <w:jc w:val="center"/>
              <w:rPr>
                <w:sz w:val="20"/>
                <w:szCs w:val="20"/>
              </w:rPr>
            </w:pPr>
            <w:r w:rsidRPr="00F16F82">
              <w:rPr>
                <w:sz w:val="20"/>
                <w:szCs w:val="20"/>
              </w:rPr>
              <w:t>Rezerve</w:t>
            </w:r>
          </w:p>
        </w:tc>
        <w:tc>
          <w:tcPr>
            <w:tcW w:w="1417" w:type="dxa"/>
            <w:tcBorders>
              <w:top w:val="single" w:sz="12" w:space="0" w:color="auto"/>
            </w:tcBorders>
            <w:vAlign w:val="center"/>
          </w:tcPr>
          <w:p w14:paraId="229B29E5" w14:textId="77777777" w:rsidR="003E70CE" w:rsidRPr="00FB4E62" w:rsidRDefault="003E70CE" w:rsidP="003E70CE">
            <w:pPr>
              <w:jc w:val="center"/>
              <w:rPr>
                <w:sz w:val="20"/>
                <w:szCs w:val="20"/>
              </w:rPr>
            </w:pPr>
            <w:r w:rsidRPr="00FB4E62">
              <w:rPr>
                <w:sz w:val="20"/>
                <w:szCs w:val="20"/>
              </w:rPr>
              <w:t>4 900 999</w:t>
            </w:r>
          </w:p>
        </w:tc>
        <w:tc>
          <w:tcPr>
            <w:tcW w:w="1276" w:type="dxa"/>
            <w:tcBorders>
              <w:top w:val="single" w:sz="12" w:space="0" w:color="auto"/>
            </w:tcBorders>
            <w:vAlign w:val="center"/>
          </w:tcPr>
          <w:p w14:paraId="35A303E5" w14:textId="77777777" w:rsidR="003E70CE" w:rsidRPr="00FB4E62" w:rsidRDefault="003E70CE" w:rsidP="003E70CE">
            <w:pPr>
              <w:jc w:val="center"/>
              <w:rPr>
                <w:sz w:val="20"/>
                <w:szCs w:val="20"/>
              </w:rPr>
            </w:pPr>
            <w:r w:rsidRPr="00FB4E62">
              <w:rPr>
                <w:sz w:val="20"/>
                <w:szCs w:val="20"/>
              </w:rPr>
              <w:t>0</w:t>
            </w:r>
          </w:p>
        </w:tc>
        <w:tc>
          <w:tcPr>
            <w:tcW w:w="1134" w:type="dxa"/>
            <w:tcBorders>
              <w:top w:val="single" w:sz="12" w:space="0" w:color="auto"/>
            </w:tcBorders>
            <w:vAlign w:val="center"/>
          </w:tcPr>
          <w:p w14:paraId="49D92987" w14:textId="77777777" w:rsidR="003E70CE" w:rsidRPr="00FB4E62" w:rsidRDefault="003E70CE" w:rsidP="003E70CE">
            <w:pPr>
              <w:jc w:val="center"/>
              <w:rPr>
                <w:sz w:val="20"/>
                <w:szCs w:val="20"/>
              </w:rPr>
            </w:pPr>
            <w:r w:rsidRPr="00FB4E62">
              <w:rPr>
                <w:sz w:val="20"/>
                <w:szCs w:val="20"/>
              </w:rPr>
              <w:t>0</w:t>
            </w:r>
          </w:p>
        </w:tc>
        <w:tc>
          <w:tcPr>
            <w:tcW w:w="1276" w:type="dxa"/>
            <w:tcBorders>
              <w:top w:val="single" w:sz="12" w:space="0" w:color="auto"/>
            </w:tcBorders>
            <w:vAlign w:val="center"/>
          </w:tcPr>
          <w:p w14:paraId="2B1B08DF" w14:textId="77777777" w:rsidR="003E70CE" w:rsidRPr="00FB4E62" w:rsidRDefault="003E70CE" w:rsidP="003E70CE">
            <w:pPr>
              <w:jc w:val="center"/>
              <w:rPr>
                <w:sz w:val="20"/>
                <w:szCs w:val="20"/>
              </w:rPr>
            </w:pPr>
            <w:r w:rsidRPr="00FB4E62">
              <w:rPr>
                <w:sz w:val="20"/>
                <w:szCs w:val="20"/>
              </w:rPr>
              <w:t>0</w:t>
            </w:r>
          </w:p>
        </w:tc>
        <w:tc>
          <w:tcPr>
            <w:tcW w:w="1134" w:type="dxa"/>
            <w:tcBorders>
              <w:top w:val="single" w:sz="12" w:space="0" w:color="auto"/>
              <w:right w:val="single" w:sz="12" w:space="0" w:color="auto"/>
            </w:tcBorders>
            <w:vAlign w:val="center"/>
          </w:tcPr>
          <w:p w14:paraId="47300AE8" w14:textId="77777777" w:rsidR="003E70CE" w:rsidRPr="00FB4E62" w:rsidRDefault="003E70CE" w:rsidP="003E70CE">
            <w:pPr>
              <w:jc w:val="center"/>
              <w:rPr>
                <w:sz w:val="20"/>
                <w:szCs w:val="20"/>
              </w:rPr>
            </w:pPr>
            <w:r w:rsidRPr="00FB4E62">
              <w:rPr>
                <w:sz w:val="20"/>
                <w:szCs w:val="20"/>
              </w:rPr>
              <w:t>0</w:t>
            </w:r>
          </w:p>
        </w:tc>
        <w:tc>
          <w:tcPr>
            <w:tcW w:w="1417" w:type="dxa"/>
            <w:tcBorders>
              <w:top w:val="single" w:sz="12" w:space="0" w:color="auto"/>
              <w:left w:val="single" w:sz="12" w:space="0" w:color="auto"/>
            </w:tcBorders>
            <w:vAlign w:val="center"/>
          </w:tcPr>
          <w:p w14:paraId="191F5374" w14:textId="77777777" w:rsidR="003E70CE" w:rsidRPr="00FB4E62" w:rsidRDefault="003E70CE" w:rsidP="003E70CE">
            <w:pPr>
              <w:jc w:val="center"/>
              <w:rPr>
                <w:sz w:val="20"/>
                <w:szCs w:val="20"/>
              </w:rPr>
            </w:pPr>
            <w:r w:rsidRPr="00FB4E62">
              <w:rPr>
                <w:sz w:val="20"/>
                <w:szCs w:val="20"/>
              </w:rPr>
              <w:t>4 900 999</w:t>
            </w:r>
          </w:p>
        </w:tc>
      </w:tr>
      <w:tr w:rsidR="003E70CE" w:rsidRPr="00F16F82" w14:paraId="14C60857" w14:textId="77777777" w:rsidTr="003E70CE">
        <w:tc>
          <w:tcPr>
            <w:tcW w:w="988" w:type="dxa"/>
            <w:vMerge/>
            <w:tcBorders>
              <w:bottom w:val="single" w:sz="12" w:space="0" w:color="auto"/>
            </w:tcBorders>
            <w:vAlign w:val="center"/>
          </w:tcPr>
          <w:p w14:paraId="36CC8001" w14:textId="77777777" w:rsidR="003E70CE" w:rsidRPr="00F16F82" w:rsidRDefault="003E70CE" w:rsidP="003E70CE">
            <w:pPr>
              <w:jc w:val="center"/>
              <w:rPr>
                <w:b/>
                <w:sz w:val="20"/>
                <w:szCs w:val="20"/>
              </w:rPr>
            </w:pPr>
          </w:p>
        </w:tc>
        <w:tc>
          <w:tcPr>
            <w:tcW w:w="1134" w:type="dxa"/>
            <w:tcBorders>
              <w:bottom w:val="single" w:sz="12" w:space="0" w:color="auto"/>
            </w:tcBorders>
            <w:vAlign w:val="center"/>
          </w:tcPr>
          <w:p w14:paraId="5E578885" w14:textId="77777777" w:rsidR="003E70CE" w:rsidRPr="00F16F82" w:rsidRDefault="003E70CE" w:rsidP="003E70CE">
            <w:pPr>
              <w:jc w:val="center"/>
              <w:rPr>
                <w:sz w:val="20"/>
                <w:szCs w:val="20"/>
              </w:rPr>
            </w:pPr>
            <w:r w:rsidRPr="00F16F82">
              <w:rPr>
                <w:sz w:val="20"/>
                <w:szCs w:val="20"/>
              </w:rPr>
              <w:t>Atlikumi</w:t>
            </w:r>
          </w:p>
        </w:tc>
        <w:tc>
          <w:tcPr>
            <w:tcW w:w="1417" w:type="dxa"/>
            <w:tcBorders>
              <w:bottom w:val="single" w:sz="12" w:space="0" w:color="auto"/>
            </w:tcBorders>
            <w:vAlign w:val="center"/>
          </w:tcPr>
          <w:p w14:paraId="5F1D2E35" w14:textId="77777777" w:rsidR="003E70CE" w:rsidRPr="00FB4E62" w:rsidRDefault="003E70CE" w:rsidP="003E70CE">
            <w:pPr>
              <w:jc w:val="center"/>
              <w:rPr>
                <w:sz w:val="20"/>
                <w:szCs w:val="20"/>
              </w:rPr>
            </w:pPr>
            <w:r w:rsidRPr="00FB4E62">
              <w:rPr>
                <w:sz w:val="20"/>
                <w:szCs w:val="20"/>
              </w:rPr>
              <w:t>14 702 061</w:t>
            </w:r>
          </w:p>
        </w:tc>
        <w:tc>
          <w:tcPr>
            <w:tcW w:w="1276" w:type="dxa"/>
            <w:tcBorders>
              <w:bottom w:val="single" w:sz="12" w:space="0" w:color="auto"/>
            </w:tcBorders>
            <w:vAlign w:val="center"/>
          </w:tcPr>
          <w:p w14:paraId="7D828390" w14:textId="77777777" w:rsidR="003E70CE" w:rsidRPr="00FB4E62" w:rsidRDefault="003E70CE" w:rsidP="003E70CE">
            <w:pPr>
              <w:jc w:val="center"/>
              <w:rPr>
                <w:sz w:val="20"/>
                <w:szCs w:val="20"/>
              </w:rPr>
            </w:pPr>
            <w:r w:rsidRPr="00FB4E62">
              <w:rPr>
                <w:sz w:val="20"/>
                <w:szCs w:val="20"/>
              </w:rPr>
              <w:t>5 000 000</w:t>
            </w:r>
          </w:p>
        </w:tc>
        <w:tc>
          <w:tcPr>
            <w:tcW w:w="1134" w:type="dxa"/>
            <w:tcBorders>
              <w:bottom w:val="single" w:sz="12" w:space="0" w:color="auto"/>
            </w:tcBorders>
            <w:vAlign w:val="center"/>
          </w:tcPr>
          <w:p w14:paraId="12FE2320" w14:textId="77777777" w:rsidR="003E70CE" w:rsidRPr="00FB4E62" w:rsidRDefault="003E70CE" w:rsidP="003E70CE">
            <w:pPr>
              <w:jc w:val="center"/>
              <w:rPr>
                <w:sz w:val="20"/>
                <w:szCs w:val="20"/>
              </w:rPr>
            </w:pPr>
            <w:r w:rsidRPr="00FB4E62">
              <w:rPr>
                <w:sz w:val="20"/>
                <w:szCs w:val="20"/>
              </w:rPr>
              <w:t>0</w:t>
            </w:r>
          </w:p>
        </w:tc>
        <w:tc>
          <w:tcPr>
            <w:tcW w:w="1276" w:type="dxa"/>
            <w:tcBorders>
              <w:bottom w:val="single" w:sz="12" w:space="0" w:color="auto"/>
            </w:tcBorders>
            <w:vAlign w:val="center"/>
          </w:tcPr>
          <w:p w14:paraId="3A96472F" w14:textId="77777777" w:rsidR="003E70CE" w:rsidRPr="00FB4E62" w:rsidRDefault="003E70CE" w:rsidP="003E70CE">
            <w:pPr>
              <w:jc w:val="center"/>
              <w:rPr>
                <w:sz w:val="20"/>
                <w:szCs w:val="20"/>
              </w:rPr>
            </w:pPr>
            <w:r w:rsidRPr="00FB4E62">
              <w:rPr>
                <w:sz w:val="20"/>
                <w:szCs w:val="20"/>
              </w:rPr>
              <w:t>0</w:t>
            </w:r>
          </w:p>
        </w:tc>
        <w:tc>
          <w:tcPr>
            <w:tcW w:w="1134" w:type="dxa"/>
            <w:tcBorders>
              <w:bottom w:val="single" w:sz="12" w:space="0" w:color="auto"/>
              <w:right w:val="single" w:sz="12" w:space="0" w:color="auto"/>
            </w:tcBorders>
            <w:vAlign w:val="center"/>
          </w:tcPr>
          <w:p w14:paraId="3235B7A2" w14:textId="77777777" w:rsidR="003E70CE" w:rsidRPr="00FB4E62" w:rsidRDefault="003E70CE" w:rsidP="003E70CE">
            <w:pPr>
              <w:jc w:val="center"/>
              <w:rPr>
                <w:sz w:val="20"/>
                <w:szCs w:val="20"/>
              </w:rPr>
            </w:pPr>
            <w:r w:rsidRPr="00FB4E62">
              <w:rPr>
                <w:sz w:val="20"/>
                <w:szCs w:val="20"/>
              </w:rPr>
              <w:t>0</w:t>
            </w:r>
          </w:p>
        </w:tc>
        <w:tc>
          <w:tcPr>
            <w:tcW w:w="1417" w:type="dxa"/>
            <w:tcBorders>
              <w:left w:val="single" w:sz="12" w:space="0" w:color="auto"/>
              <w:bottom w:val="single" w:sz="12" w:space="0" w:color="auto"/>
            </w:tcBorders>
            <w:vAlign w:val="center"/>
          </w:tcPr>
          <w:p w14:paraId="51D2885C" w14:textId="77777777" w:rsidR="003E70CE" w:rsidRPr="00FB4E62" w:rsidRDefault="003E70CE" w:rsidP="003E70CE">
            <w:pPr>
              <w:jc w:val="center"/>
              <w:rPr>
                <w:sz w:val="20"/>
                <w:szCs w:val="20"/>
              </w:rPr>
            </w:pPr>
            <w:r w:rsidRPr="00FB4E62">
              <w:rPr>
                <w:sz w:val="20"/>
                <w:szCs w:val="20"/>
              </w:rPr>
              <w:t>19 702 061</w:t>
            </w:r>
          </w:p>
        </w:tc>
      </w:tr>
      <w:tr w:rsidR="003E70CE" w:rsidRPr="00F16F82" w14:paraId="4C2675D9" w14:textId="77777777" w:rsidTr="003E70CE">
        <w:tc>
          <w:tcPr>
            <w:tcW w:w="988" w:type="dxa"/>
            <w:vMerge w:val="restart"/>
            <w:tcBorders>
              <w:top w:val="single" w:sz="12" w:space="0" w:color="auto"/>
            </w:tcBorders>
            <w:vAlign w:val="center"/>
          </w:tcPr>
          <w:p w14:paraId="0C3AC00F" w14:textId="77777777" w:rsidR="003E70CE" w:rsidRPr="00F16F82" w:rsidRDefault="003E70CE" w:rsidP="003E70CE">
            <w:pPr>
              <w:jc w:val="center"/>
              <w:rPr>
                <w:b/>
                <w:sz w:val="20"/>
                <w:szCs w:val="20"/>
              </w:rPr>
            </w:pPr>
            <w:r w:rsidRPr="00F16F82">
              <w:rPr>
                <w:b/>
                <w:sz w:val="20"/>
                <w:szCs w:val="20"/>
              </w:rPr>
              <w:t>ZM</w:t>
            </w:r>
          </w:p>
        </w:tc>
        <w:tc>
          <w:tcPr>
            <w:tcW w:w="1134" w:type="dxa"/>
            <w:tcBorders>
              <w:top w:val="single" w:sz="12" w:space="0" w:color="auto"/>
            </w:tcBorders>
            <w:vAlign w:val="center"/>
          </w:tcPr>
          <w:p w14:paraId="44E6B9BE" w14:textId="77777777" w:rsidR="003E70CE" w:rsidRPr="00F16F82" w:rsidRDefault="003E70CE" w:rsidP="003E70CE">
            <w:pPr>
              <w:jc w:val="center"/>
              <w:rPr>
                <w:sz w:val="20"/>
                <w:szCs w:val="20"/>
              </w:rPr>
            </w:pPr>
            <w:r w:rsidRPr="00F16F82">
              <w:rPr>
                <w:sz w:val="20"/>
                <w:szCs w:val="20"/>
              </w:rPr>
              <w:t>Rezerve</w:t>
            </w:r>
          </w:p>
        </w:tc>
        <w:tc>
          <w:tcPr>
            <w:tcW w:w="1417" w:type="dxa"/>
            <w:tcBorders>
              <w:top w:val="single" w:sz="12" w:space="0" w:color="auto"/>
            </w:tcBorders>
            <w:vAlign w:val="center"/>
          </w:tcPr>
          <w:p w14:paraId="62709400" w14:textId="77777777" w:rsidR="003E70CE" w:rsidRPr="00FB4E62" w:rsidRDefault="003E70CE" w:rsidP="003E70CE">
            <w:pPr>
              <w:jc w:val="center"/>
              <w:rPr>
                <w:sz w:val="20"/>
                <w:szCs w:val="20"/>
              </w:rPr>
            </w:pPr>
            <w:r w:rsidRPr="00FB4E62">
              <w:rPr>
                <w:sz w:val="20"/>
                <w:szCs w:val="20"/>
              </w:rPr>
              <w:t>2 249 597</w:t>
            </w:r>
          </w:p>
        </w:tc>
        <w:tc>
          <w:tcPr>
            <w:tcW w:w="1276" w:type="dxa"/>
            <w:tcBorders>
              <w:top w:val="single" w:sz="12" w:space="0" w:color="auto"/>
            </w:tcBorders>
            <w:vAlign w:val="center"/>
          </w:tcPr>
          <w:p w14:paraId="13EAA602" w14:textId="77777777" w:rsidR="003E70CE" w:rsidRPr="00FB4E62" w:rsidRDefault="003E70CE" w:rsidP="003E70CE">
            <w:pPr>
              <w:jc w:val="center"/>
              <w:rPr>
                <w:sz w:val="20"/>
                <w:szCs w:val="20"/>
              </w:rPr>
            </w:pPr>
            <w:r w:rsidRPr="00FB4E62">
              <w:rPr>
                <w:sz w:val="20"/>
                <w:szCs w:val="20"/>
              </w:rPr>
              <w:t>0</w:t>
            </w:r>
          </w:p>
        </w:tc>
        <w:tc>
          <w:tcPr>
            <w:tcW w:w="1134" w:type="dxa"/>
            <w:tcBorders>
              <w:top w:val="single" w:sz="12" w:space="0" w:color="auto"/>
            </w:tcBorders>
            <w:vAlign w:val="center"/>
          </w:tcPr>
          <w:p w14:paraId="2BEF64AF" w14:textId="77777777" w:rsidR="003E70CE" w:rsidRPr="00FB4E62" w:rsidRDefault="003E70CE" w:rsidP="003E70CE">
            <w:pPr>
              <w:jc w:val="center"/>
              <w:rPr>
                <w:sz w:val="20"/>
                <w:szCs w:val="20"/>
              </w:rPr>
            </w:pPr>
            <w:r w:rsidRPr="00FB4E62">
              <w:rPr>
                <w:sz w:val="20"/>
                <w:szCs w:val="20"/>
              </w:rPr>
              <w:t>0</w:t>
            </w:r>
          </w:p>
        </w:tc>
        <w:tc>
          <w:tcPr>
            <w:tcW w:w="1276" w:type="dxa"/>
            <w:tcBorders>
              <w:top w:val="single" w:sz="12" w:space="0" w:color="auto"/>
            </w:tcBorders>
            <w:vAlign w:val="center"/>
          </w:tcPr>
          <w:p w14:paraId="19F64BC4" w14:textId="77777777" w:rsidR="003E70CE" w:rsidRPr="00FB4E62" w:rsidRDefault="003E70CE" w:rsidP="003E70CE">
            <w:pPr>
              <w:jc w:val="center"/>
              <w:rPr>
                <w:sz w:val="20"/>
                <w:szCs w:val="20"/>
              </w:rPr>
            </w:pPr>
            <w:r w:rsidRPr="00FB4E62">
              <w:rPr>
                <w:sz w:val="20"/>
                <w:szCs w:val="20"/>
              </w:rPr>
              <w:t>0</w:t>
            </w:r>
          </w:p>
        </w:tc>
        <w:tc>
          <w:tcPr>
            <w:tcW w:w="1134" w:type="dxa"/>
            <w:tcBorders>
              <w:top w:val="single" w:sz="12" w:space="0" w:color="auto"/>
              <w:right w:val="single" w:sz="12" w:space="0" w:color="auto"/>
            </w:tcBorders>
            <w:vAlign w:val="center"/>
          </w:tcPr>
          <w:p w14:paraId="18C56EE7" w14:textId="77777777" w:rsidR="003E70CE" w:rsidRPr="00FB4E62" w:rsidRDefault="003E70CE" w:rsidP="003E70CE">
            <w:pPr>
              <w:jc w:val="center"/>
              <w:rPr>
                <w:sz w:val="20"/>
                <w:szCs w:val="20"/>
              </w:rPr>
            </w:pPr>
            <w:r w:rsidRPr="00FB4E62">
              <w:rPr>
                <w:sz w:val="20"/>
                <w:szCs w:val="20"/>
              </w:rPr>
              <w:t>0</w:t>
            </w:r>
          </w:p>
        </w:tc>
        <w:tc>
          <w:tcPr>
            <w:tcW w:w="1417" w:type="dxa"/>
            <w:tcBorders>
              <w:top w:val="single" w:sz="12" w:space="0" w:color="auto"/>
              <w:left w:val="single" w:sz="12" w:space="0" w:color="auto"/>
            </w:tcBorders>
            <w:vAlign w:val="center"/>
          </w:tcPr>
          <w:p w14:paraId="693C5F72" w14:textId="77777777" w:rsidR="003E70CE" w:rsidRPr="00FB4E62" w:rsidRDefault="003E70CE" w:rsidP="003E70CE">
            <w:pPr>
              <w:jc w:val="center"/>
              <w:rPr>
                <w:sz w:val="20"/>
                <w:szCs w:val="20"/>
              </w:rPr>
            </w:pPr>
            <w:r w:rsidRPr="00FB4E62">
              <w:rPr>
                <w:sz w:val="20"/>
                <w:szCs w:val="20"/>
              </w:rPr>
              <w:t>2 249 597</w:t>
            </w:r>
          </w:p>
        </w:tc>
      </w:tr>
      <w:tr w:rsidR="003E70CE" w:rsidRPr="00F16F82" w14:paraId="3601C9D3" w14:textId="77777777" w:rsidTr="003E70CE">
        <w:tc>
          <w:tcPr>
            <w:tcW w:w="988" w:type="dxa"/>
            <w:vMerge/>
            <w:tcBorders>
              <w:bottom w:val="single" w:sz="12" w:space="0" w:color="auto"/>
            </w:tcBorders>
            <w:vAlign w:val="center"/>
          </w:tcPr>
          <w:p w14:paraId="7A83F313" w14:textId="77777777" w:rsidR="003E70CE" w:rsidRPr="00F16F82" w:rsidRDefault="003E70CE" w:rsidP="003E70CE">
            <w:pPr>
              <w:jc w:val="center"/>
              <w:rPr>
                <w:b/>
                <w:sz w:val="20"/>
                <w:szCs w:val="20"/>
              </w:rPr>
            </w:pPr>
          </w:p>
        </w:tc>
        <w:tc>
          <w:tcPr>
            <w:tcW w:w="1134" w:type="dxa"/>
            <w:tcBorders>
              <w:bottom w:val="single" w:sz="12" w:space="0" w:color="auto"/>
            </w:tcBorders>
            <w:vAlign w:val="center"/>
          </w:tcPr>
          <w:p w14:paraId="331119A9" w14:textId="77777777" w:rsidR="003E70CE" w:rsidRPr="00F16F82" w:rsidRDefault="003E70CE" w:rsidP="003E70CE">
            <w:pPr>
              <w:jc w:val="center"/>
              <w:rPr>
                <w:sz w:val="20"/>
                <w:szCs w:val="20"/>
              </w:rPr>
            </w:pPr>
            <w:r w:rsidRPr="00F16F82">
              <w:rPr>
                <w:sz w:val="20"/>
                <w:szCs w:val="20"/>
              </w:rPr>
              <w:t>Atlikumi</w:t>
            </w:r>
          </w:p>
        </w:tc>
        <w:tc>
          <w:tcPr>
            <w:tcW w:w="1417" w:type="dxa"/>
            <w:tcBorders>
              <w:bottom w:val="single" w:sz="12" w:space="0" w:color="auto"/>
            </w:tcBorders>
            <w:vAlign w:val="center"/>
          </w:tcPr>
          <w:p w14:paraId="321248AE" w14:textId="77777777" w:rsidR="003E70CE" w:rsidRPr="00FB4E62" w:rsidRDefault="003E70CE" w:rsidP="003E70CE">
            <w:pPr>
              <w:jc w:val="center"/>
              <w:rPr>
                <w:sz w:val="20"/>
                <w:szCs w:val="20"/>
              </w:rPr>
            </w:pPr>
            <w:r w:rsidRPr="00FB4E62">
              <w:rPr>
                <w:sz w:val="20"/>
                <w:szCs w:val="20"/>
              </w:rPr>
              <w:t>2 105 348</w:t>
            </w:r>
          </w:p>
        </w:tc>
        <w:tc>
          <w:tcPr>
            <w:tcW w:w="1276" w:type="dxa"/>
            <w:tcBorders>
              <w:bottom w:val="single" w:sz="12" w:space="0" w:color="auto"/>
            </w:tcBorders>
            <w:vAlign w:val="center"/>
          </w:tcPr>
          <w:p w14:paraId="027AFE5A" w14:textId="77777777" w:rsidR="003E70CE" w:rsidRPr="00FB4E62" w:rsidRDefault="003E70CE" w:rsidP="003E70CE">
            <w:pPr>
              <w:jc w:val="center"/>
              <w:rPr>
                <w:sz w:val="20"/>
                <w:szCs w:val="20"/>
              </w:rPr>
            </w:pPr>
            <w:r w:rsidRPr="00FB4E62">
              <w:rPr>
                <w:sz w:val="20"/>
                <w:szCs w:val="20"/>
              </w:rPr>
              <w:t>0</w:t>
            </w:r>
          </w:p>
        </w:tc>
        <w:tc>
          <w:tcPr>
            <w:tcW w:w="1134" w:type="dxa"/>
            <w:tcBorders>
              <w:bottom w:val="single" w:sz="12" w:space="0" w:color="auto"/>
            </w:tcBorders>
            <w:vAlign w:val="center"/>
          </w:tcPr>
          <w:p w14:paraId="437C6C95" w14:textId="77777777" w:rsidR="003E70CE" w:rsidRPr="00FB4E62" w:rsidRDefault="003E70CE" w:rsidP="003E70CE">
            <w:pPr>
              <w:jc w:val="center"/>
              <w:rPr>
                <w:sz w:val="20"/>
                <w:szCs w:val="20"/>
              </w:rPr>
            </w:pPr>
            <w:r w:rsidRPr="00FB4E62">
              <w:rPr>
                <w:sz w:val="20"/>
                <w:szCs w:val="20"/>
              </w:rPr>
              <w:t>0</w:t>
            </w:r>
          </w:p>
        </w:tc>
        <w:tc>
          <w:tcPr>
            <w:tcW w:w="1276" w:type="dxa"/>
            <w:tcBorders>
              <w:bottom w:val="single" w:sz="12" w:space="0" w:color="auto"/>
            </w:tcBorders>
            <w:vAlign w:val="center"/>
          </w:tcPr>
          <w:p w14:paraId="175E5837" w14:textId="77777777" w:rsidR="003E70CE" w:rsidRPr="00FB4E62" w:rsidRDefault="003E70CE" w:rsidP="003E70CE">
            <w:pPr>
              <w:jc w:val="center"/>
              <w:rPr>
                <w:sz w:val="20"/>
                <w:szCs w:val="20"/>
              </w:rPr>
            </w:pPr>
            <w:r w:rsidRPr="00FB4E62">
              <w:rPr>
                <w:sz w:val="20"/>
                <w:szCs w:val="20"/>
              </w:rPr>
              <w:t>0</w:t>
            </w:r>
          </w:p>
        </w:tc>
        <w:tc>
          <w:tcPr>
            <w:tcW w:w="1134" w:type="dxa"/>
            <w:tcBorders>
              <w:bottom w:val="single" w:sz="12" w:space="0" w:color="auto"/>
              <w:right w:val="single" w:sz="12" w:space="0" w:color="auto"/>
            </w:tcBorders>
            <w:vAlign w:val="center"/>
          </w:tcPr>
          <w:p w14:paraId="196AF66C" w14:textId="77777777" w:rsidR="003E70CE" w:rsidRPr="00FB4E62" w:rsidRDefault="003E70CE" w:rsidP="003E70CE">
            <w:pPr>
              <w:jc w:val="center"/>
              <w:rPr>
                <w:sz w:val="20"/>
                <w:szCs w:val="20"/>
              </w:rPr>
            </w:pPr>
            <w:r w:rsidRPr="00FB4E62">
              <w:rPr>
                <w:sz w:val="20"/>
                <w:szCs w:val="20"/>
              </w:rPr>
              <w:t>0</w:t>
            </w:r>
          </w:p>
        </w:tc>
        <w:tc>
          <w:tcPr>
            <w:tcW w:w="1417" w:type="dxa"/>
            <w:tcBorders>
              <w:left w:val="single" w:sz="12" w:space="0" w:color="auto"/>
              <w:bottom w:val="single" w:sz="12" w:space="0" w:color="auto"/>
            </w:tcBorders>
            <w:vAlign w:val="center"/>
          </w:tcPr>
          <w:p w14:paraId="377C48CE" w14:textId="77777777" w:rsidR="003E70CE" w:rsidRPr="00FB4E62" w:rsidRDefault="003E70CE" w:rsidP="003E70CE">
            <w:pPr>
              <w:jc w:val="center"/>
              <w:rPr>
                <w:sz w:val="20"/>
                <w:szCs w:val="20"/>
              </w:rPr>
            </w:pPr>
            <w:r w:rsidRPr="00FB4E62">
              <w:rPr>
                <w:sz w:val="20"/>
                <w:szCs w:val="20"/>
              </w:rPr>
              <w:t>2 105 348</w:t>
            </w:r>
          </w:p>
        </w:tc>
      </w:tr>
      <w:tr w:rsidR="003E70CE" w:rsidRPr="00F16F82" w14:paraId="1FC0244D" w14:textId="77777777" w:rsidTr="003E70CE">
        <w:tc>
          <w:tcPr>
            <w:tcW w:w="988" w:type="dxa"/>
            <w:vMerge w:val="restart"/>
            <w:tcBorders>
              <w:top w:val="single" w:sz="12" w:space="0" w:color="auto"/>
            </w:tcBorders>
            <w:vAlign w:val="center"/>
          </w:tcPr>
          <w:p w14:paraId="7DA865F6" w14:textId="77777777" w:rsidR="003E70CE" w:rsidRPr="00F16F82" w:rsidRDefault="003E70CE" w:rsidP="003E70CE">
            <w:pPr>
              <w:jc w:val="center"/>
              <w:rPr>
                <w:b/>
                <w:sz w:val="20"/>
                <w:szCs w:val="20"/>
              </w:rPr>
            </w:pPr>
            <w:r w:rsidRPr="00F16F82">
              <w:rPr>
                <w:b/>
                <w:sz w:val="20"/>
                <w:szCs w:val="20"/>
              </w:rPr>
              <w:t>TM</w:t>
            </w:r>
          </w:p>
        </w:tc>
        <w:tc>
          <w:tcPr>
            <w:tcW w:w="1134" w:type="dxa"/>
            <w:tcBorders>
              <w:top w:val="single" w:sz="12" w:space="0" w:color="auto"/>
            </w:tcBorders>
            <w:vAlign w:val="center"/>
          </w:tcPr>
          <w:p w14:paraId="405C850E" w14:textId="77777777" w:rsidR="003E70CE" w:rsidRPr="00F16F82" w:rsidRDefault="003E70CE" w:rsidP="003E70CE">
            <w:pPr>
              <w:jc w:val="center"/>
              <w:rPr>
                <w:sz w:val="20"/>
                <w:szCs w:val="20"/>
              </w:rPr>
            </w:pPr>
            <w:r w:rsidRPr="00F16F82">
              <w:rPr>
                <w:sz w:val="20"/>
                <w:szCs w:val="20"/>
              </w:rPr>
              <w:t>Rezerve</w:t>
            </w:r>
          </w:p>
        </w:tc>
        <w:tc>
          <w:tcPr>
            <w:tcW w:w="1417" w:type="dxa"/>
            <w:tcBorders>
              <w:top w:val="single" w:sz="12" w:space="0" w:color="auto"/>
            </w:tcBorders>
            <w:vAlign w:val="center"/>
          </w:tcPr>
          <w:p w14:paraId="38693923" w14:textId="77777777" w:rsidR="003E70CE" w:rsidRPr="00FB4E62" w:rsidRDefault="003E70CE" w:rsidP="003E70CE">
            <w:pPr>
              <w:jc w:val="center"/>
              <w:rPr>
                <w:sz w:val="20"/>
                <w:szCs w:val="20"/>
              </w:rPr>
            </w:pPr>
            <w:r w:rsidRPr="00FB4E62">
              <w:rPr>
                <w:sz w:val="20"/>
                <w:szCs w:val="20"/>
              </w:rPr>
              <w:t>1 087 651</w:t>
            </w:r>
          </w:p>
        </w:tc>
        <w:tc>
          <w:tcPr>
            <w:tcW w:w="1276" w:type="dxa"/>
            <w:tcBorders>
              <w:top w:val="single" w:sz="12" w:space="0" w:color="auto"/>
            </w:tcBorders>
            <w:vAlign w:val="center"/>
          </w:tcPr>
          <w:p w14:paraId="37C1BF65" w14:textId="77777777" w:rsidR="003E70CE" w:rsidRPr="00FB4E62" w:rsidRDefault="003E70CE" w:rsidP="003E70CE">
            <w:pPr>
              <w:jc w:val="center"/>
              <w:rPr>
                <w:sz w:val="20"/>
                <w:szCs w:val="20"/>
              </w:rPr>
            </w:pPr>
            <w:r w:rsidRPr="00FB4E62">
              <w:rPr>
                <w:sz w:val="20"/>
                <w:szCs w:val="20"/>
              </w:rPr>
              <w:t>0</w:t>
            </w:r>
          </w:p>
        </w:tc>
        <w:tc>
          <w:tcPr>
            <w:tcW w:w="1134" w:type="dxa"/>
            <w:tcBorders>
              <w:top w:val="single" w:sz="12" w:space="0" w:color="auto"/>
            </w:tcBorders>
            <w:vAlign w:val="center"/>
          </w:tcPr>
          <w:p w14:paraId="1ED84AB4" w14:textId="77777777" w:rsidR="003E70CE" w:rsidRPr="00FB4E62" w:rsidRDefault="003E70CE" w:rsidP="003E70CE">
            <w:pPr>
              <w:jc w:val="center"/>
              <w:rPr>
                <w:sz w:val="20"/>
                <w:szCs w:val="20"/>
              </w:rPr>
            </w:pPr>
            <w:r w:rsidRPr="00FB4E62">
              <w:rPr>
                <w:sz w:val="20"/>
                <w:szCs w:val="20"/>
              </w:rPr>
              <w:t>0</w:t>
            </w:r>
          </w:p>
        </w:tc>
        <w:tc>
          <w:tcPr>
            <w:tcW w:w="1276" w:type="dxa"/>
            <w:tcBorders>
              <w:top w:val="single" w:sz="12" w:space="0" w:color="auto"/>
            </w:tcBorders>
            <w:vAlign w:val="center"/>
          </w:tcPr>
          <w:p w14:paraId="6AB69A07" w14:textId="77777777" w:rsidR="003E70CE" w:rsidRPr="00FB4E62" w:rsidRDefault="003E70CE" w:rsidP="003E70CE">
            <w:pPr>
              <w:jc w:val="center"/>
              <w:rPr>
                <w:sz w:val="20"/>
                <w:szCs w:val="20"/>
              </w:rPr>
            </w:pPr>
            <w:r w:rsidRPr="00FB4E62">
              <w:rPr>
                <w:sz w:val="20"/>
                <w:szCs w:val="20"/>
              </w:rPr>
              <w:t>0</w:t>
            </w:r>
          </w:p>
        </w:tc>
        <w:tc>
          <w:tcPr>
            <w:tcW w:w="1134" w:type="dxa"/>
            <w:tcBorders>
              <w:top w:val="single" w:sz="12" w:space="0" w:color="auto"/>
              <w:right w:val="single" w:sz="12" w:space="0" w:color="auto"/>
            </w:tcBorders>
            <w:vAlign w:val="center"/>
          </w:tcPr>
          <w:p w14:paraId="7A3FF90C" w14:textId="77777777" w:rsidR="003E70CE" w:rsidRPr="00FB4E62" w:rsidRDefault="003E70CE" w:rsidP="003E70CE">
            <w:pPr>
              <w:jc w:val="center"/>
              <w:rPr>
                <w:sz w:val="20"/>
                <w:szCs w:val="20"/>
              </w:rPr>
            </w:pPr>
            <w:r w:rsidRPr="00FB4E62">
              <w:rPr>
                <w:sz w:val="20"/>
                <w:szCs w:val="20"/>
              </w:rPr>
              <w:t>0</w:t>
            </w:r>
          </w:p>
        </w:tc>
        <w:tc>
          <w:tcPr>
            <w:tcW w:w="1417" w:type="dxa"/>
            <w:tcBorders>
              <w:top w:val="single" w:sz="12" w:space="0" w:color="auto"/>
              <w:left w:val="single" w:sz="12" w:space="0" w:color="auto"/>
            </w:tcBorders>
            <w:vAlign w:val="center"/>
          </w:tcPr>
          <w:p w14:paraId="034240E4" w14:textId="77777777" w:rsidR="003E70CE" w:rsidRPr="00FB4E62" w:rsidRDefault="003E70CE" w:rsidP="003E70CE">
            <w:pPr>
              <w:jc w:val="center"/>
              <w:rPr>
                <w:sz w:val="20"/>
                <w:szCs w:val="20"/>
              </w:rPr>
            </w:pPr>
            <w:r w:rsidRPr="00FB4E62">
              <w:rPr>
                <w:sz w:val="20"/>
                <w:szCs w:val="20"/>
              </w:rPr>
              <w:t>1 087 651</w:t>
            </w:r>
          </w:p>
        </w:tc>
      </w:tr>
      <w:tr w:rsidR="003E70CE" w:rsidRPr="00F16F82" w14:paraId="5F41B630" w14:textId="77777777" w:rsidTr="003E70CE">
        <w:tc>
          <w:tcPr>
            <w:tcW w:w="988" w:type="dxa"/>
            <w:vMerge/>
            <w:tcBorders>
              <w:bottom w:val="single" w:sz="12" w:space="0" w:color="auto"/>
            </w:tcBorders>
            <w:vAlign w:val="center"/>
          </w:tcPr>
          <w:p w14:paraId="293D5DAA" w14:textId="77777777" w:rsidR="003E70CE" w:rsidRPr="00F16F82" w:rsidRDefault="003E70CE" w:rsidP="003E70CE">
            <w:pPr>
              <w:jc w:val="center"/>
              <w:rPr>
                <w:b/>
                <w:sz w:val="20"/>
                <w:szCs w:val="20"/>
              </w:rPr>
            </w:pPr>
          </w:p>
        </w:tc>
        <w:tc>
          <w:tcPr>
            <w:tcW w:w="1134" w:type="dxa"/>
            <w:tcBorders>
              <w:bottom w:val="single" w:sz="12" w:space="0" w:color="auto"/>
            </w:tcBorders>
            <w:vAlign w:val="center"/>
          </w:tcPr>
          <w:p w14:paraId="323F1C60" w14:textId="77777777" w:rsidR="003E70CE" w:rsidRPr="00F16F82" w:rsidRDefault="003E70CE" w:rsidP="003E70CE">
            <w:pPr>
              <w:jc w:val="center"/>
              <w:rPr>
                <w:sz w:val="20"/>
                <w:szCs w:val="20"/>
              </w:rPr>
            </w:pPr>
            <w:r w:rsidRPr="00F16F82">
              <w:rPr>
                <w:sz w:val="20"/>
                <w:szCs w:val="20"/>
              </w:rPr>
              <w:t>Atlikumi</w:t>
            </w:r>
          </w:p>
        </w:tc>
        <w:tc>
          <w:tcPr>
            <w:tcW w:w="1417" w:type="dxa"/>
            <w:tcBorders>
              <w:bottom w:val="single" w:sz="12" w:space="0" w:color="auto"/>
            </w:tcBorders>
            <w:vAlign w:val="center"/>
          </w:tcPr>
          <w:p w14:paraId="3A304BA4" w14:textId="77777777" w:rsidR="003E70CE" w:rsidRPr="00FB4E62" w:rsidRDefault="003E70CE" w:rsidP="003E70CE">
            <w:pPr>
              <w:jc w:val="center"/>
              <w:rPr>
                <w:sz w:val="20"/>
                <w:szCs w:val="20"/>
              </w:rPr>
            </w:pPr>
            <w:r w:rsidRPr="00FB4E62">
              <w:rPr>
                <w:sz w:val="20"/>
                <w:szCs w:val="20"/>
              </w:rPr>
              <w:t>0</w:t>
            </w:r>
          </w:p>
        </w:tc>
        <w:tc>
          <w:tcPr>
            <w:tcW w:w="1276" w:type="dxa"/>
            <w:tcBorders>
              <w:bottom w:val="single" w:sz="12" w:space="0" w:color="auto"/>
            </w:tcBorders>
            <w:vAlign w:val="center"/>
          </w:tcPr>
          <w:p w14:paraId="69D2B854" w14:textId="77777777" w:rsidR="003E70CE" w:rsidRPr="00FB4E62" w:rsidRDefault="003E70CE" w:rsidP="003E70CE">
            <w:pPr>
              <w:jc w:val="center"/>
              <w:rPr>
                <w:sz w:val="20"/>
                <w:szCs w:val="20"/>
              </w:rPr>
            </w:pPr>
            <w:r w:rsidRPr="00FB4E62">
              <w:rPr>
                <w:sz w:val="20"/>
                <w:szCs w:val="20"/>
              </w:rPr>
              <w:t>0</w:t>
            </w:r>
          </w:p>
        </w:tc>
        <w:tc>
          <w:tcPr>
            <w:tcW w:w="1134" w:type="dxa"/>
            <w:tcBorders>
              <w:bottom w:val="single" w:sz="12" w:space="0" w:color="auto"/>
            </w:tcBorders>
            <w:vAlign w:val="center"/>
          </w:tcPr>
          <w:p w14:paraId="53F661FB" w14:textId="77777777" w:rsidR="003E70CE" w:rsidRPr="00FB4E62" w:rsidRDefault="003E70CE" w:rsidP="003E70CE">
            <w:pPr>
              <w:jc w:val="center"/>
              <w:rPr>
                <w:sz w:val="20"/>
                <w:szCs w:val="20"/>
              </w:rPr>
            </w:pPr>
            <w:r w:rsidRPr="00FB4E62">
              <w:rPr>
                <w:sz w:val="20"/>
                <w:szCs w:val="20"/>
              </w:rPr>
              <w:t>0</w:t>
            </w:r>
          </w:p>
        </w:tc>
        <w:tc>
          <w:tcPr>
            <w:tcW w:w="1276" w:type="dxa"/>
            <w:tcBorders>
              <w:bottom w:val="single" w:sz="12" w:space="0" w:color="auto"/>
            </w:tcBorders>
            <w:vAlign w:val="center"/>
          </w:tcPr>
          <w:p w14:paraId="2E19B081" w14:textId="77777777" w:rsidR="003E70CE" w:rsidRPr="00FB4E62" w:rsidRDefault="003E70CE" w:rsidP="003E70CE">
            <w:pPr>
              <w:jc w:val="center"/>
              <w:rPr>
                <w:sz w:val="20"/>
                <w:szCs w:val="20"/>
              </w:rPr>
            </w:pPr>
            <w:r w:rsidRPr="00FB4E62">
              <w:rPr>
                <w:sz w:val="20"/>
                <w:szCs w:val="20"/>
              </w:rPr>
              <w:t>0</w:t>
            </w:r>
          </w:p>
        </w:tc>
        <w:tc>
          <w:tcPr>
            <w:tcW w:w="1134" w:type="dxa"/>
            <w:tcBorders>
              <w:bottom w:val="single" w:sz="12" w:space="0" w:color="auto"/>
              <w:right w:val="single" w:sz="12" w:space="0" w:color="auto"/>
            </w:tcBorders>
            <w:vAlign w:val="center"/>
          </w:tcPr>
          <w:p w14:paraId="2A9501EE" w14:textId="77777777" w:rsidR="003E70CE" w:rsidRPr="00FB4E62" w:rsidRDefault="003E70CE" w:rsidP="003E70CE">
            <w:pPr>
              <w:jc w:val="center"/>
              <w:rPr>
                <w:sz w:val="20"/>
                <w:szCs w:val="20"/>
              </w:rPr>
            </w:pPr>
            <w:r w:rsidRPr="00FB4E62">
              <w:rPr>
                <w:sz w:val="20"/>
                <w:szCs w:val="20"/>
              </w:rPr>
              <w:t>0</w:t>
            </w:r>
          </w:p>
        </w:tc>
        <w:tc>
          <w:tcPr>
            <w:tcW w:w="1417" w:type="dxa"/>
            <w:tcBorders>
              <w:left w:val="single" w:sz="12" w:space="0" w:color="auto"/>
              <w:bottom w:val="single" w:sz="12" w:space="0" w:color="auto"/>
            </w:tcBorders>
            <w:vAlign w:val="center"/>
          </w:tcPr>
          <w:p w14:paraId="3177E2BA" w14:textId="77777777" w:rsidR="003E70CE" w:rsidRPr="00FB4E62" w:rsidRDefault="003E70CE" w:rsidP="003E70CE">
            <w:pPr>
              <w:jc w:val="center"/>
              <w:rPr>
                <w:sz w:val="20"/>
                <w:szCs w:val="20"/>
              </w:rPr>
            </w:pPr>
            <w:r w:rsidRPr="00FB4E62">
              <w:rPr>
                <w:sz w:val="20"/>
                <w:szCs w:val="20"/>
              </w:rPr>
              <w:t>0</w:t>
            </w:r>
          </w:p>
        </w:tc>
      </w:tr>
      <w:tr w:rsidR="003E70CE" w:rsidRPr="00EF633F" w14:paraId="192F2BCA" w14:textId="77777777" w:rsidTr="003E70CE">
        <w:tc>
          <w:tcPr>
            <w:tcW w:w="988" w:type="dxa"/>
            <w:vMerge w:val="restart"/>
            <w:tcBorders>
              <w:top w:val="single" w:sz="12" w:space="0" w:color="auto"/>
            </w:tcBorders>
            <w:vAlign w:val="center"/>
          </w:tcPr>
          <w:p w14:paraId="76F72740" w14:textId="77777777" w:rsidR="003E70CE" w:rsidRPr="00EF633F" w:rsidRDefault="003E70CE" w:rsidP="003E70CE">
            <w:pPr>
              <w:jc w:val="center"/>
              <w:rPr>
                <w:b/>
                <w:sz w:val="20"/>
                <w:szCs w:val="20"/>
              </w:rPr>
            </w:pPr>
            <w:r w:rsidRPr="00EF633F">
              <w:rPr>
                <w:b/>
                <w:sz w:val="20"/>
                <w:szCs w:val="20"/>
              </w:rPr>
              <w:t>VK</w:t>
            </w:r>
          </w:p>
        </w:tc>
        <w:tc>
          <w:tcPr>
            <w:tcW w:w="1134" w:type="dxa"/>
            <w:tcBorders>
              <w:top w:val="single" w:sz="12" w:space="0" w:color="auto"/>
            </w:tcBorders>
            <w:vAlign w:val="center"/>
          </w:tcPr>
          <w:p w14:paraId="02A9BDF6" w14:textId="77777777" w:rsidR="003E70CE" w:rsidRPr="00EF633F" w:rsidRDefault="003E70CE" w:rsidP="003E70CE">
            <w:pPr>
              <w:jc w:val="center"/>
              <w:rPr>
                <w:sz w:val="20"/>
                <w:szCs w:val="20"/>
              </w:rPr>
            </w:pPr>
            <w:r w:rsidRPr="00EF633F">
              <w:rPr>
                <w:sz w:val="20"/>
                <w:szCs w:val="20"/>
              </w:rPr>
              <w:t>Rezerve</w:t>
            </w:r>
          </w:p>
        </w:tc>
        <w:tc>
          <w:tcPr>
            <w:tcW w:w="1417" w:type="dxa"/>
            <w:tcBorders>
              <w:top w:val="single" w:sz="12" w:space="0" w:color="auto"/>
            </w:tcBorders>
            <w:vAlign w:val="center"/>
          </w:tcPr>
          <w:p w14:paraId="44E935A6" w14:textId="77777777" w:rsidR="003E70CE" w:rsidRPr="00EF633F" w:rsidRDefault="003E70CE" w:rsidP="003E70CE">
            <w:pPr>
              <w:jc w:val="center"/>
              <w:rPr>
                <w:sz w:val="20"/>
                <w:szCs w:val="20"/>
              </w:rPr>
            </w:pPr>
            <w:r w:rsidRPr="00EF633F">
              <w:rPr>
                <w:sz w:val="20"/>
                <w:szCs w:val="20"/>
              </w:rPr>
              <w:t>532 889</w:t>
            </w:r>
          </w:p>
        </w:tc>
        <w:tc>
          <w:tcPr>
            <w:tcW w:w="1276" w:type="dxa"/>
            <w:tcBorders>
              <w:top w:val="single" w:sz="12" w:space="0" w:color="auto"/>
            </w:tcBorders>
            <w:vAlign w:val="center"/>
          </w:tcPr>
          <w:p w14:paraId="41BBEC63" w14:textId="77777777" w:rsidR="003E70CE" w:rsidRPr="00EF633F" w:rsidRDefault="003E70CE" w:rsidP="003E70CE">
            <w:pPr>
              <w:jc w:val="center"/>
              <w:rPr>
                <w:sz w:val="20"/>
                <w:szCs w:val="20"/>
              </w:rPr>
            </w:pPr>
            <w:r w:rsidRPr="00EF633F">
              <w:rPr>
                <w:sz w:val="20"/>
                <w:szCs w:val="20"/>
              </w:rPr>
              <w:t>0</w:t>
            </w:r>
          </w:p>
        </w:tc>
        <w:tc>
          <w:tcPr>
            <w:tcW w:w="1134" w:type="dxa"/>
            <w:tcBorders>
              <w:top w:val="single" w:sz="12" w:space="0" w:color="auto"/>
            </w:tcBorders>
            <w:vAlign w:val="center"/>
          </w:tcPr>
          <w:p w14:paraId="61685C97" w14:textId="77777777" w:rsidR="003E70CE" w:rsidRPr="00EF633F" w:rsidRDefault="003E70CE" w:rsidP="003E70CE">
            <w:pPr>
              <w:jc w:val="center"/>
              <w:rPr>
                <w:sz w:val="20"/>
                <w:szCs w:val="20"/>
              </w:rPr>
            </w:pPr>
            <w:r w:rsidRPr="00EF633F">
              <w:rPr>
                <w:sz w:val="20"/>
                <w:szCs w:val="20"/>
              </w:rPr>
              <w:t>0</w:t>
            </w:r>
          </w:p>
        </w:tc>
        <w:tc>
          <w:tcPr>
            <w:tcW w:w="1276" w:type="dxa"/>
            <w:tcBorders>
              <w:top w:val="single" w:sz="12" w:space="0" w:color="auto"/>
            </w:tcBorders>
            <w:vAlign w:val="center"/>
          </w:tcPr>
          <w:p w14:paraId="7BB509C2" w14:textId="77777777" w:rsidR="003E70CE" w:rsidRPr="00EF633F" w:rsidRDefault="003E70CE" w:rsidP="003E70CE">
            <w:pPr>
              <w:jc w:val="center"/>
              <w:rPr>
                <w:sz w:val="20"/>
                <w:szCs w:val="20"/>
              </w:rPr>
            </w:pPr>
            <w:r w:rsidRPr="00EF633F">
              <w:rPr>
                <w:sz w:val="20"/>
                <w:szCs w:val="20"/>
              </w:rPr>
              <w:t>0</w:t>
            </w:r>
          </w:p>
        </w:tc>
        <w:tc>
          <w:tcPr>
            <w:tcW w:w="1134" w:type="dxa"/>
            <w:tcBorders>
              <w:top w:val="single" w:sz="12" w:space="0" w:color="auto"/>
              <w:right w:val="single" w:sz="12" w:space="0" w:color="auto"/>
            </w:tcBorders>
            <w:vAlign w:val="center"/>
          </w:tcPr>
          <w:p w14:paraId="6B444FCF" w14:textId="77777777" w:rsidR="003E70CE" w:rsidRPr="00EF633F" w:rsidRDefault="003E70CE" w:rsidP="003E70CE">
            <w:pPr>
              <w:jc w:val="center"/>
              <w:rPr>
                <w:sz w:val="20"/>
                <w:szCs w:val="20"/>
              </w:rPr>
            </w:pPr>
            <w:r w:rsidRPr="00EF633F">
              <w:rPr>
                <w:sz w:val="20"/>
                <w:szCs w:val="20"/>
              </w:rPr>
              <w:t>0</w:t>
            </w:r>
          </w:p>
        </w:tc>
        <w:tc>
          <w:tcPr>
            <w:tcW w:w="1417" w:type="dxa"/>
            <w:tcBorders>
              <w:top w:val="single" w:sz="12" w:space="0" w:color="auto"/>
              <w:left w:val="single" w:sz="12" w:space="0" w:color="auto"/>
            </w:tcBorders>
            <w:vAlign w:val="center"/>
          </w:tcPr>
          <w:p w14:paraId="36B6AD9D" w14:textId="77777777" w:rsidR="003E70CE" w:rsidRPr="00EF633F" w:rsidRDefault="003E70CE" w:rsidP="003E70CE">
            <w:pPr>
              <w:jc w:val="center"/>
              <w:rPr>
                <w:sz w:val="20"/>
                <w:szCs w:val="20"/>
              </w:rPr>
            </w:pPr>
            <w:r w:rsidRPr="00EF633F">
              <w:rPr>
                <w:sz w:val="20"/>
                <w:szCs w:val="20"/>
              </w:rPr>
              <w:t>532 889</w:t>
            </w:r>
          </w:p>
        </w:tc>
      </w:tr>
      <w:tr w:rsidR="003E70CE" w:rsidRPr="00EF633F" w14:paraId="6FA8ACE6" w14:textId="77777777" w:rsidTr="003E70CE">
        <w:tc>
          <w:tcPr>
            <w:tcW w:w="988" w:type="dxa"/>
            <w:vMerge/>
            <w:tcBorders>
              <w:bottom w:val="single" w:sz="12" w:space="0" w:color="auto"/>
            </w:tcBorders>
            <w:vAlign w:val="center"/>
          </w:tcPr>
          <w:p w14:paraId="41AFB05C" w14:textId="77777777" w:rsidR="003E70CE" w:rsidRPr="00EF633F" w:rsidRDefault="003E70CE" w:rsidP="003E70CE">
            <w:pPr>
              <w:jc w:val="center"/>
              <w:rPr>
                <w:sz w:val="20"/>
                <w:szCs w:val="20"/>
              </w:rPr>
            </w:pPr>
          </w:p>
        </w:tc>
        <w:tc>
          <w:tcPr>
            <w:tcW w:w="1134" w:type="dxa"/>
            <w:tcBorders>
              <w:bottom w:val="single" w:sz="12" w:space="0" w:color="auto"/>
            </w:tcBorders>
            <w:vAlign w:val="center"/>
          </w:tcPr>
          <w:p w14:paraId="0C0D9A4F" w14:textId="77777777" w:rsidR="003E70CE" w:rsidRPr="00EF633F" w:rsidRDefault="003E70CE" w:rsidP="003E70CE">
            <w:pPr>
              <w:jc w:val="center"/>
              <w:rPr>
                <w:sz w:val="20"/>
                <w:szCs w:val="20"/>
              </w:rPr>
            </w:pPr>
            <w:r w:rsidRPr="00EF633F">
              <w:rPr>
                <w:sz w:val="20"/>
                <w:szCs w:val="20"/>
              </w:rPr>
              <w:t>Atlikumi</w:t>
            </w:r>
          </w:p>
        </w:tc>
        <w:tc>
          <w:tcPr>
            <w:tcW w:w="1417" w:type="dxa"/>
            <w:tcBorders>
              <w:bottom w:val="single" w:sz="12" w:space="0" w:color="auto"/>
            </w:tcBorders>
            <w:vAlign w:val="center"/>
          </w:tcPr>
          <w:p w14:paraId="00E576DC" w14:textId="77777777" w:rsidR="003E70CE" w:rsidRPr="00EF633F" w:rsidRDefault="003E70CE" w:rsidP="003E70CE">
            <w:pPr>
              <w:jc w:val="center"/>
              <w:rPr>
                <w:sz w:val="20"/>
                <w:szCs w:val="20"/>
              </w:rPr>
            </w:pPr>
            <w:r w:rsidRPr="00EF633F">
              <w:rPr>
                <w:sz w:val="20"/>
                <w:szCs w:val="20"/>
              </w:rPr>
              <w:t>507</w:t>
            </w:r>
          </w:p>
        </w:tc>
        <w:tc>
          <w:tcPr>
            <w:tcW w:w="1276" w:type="dxa"/>
            <w:tcBorders>
              <w:bottom w:val="single" w:sz="12" w:space="0" w:color="auto"/>
            </w:tcBorders>
            <w:vAlign w:val="center"/>
          </w:tcPr>
          <w:p w14:paraId="7E0D8533" w14:textId="77777777" w:rsidR="003E70CE" w:rsidRPr="00EF633F" w:rsidRDefault="003E70CE" w:rsidP="003E70CE">
            <w:pPr>
              <w:jc w:val="center"/>
              <w:rPr>
                <w:sz w:val="20"/>
                <w:szCs w:val="20"/>
              </w:rPr>
            </w:pPr>
            <w:r w:rsidRPr="00EF633F">
              <w:rPr>
                <w:sz w:val="20"/>
                <w:szCs w:val="20"/>
              </w:rPr>
              <w:t>0</w:t>
            </w:r>
          </w:p>
        </w:tc>
        <w:tc>
          <w:tcPr>
            <w:tcW w:w="1134" w:type="dxa"/>
            <w:tcBorders>
              <w:bottom w:val="single" w:sz="12" w:space="0" w:color="auto"/>
            </w:tcBorders>
            <w:vAlign w:val="center"/>
          </w:tcPr>
          <w:p w14:paraId="67BBE6F8" w14:textId="77777777" w:rsidR="003E70CE" w:rsidRPr="00EF633F" w:rsidRDefault="003E70CE" w:rsidP="003E70CE">
            <w:pPr>
              <w:jc w:val="center"/>
              <w:rPr>
                <w:sz w:val="20"/>
                <w:szCs w:val="20"/>
              </w:rPr>
            </w:pPr>
            <w:r w:rsidRPr="00EF633F">
              <w:rPr>
                <w:sz w:val="20"/>
                <w:szCs w:val="20"/>
              </w:rPr>
              <w:t>0</w:t>
            </w:r>
          </w:p>
        </w:tc>
        <w:tc>
          <w:tcPr>
            <w:tcW w:w="1276" w:type="dxa"/>
            <w:tcBorders>
              <w:bottom w:val="single" w:sz="12" w:space="0" w:color="auto"/>
            </w:tcBorders>
            <w:vAlign w:val="center"/>
          </w:tcPr>
          <w:p w14:paraId="2E989D9F" w14:textId="77777777" w:rsidR="003E70CE" w:rsidRPr="00EF633F" w:rsidRDefault="003E70CE" w:rsidP="003E70CE">
            <w:pPr>
              <w:jc w:val="center"/>
              <w:rPr>
                <w:sz w:val="20"/>
                <w:szCs w:val="20"/>
              </w:rPr>
            </w:pPr>
            <w:r w:rsidRPr="00EF633F">
              <w:rPr>
                <w:sz w:val="20"/>
                <w:szCs w:val="20"/>
              </w:rPr>
              <w:t>0</w:t>
            </w:r>
          </w:p>
        </w:tc>
        <w:tc>
          <w:tcPr>
            <w:tcW w:w="1134" w:type="dxa"/>
            <w:tcBorders>
              <w:bottom w:val="single" w:sz="12" w:space="0" w:color="auto"/>
              <w:right w:val="single" w:sz="12" w:space="0" w:color="auto"/>
            </w:tcBorders>
            <w:vAlign w:val="center"/>
          </w:tcPr>
          <w:p w14:paraId="2FE3BB53" w14:textId="77777777" w:rsidR="003E70CE" w:rsidRPr="00EF633F" w:rsidRDefault="003E70CE" w:rsidP="003E70CE">
            <w:pPr>
              <w:jc w:val="center"/>
              <w:rPr>
                <w:sz w:val="20"/>
                <w:szCs w:val="20"/>
              </w:rPr>
            </w:pPr>
            <w:r w:rsidRPr="00EF633F">
              <w:rPr>
                <w:sz w:val="20"/>
                <w:szCs w:val="20"/>
              </w:rPr>
              <w:t>215</w:t>
            </w:r>
          </w:p>
        </w:tc>
        <w:tc>
          <w:tcPr>
            <w:tcW w:w="1417" w:type="dxa"/>
            <w:tcBorders>
              <w:left w:val="single" w:sz="12" w:space="0" w:color="auto"/>
              <w:bottom w:val="single" w:sz="12" w:space="0" w:color="auto"/>
            </w:tcBorders>
            <w:vAlign w:val="center"/>
          </w:tcPr>
          <w:p w14:paraId="4E961B78" w14:textId="77777777" w:rsidR="003E70CE" w:rsidRPr="00EF633F" w:rsidRDefault="003E70CE" w:rsidP="003E70CE">
            <w:pPr>
              <w:jc w:val="center"/>
              <w:rPr>
                <w:sz w:val="20"/>
                <w:szCs w:val="20"/>
              </w:rPr>
            </w:pPr>
            <w:r w:rsidRPr="00EF633F">
              <w:rPr>
                <w:sz w:val="20"/>
                <w:szCs w:val="20"/>
              </w:rPr>
              <w:t>722</w:t>
            </w:r>
          </w:p>
        </w:tc>
      </w:tr>
      <w:tr w:rsidR="003E70CE" w:rsidRPr="00EF633F" w14:paraId="17FB3410" w14:textId="77777777" w:rsidTr="003E70CE">
        <w:tc>
          <w:tcPr>
            <w:tcW w:w="988" w:type="dxa"/>
            <w:vMerge w:val="restart"/>
            <w:tcBorders>
              <w:top w:val="single" w:sz="12" w:space="0" w:color="auto"/>
            </w:tcBorders>
            <w:vAlign w:val="center"/>
          </w:tcPr>
          <w:p w14:paraId="34FDD962" w14:textId="77777777" w:rsidR="003E70CE" w:rsidRPr="00EF633F" w:rsidRDefault="003E70CE" w:rsidP="003E70CE">
            <w:pPr>
              <w:jc w:val="center"/>
              <w:rPr>
                <w:b/>
                <w:sz w:val="20"/>
                <w:szCs w:val="20"/>
              </w:rPr>
            </w:pPr>
            <w:r w:rsidRPr="00EF633F">
              <w:rPr>
                <w:b/>
                <w:sz w:val="20"/>
                <w:szCs w:val="20"/>
              </w:rPr>
              <w:t xml:space="preserve">Kopā </w:t>
            </w:r>
            <w:r w:rsidRPr="00EF633F">
              <w:rPr>
                <w:b/>
                <w:i/>
                <w:sz w:val="20"/>
                <w:szCs w:val="20"/>
              </w:rPr>
              <w:t>EUR</w:t>
            </w:r>
          </w:p>
        </w:tc>
        <w:tc>
          <w:tcPr>
            <w:tcW w:w="1134" w:type="dxa"/>
            <w:tcBorders>
              <w:top w:val="single" w:sz="12" w:space="0" w:color="auto"/>
            </w:tcBorders>
            <w:vAlign w:val="center"/>
          </w:tcPr>
          <w:p w14:paraId="098958C0" w14:textId="77777777" w:rsidR="003E70CE" w:rsidRPr="00EF633F" w:rsidRDefault="003E70CE" w:rsidP="003E70CE">
            <w:pPr>
              <w:jc w:val="center"/>
              <w:rPr>
                <w:b/>
                <w:sz w:val="20"/>
                <w:szCs w:val="20"/>
              </w:rPr>
            </w:pPr>
            <w:r w:rsidRPr="00EF633F">
              <w:rPr>
                <w:b/>
                <w:sz w:val="20"/>
                <w:szCs w:val="20"/>
              </w:rPr>
              <w:t>Rezerve</w:t>
            </w:r>
          </w:p>
        </w:tc>
        <w:tc>
          <w:tcPr>
            <w:tcW w:w="1417" w:type="dxa"/>
            <w:tcBorders>
              <w:top w:val="single" w:sz="12" w:space="0" w:color="auto"/>
            </w:tcBorders>
            <w:vAlign w:val="center"/>
          </w:tcPr>
          <w:p w14:paraId="751E708C" w14:textId="77777777" w:rsidR="003E70CE" w:rsidRPr="00EF633F" w:rsidRDefault="003E70CE" w:rsidP="003E70CE">
            <w:pPr>
              <w:jc w:val="center"/>
              <w:rPr>
                <w:b/>
                <w:sz w:val="20"/>
                <w:szCs w:val="20"/>
              </w:rPr>
            </w:pPr>
            <w:r w:rsidRPr="00EF633F">
              <w:rPr>
                <w:sz w:val="20"/>
                <w:szCs w:val="20"/>
              </w:rPr>
              <w:t>135 915 998</w:t>
            </w:r>
          </w:p>
        </w:tc>
        <w:tc>
          <w:tcPr>
            <w:tcW w:w="1276" w:type="dxa"/>
            <w:tcBorders>
              <w:top w:val="single" w:sz="12" w:space="0" w:color="auto"/>
            </w:tcBorders>
            <w:vAlign w:val="center"/>
          </w:tcPr>
          <w:p w14:paraId="2BD0B0E8" w14:textId="77777777" w:rsidR="003E70CE" w:rsidRPr="00EF633F" w:rsidRDefault="003E70CE" w:rsidP="003E70CE">
            <w:pPr>
              <w:jc w:val="center"/>
              <w:rPr>
                <w:b/>
                <w:sz w:val="20"/>
                <w:szCs w:val="20"/>
              </w:rPr>
            </w:pPr>
            <w:r w:rsidRPr="00EF633F">
              <w:rPr>
                <w:sz w:val="20"/>
                <w:szCs w:val="20"/>
              </w:rPr>
              <w:t>76 762 201</w:t>
            </w:r>
          </w:p>
        </w:tc>
        <w:tc>
          <w:tcPr>
            <w:tcW w:w="1134" w:type="dxa"/>
            <w:tcBorders>
              <w:top w:val="single" w:sz="12" w:space="0" w:color="auto"/>
            </w:tcBorders>
            <w:vAlign w:val="center"/>
          </w:tcPr>
          <w:p w14:paraId="001F8C7A" w14:textId="77777777" w:rsidR="003E70CE" w:rsidRPr="00EF633F" w:rsidRDefault="003E70CE" w:rsidP="003E70CE">
            <w:pPr>
              <w:jc w:val="center"/>
              <w:rPr>
                <w:b/>
                <w:sz w:val="20"/>
                <w:szCs w:val="20"/>
              </w:rPr>
            </w:pPr>
            <w:r w:rsidRPr="00EF633F">
              <w:rPr>
                <w:sz w:val="20"/>
                <w:szCs w:val="20"/>
              </w:rPr>
              <w:t>1 274 049</w:t>
            </w:r>
          </w:p>
        </w:tc>
        <w:tc>
          <w:tcPr>
            <w:tcW w:w="1276" w:type="dxa"/>
            <w:tcBorders>
              <w:top w:val="single" w:sz="12" w:space="0" w:color="auto"/>
            </w:tcBorders>
            <w:vAlign w:val="center"/>
          </w:tcPr>
          <w:p w14:paraId="555CCFC7" w14:textId="77777777" w:rsidR="003E70CE" w:rsidRPr="00EF633F" w:rsidRDefault="003E70CE" w:rsidP="003E70CE">
            <w:pPr>
              <w:jc w:val="center"/>
              <w:rPr>
                <w:b/>
                <w:sz w:val="20"/>
                <w:szCs w:val="20"/>
              </w:rPr>
            </w:pPr>
            <w:r w:rsidRPr="00EF633F">
              <w:rPr>
                <w:sz w:val="20"/>
                <w:szCs w:val="20"/>
              </w:rPr>
              <w:t>7 754 366</w:t>
            </w:r>
          </w:p>
        </w:tc>
        <w:tc>
          <w:tcPr>
            <w:tcW w:w="1134" w:type="dxa"/>
            <w:tcBorders>
              <w:top w:val="single" w:sz="12" w:space="0" w:color="auto"/>
              <w:right w:val="single" w:sz="12" w:space="0" w:color="auto"/>
            </w:tcBorders>
            <w:vAlign w:val="center"/>
          </w:tcPr>
          <w:p w14:paraId="649BEC9E" w14:textId="77777777" w:rsidR="003E70CE" w:rsidRPr="00EF633F" w:rsidRDefault="003E70CE" w:rsidP="003E70CE">
            <w:pPr>
              <w:jc w:val="center"/>
              <w:rPr>
                <w:b/>
                <w:sz w:val="20"/>
                <w:szCs w:val="20"/>
              </w:rPr>
            </w:pPr>
            <w:r w:rsidRPr="00EF633F">
              <w:rPr>
                <w:sz w:val="20"/>
                <w:szCs w:val="20"/>
              </w:rPr>
              <w:t>0</w:t>
            </w:r>
          </w:p>
        </w:tc>
        <w:tc>
          <w:tcPr>
            <w:tcW w:w="1417" w:type="dxa"/>
            <w:tcBorders>
              <w:top w:val="single" w:sz="12" w:space="0" w:color="auto"/>
              <w:left w:val="single" w:sz="12" w:space="0" w:color="auto"/>
            </w:tcBorders>
            <w:vAlign w:val="center"/>
          </w:tcPr>
          <w:p w14:paraId="4CD16421" w14:textId="77777777" w:rsidR="003E70CE" w:rsidRPr="00EF633F" w:rsidRDefault="003E70CE" w:rsidP="003E70CE">
            <w:pPr>
              <w:jc w:val="center"/>
              <w:rPr>
                <w:b/>
                <w:sz w:val="20"/>
                <w:szCs w:val="20"/>
              </w:rPr>
            </w:pPr>
            <w:r w:rsidRPr="00EF633F">
              <w:rPr>
                <w:sz w:val="20"/>
                <w:szCs w:val="20"/>
              </w:rPr>
              <w:t>221 706 614</w:t>
            </w:r>
          </w:p>
        </w:tc>
      </w:tr>
      <w:tr w:rsidR="003E70CE" w:rsidRPr="00EF633F" w14:paraId="765FD28E" w14:textId="77777777" w:rsidTr="003E70CE">
        <w:tc>
          <w:tcPr>
            <w:tcW w:w="988" w:type="dxa"/>
            <w:vMerge/>
            <w:vAlign w:val="center"/>
          </w:tcPr>
          <w:p w14:paraId="1B08F6C6" w14:textId="77777777" w:rsidR="003E70CE" w:rsidRPr="00EF633F" w:rsidRDefault="003E70CE" w:rsidP="003E70CE">
            <w:pPr>
              <w:jc w:val="center"/>
              <w:rPr>
                <w:b/>
                <w:sz w:val="20"/>
                <w:szCs w:val="20"/>
              </w:rPr>
            </w:pPr>
          </w:p>
        </w:tc>
        <w:tc>
          <w:tcPr>
            <w:tcW w:w="1134" w:type="dxa"/>
            <w:vAlign w:val="center"/>
          </w:tcPr>
          <w:p w14:paraId="41EFBCCE" w14:textId="77777777" w:rsidR="003E70CE" w:rsidRPr="00EF633F" w:rsidRDefault="003E70CE" w:rsidP="003E70CE">
            <w:pPr>
              <w:jc w:val="center"/>
              <w:rPr>
                <w:b/>
                <w:sz w:val="20"/>
                <w:szCs w:val="20"/>
              </w:rPr>
            </w:pPr>
            <w:r w:rsidRPr="00EF633F">
              <w:rPr>
                <w:b/>
                <w:sz w:val="20"/>
                <w:szCs w:val="20"/>
              </w:rPr>
              <w:t>Atlikumi</w:t>
            </w:r>
          </w:p>
        </w:tc>
        <w:tc>
          <w:tcPr>
            <w:tcW w:w="1417" w:type="dxa"/>
            <w:vAlign w:val="center"/>
          </w:tcPr>
          <w:p w14:paraId="252B117D" w14:textId="3A5DA8F2" w:rsidR="003E70CE" w:rsidRPr="00EF633F" w:rsidRDefault="00EC3BD2" w:rsidP="003E70CE">
            <w:pPr>
              <w:jc w:val="center"/>
              <w:rPr>
                <w:b/>
                <w:sz w:val="20"/>
                <w:szCs w:val="20"/>
              </w:rPr>
            </w:pPr>
            <w:r w:rsidRPr="00EF633F">
              <w:rPr>
                <w:sz w:val="20"/>
                <w:szCs w:val="20"/>
              </w:rPr>
              <w:t>205 769 195</w:t>
            </w:r>
          </w:p>
        </w:tc>
        <w:tc>
          <w:tcPr>
            <w:tcW w:w="1276" w:type="dxa"/>
            <w:vAlign w:val="center"/>
          </w:tcPr>
          <w:p w14:paraId="004ABC69" w14:textId="77777777" w:rsidR="003E70CE" w:rsidRPr="00EF633F" w:rsidRDefault="003E70CE" w:rsidP="003E70CE">
            <w:pPr>
              <w:jc w:val="center"/>
              <w:rPr>
                <w:b/>
                <w:sz w:val="20"/>
                <w:szCs w:val="20"/>
              </w:rPr>
            </w:pPr>
            <w:r w:rsidRPr="00EF633F">
              <w:rPr>
                <w:sz w:val="20"/>
                <w:szCs w:val="20"/>
              </w:rPr>
              <w:t>85 354 073</w:t>
            </w:r>
          </w:p>
        </w:tc>
        <w:tc>
          <w:tcPr>
            <w:tcW w:w="1134" w:type="dxa"/>
            <w:vAlign w:val="center"/>
          </w:tcPr>
          <w:p w14:paraId="4E2AAD02" w14:textId="77777777" w:rsidR="003E70CE" w:rsidRPr="00EF633F" w:rsidRDefault="003E70CE" w:rsidP="003E70CE">
            <w:pPr>
              <w:jc w:val="center"/>
              <w:rPr>
                <w:b/>
                <w:sz w:val="20"/>
                <w:szCs w:val="20"/>
              </w:rPr>
            </w:pPr>
            <w:r w:rsidRPr="00EF633F">
              <w:rPr>
                <w:sz w:val="20"/>
                <w:szCs w:val="20"/>
              </w:rPr>
              <w:t>3 019 248</w:t>
            </w:r>
          </w:p>
        </w:tc>
        <w:tc>
          <w:tcPr>
            <w:tcW w:w="1276" w:type="dxa"/>
            <w:vAlign w:val="center"/>
          </w:tcPr>
          <w:p w14:paraId="563C0DA7" w14:textId="77777777" w:rsidR="003E70CE" w:rsidRPr="00EF633F" w:rsidRDefault="003E70CE" w:rsidP="003E70CE">
            <w:pPr>
              <w:jc w:val="center"/>
              <w:rPr>
                <w:b/>
                <w:sz w:val="20"/>
                <w:szCs w:val="20"/>
              </w:rPr>
            </w:pPr>
            <w:r w:rsidRPr="00EF633F">
              <w:rPr>
                <w:sz w:val="20"/>
                <w:szCs w:val="20"/>
              </w:rPr>
              <w:t>72 358 698</w:t>
            </w:r>
          </w:p>
        </w:tc>
        <w:tc>
          <w:tcPr>
            <w:tcW w:w="1134" w:type="dxa"/>
            <w:tcBorders>
              <w:right w:val="single" w:sz="12" w:space="0" w:color="auto"/>
            </w:tcBorders>
            <w:vAlign w:val="center"/>
          </w:tcPr>
          <w:p w14:paraId="58E4A56B" w14:textId="065096F4" w:rsidR="003E70CE" w:rsidRPr="00EF633F" w:rsidRDefault="004000E5" w:rsidP="003E70CE">
            <w:pPr>
              <w:jc w:val="center"/>
              <w:rPr>
                <w:b/>
                <w:sz w:val="20"/>
                <w:szCs w:val="20"/>
              </w:rPr>
            </w:pPr>
            <w:r w:rsidRPr="00EF633F">
              <w:rPr>
                <w:sz w:val="20"/>
                <w:szCs w:val="20"/>
              </w:rPr>
              <w:t>59 538 632</w:t>
            </w:r>
          </w:p>
        </w:tc>
        <w:tc>
          <w:tcPr>
            <w:tcW w:w="1417" w:type="dxa"/>
            <w:tcBorders>
              <w:left w:val="single" w:sz="12" w:space="0" w:color="auto"/>
            </w:tcBorders>
            <w:vAlign w:val="center"/>
          </w:tcPr>
          <w:p w14:paraId="56AAED56" w14:textId="5B9F6174" w:rsidR="003E70CE" w:rsidRPr="00EF633F" w:rsidRDefault="004000E5" w:rsidP="003E70CE">
            <w:pPr>
              <w:jc w:val="center"/>
              <w:rPr>
                <w:b/>
                <w:sz w:val="20"/>
                <w:szCs w:val="20"/>
              </w:rPr>
            </w:pPr>
            <w:r w:rsidRPr="00EF633F">
              <w:rPr>
                <w:sz w:val="20"/>
                <w:szCs w:val="20"/>
              </w:rPr>
              <w:t>426 039 846</w:t>
            </w:r>
          </w:p>
        </w:tc>
      </w:tr>
    </w:tbl>
    <w:p w14:paraId="04701936" w14:textId="2F48254B" w:rsidR="00D80124" w:rsidRPr="00EF633F" w:rsidRDefault="00D80124" w:rsidP="009267AA">
      <w:pPr>
        <w:spacing w:line="276" w:lineRule="auto"/>
        <w:jc w:val="both"/>
        <w:rPr>
          <w:rFonts w:eastAsia="Times New Roman" w:cs="Times New Roman"/>
          <w:b/>
          <w:bCs/>
          <w:i/>
          <w:color w:val="000000"/>
          <w:sz w:val="20"/>
          <w:szCs w:val="20"/>
          <w:lang w:eastAsia="lv-LV"/>
        </w:rPr>
      </w:pPr>
    </w:p>
    <w:p w14:paraId="31CF3B56" w14:textId="4680C7D3" w:rsidR="00C576C8" w:rsidRPr="00AA0994" w:rsidRDefault="007761BD" w:rsidP="00915BDC">
      <w:pPr>
        <w:pStyle w:val="ListParagraph"/>
        <w:numPr>
          <w:ilvl w:val="0"/>
          <w:numId w:val="1"/>
        </w:numPr>
        <w:tabs>
          <w:tab w:val="left" w:pos="567"/>
        </w:tabs>
        <w:spacing w:line="276" w:lineRule="auto"/>
        <w:ind w:left="567" w:hanging="567"/>
        <w:jc w:val="both"/>
        <w:rPr>
          <w:rFonts w:ascii="Times New Roman" w:hAnsi="Times New Roman" w:cs="Times New Roman"/>
          <w:sz w:val="24"/>
          <w:szCs w:val="24"/>
        </w:rPr>
      </w:pPr>
      <w:r w:rsidRPr="00EF633F">
        <w:rPr>
          <w:rFonts w:ascii="Times New Roman" w:hAnsi="Times New Roman" w:cs="Times New Roman"/>
          <w:sz w:val="24"/>
          <w:szCs w:val="24"/>
        </w:rPr>
        <w:t>FM</w:t>
      </w:r>
      <w:r w:rsidR="00C576C8" w:rsidRPr="00EF633F">
        <w:rPr>
          <w:rFonts w:ascii="Times New Roman" w:hAnsi="Times New Roman" w:cs="Times New Roman"/>
          <w:sz w:val="24"/>
          <w:szCs w:val="24"/>
        </w:rPr>
        <w:t xml:space="preserve"> </w:t>
      </w:r>
      <w:r w:rsidRPr="00EF633F">
        <w:rPr>
          <w:rFonts w:ascii="Times New Roman" w:hAnsi="Times New Roman" w:cs="Times New Roman"/>
          <w:sz w:val="24"/>
          <w:szCs w:val="24"/>
        </w:rPr>
        <w:t>atbilstoši MK uzdevumam</w:t>
      </w:r>
      <w:r w:rsidR="00C576C8" w:rsidRPr="00EF633F">
        <w:rPr>
          <w:rFonts w:ascii="Times New Roman" w:hAnsi="Times New Roman" w:cs="Times New Roman"/>
          <w:sz w:val="24"/>
          <w:szCs w:val="24"/>
        </w:rPr>
        <w:t xml:space="preserve"> </w:t>
      </w:r>
      <w:r w:rsidR="00534045" w:rsidRPr="00EF633F">
        <w:rPr>
          <w:rFonts w:ascii="Times New Roman" w:hAnsi="Times New Roman" w:cs="Times New Roman"/>
          <w:sz w:val="24"/>
          <w:szCs w:val="24"/>
        </w:rPr>
        <w:t>apkopoja</w:t>
      </w:r>
      <w:r w:rsidR="009C5FCC" w:rsidRPr="00EF633F">
        <w:rPr>
          <w:rFonts w:ascii="Times New Roman" w:hAnsi="Times New Roman" w:cs="Times New Roman"/>
          <w:sz w:val="24"/>
          <w:szCs w:val="24"/>
        </w:rPr>
        <w:t xml:space="preserve"> un vērtēj</w:t>
      </w:r>
      <w:r w:rsidR="00534045" w:rsidRPr="00EF633F">
        <w:rPr>
          <w:rFonts w:ascii="Times New Roman" w:hAnsi="Times New Roman" w:cs="Times New Roman"/>
          <w:sz w:val="24"/>
          <w:szCs w:val="24"/>
        </w:rPr>
        <w:t>a</w:t>
      </w:r>
      <w:r w:rsidR="00C576C8" w:rsidRPr="00EF633F">
        <w:rPr>
          <w:rFonts w:ascii="Times New Roman" w:hAnsi="Times New Roman" w:cs="Times New Roman"/>
          <w:sz w:val="24"/>
          <w:szCs w:val="24"/>
        </w:rPr>
        <w:t xml:space="preserve"> atbildīgo iestāžu sniegtos</w:t>
      </w:r>
      <w:r w:rsidR="00C576C8" w:rsidRPr="005355D5">
        <w:rPr>
          <w:rFonts w:ascii="Times New Roman" w:hAnsi="Times New Roman" w:cs="Times New Roman"/>
          <w:sz w:val="24"/>
          <w:szCs w:val="24"/>
        </w:rPr>
        <w:t xml:space="preserve"> priekšlikumus snieguma rezerves </w:t>
      </w:r>
      <w:r w:rsidR="00A73665" w:rsidRPr="005355D5">
        <w:rPr>
          <w:rFonts w:ascii="Times New Roman" w:hAnsi="Times New Roman" w:cs="Times New Roman"/>
          <w:sz w:val="24"/>
          <w:szCs w:val="24"/>
        </w:rPr>
        <w:t xml:space="preserve">un finansējuma atlikumu </w:t>
      </w:r>
      <w:r w:rsidR="00F406E4" w:rsidRPr="005355D5">
        <w:rPr>
          <w:rFonts w:ascii="Times New Roman" w:hAnsi="Times New Roman" w:cs="Times New Roman"/>
          <w:sz w:val="24"/>
          <w:szCs w:val="24"/>
        </w:rPr>
        <w:t>turpmākai izmantošanai</w:t>
      </w:r>
      <w:r w:rsidR="00A73665" w:rsidRPr="005355D5">
        <w:rPr>
          <w:rFonts w:ascii="Times New Roman" w:hAnsi="Times New Roman" w:cs="Times New Roman"/>
          <w:sz w:val="24"/>
          <w:szCs w:val="24"/>
        </w:rPr>
        <w:t>, kā arī</w:t>
      </w:r>
      <w:r w:rsidR="00F406E4" w:rsidRPr="005355D5">
        <w:rPr>
          <w:rFonts w:ascii="Times New Roman" w:hAnsi="Times New Roman" w:cs="Times New Roman"/>
          <w:sz w:val="24"/>
          <w:szCs w:val="24"/>
        </w:rPr>
        <w:t xml:space="preserve"> </w:t>
      </w:r>
      <w:r w:rsidR="00C576C8" w:rsidRPr="005355D5">
        <w:rPr>
          <w:rFonts w:ascii="Times New Roman" w:hAnsi="Times New Roman" w:cs="Times New Roman"/>
          <w:sz w:val="24"/>
          <w:szCs w:val="24"/>
        </w:rPr>
        <w:t xml:space="preserve">identificētajām papildu finanšu vajadzībām, </w:t>
      </w:r>
      <w:r w:rsidR="003925E9" w:rsidRPr="005355D5">
        <w:rPr>
          <w:rFonts w:ascii="Times New Roman" w:hAnsi="Times New Roman" w:cs="Times New Roman"/>
          <w:sz w:val="24"/>
          <w:szCs w:val="24"/>
        </w:rPr>
        <w:t xml:space="preserve">t.sk. </w:t>
      </w:r>
      <w:r w:rsidR="00C576C8" w:rsidRPr="005355D5">
        <w:rPr>
          <w:rFonts w:ascii="Times New Roman" w:hAnsi="Times New Roman" w:cs="Times New Roman"/>
          <w:sz w:val="24"/>
          <w:szCs w:val="24"/>
        </w:rPr>
        <w:t>ņemot vērā šādus aspektus:</w:t>
      </w:r>
    </w:p>
    <w:p w14:paraId="519A243F" w14:textId="24E4A60E" w:rsidR="007A7CB0" w:rsidRDefault="007A7CB0" w:rsidP="00915BDC">
      <w:pPr>
        <w:pStyle w:val="ListParagraph"/>
        <w:numPr>
          <w:ilvl w:val="0"/>
          <w:numId w:val="8"/>
        </w:numPr>
        <w:spacing w:line="276" w:lineRule="auto"/>
        <w:jc w:val="both"/>
        <w:rPr>
          <w:rFonts w:ascii="Times New Roman" w:hAnsi="Times New Roman" w:cs="Times New Roman"/>
          <w:sz w:val="24"/>
          <w:szCs w:val="24"/>
        </w:rPr>
      </w:pPr>
      <w:r w:rsidRPr="005355D5">
        <w:rPr>
          <w:rFonts w:ascii="Times New Roman" w:hAnsi="Times New Roman" w:cs="Times New Roman"/>
          <w:sz w:val="24"/>
          <w:szCs w:val="24"/>
        </w:rPr>
        <w:t xml:space="preserve">īstenošanā un vērtēšanā esošajos projektos </w:t>
      </w:r>
      <w:proofErr w:type="spellStart"/>
      <w:r w:rsidRPr="005355D5">
        <w:rPr>
          <w:rFonts w:ascii="Times New Roman" w:hAnsi="Times New Roman" w:cs="Times New Roman"/>
          <w:sz w:val="24"/>
          <w:szCs w:val="24"/>
        </w:rPr>
        <w:t>priekšfinansētais</w:t>
      </w:r>
      <w:proofErr w:type="spellEnd"/>
      <w:r w:rsidRPr="005355D5">
        <w:rPr>
          <w:rFonts w:ascii="Times New Roman" w:hAnsi="Times New Roman" w:cs="Times New Roman"/>
          <w:sz w:val="24"/>
          <w:szCs w:val="24"/>
        </w:rPr>
        <w:t xml:space="preserve"> snieguma rezerves finansējums </w:t>
      </w:r>
      <w:r w:rsidRPr="00D91CA3">
        <w:rPr>
          <w:rFonts w:ascii="Times New Roman" w:hAnsi="Times New Roman" w:cs="Times New Roman"/>
          <w:sz w:val="24"/>
          <w:szCs w:val="24"/>
        </w:rPr>
        <w:t xml:space="preserve">– </w:t>
      </w:r>
      <w:r w:rsidR="00851D33" w:rsidRPr="00D91CA3">
        <w:rPr>
          <w:rFonts w:ascii="Times New Roman" w:hAnsi="Times New Roman" w:cs="Times New Roman"/>
          <w:sz w:val="24"/>
          <w:szCs w:val="24"/>
        </w:rPr>
        <w:t>55</w:t>
      </w:r>
      <w:r w:rsidR="002609C5" w:rsidRPr="00D91CA3">
        <w:rPr>
          <w:rFonts w:ascii="Times New Roman" w:hAnsi="Times New Roman" w:cs="Times New Roman"/>
          <w:sz w:val="24"/>
          <w:szCs w:val="24"/>
        </w:rPr>
        <w:t>,</w:t>
      </w:r>
      <w:r w:rsidR="00851D33" w:rsidRPr="00D91CA3">
        <w:rPr>
          <w:rFonts w:ascii="Times New Roman" w:hAnsi="Times New Roman" w:cs="Times New Roman"/>
          <w:sz w:val="24"/>
          <w:szCs w:val="24"/>
        </w:rPr>
        <w:t>4</w:t>
      </w:r>
      <w:r w:rsidR="000622AB">
        <w:rPr>
          <w:rFonts w:ascii="Times New Roman" w:hAnsi="Times New Roman" w:cs="Times New Roman"/>
          <w:sz w:val="24"/>
          <w:szCs w:val="24"/>
        </w:rPr>
        <w:t> </w:t>
      </w:r>
      <w:r w:rsidR="002609C5" w:rsidRPr="00D91CA3">
        <w:rPr>
          <w:rFonts w:ascii="Times New Roman" w:hAnsi="Times New Roman" w:cs="Times New Roman"/>
          <w:sz w:val="24"/>
          <w:szCs w:val="24"/>
        </w:rPr>
        <w:t>milj.</w:t>
      </w:r>
      <w:r w:rsidR="000622AB">
        <w:rPr>
          <w:rFonts w:ascii="Times New Roman" w:hAnsi="Times New Roman" w:cs="Times New Roman"/>
          <w:sz w:val="24"/>
          <w:szCs w:val="24"/>
        </w:rPr>
        <w:t> </w:t>
      </w:r>
      <w:proofErr w:type="spellStart"/>
      <w:r w:rsidR="007B7A0A" w:rsidRPr="007B7A0A">
        <w:rPr>
          <w:rFonts w:ascii="Times New Roman" w:hAnsi="Times New Roman" w:cs="Times New Roman"/>
          <w:i/>
          <w:sz w:val="24"/>
          <w:szCs w:val="24"/>
        </w:rPr>
        <w:t>euro</w:t>
      </w:r>
      <w:proofErr w:type="spellEnd"/>
      <w:r w:rsidRPr="00D91CA3">
        <w:rPr>
          <w:rStyle w:val="FootnoteReference"/>
          <w:rFonts w:ascii="Times New Roman" w:hAnsi="Times New Roman" w:cs="Times New Roman"/>
          <w:sz w:val="24"/>
          <w:szCs w:val="24"/>
        </w:rPr>
        <w:footnoteReference w:id="25"/>
      </w:r>
      <w:r w:rsidR="00A813C4" w:rsidRPr="00D91CA3">
        <w:rPr>
          <w:rFonts w:ascii="Times New Roman" w:hAnsi="Times New Roman" w:cs="Times New Roman"/>
          <w:sz w:val="24"/>
          <w:szCs w:val="24"/>
        </w:rPr>
        <w:t>;</w:t>
      </w:r>
    </w:p>
    <w:p w14:paraId="3945770B" w14:textId="0B4AF8A8" w:rsidR="002609C5" w:rsidRPr="002609C5" w:rsidRDefault="002609C5" w:rsidP="000622AB">
      <w:pPr>
        <w:pStyle w:val="ListParagraph"/>
        <w:numPr>
          <w:ilvl w:val="0"/>
          <w:numId w:val="8"/>
        </w:numPr>
        <w:spacing w:line="276" w:lineRule="auto"/>
        <w:jc w:val="both"/>
        <w:rPr>
          <w:rFonts w:ascii="Times New Roman" w:hAnsi="Times New Roman" w:cs="Times New Roman"/>
          <w:sz w:val="24"/>
          <w:szCs w:val="24"/>
        </w:rPr>
      </w:pPr>
      <w:r w:rsidRPr="002609C5">
        <w:rPr>
          <w:rFonts w:ascii="Times New Roman" w:hAnsi="Times New Roman" w:cs="Times New Roman"/>
          <w:sz w:val="24"/>
          <w:szCs w:val="24"/>
        </w:rPr>
        <w:t>nacionālā līmenī identificētās papildu vajadzības, par kurām tikuši pieņemti MK lēmumi;</w:t>
      </w:r>
    </w:p>
    <w:p w14:paraId="66B6AA74" w14:textId="68CA047D" w:rsidR="00DD7664" w:rsidRPr="005355D5" w:rsidRDefault="007C0369" w:rsidP="00915BDC">
      <w:pPr>
        <w:pStyle w:val="ListParagraph"/>
        <w:numPr>
          <w:ilvl w:val="0"/>
          <w:numId w:val="8"/>
        </w:numPr>
        <w:spacing w:line="276" w:lineRule="auto"/>
        <w:jc w:val="both"/>
        <w:rPr>
          <w:rFonts w:ascii="Times New Roman" w:hAnsi="Times New Roman" w:cs="Times New Roman"/>
          <w:sz w:val="24"/>
          <w:szCs w:val="24"/>
        </w:rPr>
      </w:pPr>
      <w:r w:rsidRPr="006245ED">
        <w:rPr>
          <w:rFonts w:ascii="Times New Roman" w:hAnsi="Times New Roman" w:cs="Times New Roman"/>
          <w:sz w:val="24"/>
          <w:szCs w:val="24"/>
        </w:rPr>
        <w:t>d</w:t>
      </w:r>
      <w:r w:rsidR="00DD7664" w:rsidRPr="006245ED">
        <w:rPr>
          <w:rFonts w:ascii="Times New Roman" w:hAnsi="Times New Roman" w:cs="Times New Roman"/>
          <w:sz w:val="24"/>
          <w:szCs w:val="24"/>
        </w:rPr>
        <w:t>arbības programmā noteikto</w:t>
      </w:r>
      <w:r w:rsidR="00AF3140" w:rsidRPr="006245ED">
        <w:rPr>
          <w:rFonts w:ascii="Times New Roman" w:hAnsi="Times New Roman" w:cs="Times New Roman"/>
          <w:sz w:val="24"/>
          <w:szCs w:val="24"/>
        </w:rPr>
        <w:t xml:space="preserve"> snieguma ietvara</w:t>
      </w:r>
      <w:r w:rsidRPr="006245ED">
        <w:rPr>
          <w:rFonts w:ascii="Times New Roman" w:hAnsi="Times New Roman" w:cs="Times New Roman"/>
          <w:sz w:val="24"/>
          <w:szCs w:val="24"/>
        </w:rPr>
        <w:t xml:space="preserve"> </w:t>
      </w:r>
      <w:r w:rsidR="00DD7664" w:rsidRPr="005355D5">
        <w:rPr>
          <w:rFonts w:ascii="Times New Roman" w:hAnsi="Times New Roman" w:cs="Times New Roman"/>
          <w:sz w:val="24"/>
          <w:szCs w:val="24"/>
        </w:rPr>
        <w:t>finanšu un uzraudzības rādītāju izpilde</w:t>
      </w:r>
      <w:r w:rsidR="0028730C" w:rsidRPr="005355D5">
        <w:rPr>
          <w:rFonts w:ascii="Times New Roman" w:hAnsi="Times New Roman" w:cs="Times New Roman"/>
          <w:sz w:val="24"/>
          <w:szCs w:val="24"/>
        </w:rPr>
        <w:t xml:space="preserve"> (</w:t>
      </w:r>
      <w:r w:rsidRPr="005355D5">
        <w:rPr>
          <w:rFonts w:ascii="Times New Roman" w:hAnsi="Times New Roman" w:cs="Times New Roman"/>
          <w:sz w:val="24"/>
          <w:szCs w:val="24"/>
        </w:rPr>
        <w:t xml:space="preserve">t.sk. </w:t>
      </w:r>
      <w:r w:rsidR="0028730C" w:rsidRPr="005355D5">
        <w:rPr>
          <w:rFonts w:ascii="Times New Roman" w:hAnsi="Times New Roman" w:cs="Times New Roman"/>
          <w:sz w:val="24"/>
          <w:szCs w:val="24"/>
        </w:rPr>
        <w:t>gadījumi, kad darbības programmā noteiktie rādītāji jau ir izpildīti vai tos plānots izpildīt noslēgto līgumu par projektu īstenošanu ietvaros bez snieguma rezerves finansējuma)</w:t>
      </w:r>
      <w:r w:rsidR="00DD7664" w:rsidRPr="005355D5">
        <w:rPr>
          <w:rFonts w:ascii="Times New Roman" w:hAnsi="Times New Roman" w:cs="Times New Roman"/>
          <w:sz w:val="24"/>
          <w:szCs w:val="24"/>
        </w:rPr>
        <w:t>;</w:t>
      </w:r>
    </w:p>
    <w:p w14:paraId="1947DB4D" w14:textId="31660C54" w:rsidR="002052E8" w:rsidRPr="005355D5" w:rsidRDefault="002052E8" w:rsidP="00915BDC">
      <w:pPr>
        <w:pStyle w:val="ListParagraph"/>
        <w:numPr>
          <w:ilvl w:val="0"/>
          <w:numId w:val="8"/>
        </w:numPr>
        <w:spacing w:line="276" w:lineRule="auto"/>
        <w:jc w:val="both"/>
        <w:rPr>
          <w:rFonts w:ascii="Times New Roman" w:hAnsi="Times New Roman" w:cs="Times New Roman"/>
          <w:sz w:val="24"/>
          <w:szCs w:val="24"/>
        </w:rPr>
      </w:pPr>
      <w:r w:rsidRPr="005355D5">
        <w:rPr>
          <w:rFonts w:ascii="Times New Roman" w:hAnsi="Times New Roman" w:cs="Times New Roman"/>
          <w:sz w:val="24"/>
          <w:szCs w:val="24"/>
        </w:rPr>
        <w:t>SAM/pasākumu ieviešanas progress, to ietvaros īstenoto projektu īstenošanas stadija;</w:t>
      </w:r>
    </w:p>
    <w:p w14:paraId="7E26D4A4" w14:textId="52362E6B" w:rsidR="0053006D" w:rsidRPr="0033214E" w:rsidRDefault="00DD7664" w:rsidP="00915BDC">
      <w:pPr>
        <w:pStyle w:val="ListParagraph"/>
        <w:numPr>
          <w:ilvl w:val="0"/>
          <w:numId w:val="8"/>
        </w:numPr>
        <w:spacing w:line="276" w:lineRule="auto"/>
        <w:jc w:val="both"/>
        <w:rPr>
          <w:rFonts w:ascii="Times New Roman" w:hAnsi="Times New Roman" w:cs="Times New Roman"/>
          <w:sz w:val="24"/>
          <w:szCs w:val="24"/>
        </w:rPr>
      </w:pPr>
      <w:r w:rsidRPr="005355D5">
        <w:rPr>
          <w:rFonts w:ascii="Times New Roman" w:hAnsi="Times New Roman" w:cs="Times New Roman"/>
          <w:sz w:val="24"/>
          <w:szCs w:val="24"/>
        </w:rPr>
        <w:t>Eiropas Savienības tiesisk</w:t>
      </w:r>
      <w:r w:rsidR="00227E6C" w:rsidRPr="005355D5">
        <w:rPr>
          <w:rFonts w:ascii="Times New Roman" w:hAnsi="Times New Roman" w:cs="Times New Roman"/>
          <w:sz w:val="24"/>
          <w:szCs w:val="24"/>
        </w:rPr>
        <w:t>aj</w:t>
      </w:r>
      <w:r w:rsidRPr="005355D5">
        <w:rPr>
          <w:rFonts w:ascii="Times New Roman" w:hAnsi="Times New Roman" w:cs="Times New Roman"/>
          <w:sz w:val="24"/>
          <w:szCs w:val="24"/>
        </w:rPr>
        <w:t>ā regulējumā noteiktās tematiskās koncentrācijas</w:t>
      </w:r>
      <w:r w:rsidRPr="0033214E">
        <w:rPr>
          <w:rStyle w:val="FootnoteReference"/>
          <w:rFonts w:ascii="Times New Roman" w:hAnsi="Times New Roman" w:cs="Times New Roman"/>
          <w:sz w:val="24"/>
          <w:szCs w:val="24"/>
        </w:rPr>
        <w:footnoteReference w:id="26"/>
      </w:r>
      <w:r w:rsidRPr="0033214E">
        <w:rPr>
          <w:rFonts w:ascii="Times New Roman" w:hAnsi="Times New Roman" w:cs="Times New Roman"/>
          <w:sz w:val="24"/>
          <w:szCs w:val="24"/>
        </w:rPr>
        <w:t xml:space="preserve"> prasības</w:t>
      </w:r>
      <w:r w:rsidR="002052E8" w:rsidRPr="0033214E">
        <w:rPr>
          <w:rFonts w:ascii="Times New Roman" w:hAnsi="Times New Roman" w:cs="Times New Roman"/>
          <w:sz w:val="24"/>
          <w:szCs w:val="24"/>
        </w:rPr>
        <w:t>.</w:t>
      </w:r>
    </w:p>
    <w:p w14:paraId="69CE669E" w14:textId="2853A417" w:rsidR="002609C5" w:rsidRPr="00DB2596" w:rsidRDefault="006F57DE" w:rsidP="00DB2596">
      <w:pPr>
        <w:pStyle w:val="ListParagraph"/>
        <w:numPr>
          <w:ilvl w:val="0"/>
          <w:numId w:val="1"/>
        </w:numPr>
        <w:spacing w:line="276" w:lineRule="auto"/>
        <w:ind w:left="567" w:hanging="567"/>
        <w:jc w:val="both"/>
        <w:rPr>
          <w:rFonts w:ascii="Times New Roman" w:eastAsia="Times New Roman" w:hAnsi="Times New Roman" w:cs="Times New Roman"/>
          <w:b/>
          <w:bCs/>
          <w:color w:val="000000"/>
          <w:sz w:val="24"/>
          <w:szCs w:val="24"/>
          <w:lang w:eastAsia="lv-LV"/>
        </w:rPr>
      </w:pPr>
      <w:r w:rsidRPr="006245ED">
        <w:rPr>
          <w:rFonts w:ascii="Times New Roman" w:hAnsi="Times New Roman" w:cs="Times New Roman"/>
          <w:sz w:val="24"/>
          <w:szCs w:val="24"/>
        </w:rPr>
        <w:t>Vienlaikus, līdz ar priekšlikumiem snieguma rezerves izmantošanai, tikušas pieteiktas arī papildu finansējuma vajadzības nozarēm prioritāru jautājumu risināšanai, kas pārsniedz pieejamo snieguma rezerves finan</w:t>
      </w:r>
      <w:r w:rsidR="002D52B9">
        <w:rPr>
          <w:rFonts w:ascii="Times New Roman" w:hAnsi="Times New Roman" w:cs="Times New Roman"/>
          <w:sz w:val="24"/>
          <w:szCs w:val="24"/>
        </w:rPr>
        <w:t>sējumu un finansējuma</w:t>
      </w:r>
      <w:r w:rsidRPr="006245ED">
        <w:rPr>
          <w:rFonts w:ascii="Times New Roman" w:hAnsi="Times New Roman" w:cs="Times New Roman"/>
          <w:sz w:val="24"/>
          <w:szCs w:val="24"/>
        </w:rPr>
        <w:t xml:space="preserve"> atlikumus</w:t>
      </w:r>
      <w:r w:rsidR="002D52B9">
        <w:rPr>
          <w:rFonts w:ascii="Times New Roman" w:hAnsi="Times New Roman" w:cs="Times New Roman"/>
          <w:sz w:val="24"/>
          <w:szCs w:val="24"/>
        </w:rPr>
        <w:t xml:space="preserve"> (t.sk. potenciālos finansējuma</w:t>
      </w:r>
      <w:r w:rsidR="008E613A" w:rsidRPr="006245ED">
        <w:rPr>
          <w:rFonts w:ascii="Times New Roman" w:hAnsi="Times New Roman" w:cs="Times New Roman"/>
          <w:sz w:val="24"/>
          <w:szCs w:val="24"/>
        </w:rPr>
        <w:t xml:space="preserve"> atlikumus)</w:t>
      </w:r>
      <w:r w:rsidRPr="006245ED">
        <w:rPr>
          <w:rFonts w:ascii="Times New Roman" w:hAnsi="Times New Roman" w:cs="Times New Roman"/>
          <w:sz w:val="24"/>
          <w:szCs w:val="24"/>
        </w:rPr>
        <w:t xml:space="preserve"> – </w:t>
      </w:r>
      <w:r w:rsidRPr="00EF633F">
        <w:rPr>
          <w:rFonts w:ascii="Times New Roman" w:hAnsi="Times New Roman" w:cs="Times New Roman"/>
          <w:sz w:val="24"/>
          <w:szCs w:val="24"/>
        </w:rPr>
        <w:t xml:space="preserve">kopā </w:t>
      </w:r>
      <w:r w:rsidR="00EF633F" w:rsidRPr="00EF633F">
        <w:rPr>
          <w:rFonts w:ascii="Times New Roman" w:eastAsia="Times New Roman" w:hAnsi="Times New Roman" w:cs="Times New Roman"/>
          <w:bCs/>
          <w:color w:val="000000"/>
          <w:sz w:val="24"/>
          <w:szCs w:val="24"/>
          <w:lang w:eastAsia="lv-LV"/>
        </w:rPr>
        <w:t>20</w:t>
      </w:r>
      <w:r w:rsidR="00EF633F">
        <w:rPr>
          <w:rFonts w:ascii="Times New Roman" w:eastAsia="Times New Roman" w:hAnsi="Times New Roman" w:cs="Times New Roman"/>
          <w:bCs/>
          <w:color w:val="000000"/>
          <w:sz w:val="24"/>
          <w:szCs w:val="24"/>
          <w:lang w:eastAsia="lv-LV"/>
        </w:rPr>
        <w:t>9,2</w:t>
      </w:r>
      <w:r w:rsidR="000622AB" w:rsidRPr="00EF633F">
        <w:rPr>
          <w:rFonts w:ascii="Times New Roman" w:eastAsia="Times New Roman" w:hAnsi="Times New Roman" w:cs="Times New Roman"/>
          <w:bCs/>
          <w:color w:val="000000"/>
          <w:sz w:val="24"/>
          <w:szCs w:val="24"/>
          <w:lang w:eastAsia="lv-LV"/>
        </w:rPr>
        <w:t> milj. </w:t>
      </w:r>
      <w:proofErr w:type="spellStart"/>
      <w:r w:rsidR="007B7A0A" w:rsidRPr="00EF633F">
        <w:rPr>
          <w:rFonts w:ascii="Times New Roman" w:hAnsi="Times New Roman" w:cs="Times New Roman"/>
          <w:i/>
          <w:sz w:val="24"/>
          <w:szCs w:val="24"/>
        </w:rPr>
        <w:t>euro</w:t>
      </w:r>
      <w:proofErr w:type="spellEnd"/>
      <w:r w:rsidRPr="00EF633F">
        <w:rPr>
          <w:rFonts w:ascii="Times New Roman" w:hAnsi="Times New Roman" w:cs="Times New Roman"/>
          <w:sz w:val="24"/>
          <w:szCs w:val="24"/>
        </w:rPr>
        <w:t xml:space="preserve"> (detalizētāka</w:t>
      </w:r>
      <w:r w:rsidRPr="0033214E">
        <w:rPr>
          <w:rFonts w:ascii="Times New Roman" w:hAnsi="Times New Roman" w:cs="Times New Roman"/>
          <w:sz w:val="24"/>
          <w:szCs w:val="24"/>
        </w:rPr>
        <w:t xml:space="preserve"> informācija dalījumā pa resoriem </w:t>
      </w:r>
      <w:r w:rsidR="006C4FA7">
        <w:rPr>
          <w:rFonts w:ascii="Times New Roman" w:hAnsi="Times New Roman" w:cs="Times New Roman"/>
          <w:sz w:val="24"/>
          <w:szCs w:val="24"/>
        </w:rPr>
        <w:t>Tabulā N</w:t>
      </w:r>
      <w:r w:rsidR="00D80124">
        <w:rPr>
          <w:rFonts w:ascii="Times New Roman" w:hAnsi="Times New Roman" w:cs="Times New Roman"/>
          <w:sz w:val="24"/>
          <w:szCs w:val="24"/>
        </w:rPr>
        <w:t>r.2</w:t>
      </w:r>
      <w:r w:rsidRPr="0033214E">
        <w:rPr>
          <w:rFonts w:ascii="Times New Roman" w:hAnsi="Times New Roman" w:cs="Times New Roman"/>
          <w:sz w:val="24"/>
          <w:szCs w:val="24"/>
        </w:rPr>
        <w:t xml:space="preserve">). </w:t>
      </w:r>
    </w:p>
    <w:p w14:paraId="6EB5DB1D" w14:textId="77777777" w:rsidR="00EF633F" w:rsidRDefault="00EF633F" w:rsidP="00915BDC">
      <w:pPr>
        <w:tabs>
          <w:tab w:val="left" w:pos="2880"/>
        </w:tabs>
        <w:spacing w:line="276" w:lineRule="auto"/>
        <w:rPr>
          <w:rFonts w:cs="Times New Roman"/>
          <w:b/>
          <w:i/>
          <w:sz w:val="20"/>
          <w:szCs w:val="20"/>
        </w:rPr>
      </w:pPr>
    </w:p>
    <w:p w14:paraId="0D3EDF13" w14:textId="77777777" w:rsidR="00EF633F" w:rsidRDefault="00EF633F" w:rsidP="00915BDC">
      <w:pPr>
        <w:tabs>
          <w:tab w:val="left" w:pos="2880"/>
        </w:tabs>
        <w:spacing w:line="276" w:lineRule="auto"/>
        <w:rPr>
          <w:rFonts w:cs="Times New Roman"/>
          <w:b/>
          <w:i/>
          <w:sz w:val="20"/>
          <w:szCs w:val="20"/>
        </w:rPr>
      </w:pPr>
    </w:p>
    <w:p w14:paraId="726B2E00" w14:textId="11E159CE" w:rsidR="006F57DE" w:rsidRDefault="00A05F68" w:rsidP="00915BDC">
      <w:pPr>
        <w:tabs>
          <w:tab w:val="left" w:pos="2880"/>
        </w:tabs>
        <w:spacing w:line="276" w:lineRule="auto"/>
        <w:rPr>
          <w:rFonts w:cs="Times New Roman"/>
          <w:i/>
          <w:sz w:val="20"/>
          <w:szCs w:val="20"/>
        </w:rPr>
      </w:pPr>
      <w:r>
        <w:rPr>
          <w:rFonts w:cs="Times New Roman"/>
          <w:b/>
          <w:i/>
          <w:sz w:val="20"/>
          <w:szCs w:val="20"/>
        </w:rPr>
        <w:lastRenderedPageBreak/>
        <w:t>T</w:t>
      </w:r>
      <w:r w:rsidR="006F57DE" w:rsidRPr="00A05F68">
        <w:rPr>
          <w:rFonts w:cs="Times New Roman"/>
          <w:b/>
          <w:i/>
          <w:sz w:val="20"/>
          <w:szCs w:val="20"/>
        </w:rPr>
        <w:t>abula</w:t>
      </w:r>
      <w:r w:rsidR="00D80124">
        <w:rPr>
          <w:rFonts w:cs="Times New Roman"/>
          <w:b/>
          <w:i/>
          <w:sz w:val="20"/>
          <w:szCs w:val="20"/>
        </w:rPr>
        <w:t xml:space="preserve"> Nr.2</w:t>
      </w:r>
      <w:r w:rsidR="006F57DE" w:rsidRPr="00A05F68">
        <w:rPr>
          <w:rFonts w:cs="Times New Roman"/>
          <w:b/>
          <w:i/>
          <w:sz w:val="20"/>
          <w:szCs w:val="20"/>
        </w:rPr>
        <w:t xml:space="preserve">. </w:t>
      </w:r>
      <w:r w:rsidR="006F57DE" w:rsidRPr="00A05F68">
        <w:rPr>
          <w:rFonts w:cs="Times New Roman"/>
          <w:i/>
          <w:sz w:val="20"/>
          <w:szCs w:val="20"/>
        </w:rPr>
        <w:t>Atbildīgo iestāžu pieteiktās papildu vajadzības.</w:t>
      </w:r>
    </w:p>
    <w:tbl>
      <w:tblPr>
        <w:tblStyle w:val="TableGrid"/>
        <w:tblW w:w="0" w:type="auto"/>
        <w:tblLook w:val="04A0" w:firstRow="1" w:lastRow="0" w:firstColumn="1" w:lastColumn="0" w:noHBand="0" w:noVBand="1"/>
      </w:tblPr>
      <w:tblGrid>
        <w:gridCol w:w="961"/>
        <w:gridCol w:w="1372"/>
        <w:gridCol w:w="6728"/>
      </w:tblGrid>
      <w:tr w:rsidR="005B253F" w14:paraId="6EB007F6" w14:textId="77777777" w:rsidTr="00800270">
        <w:trPr>
          <w:tblHeader/>
        </w:trPr>
        <w:tc>
          <w:tcPr>
            <w:tcW w:w="961" w:type="dxa"/>
            <w:shd w:val="clear" w:color="auto" w:fill="D9D9D9" w:themeFill="background1" w:themeFillShade="D9"/>
            <w:vAlign w:val="center"/>
          </w:tcPr>
          <w:p w14:paraId="7AEB8181" w14:textId="104E1DA5" w:rsidR="005B253F" w:rsidRDefault="005B253F" w:rsidP="005B253F">
            <w:pPr>
              <w:tabs>
                <w:tab w:val="left" w:pos="2880"/>
              </w:tabs>
              <w:spacing w:line="276" w:lineRule="auto"/>
              <w:jc w:val="center"/>
              <w:rPr>
                <w:i/>
                <w:sz w:val="20"/>
                <w:szCs w:val="20"/>
              </w:rPr>
            </w:pPr>
            <w:r>
              <w:rPr>
                <w:rFonts w:eastAsia="Times New Roman"/>
                <w:b/>
                <w:bCs/>
                <w:color w:val="000000"/>
                <w:sz w:val="20"/>
                <w:szCs w:val="20"/>
                <w:lang w:eastAsia="lv-LV"/>
              </w:rPr>
              <w:t>AI</w:t>
            </w:r>
          </w:p>
        </w:tc>
        <w:tc>
          <w:tcPr>
            <w:tcW w:w="1372" w:type="dxa"/>
            <w:shd w:val="clear" w:color="auto" w:fill="D9D9D9" w:themeFill="background1" w:themeFillShade="D9"/>
            <w:vAlign w:val="center"/>
          </w:tcPr>
          <w:p w14:paraId="37D427E0" w14:textId="1FD3EC01" w:rsidR="005B253F" w:rsidRDefault="005B253F" w:rsidP="005B253F">
            <w:pPr>
              <w:tabs>
                <w:tab w:val="left" w:pos="2880"/>
              </w:tabs>
              <w:spacing w:line="276" w:lineRule="auto"/>
              <w:jc w:val="center"/>
              <w:rPr>
                <w:i/>
                <w:sz w:val="20"/>
                <w:szCs w:val="20"/>
              </w:rPr>
            </w:pPr>
            <w:r w:rsidRPr="002609C5">
              <w:rPr>
                <w:rFonts w:eastAsia="Times New Roman"/>
                <w:b/>
                <w:bCs/>
                <w:color w:val="000000"/>
                <w:sz w:val="20"/>
                <w:szCs w:val="20"/>
                <w:lang w:eastAsia="lv-LV"/>
              </w:rPr>
              <w:t>Pieprasījumu apkopojums, EUR</w:t>
            </w:r>
          </w:p>
        </w:tc>
        <w:tc>
          <w:tcPr>
            <w:tcW w:w="6728" w:type="dxa"/>
            <w:shd w:val="clear" w:color="auto" w:fill="D9D9D9" w:themeFill="background1" w:themeFillShade="D9"/>
            <w:vAlign w:val="center"/>
          </w:tcPr>
          <w:p w14:paraId="610A9982" w14:textId="2011AA86" w:rsidR="005B253F" w:rsidRDefault="005B253F" w:rsidP="005B253F">
            <w:pPr>
              <w:tabs>
                <w:tab w:val="left" w:pos="2880"/>
              </w:tabs>
              <w:spacing w:line="276" w:lineRule="auto"/>
              <w:jc w:val="center"/>
              <w:rPr>
                <w:i/>
                <w:sz w:val="20"/>
                <w:szCs w:val="20"/>
              </w:rPr>
            </w:pPr>
            <w:r w:rsidRPr="002609C5">
              <w:rPr>
                <w:rFonts w:eastAsia="Times New Roman"/>
                <w:b/>
                <w:bCs/>
                <w:color w:val="000000"/>
                <w:sz w:val="20"/>
                <w:szCs w:val="20"/>
                <w:lang w:eastAsia="lv-LV"/>
              </w:rPr>
              <w:t>Nozaru prioritārās vajadzības</w:t>
            </w:r>
          </w:p>
        </w:tc>
      </w:tr>
      <w:tr w:rsidR="005B253F" w14:paraId="6AB833A4" w14:textId="77777777" w:rsidTr="00800270">
        <w:tc>
          <w:tcPr>
            <w:tcW w:w="961" w:type="dxa"/>
            <w:vAlign w:val="center"/>
          </w:tcPr>
          <w:p w14:paraId="722E4C3E" w14:textId="7CF58715" w:rsidR="005B253F" w:rsidRDefault="005B253F" w:rsidP="005B253F">
            <w:pPr>
              <w:tabs>
                <w:tab w:val="left" w:pos="2880"/>
              </w:tabs>
              <w:spacing w:line="276" w:lineRule="auto"/>
              <w:jc w:val="center"/>
              <w:rPr>
                <w:i/>
                <w:sz w:val="20"/>
                <w:szCs w:val="20"/>
              </w:rPr>
            </w:pPr>
            <w:r w:rsidRPr="002609C5">
              <w:rPr>
                <w:rFonts w:eastAsia="Times New Roman"/>
                <w:bCs/>
                <w:color w:val="000000"/>
                <w:sz w:val="20"/>
                <w:szCs w:val="20"/>
                <w:lang w:eastAsia="lv-LV"/>
              </w:rPr>
              <w:t>VARAM</w:t>
            </w:r>
          </w:p>
        </w:tc>
        <w:tc>
          <w:tcPr>
            <w:tcW w:w="1372" w:type="dxa"/>
            <w:vAlign w:val="center"/>
          </w:tcPr>
          <w:p w14:paraId="752FEBAB" w14:textId="709C09E2" w:rsidR="005B253F" w:rsidRPr="005B253F" w:rsidRDefault="005B253F" w:rsidP="005B253F">
            <w:pPr>
              <w:tabs>
                <w:tab w:val="left" w:pos="2880"/>
              </w:tabs>
              <w:spacing w:line="276" w:lineRule="auto"/>
              <w:jc w:val="right"/>
              <w:rPr>
                <w:sz w:val="20"/>
                <w:szCs w:val="20"/>
              </w:rPr>
            </w:pPr>
            <w:r w:rsidRPr="005B253F">
              <w:rPr>
                <w:sz w:val="20"/>
                <w:szCs w:val="20"/>
              </w:rPr>
              <w:t>96 968 609</w:t>
            </w:r>
          </w:p>
        </w:tc>
        <w:tc>
          <w:tcPr>
            <w:tcW w:w="6728" w:type="dxa"/>
          </w:tcPr>
          <w:p w14:paraId="240AD20E" w14:textId="0FC58A69" w:rsidR="005B253F" w:rsidRPr="003E70CE" w:rsidRDefault="005B253F" w:rsidP="00173C54">
            <w:pPr>
              <w:pStyle w:val="ListParagraph"/>
              <w:numPr>
                <w:ilvl w:val="0"/>
                <w:numId w:val="11"/>
              </w:numPr>
              <w:spacing w:after="0" w:line="240" w:lineRule="auto"/>
              <w:jc w:val="both"/>
              <w:rPr>
                <w:rFonts w:ascii="Times New Roman" w:eastAsia="Times New Roman" w:hAnsi="Times New Roman"/>
                <w:bCs/>
                <w:color w:val="000000"/>
                <w:sz w:val="20"/>
                <w:szCs w:val="20"/>
                <w:lang w:eastAsia="lv-LV"/>
              </w:rPr>
            </w:pPr>
            <w:r w:rsidRPr="002609C5">
              <w:rPr>
                <w:rFonts w:ascii="Times New Roman" w:eastAsia="Times New Roman" w:hAnsi="Times New Roman"/>
                <w:bCs/>
                <w:color w:val="000000"/>
                <w:sz w:val="20"/>
                <w:szCs w:val="20"/>
                <w:lang w:eastAsia="lv-LV"/>
              </w:rPr>
              <w:t xml:space="preserve">3.3.1.SAM “Publiskā infrastruktūra uzņēmējdarbībai” 2.kārta </w:t>
            </w:r>
            <w:r w:rsidR="00800270">
              <w:rPr>
                <w:rFonts w:ascii="Times New Roman" w:eastAsia="Times New Roman" w:hAnsi="Times New Roman"/>
                <w:bCs/>
                <w:color w:val="000000"/>
                <w:sz w:val="20"/>
                <w:szCs w:val="20"/>
                <w:lang w:eastAsia="lv-LV"/>
              </w:rPr>
              <w:br/>
            </w:r>
            <w:r w:rsidRPr="002609C5">
              <w:rPr>
                <w:rFonts w:ascii="Times New Roman" w:eastAsia="Times New Roman" w:hAnsi="Times New Roman"/>
                <w:bCs/>
                <w:color w:val="000000"/>
                <w:sz w:val="20"/>
                <w:szCs w:val="20"/>
                <w:lang w:eastAsia="lv-LV"/>
              </w:rPr>
              <w:t xml:space="preserve">(21) </w:t>
            </w:r>
            <w:r w:rsidR="00800270">
              <w:rPr>
                <w:rFonts w:ascii="Times New Roman" w:eastAsia="Times New Roman" w:hAnsi="Times New Roman"/>
                <w:bCs/>
                <w:color w:val="000000"/>
                <w:sz w:val="20"/>
                <w:szCs w:val="20"/>
                <w:lang w:eastAsia="lv-LV"/>
              </w:rPr>
              <w:t>– 24,7 </w:t>
            </w:r>
            <w:r w:rsidRPr="003E70CE">
              <w:rPr>
                <w:rFonts w:ascii="Times New Roman" w:eastAsia="Times New Roman" w:hAnsi="Times New Roman"/>
                <w:bCs/>
                <w:color w:val="000000"/>
                <w:sz w:val="20"/>
                <w:szCs w:val="20"/>
                <w:lang w:eastAsia="lv-LV"/>
              </w:rPr>
              <w:t xml:space="preserve">milj. </w:t>
            </w:r>
            <w:proofErr w:type="spellStart"/>
            <w:r w:rsidR="007B7A0A" w:rsidRPr="003E70CE">
              <w:rPr>
                <w:rFonts w:ascii="Times New Roman" w:eastAsia="Times New Roman" w:hAnsi="Times New Roman"/>
                <w:bCs/>
                <w:i/>
                <w:color w:val="000000"/>
                <w:sz w:val="20"/>
                <w:szCs w:val="20"/>
                <w:lang w:eastAsia="lv-LV"/>
              </w:rPr>
              <w:t>euro</w:t>
            </w:r>
            <w:proofErr w:type="spellEnd"/>
          </w:p>
          <w:p w14:paraId="4E2934C2" w14:textId="556CBD8E" w:rsidR="005B253F" w:rsidRPr="002609C5" w:rsidRDefault="005B253F" w:rsidP="00173C54">
            <w:pPr>
              <w:pStyle w:val="ListParagraph"/>
              <w:numPr>
                <w:ilvl w:val="0"/>
                <w:numId w:val="11"/>
              </w:numPr>
              <w:spacing w:after="0" w:line="240" w:lineRule="auto"/>
              <w:jc w:val="both"/>
              <w:rPr>
                <w:rFonts w:ascii="Times New Roman" w:eastAsia="Times New Roman" w:hAnsi="Times New Roman"/>
                <w:bCs/>
                <w:color w:val="000000"/>
                <w:sz w:val="20"/>
                <w:szCs w:val="20"/>
                <w:lang w:eastAsia="lv-LV"/>
              </w:rPr>
            </w:pPr>
            <w:r w:rsidRPr="002609C5">
              <w:rPr>
                <w:rFonts w:ascii="Times New Roman" w:eastAsia="Times New Roman" w:hAnsi="Times New Roman"/>
                <w:bCs/>
                <w:color w:val="000000"/>
                <w:sz w:val="20"/>
                <w:szCs w:val="20"/>
                <w:lang w:eastAsia="lv-LV"/>
              </w:rPr>
              <w:t xml:space="preserve">4.2.2.SAM “Pašvaldību ēku energoefektivitāte”, jauna 3.kārta </w:t>
            </w:r>
            <w:r w:rsidR="00800270">
              <w:rPr>
                <w:rFonts w:ascii="Times New Roman" w:eastAsia="Times New Roman" w:hAnsi="Times New Roman"/>
                <w:bCs/>
                <w:color w:val="000000"/>
                <w:sz w:val="20"/>
                <w:szCs w:val="20"/>
                <w:lang w:eastAsia="lv-LV"/>
              </w:rPr>
              <w:br/>
            </w:r>
            <w:r w:rsidRPr="002609C5">
              <w:rPr>
                <w:rFonts w:ascii="Times New Roman" w:eastAsia="Times New Roman" w:hAnsi="Times New Roman"/>
                <w:bCs/>
                <w:color w:val="000000"/>
                <w:sz w:val="20"/>
                <w:szCs w:val="20"/>
                <w:lang w:eastAsia="lv-LV"/>
              </w:rPr>
              <w:t xml:space="preserve">(21) – 15,0 milj. </w:t>
            </w:r>
            <w:proofErr w:type="spellStart"/>
            <w:r w:rsidR="007B7A0A" w:rsidRPr="007B7A0A">
              <w:rPr>
                <w:rFonts w:ascii="Times New Roman" w:eastAsia="Times New Roman" w:hAnsi="Times New Roman"/>
                <w:bCs/>
                <w:i/>
                <w:color w:val="000000"/>
                <w:sz w:val="20"/>
                <w:szCs w:val="20"/>
                <w:lang w:eastAsia="lv-LV"/>
              </w:rPr>
              <w:t>euro</w:t>
            </w:r>
            <w:proofErr w:type="spellEnd"/>
          </w:p>
          <w:p w14:paraId="6FDA8B01" w14:textId="6C7012F9" w:rsidR="005B253F" w:rsidRPr="005B253F" w:rsidRDefault="005B253F" w:rsidP="00173C54">
            <w:pPr>
              <w:pStyle w:val="ListParagraph"/>
              <w:numPr>
                <w:ilvl w:val="0"/>
                <w:numId w:val="11"/>
              </w:numPr>
              <w:spacing w:after="0" w:line="240" w:lineRule="auto"/>
              <w:jc w:val="both"/>
              <w:rPr>
                <w:rFonts w:ascii="Times New Roman" w:eastAsia="Times New Roman" w:hAnsi="Times New Roman"/>
                <w:bCs/>
                <w:color w:val="000000"/>
                <w:sz w:val="20"/>
                <w:szCs w:val="20"/>
                <w:lang w:eastAsia="lv-LV"/>
              </w:rPr>
            </w:pPr>
            <w:r w:rsidRPr="002609C5">
              <w:rPr>
                <w:rFonts w:ascii="Times New Roman" w:eastAsia="Times New Roman" w:hAnsi="Times New Roman"/>
                <w:bCs/>
                <w:color w:val="000000"/>
                <w:sz w:val="20"/>
                <w:szCs w:val="20"/>
                <w:lang w:eastAsia="lv-LV"/>
              </w:rPr>
              <w:t xml:space="preserve">5.2.1.2.pasākuma “Atkritumu pārstrāde” 3.kārta – 27,9 milj. </w:t>
            </w:r>
            <w:proofErr w:type="spellStart"/>
            <w:r w:rsidR="007B7A0A" w:rsidRPr="007B7A0A">
              <w:rPr>
                <w:rFonts w:ascii="Times New Roman" w:eastAsia="Times New Roman" w:hAnsi="Times New Roman"/>
                <w:bCs/>
                <w:i/>
                <w:color w:val="000000"/>
                <w:sz w:val="20"/>
                <w:szCs w:val="20"/>
                <w:lang w:eastAsia="lv-LV"/>
              </w:rPr>
              <w:t>euro</w:t>
            </w:r>
            <w:proofErr w:type="spellEnd"/>
          </w:p>
          <w:p w14:paraId="4A70F6C8" w14:textId="09B7100C" w:rsidR="005B253F" w:rsidRPr="005B253F" w:rsidRDefault="005B253F" w:rsidP="00173C54">
            <w:pPr>
              <w:pStyle w:val="ListParagraph"/>
              <w:numPr>
                <w:ilvl w:val="0"/>
                <w:numId w:val="11"/>
              </w:numPr>
              <w:spacing w:after="0" w:line="240" w:lineRule="auto"/>
              <w:jc w:val="both"/>
              <w:rPr>
                <w:rFonts w:ascii="Times New Roman" w:eastAsia="Times New Roman" w:hAnsi="Times New Roman"/>
                <w:bCs/>
                <w:color w:val="000000"/>
                <w:sz w:val="20"/>
                <w:szCs w:val="20"/>
                <w:lang w:eastAsia="lv-LV"/>
              </w:rPr>
            </w:pPr>
            <w:r w:rsidRPr="005B253F">
              <w:rPr>
                <w:rFonts w:ascii="Times New Roman" w:eastAsia="Times New Roman" w:hAnsi="Times New Roman"/>
                <w:bCs/>
                <w:color w:val="000000"/>
                <w:sz w:val="20"/>
                <w:szCs w:val="20"/>
                <w:lang w:eastAsia="lv-LV"/>
              </w:rPr>
              <w:t>5.6.2.SAM “Degradēto teritoriju atjaunošana”</w:t>
            </w:r>
            <w:r w:rsidR="00800270">
              <w:rPr>
                <w:rFonts w:ascii="Times New Roman" w:eastAsia="Times New Roman" w:hAnsi="Times New Roman"/>
                <w:bCs/>
                <w:color w:val="000000"/>
                <w:sz w:val="20"/>
                <w:szCs w:val="20"/>
                <w:lang w:eastAsia="lv-LV"/>
              </w:rPr>
              <w:t xml:space="preserve"> 3.kārta (Latgale) – 29,5 milj. </w:t>
            </w:r>
            <w:proofErr w:type="spellStart"/>
            <w:r w:rsidR="007B7A0A" w:rsidRPr="007B7A0A">
              <w:rPr>
                <w:rFonts w:ascii="Times New Roman" w:eastAsia="Times New Roman" w:hAnsi="Times New Roman"/>
                <w:bCs/>
                <w:i/>
                <w:color w:val="000000"/>
                <w:sz w:val="20"/>
                <w:szCs w:val="20"/>
                <w:lang w:eastAsia="lv-LV"/>
              </w:rPr>
              <w:t>euro</w:t>
            </w:r>
            <w:proofErr w:type="spellEnd"/>
          </w:p>
        </w:tc>
      </w:tr>
      <w:tr w:rsidR="005B253F" w14:paraId="29FA54E2" w14:textId="77777777" w:rsidTr="00800270">
        <w:tc>
          <w:tcPr>
            <w:tcW w:w="961" w:type="dxa"/>
            <w:vAlign w:val="center"/>
          </w:tcPr>
          <w:p w14:paraId="37A20461" w14:textId="5D307168" w:rsidR="005B253F" w:rsidRDefault="005B253F" w:rsidP="005B253F">
            <w:pPr>
              <w:tabs>
                <w:tab w:val="left" w:pos="2880"/>
              </w:tabs>
              <w:spacing w:line="276" w:lineRule="auto"/>
              <w:jc w:val="center"/>
              <w:rPr>
                <w:i/>
                <w:sz w:val="20"/>
                <w:szCs w:val="20"/>
              </w:rPr>
            </w:pPr>
            <w:r w:rsidRPr="002609C5">
              <w:rPr>
                <w:rFonts w:eastAsia="Times New Roman"/>
                <w:bCs/>
                <w:color w:val="000000"/>
                <w:sz w:val="20"/>
                <w:szCs w:val="20"/>
                <w:lang w:eastAsia="lv-LV"/>
              </w:rPr>
              <w:t>VM</w:t>
            </w:r>
          </w:p>
        </w:tc>
        <w:tc>
          <w:tcPr>
            <w:tcW w:w="1372" w:type="dxa"/>
            <w:vAlign w:val="center"/>
          </w:tcPr>
          <w:p w14:paraId="5D8EC2FF" w14:textId="267B85EA" w:rsidR="005B253F" w:rsidRDefault="005B253F" w:rsidP="005B253F">
            <w:pPr>
              <w:tabs>
                <w:tab w:val="left" w:pos="2880"/>
              </w:tabs>
              <w:spacing w:line="276" w:lineRule="auto"/>
              <w:jc w:val="right"/>
              <w:rPr>
                <w:i/>
                <w:sz w:val="20"/>
                <w:szCs w:val="20"/>
              </w:rPr>
            </w:pPr>
            <w:r w:rsidRPr="002609C5">
              <w:rPr>
                <w:rFonts w:eastAsia="Times New Roman"/>
                <w:bCs/>
                <w:color w:val="000000"/>
                <w:sz w:val="20"/>
                <w:szCs w:val="20"/>
                <w:lang w:eastAsia="lv-LV"/>
              </w:rPr>
              <w:t>74 285 235</w:t>
            </w:r>
          </w:p>
        </w:tc>
        <w:tc>
          <w:tcPr>
            <w:tcW w:w="6728" w:type="dxa"/>
          </w:tcPr>
          <w:p w14:paraId="48DB8E99" w14:textId="38DF173A" w:rsidR="005B253F" w:rsidRDefault="005B253F" w:rsidP="00173C54">
            <w:pPr>
              <w:tabs>
                <w:tab w:val="left" w:pos="2880"/>
              </w:tabs>
              <w:spacing w:line="276" w:lineRule="auto"/>
              <w:jc w:val="both"/>
              <w:rPr>
                <w:i/>
                <w:sz w:val="20"/>
                <w:szCs w:val="20"/>
              </w:rPr>
            </w:pPr>
            <w:r w:rsidRPr="002609C5">
              <w:rPr>
                <w:rFonts w:eastAsia="Times New Roman"/>
                <w:bCs/>
                <w:color w:val="000000"/>
                <w:sz w:val="20"/>
                <w:szCs w:val="20"/>
                <w:lang w:eastAsia="lv-LV"/>
              </w:rPr>
              <w:t xml:space="preserve">9.3.2.SAM “Veselības aprūpes infrastruktūrai” – </w:t>
            </w:r>
            <w:r w:rsidR="00794333">
              <w:rPr>
                <w:rFonts w:eastAsia="Times New Roman"/>
                <w:bCs/>
                <w:color w:val="000000"/>
                <w:sz w:val="20"/>
                <w:szCs w:val="20"/>
                <w:lang w:eastAsia="lv-LV"/>
              </w:rPr>
              <w:t xml:space="preserve">49,9 </w:t>
            </w:r>
            <w:r w:rsidRPr="002609C5">
              <w:rPr>
                <w:rFonts w:eastAsia="Times New Roman"/>
                <w:bCs/>
                <w:color w:val="000000"/>
                <w:sz w:val="20"/>
                <w:szCs w:val="20"/>
                <w:lang w:eastAsia="lv-LV"/>
              </w:rPr>
              <w:t xml:space="preserve">milj. </w:t>
            </w:r>
            <w:proofErr w:type="spellStart"/>
            <w:r w:rsidR="007B7A0A" w:rsidRPr="007B7A0A">
              <w:rPr>
                <w:rFonts w:eastAsia="Times New Roman"/>
                <w:bCs/>
                <w:i/>
                <w:color w:val="000000"/>
                <w:sz w:val="20"/>
                <w:szCs w:val="20"/>
                <w:lang w:eastAsia="lv-LV"/>
              </w:rPr>
              <w:t>euro</w:t>
            </w:r>
            <w:proofErr w:type="spellEnd"/>
          </w:p>
        </w:tc>
      </w:tr>
      <w:tr w:rsidR="005B253F" w14:paraId="31311FCE" w14:textId="77777777" w:rsidTr="00800270">
        <w:tc>
          <w:tcPr>
            <w:tcW w:w="961" w:type="dxa"/>
            <w:vAlign w:val="center"/>
          </w:tcPr>
          <w:p w14:paraId="039718A7" w14:textId="45968FEF" w:rsidR="005B253F" w:rsidRDefault="005B253F" w:rsidP="005B253F">
            <w:pPr>
              <w:tabs>
                <w:tab w:val="left" w:pos="2880"/>
              </w:tabs>
              <w:spacing w:line="276" w:lineRule="auto"/>
              <w:jc w:val="center"/>
              <w:rPr>
                <w:i/>
                <w:sz w:val="20"/>
                <w:szCs w:val="20"/>
              </w:rPr>
            </w:pPr>
            <w:r w:rsidRPr="002609C5">
              <w:rPr>
                <w:rFonts w:eastAsia="Times New Roman"/>
                <w:bCs/>
                <w:color w:val="000000"/>
                <w:sz w:val="20"/>
                <w:szCs w:val="20"/>
                <w:lang w:eastAsia="lv-LV"/>
              </w:rPr>
              <w:t>EM</w:t>
            </w:r>
          </w:p>
        </w:tc>
        <w:tc>
          <w:tcPr>
            <w:tcW w:w="1372" w:type="dxa"/>
            <w:shd w:val="clear" w:color="auto" w:fill="auto"/>
            <w:vAlign w:val="center"/>
          </w:tcPr>
          <w:p w14:paraId="56997B22" w14:textId="3C1CADB3" w:rsidR="005B253F" w:rsidRPr="003E70CE" w:rsidRDefault="005B253F" w:rsidP="005B253F">
            <w:pPr>
              <w:tabs>
                <w:tab w:val="left" w:pos="2880"/>
              </w:tabs>
              <w:spacing w:line="276" w:lineRule="auto"/>
              <w:jc w:val="right"/>
              <w:rPr>
                <w:i/>
                <w:sz w:val="20"/>
                <w:szCs w:val="20"/>
              </w:rPr>
            </w:pPr>
            <w:r w:rsidRPr="003E70CE">
              <w:rPr>
                <w:rFonts w:eastAsia="Times New Roman"/>
                <w:bCs/>
                <w:color w:val="000000"/>
                <w:sz w:val="20"/>
                <w:szCs w:val="20"/>
                <w:lang w:eastAsia="lv-LV"/>
              </w:rPr>
              <w:t>42 323 527</w:t>
            </w:r>
          </w:p>
        </w:tc>
        <w:tc>
          <w:tcPr>
            <w:tcW w:w="6728" w:type="dxa"/>
            <w:shd w:val="clear" w:color="auto" w:fill="auto"/>
          </w:tcPr>
          <w:p w14:paraId="334078C1" w14:textId="579A693C" w:rsidR="005B253F" w:rsidRPr="003E70CE" w:rsidRDefault="005B253F" w:rsidP="00173C54">
            <w:pPr>
              <w:pStyle w:val="ListParagraph"/>
              <w:numPr>
                <w:ilvl w:val="0"/>
                <w:numId w:val="18"/>
              </w:numPr>
              <w:spacing w:after="0" w:line="240" w:lineRule="auto"/>
              <w:ind w:left="316"/>
              <w:jc w:val="both"/>
              <w:rPr>
                <w:rFonts w:ascii="Times New Roman" w:hAnsi="Times New Roman"/>
                <w:bCs/>
                <w:color w:val="000000"/>
                <w:sz w:val="20"/>
                <w:szCs w:val="20"/>
              </w:rPr>
            </w:pPr>
            <w:r w:rsidRPr="003E70CE">
              <w:rPr>
                <w:rFonts w:ascii="Times New Roman" w:hAnsi="Times New Roman"/>
                <w:bCs/>
                <w:color w:val="000000"/>
                <w:sz w:val="20"/>
                <w:szCs w:val="20"/>
              </w:rPr>
              <w:t xml:space="preserve">1.2.1.2.pasākuma “Tehnoloģiju </w:t>
            </w:r>
            <w:proofErr w:type="spellStart"/>
            <w:r w:rsidRPr="003E70CE">
              <w:rPr>
                <w:rFonts w:ascii="Times New Roman" w:hAnsi="Times New Roman"/>
                <w:bCs/>
                <w:color w:val="000000"/>
                <w:sz w:val="20"/>
                <w:szCs w:val="20"/>
              </w:rPr>
              <w:t>pārneses</w:t>
            </w:r>
            <w:proofErr w:type="spellEnd"/>
            <w:r w:rsidRPr="003E70CE">
              <w:rPr>
                <w:rFonts w:ascii="Times New Roman" w:hAnsi="Times New Roman"/>
                <w:bCs/>
                <w:color w:val="000000"/>
                <w:sz w:val="20"/>
                <w:szCs w:val="20"/>
              </w:rPr>
              <w:t xml:space="preserve"> programma” – 5,4 milj. </w:t>
            </w:r>
            <w:proofErr w:type="spellStart"/>
            <w:r w:rsidR="007B7A0A" w:rsidRPr="003E70CE">
              <w:rPr>
                <w:rFonts w:ascii="Times New Roman" w:hAnsi="Times New Roman"/>
                <w:bCs/>
                <w:i/>
                <w:color w:val="000000"/>
                <w:sz w:val="20"/>
                <w:szCs w:val="20"/>
              </w:rPr>
              <w:t>euro</w:t>
            </w:r>
            <w:proofErr w:type="spellEnd"/>
          </w:p>
          <w:p w14:paraId="4B655DF4" w14:textId="5046B94C" w:rsidR="005B253F" w:rsidRPr="003E70CE" w:rsidRDefault="005B253F" w:rsidP="00173C54">
            <w:pPr>
              <w:pStyle w:val="ListParagraph"/>
              <w:numPr>
                <w:ilvl w:val="0"/>
                <w:numId w:val="18"/>
              </w:numPr>
              <w:spacing w:after="0" w:line="240" w:lineRule="auto"/>
              <w:ind w:left="316"/>
              <w:jc w:val="both"/>
              <w:rPr>
                <w:rFonts w:ascii="Times New Roman" w:hAnsi="Times New Roman"/>
                <w:bCs/>
                <w:color w:val="000000"/>
                <w:sz w:val="20"/>
                <w:szCs w:val="20"/>
              </w:rPr>
            </w:pPr>
            <w:r w:rsidRPr="003E70CE">
              <w:rPr>
                <w:rFonts w:ascii="Times New Roman" w:hAnsi="Times New Roman"/>
                <w:bCs/>
                <w:color w:val="000000"/>
                <w:sz w:val="20"/>
                <w:szCs w:val="20"/>
              </w:rPr>
              <w:t>1.2.1.4. un 3.1.1.5. pasākumiem “Ražošanas telpu un infrastruktūras izveidei” - 20 milj</w:t>
            </w:r>
            <w:r w:rsidRPr="003E70CE">
              <w:rPr>
                <w:rFonts w:ascii="Times New Roman" w:hAnsi="Times New Roman"/>
                <w:bCs/>
                <w:i/>
                <w:color w:val="000000"/>
                <w:sz w:val="20"/>
                <w:szCs w:val="20"/>
              </w:rPr>
              <w:t xml:space="preserve">. </w:t>
            </w:r>
            <w:proofErr w:type="spellStart"/>
            <w:r w:rsidR="007B7A0A" w:rsidRPr="003E70CE">
              <w:rPr>
                <w:rFonts w:ascii="Times New Roman" w:hAnsi="Times New Roman"/>
                <w:bCs/>
                <w:i/>
                <w:color w:val="000000"/>
                <w:sz w:val="20"/>
                <w:szCs w:val="20"/>
              </w:rPr>
              <w:t>euro</w:t>
            </w:r>
            <w:proofErr w:type="spellEnd"/>
          </w:p>
          <w:p w14:paraId="182D47FF" w14:textId="53441E5C" w:rsidR="005B253F" w:rsidRPr="003E70CE" w:rsidRDefault="005B253F" w:rsidP="00173C54">
            <w:pPr>
              <w:pStyle w:val="ListParagraph"/>
              <w:numPr>
                <w:ilvl w:val="0"/>
                <w:numId w:val="18"/>
              </w:numPr>
              <w:spacing w:after="0" w:line="240" w:lineRule="auto"/>
              <w:ind w:left="316"/>
              <w:jc w:val="both"/>
              <w:rPr>
                <w:rFonts w:ascii="Times New Roman" w:hAnsi="Times New Roman"/>
                <w:bCs/>
                <w:color w:val="000000"/>
                <w:sz w:val="20"/>
                <w:szCs w:val="20"/>
              </w:rPr>
            </w:pPr>
            <w:r w:rsidRPr="003E70CE">
              <w:rPr>
                <w:rFonts w:ascii="Times New Roman" w:hAnsi="Times New Roman"/>
                <w:bCs/>
                <w:color w:val="000000"/>
                <w:sz w:val="20"/>
                <w:szCs w:val="20"/>
              </w:rPr>
              <w:t>3.2.1.1.pasākums “Klasteru programma” – 2 milj</w:t>
            </w:r>
            <w:r w:rsidRPr="003E70CE">
              <w:rPr>
                <w:rFonts w:ascii="Times New Roman" w:hAnsi="Times New Roman"/>
                <w:bCs/>
                <w:i/>
                <w:color w:val="000000"/>
                <w:sz w:val="20"/>
                <w:szCs w:val="20"/>
              </w:rPr>
              <w:t xml:space="preserve">. </w:t>
            </w:r>
            <w:proofErr w:type="spellStart"/>
            <w:r w:rsidR="007B7A0A" w:rsidRPr="003E70CE">
              <w:rPr>
                <w:rFonts w:ascii="Times New Roman" w:hAnsi="Times New Roman"/>
                <w:bCs/>
                <w:i/>
                <w:color w:val="000000"/>
                <w:sz w:val="20"/>
                <w:szCs w:val="20"/>
              </w:rPr>
              <w:t>euro</w:t>
            </w:r>
            <w:proofErr w:type="spellEnd"/>
          </w:p>
          <w:p w14:paraId="5915B798" w14:textId="7572172E" w:rsidR="005B253F" w:rsidRPr="003E70CE" w:rsidRDefault="005B253F" w:rsidP="00173C54">
            <w:pPr>
              <w:pStyle w:val="ListParagraph"/>
              <w:numPr>
                <w:ilvl w:val="0"/>
                <w:numId w:val="18"/>
              </w:numPr>
              <w:spacing w:after="0" w:line="240" w:lineRule="auto"/>
              <w:ind w:left="316"/>
              <w:jc w:val="both"/>
              <w:rPr>
                <w:rFonts w:ascii="Times New Roman" w:hAnsi="Times New Roman"/>
                <w:bCs/>
                <w:color w:val="000000"/>
                <w:sz w:val="20"/>
                <w:szCs w:val="20"/>
              </w:rPr>
            </w:pPr>
            <w:r w:rsidRPr="003E70CE">
              <w:rPr>
                <w:rFonts w:ascii="Times New Roman" w:hAnsi="Times New Roman"/>
                <w:bCs/>
                <w:color w:val="000000"/>
                <w:sz w:val="20"/>
                <w:szCs w:val="20"/>
              </w:rPr>
              <w:t xml:space="preserve">3.2.1.2.pasākums “Ārējie tirgi” – 14,8 milj. </w:t>
            </w:r>
            <w:proofErr w:type="spellStart"/>
            <w:r w:rsidR="007B7A0A" w:rsidRPr="003E70CE">
              <w:rPr>
                <w:rFonts w:ascii="Times New Roman" w:hAnsi="Times New Roman"/>
                <w:bCs/>
                <w:i/>
                <w:color w:val="000000"/>
                <w:sz w:val="20"/>
                <w:szCs w:val="20"/>
              </w:rPr>
              <w:t>euro</w:t>
            </w:r>
            <w:proofErr w:type="spellEnd"/>
          </w:p>
        </w:tc>
      </w:tr>
      <w:tr w:rsidR="005B253F" w14:paraId="713E92E2" w14:textId="77777777" w:rsidTr="00800270">
        <w:tc>
          <w:tcPr>
            <w:tcW w:w="961" w:type="dxa"/>
            <w:vAlign w:val="center"/>
          </w:tcPr>
          <w:p w14:paraId="7701978C" w14:textId="58589866" w:rsidR="005B253F" w:rsidRPr="002609C5" w:rsidRDefault="005B253F" w:rsidP="005B253F">
            <w:pPr>
              <w:tabs>
                <w:tab w:val="left" w:pos="2880"/>
              </w:tabs>
              <w:spacing w:line="276" w:lineRule="auto"/>
              <w:jc w:val="center"/>
              <w:rPr>
                <w:rFonts w:eastAsia="Times New Roman"/>
                <w:bCs/>
                <w:color w:val="000000"/>
                <w:sz w:val="20"/>
                <w:szCs w:val="20"/>
                <w:lang w:eastAsia="lv-LV"/>
              </w:rPr>
            </w:pPr>
            <w:r w:rsidRPr="002609C5">
              <w:rPr>
                <w:rFonts w:eastAsia="Times New Roman"/>
                <w:bCs/>
                <w:color w:val="000000"/>
                <w:sz w:val="20"/>
                <w:szCs w:val="20"/>
                <w:lang w:eastAsia="lv-LV"/>
              </w:rPr>
              <w:t>IZM</w:t>
            </w:r>
          </w:p>
        </w:tc>
        <w:tc>
          <w:tcPr>
            <w:tcW w:w="1372" w:type="dxa"/>
            <w:shd w:val="clear" w:color="auto" w:fill="auto"/>
            <w:vAlign w:val="center"/>
          </w:tcPr>
          <w:p w14:paraId="131FBAF1" w14:textId="59DB7172" w:rsidR="005B253F" w:rsidRPr="003E70CE" w:rsidRDefault="005B253F" w:rsidP="005B253F">
            <w:pPr>
              <w:tabs>
                <w:tab w:val="left" w:pos="2880"/>
              </w:tabs>
              <w:spacing w:line="276" w:lineRule="auto"/>
              <w:jc w:val="right"/>
              <w:rPr>
                <w:rFonts w:eastAsia="Times New Roman"/>
                <w:bCs/>
                <w:color w:val="000000"/>
                <w:sz w:val="20"/>
                <w:szCs w:val="20"/>
                <w:lang w:eastAsia="lv-LV"/>
              </w:rPr>
            </w:pPr>
            <w:r w:rsidRPr="003E70CE">
              <w:rPr>
                <w:rFonts w:eastAsia="Times New Roman"/>
                <w:bCs/>
                <w:color w:val="000000"/>
                <w:sz w:val="20"/>
                <w:szCs w:val="20"/>
                <w:lang w:eastAsia="lv-LV"/>
              </w:rPr>
              <w:t>16 270 666</w:t>
            </w:r>
          </w:p>
        </w:tc>
        <w:tc>
          <w:tcPr>
            <w:tcW w:w="6728" w:type="dxa"/>
            <w:shd w:val="clear" w:color="auto" w:fill="auto"/>
          </w:tcPr>
          <w:p w14:paraId="529C0DEF" w14:textId="02B6235F" w:rsidR="005B253F" w:rsidRPr="003E70CE" w:rsidRDefault="005B253F" w:rsidP="00173C54">
            <w:pPr>
              <w:pStyle w:val="ListParagraph"/>
              <w:numPr>
                <w:ilvl w:val="0"/>
                <w:numId w:val="15"/>
              </w:numPr>
              <w:spacing w:after="0" w:line="240" w:lineRule="auto"/>
              <w:ind w:left="322"/>
              <w:jc w:val="both"/>
              <w:rPr>
                <w:rFonts w:ascii="Times New Roman" w:eastAsia="Times New Roman" w:hAnsi="Times New Roman"/>
                <w:bCs/>
                <w:color w:val="000000"/>
                <w:sz w:val="20"/>
                <w:szCs w:val="20"/>
                <w:lang w:eastAsia="lv-LV"/>
              </w:rPr>
            </w:pPr>
            <w:r w:rsidRPr="003E70CE">
              <w:rPr>
                <w:rFonts w:ascii="Times New Roman" w:eastAsia="Times New Roman" w:hAnsi="Times New Roman"/>
                <w:bCs/>
                <w:color w:val="000000"/>
                <w:sz w:val="20"/>
                <w:szCs w:val="20"/>
                <w:lang w:eastAsia="lv-LV"/>
              </w:rPr>
              <w:t xml:space="preserve">1.1.1.1.pasākumam “Praktiskas ievirzes pētījumi” – 12,1 milj. </w:t>
            </w:r>
            <w:proofErr w:type="spellStart"/>
            <w:r w:rsidR="007B7A0A" w:rsidRPr="003E70CE">
              <w:rPr>
                <w:rFonts w:ascii="Times New Roman" w:eastAsia="Times New Roman" w:hAnsi="Times New Roman"/>
                <w:bCs/>
                <w:i/>
                <w:color w:val="000000"/>
                <w:sz w:val="20"/>
                <w:szCs w:val="20"/>
                <w:lang w:eastAsia="lv-LV"/>
              </w:rPr>
              <w:t>euro</w:t>
            </w:r>
            <w:proofErr w:type="spellEnd"/>
            <w:r w:rsidRPr="003E70CE">
              <w:rPr>
                <w:rFonts w:ascii="Times New Roman" w:eastAsia="Times New Roman" w:hAnsi="Times New Roman"/>
                <w:bCs/>
                <w:color w:val="000000"/>
                <w:sz w:val="20"/>
                <w:szCs w:val="20"/>
                <w:lang w:eastAsia="lv-LV"/>
              </w:rPr>
              <w:t>;</w:t>
            </w:r>
          </w:p>
          <w:p w14:paraId="47CF7CC4" w14:textId="29C9A406" w:rsidR="005B253F" w:rsidRPr="003E70CE" w:rsidRDefault="005B253F" w:rsidP="00173C54">
            <w:pPr>
              <w:pStyle w:val="ListParagraph"/>
              <w:numPr>
                <w:ilvl w:val="0"/>
                <w:numId w:val="15"/>
              </w:numPr>
              <w:spacing w:after="0" w:line="240" w:lineRule="auto"/>
              <w:ind w:left="321"/>
              <w:jc w:val="both"/>
              <w:rPr>
                <w:rFonts w:ascii="Times New Roman" w:eastAsia="Times New Roman" w:hAnsi="Times New Roman"/>
                <w:bCs/>
                <w:color w:val="000000"/>
                <w:sz w:val="20"/>
                <w:szCs w:val="20"/>
                <w:lang w:eastAsia="lv-LV"/>
              </w:rPr>
            </w:pPr>
            <w:r w:rsidRPr="003E70CE">
              <w:rPr>
                <w:rFonts w:ascii="Times New Roman" w:eastAsia="Times New Roman" w:hAnsi="Times New Roman"/>
                <w:bCs/>
                <w:color w:val="000000"/>
                <w:sz w:val="20"/>
                <w:szCs w:val="20"/>
                <w:lang w:eastAsia="lv-LV"/>
              </w:rPr>
              <w:t xml:space="preserve">8.3.2.1.pasākumam “Izglītojamo talantu attīstībai” – 0,7 milj. </w:t>
            </w:r>
            <w:proofErr w:type="spellStart"/>
            <w:r w:rsidR="007B7A0A" w:rsidRPr="003E70CE">
              <w:rPr>
                <w:rFonts w:ascii="Times New Roman" w:eastAsia="Times New Roman" w:hAnsi="Times New Roman"/>
                <w:bCs/>
                <w:i/>
                <w:color w:val="000000"/>
                <w:sz w:val="20"/>
                <w:szCs w:val="20"/>
                <w:lang w:eastAsia="lv-LV"/>
              </w:rPr>
              <w:t>euro</w:t>
            </w:r>
            <w:proofErr w:type="spellEnd"/>
            <w:r w:rsidRPr="003E70CE">
              <w:rPr>
                <w:rFonts w:ascii="Times New Roman" w:eastAsia="Times New Roman" w:hAnsi="Times New Roman"/>
                <w:bCs/>
                <w:color w:val="000000"/>
                <w:sz w:val="20"/>
                <w:szCs w:val="20"/>
                <w:lang w:eastAsia="lv-LV"/>
              </w:rPr>
              <w:t>;</w:t>
            </w:r>
          </w:p>
          <w:p w14:paraId="7DF2371A" w14:textId="02C41790" w:rsidR="005B253F" w:rsidRPr="003E70CE" w:rsidRDefault="005B253F" w:rsidP="00173C54">
            <w:pPr>
              <w:pStyle w:val="ListParagraph"/>
              <w:numPr>
                <w:ilvl w:val="0"/>
                <w:numId w:val="15"/>
              </w:numPr>
              <w:spacing w:after="0" w:line="240" w:lineRule="auto"/>
              <w:ind w:left="321"/>
              <w:jc w:val="both"/>
              <w:rPr>
                <w:rFonts w:ascii="Times New Roman" w:eastAsia="Times New Roman" w:hAnsi="Times New Roman"/>
                <w:bCs/>
                <w:color w:val="000000"/>
                <w:sz w:val="20"/>
                <w:szCs w:val="20"/>
                <w:lang w:eastAsia="lv-LV"/>
              </w:rPr>
            </w:pPr>
            <w:r w:rsidRPr="003E70CE">
              <w:rPr>
                <w:rFonts w:ascii="Times New Roman" w:eastAsia="Times New Roman" w:hAnsi="Times New Roman"/>
                <w:bCs/>
                <w:color w:val="000000"/>
                <w:sz w:val="20"/>
                <w:szCs w:val="20"/>
                <w:lang w:eastAsia="lv-LV"/>
              </w:rPr>
              <w:t xml:space="preserve">8.3.3.SAM “NEET jauniešu prasmju attīstībai” – 0,7 milj. </w:t>
            </w:r>
            <w:proofErr w:type="spellStart"/>
            <w:r w:rsidR="007B7A0A" w:rsidRPr="003E70CE">
              <w:rPr>
                <w:rFonts w:ascii="Times New Roman" w:eastAsia="Times New Roman" w:hAnsi="Times New Roman"/>
                <w:bCs/>
                <w:i/>
                <w:color w:val="000000"/>
                <w:sz w:val="20"/>
                <w:szCs w:val="20"/>
                <w:lang w:eastAsia="lv-LV"/>
              </w:rPr>
              <w:t>euro</w:t>
            </w:r>
            <w:proofErr w:type="spellEnd"/>
            <w:r w:rsidRPr="003E70CE">
              <w:rPr>
                <w:rFonts w:ascii="Times New Roman" w:eastAsia="Times New Roman" w:hAnsi="Times New Roman"/>
                <w:bCs/>
                <w:color w:val="000000"/>
                <w:sz w:val="20"/>
                <w:szCs w:val="20"/>
                <w:lang w:eastAsia="lv-LV"/>
              </w:rPr>
              <w:t>;</w:t>
            </w:r>
          </w:p>
          <w:p w14:paraId="5038E0B9" w14:textId="256AC475" w:rsidR="005B253F" w:rsidRPr="003E70CE" w:rsidRDefault="005B253F" w:rsidP="00173C54">
            <w:pPr>
              <w:pStyle w:val="ListParagraph"/>
              <w:numPr>
                <w:ilvl w:val="0"/>
                <w:numId w:val="15"/>
              </w:numPr>
              <w:spacing w:after="0" w:line="240" w:lineRule="auto"/>
              <w:ind w:left="321"/>
              <w:jc w:val="both"/>
              <w:rPr>
                <w:rFonts w:ascii="Times New Roman" w:eastAsia="Times New Roman" w:hAnsi="Times New Roman"/>
                <w:bCs/>
                <w:color w:val="000000"/>
                <w:sz w:val="20"/>
                <w:szCs w:val="20"/>
                <w:lang w:eastAsia="lv-LV"/>
              </w:rPr>
            </w:pPr>
            <w:r w:rsidRPr="003E70CE">
              <w:rPr>
                <w:rFonts w:ascii="Times New Roman" w:eastAsia="Times New Roman" w:hAnsi="Times New Roman"/>
                <w:bCs/>
                <w:color w:val="000000"/>
                <w:sz w:val="20"/>
                <w:szCs w:val="20"/>
                <w:lang w:eastAsia="lv-LV"/>
              </w:rPr>
              <w:t xml:space="preserve">8.3.5.SAM “Karjeras pieejas uzlabošanai” – 1,7 milj. </w:t>
            </w:r>
            <w:proofErr w:type="spellStart"/>
            <w:r w:rsidR="007B7A0A" w:rsidRPr="003E70CE">
              <w:rPr>
                <w:rFonts w:ascii="Times New Roman" w:eastAsia="Times New Roman" w:hAnsi="Times New Roman"/>
                <w:bCs/>
                <w:i/>
                <w:color w:val="000000"/>
                <w:sz w:val="20"/>
                <w:szCs w:val="20"/>
                <w:lang w:eastAsia="lv-LV"/>
              </w:rPr>
              <w:t>euro</w:t>
            </w:r>
            <w:proofErr w:type="spellEnd"/>
            <w:r w:rsidRPr="003E70CE">
              <w:rPr>
                <w:rFonts w:ascii="Times New Roman" w:eastAsia="Times New Roman" w:hAnsi="Times New Roman"/>
                <w:bCs/>
                <w:color w:val="000000"/>
                <w:sz w:val="20"/>
                <w:szCs w:val="20"/>
                <w:lang w:eastAsia="lv-LV"/>
              </w:rPr>
              <w:t>;</w:t>
            </w:r>
          </w:p>
          <w:p w14:paraId="43536460" w14:textId="657FB36D" w:rsidR="005B253F" w:rsidRPr="003E70CE" w:rsidRDefault="005B253F" w:rsidP="00173C54">
            <w:pPr>
              <w:pStyle w:val="ListParagraph"/>
              <w:numPr>
                <w:ilvl w:val="0"/>
                <w:numId w:val="18"/>
              </w:numPr>
              <w:spacing w:after="0" w:line="240" w:lineRule="auto"/>
              <w:ind w:left="316"/>
              <w:jc w:val="both"/>
              <w:rPr>
                <w:rFonts w:ascii="Times New Roman" w:hAnsi="Times New Roman"/>
                <w:bCs/>
                <w:color w:val="000000"/>
                <w:sz w:val="20"/>
                <w:szCs w:val="20"/>
              </w:rPr>
            </w:pPr>
            <w:r w:rsidRPr="003E70CE">
              <w:rPr>
                <w:rFonts w:ascii="Times New Roman" w:eastAsia="Times New Roman" w:hAnsi="Times New Roman"/>
                <w:bCs/>
                <w:color w:val="000000"/>
                <w:sz w:val="20"/>
                <w:szCs w:val="20"/>
                <w:lang w:eastAsia="lv-LV"/>
              </w:rPr>
              <w:t xml:space="preserve">8.4.1.SAM “Mūžizglītībai” – 1,1 milj. </w:t>
            </w:r>
            <w:proofErr w:type="spellStart"/>
            <w:r w:rsidR="007B7A0A" w:rsidRPr="003E70CE">
              <w:rPr>
                <w:rFonts w:ascii="Times New Roman" w:eastAsia="Times New Roman" w:hAnsi="Times New Roman"/>
                <w:bCs/>
                <w:i/>
                <w:color w:val="000000"/>
                <w:sz w:val="20"/>
                <w:szCs w:val="20"/>
                <w:lang w:eastAsia="lv-LV"/>
              </w:rPr>
              <w:t>euro</w:t>
            </w:r>
            <w:proofErr w:type="spellEnd"/>
            <w:r w:rsidRPr="003E70CE">
              <w:rPr>
                <w:rFonts w:ascii="Times New Roman" w:eastAsia="Times New Roman" w:hAnsi="Times New Roman"/>
                <w:bCs/>
                <w:color w:val="000000"/>
                <w:sz w:val="20"/>
                <w:szCs w:val="20"/>
                <w:lang w:eastAsia="lv-LV"/>
              </w:rPr>
              <w:t>;</w:t>
            </w:r>
          </w:p>
        </w:tc>
      </w:tr>
      <w:tr w:rsidR="005B253F" w14:paraId="3620E68E" w14:textId="77777777" w:rsidTr="00800270">
        <w:tc>
          <w:tcPr>
            <w:tcW w:w="961" w:type="dxa"/>
            <w:vAlign w:val="center"/>
          </w:tcPr>
          <w:p w14:paraId="7B3EBF79" w14:textId="31ABBF7B" w:rsidR="005B253F" w:rsidRPr="002609C5" w:rsidRDefault="005B253F" w:rsidP="005B253F">
            <w:pPr>
              <w:tabs>
                <w:tab w:val="left" w:pos="2880"/>
              </w:tabs>
              <w:spacing w:line="276" w:lineRule="auto"/>
              <w:jc w:val="center"/>
              <w:rPr>
                <w:rFonts w:eastAsia="Times New Roman"/>
                <w:bCs/>
                <w:color w:val="000000"/>
                <w:sz w:val="20"/>
                <w:szCs w:val="20"/>
                <w:lang w:eastAsia="lv-LV"/>
              </w:rPr>
            </w:pPr>
            <w:r w:rsidRPr="002609C5">
              <w:rPr>
                <w:rFonts w:eastAsia="Times New Roman"/>
                <w:bCs/>
                <w:color w:val="000000"/>
                <w:sz w:val="20"/>
                <w:szCs w:val="20"/>
                <w:lang w:eastAsia="lv-LV"/>
              </w:rPr>
              <w:t>TM</w:t>
            </w:r>
          </w:p>
        </w:tc>
        <w:tc>
          <w:tcPr>
            <w:tcW w:w="1372" w:type="dxa"/>
            <w:vAlign w:val="center"/>
          </w:tcPr>
          <w:p w14:paraId="314474FA" w14:textId="24DDB1F8" w:rsidR="005B253F" w:rsidRPr="00F85A7E" w:rsidRDefault="005B253F" w:rsidP="005B253F">
            <w:pPr>
              <w:tabs>
                <w:tab w:val="left" w:pos="2880"/>
              </w:tabs>
              <w:spacing w:line="276" w:lineRule="auto"/>
              <w:jc w:val="right"/>
              <w:rPr>
                <w:rFonts w:eastAsia="Times New Roman"/>
                <w:bCs/>
                <w:color w:val="000000"/>
                <w:sz w:val="20"/>
                <w:szCs w:val="20"/>
                <w:lang w:eastAsia="lv-LV"/>
              </w:rPr>
            </w:pPr>
            <w:r w:rsidRPr="002609C5">
              <w:rPr>
                <w:rFonts w:eastAsia="Times New Roman"/>
                <w:bCs/>
                <w:color w:val="000000"/>
                <w:sz w:val="20"/>
                <w:szCs w:val="20"/>
                <w:lang w:eastAsia="lv-LV"/>
              </w:rPr>
              <w:t>3 132 446</w:t>
            </w:r>
          </w:p>
        </w:tc>
        <w:tc>
          <w:tcPr>
            <w:tcW w:w="6728" w:type="dxa"/>
          </w:tcPr>
          <w:p w14:paraId="38106BA5" w14:textId="518BFC4B" w:rsidR="005B253F" w:rsidRPr="005B253F" w:rsidRDefault="005B253F" w:rsidP="00173C54">
            <w:pPr>
              <w:pStyle w:val="ListParagraph"/>
              <w:numPr>
                <w:ilvl w:val="0"/>
                <w:numId w:val="22"/>
              </w:numPr>
              <w:spacing w:after="0" w:line="240" w:lineRule="auto"/>
              <w:ind w:left="312" w:hanging="350"/>
              <w:jc w:val="both"/>
              <w:rPr>
                <w:rFonts w:ascii="Times New Roman" w:eastAsia="Times New Roman" w:hAnsi="Times New Roman"/>
                <w:bCs/>
                <w:color w:val="000000"/>
                <w:sz w:val="20"/>
                <w:szCs w:val="20"/>
                <w:lang w:eastAsia="lv-LV"/>
              </w:rPr>
            </w:pPr>
            <w:r w:rsidRPr="002609C5">
              <w:rPr>
                <w:rFonts w:ascii="Times New Roman" w:eastAsia="Times New Roman" w:hAnsi="Times New Roman"/>
                <w:bCs/>
                <w:color w:val="000000"/>
                <w:sz w:val="20"/>
                <w:szCs w:val="20"/>
                <w:lang w:eastAsia="lv-LV"/>
              </w:rPr>
              <w:t xml:space="preserve">9.1.2.SAM “Bijušo ieslodzīto integrācijai sabiedrībā” – 0,2 </w:t>
            </w:r>
            <w:proofErr w:type="spellStart"/>
            <w:r w:rsidR="007B7A0A" w:rsidRPr="007B7A0A">
              <w:rPr>
                <w:rFonts w:ascii="Times New Roman" w:eastAsia="Times New Roman" w:hAnsi="Times New Roman"/>
                <w:bCs/>
                <w:i/>
                <w:color w:val="000000"/>
                <w:sz w:val="20"/>
                <w:szCs w:val="20"/>
                <w:lang w:eastAsia="lv-LV"/>
              </w:rPr>
              <w:t>euro</w:t>
            </w:r>
            <w:proofErr w:type="spellEnd"/>
          </w:p>
          <w:p w14:paraId="2A486394" w14:textId="763CB0DE" w:rsidR="005B253F" w:rsidRPr="005B253F" w:rsidRDefault="005B253F" w:rsidP="00173C54">
            <w:pPr>
              <w:pStyle w:val="ListParagraph"/>
              <w:numPr>
                <w:ilvl w:val="0"/>
                <w:numId w:val="22"/>
              </w:numPr>
              <w:spacing w:after="0" w:line="240" w:lineRule="auto"/>
              <w:ind w:left="312" w:hanging="350"/>
              <w:jc w:val="both"/>
              <w:rPr>
                <w:rFonts w:ascii="Times New Roman" w:eastAsia="Times New Roman" w:hAnsi="Times New Roman"/>
                <w:bCs/>
                <w:color w:val="000000"/>
                <w:sz w:val="20"/>
                <w:szCs w:val="20"/>
                <w:lang w:eastAsia="lv-LV"/>
              </w:rPr>
            </w:pPr>
            <w:r w:rsidRPr="005B253F">
              <w:rPr>
                <w:rFonts w:ascii="Times New Roman" w:eastAsia="Times New Roman" w:hAnsi="Times New Roman"/>
                <w:bCs/>
                <w:color w:val="000000"/>
                <w:sz w:val="20"/>
                <w:szCs w:val="20"/>
                <w:lang w:eastAsia="lv-LV"/>
              </w:rPr>
              <w:t>9.1.3.SAM “</w:t>
            </w:r>
            <w:proofErr w:type="spellStart"/>
            <w:r w:rsidRPr="005B253F">
              <w:rPr>
                <w:rFonts w:ascii="Times New Roman" w:eastAsia="Times New Roman" w:hAnsi="Times New Roman"/>
                <w:bCs/>
                <w:color w:val="000000"/>
                <w:sz w:val="20"/>
                <w:szCs w:val="20"/>
                <w:lang w:eastAsia="lv-LV"/>
              </w:rPr>
              <w:t>Resocializācijas</w:t>
            </w:r>
            <w:proofErr w:type="spellEnd"/>
            <w:r w:rsidRPr="005B253F">
              <w:rPr>
                <w:rFonts w:ascii="Times New Roman" w:eastAsia="Times New Roman" w:hAnsi="Times New Roman"/>
                <w:bCs/>
                <w:color w:val="000000"/>
                <w:sz w:val="20"/>
                <w:szCs w:val="20"/>
                <w:lang w:eastAsia="lv-LV"/>
              </w:rPr>
              <w:t xml:space="preserve"> sistēmas efekt</w:t>
            </w:r>
            <w:r w:rsidR="00800270">
              <w:rPr>
                <w:rFonts w:ascii="Times New Roman" w:eastAsia="Times New Roman" w:hAnsi="Times New Roman"/>
                <w:bCs/>
                <w:color w:val="000000"/>
                <w:sz w:val="20"/>
                <w:szCs w:val="20"/>
                <w:lang w:eastAsia="lv-LV"/>
              </w:rPr>
              <w:t>ivitātes paaugstināšanai” – 2,9 </w:t>
            </w:r>
            <w:proofErr w:type="spellStart"/>
            <w:r w:rsidR="007B7A0A" w:rsidRPr="007B7A0A">
              <w:rPr>
                <w:rFonts w:ascii="Times New Roman" w:eastAsia="Times New Roman" w:hAnsi="Times New Roman"/>
                <w:bCs/>
                <w:i/>
                <w:color w:val="000000"/>
                <w:sz w:val="20"/>
                <w:szCs w:val="20"/>
                <w:lang w:eastAsia="lv-LV"/>
              </w:rPr>
              <w:t>euro</w:t>
            </w:r>
            <w:proofErr w:type="spellEnd"/>
          </w:p>
        </w:tc>
      </w:tr>
      <w:tr w:rsidR="005B253F" w14:paraId="70A52113" w14:textId="77777777" w:rsidTr="00800270">
        <w:tc>
          <w:tcPr>
            <w:tcW w:w="961" w:type="dxa"/>
            <w:vAlign w:val="center"/>
          </w:tcPr>
          <w:p w14:paraId="40435BE6" w14:textId="4FF02034" w:rsidR="005B253F" w:rsidRPr="002609C5" w:rsidRDefault="005B253F" w:rsidP="005B253F">
            <w:pPr>
              <w:tabs>
                <w:tab w:val="left" w:pos="2880"/>
              </w:tabs>
              <w:spacing w:line="276" w:lineRule="auto"/>
              <w:jc w:val="center"/>
              <w:rPr>
                <w:rFonts w:eastAsia="Times New Roman"/>
                <w:bCs/>
                <w:color w:val="000000"/>
                <w:sz w:val="20"/>
                <w:szCs w:val="20"/>
                <w:lang w:eastAsia="lv-LV"/>
              </w:rPr>
            </w:pPr>
            <w:r w:rsidRPr="002609C5">
              <w:rPr>
                <w:rFonts w:eastAsia="Times New Roman"/>
                <w:bCs/>
                <w:color w:val="000000"/>
                <w:sz w:val="20"/>
                <w:szCs w:val="20"/>
                <w:lang w:eastAsia="lv-LV"/>
              </w:rPr>
              <w:t>VK</w:t>
            </w:r>
          </w:p>
        </w:tc>
        <w:tc>
          <w:tcPr>
            <w:tcW w:w="1372" w:type="dxa"/>
            <w:vAlign w:val="center"/>
          </w:tcPr>
          <w:p w14:paraId="732968C8" w14:textId="4A105B48" w:rsidR="005B253F" w:rsidRPr="00F85A7E" w:rsidRDefault="005B253F" w:rsidP="005B253F">
            <w:pPr>
              <w:tabs>
                <w:tab w:val="left" w:pos="2880"/>
              </w:tabs>
              <w:spacing w:line="276" w:lineRule="auto"/>
              <w:jc w:val="right"/>
              <w:rPr>
                <w:rFonts w:eastAsia="Times New Roman"/>
                <w:bCs/>
                <w:color w:val="000000"/>
                <w:sz w:val="20"/>
                <w:szCs w:val="20"/>
                <w:lang w:eastAsia="lv-LV"/>
              </w:rPr>
            </w:pPr>
            <w:r w:rsidRPr="002609C5">
              <w:rPr>
                <w:rFonts w:eastAsia="Times New Roman"/>
                <w:bCs/>
                <w:color w:val="000000"/>
                <w:sz w:val="20"/>
                <w:szCs w:val="20"/>
                <w:lang w:eastAsia="lv-LV"/>
              </w:rPr>
              <w:t>600 000</w:t>
            </w:r>
          </w:p>
        </w:tc>
        <w:tc>
          <w:tcPr>
            <w:tcW w:w="6728" w:type="dxa"/>
          </w:tcPr>
          <w:p w14:paraId="16A5C5E2" w14:textId="203AB899" w:rsidR="005B253F" w:rsidRPr="005B253F" w:rsidRDefault="005B253F" w:rsidP="00173C54">
            <w:pPr>
              <w:jc w:val="both"/>
              <w:rPr>
                <w:rFonts w:eastAsia="Times New Roman"/>
                <w:bCs/>
                <w:color w:val="000000"/>
                <w:sz w:val="20"/>
                <w:szCs w:val="20"/>
                <w:highlight w:val="yellow"/>
                <w:lang w:eastAsia="lv-LV"/>
              </w:rPr>
            </w:pPr>
            <w:r w:rsidRPr="005B253F">
              <w:rPr>
                <w:rFonts w:eastAsia="Times New Roman"/>
                <w:bCs/>
                <w:color w:val="000000"/>
                <w:sz w:val="20"/>
                <w:szCs w:val="20"/>
                <w:lang w:eastAsia="lv-LV"/>
              </w:rPr>
              <w:t xml:space="preserve">3.4.2.1.pasākumam “Valsts pārvaldes darbinieku apmācībai” – 0,6 milj. </w:t>
            </w:r>
            <w:proofErr w:type="spellStart"/>
            <w:r w:rsidR="007B7A0A" w:rsidRPr="007B7A0A">
              <w:rPr>
                <w:rFonts w:eastAsia="Times New Roman"/>
                <w:bCs/>
                <w:i/>
                <w:color w:val="000000"/>
                <w:sz w:val="20"/>
                <w:szCs w:val="20"/>
                <w:lang w:eastAsia="lv-LV"/>
              </w:rPr>
              <w:t>euro</w:t>
            </w:r>
            <w:proofErr w:type="spellEnd"/>
          </w:p>
        </w:tc>
      </w:tr>
      <w:tr w:rsidR="005B253F" w14:paraId="2A7852BD" w14:textId="77777777" w:rsidTr="00800270">
        <w:tc>
          <w:tcPr>
            <w:tcW w:w="961" w:type="dxa"/>
            <w:vAlign w:val="center"/>
          </w:tcPr>
          <w:p w14:paraId="27E00534" w14:textId="724E36F0" w:rsidR="005B253F" w:rsidRPr="002609C5" w:rsidRDefault="005B253F" w:rsidP="00173C54">
            <w:pPr>
              <w:tabs>
                <w:tab w:val="left" w:pos="2880"/>
              </w:tabs>
              <w:spacing w:line="276" w:lineRule="auto"/>
              <w:jc w:val="center"/>
              <w:rPr>
                <w:rFonts w:eastAsia="Times New Roman"/>
                <w:bCs/>
                <w:color w:val="000000"/>
                <w:sz w:val="20"/>
                <w:szCs w:val="20"/>
                <w:lang w:eastAsia="lv-LV"/>
              </w:rPr>
            </w:pPr>
            <w:r w:rsidRPr="002609C5">
              <w:rPr>
                <w:rFonts w:eastAsia="Times New Roman"/>
                <w:b/>
                <w:bCs/>
                <w:color w:val="000000"/>
                <w:sz w:val="20"/>
                <w:szCs w:val="20"/>
                <w:lang w:eastAsia="lv-LV"/>
              </w:rPr>
              <w:t>Kopā</w:t>
            </w:r>
          </w:p>
        </w:tc>
        <w:tc>
          <w:tcPr>
            <w:tcW w:w="8100" w:type="dxa"/>
            <w:gridSpan w:val="2"/>
            <w:vAlign w:val="center"/>
          </w:tcPr>
          <w:p w14:paraId="6D031638" w14:textId="21E07294" w:rsidR="005B253F" w:rsidRPr="003541D0" w:rsidRDefault="00794333" w:rsidP="005B253F">
            <w:pPr>
              <w:pStyle w:val="ListParagraph"/>
              <w:spacing w:after="0" w:line="240" w:lineRule="auto"/>
              <w:ind w:left="322"/>
              <w:jc w:val="center"/>
              <w:rPr>
                <w:rFonts w:ascii="Times New Roman" w:eastAsia="Times New Roman" w:hAnsi="Times New Roman"/>
                <w:bCs/>
                <w:color w:val="000000"/>
                <w:sz w:val="20"/>
                <w:szCs w:val="20"/>
                <w:highlight w:val="yellow"/>
                <w:lang w:eastAsia="lv-LV"/>
              </w:rPr>
            </w:pPr>
            <w:r w:rsidRPr="00EF633F">
              <w:rPr>
                <w:rFonts w:ascii="Times New Roman" w:eastAsia="Times New Roman" w:hAnsi="Times New Roman"/>
                <w:b/>
                <w:bCs/>
                <w:color w:val="000000"/>
                <w:sz w:val="20"/>
                <w:szCs w:val="20"/>
                <w:lang w:eastAsia="lv-LV"/>
              </w:rPr>
              <w:t>209 180 483</w:t>
            </w:r>
          </w:p>
        </w:tc>
      </w:tr>
    </w:tbl>
    <w:p w14:paraId="4363D35E" w14:textId="711F0159" w:rsidR="005B253F" w:rsidRDefault="005B253F" w:rsidP="00915BDC">
      <w:pPr>
        <w:tabs>
          <w:tab w:val="left" w:pos="2880"/>
        </w:tabs>
        <w:spacing w:line="276" w:lineRule="auto"/>
        <w:rPr>
          <w:rFonts w:cs="Times New Roman"/>
          <w:i/>
          <w:sz w:val="20"/>
          <w:szCs w:val="20"/>
        </w:rPr>
      </w:pPr>
    </w:p>
    <w:p w14:paraId="4D83A5F9" w14:textId="77777777" w:rsidR="0008520F" w:rsidRPr="002609C5" w:rsidRDefault="0008520F" w:rsidP="00915BDC">
      <w:pPr>
        <w:tabs>
          <w:tab w:val="left" w:pos="2880"/>
        </w:tabs>
        <w:spacing w:line="276" w:lineRule="auto"/>
        <w:rPr>
          <w:rFonts w:cs="Times New Roman"/>
          <w:i/>
          <w:sz w:val="20"/>
          <w:szCs w:val="20"/>
        </w:rPr>
      </w:pPr>
    </w:p>
    <w:p w14:paraId="70E27762" w14:textId="6F5612EE" w:rsidR="00F572A1" w:rsidRPr="006245ED" w:rsidRDefault="00145FFC" w:rsidP="00915BDC">
      <w:pPr>
        <w:pStyle w:val="Heading2"/>
        <w:spacing w:line="276" w:lineRule="auto"/>
        <w:jc w:val="center"/>
        <w:rPr>
          <w:rFonts w:ascii="Times New Roman" w:hAnsi="Times New Roman" w:cs="Times New Roman"/>
          <w:b/>
          <w:color w:val="auto"/>
          <w:sz w:val="24"/>
          <w:szCs w:val="24"/>
        </w:rPr>
      </w:pPr>
      <w:bookmarkStart w:id="5" w:name="_Toc21076983"/>
      <w:r w:rsidRPr="006245ED">
        <w:rPr>
          <w:rFonts w:ascii="Times New Roman" w:hAnsi="Times New Roman" w:cs="Times New Roman"/>
          <w:b/>
          <w:color w:val="auto"/>
          <w:sz w:val="24"/>
          <w:szCs w:val="24"/>
        </w:rPr>
        <w:t>IV P</w:t>
      </w:r>
      <w:r w:rsidR="00C90B7D">
        <w:rPr>
          <w:rFonts w:ascii="Times New Roman" w:hAnsi="Times New Roman" w:cs="Times New Roman"/>
          <w:b/>
          <w:color w:val="auto"/>
          <w:sz w:val="24"/>
          <w:szCs w:val="24"/>
        </w:rPr>
        <w:t xml:space="preserve">riekšlikumi </w:t>
      </w:r>
      <w:r w:rsidRPr="006245ED">
        <w:rPr>
          <w:rFonts w:ascii="Times New Roman" w:hAnsi="Times New Roman" w:cs="Times New Roman"/>
          <w:b/>
          <w:color w:val="auto"/>
          <w:sz w:val="24"/>
          <w:szCs w:val="24"/>
        </w:rPr>
        <w:t>snieguma</w:t>
      </w:r>
      <w:r w:rsidR="001426F8">
        <w:rPr>
          <w:rFonts w:ascii="Times New Roman" w:hAnsi="Times New Roman" w:cs="Times New Roman"/>
          <w:b/>
          <w:color w:val="auto"/>
          <w:sz w:val="24"/>
          <w:szCs w:val="24"/>
        </w:rPr>
        <w:t xml:space="preserve"> rezerves finansējuma un finansējuma</w:t>
      </w:r>
      <w:r w:rsidRPr="006245ED">
        <w:rPr>
          <w:rFonts w:ascii="Times New Roman" w:hAnsi="Times New Roman" w:cs="Times New Roman"/>
          <w:b/>
          <w:color w:val="auto"/>
          <w:sz w:val="24"/>
          <w:szCs w:val="24"/>
        </w:rPr>
        <w:t xml:space="preserve"> atlikumu </w:t>
      </w:r>
      <w:r w:rsidR="00F52F7C">
        <w:rPr>
          <w:rFonts w:ascii="Times New Roman" w:hAnsi="Times New Roman" w:cs="Times New Roman"/>
          <w:b/>
          <w:color w:val="auto"/>
          <w:sz w:val="24"/>
          <w:szCs w:val="24"/>
        </w:rPr>
        <w:t>novirzīšanai</w:t>
      </w:r>
      <w:bookmarkEnd w:id="5"/>
    </w:p>
    <w:p w14:paraId="1EAC236C" w14:textId="3D89F30D" w:rsidR="00F572A1" w:rsidRPr="005355D5" w:rsidRDefault="00F572A1" w:rsidP="00915BDC">
      <w:pPr>
        <w:spacing w:line="276" w:lineRule="auto"/>
        <w:rPr>
          <w:rFonts w:cs="Times New Roman"/>
          <w:szCs w:val="24"/>
        </w:rPr>
      </w:pPr>
    </w:p>
    <w:p w14:paraId="0038921F" w14:textId="5EB958C3" w:rsidR="00D41578" w:rsidRPr="005355D5" w:rsidRDefault="00F572A1" w:rsidP="00915BDC">
      <w:pPr>
        <w:pStyle w:val="ListParagraph"/>
        <w:numPr>
          <w:ilvl w:val="0"/>
          <w:numId w:val="1"/>
        </w:numPr>
        <w:spacing w:line="276" w:lineRule="auto"/>
        <w:ind w:left="567" w:hanging="501"/>
        <w:jc w:val="both"/>
        <w:rPr>
          <w:rFonts w:ascii="Times New Roman" w:hAnsi="Times New Roman" w:cs="Times New Roman"/>
          <w:sz w:val="24"/>
          <w:szCs w:val="24"/>
        </w:rPr>
      </w:pPr>
      <w:r w:rsidRPr="005355D5">
        <w:rPr>
          <w:rFonts w:ascii="Times New Roman" w:hAnsi="Times New Roman" w:cs="Times New Roman"/>
          <w:sz w:val="24"/>
          <w:szCs w:val="24"/>
        </w:rPr>
        <w:t>Izvērtējot visu pieejamo informāciju</w:t>
      </w:r>
      <w:r w:rsidR="003925E9" w:rsidRPr="005355D5">
        <w:rPr>
          <w:rFonts w:ascii="Times New Roman" w:hAnsi="Times New Roman" w:cs="Times New Roman"/>
          <w:sz w:val="24"/>
          <w:szCs w:val="24"/>
        </w:rPr>
        <w:t xml:space="preserve"> un iepriekš minētos aspektus</w:t>
      </w:r>
      <w:r w:rsidRPr="005355D5">
        <w:rPr>
          <w:rFonts w:ascii="Times New Roman" w:hAnsi="Times New Roman" w:cs="Times New Roman"/>
          <w:sz w:val="24"/>
          <w:szCs w:val="24"/>
        </w:rPr>
        <w:t xml:space="preserve">, </w:t>
      </w:r>
      <w:r w:rsidR="003925E9" w:rsidRPr="005355D5">
        <w:rPr>
          <w:rFonts w:ascii="Times New Roman" w:hAnsi="Times New Roman" w:cs="Times New Roman"/>
          <w:sz w:val="24"/>
          <w:szCs w:val="24"/>
        </w:rPr>
        <w:t>nepieciešamību rast maksimāli fiskāli atbildīgu</w:t>
      </w:r>
      <w:r w:rsidR="000966F2" w:rsidRPr="005355D5">
        <w:rPr>
          <w:rFonts w:ascii="Times New Roman" w:hAnsi="Times New Roman" w:cs="Times New Roman"/>
          <w:sz w:val="24"/>
          <w:szCs w:val="24"/>
        </w:rPr>
        <w:t>s</w:t>
      </w:r>
      <w:r w:rsidR="003925E9" w:rsidRPr="005355D5">
        <w:rPr>
          <w:rFonts w:ascii="Times New Roman" w:hAnsi="Times New Roman" w:cs="Times New Roman"/>
          <w:sz w:val="24"/>
          <w:szCs w:val="24"/>
        </w:rPr>
        <w:t xml:space="preserve"> risinājumu</w:t>
      </w:r>
      <w:r w:rsidR="000966F2" w:rsidRPr="005355D5">
        <w:rPr>
          <w:rFonts w:ascii="Times New Roman" w:hAnsi="Times New Roman" w:cs="Times New Roman"/>
          <w:sz w:val="24"/>
          <w:szCs w:val="24"/>
        </w:rPr>
        <w:t>s</w:t>
      </w:r>
      <w:r w:rsidR="003925E9" w:rsidRPr="005355D5">
        <w:rPr>
          <w:rFonts w:ascii="Times New Roman" w:hAnsi="Times New Roman" w:cs="Times New Roman"/>
          <w:sz w:val="24"/>
          <w:szCs w:val="24"/>
        </w:rPr>
        <w:t xml:space="preserve">, </w:t>
      </w:r>
      <w:r w:rsidR="00D41578" w:rsidRPr="005355D5">
        <w:rPr>
          <w:rFonts w:ascii="Times New Roman" w:hAnsi="Times New Roman" w:cs="Times New Roman"/>
          <w:sz w:val="24"/>
          <w:szCs w:val="24"/>
        </w:rPr>
        <w:t>kā arī nodrošināt vienmērīgu ES fondu investīciju plūsmu, t.sk. kontekstā ar ES fondu 2021.–2027.gada plānošanas perioda uzsākšanu,</w:t>
      </w:r>
      <w:r w:rsidR="003925E9" w:rsidRPr="005355D5">
        <w:rPr>
          <w:rFonts w:ascii="Times New Roman" w:hAnsi="Times New Roman" w:cs="Times New Roman"/>
          <w:sz w:val="24"/>
          <w:szCs w:val="24"/>
        </w:rPr>
        <w:t xml:space="preserve"> </w:t>
      </w:r>
      <w:r w:rsidR="00675F01" w:rsidRPr="005355D5">
        <w:rPr>
          <w:rFonts w:ascii="Times New Roman" w:hAnsi="Times New Roman" w:cs="Times New Roman"/>
          <w:sz w:val="24"/>
          <w:szCs w:val="24"/>
        </w:rPr>
        <w:t>FM</w:t>
      </w:r>
      <w:r w:rsidRPr="005355D5">
        <w:rPr>
          <w:rFonts w:ascii="Times New Roman" w:hAnsi="Times New Roman" w:cs="Times New Roman"/>
          <w:sz w:val="24"/>
          <w:szCs w:val="24"/>
        </w:rPr>
        <w:t xml:space="preserve"> </w:t>
      </w:r>
      <w:r w:rsidR="00D41578" w:rsidRPr="005355D5">
        <w:rPr>
          <w:rFonts w:ascii="Times New Roman" w:hAnsi="Times New Roman" w:cs="Times New Roman"/>
          <w:sz w:val="24"/>
          <w:szCs w:val="24"/>
        </w:rPr>
        <w:t xml:space="preserve">ir sagatavojusi </w:t>
      </w:r>
      <w:r w:rsidRPr="005355D5">
        <w:rPr>
          <w:rFonts w:ascii="Times New Roman" w:hAnsi="Times New Roman" w:cs="Times New Roman"/>
          <w:sz w:val="24"/>
          <w:szCs w:val="24"/>
        </w:rPr>
        <w:t>priekšlikumu</w:t>
      </w:r>
      <w:r w:rsidR="009119C3" w:rsidRPr="005355D5">
        <w:rPr>
          <w:rFonts w:ascii="Times New Roman" w:hAnsi="Times New Roman" w:cs="Times New Roman"/>
          <w:sz w:val="24"/>
          <w:szCs w:val="24"/>
        </w:rPr>
        <w:t xml:space="preserve"> turpmākai</w:t>
      </w:r>
      <w:r w:rsidRPr="005355D5">
        <w:rPr>
          <w:rFonts w:ascii="Times New Roman" w:hAnsi="Times New Roman" w:cs="Times New Roman"/>
          <w:sz w:val="24"/>
          <w:szCs w:val="24"/>
        </w:rPr>
        <w:t xml:space="preserve"> snieguma rezerves finansējuma un atlikumu novirzīšanai.</w:t>
      </w:r>
    </w:p>
    <w:p w14:paraId="6703E899" w14:textId="15953E48" w:rsidR="00B25876" w:rsidRPr="00B25876" w:rsidRDefault="006F57DE" w:rsidP="00915BDC">
      <w:pPr>
        <w:pStyle w:val="ListParagraph"/>
        <w:numPr>
          <w:ilvl w:val="0"/>
          <w:numId w:val="1"/>
        </w:numPr>
        <w:spacing w:line="276" w:lineRule="auto"/>
        <w:ind w:left="567" w:hanging="501"/>
        <w:jc w:val="both"/>
        <w:rPr>
          <w:rFonts w:ascii="Times New Roman" w:hAnsi="Times New Roman" w:cs="Times New Roman"/>
          <w:b/>
          <w:bCs/>
          <w:sz w:val="24"/>
          <w:szCs w:val="24"/>
        </w:rPr>
      </w:pPr>
      <w:r w:rsidRPr="00AA0994">
        <w:rPr>
          <w:rFonts w:ascii="Times New Roman" w:hAnsi="Times New Roman" w:cs="Times New Roman"/>
          <w:sz w:val="24"/>
          <w:szCs w:val="24"/>
        </w:rPr>
        <w:t xml:space="preserve">Ievērojot jau </w:t>
      </w:r>
      <w:r w:rsidR="00A87FBE" w:rsidRPr="00AA0994">
        <w:rPr>
          <w:rFonts w:ascii="Times New Roman" w:hAnsi="Times New Roman" w:cs="Times New Roman"/>
          <w:sz w:val="24"/>
          <w:szCs w:val="24"/>
        </w:rPr>
        <w:t xml:space="preserve">pieņemtos </w:t>
      </w:r>
      <w:r w:rsidRPr="00AA0994">
        <w:rPr>
          <w:rFonts w:ascii="Times New Roman" w:hAnsi="Times New Roman" w:cs="Times New Roman"/>
          <w:sz w:val="24"/>
          <w:szCs w:val="24"/>
        </w:rPr>
        <w:t>MK lēmumu</w:t>
      </w:r>
      <w:r w:rsidR="00A87FBE" w:rsidRPr="00AA0994">
        <w:rPr>
          <w:rFonts w:ascii="Times New Roman" w:hAnsi="Times New Roman" w:cs="Times New Roman"/>
          <w:sz w:val="24"/>
          <w:szCs w:val="24"/>
        </w:rPr>
        <w:t>s</w:t>
      </w:r>
      <w:r w:rsidRPr="00AA0994">
        <w:rPr>
          <w:rFonts w:ascii="Times New Roman" w:hAnsi="Times New Roman" w:cs="Times New Roman"/>
          <w:sz w:val="24"/>
          <w:szCs w:val="24"/>
        </w:rPr>
        <w:t xml:space="preserve"> </w:t>
      </w:r>
      <w:r w:rsidR="00A87FBE" w:rsidRPr="00AA0994">
        <w:rPr>
          <w:rFonts w:ascii="Times New Roman" w:hAnsi="Times New Roman" w:cs="Times New Roman"/>
          <w:sz w:val="24"/>
          <w:szCs w:val="24"/>
        </w:rPr>
        <w:t>snieguma</w:t>
      </w:r>
      <w:r w:rsidRPr="00AA0994">
        <w:rPr>
          <w:rFonts w:ascii="Times New Roman" w:hAnsi="Times New Roman" w:cs="Times New Roman"/>
          <w:sz w:val="24"/>
          <w:szCs w:val="24"/>
        </w:rPr>
        <w:t xml:space="preserve"> rezerves finansējum</w:t>
      </w:r>
      <w:r w:rsidR="00A87FBE" w:rsidRPr="00AA0994">
        <w:rPr>
          <w:rFonts w:ascii="Times New Roman" w:hAnsi="Times New Roman" w:cs="Times New Roman"/>
          <w:sz w:val="24"/>
          <w:szCs w:val="24"/>
        </w:rPr>
        <w:t>a ātrākai izmantošanai</w:t>
      </w:r>
      <w:r w:rsidRPr="00AA0994">
        <w:rPr>
          <w:rFonts w:ascii="Times New Roman" w:hAnsi="Times New Roman" w:cs="Times New Roman"/>
          <w:sz w:val="24"/>
          <w:szCs w:val="24"/>
        </w:rPr>
        <w:t xml:space="preserve">, faktiski </w:t>
      </w:r>
      <w:r w:rsidRPr="00D7565D">
        <w:rPr>
          <w:rFonts w:ascii="Times New Roman" w:hAnsi="Times New Roman" w:cs="Times New Roman"/>
          <w:b/>
          <w:sz w:val="24"/>
          <w:szCs w:val="24"/>
        </w:rPr>
        <w:t xml:space="preserve">nesadalītais rezerves finansējums </w:t>
      </w:r>
      <w:r w:rsidRPr="00A41D31">
        <w:rPr>
          <w:rFonts w:ascii="Times New Roman" w:hAnsi="Times New Roman" w:cs="Times New Roman"/>
          <w:b/>
          <w:sz w:val="24"/>
          <w:szCs w:val="24"/>
        </w:rPr>
        <w:t xml:space="preserve">ir </w:t>
      </w:r>
      <w:r w:rsidRPr="00A43133">
        <w:rPr>
          <w:rFonts w:ascii="Times New Roman" w:eastAsia="Times New Roman" w:hAnsi="Times New Roman" w:cs="Times New Roman"/>
          <w:b/>
          <w:bCs/>
          <w:color w:val="000000"/>
          <w:sz w:val="24"/>
          <w:szCs w:val="24"/>
          <w:lang w:eastAsia="lv-LV"/>
        </w:rPr>
        <w:t>221</w:t>
      </w:r>
      <w:r w:rsidR="00D21EFF">
        <w:rPr>
          <w:rFonts w:ascii="Times New Roman" w:eastAsia="Times New Roman" w:hAnsi="Times New Roman" w:cs="Times New Roman"/>
          <w:b/>
          <w:bCs/>
          <w:color w:val="000000"/>
          <w:sz w:val="24"/>
          <w:szCs w:val="24"/>
          <w:lang w:eastAsia="lv-LV"/>
        </w:rPr>
        <w:t>,7 </w:t>
      </w:r>
      <w:r w:rsidR="00D7565D" w:rsidRPr="00A43133">
        <w:rPr>
          <w:rFonts w:ascii="Times New Roman" w:eastAsia="Times New Roman" w:hAnsi="Times New Roman" w:cs="Times New Roman"/>
          <w:b/>
          <w:bCs/>
          <w:color w:val="000000"/>
          <w:sz w:val="24"/>
          <w:szCs w:val="24"/>
          <w:lang w:eastAsia="lv-LV"/>
        </w:rPr>
        <w:t>milj</w:t>
      </w:r>
      <w:r w:rsidR="00D21EFF">
        <w:rPr>
          <w:rFonts w:ascii="Times New Roman" w:eastAsia="Times New Roman" w:hAnsi="Times New Roman" w:cs="Times New Roman"/>
          <w:b/>
          <w:bCs/>
          <w:color w:val="000000"/>
          <w:sz w:val="24"/>
          <w:szCs w:val="24"/>
          <w:lang w:eastAsia="lv-LV"/>
        </w:rPr>
        <w:t>. </w:t>
      </w:r>
      <w:proofErr w:type="spellStart"/>
      <w:r w:rsidR="007B7A0A" w:rsidRPr="007B7A0A">
        <w:rPr>
          <w:rFonts w:ascii="Times New Roman" w:hAnsi="Times New Roman" w:cs="Times New Roman"/>
          <w:b/>
          <w:i/>
          <w:sz w:val="24"/>
          <w:szCs w:val="24"/>
        </w:rPr>
        <w:t>euro</w:t>
      </w:r>
      <w:proofErr w:type="spellEnd"/>
      <w:r w:rsidR="006E5DCA" w:rsidRPr="00A43133">
        <w:rPr>
          <w:rFonts w:ascii="Times New Roman" w:hAnsi="Times New Roman" w:cs="Times New Roman"/>
          <w:b/>
          <w:sz w:val="24"/>
          <w:szCs w:val="24"/>
        </w:rPr>
        <w:t>.</w:t>
      </w:r>
      <w:r w:rsidRPr="00A43133">
        <w:rPr>
          <w:rFonts w:ascii="Times New Roman" w:hAnsi="Times New Roman" w:cs="Times New Roman"/>
          <w:sz w:val="24"/>
          <w:szCs w:val="24"/>
        </w:rPr>
        <w:t xml:space="preserve"> </w:t>
      </w:r>
    </w:p>
    <w:p w14:paraId="4B5C622F" w14:textId="12B14236" w:rsidR="006F57DE" w:rsidRPr="00EF633F" w:rsidRDefault="006E5DCA" w:rsidP="00915BDC">
      <w:pPr>
        <w:pStyle w:val="ListParagraph"/>
        <w:numPr>
          <w:ilvl w:val="0"/>
          <w:numId w:val="1"/>
        </w:numPr>
        <w:spacing w:line="276" w:lineRule="auto"/>
        <w:ind w:left="567" w:hanging="501"/>
        <w:jc w:val="both"/>
        <w:rPr>
          <w:rFonts w:ascii="Times New Roman" w:hAnsi="Times New Roman" w:cs="Times New Roman"/>
          <w:b/>
          <w:bCs/>
          <w:sz w:val="24"/>
          <w:szCs w:val="24"/>
        </w:rPr>
      </w:pPr>
      <w:r w:rsidRPr="00B25876">
        <w:rPr>
          <w:rFonts w:ascii="Times New Roman" w:hAnsi="Times New Roman" w:cs="Times New Roman"/>
          <w:sz w:val="24"/>
          <w:szCs w:val="24"/>
        </w:rPr>
        <w:t>S</w:t>
      </w:r>
      <w:r w:rsidR="006F57DE" w:rsidRPr="00B25876">
        <w:rPr>
          <w:rFonts w:ascii="Times New Roman" w:hAnsi="Times New Roman" w:cs="Times New Roman"/>
          <w:sz w:val="24"/>
          <w:szCs w:val="24"/>
        </w:rPr>
        <w:t xml:space="preserve">avukārt </w:t>
      </w:r>
      <w:r w:rsidR="00B25876">
        <w:rPr>
          <w:rFonts w:ascii="Times New Roman" w:hAnsi="Times New Roman" w:cs="Times New Roman"/>
          <w:sz w:val="24"/>
          <w:szCs w:val="24"/>
        </w:rPr>
        <w:t xml:space="preserve">attiecībā uz finansējuma atlikumiem, </w:t>
      </w:r>
      <w:r w:rsidR="006F57DE" w:rsidRPr="00B25876">
        <w:rPr>
          <w:rFonts w:ascii="Times New Roman" w:hAnsi="Times New Roman" w:cs="Times New Roman"/>
          <w:sz w:val="24"/>
          <w:szCs w:val="24"/>
        </w:rPr>
        <w:t>vairākos</w:t>
      </w:r>
      <w:r w:rsidR="006F57DE" w:rsidRPr="00AA0994">
        <w:rPr>
          <w:rFonts w:ascii="Times New Roman" w:hAnsi="Times New Roman" w:cs="Times New Roman"/>
          <w:sz w:val="24"/>
          <w:szCs w:val="24"/>
        </w:rPr>
        <w:t xml:space="preserve"> gadījumos nenokontraktētais finansējums šobrīd ir izsludināts </w:t>
      </w:r>
      <w:r w:rsidR="008E07D0" w:rsidRPr="00AA0994">
        <w:rPr>
          <w:rFonts w:ascii="Times New Roman" w:hAnsi="Times New Roman" w:cs="Times New Roman"/>
          <w:sz w:val="24"/>
          <w:szCs w:val="24"/>
        </w:rPr>
        <w:t>projektu iesniegumu atlasēs</w:t>
      </w:r>
      <w:r w:rsidR="006F57DE" w:rsidRPr="00AA0994">
        <w:rPr>
          <w:rFonts w:ascii="Times New Roman" w:hAnsi="Times New Roman" w:cs="Times New Roman"/>
          <w:sz w:val="24"/>
          <w:szCs w:val="24"/>
        </w:rPr>
        <w:t xml:space="preserve">, </w:t>
      </w:r>
      <w:r w:rsidR="003F22BD" w:rsidRPr="00AA0994">
        <w:rPr>
          <w:rFonts w:ascii="Times New Roman" w:hAnsi="Times New Roman" w:cs="Times New Roman"/>
          <w:sz w:val="24"/>
          <w:szCs w:val="24"/>
        </w:rPr>
        <w:t xml:space="preserve">attiecīgi </w:t>
      </w:r>
      <w:r w:rsidR="00D7565D">
        <w:rPr>
          <w:rFonts w:ascii="Times New Roman" w:hAnsi="Times New Roman" w:cs="Times New Roman"/>
          <w:sz w:val="24"/>
          <w:szCs w:val="24"/>
        </w:rPr>
        <w:t xml:space="preserve">uz </w:t>
      </w:r>
      <w:r w:rsidR="00D7565D" w:rsidRPr="00A43133">
        <w:rPr>
          <w:rFonts w:ascii="Times New Roman" w:hAnsi="Times New Roman" w:cs="Times New Roman"/>
          <w:sz w:val="24"/>
          <w:szCs w:val="24"/>
        </w:rPr>
        <w:t xml:space="preserve">2019.gada </w:t>
      </w:r>
      <w:r w:rsidR="00A41D31" w:rsidRPr="00A41D31">
        <w:rPr>
          <w:rFonts w:ascii="Times New Roman" w:hAnsi="Times New Roman" w:cs="Times New Roman"/>
          <w:sz w:val="24"/>
          <w:szCs w:val="24"/>
        </w:rPr>
        <w:t>11.septembri</w:t>
      </w:r>
      <w:r w:rsidR="00D7565D">
        <w:rPr>
          <w:rFonts w:ascii="Times New Roman" w:hAnsi="Times New Roman" w:cs="Times New Roman"/>
          <w:sz w:val="24"/>
          <w:szCs w:val="24"/>
        </w:rPr>
        <w:t xml:space="preserve"> </w:t>
      </w:r>
      <w:r w:rsidR="006F57DE" w:rsidRPr="00D7565D">
        <w:rPr>
          <w:rFonts w:ascii="Times New Roman" w:hAnsi="Times New Roman" w:cs="Times New Roman"/>
          <w:b/>
          <w:sz w:val="24"/>
          <w:szCs w:val="24"/>
        </w:rPr>
        <w:t xml:space="preserve">faktiski brīvais </w:t>
      </w:r>
      <w:r w:rsidR="006F57DE" w:rsidRPr="00EF633F">
        <w:rPr>
          <w:rFonts w:ascii="Times New Roman" w:hAnsi="Times New Roman" w:cs="Times New Roman"/>
          <w:b/>
          <w:sz w:val="24"/>
          <w:szCs w:val="24"/>
        </w:rPr>
        <w:t xml:space="preserve">finansējums ir </w:t>
      </w:r>
      <w:r w:rsidR="003D3888" w:rsidRPr="00EF633F">
        <w:rPr>
          <w:rFonts w:ascii="Times New Roman" w:hAnsi="Times New Roman" w:cs="Times New Roman"/>
          <w:b/>
          <w:bCs/>
          <w:sz w:val="24"/>
          <w:szCs w:val="24"/>
        </w:rPr>
        <w:t>202</w:t>
      </w:r>
      <w:r w:rsidR="00C15A98" w:rsidRPr="00EF633F">
        <w:rPr>
          <w:rFonts w:ascii="Times New Roman" w:hAnsi="Times New Roman" w:cs="Times New Roman"/>
          <w:b/>
          <w:bCs/>
          <w:sz w:val="24"/>
          <w:szCs w:val="24"/>
        </w:rPr>
        <w:t>,</w:t>
      </w:r>
      <w:r w:rsidR="00A8267D" w:rsidRPr="00EF633F">
        <w:rPr>
          <w:rFonts w:ascii="Times New Roman" w:hAnsi="Times New Roman" w:cs="Times New Roman"/>
          <w:b/>
          <w:bCs/>
          <w:sz w:val="24"/>
          <w:szCs w:val="24"/>
        </w:rPr>
        <w:t>5</w:t>
      </w:r>
      <w:r w:rsidR="00D21EFF" w:rsidRPr="00EF633F">
        <w:rPr>
          <w:rFonts w:ascii="Times New Roman" w:hAnsi="Times New Roman" w:cs="Times New Roman"/>
          <w:b/>
          <w:bCs/>
          <w:sz w:val="24"/>
          <w:szCs w:val="24"/>
        </w:rPr>
        <w:t> </w:t>
      </w:r>
      <w:r w:rsidR="00D7565D" w:rsidRPr="00EF633F">
        <w:rPr>
          <w:rFonts w:ascii="Times New Roman" w:hAnsi="Times New Roman" w:cs="Times New Roman"/>
          <w:b/>
          <w:bCs/>
          <w:sz w:val="24"/>
          <w:szCs w:val="24"/>
        </w:rPr>
        <w:t>milj.</w:t>
      </w:r>
      <w:r w:rsidR="00D21EFF" w:rsidRPr="00EF633F">
        <w:rPr>
          <w:rFonts w:ascii="Times New Roman" w:hAnsi="Times New Roman" w:cs="Times New Roman"/>
          <w:b/>
          <w:bCs/>
          <w:sz w:val="24"/>
          <w:szCs w:val="24"/>
        </w:rPr>
        <w:t> </w:t>
      </w:r>
      <w:proofErr w:type="spellStart"/>
      <w:r w:rsidR="007B7A0A" w:rsidRPr="00EF633F">
        <w:rPr>
          <w:rFonts w:ascii="Times New Roman" w:hAnsi="Times New Roman" w:cs="Times New Roman"/>
          <w:b/>
          <w:bCs/>
          <w:i/>
          <w:sz w:val="24"/>
          <w:szCs w:val="24"/>
        </w:rPr>
        <w:t>euro</w:t>
      </w:r>
      <w:proofErr w:type="spellEnd"/>
      <w:r w:rsidR="008B5B7E" w:rsidRPr="00EF633F">
        <w:rPr>
          <w:rStyle w:val="FootnoteReference"/>
          <w:rFonts w:ascii="Times New Roman" w:hAnsi="Times New Roman" w:cs="Times New Roman"/>
          <w:b/>
          <w:bCs/>
          <w:i/>
          <w:sz w:val="24"/>
          <w:szCs w:val="24"/>
        </w:rPr>
        <w:footnoteReference w:id="27"/>
      </w:r>
      <w:r w:rsidR="006F57DE" w:rsidRPr="00EF633F">
        <w:rPr>
          <w:rFonts w:ascii="Times New Roman" w:hAnsi="Times New Roman" w:cs="Times New Roman"/>
          <w:b/>
          <w:bCs/>
          <w:sz w:val="24"/>
          <w:szCs w:val="24"/>
        </w:rPr>
        <w:t>.</w:t>
      </w:r>
    </w:p>
    <w:p w14:paraId="18F1EFB8" w14:textId="73061D77" w:rsidR="0028589A" w:rsidRPr="00282A89" w:rsidRDefault="002D6995" w:rsidP="00915BDC">
      <w:pPr>
        <w:pStyle w:val="ListParagraph"/>
        <w:numPr>
          <w:ilvl w:val="0"/>
          <w:numId w:val="1"/>
        </w:numPr>
        <w:spacing w:line="276" w:lineRule="auto"/>
        <w:ind w:left="567" w:hanging="501"/>
        <w:jc w:val="both"/>
        <w:rPr>
          <w:rFonts w:ascii="Times New Roman" w:hAnsi="Times New Roman" w:cs="Times New Roman"/>
          <w:sz w:val="24"/>
          <w:szCs w:val="24"/>
        </w:rPr>
      </w:pPr>
      <w:r w:rsidRPr="005D527E">
        <w:rPr>
          <w:rFonts w:ascii="Times New Roman" w:hAnsi="Times New Roman" w:cs="Times New Roman"/>
          <w:b/>
          <w:sz w:val="24"/>
          <w:szCs w:val="24"/>
        </w:rPr>
        <w:t>FM priekšlikums</w:t>
      </w:r>
      <w:r w:rsidRPr="0033214E">
        <w:rPr>
          <w:rFonts w:ascii="Times New Roman" w:hAnsi="Times New Roman" w:cs="Times New Roman"/>
          <w:sz w:val="24"/>
          <w:szCs w:val="24"/>
        </w:rPr>
        <w:t xml:space="preserve"> turpmākai snieguma rezerves finansējuma un atlikumu novirzīšanai </w:t>
      </w:r>
      <w:r w:rsidR="0057278F" w:rsidRPr="0033214E">
        <w:rPr>
          <w:rFonts w:ascii="Times New Roman" w:hAnsi="Times New Roman" w:cs="Times New Roman"/>
          <w:sz w:val="24"/>
          <w:szCs w:val="24"/>
        </w:rPr>
        <w:t>(detalizēta informācija par snieguma rezerves/finansējuma atlikumu pārdalēm SAM/pasākum</w:t>
      </w:r>
      <w:r w:rsidRPr="006245ED">
        <w:rPr>
          <w:rFonts w:ascii="Times New Roman" w:hAnsi="Times New Roman" w:cs="Times New Roman"/>
          <w:sz w:val="24"/>
          <w:szCs w:val="24"/>
        </w:rPr>
        <w:t>os</w:t>
      </w:r>
      <w:r w:rsidR="0057278F" w:rsidRPr="006245ED">
        <w:rPr>
          <w:rFonts w:ascii="Times New Roman" w:hAnsi="Times New Roman" w:cs="Times New Roman"/>
          <w:sz w:val="24"/>
          <w:szCs w:val="24"/>
        </w:rPr>
        <w:t>/kārt</w:t>
      </w:r>
      <w:r w:rsidRPr="006245ED">
        <w:rPr>
          <w:rFonts w:ascii="Times New Roman" w:hAnsi="Times New Roman" w:cs="Times New Roman"/>
          <w:sz w:val="24"/>
          <w:szCs w:val="24"/>
        </w:rPr>
        <w:t>ā</w:t>
      </w:r>
      <w:r w:rsidR="0057278F" w:rsidRPr="006245ED">
        <w:rPr>
          <w:rFonts w:ascii="Times New Roman" w:hAnsi="Times New Roman" w:cs="Times New Roman"/>
          <w:sz w:val="24"/>
          <w:szCs w:val="24"/>
        </w:rPr>
        <w:t>s</w:t>
      </w:r>
      <w:r w:rsidRPr="006245ED">
        <w:rPr>
          <w:rFonts w:ascii="Times New Roman" w:hAnsi="Times New Roman" w:cs="Times New Roman"/>
          <w:sz w:val="24"/>
          <w:szCs w:val="24"/>
        </w:rPr>
        <w:t xml:space="preserve"> norādīta</w:t>
      </w:r>
      <w:r w:rsidR="00AD4AEF">
        <w:rPr>
          <w:rFonts w:ascii="Times New Roman" w:hAnsi="Times New Roman" w:cs="Times New Roman"/>
          <w:sz w:val="24"/>
          <w:szCs w:val="24"/>
        </w:rPr>
        <w:t xml:space="preserve"> informatīvā ziņojuma</w:t>
      </w:r>
      <w:r w:rsidR="0057278F" w:rsidRPr="006245ED">
        <w:rPr>
          <w:rFonts w:ascii="Times New Roman" w:hAnsi="Times New Roman" w:cs="Times New Roman"/>
          <w:sz w:val="24"/>
          <w:szCs w:val="24"/>
        </w:rPr>
        <w:t xml:space="preserve"> 1.pielikumā)</w:t>
      </w:r>
      <w:r w:rsidRPr="006245ED">
        <w:rPr>
          <w:rFonts w:ascii="Times New Roman" w:hAnsi="Times New Roman" w:cs="Times New Roman"/>
          <w:sz w:val="24"/>
          <w:szCs w:val="24"/>
        </w:rPr>
        <w:t xml:space="preserve"> </w:t>
      </w:r>
      <w:r w:rsidRPr="005D527E">
        <w:rPr>
          <w:rFonts w:ascii="Times New Roman" w:hAnsi="Times New Roman" w:cs="Times New Roman"/>
          <w:sz w:val="24"/>
          <w:szCs w:val="24"/>
        </w:rPr>
        <w:t>paredz</w:t>
      </w:r>
      <w:r w:rsidR="00BA02F6" w:rsidRPr="005D527E">
        <w:rPr>
          <w:rFonts w:ascii="Times New Roman" w:hAnsi="Times New Roman" w:cs="Times New Roman"/>
          <w:sz w:val="24"/>
          <w:szCs w:val="24"/>
        </w:rPr>
        <w:t xml:space="preserve"> </w:t>
      </w:r>
      <w:r w:rsidR="00B86071" w:rsidRPr="005D527E">
        <w:rPr>
          <w:rFonts w:ascii="Times New Roman" w:hAnsi="Times New Roman" w:cs="Times New Roman"/>
          <w:sz w:val="24"/>
          <w:szCs w:val="24"/>
        </w:rPr>
        <w:t xml:space="preserve">kompleksu </w:t>
      </w:r>
      <w:r w:rsidR="00BA02F6" w:rsidRPr="005D527E">
        <w:rPr>
          <w:rFonts w:ascii="Times New Roman" w:hAnsi="Times New Roman" w:cs="Times New Roman"/>
          <w:sz w:val="24"/>
          <w:szCs w:val="24"/>
        </w:rPr>
        <w:t>risinājumu, kas ir</w:t>
      </w:r>
      <w:r w:rsidR="00BA02F6" w:rsidRPr="005D527E">
        <w:rPr>
          <w:rFonts w:ascii="Times New Roman" w:hAnsi="Times New Roman" w:cs="Times New Roman"/>
          <w:b/>
          <w:sz w:val="24"/>
          <w:szCs w:val="24"/>
        </w:rPr>
        <w:t xml:space="preserve"> </w:t>
      </w:r>
      <w:r w:rsidR="00BA02F6" w:rsidRPr="00282A89">
        <w:rPr>
          <w:rFonts w:ascii="Times New Roman" w:hAnsi="Times New Roman" w:cs="Times New Roman"/>
          <w:sz w:val="24"/>
          <w:szCs w:val="24"/>
        </w:rPr>
        <w:t>vēr</w:t>
      </w:r>
      <w:r w:rsidR="005D790A">
        <w:rPr>
          <w:rFonts w:ascii="Times New Roman" w:hAnsi="Times New Roman" w:cs="Times New Roman"/>
          <w:sz w:val="24"/>
          <w:szCs w:val="24"/>
        </w:rPr>
        <w:t>s</w:t>
      </w:r>
      <w:r w:rsidR="00BA02F6" w:rsidRPr="00282A89">
        <w:rPr>
          <w:rFonts w:ascii="Times New Roman" w:hAnsi="Times New Roman" w:cs="Times New Roman"/>
          <w:sz w:val="24"/>
          <w:szCs w:val="24"/>
        </w:rPr>
        <w:t>ts uz</w:t>
      </w:r>
      <w:r w:rsidRPr="00282A89">
        <w:rPr>
          <w:rFonts w:ascii="Times New Roman" w:hAnsi="Times New Roman" w:cs="Times New Roman"/>
          <w:sz w:val="24"/>
          <w:szCs w:val="24"/>
        </w:rPr>
        <w:t xml:space="preserve"> </w:t>
      </w:r>
      <w:r w:rsidR="00D15D87" w:rsidRPr="00282A89">
        <w:rPr>
          <w:rFonts w:ascii="Times New Roman" w:hAnsi="Times New Roman" w:cs="Times New Roman"/>
          <w:sz w:val="24"/>
          <w:szCs w:val="24"/>
        </w:rPr>
        <w:t>maksimāli</w:t>
      </w:r>
      <w:r w:rsidR="0028589A" w:rsidRPr="00282A89">
        <w:rPr>
          <w:rFonts w:ascii="Times New Roman" w:hAnsi="Times New Roman" w:cs="Times New Roman"/>
          <w:sz w:val="24"/>
          <w:szCs w:val="24"/>
        </w:rPr>
        <w:t xml:space="preserve"> labvēlīg</w:t>
      </w:r>
      <w:r w:rsidR="00D15D87" w:rsidRPr="00282A89">
        <w:rPr>
          <w:rFonts w:ascii="Times New Roman" w:hAnsi="Times New Roman" w:cs="Times New Roman"/>
          <w:sz w:val="24"/>
          <w:szCs w:val="24"/>
        </w:rPr>
        <w:t>u</w:t>
      </w:r>
      <w:r w:rsidR="0028589A" w:rsidRPr="00282A89">
        <w:rPr>
          <w:rFonts w:ascii="Times New Roman" w:hAnsi="Times New Roman" w:cs="Times New Roman"/>
          <w:sz w:val="24"/>
          <w:szCs w:val="24"/>
        </w:rPr>
        <w:t xml:space="preserve"> ietekm</w:t>
      </w:r>
      <w:r w:rsidR="00BC7CC0" w:rsidRPr="00282A89">
        <w:rPr>
          <w:rFonts w:ascii="Times New Roman" w:hAnsi="Times New Roman" w:cs="Times New Roman"/>
          <w:sz w:val="24"/>
          <w:szCs w:val="24"/>
        </w:rPr>
        <w:t>i</w:t>
      </w:r>
      <w:r w:rsidR="0028589A" w:rsidRPr="00282A89">
        <w:rPr>
          <w:rFonts w:ascii="Times New Roman" w:hAnsi="Times New Roman" w:cs="Times New Roman"/>
          <w:sz w:val="24"/>
          <w:szCs w:val="24"/>
        </w:rPr>
        <w:t xml:space="preserve"> uz valsts budžetu</w:t>
      </w:r>
      <w:r w:rsidR="00BA02F6" w:rsidRPr="00282A89">
        <w:rPr>
          <w:rFonts w:ascii="Times New Roman" w:hAnsi="Times New Roman" w:cs="Times New Roman"/>
          <w:sz w:val="24"/>
          <w:szCs w:val="24"/>
        </w:rPr>
        <w:t xml:space="preserve"> – </w:t>
      </w:r>
      <w:r w:rsidR="00146905" w:rsidRPr="00282A89">
        <w:rPr>
          <w:rFonts w:ascii="Times New Roman" w:hAnsi="Times New Roman" w:cs="Times New Roman"/>
          <w:bCs/>
          <w:sz w:val="24"/>
          <w:szCs w:val="24"/>
        </w:rPr>
        <w:t xml:space="preserve">atbrīvot fiskālo telpu, kā arī vienmērīgas investīciju plūsmas nodrošināšanu, ņemot vērā tuvojošās plānošanas perioda beigas, </w:t>
      </w:r>
      <w:r w:rsidR="00BA02F6" w:rsidRPr="00282A89">
        <w:rPr>
          <w:rFonts w:ascii="Times New Roman" w:hAnsi="Times New Roman" w:cs="Times New Roman"/>
          <w:bCs/>
          <w:sz w:val="24"/>
          <w:szCs w:val="24"/>
        </w:rPr>
        <w:t xml:space="preserve">novirzot </w:t>
      </w:r>
      <w:r w:rsidR="00296092" w:rsidRPr="00282A89">
        <w:rPr>
          <w:rFonts w:ascii="Times New Roman" w:hAnsi="Times New Roman" w:cs="Times New Roman"/>
          <w:bCs/>
          <w:sz w:val="24"/>
          <w:szCs w:val="24"/>
        </w:rPr>
        <w:t xml:space="preserve">daļu </w:t>
      </w:r>
      <w:r w:rsidR="00BA02F6" w:rsidRPr="00282A89">
        <w:rPr>
          <w:rFonts w:ascii="Times New Roman" w:hAnsi="Times New Roman" w:cs="Times New Roman"/>
          <w:bCs/>
          <w:sz w:val="24"/>
          <w:szCs w:val="24"/>
        </w:rPr>
        <w:t>finansējum</w:t>
      </w:r>
      <w:r w:rsidR="00296092" w:rsidRPr="00282A89">
        <w:rPr>
          <w:rFonts w:ascii="Times New Roman" w:hAnsi="Times New Roman" w:cs="Times New Roman"/>
          <w:bCs/>
          <w:sz w:val="24"/>
          <w:szCs w:val="24"/>
        </w:rPr>
        <w:t>a</w:t>
      </w:r>
      <w:r w:rsidR="00BA02F6" w:rsidRPr="00282A89">
        <w:rPr>
          <w:rFonts w:ascii="Times New Roman" w:hAnsi="Times New Roman" w:cs="Times New Roman"/>
          <w:bCs/>
          <w:sz w:val="24"/>
          <w:szCs w:val="24"/>
        </w:rPr>
        <w:t xml:space="preserve"> nacionāli</w:t>
      </w:r>
      <w:r w:rsidR="00A420DC" w:rsidRPr="00282A89">
        <w:rPr>
          <w:rFonts w:ascii="Times New Roman" w:hAnsi="Times New Roman" w:cs="Times New Roman"/>
          <w:bCs/>
          <w:sz w:val="24"/>
          <w:szCs w:val="24"/>
        </w:rPr>
        <w:t xml:space="preserve"> un stratēģiski</w:t>
      </w:r>
      <w:r w:rsidR="00BA02F6" w:rsidRPr="00282A89">
        <w:rPr>
          <w:rFonts w:ascii="Times New Roman" w:hAnsi="Times New Roman" w:cs="Times New Roman"/>
          <w:bCs/>
          <w:sz w:val="24"/>
          <w:szCs w:val="24"/>
        </w:rPr>
        <w:t xml:space="preserve"> nozīmīgiem augtas gatavības projektiem</w:t>
      </w:r>
      <w:r w:rsidR="0028589A" w:rsidRPr="00282A89">
        <w:rPr>
          <w:rFonts w:ascii="Times New Roman" w:hAnsi="Times New Roman" w:cs="Times New Roman"/>
          <w:sz w:val="24"/>
          <w:szCs w:val="24"/>
        </w:rPr>
        <w:t>:</w:t>
      </w:r>
    </w:p>
    <w:p w14:paraId="741C7D1C" w14:textId="240021A5" w:rsidR="00745B13" w:rsidRPr="00243F61" w:rsidRDefault="003541D0" w:rsidP="0008520F">
      <w:pPr>
        <w:pStyle w:val="ListParagraph"/>
        <w:numPr>
          <w:ilvl w:val="1"/>
          <w:numId w:val="9"/>
        </w:numPr>
        <w:spacing w:after="0" w:line="276" w:lineRule="auto"/>
        <w:ind w:left="1134" w:hanging="425"/>
        <w:jc w:val="both"/>
        <w:rPr>
          <w:rFonts w:ascii="Times New Roman" w:hAnsi="Times New Roman" w:cs="Times New Roman"/>
          <w:b/>
          <w:sz w:val="24"/>
          <w:szCs w:val="24"/>
        </w:rPr>
      </w:pPr>
      <w:r>
        <w:rPr>
          <w:rFonts w:ascii="Times New Roman" w:hAnsi="Times New Roman" w:cs="Times New Roman"/>
          <w:b/>
          <w:bCs/>
          <w:sz w:val="24"/>
          <w:szCs w:val="24"/>
        </w:rPr>
        <w:lastRenderedPageBreak/>
        <w:t>A</w:t>
      </w:r>
      <w:r w:rsidR="00282A89" w:rsidRPr="00282A89">
        <w:rPr>
          <w:rFonts w:ascii="Times New Roman" w:hAnsi="Times New Roman" w:cs="Times New Roman"/>
          <w:b/>
          <w:bCs/>
          <w:sz w:val="24"/>
          <w:szCs w:val="24"/>
        </w:rPr>
        <w:t>tbilstoši MK jau pieņemtajam lēmumam</w:t>
      </w:r>
      <w:r w:rsidR="00282A89" w:rsidRPr="000622AB">
        <w:rPr>
          <w:rFonts w:ascii="Times New Roman" w:hAnsi="Times New Roman" w:cs="Times New Roman"/>
          <w:bCs/>
          <w:sz w:val="24"/>
          <w:szCs w:val="24"/>
          <w:vertAlign w:val="superscript"/>
        </w:rPr>
        <w:footnoteReference w:id="28"/>
      </w:r>
      <w:r w:rsidR="00282A89">
        <w:rPr>
          <w:rFonts w:ascii="Times New Roman" w:hAnsi="Times New Roman" w:cs="Times New Roman"/>
          <w:b/>
          <w:bCs/>
          <w:sz w:val="24"/>
          <w:szCs w:val="24"/>
        </w:rPr>
        <w:t xml:space="preserve"> </w:t>
      </w:r>
      <w:r w:rsidR="00146905" w:rsidRPr="00282A89">
        <w:rPr>
          <w:rFonts w:ascii="Times New Roman" w:hAnsi="Times New Roman" w:cs="Times New Roman"/>
          <w:sz w:val="24"/>
          <w:szCs w:val="24"/>
        </w:rPr>
        <w:t>valsts budžeta fiskālās telpas atbrīvošanai</w:t>
      </w:r>
      <w:r w:rsidR="00282A89" w:rsidRPr="00282A89">
        <w:rPr>
          <w:rFonts w:ascii="Times New Roman" w:hAnsi="Times New Roman" w:cs="Times New Roman"/>
          <w:sz w:val="24"/>
          <w:szCs w:val="24"/>
        </w:rPr>
        <w:t xml:space="preserve">, </w:t>
      </w:r>
      <w:r w:rsidR="00282A89">
        <w:rPr>
          <w:rFonts w:ascii="Times New Roman" w:hAnsi="Times New Roman" w:cs="Times New Roman"/>
          <w:b/>
          <w:sz w:val="24"/>
          <w:szCs w:val="24"/>
        </w:rPr>
        <w:t>daļ</w:t>
      </w:r>
      <w:r w:rsidR="000B5BE6">
        <w:rPr>
          <w:rFonts w:ascii="Times New Roman" w:hAnsi="Times New Roman" w:cs="Times New Roman"/>
          <w:b/>
          <w:sz w:val="24"/>
          <w:szCs w:val="24"/>
        </w:rPr>
        <w:t>a</w:t>
      </w:r>
      <w:r w:rsidR="00282A89">
        <w:rPr>
          <w:rFonts w:ascii="Times New Roman" w:hAnsi="Times New Roman" w:cs="Times New Roman"/>
          <w:b/>
          <w:sz w:val="24"/>
          <w:szCs w:val="24"/>
        </w:rPr>
        <w:t xml:space="preserve"> </w:t>
      </w:r>
      <w:r w:rsidR="000B5BE6">
        <w:rPr>
          <w:rFonts w:ascii="Times New Roman" w:hAnsi="Times New Roman" w:cs="Times New Roman"/>
          <w:b/>
          <w:sz w:val="24"/>
          <w:szCs w:val="24"/>
        </w:rPr>
        <w:t xml:space="preserve">no </w:t>
      </w:r>
      <w:r w:rsidR="00633A10">
        <w:rPr>
          <w:rFonts w:ascii="Times New Roman" w:hAnsi="Times New Roman" w:cs="Times New Roman"/>
          <w:b/>
          <w:sz w:val="24"/>
          <w:szCs w:val="24"/>
        </w:rPr>
        <w:t xml:space="preserve">ES fondu </w:t>
      </w:r>
      <w:r w:rsidR="00633A10" w:rsidRPr="00BF3A67">
        <w:rPr>
          <w:rFonts w:ascii="Times New Roman" w:hAnsi="Times New Roman" w:cs="Times New Roman"/>
          <w:b/>
          <w:sz w:val="24"/>
          <w:szCs w:val="24"/>
        </w:rPr>
        <w:t>snieguma</w:t>
      </w:r>
      <w:r w:rsidR="00633A10" w:rsidRPr="005355D5">
        <w:rPr>
          <w:rFonts w:ascii="Times New Roman" w:hAnsi="Times New Roman" w:cs="Times New Roman"/>
          <w:b/>
          <w:sz w:val="24"/>
          <w:szCs w:val="24"/>
        </w:rPr>
        <w:t xml:space="preserve"> rezerv</w:t>
      </w:r>
      <w:r w:rsidR="00282A89">
        <w:rPr>
          <w:rFonts w:ascii="Times New Roman" w:hAnsi="Times New Roman" w:cs="Times New Roman"/>
          <w:b/>
          <w:sz w:val="24"/>
          <w:szCs w:val="24"/>
        </w:rPr>
        <w:t>es</w:t>
      </w:r>
      <w:r w:rsidR="000B5BE6">
        <w:rPr>
          <w:rFonts w:ascii="Times New Roman" w:hAnsi="Times New Roman" w:cs="Times New Roman"/>
          <w:b/>
          <w:sz w:val="24"/>
          <w:szCs w:val="24"/>
        </w:rPr>
        <w:t>/</w:t>
      </w:r>
      <w:r w:rsidR="00633A10" w:rsidRPr="005355D5">
        <w:rPr>
          <w:rFonts w:ascii="Times New Roman" w:hAnsi="Times New Roman" w:cs="Times New Roman"/>
          <w:b/>
          <w:sz w:val="24"/>
          <w:szCs w:val="24"/>
        </w:rPr>
        <w:t xml:space="preserve">finansējuma </w:t>
      </w:r>
      <w:r w:rsidR="00633A10" w:rsidRPr="000B5BE6">
        <w:rPr>
          <w:rFonts w:ascii="Times New Roman" w:hAnsi="Times New Roman" w:cs="Times New Roman"/>
          <w:b/>
          <w:sz w:val="24"/>
          <w:szCs w:val="24"/>
        </w:rPr>
        <w:t>atlikum</w:t>
      </w:r>
      <w:r w:rsidR="008412D3">
        <w:rPr>
          <w:rFonts w:ascii="Times New Roman" w:hAnsi="Times New Roman" w:cs="Times New Roman"/>
          <w:b/>
          <w:sz w:val="24"/>
          <w:szCs w:val="24"/>
        </w:rPr>
        <w:t>iem</w:t>
      </w:r>
      <w:r w:rsidR="00633A10" w:rsidRPr="00A43133">
        <w:rPr>
          <w:rFonts w:ascii="Times New Roman" w:hAnsi="Times New Roman" w:cs="Times New Roman"/>
          <w:b/>
          <w:sz w:val="24"/>
          <w:szCs w:val="24"/>
        </w:rPr>
        <w:t xml:space="preserve"> </w:t>
      </w:r>
      <w:r w:rsidR="000B5BE6" w:rsidRPr="000B5BE6">
        <w:rPr>
          <w:rFonts w:ascii="Times New Roman" w:hAnsi="Times New Roman" w:cs="Times New Roman"/>
          <w:b/>
          <w:sz w:val="24"/>
          <w:szCs w:val="24"/>
        </w:rPr>
        <w:t>tiek</w:t>
      </w:r>
      <w:r w:rsidR="000B5BE6">
        <w:rPr>
          <w:rFonts w:ascii="Times New Roman" w:hAnsi="Times New Roman" w:cs="Times New Roman"/>
          <w:b/>
          <w:sz w:val="24"/>
          <w:szCs w:val="24"/>
        </w:rPr>
        <w:t xml:space="preserve"> </w:t>
      </w:r>
      <w:r w:rsidR="008F60DD" w:rsidRPr="005355D5">
        <w:rPr>
          <w:rFonts w:ascii="Times New Roman" w:hAnsi="Times New Roman" w:cs="Times New Roman"/>
          <w:sz w:val="24"/>
          <w:szCs w:val="24"/>
        </w:rPr>
        <w:t>novirzī</w:t>
      </w:r>
      <w:r w:rsidR="00282A89">
        <w:rPr>
          <w:rFonts w:ascii="Times New Roman" w:hAnsi="Times New Roman" w:cs="Times New Roman"/>
          <w:sz w:val="24"/>
          <w:szCs w:val="24"/>
        </w:rPr>
        <w:t>t</w:t>
      </w:r>
      <w:r w:rsidR="000B5BE6">
        <w:rPr>
          <w:rFonts w:ascii="Times New Roman" w:hAnsi="Times New Roman" w:cs="Times New Roman"/>
          <w:sz w:val="24"/>
          <w:szCs w:val="24"/>
        </w:rPr>
        <w:t>a</w:t>
      </w:r>
      <w:r w:rsidR="00282A89">
        <w:rPr>
          <w:rFonts w:ascii="Times New Roman" w:hAnsi="Times New Roman" w:cs="Times New Roman"/>
          <w:sz w:val="24"/>
          <w:szCs w:val="24"/>
        </w:rPr>
        <w:t xml:space="preserve"> </w:t>
      </w:r>
      <w:r w:rsidR="001A0ED8" w:rsidRPr="00282A89">
        <w:rPr>
          <w:rFonts w:ascii="Times New Roman" w:hAnsi="Times New Roman" w:cs="Times New Roman"/>
          <w:b/>
          <w:sz w:val="24"/>
          <w:szCs w:val="24"/>
        </w:rPr>
        <w:t xml:space="preserve">elektrovilcienu </w:t>
      </w:r>
      <w:r w:rsidR="00745B13" w:rsidRPr="00282A89">
        <w:rPr>
          <w:rFonts w:ascii="Times New Roman" w:hAnsi="Times New Roman" w:cs="Times New Roman"/>
          <w:b/>
          <w:sz w:val="24"/>
          <w:szCs w:val="24"/>
        </w:rPr>
        <w:t>vagonu iepirkuma projektam</w:t>
      </w:r>
      <w:r w:rsidR="004F4A7F" w:rsidRPr="000622AB">
        <w:rPr>
          <w:rStyle w:val="FootnoteReference"/>
          <w:rFonts w:ascii="Times New Roman" w:hAnsi="Times New Roman" w:cs="Times New Roman"/>
          <w:sz w:val="24"/>
          <w:szCs w:val="24"/>
        </w:rPr>
        <w:footnoteReference w:id="29"/>
      </w:r>
      <w:r w:rsidR="00282A89" w:rsidRPr="00282A89">
        <w:rPr>
          <w:rFonts w:ascii="Times New Roman" w:hAnsi="Times New Roman" w:cs="Times New Roman"/>
          <w:b/>
          <w:sz w:val="24"/>
          <w:szCs w:val="24"/>
        </w:rPr>
        <w:t xml:space="preserve">, </w:t>
      </w:r>
      <w:r w:rsidR="001A0ED8" w:rsidRPr="00282A89">
        <w:rPr>
          <w:rFonts w:ascii="Times New Roman" w:hAnsi="Times New Roman" w:cs="Times New Roman"/>
          <w:b/>
          <w:sz w:val="24"/>
          <w:szCs w:val="24"/>
        </w:rPr>
        <w:t xml:space="preserve">“Sēnītes” posma valsts autoceļu projektam </w:t>
      </w:r>
      <w:r w:rsidR="00282A89">
        <w:rPr>
          <w:rFonts w:ascii="Times New Roman" w:hAnsi="Times New Roman" w:cs="Times New Roman"/>
          <w:b/>
          <w:sz w:val="24"/>
          <w:szCs w:val="24"/>
        </w:rPr>
        <w:t xml:space="preserve">un </w:t>
      </w:r>
      <w:r w:rsidR="0028589A" w:rsidRPr="00EB3577">
        <w:rPr>
          <w:rFonts w:ascii="Times New Roman" w:hAnsi="Times New Roman" w:cs="Times New Roman"/>
          <w:b/>
          <w:sz w:val="24"/>
          <w:szCs w:val="24"/>
        </w:rPr>
        <w:t xml:space="preserve">Paula Stradiņa klīniskās universitātes slimnīcas </w:t>
      </w:r>
      <w:r w:rsidR="0028589A" w:rsidRPr="00243F61">
        <w:rPr>
          <w:rFonts w:ascii="Times New Roman" w:hAnsi="Times New Roman" w:cs="Times New Roman"/>
          <w:b/>
          <w:sz w:val="24"/>
          <w:szCs w:val="24"/>
        </w:rPr>
        <w:t>lielajam projektam</w:t>
      </w:r>
      <w:r w:rsidR="005D1EE0" w:rsidRPr="00243F61">
        <w:rPr>
          <w:rFonts w:ascii="Times New Roman" w:hAnsi="Times New Roman" w:cs="Times New Roman"/>
          <w:b/>
          <w:sz w:val="24"/>
          <w:szCs w:val="24"/>
        </w:rPr>
        <w:t>.</w:t>
      </w:r>
    </w:p>
    <w:p w14:paraId="413144C7" w14:textId="6D68F82C" w:rsidR="00D44F2C" w:rsidRPr="00243F61" w:rsidRDefault="003541D0" w:rsidP="0008520F">
      <w:pPr>
        <w:pStyle w:val="ListParagraph"/>
        <w:numPr>
          <w:ilvl w:val="1"/>
          <w:numId w:val="9"/>
        </w:numPr>
        <w:spacing w:line="276" w:lineRule="auto"/>
        <w:ind w:left="1134" w:hanging="425"/>
        <w:jc w:val="both"/>
        <w:rPr>
          <w:rFonts w:ascii="Times New Roman" w:hAnsi="Times New Roman" w:cs="Times New Roman"/>
          <w:sz w:val="24"/>
          <w:szCs w:val="24"/>
        </w:rPr>
      </w:pPr>
      <w:r w:rsidRPr="00243F61">
        <w:rPr>
          <w:rFonts w:ascii="Times New Roman" w:hAnsi="Times New Roman" w:cs="Times New Roman"/>
          <w:b/>
          <w:sz w:val="24"/>
          <w:szCs w:val="24"/>
        </w:rPr>
        <w:t>N</w:t>
      </w:r>
      <w:r w:rsidR="007B7A0A" w:rsidRPr="00243F61">
        <w:rPr>
          <w:rFonts w:ascii="Times New Roman" w:hAnsi="Times New Roman" w:cs="Times New Roman"/>
          <w:b/>
          <w:sz w:val="24"/>
          <w:szCs w:val="24"/>
        </w:rPr>
        <w:t xml:space="preserve">ovirzīt </w:t>
      </w:r>
      <w:proofErr w:type="spellStart"/>
      <w:r w:rsidR="007B7A0A" w:rsidRPr="00243F61">
        <w:rPr>
          <w:rFonts w:ascii="Times New Roman" w:hAnsi="Times New Roman" w:cs="Times New Roman"/>
          <w:b/>
          <w:sz w:val="24"/>
          <w:szCs w:val="24"/>
        </w:rPr>
        <w:t>deinstitucionalizācijas</w:t>
      </w:r>
      <w:proofErr w:type="spellEnd"/>
      <w:r w:rsidR="007B7A0A" w:rsidRPr="00243F61">
        <w:rPr>
          <w:rFonts w:ascii="Times New Roman" w:hAnsi="Times New Roman" w:cs="Times New Roman"/>
          <w:b/>
          <w:sz w:val="24"/>
          <w:szCs w:val="24"/>
        </w:rPr>
        <w:t xml:space="preserve"> infrastruktūras projektiem</w:t>
      </w:r>
      <w:r w:rsidR="007B7A0A" w:rsidRPr="00243F61">
        <w:rPr>
          <w:rFonts w:ascii="Times New Roman" w:hAnsi="Times New Roman" w:cs="Times New Roman"/>
          <w:sz w:val="24"/>
          <w:szCs w:val="24"/>
        </w:rPr>
        <w:t xml:space="preserve"> ES fondu finansējumu </w:t>
      </w:r>
      <w:r w:rsidRPr="00243F61">
        <w:rPr>
          <w:rFonts w:ascii="Times New Roman" w:hAnsi="Times New Roman" w:cs="Times New Roman"/>
          <w:b/>
          <w:sz w:val="24"/>
          <w:szCs w:val="24"/>
        </w:rPr>
        <w:t>12,8</w:t>
      </w:r>
      <w:r w:rsidR="007B7A0A" w:rsidRPr="00243F61">
        <w:rPr>
          <w:rFonts w:ascii="Times New Roman" w:hAnsi="Times New Roman" w:cs="Times New Roman"/>
          <w:b/>
          <w:sz w:val="24"/>
          <w:szCs w:val="24"/>
        </w:rPr>
        <w:t xml:space="preserve"> milj. </w:t>
      </w:r>
      <w:proofErr w:type="spellStart"/>
      <w:r w:rsidR="007B7A0A" w:rsidRPr="00243F61">
        <w:rPr>
          <w:rFonts w:ascii="Times New Roman" w:hAnsi="Times New Roman" w:cs="Times New Roman"/>
          <w:b/>
          <w:i/>
          <w:sz w:val="24"/>
          <w:szCs w:val="24"/>
        </w:rPr>
        <w:t>euro</w:t>
      </w:r>
      <w:proofErr w:type="spellEnd"/>
      <w:r w:rsidR="005D1EE0" w:rsidRPr="00243F61">
        <w:rPr>
          <w:rFonts w:ascii="Times New Roman" w:hAnsi="Times New Roman" w:cs="Times New Roman"/>
          <w:b/>
          <w:i/>
          <w:sz w:val="24"/>
          <w:szCs w:val="24"/>
        </w:rPr>
        <w:t xml:space="preserve"> </w:t>
      </w:r>
      <w:r w:rsidR="005D1EE0" w:rsidRPr="00243F61">
        <w:rPr>
          <w:rFonts w:ascii="Times New Roman" w:hAnsi="Times New Roman" w:cs="Times New Roman"/>
          <w:sz w:val="24"/>
          <w:szCs w:val="24"/>
        </w:rPr>
        <w:t>apmērā</w:t>
      </w:r>
      <w:r w:rsidR="007B7A0A" w:rsidRPr="00243F61">
        <w:rPr>
          <w:rFonts w:ascii="Times New Roman" w:hAnsi="Times New Roman" w:cs="Times New Roman"/>
          <w:sz w:val="24"/>
          <w:szCs w:val="24"/>
        </w:rPr>
        <w:t xml:space="preserve">, t.sk.  </w:t>
      </w:r>
      <w:r w:rsidRPr="00243F61">
        <w:rPr>
          <w:rFonts w:ascii="Times New Roman" w:hAnsi="Times New Roman" w:cs="Times New Roman"/>
          <w:sz w:val="24"/>
          <w:szCs w:val="24"/>
        </w:rPr>
        <w:t>ESF</w:t>
      </w:r>
      <w:r w:rsidR="00153476" w:rsidRPr="00243F61">
        <w:rPr>
          <w:rFonts w:ascii="Times New Roman" w:hAnsi="Times New Roman" w:cs="Times New Roman"/>
          <w:sz w:val="24"/>
          <w:szCs w:val="24"/>
        </w:rPr>
        <w:t xml:space="preserve"> finansējums</w:t>
      </w:r>
      <w:r w:rsidRPr="00243F61">
        <w:rPr>
          <w:rFonts w:ascii="Times New Roman" w:hAnsi="Times New Roman" w:cs="Times New Roman"/>
          <w:sz w:val="24"/>
          <w:szCs w:val="24"/>
        </w:rPr>
        <w:t xml:space="preserve"> 4,3 milj. </w:t>
      </w:r>
      <w:proofErr w:type="spellStart"/>
      <w:r w:rsidRPr="00243F61">
        <w:rPr>
          <w:rFonts w:ascii="Times New Roman" w:hAnsi="Times New Roman" w:cs="Times New Roman"/>
          <w:i/>
          <w:sz w:val="24"/>
          <w:szCs w:val="24"/>
        </w:rPr>
        <w:t>euro</w:t>
      </w:r>
      <w:proofErr w:type="spellEnd"/>
      <w:r w:rsidRPr="00243F61">
        <w:rPr>
          <w:rFonts w:ascii="Times New Roman" w:hAnsi="Times New Roman" w:cs="Times New Roman"/>
          <w:sz w:val="24"/>
          <w:szCs w:val="24"/>
        </w:rPr>
        <w:t xml:space="preserve"> no Labklājības ministrijas plānotajiem jauniešu garantijas</w:t>
      </w:r>
      <w:r w:rsidRPr="00243F61">
        <w:rPr>
          <w:rStyle w:val="FootnoteReference"/>
          <w:rFonts w:ascii="Times New Roman" w:hAnsi="Times New Roman" w:cs="Times New Roman"/>
          <w:sz w:val="24"/>
          <w:szCs w:val="24"/>
        </w:rPr>
        <w:footnoteReference w:id="30"/>
      </w:r>
      <w:r w:rsidRPr="00243F61">
        <w:rPr>
          <w:rFonts w:ascii="Times New Roman" w:hAnsi="Times New Roman" w:cs="Times New Roman"/>
          <w:sz w:val="24"/>
          <w:szCs w:val="24"/>
        </w:rPr>
        <w:t xml:space="preserve"> un darba drošības uzlabošanas pasākumiem</w:t>
      </w:r>
      <w:r w:rsidRPr="00243F61">
        <w:rPr>
          <w:rStyle w:val="FootnoteReference"/>
          <w:rFonts w:ascii="Times New Roman" w:hAnsi="Times New Roman" w:cs="Times New Roman"/>
          <w:sz w:val="24"/>
          <w:szCs w:val="24"/>
        </w:rPr>
        <w:footnoteReference w:id="31"/>
      </w:r>
      <w:r w:rsidRPr="00243F61">
        <w:rPr>
          <w:rFonts w:ascii="Times New Roman" w:hAnsi="Times New Roman" w:cs="Times New Roman"/>
          <w:sz w:val="24"/>
          <w:szCs w:val="24"/>
        </w:rPr>
        <w:t xml:space="preserve">, </w:t>
      </w:r>
      <w:r w:rsidR="007B7A0A" w:rsidRPr="00243F61">
        <w:rPr>
          <w:rFonts w:ascii="Times New Roman" w:hAnsi="Times New Roman" w:cs="Times New Roman"/>
          <w:sz w:val="24"/>
          <w:szCs w:val="24"/>
        </w:rPr>
        <w:t xml:space="preserve">ERAF </w:t>
      </w:r>
      <w:r w:rsidR="00153476" w:rsidRPr="00243F61">
        <w:rPr>
          <w:rFonts w:ascii="Times New Roman" w:hAnsi="Times New Roman" w:cs="Times New Roman"/>
          <w:sz w:val="24"/>
          <w:szCs w:val="24"/>
        </w:rPr>
        <w:t xml:space="preserve">finansējums </w:t>
      </w:r>
      <w:r w:rsidRPr="00243F61">
        <w:rPr>
          <w:rFonts w:ascii="Times New Roman" w:hAnsi="Times New Roman" w:cs="Times New Roman"/>
          <w:sz w:val="24"/>
          <w:szCs w:val="24"/>
        </w:rPr>
        <w:t xml:space="preserve">1,4 milj. </w:t>
      </w:r>
      <w:proofErr w:type="spellStart"/>
      <w:r w:rsidRPr="00243F61">
        <w:rPr>
          <w:rFonts w:ascii="Times New Roman" w:hAnsi="Times New Roman" w:cs="Times New Roman"/>
          <w:i/>
          <w:sz w:val="24"/>
          <w:szCs w:val="24"/>
        </w:rPr>
        <w:t>euro</w:t>
      </w:r>
      <w:proofErr w:type="spellEnd"/>
      <w:r w:rsidRPr="00243F61">
        <w:rPr>
          <w:rFonts w:ascii="Times New Roman" w:hAnsi="Times New Roman" w:cs="Times New Roman"/>
          <w:sz w:val="24"/>
          <w:szCs w:val="24"/>
        </w:rPr>
        <w:t xml:space="preserve"> </w:t>
      </w:r>
      <w:r w:rsidR="007B7A0A" w:rsidRPr="00243F61">
        <w:rPr>
          <w:rFonts w:ascii="Times New Roman" w:hAnsi="Times New Roman" w:cs="Times New Roman"/>
          <w:sz w:val="24"/>
          <w:szCs w:val="24"/>
        </w:rPr>
        <w:t xml:space="preserve">no </w:t>
      </w:r>
      <w:r w:rsidRPr="00243F61">
        <w:rPr>
          <w:rFonts w:ascii="Times New Roman" w:hAnsi="Times New Roman" w:cs="Times New Roman"/>
          <w:sz w:val="24"/>
          <w:szCs w:val="24"/>
        </w:rPr>
        <w:t>Labklājības ministrijas plānotajiem līdzekļiem tehnisko palīglīdzekļu apmaiņas fonda izveidei</w:t>
      </w:r>
      <w:r w:rsidRPr="00243F61">
        <w:rPr>
          <w:rStyle w:val="FootnoteReference"/>
          <w:rFonts w:ascii="Times New Roman" w:hAnsi="Times New Roman" w:cs="Times New Roman"/>
          <w:sz w:val="24"/>
          <w:szCs w:val="24"/>
        </w:rPr>
        <w:footnoteReference w:id="32"/>
      </w:r>
      <w:r w:rsidR="00153476" w:rsidRPr="00243F61">
        <w:rPr>
          <w:rFonts w:ascii="Times New Roman" w:hAnsi="Times New Roman" w:cs="Times New Roman"/>
          <w:sz w:val="24"/>
          <w:szCs w:val="24"/>
        </w:rPr>
        <w:t xml:space="preserve"> un</w:t>
      </w:r>
      <w:r w:rsidRPr="00243F61">
        <w:rPr>
          <w:rFonts w:ascii="Times New Roman" w:hAnsi="Times New Roman" w:cs="Times New Roman"/>
          <w:sz w:val="24"/>
          <w:szCs w:val="24"/>
        </w:rPr>
        <w:t xml:space="preserve"> </w:t>
      </w:r>
      <w:r w:rsidR="007B7A0A" w:rsidRPr="00243F61">
        <w:rPr>
          <w:rFonts w:ascii="Times New Roman" w:hAnsi="Times New Roman" w:cs="Times New Roman"/>
          <w:sz w:val="24"/>
          <w:szCs w:val="24"/>
        </w:rPr>
        <w:t xml:space="preserve">4,1 milj. </w:t>
      </w:r>
      <w:proofErr w:type="spellStart"/>
      <w:r w:rsidR="007B7A0A" w:rsidRPr="00243F61">
        <w:rPr>
          <w:rFonts w:ascii="Times New Roman" w:hAnsi="Times New Roman" w:cs="Times New Roman"/>
          <w:i/>
          <w:sz w:val="24"/>
          <w:szCs w:val="24"/>
        </w:rPr>
        <w:t>euro</w:t>
      </w:r>
      <w:proofErr w:type="spellEnd"/>
      <w:r w:rsidR="007B7A0A" w:rsidRPr="00243F61">
        <w:rPr>
          <w:rFonts w:ascii="Times New Roman" w:hAnsi="Times New Roman" w:cs="Times New Roman"/>
          <w:sz w:val="24"/>
          <w:szCs w:val="24"/>
        </w:rPr>
        <w:t xml:space="preserve"> no Veselības ministrijas IKT projekta VARAM aploksnes ietvaros</w:t>
      </w:r>
      <w:r w:rsidR="007B7A0A" w:rsidRPr="00243F61">
        <w:rPr>
          <w:rStyle w:val="FootnoteReference"/>
          <w:rFonts w:ascii="Times New Roman" w:hAnsi="Times New Roman" w:cs="Times New Roman"/>
          <w:sz w:val="24"/>
          <w:szCs w:val="24"/>
        </w:rPr>
        <w:footnoteReference w:id="33"/>
      </w:r>
      <w:r w:rsidR="00153476" w:rsidRPr="00243F61">
        <w:rPr>
          <w:rFonts w:ascii="Times New Roman" w:hAnsi="Times New Roman" w:cs="Times New Roman"/>
          <w:sz w:val="24"/>
          <w:szCs w:val="24"/>
        </w:rPr>
        <w:t>, kā arī</w:t>
      </w:r>
      <w:r w:rsidR="007B7A0A" w:rsidRPr="00243F61">
        <w:rPr>
          <w:rFonts w:ascii="Times New Roman" w:hAnsi="Times New Roman" w:cs="Times New Roman"/>
          <w:sz w:val="24"/>
          <w:szCs w:val="24"/>
        </w:rPr>
        <w:t xml:space="preserve"> 3,1 milj. </w:t>
      </w:r>
      <w:proofErr w:type="spellStart"/>
      <w:r w:rsidR="007B7A0A" w:rsidRPr="00243F61">
        <w:rPr>
          <w:rFonts w:ascii="Times New Roman" w:hAnsi="Times New Roman" w:cs="Times New Roman"/>
          <w:i/>
          <w:sz w:val="24"/>
          <w:szCs w:val="24"/>
        </w:rPr>
        <w:t>euro</w:t>
      </w:r>
      <w:proofErr w:type="spellEnd"/>
      <w:r w:rsidR="007B7A0A" w:rsidRPr="00243F61">
        <w:rPr>
          <w:rFonts w:ascii="Times New Roman" w:hAnsi="Times New Roman" w:cs="Times New Roman"/>
          <w:sz w:val="24"/>
          <w:szCs w:val="24"/>
        </w:rPr>
        <w:t xml:space="preserve"> no VARAM aploksnes</w:t>
      </w:r>
      <w:r w:rsidR="007B7A0A" w:rsidRPr="00243F61">
        <w:rPr>
          <w:rStyle w:val="FootnoteReference"/>
          <w:rFonts w:ascii="Times New Roman" w:hAnsi="Times New Roman" w:cs="Times New Roman"/>
          <w:sz w:val="24"/>
          <w:szCs w:val="24"/>
        </w:rPr>
        <w:footnoteReference w:id="34"/>
      </w:r>
      <w:r w:rsidR="005D1EE0" w:rsidRPr="00243F61">
        <w:rPr>
          <w:rFonts w:ascii="Times New Roman" w:hAnsi="Times New Roman" w:cs="Times New Roman"/>
          <w:sz w:val="24"/>
          <w:szCs w:val="24"/>
        </w:rPr>
        <w:t xml:space="preserve">. </w:t>
      </w:r>
    </w:p>
    <w:p w14:paraId="019C8895" w14:textId="5BD97A2F" w:rsidR="007B7A0A" w:rsidRPr="00243F61" w:rsidRDefault="005D1EE0" w:rsidP="00243F61">
      <w:pPr>
        <w:pStyle w:val="ListParagraph"/>
        <w:spacing w:line="276" w:lineRule="auto"/>
        <w:ind w:left="1134"/>
        <w:jc w:val="both"/>
        <w:rPr>
          <w:rFonts w:ascii="Times New Roman" w:hAnsi="Times New Roman" w:cs="Times New Roman"/>
          <w:sz w:val="24"/>
          <w:szCs w:val="24"/>
        </w:rPr>
      </w:pPr>
      <w:r w:rsidRPr="00243F61">
        <w:rPr>
          <w:rFonts w:ascii="Times New Roman" w:hAnsi="Times New Roman" w:cs="Times New Roman"/>
          <w:sz w:val="24"/>
          <w:szCs w:val="24"/>
        </w:rPr>
        <w:t xml:space="preserve">Papildu finansējums nepieciešams, lai nodrošinātu </w:t>
      </w:r>
      <w:proofErr w:type="spellStart"/>
      <w:r w:rsidRPr="00243F61">
        <w:rPr>
          <w:rFonts w:ascii="Times New Roman" w:hAnsi="Times New Roman" w:cs="Times New Roman"/>
          <w:sz w:val="24"/>
          <w:szCs w:val="24"/>
        </w:rPr>
        <w:t>deinstitucionalizācijas</w:t>
      </w:r>
      <w:proofErr w:type="spellEnd"/>
      <w:r w:rsidRPr="00243F61">
        <w:rPr>
          <w:rFonts w:ascii="Times New Roman" w:hAnsi="Times New Roman" w:cs="Times New Roman"/>
          <w:sz w:val="24"/>
          <w:szCs w:val="24"/>
        </w:rPr>
        <w:t xml:space="preserve"> plānu ieviešanu un sasniegtu tajos noteiktos mērķus un rezultātus. Virkne pašvaldību informē par būtisku plānoto projektu līdzfinansējuma apjoma palielinājumu, salīdzinot ar iepriekš plānoto, ņemot vērā, ka sākotnējie aprēķini (pirms reģionu </w:t>
      </w:r>
      <w:proofErr w:type="spellStart"/>
      <w:r w:rsidRPr="00243F61">
        <w:rPr>
          <w:rFonts w:ascii="Times New Roman" w:hAnsi="Times New Roman" w:cs="Times New Roman"/>
          <w:sz w:val="24"/>
          <w:szCs w:val="24"/>
        </w:rPr>
        <w:t>deinstitucionalizācijas</w:t>
      </w:r>
      <w:proofErr w:type="spellEnd"/>
      <w:r w:rsidRPr="00243F61">
        <w:rPr>
          <w:rFonts w:ascii="Times New Roman" w:hAnsi="Times New Roman" w:cs="Times New Roman"/>
          <w:sz w:val="24"/>
          <w:szCs w:val="24"/>
        </w:rPr>
        <w:t xml:space="preserve"> plānos ietverto risinājumu izstrādes) tika balstīti uz pakalpojumu infrastruktūras nodrošināšanu vidēji uz vienu mērķa grupas personu, nevis plānotajiem ieguldījumiem infrastruktūrā, proti, neņemot vērā konkrētu objektu pieejamību, izvietojumu un tehnisko stāvokli. Uz sākotnējo izmaksu noteikšanas brīdi vēl nebija zināmas katras pašvaldības individuālā situācija investīciju objektu gatavībai, t.i. lielākai daļai ir nepieciešamas būtiskas investīcijas sabiedrībā balstītu sociālo pakalpojumu infrastruktūras izveidei un attīstībai. </w:t>
      </w:r>
      <w:r w:rsidR="00153476" w:rsidRPr="00243F61">
        <w:rPr>
          <w:rFonts w:ascii="Times New Roman" w:hAnsi="Times New Roman" w:cs="Times New Roman"/>
          <w:sz w:val="24"/>
          <w:szCs w:val="24"/>
        </w:rPr>
        <w:t>Neparedzot papildu finansējumu pasākuma īstenošanai, m</w:t>
      </w:r>
      <w:r w:rsidRPr="00243F61">
        <w:rPr>
          <w:rFonts w:ascii="Times New Roman" w:hAnsi="Times New Roman" w:cs="Times New Roman"/>
          <w:sz w:val="24"/>
          <w:szCs w:val="24"/>
        </w:rPr>
        <w:t xml:space="preserve">inētais var radīt būtiskus īstenošanas riskus, t.sk. arī uz plānotajiem ieguldījumiem ESF ietvaros. </w:t>
      </w:r>
    </w:p>
    <w:p w14:paraId="2FA9D403" w14:textId="31331820" w:rsidR="0013064B" w:rsidRPr="002751BD" w:rsidRDefault="002F2A47" w:rsidP="0008520F">
      <w:pPr>
        <w:pStyle w:val="ListParagraph"/>
        <w:numPr>
          <w:ilvl w:val="1"/>
          <w:numId w:val="9"/>
        </w:numPr>
        <w:spacing w:line="276" w:lineRule="auto"/>
        <w:ind w:left="1134" w:hanging="425"/>
        <w:jc w:val="both"/>
        <w:rPr>
          <w:rFonts w:ascii="Times New Roman" w:hAnsi="Times New Roman" w:cs="Times New Roman"/>
          <w:sz w:val="24"/>
          <w:szCs w:val="24"/>
        </w:rPr>
      </w:pPr>
      <w:r w:rsidRPr="00EF633F">
        <w:rPr>
          <w:rFonts w:ascii="Times New Roman" w:hAnsi="Times New Roman" w:cs="Times New Roman"/>
          <w:sz w:val="24"/>
          <w:szCs w:val="24"/>
        </w:rPr>
        <w:t xml:space="preserve">Atbilstoši </w:t>
      </w:r>
      <w:r w:rsidR="00735057" w:rsidRPr="00EF633F">
        <w:rPr>
          <w:rFonts w:ascii="Times New Roman" w:hAnsi="Times New Roman" w:cs="Times New Roman"/>
          <w:sz w:val="24"/>
          <w:szCs w:val="24"/>
        </w:rPr>
        <w:t>SM</w:t>
      </w:r>
      <w:r w:rsidRPr="00EF633F">
        <w:rPr>
          <w:rFonts w:ascii="Times New Roman" w:hAnsi="Times New Roman" w:cs="Times New Roman"/>
          <w:sz w:val="24"/>
          <w:szCs w:val="24"/>
        </w:rPr>
        <w:t xml:space="preserve"> priekšlikumam</w:t>
      </w:r>
      <w:r w:rsidR="0013064B" w:rsidRPr="00EF633F">
        <w:rPr>
          <w:rFonts w:ascii="Times New Roman" w:hAnsi="Times New Roman" w:cs="Times New Roman"/>
          <w:sz w:val="24"/>
          <w:szCs w:val="24"/>
        </w:rPr>
        <w:t xml:space="preserve"> </w:t>
      </w:r>
      <w:r w:rsidRPr="00EF633F">
        <w:rPr>
          <w:rFonts w:ascii="Times New Roman" w:hAnsi="Times New Roman" w:cs="Times New Roman"/>
          <w:sz w:val="24"/>
          <w:szCs w:val="24"/>
        </w:rPr>
        <w:t>atļaut</w:t>
      </w:r>
      <w:r w:rsidRPr="00EF633F">
        <w:rPr>
          <w:rFonts w:ascii="Times New Roman" w:hAnsi="Times New Roman" w:cs="Times New Roman"/>
          <w:b/>
          <w:sz w:val="24"/>
          <w:szCs w:val="24"/>
        </w:rPr>
        <w:t xml:space="preserve"> </w:t>
      </w:r>
      <w:r w:rsidR="0013064B" w:rsidRPr="00EF633F">
        <w:rPr>
          <w:rFonts w:ascii="Times New Roman" w:hAnsi="Times New Roman" w:cs="Times New Roman"/>
          <w:b/>
          <w:sz w:val="24"/>
          <w:szCs w:val="24"/>
        </w:rPr>
        <w:t xml:space="preserve">novirzīt 20,0 milj. </w:t>
      </w:r>
      <w:proofErr w:type="spellStart"/>
      <w:r w:rsidR="0013064B" w:rsidRPr="00EF633F">
        <w:rPr>
          <w:rFonts w:ascii="Times New Roman" w:hAnsi="Times New Roman" w:cs="Times New Roman"/>
          <w:b/>
          <w:i/>
          <w:sz w:val="24"/>
          <w:szCs w:val="24"/>
        </w:rPr>
        <w:t>euro</w:t>
      </w:r>
      <w:proofErr w:type="spellEnd"/>
      <w:r w:rsidR="0013064B" w:rsidRPr="00EF633F">
        <w:rPr>
          <w:rFonts w:ascii="Times New Roman" w:hAnsi="Times New Roman" w:cs="Times New Roman"/>
          <w:b/>
          <w:sz w:val="24"/>
          <w:szCs w:val="24"/>
        </w:rPr>
        <w:t xml:space="preserve"> sliežu sabiedriskā transporta infrastruktūras projektiem</w:t>
      </w:r>
      <w:r w:rsidR="0013064B" w:rsidRPr="002751BD">
        <w:rPr>
          <w:rStyle w:val="FootnoteReference"/>
          <w:rFonts w:ascii="Times New Roman" w:hAnsi="Times New Roman" w:cs="Times New Roman"/>
          <w:sz w:val="24"/>
          <w:szCs w:val="24"/>
        </w:rPr>
        <w:footnoteReference w:id="35"/>
      </w:r>
      <w:r w:rsidR="0013064B" w:rsidRPr="002751BD">
        <w:rPr>
          <w:rFonts w:ascii="Times New Roman" w:hAnsi="Times New Roman" w:cs="Times New Roman"/>
          <w:sz w:val="24"/>
          <w:szCs w:val="24"/>
        </w:rPr>
        <w:t xml:space="preserve"> no dzelzceļa infrastruktūras modernizācijas finansējuma</w:t>
      </w:r>
      <w:r w:rsidR="0013064B" w:rsidRPr="002751BD">
        <w:rPr>
          <w:rStyle w:val="FootnoteReference"/>
          <w:rFonts w:ascii="Times New Roman" w:hAnsi="Times New Roman" w:cs="Times New Roman"/>
          <w:sz w:val="24"/>
          <w:szCs w:val="24"/>
        </w:rPr>
        <w:footnoteReference w:id="36"/>
      </w:r>
      <w:r w:rsidR="0013064B" w:rsidRPr="002751BD">
        <w:rPr>
          <w:rFonts w:ascii="Times New Roman" w:hAnsi="Times New Roman" w:cs="Times New Roman"/>
          <w:sz w:val="24"/>
          <w:szCs w:val="24"/>
        </w:rPr>
        <w:t>.</w:t>
      </w:r>
    </w:p>
    <w:p w14:paraId="1D41B48B" w14:textId="0ABB1710" w:rsidR="00282A89" w:rsidRPr="00A43133" w:rsidRDefault="00807A2B" w:rsidP="0008520F">
      <w:pPr>
        <w:pStyle w:val="ListParagraph"/>
        <w:numPr>
          <w:ilvl w:val="1"/>
          <w:numId w:val="9"/>
        </w:numPr>
        <w:spacing w:line="276" w:lineRule="auto"/>
        <w:ind w:left="1134" w:hanging="425"/>
        <w:jc w:val="both"/>
        <w:rPr>
          <w:rFonts w:ascii="Times New Roman" w:hAnsi="Times New Roman" w:cs="Times New Roman"/>
          <w:b/>
          <w:sz w:val="24"/>
          <w:szCs w:val="24"/>
        </w:rPr>
      </w:pPr>
      <w:r>
        <w:rPr>
          <w:rFonts w:ascii="Times New Roman" w:hAnsi="Times New Roman" w:cs="Times New Roman"/>
          <w:b/>
          <w:sz w:val="24"/>
          <w:szCs w:val="24"/>
        </w:rPr>
        <w:t>P</w:t>
      </w:r>
      <w:r w:rsidR="002B0D6D">
        <w:rPr>
          <w:rFonts w:ascii="Times New Roman" w:hAnsi="Times New Roman" w:cs="Times New Roman"/>
          <w:b/>
          <w:sz w:val="24"/>
          <w:szCs w:val="24"/>
        </w:rPr>
        <w:t xml:space="preserve">ārējos gadījumos </w:t>
      </w:r>
      <w:r w:rsidR="00282A89">
        <w:rPr>
          <w:rFonts w:ascii="Times New Roman" w:hAnsi="Times New Roman" w:cs="Times New Roman"/>
          <w:b/>
          <w:sz w:val="24"/>
          <w:szCs w:val="24"/>
        </w:rPr>
        <w:t>atbalstīt</w:t>
      </w:r>
      <w:r w:rsidR="008F7CC2">
        <w:rPr>
          <w:rFonts w:ascii="Times New Roman" w:hAnsi="Times New Roman" w:cs="Times New Roman"/>
          <w:b/>
          <w:sz w:val="24"/>
          <w:szCs w:val="24"/>
        </w:rPr>
        <w:t xml:space="preserve"> informatīvā ziņojuma 1.pielikumā ierosinātos risinājumus </w:t>
      </w:r>
      <w:r w:rsidR="00282A89">
        <w:rPr>
          <w:rFonts w:ascii="Times New Roman" w:hAnsi="Times New Roman" w:cs="Times New Roman"/>
          <w:b/>
          <w:sz w:val="24"/>
          <w:szCs w:val="24"/>
        </w:rPr>
        <w:t>snieguma rezerves finansējuma</w:t>
      </w:r>
      <w:r w:rsidR="00C478BA" w:rsidRPr="00282A89">
        <w:rPr>
          <w:rFonts w:ascii="Times New Roman" w:hAnsi="Times New Roman" w:cs="Times New Roman"/>
          <w:b/>
          <w:sz w:val="24"/>
          <w:szCs w:val="24"/>
        </w:rPr>
        <w:t xml:space="preserve"> un </w:t>
      </w:r>
      <w:r w:rsidR="00282A89">
        <w:rPr>
          <w:rFonts w:ascii="Times New Roman" w:hAnsi="Times New Roman" w:cs="Times New Roman"/>
          <w:b/>
          <w:sz w:val="24"/>
          <w:szCs w:val="24"/>
        </w:rPr>
        <w:t>finansējuma atlikumu</w:t>
      </w:r>
      <w:r w:rsidR="0057278F" w:rsidRPr="00282A89">
        <w:rPr>
          <w:rFonts w:ascii="Times New Roman" w:hAnsi="Times New Roman" w:cs="Times New Roman"/>
          <w:b/>
          <w:sz w:val="24"/>
          <w:szCs w:val="24"/>
        </w:rPr>
        <w:t xml:space="preserve"> </w:t>
      </w:r>
      <w:r w:rsidR="00A97C2F">
        <w:rPr>
          <w:rFonts w:ascii="Times New Roman" w:hAnsi="Times New Roman" w:cs="Times New Roman"/>
          <w:b/>
          <w:sz w:val="24"/>
          <w:szCs w:val="24"/>
        </w:rPr>
        <w:lastRenderedPageBreak/>
        <w:t>novirzīšana</w:t>
      </w:r>
      <w:r w:rsidR="008F7CC2">
        <w:rPr>
          <w:rFonts w:ascii="Times New Roman" w:hAnsi="Times New Roman" w:cs="Times New Roman"/>
          <w:b/>
          <w:sz w:val="24"/>
          <w:szCs w:val="24"/>
        </w:rPr>
        <w:t>i, balstoties</w:t>
      </w:r>
      <w:r w:rsidR="00AF55EF">
        <w:rPr>
          <w:rFonts w:ascii="Times New Roman" w:hAnsi="Times New Roman" w:cs="Times New Roman"/>
          <w:b/>
          <w:sz w:val="24"/>
          <w:szCs w:val="24"/>
        </w:rPr>
        <w:t xml:space="preserve"> uz</w:t>
      </w:r>
      <w:r w:rsidR="008F7CC2">
        <w:rPr>
          <w:rFonts w:ascii="Times New Roman" w:hAnsi="Times New Roman" w:cs="Times New Roman"/>
          <w:b/>
          <w:sz w:val="24"/>
          <w:szCs w:val="24"/>
        </w:rPr>
        <w:t xml:space="preserve"> ES fondu atbildīgo iestāžu sniegtaj</w:t>
      </w:r>
      <w:r w:rsidR="00AF55EF">
        <w:rPr>
          <w:rFonts w:ascii="Times New Roman" w:hAnsi="Times New Roman" w:cs="Times New Roman"/>
          <w:b/>
          <w:sz w:val="24"/>
          <w:szCs w:val="24"/>
        </w:rPr>
        <w:t>iem</w:t>
      </w:r>
      <w:r w:rsidR="008F7CC2">
        <w:rPr>
          <w:rFonts w:ascii="Times New Roman" w:hAnsi="Times New Roman" w:cs="Times New Roman"/>
          <w:b/>
          <w:sz w:val="24"/>
          <w:szCs w:val="24"/>
        </w:rPr>
        <w:t xml:space="preserve"> priekšlikum</w:t>
      </w:r>
      <w:r w:rsidR="00AF55EF">
        <w:rPr>
          <w:rFonts w:ascii="Times New Roman" w:hAnsi="Times New Roman" w:cs="Times New Roman"/>
          <w:b/>
          <w:sz w:val="24"/>
          <w:szCs w:val="24"/>
        </w:rPr>
        <w:t>iem</w:t>
      </w:r>
      <w:r w:rsidR="00E0233F">
        <w:rPr>
          <w:rFonts w:ascii="Times New Roman" w:hAnsi="Times New Roman" w:cs="Times New Roman"/>
          <w:sz w:val="24"/>
          <w:szCs w:val="24"/>
        </w:rPr>
        <w:t xml:space="preserve">, </w:t>
      </w:r>
      <w:r w:rsidR="00E0233F" w:rsidRPr="000622AB">
        <w:rPr>
          <w:rFonts w:ascii="Times New Roman" w:hAnsi="Times New Roman" w:cs="Times New Roman"/>
          <w:sz w:val="24"/>
          <w:szCs w:val="24"/>
        </w:rPr>
        <w:t>t.sk. paredzot, ka ES fondu atbildīgās iestādes var piedāvāt korekcijas ES fondu finansējuma pārdalēm, kuru rezultātā netiek veiktas pārdales starp prioritārajiem virzieniem/fondiem</w:t>
      </w:r>
      <w:r w:rsidR="008F7CC2" w:rsidRPr="000622AB">
        <w:rPr>
          <w:rFonts w:ascii="Times New Roman" w:hAnsi="Times New Roman" w:cs="Times New Roman"/>
          <w:sz w:val="24"/>
          <w:szCs w:val="24"/>
        </w:rPr>
        <w:t>.</w:t>
      </w:r>
      <w:r w:rsidR="008F7CC2">
        <w:rPr>
          <w:rFonts w:ascii="Times New Roman" w:hAnsi="Times New Roman" w:cs="Times New Roman"/>
          <w:b/>
          <w:sz w:val="24"/>
          <w:szCs w:val="24"/>
        </w:rPr>
        <w:t xml:space="preserve"> </w:t>
      </w:r>
      <w:r w:rsidR="00A97C2F" w:rsidRPr="00A97C2F">
        <w:rPr>
          <w:rFonts w:ascii="Times New Roman" w:hAnsi="Times New Roman" w:cs="Times New Roman"/>
          <w:sz w:val="24"/>
          <w:szCs w:val="24"/>
        </w:rPr>
        <w:t>Vienlaikus j</w:t>
      </w:r>
      <w:r w:rsidR="00A97C2F" w:rsidRPr="00A43133">
        <w:rPr>
          <w:rFonts w:ascii="Times New Roman" w:hAnsi="Times New Roman" w:cs="Times New Roman"/>
          <w:sz w:val="24"/>
          <w:szCs w:val="24"/>
        </w:rPr>
        <w:t xml:space="preserve">āņem vērā, ka </w:t>
      </w:r>
      <w:r w:rsidR="00AD4AEF">
        <w:rPr>
          <w:rFonts w:ascii="Times New Roman" w:hAnsi="Times New Roman" w:cs="Times New Roman"/>
          <w:sz w:val="24"/>
          <w:szCs w:val="24"/>
        </w:rPr>
        <w:t xml:space="preserve">informatīvā ziņojuma </w:t>
      </w:r>
      <w:r w:rsidR="00A97C2F" w:rsidRPr="00A43133">
        <w:rPr>
          <w:rFonts w:ascii="Times New Roman" w:hAnsi="Times New Roman" w:cs="Times New Roman"/>
          <w:sz w:val="24"/>
          <w:szCs w:val="24"/>
        </w:rPr>
        <w:t>1.pielikumā atspoguļotie priekšlikumi pieejamā ES fondu finansējuma (atbildīgās iestādes “aploksnes”) ietvaros detalizēti tiks vērtēti, saskaņojot MK noteikumu par SAM/pasākumu īstenošanu grozījumus, t.sk. vērtējot plānoto finansējuma izlietojumu pēc būtības, atbilstību darbības programmai, ietekmi uz rādītāju sasniegšanu, kā arī uz konkrēto brīdi faktiski pieejamo finansējuma atlikumu.</w:t>
      </w:r>
    </w:p>
    <w:p w14:paraId="19632485" w14:textId="03B0766E" w:rsidR="003B58BC" w:rsidRDefault="0018266A" w:rsidP="00C763EE">
      <w:pPr>
        <w:pStyle w:val="ListParagraph"/>
        <w:numPr>
          <w:ilvl w:val="0"/>
          <w:numId w:val="1"/>
        </w:numPr>
        <w:spacing w:after="0" w:line="276" w:lineRule="auto"/>
        <w:ind w:left="567" w:hanging="567"/>
        <w:jc w:val="both"/>
        <w:rPr>
          <w:rFonts w:ascii="Times New Roman" w:hAnsi="Times New Roman" w:cs="Times New Roman"/>
          <w:sz w:val="24"/>
          <w:szCs w:val="24"/>
        </w:rPr>
      </w:pPr>
      <w:r w:rsidRPr="0018266A">
        <w:rPr>
          <w:rFonts w:ascii="Times New Roman" w:hAnsi="Times New Roman" w:cs="Times New Roman"/>
          <w:sz w:val="24"/>
          <w:szCs w:val="24"/>
        </w:rPr>
        <w:t xml:space="preserve">Gadījumos, ja  ES fondu atbildīgās iestādes piedāvātais </w:t>
      </w:r>
      <w:r w:rsidR="003B58BC">
        <w:rPr>
          <w:rFonts w:ascii="Times New Roman" w:hAnsi="Times New Roman" w:cs="Times New Roman"/>
          <w:sz w:val="24"/>
          <w:szCs w:val="24"/>
        </w:rPr>
        <w:t xml:space="preserve">pārdalāmais finansējums </w:t>
      </w:r>
      <w:r w:rsidRPr="0018266A">
        <w:rPr>
          <w:rFonts w:ascii="Times New Roman" w:hAnsi="Times New Roman" w:cs="Times New Roman"/>
          <w:sz w:val="24"/>
          <w:szCs w:val="24"/>
        </w:rPr>
        <w:t>ir piesaistīts SAM/pasākumam</w:t>
      </w:r>
      <w:r w:rsidR="00F96256">
        <w:rPr>
          <w:rStyle w:val="FootnoteReference"/>
          <w:rFonts w:ascii="Times New Roman" w:hAnsi="Times New Roman" w:cs="Times New Roman"/>
          <w:sz w:val="24"/>
          <w:szCs w:val="24"/>
        </w:rPr>
        <w:footnoteReference w:id="37"/>
      </w:r>
      <w:r w:rsidR="00F96256">
        <w:rPr>
          <w:rFonts w:ascii="Times New Roman" w:hAnsi="Times New Roman" w:cs="Times New Roman"/>
          <w:sz w:val="24"/>
          <w:szCs w:val="24"/>
        </w:rPr>
        <w:t xml:space="preserve">, ES fondu atbildīgā iestāde </w:t>
      </w:r>
      <w:r w:rsidRPr="0018266A">
        <w:rPr>
          <w:rFonts w:ascii="Times New Roman" w:hAnsi="Times New Roman" w:cs="Times New Roman"/>
          <w:sz w:val="24"/>
          <w:szCs w:val="24"/>
        </w:rPr>
        <w:t xml:space="preserve">veic nepieciešamās darbības un </w:t>
      </w:r>
      <w:proofErr w:type="spellStart"/>
      <w:r w:rsidRPr="0018266A">
        <w:rPr>
          <w:rFonts w:ascii="Times New Roman" w:hAnsi="Times New Roman" w:cs="Times New Roman"/>
          <w:sz w:val="24"/>
          <w:szCs w:val="24"/>
        </w:rPr>
        <w:t>izvērtējumu</w:t>
      </w:r>
      <w:proofErr w:type="spellEnd"/>
      <w:r w:rsidRPr="0018266A">
        <w:rPr>
          <w:rFonts w:ascii="Times New Roman" w:hAnsi="Times New Roman" w:cs="Times New Roman"/>
          <w:sz w:val="24"/>
          <w:szCs w:val="24"/>
        </w:rPr>
        <w:t xml:space="preserve">, lai nodrošinātu, ka atbilstoši priekšlikumam pārdalāmais finansējums tiek atbrīvots atbilstoši un juridiski pamatoti, tas ir, ES fondu atbildīgā iestāde nodrošina ne vien minētā ierosinājuma </w:t>
      </w:r>
      <w:proofErr w:type="spellStart"/>
      <w:r w:rsidRPr="0018266A">
        <w:rPr>
          <w:rFonts w:ascii="Times New Roman" w:hAnsi="Times New Roman" w:cs="Times New Roman"/>
          <w:sz w:val="24"/>
          <w:szCs w:val="24"/>
        </w:rPr>
        <w:t>izvērtējuma</w:t>
      </w:r>
      <w:proofErr w:type="spellEnd"/>
      <w:r w:rsidRPr="0018266A">
        <w:rPr>
          <w:rFonts w:ascii="Times New Roman" w:hAnsi="Times New Roman" w:cs="Times New Roman"/>
          <w:sz w:val="24"/>
          <w:szCs w:val="24"/>
        </w:rPr>
        <w:t xml:space="preserve"> pamatojumu, bet arī veic nepieciešamo komunikāciju ar sadarbības iestādi un nepieciešamības gadījumā konsultējas arī ar potenciālajiem un esošajiem ES fondu finansējuma saņēmējiem.  </w:t>
      </w:r>
    </w:p>
    <w:p w14:paraId="69F8BA1D" w14:textId="14CD0C72" w:rsidR="007F20C9" w:rsidRDefault="008B352D" w:rsidP="00282A89">
      <w:pPr>
        <w:pStyle w:val="ListParagraph"/>
        <w:numPr>
          <w:ilvl w:val="0"/>
          <w:numId w:val="1"/>
        </w:numPr>
        <w:spacing w:after="0" w:line="276" w:lineRule="auto"/>
        <w:ind w:left="567" w:hanging="567"/>
        <w:jc w:val="both"/>
        <w:rPr>
          <w:rFonts w:ascii="Times New Roman" w:hAnsi="Times New Roman" w:cs="Times New Roman"/>
          <w:sz w:val="24"/>
          <w:szCs w:val="24"/>
        </w:rPr>
      </w:pPr>
      <w:r w:rsidRPr="00282A89">
        <w:rPr>
          <w:rFonts w:ascii="Times New Roman" w:hAnsi="Times New Roman" w:cs="Times New Roman"/>
          <w:sz w:val="24"/>
          <w:szCs w:val="24"/>
        </w:rPr>
        <w:t xml:space="preserve">Snieguma rezerves finansējums </w:t>
      </w:r>
      <w:r w:rsidR="00282A89">
        <w:rPr>
          <w:rFonts w:ascii="Times New Roman" w:hAnsi="Times New Roman" w:cs="Times New Roman"/>
          <w:sz w:val="24"/>
          <w:szCs w:val="24"/>
        </w:rPr>
        <w:t xml:space="preserve">potenciāli </w:t>
      </w:r>
      <w:r w:rsidRPr="00282A89">
        <w:rPr>
          <w:rFonts w:ascii="Times New Roman" w:hAnsi="Times New Roman" w:cs="Times New Roman"/>
          <w:sz w:val="24"/>
          <w:szCs w:val="24"/>
        </w:rPr>
        <w:t>izmantojams gan sākotnēji plānotā SAM/pasākuma ietvaros (</w:t>
      </w:r>
      <w:r w:rsidR="006F2727" w:rsidRPr="00282A89">
        <w:rPr>
          <w:rFonts w:ascii="Times New Roman" w:hAnsi="Times New Roman" w:cs="Times New Roman"/>
          <w:sz w:val="24"/>
          <w:szCs w:val="24"/>
        </w:rPr>
        <w:t xml:space="preserve">t.sk. </w:t>
      </w:r>
      <w:r w:rsidRPr="00282A89">
        <w:rPr>
          <w:rFonts w:ascii="Times New Roman" w:hAnsi="Times New Roman" w:cs="Times New Roman"/>
          <w:sz w:val="24"/>
          <w:szCs w:val="24"/>
        </w:rPr>
        <w:t xml:space="preserve">kompensējot </w:t>
      </w:r>
      <w:proofErr w:type="spellStart"/>
      <w:r w:rsidRPr="00282A89">
        <w:rPr>
          <w:rFonts w:ascii="Times New Roman" w:hAnsi="Times New Roman" w:cs="Times New Roman"/>
          <w:sz w:val="24"/>
          <w:szCs w:val="24"/>
        </w:rPr>
        <w:t>priekšfinansēto</w:t>
      </w:r>
      <w:proofErr w:type="spellEnd"/>
      <w:r w:rsidRPr="00282A89">
        <w:rPr>
          <w:rFonts w:ascii="Times New Roman" w:hAnsi="Times New Roman" w:cs="Times New Roman"/>
          <w:sz w:val="24"/>
          <w:szCs w:val="24"/>
        </w:rPr>
        <w:t xml:space="preserve"> finansējuma apjomu projektos, īstenošanā esošajos projektos paredzot papildu darbības vai izsludinot jaunas projektu iesniegumu atlases)</w:t>
      </w:r>
      <w:r w:rsidR="00282A89">
        <w:rPr>
          <w:rFonts w:ascii="Times New Roman" w:hAnsi="Times New Roman" w:cs="Times New Roman"/>
          <w:sz w:val="24"/>
          <w:szCs w:val="24"/>
        </w:rPr>
        <w:t>,</w:t>
      </w:r>
      <w:r w:rsidRPr="00282A89">
        <w:rPr>
          <w:rFonts w:ascii="Times New Roman" w:hAnsi="Times New Roman" w:cs="Times New Roman"/>
          <w:sz w:val="24"/>
          <w:szCs w:val="24"/>
        </w:rPr>
        <w:t xml:space="preserve"> gan var tikt pārdalīts citam SAM/pasākumam. </w:t>
      </w:r>
    </w:p>
    <w:p w14:paraId="4D754CC6" w14:textId="4B2A911C" w:rsidR="008B352D" w:rsidRPr="00001728" w:rsidRDefault="008B352D" w:rsidP="00282A89">
      <w:pPr>
        <w:pStyle w:val="ListParagraph"/>
        <w:numPr>
          <w:ilvl w:val="0"/>
          <w:numId w:val="1"/>
        </w:numPr>
        <w:spacing w:after="0" w:line="276" w:lineRule="auto"/>
        <w:ind w:left="567" w:hanging="567"/>
        <w:jc w:val="both"/>
        <w:rPr>
          <w:rFonts w:ascii="Times New Roman" w:hAnsi="Times New Roman" w:cs="Times New Roman"/>
          <w:sz w:val="24"/>
          <w:szCs w:val="24"/>
        </w:rPr>
      </w:pPr>
      <w:r w:rsidRPr="00001728">
        <w:rPr>
          <w:rFonts w:ascii="Times New Roman" w:hAnsi="Times New Roman" w:cs="Times New Roman"/>
          <w:sz w:val="24"/>
          <w:szCs w:val="24"/>
        </w:rPr>
        <w:t xml:space="preserve">Izstrādātais priekšlikums ietekmē </w:t>
      </w:r>
      <w:r w:rsidR="00A97C2F" w:rsidRPr="00001728">
        <w:rPr>
          <w:rFonts w:ascii="Times New Roman" w:hAnsi="Times New Roman" w:cs="Times New Roman"/>
          <w:sz w:val="24"/>
          <w:szCs w:val="24"/>
        </w:rPr>
        <w:t xml:space="preserve">ne tikai </w:t>
      </w:r>
      <w:r w:rsidRPr="00001728">
        <w:rPr>
          <w:rFonts w:ascii="Times New Roman" w:hAnsi="Times New Roman" w:cs="Times New Roman"/>
          <w:sz w:val="24"/>
          <w:szCs w:val="24"/>
        </w:rPr>
        <w:t>atsevišķos MK noteikumos par SAM/pasākumu īstenošanu noteikto finansējumu, atbalstāmās darbības un rādītājus</w:t>
      </w:r>
      <w:r w:rsidR="00A97C2F" w:rsidRPr="00001728">
        <w:rPr>
          <w:rFonts w:ascii="Times New Roman" w:hAnsi="Times New Roman" w:cs="Times New Roman"/>
          <w:sz w:val="24"/>
          <w:szCs w:val="24"/>
        </w:rPr>
        <w:t xml:space="preserve"> (</w:t>
      </w:r>
      <w:r w:rsidRPr="00001728">
        <w:rPr>
          <w:rFonts w:ascii="Times New Roman" w:hAnsi="Times New Roman" w:cs="Times New Roman"/>
          <w:sz w:val="24"/>
          <w:szCs w:val="24"/>
        </w:rPr>
        <w:t>attiecīgi nepieciešami grozījumi MK noteikumos par SAM/pasākumu īstenošanu</w:t>
      </w:r>
      <w:r w:rsidR="00A97C2F" w:rsidRPr="00001728">
        <w:rPr>
          <w:rFonts w:ascii="Times New Roman" w:hAnsi="Times New Roman" w:cs="Times New Roman"/>
          <w:sz w:val="24"/>
          <w:szCs w:val="24"/>
        </w:rPr>
        <w:t>), bet arī paredz izmaiņas darbības programmā</w:t>
      </w:r>
      <w:r w:rsidR="007F20C9" w:rsidRPr="00001728">
        <w:rPr>
          <w:rFonts w:ascii="Times New Roman" w:hAnsi="Times New Roman" w:cs="Times New Roman"/>
          <w:sz w:val="24"/>
          <w:szCs w:val="24"/>
        </w:rPr>
        <w:t xml:space="preserve"> un izrietoši P</w:t>
      </w:r>
      <w:r w:rsidR="005F59E8" w:rsidRPr="00001728">
        <w:rPr>
          <w:rFonts w:ascii="Times New Roman" w:hAnsi="Times New Roman" w:cs="Times New Roman"/>
          <w:sz w:val="24"/>
          <w:szCs w:val="24"/>
        </w:rPr>
        <w:t>artnerības līgumā Eiropas Savienības invest</w:t>
      </w:r>
      <w:r w:rsidR="007F20C9" w:rsidRPr="00001728">
        <w:rPr>
          <w:rFonts w:ascii="Times New Roman" w:hAnsi="Times New Roman" w:cs="Times New Roman"/>
          <w:sz w:val="24"/>
          <w:szCs w:val="24"/>
        </w:rPr>
        <w:t>īciju fondu 2014.</w:t>
      </w:r>
      <w:r w:rsidR="005F59E8" w:rsidRPr="00001728">
        <w:rPr>
          <w:rFonts w:ascii="Times New Roman" w:hAnsi="Times New Roman" w:cs="Times New Roman"/>
          <w:sz w:val="24"/>
          <w:szCs w:val="24"/>
        </w:rPr>
        <w:t>–2020.gada plānošanas periodam</w:t>
      </w:r>
      <w:r w:rsidR="007F20C9" w:rsidRPr="00001728">
        <w:rPr>
          <w:rFonts w:ascii="Times New Roman" w:hAnsi="Times New Roman" w:cs="Times New Roman"/>
          <w:sz w:val="24"/>
          <w:szCs w:val="24"/>
        </w:rPr>
        <w:t xml:space="preserve"> (turpmāk – partnerības līgums)</w:t>
      </w:r>
      <w:r w:rsidRPr="00001728">
        <w:rPr>
          <w:rFonts w:ascii="Times New Roman" w:hAnsi="Times New Roman" w:cs="Times New Roman"/>
          <w:sz w:val="24"/>
          <w:szCs w:val="24"/>
        </w:rPr>
        <w:t>.</w:t>
      </w:r>
      <w:r w:rsidR="00A97C2F" w:rsidRPr="00001728">
        <w:rPr>
          <w:rFonts w:ascii="Times New Roman" w:hAnsi="Times New Roman" w:cs="Times New Roman"/>
          <w:sz w:val="24"/>
          <w:szCs w:val="24"/>
        </w:rPr>
        <w:t xml:space="preserve"> Darbības programmas </w:t>
      </w:r>
      <w:r w:rsidR="005F59E8" w:rsidRPr="00001728">
        <w:rPr>
          <w:rFonts w:ascii="Times New Roman" w:hAnsi="Times New Roman" w:cs="Times New Roman"/>
          <w:sz w:val="24"/>
          <w:szCs w:val="24"/>
        </w:rPr>
        <w:t xml:space="preserve">un partnerības līguma </w:t>
      </w:r>
      <w:r w:rsidR="00A97C2F" w:rsidRPr="00001728">
        <w:rPr>
          <w:rFonts w:ascii="Times New Roman" w:hAnsi="Times New Roman" w:cs="Times New Roman"/>
          <w:sz w:val="24"/>
          <w:szCs w:val="24"/>
        </w:rPr>
        <w:t xml:space="preserve">grozījumus </w:t>
      </w:r>
      <w:r w:rsidR="00252BAC" w:rsidRPr="00001728">
        <w:rPr>
          <w:rFonts w:ascii="Times New Roman" w:hAnsi="Times New Roman" w:cs="Times New Roman"/>
          <w:sz w:val="24"/>
          <w:szCs w:val="24"/>
        </w:rPr>
        <w:t>pēc ES fondu atbildīgo iestāžu</w:t>
      </w:r>
      <w:r w:rsidR="00A97C2F" w:rsidRPr="00001728">
        <w:rPr>
          <w:rFonts w:ascii="Times New Roman" w:hAnsi="Times New Roman" w:cs="Times New Roman"/>
          <w:sz w:val="24"/>
          <w:szCs w:val="24"/>
        </w:rPr>
        <w:t xml:space="preserve"> sagatavotajiem priekšlikumiem sagatavos un virzīs FM (t.sk. pirms iesniegšanas EK saskaņojot ES fondu 2014.–2020.gada plānošanas perioda Uzraudzības komitejā un virzot apstiprināšanai MK).</w:t>
      </w:r>
    </w:p>
    <w:p w14:paraId="4895CC41" w14:textId="56FCE3F9" w:rsidR="005553A6" w:rsidRPr="00001728" w:rsidRDefault="00966A07" w:rsidP="00915BDC">
      <w:pPr>
        <w:pStyle w:val="ListParagraph"/>
        <w:numPr>
          <w:ilvl w:val="0"/>
          <w:numId w:val="1"/>
        </w:numPr>
        <w:spacing w:after="0" w:line="276" w:lineRule="auto"/>
        <w:ind w:left="567" w:hanging="567"/>
        <w:jc w:val="both"/>
        <w:rPr>
          <w:rFonts w:ascii="Times New Roman" w:hAnsi="Times New Roman" w:cs="Times New Roman"/>
          <w:sz w:val="24"/>
          <w:szCs w:val="24"/>
        </w:rPr>
      </w:pPr>
      <w:r w:rsidRPr="00001728">
        <w:rPr>
          <w:rFonts w:ascii="Times New Roman" w:hAnsi="Times New Roman" w:cs="Times New Roman"/>
          <w:sz w:val="24"/>
          <w:szCs w:val="24"/>
        </w:rPr>
        <w:t>Vienlaikus jāatzīmē, ka</w:t>
      </w:r>
      <w:r w:rsidR="008B2638" w:rsidRPr="00001728">
        <w:rPr>
          <w:rFonts w:ascii="Times New Roman" w:hAnsi="Times New Roman" w:cs="Times New Roman"/>
          <w:sz w:val="24"/>
          <w:szCs w:val="24"/>
        </w:rPr>
        <w:t xml:space="preserve"> priekšlikums paredz</w:t>
      </w:r>
      <w:r w:rsidRPr="00001728">
        <w:rPr>
          <w:rFonts w:ascii="Times New Roman" w:hAnsi="Times New Roman" w:cs="Times New Roman"/>
          <w:sz w:val="24"/>
          <w:szCs w:val="24"/>
        </w:rPr>
        <w:t xml:space="preserve"> </w:t>
      </w:r>
      <w:r w:rsidR="00B21954">
        <w:rPr>
          <w:rFonts w:ascii="Times New Roman" w:hAnsi="Times New Roman" w:cs="Times New Roman"/>
          <w:sz w:val="24"/>
          <w:szCs w:val="24"/>
        </w:rPr>
        <w:t>ESF</w:t>
      </w:r>
      <w:r w:rsidRPr="00001728">
        <w:rPr>
          <w:rFonts w:ascii="Times New Roman" w:hAnsi="Times New Roman" w:cs="Times New Roman"/>
          <w:sz w:val="24"/>
          <w:szCs w:val="24"/>
        </w:rPr>
        <w:t xml:space="preserve"> finansējuma samazinājum</w:t>
      </w:r>
      <w:r w:rsidR="008B2638" w:rsidRPr="00001728">
        <w:rPr>
          <w:rFonts w:ascii="Times New Roman" w:hAnsi="Times New Roman" w:cs="Times New Roman"/>
          <w:sz w:val="24"/>
          <w:szCs w:val="24"/>
        </w:rPr>
        <w:t>u</w:t>
      </w:r>
      <w:r w:rsidRPr="00001728">
        <w:rPr>
          <w:rFonts w:ascii="Times New Roman" w:hAnsi="Times New Roman" w:cs="Times New Roman"/>
          <w:sz w:val="24"/>
          <w:szCs w:val="24"/>
        </w:rPr>
        <w:t xml:space="preserve">, attiecīgi palielinot </w:t>
      </w:r>
      <w:r w:rsidR="00BF3A67" w:rsidRPr="00001728">
        <w:rPr>
          <w:rFonts w:ascii="Times New Roman" w:hAnsi="Times New Roman" w:cs="Times New Roman"/>
          <w:sz w:val="24"/>
          <w:szCs w:val="24"/>
        </w:rPr>
        <w:t>ERAF</w:t>
      </w:r>
      <w:r w:rsidRPr="00001728">
        <w:rPr>
          <w:rFonts w:ascii="Times New Roman" w:hAnsi="Times New Roman" w:cs="Times New Roman"/>
          <w:sz w:val="24"/>
          <w:szCs w:val="24"/>
        </w:rPr>
        <w:t xml:space="preserve"> finansējumu</w:t>
      </w:r>
      <w:r w:rsidR="007F20C9" w:rsidRPr="00001728">
        <w:rPr>
          <w:rFonts w:ascii="Times New Roman" w:hAnsi="Times New Roman" w:cs="Times New Roman"/>
          <w:sz w:val="24"/>
          <w:szCs w:val="24"/>
        </w:rPr>
        <w:t xml:space="preserve"> (paredzot papildu finansējumu Paula Stradiņa klīniskās universitātes slimnīcas lielajam projektam, no </w:t>
      </w:r>
      <w:r w:rsidR="00B21954">
        <w:rPr>
          <w:rFonts w:ascii="Times New Roman" w:hAnsi="Times New Roman" w:cs="Times New Roman"/>
          <w:sz w:val="24"/>
          <w:szCs w:val="24"/>
        </w:rPr>
        <w:t>ESF</w:t>
      </w:r>
      <w:r w:rsidR="00D21EFF">
        <w:rPr>
          <w:rFonts w:ascii="Times New Roman" w:hAnsi="Times New Roman" w:cs="Times New Roman"/>
          <w:sz w:val="24"/>
          <w:szCs w:val="24"/>
        </w:rPr>
        <w:t xml:space="preserve"> uz ERAF paredzēts pārlikt 13,3 milj. </w:t>
      </w:r>
      <w:proofErr w:type="spellStart"/>
      <w:r w:rsidR="007B7A0A" w:rsidRPr="00001728">
        <w:rPr>
          <w:rFonts w:ascii="Times New Roman" w:hAnsi="Times New Roman" w:cs="Times New Roman"/>
          <w:i/>
          <w:sz w:val="24"/>
          <w:szCs w:val="24"/>
        </w:rPr>
        <w:t>euro</w:t>
      </w:r>
      <w:proofErr w:type="spellEnd"/>
      <w:r w:rsidR="00F74244">
        <w:rPr>
          <w:rFonts w:ascii="Times New Roman" w:hAnsi="Times New Roman" w:cs="Times New Roman"/>
          <w:i/>
          <w:sz w:val="24"/>
          <w:szCs w:val="24"/>
        </w:rPr>
        <w:t xml:space="preserve">, </w:t>
      </w:r>
      <w:r w:rsidR="00F74244" w:rsidRPr="00F74244">
        <w:rPr>
          <w:rFonts w:ascii="Times New Roman" w:hAnsi="Times New Roman" w:cs="Times New Roman"/>
          <w:sz w:val="24"/>
          <w:szCs w:val="24"/>
        </w:rPr>
        <w:t>kā arī</w:t>
      </w:r>
      <w:r w:rsidR="00F74244">
        <w:rPr>
          <w:rFonts w:ascii="Times New Roman" w:hAnsi="Times New Roman" w:cs="Times New Roman"/>
          <w:sz w:val="24"/>
          <w:szCs w:val="24"/>
        </w:rPr>
        <w:t xml:space="preserve"> </w:t>
      </w:r>
      <w:r w:rsidR="00B21954">
        <w:rPr>
          <w:rFonts w:ascii="Times New Roman" w:hAnsi="Times New Roman" w:cs="Times New Roman"/>
          <w:sz w:val="24"/>
          <w:szCs w:val="24"/>
        </w:rPr>
        <w:t>ESF</w:t>
      </w:r>
      <w:r w:rsidR="00F74244">
        <w:rPr>
          <w:rFonts w:ascii="Times New Roman" w:hAnsi="Times New Roman" w:cs="Times New Roman"/>
          <w:sz w:val="24"/>
          <w:szCs w:val="24"/>
        </w:rPr>
        <w:t xml:space="preserve"> finansējuma pārdales uz ERAF </w:t>
      </w:r>
      <w:proofErr w:type="spellStart"/>
      <w:r w:rsidR="00F74244">
        <w:rPr>
          <w:rFonts w:ascii="Times New Roman" w:hAnsi="Times New Roman" w:cs="Times New Roman"/>
          <w:sz w:val="24"/>
          <w:szCs w:val="24"/>
        </w:rPr>
        <w:t>deinst</w:t>
      </w:r>
      <w:r w:rsidR="00D21EFF">
        <w:rPr>
          <w:rFonts w:ascii="Times New Roman" w:hAnsi="Times New Roman" w:cs="Times New Roman"/>
          <w:sz w:val="24"/>
          <w:szCs w:val="24"/>
        </w:rPr>
        <w:t>ucionlizācijas</w:t>
      </w:r>
      <w:proofErr w:type="spellEnd"/>
      <w:r w:rsidR="00D21EFF">
        <w:rPr>
          <w:rFonts w:ascii="Times New Roman" w:hAnsi="Times New Roman" w:cs="Times New Roman"/>
          <w:sz w:val="24"/>
          <w:szCs w:val="24"/>
        </w:rPr>
        <w:t xml:space="preserve"> projektiem – 4,3 milj. </w:t>
      </w:r>
      <w:proofErr w:type="spellStart"/>
      <w:r w:rsidR="00F74244" w:rsidRPr="00F74244">
        <w:rPr>
          <w:rFonts w:ascii="Times New Roman" w:hAnsi="Times New Roman" w:cs="Times New Roman"/>
          <w:i/>
          <w:sz w:val="24"/>
          <w:szCs w:val="24"/>
        </w:rPr>
        <w:t>euro</w:t>
      </w:r>
      <w:proofErr w:type="spellEnd"/>
      <w:r w:rsidR="007F20C9" w:rsidRPr="00001728">
        <w:rPr>
          <w:rFonts w:ascii="Times New Roman" w:hAnsi="Times New Roman" w:cs="Times New Roman"/>
          <w:sz w:val="24"/>
          <w:szCs w:val="24"/>
        </w:rPr>
        <w:t>)</w:t>
      </w:r>
      <w:r w:rsidR="002A0404" w:rsidRPr="00001728">
        <w:rPr>
          <w:rFonts w:ascii="Times New Roman" w:hAnsi="Times New Roman" w:cs="Times New Roman"/>
          <w:sz w:val="24"/>
          <w:szCs w:val="24"/>
        </w:rPr>
        <w:t>.</w:t>
      </w:r>
      <w:r w:rsidRPr="00001728">
        <w:rPr>
          <w:rFonts w:ascii="Times New Roman" w:hAnsi="Times New Roman" w:cs="Times New Roman"/>
          <w:sz w:val="24"/>
          <w:szCs w:val="24"/>
        </w:rPr>
        <w:t xml:space="preserve"> </w:t>
      </w:r>
      <w:r w:rsidR="002A0404" w:rsidRPr="00001728">
        <w:rPr>
          <w:rFonts w:ascii="Times New Roman" w:hAnsi="Times New Roman" w:cs="Times New Roman"/>
          <w:sz w:val="24"/>
          <w:szCs w:val="24"/>
        </w:rPr>
        <w:t>Nav izslēgts</w:t>
      </w:r>
      <w:r w:rsidRPr="00001728">
        <w:rPr>
          <w:rFonts w:ascii="Times New Roman" w:hAnsi="Times New Roman" w:cs="Times New Roman"/>
          <w:sz w:val="24"/>
          <w:szCs w:val="24"/>
        </w:rPr>
        <w:t xml:space="preserve">, ka EK </w:t>
      </w:r>
      <w:r w:rsidR="002A0404" w:rsidRPr="00001728">
        <w:rPr>
          <w:rFonts w:ascii="Times New Roman" w:hAnsi="Times New Roman" w:cs="Times New Roman"/>
          <w:sz w:val="24"/>
          <w:szCs w:val="24"/>
        </w:rPr>
        <w:t>šādas</w:t>
      </w:r>
      <w:r w:rsidRPr="00001728">
        <w:rPr>
          <w:rFonts w:ascii="Times New Roman" w:hAnsi="Times New Roman" w:cs="Times New Roman"/>
          <w:sz w:val="24"/>
          <w:szCs w:val="24"/>
        </w:rPr>
        <w:t xml:space="preserve"> </w:t>
      </w:r>
      <w:r w:rsidR="002A0404" w:rsidRPr="00001728">
        <w:rPr>
          <w:rFonts w:ascii="Times New Roman" w:hAnsi="Times New Roman" w:cs="Times New Roman"/>
          <w:sz w:val="24"/>
          <w:szCs w:val="24"/>
        </w:rPr>
        <w:t xml:space="preserve">finansējuma </w:t>
      </w:r>
      <w:r w:rsidRPr="00001728">
        <w:rPr>
          <w:rFonts w:ascii="Times New Roman" w:hAnsi="Times New Roman" w:cs="Times New Roman"/>
          <w:sz w:val="24"/>
          <w:szCs w:val="24"/>
        </w:rPr>
        <w:t xml:space="preserve">pārdales var </w:t>
      </w:r>
      <w:r w:rsidRPr="00001728">
        <w:rPr>
          <w:rFonts w:ascii="Times New Roman" w:hAnsi="Times New Roman" w:cs="Times New Roman"/>
          <w:sz w:val="24"/>
          <w:szCs w:val="24"/>
        </w:rPr>
        <w:lastRenderedPageBreak/>
        <w:t>neatbalstīt, ņemot vērā aktuālās vajadzības sociālajā jomā. Šajā gadījumā būs jāvērtē alternatīvi risinājumi finanšu resursu piesaistei.</w:t>
      </w:r>
      <w:r w:rsidR="007F20C9" w:rsidRPr="00001728">
        <w:rPr>
          <w:rFonts w:ascii="Times New Roman" w:hAnsi="Times New Roman" w:cs="Times New Roman"/>
          <w:sz w:val="24"/>
          <w:szCs w:val="24"/>
        </w:rPr>
        <w:t xml:space="preserve"> Tāpat, </w:t>
      </w:r>
      <w:r w:rsidR="00CD2EBA" w:rsidRPr="00001728">
        <w:rPr>
          <w:rFonts w:ascii="Times New Roman" w:hAnsi="Times New Roman" w:cs="Times New Roman"/>
          <w:sz w:val="24"/>
          <w:szCs w:val="24"/>
        </w:rPr>
        <w:t>ņemot vērā, ka pārdales skar gan prioritāros virzienus, gan fondus, izstrādājot</w:t>
      </w:r>
      <w:r w:rsidR="007F20C9" w:rsidRPr="00001728">
        <w:rPr>
          <w:rFonts w:ascii="Times New Roman" w:hAnsi="Times New Roman" w:cs="Times New Roman"/>
          <w:sz w:val="24"/>
          <w:szCs w:val="24"/>
        </w:rPr>
        <w:t xml:space="preserve"> </w:t>
      </w:r>
      <w:r w:rsidR="00CD2EBA" w:rsidRPr="00001728">
        <w:rPr>
          <w:rFonts w:ascii="Times New Roman" w:hAnsi="Times New Roman" w:cs="Times New Roman"/>
          <w:sz w:val="24"/>
          <w:szCs w:val="24"/>
        </w:rPr>
        <w:t xml:space="preserve">konkrētu </w:t>
      </w:r>
      <w:r w:rsidR="007F20C9" w:rsidRPr="00001728">
        <w:rPr>
          <w:rFonts w:ascii="Times New Roman" w:hAnsi="Times New Roman" w:cs="Times New Roman"/>
          <w:sz w:val="24"/>
          <w:szCs w:val="24"/>
        </w:rPr>
        <w:t>darbības programma</w:t>
      </w:r>
      <w:r w:rsidR="008C499F" w:rsidRPr="00001728">
        <w:rPr>
          <w:rFonts w:ascii="Times New Roman" w:hAnsi="Times New Roman" w:cs="Times New Roman"/>
          <w:sz w:val="24"/>
          <w:szCs w:val="24"/>
        </w:rPr>
        <w:t>s grozījumu priekšlikumu finansējuma pārdaļu</w:t>
      </w:r>
      <w:r w:rsidR="007F20C9" w:rsidRPr="00001728">
        <w:rPr>
          <w:rFonts w:ascii="Times New Roman" w:hAnsi="Times New Roman" w:cs="Times New Roman"/>
          <w:sz w:val="24"/>
          <w:szCs w:val="24"/>
        </w:rPr>
        <w:t xml:space="preserve"> </w:t>
      </w:r>
      <w:r w:rsidR="003942CD">
        <w:rPr>
          <w:rFonts w:ascii="Times New Roman" w:hAnsi="Times New Roman" w:cs="Times New Roman"/>
          <w:sz w:val="24"/>
          <w:szCs w:val="24"/>
        </w:rPr>
        <w:t>saskaņošanai ar EK</w:t>
      </w:r>
      <w:r w:rsidR="007F20C9" w:rsidRPr="00001728">
        <w:rPr>
          <w:rFonts w:ascii="Times New Roman" w:hAnsi="Times New Roman" w:cs="Times New Roman"/>
          <w:sz w:val="24"/>
          <w:szCs w:val="24"/>
        </w:rPr>
        <w:t xml:space="preserve">, </w:t>
      </w:r>
      <w:r w:rsidR="00CD2EBA" w:rsidRPr="00001728">
        <w:rPr>
          <w:rFonts w:ascii="Times New Roman" w:hAnsi="Times New Roman" w:cs="Times New Roman"/>
          <w:sz w:val="24"/>
          <w:szCs w:val="24"/>
        </w:rPr>
        <w:t>tiks sekots</w:t>
      </w:r>
      <w:r w:rsidR="007F20C9" w:rsidRPr="00001728">
        <w:rPr>
          <w:rFonts w:ascii="Times New Roman" w:hAnsi="Times New Roman" w:cs="Times New Roman"/>
          <w:sz w:val="24"/>
          <w:szCs w:val="24"/>
        </w:rPr>
        <w:t xml:space="preserve"> līdzi EK noteiktajām tematiskās koncentrācijas prasībām</w:t>
      </w:r>
      <w:r w:rsidR="003942CD">
        <w:rPr>
          <w:rFonts w:ascii="Times New Roman" w:hAnsi="Times New Roman" w:cs="Times New Roman"/>
          <w:sz w:val="24"/>
          <w:szCs w:val="24"/>
        </w:rPr>
        <w:t xml:space="preserve">, t.sk. </w:t>
      </w:r>
      <w:r w:rsidR="007E2BAC">
        <w:rPr>
          <w:rFonts w:ascii="Times New Roman" w:hAnsi="Times New Roman" w:cs="Times New Roman"/>
          <w:sz w:val="24"/>
          <w:szCs w:val="24"/>
        </w:rPr>
        <w:t xml:space="preserve">nepieciešamības gadījumā </w:t>
      </w:r>
      <w:r w:rsidR="003942CD">
        <w:rPr>
          <w:rFonts w:ascii="Times New Roman" w:hAnsi="Times New Roman" w:cs="Times New Roman"/>
          <w:sz w:val="24"/>
          <w:szCs w:val="24"/>
        </w:rPr>
        <w:t>FM vērtēs visas pārdales kompleksi darbības programmas līmenī, lai nodrošinātu racionālāko risinājumu/finansējuma avotu pārdalāmā finansējuma apjomam fondu/prioritāro virzienu griezumā</w:t>
      </w:r>
      <w:r w:rsidR="008C499F" w:rsidRPr="00001728">
        <w:rPr>
          <w:rFonts w:ascii="Times New Roman" w:hAnsi="Times New Roman" w:cs="Times New Roman"/>
          <w:sz w:val="24"/>
          <w:szCs w:val="24"/>
        </w:rPr>
        <w:t>.</w:t>
      </w:r>
    </w:p>
    <w:p w14:paraId="2123CD60" w14:textId="4CBC3A65" w:rsidR="00D80124" w:rsidRPr="00D80124" w:rsidRDefault="005553A6" w:rsidP="00915BDC">
      <w:pPr>
        <w:pStyle w:val="ListParagraph"/>
        <w:numPr>
          <w:ilvl w:val="0"/>
          <w:numId w:val="1"/>
        </w:numPr>
        <w:spacing w:after="0" w:line="276" w:lineRule="auto"/>
        <w:ind w:left="567" w:hanging="567"/>
        <w:jc w:val="both"/>
        <w:rPr>
          <w:rFonts w:ascii="Times New Roman" w:hAnsi="Times New Roman" w:cs="Times New Roman"/>
          <w:sz w:val="24"/>
          <w:szCs w:val="24"/>
        </w:rPr>
      </w:pPr>
      <w:r w:rsidRPr="007108D0">
        <w:rPr>
          <w:rFonts w:ascii="Times New Roman" w:hAnsi="Times New Roman" w:cs="Times New Roman"/>
          <w:sz w:val="24"/>
          <w:szCs w:val="24"/>
        </w:rPr>
        <w:t xml:space="preserve">Lai </w:t>
      </w:r>
      <w:r w:rsidR="001522DF" w:rsidRPr="007108D0">
        <w:rPr>
          <w:rFonts w:ascii="Times New Roman" w:hAnsi="Times New Roman" w:cs="Times New Roman"/>
          <w:sz w:val="24"/>
          <w:szCs w:val="24"/>
        </w:rPr>
        <w:t xml:space="preserve">pēc lēmuma par snieguma rezerves sadalījumu </w:t>
      </w:r>
      <w:r w:rsidRPr="007108D0">
        <w:rPr>
          <w:rFonts w:ascii="Times New Roman" w:hAnsi="Times New Roman" w:cs="Times New Roman"/>
          <w:sz w:val="24"/>
          <w:szCs w:val="24"/>
        </w:rPr>
        <w:t>nodrošinātu pēc iespējas</w:t>
      </w:r>
      <w:r w:rsidRPr="007108D0">
        <w:rPr>
          <w:rFonts w:ascii="Times New Roman" w:hAnsi="Times New Roman" w:cs="Times New Roman"/>
          <w:color w:val="1F4E79"/>
          <w:sz w:val="24"/>
          <w:szCs w:val="24"/>
        </w:rPr>
        <w:t xml:space="preserve"> </w:t>
      </w:r>
      <w:r w:rsidRPr="007108D0">
        <w:rPr>
          <w:rFonts w:ascii="Times New Roman" w:hAnsi="Times New Roman" w:cs="Times New Roman"/>
          <w:sz w:val="24"/>
          <w:szCs w:val="24"/>
        </w:rPr>
        <w:t xml:space="preserve">operatīvu un </w:t>
      </w:r>
      <w:r w:rsidR="00D668BC">
        <w:rPr>
          <w:rFonts w:ascii="Times New Roman" w:hAnsi="Times New Roman" w:cs="Times New Roman"/>
          <w:sz w:val="24"/>
          <w:szCs w:val="24"/>
        </w:rPr>
        <w:t>atbilstošu</w:t>
      </w:r>
      <w:r w:rsidRPr="007108D0">
        <w:rPr>
          <w:rFonts w:ascii="Times New Roman" w:hAnsi="Times New Roman" w:cs="Times New Roman"/>
          <w:sz w:val="24"/>
          <w:szCs w:val="24"/>
        </w:rPr>
        <w:t xml:space="preserve"> tālāko rīcību ar pēc iespējas minimālu administratīvo slogu</w:t>
      </w:r>
      <w:r w:rsidR="001522DF" w:rsidRPr="007108D0">
        <w:rPr>
          <w:rFonts w:ascii="Times New Roman" w:hAnsi="Times New Roman" w:cs="Times New Roman"/>
          <w:sz w:val="24"/>
          <w:szCs w:val="24"/>
        </w:rPr>
        <w:t xml:space="preserve"> gadījumos, kad snieguma rezervi </w:t>
      </w:r>
      <w:r w:rsidR="00EF3E42" w:rsidRPr="007108D0">
        <w:rPr>
          <w:rFonts w:ascii="Times New Roman" w:hAnsi="Times New Roman" w:cs="Times New Roman"/>
          <w:sz w:val="24"/>
          <w:szCs w:val="24"/>
        </w:rPr>
        <w:t xml:space="preserve">var </w:t>
      </w:r>
      <w:r w:rsidR="001522DF" w:rsidRPr="007108D0">
        <w:rPr>
          <w:rFonts w:ascii="Times New Roman" w:hAnsi="Times New Roman" w:cs="Times New Roman"/>
          <w:sz w:val="24"/>
          <w:szCs w:val="24"/>
        </w:rPr>
        <w:t>izmantot atbilstoši sākotnēj</w:t>
      </w:r>
      <w:r w:rsidR="00766D8F" w:rsidRPr="007108D0">
        <w:rPr>
          <w:rFonts w:ascii="Times New Roman" w:hAnsi="Times New Roman" w:cs="Times New Roman"/>
          <w:sz w:val="24"/>
          <w:szCs w:val="24"/>
        </w:rPr>
        <w:t>i plānotaj</w:t>
      </w:r>
      <w:r w:rsidR="001522DF" w:rsidRPr="007108D0">
        <w:rPr>
          <w:rFonts w:ascii="Times New Roman" w:hAnsi="Times New Roman" w:cs="Times New Roman"/>
          <w:sz w:val="24"/>
          <w:szCs w:val="24"/>
        </w:rPr>
        <w:t xml:space="preserve">am, FM ir izvērtējusi </w:t>
      </w:r>
      <w:r w:rsidR="00D668BC">
        <w:rPr>
          <w:rFonts w:ascii="Times New Roman" w:hAnsi="Times New Roman" w:cs="Times New Roman"/>
          <w:sz w:val="24"/>
          <w:szCs w:val="24"/>
        </w:rPr>
        <w:t>iespējamo</w:t>
      </w:r>
      <w:r w:rsidR="001522DF" w:rsidRPr="007108D0">
        <w:rPr>
          <w:rFonts w:ascii="Times New Roman" w:hAnsi="Times New Roman" w:cs="Times New Roman"/>
          <w:sz w:val="24"/>
          <w:szCs w:val="24"/>
        </w:rPr>
        <w:t xml:space="preserve"> risinājumu</w:t>
      </w:r>
      <w:r w:rsidRPr="007108D0">
        <w:rPr>
          <w:rFonts w:ascii="Times New Roman" w:hAnsi="Times New Roman" w:cs="Times New Roman"/>
          <w:sz w:val="24"/>
          <w:szCs w:val="24"/>
        </w:rPr>
        <w:t xml:space="preserve">. </w:t>
      </w:r>
      <w:r w:rsidR="001522DF" w:rsidRPr="007108D0">
        <w:rPr>
          <w:rFonts w:ascii="Times New Roman" w:hAnsi="Times New Roman" w:cs="Times New Roman"/>
          <w:color w:val="000000" w:themeColor="text1"/>
          <w:sz w:val="24"/>
          <w:szCs w:val="24"/>
        </w:rPr>
        <w:t>A</w:t>
      </w:r>
      <w:r w:rsidRPr="007108D0">
        <w:rPr>
          <w:rFonts w:ascii="Times New Roman" w:hAnsi="Times New Roman" w:cs="Times New Roman"/>
          <w:color w:val="000000" w:themeColor="text1"/>
          <w:sz w:val="24"/>
          <w:szCs w:val="24"/>
        </w:rPr>
        <w:t>tbilstoši vadlīnijām</w:t>
      </w:r>
      <w:r w:rsidR="006A6B92" w:rsidRPr="0033214E">
        <w:rPr>
          <w:rStyle w:val="FootnoteReference"/>
          <w:rFonts w:ascii="Times New Roman" w:hAnsi="Times New Roman" w:cs="Times New Roman"/>
          <w:color w:val="000000" w:themeColor="text1"/>
          <w:sz w:val="24"/>
          <w:szCs w:val="24"/>
        </w:rPr>
        <w:footnoteReference w:id="38"/>
      </w:r>
      <w:r w:rsidRPr="0033214E">
        <w:rPr>
          <w:rFonts w:ascii="Times New Roman" w:hAnsi="Times New Roman" w:cs="Times New Roman"/>
          <w:color w:val="000000" w:themeColor="text1"/>
          <w:sz w:val="24"/>
          <w:szCs w:val="24"/>
        </w:rPr>
        <w:t xml:space="preserve"> </w:t>
      </w:r>
      <w:r w:rsidR="001522DF" w:rsidRPr="0033214E">
        <w:rPr>
          <w:rFonts w:ascii="Times New Roman" w:hAnsi="Times New Roman" w:cs="Times New Roman"/>
          <w:color w:val="000000" w:themeColor="text1"/>
          <w:sz w:val="24"/>
          <w:szCs w:val="24"/>
        </w:rPr>
        <w:t>MK</w:t>
      </w:r>
      <w:r w:rsidRPr="0033214E">
        <w:rPr>
          <w:rFonts w:ascii="Times New Roman" w:hAnsi="Times New Roman" w:cs="Times New Roman"/>
          <w:color w:val="000000" w:themeColor="text1"/>
          <w:sz w:val="24"/>
          <w:szCs w:val="24"/>
        </w:rPr>
        <w:t xml:space="preserve"> noteikumos par SAM/pasākuma</w:t>
      </w:r>
      <w:r w:rsidR="006A6B92" w:rsidRPr="0033214E">
        <w:rPr>
          <w:rFonts w:ascii="Times New Roman" w:hAnsi="Times New Roman" w:cs="Times New Roman"/>
          <w:color w:val="000000" w:themeColor="text1"/>
          <w:sz w:val="24"/>
          <w:szCs w:val="24"/>
        </w:rPr>
        <w:t xml:space="preserve"> īstenošanu</w:t>
      </w:r>
      <w:r w:rsidRPr="0033214E">
        <w:rPr>
          <w:rFonts w:ascii="Times New Roman" w:hAnsi="Times New Roman" w:cs="Times New Roman"/>
          <w:color w:val="000000" w:themeColor="text1"/>
          <w:sz w:val="24"/>
          <w:szCs w:val="24"/>
        </w:rPr>
        <w:t xml:space="preserve">, kuros paredzēta snieguma rezerve, </w:t>
      </w:r>
      <w:r w:rsidR="001522DF" w:rsidRPr="0033214E">
        <w:rPr>
          <w:rFonts w:ascii="Times New Roman" w:hAnsi="Times New Roman" w:cs="Times New Roman"/>
          <w:color w:val="000000" w:themeColor="text1"/>
          <w:sz w:val="24"/>
          <w:szCs w:val="24"/>
        </w:rPr>
        <w:t xml:space="preserve">norādīts gan </w:t>
      </w:r>
      <w:r w:rsidR="001522DF" w:rsidRPr="006245ED">
        <w:rPr>
          <w:rFonts w:ascii="Times New Roman" w:hAnsi="Times New Roman" w:cs="Times New Roman"/>
          <w:color w:val="000000" w:themeColor="text1"/>
          <w:sz w:val="24"/>
          <w:szCs w:val="24"/>
        </w:rPr>
        <w:t>līdz 2018.gada 31.decembrim pieejam</w:t>
      </w:r>
      <w:r w:rsidR="006A6B92" w:rsidRPr="006245ED">
        <w:rPr>
          <w:rFonts w:ascii="Times New Roman" w:hAnsi="Times New Roman" w:cs="Times New Roman"/>
          <w:color w:val="000000" w:themeColor="text1"/>
          <w:sz w:val="24"/>
          <w:szCs w:val="24"/>
        </w:rPr>
        <w:t>ais</w:t>
      </w:r>
      <w:r w:rsidR="001522DF" w:rsidRPr="006245ED">
        <w:rPr>
          <w:rFonts w:ascii="Times New Roman" w:hAnsi="Times New Roman" w:cs="Times New Roman"/>
          <w:color w:val="000000" w:themeColor="text1"/>
          <w:sz w:val="24"/>
          <w:szCs w:val="24"/>
        </w:rPr>
        <w:t xml:space="preserve"> finansējum</w:t>
      </w:r>
      <w:r w:rsidR="006A6B92" w:rsidRPr="006245ED">
        <w:rPr>
          <w:rFonts w:ascii="Times New Roman" w:hAnsi="Times New Roman" w:cs="Times New Roman"/>
          <w:color w:val="000000" w:themeColor="text1"/>
          <w:sz w:val="24"/>
          <w:szCs w:val="24"/>
        </w:rPr>
        <w:t>s</w:t>
      </w:r>
      <w:r w:rsidR="001522DF" w:rsidRPr="006245ED">
        <w:rPr>
          <w:rFonts w:ascii="Times New Roman" w:hAnsi="Times New Roman" w:cs="Times New Roman"/>
          <w:color w:val="000000" w:themeColor="text1"/>
          <w:sz w:val="24"/>
          <w:szCs w:val="24"/>
        </w:rPr>
        <w:t xml:space="preserve">, par kuru var uzņemties saistības, </w:t>
      </w:r>
      <w:r w:rsidRPr="006245ED">
        <w:rPr>
          <w:rFonts w:ascii="Times New Roman" w:hAnsi="Times New Roman" w:cs="Times New Roman"/>
          <w:color w:val="000000" w:themeColor="text1"/>
          <w:sz w:val="24"/>
          <w:szCs w:val="24"/>
        </w:rPr>
        <w:t xml:space="preserve">gan kopā </w:t>
      </w:r>
      <w:r w:rsidR="001522DF" w:rsidRPr="006245ED">
        <w:rPr>
          <w:rFonts w:ascii="Times New Roman" w:hAnsi="Times New Roman" w:cs="Times New Roman"/>
          <w:color w:val="000000" w:themeColor="text1"/>
          <w:sz w:val="24"/>
          <w:szCs w:val="24"/>
        </w:rPr>
        <w:t>plānotais finansējums,</w:t>
      </w:r>
      <w:r w:rsidRPr="006245ED">
        <w:rPr>
          <w:rFonts w:ascii="Times New Roman" w:hAnsi="Times New Roman" w:cs="Times New Roman"/>
          <w:color w:val="000000" w:themeColor="text1"/>
          <w:sz w:val="24"/>
          <w:szCs w:val="24"/>
        </w:rPr>
        <w:t xml:space="preserve"> </w:t>
      </w:r>
      <w:r w:rsidR="001522DF" w:rsidRPr="006245ED">
        <w:rPr>
          <w:rFonts w:ascii="Times New Roman" w:hAnsi="Times New Roman" w:cs="Times New Roman"/>
          <w:color w:val="000000" w:themeColor="text1"/>
          <w:sz w:val="24"/>
          <w:szCs w:val="24"/>
        </w:rPr>
        <w:t xml:space="preserve">kas </w:t>
      </w:r>
      <w:r w:rsidR="00CF35E7">
        <w:rPr>
          <w:rFonts w:ascii="Times New Roman" w:hAnsi="Times New Roman" w:cs="Times New Roman"/>
          <w:color w:val="000000" w:themeColor="text1"/>
          <w:sz w:val="24"/>
          <w:szCs w:val="24"/>
        </w:rPr>
        <w:t xml:space="preserve">snieguma rezerves finansējuma saņemšanas gadījumā </w:t>
      </w:r>
      <w:r w:rsidR="001522DF" w:rsidRPr="006245ED">
        <w:rPr>
          <w:rFonts w:ascii="Times New Roman" w:hAnsi="Times New Roman" w:cs="Times New Roman"/>
          <w:color w:val="000000" w:themeColor="text1"/>
          <w:sz w:val="24"/>
          <w:szCs w:val="24"/>
        </w:rPr>
        <w:t>pieejams pēc atbildīgās iestādes lēmuma. Attiecī</w:t>
      </w:r>
      <w:r w:rsidR="006F57DE" w:rsidRPr="006245ED">
        <w:rPr>
          <w:rFonts w:ascii="Times New Roman" w:hAnsi="Times New Roman" w:cs="Times New Roman"/>
          <w:color w:val="000000" w:themeColor="text1"/>
          <w:sz w:val="24"/>
          <w:szCs w:val="24"/>
        </w:rPr>
        <w:t xml:space="preserve">gi, gadījumā, ja </w:t>
      </w:r>
      <w:r w:rsidR="001139AF">
        <w:rPr>
          <w:rFonts w:ascii="Times New Roman" w:hAnsi="Times New Roman" w:cs="Times New Roman"/>
          <w:color w:val="000000" w:themeColor="text1"/>
          <w:sz w:val="24"/>
          <w:szCs w:val="24"/>
        </w:rPr>
        <w:t>SAM/pasākumā</w:t>
      </w:r>
      <w:r w:rsidR="00D668BC">
        <w:rPr>
          <w:rFonts w:ascii="Times New Roman" w:hAnsi="Times New Roman" w:cs="Times New Roman"/>
          <w:color w:val="000000" w:themeColor="text1"/>
          <w:sz w:val="24"/>
          <w:szCs w:val="24"/>
        </w:rPr>
        <w:t xml:space="preserve"> MK līmenī</w:t>
      </w:r>
      <w:r w:rsidR="001139AF">
        <w:rPr>
          <w:rFonts w:ascii="Times New Roman" w:hAnsi="Times New Roman" w:cs="Times New Roman"/>
          <w:color w:val="000000" w:themeColor="text1"/>
          <w:sz w:val="24"/>
          <w:szCs w:val="24"/>
        </w:rPr>
        <w:t xml:space="preserve"> </w:t>
      </w:r>
      <w:r w:rsidR="006F57DE" w:rsidRPr="006245ED">
        <w:rPr>
          <w:rFonts w:ascii="Times New Roman" w:hAnsi="Times New Roman" w:cs="Times New Roman"/>
          <w:color w:val="000000" w:themeColor="text1"/>
          <w:sz w:val="24"/>
          <w:szCs w:val="24"/>
        </w:rPr>
        <w:t>tiek atbalstīta</w:t>
      </w:r>
      <w:r w:rsidR="001522DF" w:rsidRPr="006245ED">
        <w:rPr>
          <w:rFonts w:ascii="Times New Roman" w:hAnsi="Times New Roman" w:cs="Times New Roman"/>
          <w:color w:val="000000" w:themeColor="text1"/>
          <w:sz w:val="24"/>
          <w:szCs w:val="24"/>
        </w:rPr>
        <w:t xml:space="preserve"> snieguma rezerves finansējuma izmantošana </w:t>
      </w:r>
      <w:r w:rsidR="001522DF" w:rsidRPr="00A43133">
        <w:rPr>
          <w:rFonts w:ascii="Times New Roman" w:hAnsi="Times New Roman" w:cs="Times New Roman"/>
          <w:color w:val="000000" w:themeColor="text1"/>
          <w:sz w:val="24"/>
          <w:szCs w:val="24"/>
          <w:u w:val="single"/>
        </w:rPr>
        <w:t>atbilstoši sākotnēji plānotajam</w:t>
      </w:r>
      <w:r w:rsidR="00CF35E7" w:rsidRPr="00A43133">
        <w:rPr>
          <w:rFonts w:ascii="Times New Roman" w:hAnsi="Times New Roman" w:cs="Times New Roman"/>
          <w:color w:val="000000" w:themeColor="text1"/>
          <w:sz w:val="24"/>
          <w:szCs w:val="24"/>
        </w:rPr>
        <w:t>/</w:t>
      </w:r>
      <w:r w:rsidR="00CF35E7" w:rsidRPr="00A43133">
        <w:rPr>
          <w:rFonts w:ascii="Times New Roman" w:hAnsi="Times New Roman" w:cs="Times New Roman"/>
          <w:color w:val="000000" w:themeColor="text1"/>
          <w:sz w:val="24"/>
          <w:szCs w:val="24"/>
          <w:u w:val="single"/>
        </w:rPr>
        <w:t>sākotnēji plānotā apmērā</w:t>
      </w:r>
      <w:r w:rsidR="00CF35E7" w:rsidRPr="00A43133">
        <w:rPr>
          <w:rFonts w:ascii="Times New Roman" w:hAnsi="Times New Roman" w:cs="Times New Roman"/>
          <w:color w:val="000000" w:themeColor="text1"/>
          <w:sz w:val="24"/>
          <w:szCs w:val="24"/>
        </w:rPr>
        <w:t xml:space="preserve">, </w:t>
      </w:r>
      <w:r w:rsidR="00CF35E7">
        <w:rPr>
          <w:rFonts w:ascii="Times New Roman" w:hAnsi="Times New Roman" w:cs="Times New Roman"/>
          <w:color w:val="000000" w:themeColor="text1"/>
          <w:sz w:val="24"/>
          <w:szCs w:val="24"/>
        </w:rPr>
        <w:t xml:space="preserve">tās izmantošanai grozījumi </w:t>
      </w:r>
      <w:r w:rsidR="00CF35E7" w:rsidRPr="00CF35E7">
        <w:rPr>
          <w:rFonts w:ascii="Times New Roman" w:hAnsi="Times New Roman" w:cs="Times New Roman"/>
          <w:color w:val="000000" w:themeColor="text1"/>
          <w:sz w:val="24"/>
          <w:szCs w:val="24"/>
        </w:rPr>
        <w:t xml:space="preserve">MK noteikumos par SAM/pasākuma īstenošanu </w:t>
      </w:r>
      <w:r w:rsidR="00CF35E7">
        <w:rPr>
          <w:rFonts w:ascii="Times New Roman" w:hAnsi="Times New Roman" w:cs="Times New Roman"/>
          <w:color w:val="000000" w:themeColor="text1"/>
          <w:sz w:val="24"/>
          <w:szCs w:val="24"/>
        </w:rPr>
        <w:t>nebūtu nepieciešami</w:t>
      </w:r>
      <w:r w:rsidR="006B6905">
        <w:rPr>
          <w:rFonts w:ascii="Times New Roman" w:hAnsi="Times New Roman" w:cs="Times New Roman"/>
          <w:color w:val="000000" w:themeColor="text1"/>
          <w:sz w:val="24"/>
          <w:szCs w:val="24"/>
        </w:rPr>
        <w:t>, bet atbilstoši MK lēmumam</w:t>
      </w:r>
      <w:r w:rsidR="00CF35E7">
        <w:rPr>
          <w:rFonts w:ascii="Times New Roman" w:hAnsi="Times New Roman" w:cs="Times New Roman"/>
          <w:color w:val="000000" w:themeColor="text1"/>
          <w:sz w:val="24"/>
          <w:szCs w:val="24"/>
        </w:rPr>
        <w:t xml:space="preserve"> par informatīvā ziņojuma 1.pielikumā paredzēto rezerves novirzīšanu, ES fondu atbildīgā iestāde var rosināt </w:t>
      </w:r>
      <w:r w:rsidR="00CF35E7" w:rsidRPr="001139AF">
        <w:rPr>
          <w:rFonts w:ascii="Times New Roman" w:hAnsi="Times New Roman" w:cs="Times New Roman"/>
          <w:sz w:val="24"/>
          <w:szCs w:val="24"/>
        </w:rPr>
        <w:t>Centrālajai finanšu un līgumu aģentūrai (turpmāk – CFLA)</w:t>
      </w:r>
      <w:r w:rsidR="00D668BC">
        <w:rPr>
          <w:rFonts w:ascii="Times New Roman" w:hAnsi="Times New Roman" w:cs="Times New Roman"/>
          <w:sz w:val="24"/>
          <w:szCs w:val="24"/>
        </w:rPr>
        <w:t xml:space="preserve"> kā ES fondu sadarbības iestādei</w:t>
      </w:r>
      <w:r w:rsidR="00A94156">
        <w:rPr>
          <w:rFonts w:ascii="Times New Roman" w:hAnsi="Times New Roman" w:cs="Times New Roman"/>
          <w:sz w:val="24"/>
          <w:szCs w:val="24"/>
        </w:rPr>
        <w:t xml:space="preserve"> veikt grozījumu</w:t>
      </w:r>
      <w:r w:rsidR="00D668BC">
        <w:rPr>
          <w:rFonts w:ascii="Times New Roman" w:hAnsi="Times New Roman" w:cs="Times New Roman"/>
          <w:sz w:val="24"/>
          <w:szCs w:val="24"/>
        </w:rPr>
        <w:t>s</w:t>
      </w:r>
      <w:r w:rsidR="00A94156">
        <w:rPr>
          <w:rFonts w:ascii="Times New Roman" w:hAnsi="Times New Roman" w:cs="Times New Roman"/>
          <w:sz w:val="24"/>
          <w:szCs w:val="24"/>
        </w:rPr>
        <w:t xml:space="preserve"> konkrēto SAM/pasākumu saistošajos dokumentos</w:t>
      </w:r>
      <w:r w:rsidR="006B6905">
        <w:rPr>
          <w:rFonts w:ascii="Times New Roman" w:hAnsi="Times New Roman" w:cs="Times New Roman"/>
          <w:sz w:val="24"/>
          <w:szCs w:val="24"/>
        </w:rPr>
        <w:t xml:space="preserve"> (</w:t>
      </w:r>
      <w:r w:rsidR="00D668BC">
        <w:rPr>
          <w:rFonts w:ascii="Times New Roman" w:hAnsi="Times New Roman" w:cs="Times New Roman"/>
          <w:sz w:val="24"/>
          <w:szCs w:val="24"/>
        </w:rPr>
        <w:t>tas ir, attiecīgajos ar SAM/pasākumu ieviešanu aktuālajos tiesību aktos –</w:t>
      </w:r>
      <w:r w:rsidR="006B6905">
        <w:rPr>
          <w:rFonts w:ascii="Times New Roman" w:hAnsi="Times New Roman" w:cs="Times New Roman"/>
          <w:sz w:val="24"/>
          <w:szCs w:val="24"/>
        </w:rPr>
        <w:t xml:space="preserve">nolikumā, līgumos/vienošanās par projektu īstenošanu) </w:t>
      </w:r>
      <w:r w:rsidR="007668F9">
        <w:rPr>
          <w:rFonts w:ascii="Times New Roman" w:hAnsi="Times New Roman" w:cs="Times New Roman"/>
          <w:sz w:val="24"/>
          <w:szCs w:val="24"/>
        </w:rPr>
        <w:t>līdz</w:t>
      </w:r>
      <w:r w:rsidR="006B6905">
        <w:rPr>
          <w:rFonts w:ascii="Times New Roman" w:hAnsi="Times New Roman" w:cs="Times New Roman"/>
          <w:sz w:val="24"/>
          <w:szCs w:val="24"/>
        </w:rPr>
        <w:t xml:space="preserve"> MK noteikumos par SAM/pasākumu īstenošanu norādītajam plānotajam ES fondu finansējumam</w:t>
      </w:r>
      <w:r w:rsidR="00704B78">
        <w:rPr>
          <w:rFonts w:ascii="Times New Roman" w:hAnsi="Times New Roman" w:cs="Times New Roman"/>
          <w:sz w:val="24"/>
          <w:szCs w:val="24"/>
        </w:rPr>
        <w:t>.</w:t>
      </w:r>
    </w:p>
    <w:p w14:paraId="4BD8DFE4" w14:textId="77777777" w:rsidR="00915BDC" w:rsidRPr="00915BDC" w:rsidRDefault="00FA4FEB" w:rsidP="00915BDC">
      <w:pPr>
        <w:pStyle w:val="ListParagraph"/>
        <w:numPr>
          <w:ilvl w:val="0"/>
          <w:numId w:val="1"/>
        </w:numPr>
        <w:spacing w:line="276" w:lineRule="auto"/>
        <w:ind w:left="567" w:hanging="567"/>
        <w:jc w:val="both"/>
        <w:rPr>
          <w:rFonts w:cs="Times New Roman"/>
          <w:b/>
          <w:bCs/>
          <w:szCs w:val="24"/>
        </w:rPr>
      </w:pPr>
      <w:r w:rsidRPr="001139AF">
        <w:rPr>
          <w:rFonts w:ascii="Times New Roman" w:hAnsi="Times New Roman" w:cs="Times New Roman"/>
          <w:sz w:val="24"/>
          <w:szCs w:val="24"/>
        </w:rPr>
        <w:t xml:space="preserve">Atbildīgās iestādes iesniedza arī savus priekšlikumus MK </w:t>
      </w:r>
      <w:proofErr w:type="spellStart"/>
      <w:r w:rsidRPr="001139AF">
        <w:rPr>
          <w:rFonts w:ascii="Times New Roman" w:hAnsi="Times New Roman" w:cs="Times New Roman"/>
          <w:sz w:val="24"/>
          <w:szCs w:val="24"/>
        </w:rPr>
        <w:t>protokollēmuma</w:t>
      </w:r>
      <w:proofErr w:type="spellEnd"/>
      <w:r w:rsidRPr="001139AF">
        <w:rPr>
          <w:rFonts w:ascii="Times New Roman" w:hAnsi="Times New Roman" w:cs="Times New Roman"/>
          <w:sz w:val="24"/>
          <w:szCs w:val="24"/>
        </w:rPr>
        <w:t xml:space="preserve"> </w:t>
      </w:r>
      <w:r w:rsidR="00E75DC6" w:rsidRPr="001139AF">
        <w:rPr>
          <w:rFonts w:ascii="Times New Roman" w:hAnsi="Times New Roman" w:cs="Times New Roman"/>
          <w:sz w:val="24"/>
          <w:szCs w:val="24"/>
        </w:rPr>
        <w:t xml:space="preserve">projekta </w:t>
      </w:r>
      <w:r w:rsidRPr="001139AF">
        <w:rPr>
          <w:rFonts w:ascii="Times New Roman" w:hAnsi="Times New Roman" w:cs="Times New Roman"/>
          <w:sz w:val="24"/>
          <w:szCs w:val="24"/>
        </w:rPr>
        <w:t>uzdevumu papildināšanai attiecībā uz turpmākiem investīciju veikšanas nosacījumiem, kurus FM izvērtēja, ņemot vērā labas finanšu pārvaldības principus</w:t>
      </w:r>
      <w:r w:rsidR="00922A01" w:rsidRPr="001139AF">
        <w:rPr>
          <w:rFonts w:ascii="Times New Roman" w:hAnsi="Times New Roman" w:cs="Times New Roman"/>
          <w:sz w:val="24"/>
          <w:szCs w:val="24"/>
        </w:rPr>
        <w:t xml:space="preserve">. </w:t>
      </w:r>
    </w:p>
    <w:p w14:paraId="3F46EED8" w14:textId="7E1BC40C" w:rsidR="00915BDC" w:rsidRPr="00915BDC" w:rsidRDefault="00881868" w:rsidP="00915BDC">
      <w:pPr>
        <w:pStyle w:val="ListParagraph"/>
        <w:numPr>
          <w:ilvl w:val="1"/>
          <w:numId w:val="1"/>
        </w:numPr>
        <w:spacing w:line="276" w:lineRule="auto"/>
        <w:ind w:left="993"/>
        <w:jc w:val="both"/>
        <w:rPr>
          <w:rFonts w:cs="Times New Roman"/>
          <w:b/>
          <w:bCs/>
          <w:szCs w:val="24"/>
        </w:rPr>
      </w:pPr>
      <w:r>
        <w:rPr>
          <w:rFonts w:ascii="Times New Roman" w:hAnsi="Times New Roman" w:cs="Times New Roman"/>
          <w:sz w:val="24"/>
          <w:szCs w:val="24"/>
        </w:rPr>
        <w:t>IZM sniedza</w:t>
      </w:r>
      <w:r w:rsidRPr="001139AF">
        <w:rPr>
          <w:rFonts w:ascii="Times New Roman" w:hAnsi="Times New Roman" w:cs="Times New Roman"/>
          <w:sz w:val="24"/>
          <w:szCs w:val="24"/>
        </w:rPr>
        <w:t xml:space="preserve"> informācij</w:t>
      </w:r>
      <w:r>
        <w:rPr>
          <w:rFonts w:ascii="Times New Roman" w:hAnsi="Times New Roman" w:cs="Times New Roman"/>
          <w:sz w:val="24"/>
          <w:szCs w:val="24"/>
        </w:rPr>
        <w:t>u</w:t>
      </w:r>
      <w:r w:rsidRPr="001139AF">
        <w:rPr>
          <w:rFonts w:ascii="Times New Roman" w:hAnsi="Times New Roman" w:cs="Times New Roman"/>
          <w:sz w:val="24"/>
          <w:szCs w:val="24"/>
        </w:rPr>
        <w:t xml:space="preserve"> </w:t>
      </w:r>
      <w:r>
        <w:rPr>
          <w:rFonts w:ascii="Times New Roman" w:hAnsi="Times New Roman" w:cs="Times New Roman"/>
          <w:sz w:val="24"/>
          <w:szCs w:val="24"/>
        </w:rPr>
        <w:t>par</w:t>
      </w:r>
      <w:r w:rsidRPr="001139AF">
        <w:rPr>
          <w:rFonts w:ascii="Times New Roman" w:hAnsi="Times New Roman"/>
          <w:sz w:val="24"/>
        </w:rPr>
        <w:t xml:space="preserve"> </w:t>
      </w:r>
      <w:r w:rsidRPr="001139AF">
        <w:rPr>
          <w:rFonts w:ascii="Times New Roman" w:hAnsi="Times New Roman" w:cs="Times New Roman"/>
          <w:sz w:val="24"/>
          <w:szCs w:val="24"/>
        </w:rPr>
        <w:t>vairākiem izglītības infrastruktūras projektiem</w:t>
      </w:r>
      <w:r>
        <w:rPr>
          <w:rFonts w:ascii="Times New Roman" w:hAnsi="Times New Roman" w:cs="Times New Roman"/>
          <w:sz w:val="24"/>
          <w:szCs w:val="24"/>
        </w:rPr>
        <w:t>, kam</w:t>
      </w:r>
      <w:r w:rsidRPr="001139AF">
        <w:rPr>
          <w:rFonts w:ascii="Times New Roman" w:hAnsi="Times New Roman" w:cs="Times New Roman"/>
          <w:sz w:val="24"/>
          <w:szCs w:val="24"/>
        </w:rPr>
        <w:t xml:space="preserve"> sākotnēji objektīvi noteiktais īstenošanas termiņš varētu beigties pirms lēmuma par snieguma rezerves finansējuma </w:t>
      </w:r>
      <w:r w:rsidR="001D5319">
        <w:rPr>
          <w:rFonts w:ascii="Times New Roman" w:hAnsi="Times New Roman" w:cs="Times New Roman"/>
          <w:sz w:val="24"/>
          <w:szCs w:val="24"/>
        </w:rPr>
        <w:t xml:space="preserve">piešķiršanu </w:t>
      </w:r>
      <w:r w:rsidRPr="001139AF">
        <w:rPr>
          <w:rFonts w:ascii="Times New Roman" w:hAnsi="Times New Roman" w:cs="Times New Roman"/>
          <w:sz w:val="24"/>
          <w:szCs w:val="24"/>
        </w:rPr>
        <w:t xml:space="preserve">pieņemšanas vai esošais īstenošanas termiņš nebūs pietiekams, lai, saņemot paredzēto snieguma rezerves finansējumu, varētu sekmīgi īstenot plānotās papildu darbības. </w:t>
      </w:r>
      <w:r w:rsidR="00832097">
        <w:rPr>
          <w:rFonts w:ascii="Times New Roman" w:hAnsi="Times New Roman" w:cs="Times New Roman"/>
          <w:sz w:val="24"/>
          <w:szCs w:val="24"/>
        </w:rPr>
        <w:t>IZM informēja, ka</w:t>
      </w:r>
      <w:r>
        <w:rPr>
          <w:rFonts w:ascii="Times New Roman" w:hAnsi="Times New Roman" w:cs="Times New Roman"/>
          <w:sz w:val="24"/>
          <w:szCs w:val="24"/>
        </w:rPr>
        <w:t xml:space="preserve"> </w:t>
      </w:r>
      <w:r w:rsidRPr="001139AF">
        <w:rPr>
          <w:rFonts w:ascii="Times New Roman" w:hAnsi="Times New Roman" w:cs="Times New Roman"/>
          <w:sz w:val="24"/>
          <w:szCs w:val="24"/>
        </w:rPr>
        <w:t>2019.gadā īstenošanas termiņš beidzas deviņiem projektiem</w:t>
      </w:r>
      <w:r>
        <w:rPr>
          <w:rStyle w:val="FootnoteReference"/>
          <w:rFonts w:ascii="Times New Roman" w:hAnsi="Times New Roman" w:cs="Times New Roman"/>
          <w:sz w:val="24"/>
          <w:szCs w:val="24"/>
        </w:rPr>
        <w:footnoteReference w:id="39"/>
      </w:r>
      <w:r w:rsidRPr="001139AF">
        <w:rPr>
          <w:rFonts w:ascii="Times New Roman" w:hAnsi="Times New Roman" w:cs="Times New Roman"/>
          <w:sz w:val="24"/>
          <w:szCs w:val="24"/>
        </w:rPr>
        <w:t xml:space="preserve">, t.sk. ir tādi projekti, kas jau ir </w:t>
      </w:r>
      <w:r w:rsidRPr="001139AF">
        <w:rPr>
          <w:rFonts w:ascii="Times New Roman" w:hAnsi="Times New Roman" w:cs="Times New Roman"/>
          <w:sz w:val="24"/>
          <w:szCs w:val="24"/>
        </w:rPr>
        <w:lastRenderedPageBreak/>
        <w:t>pagarinājuši projekta īstenošanas termiņu par MK noteikumos Nr.784</w:t>
      </w:r>
      <w:r w:rsidRPr="001139AF">
        <w:rPr>
          <w:rStyle w:val="FootnoteReference"/>
          <w:rFonts w:ascii="Times New Roman" w:hAnsi="Times New Roman" w:cs="Times New Roman"/>
          <w:sz w:val="24"/>
          <w:szCs w:val="24"/>
        </w:rPr>
        <w:footnoteReference w:id="40"/>
      </w:r>
      <w:r w:rsidRPr="001139AF">
        <w:rPr>
          <w:rFonts w:ascii="Times New Roman" w:hAnsi="Times New Roman" w:cs="Times New Roman"/>
          <w:sz w:val="24"/>
          <w:szCs w:val="24"/>
        </w:rPr>
        <w:t xml:space="preserve"> maksimāli pieļaujamajiem sešiem mēnešiem un lēmuma par snieguma rezerves finansējuma izmantošanu pieņemšanas laiks var radīt papildu pagarinājumu nepieciešamību.</w:t>
      </w:r>
      <w:r>
        <w:rPr>
          <w:rFonts w:ascii="Times New Roman" w:hAnsi="Times New Roman" w:cs="Times New Roman"/>
          <w:sz w:val="24"/>
          <w:szCs w:val="24"/>
        </w:rPr>
        <w:t xml:space="preserve"> </w:t>
      </w:r>
      <w:r w:rsidR="00CA071A" w:rsidRPr="001139AF">
        <w:rPr>
          <w:rFonts w:ascii="Times New Roman" w:hAnsi="Times New Roman" w:cs="Times New Roman"/>
          <w:sz w:val="24"/>
          <w:szCs w:val="24"/>
        </w:rPr>
        <w:t>IZM</w:t>
      </w:r>
      <w:r w:rsidR="00FA4FEB" w:rsidRPr="001139AF">
        <w:rPr>
          <w:rFonts w:ascii="Times New Roman" w:hAnsi="Times New Roman" w:cs="Times New Roman"/>
          <w:sz w:val="24"/>
          <w:szCs w:val="24"/>
        </w:rPr>
        <w:t xml:space="preserve"> </w:t>
      </w:r>
      <w:r>
        <w:rPr>
          <w:rFonts w:ascii="Times New Roman" w:hAnsi="Times New Roman" w:cs="Times New Roman"/>
          <w:sz w:val="24"/>
          <w:szCs w:val="24"/>
        </w:rPr>
        <w:t>ierosināja</w:t>
      </w:r>
      <w:r w:rsidR="00FA4FEB" w:rsidRPr="001139AF">
        <w:rPr>
          <w:rFonts w:ascii="Times New Roman" w:hAnsi="Times New Roman" w:cs="Times New Roman"/>
          <w:sz w:val="24"/>
          <w:szCs w:val="24"/>
        </w:rPr>
        <w:t xml:space="preserve"> </w:t>
      </w:r>
      <w:r w:rsidR="00CF35E7">
        <w:rPr>
          <w:rFonts w:ascii="Times New Roman" w:hAnsi="Times New Roman" w:cs="Times New Roman"/>
          <w:sz w:val="24"/>
          <w:szCs w:val="24"/>
        </w:rPr>
        <w:t xml:space="preserve">atļaut CFLA </w:t>
      </w:r>
      <w:r w:rsidR="00BF3A67" w:rsidRPr="001139AF">
        <w:rPr>
          <w:rFonts w:ascii="Times New Roman" w:hAnsi="Times New Roman" w:cs="Times New Roman"/>
          <w:sz w:val="24"/>
          <w:szCs w:val="24"/>
        </w:rPr>
        <w:t>saskaņā ar MK noteikumu Nr.</w:t>
      </w:r>
      <w:r w:rsidR="00FA4FEB" w:rsidRPr="001139AF">
        <w:rPr>
          <w:rFonts w:ascii="Times New Roman" w:hAnsi="Times New Roman" w:cs="Times New Roman"/>
          <w:sz w:val="24"/>
          <w:szCs w:val="24"/>
        </w:rPr>
        <w:t>784 51.</w:t>
      </w:r>
      <w:r w:rsidR="00FA4FEB" w:rsidRPr="001139AF">
        <w:rPr>
          <w:rFonts w:ascii="Times New Roman" w:hAnsi="Times New Roman" w:cs="Times New Roman"/>
          <w:sz w:val="24"/>
          <w:szCs w:val="24"/>
          <w:vertAlign w:val="superscript"/>
        </w:rPr>
        <w:t>4 </w:t>
      </w:r>
      <w:r w:rsidR="00BF3A67" w:rsidRPr="001139AF">
        <w:rPr>
          <w:rFonts w:ascii="Times New Roman" w:hAnsi="Times New Roman" w:cs="Times New Roman"/>
          <w:sz w:val="24"/>
          <w:szCs w:val="24"/>
        </w:rPr>
        <w:t>7.</w:t>
      </w:r>
      <w:r w:rsidR="00FA4FEB" w:rsidRPr="001139AF">
        <w:rPr>
          <w:rFonts w:ascii="Times New Roman" w:hAnsi="Times New Roman" w:cs="Times New Roman"/>
          <w:sz w:val="24"/>
          <w:szCs w:val="24"/>
        </w:rPr>
        <w:t>apakšpunktu pagarināt projektu īstenošanas termiņu par laiku, kas pārsniedz sešus mēnešus</w:t>
      </w:r>
      <w:r w:rsidR="00D91CA3">
        <w:rPr>
          <w:rFonts w:ascii="Times New Roman" w:hAnsi="Times New Roman" w:cs="Times New Roman"/>
          <w:sz w:val="24"/>
          <w:szCs w:val="24"/>
        </w:rPr>
        <w:t>, ņemot vērā, ka</w:t>
      </w:r>
      <w:r>
        <w:rPr>
          <w:rFonts w:ascii="Times New Roman" w:hAnsi="Times New Roman" w:cs="Times New Roman"/>
          <w:sz w:val="24"/>
          <w:szCs w:val="24"/>
        </w:rPr>
        <w:t xml:space="preserve"> </w:t>
      </w:r>
      <w:r w:rsidR="00BF3A67" w:rsidRPr="001139AF">
        <w:rPr>
          <w:rFonts w:ascii="Times New Roman" w:hAnsi="Times New Roman" w:cs="Times New Roman"/>
          <w:sz w:val="24"/>
          <w:szCs w:val="24"/>
        </w:rPr>
        <w:t xml:space="preserve">MK noteikumu </w:t>
      </w:r>
      <w:r w:rsidR="001F1F72">
        <w:rPr>
          <w:rFonts w:ascii="Times New Roman" w:hAnsi="Times New Roman" w:cs="Times New Roman"/>
          <w:sz w:val="24"/>
          <w:szCs w:val="24"/>
        </w:rPr>
        <w:t>Nr.784</w:t>
      </w:r>
      <w:r w:rsidR="00BF3A67" w:rsidRPr="001139AF">
        <w:rPr>
          <w:rFonts w:ascii="Times New Roman" w:hAnsi="Times New Roman" w:cs="Times New Roman"/>
          <w:sz w:val="24"/>
          <w:szCs w:val="24"/>
        </w:rPr>
        <w:t xml:space="preserve"> 51.</w:t>
      </w:r>
      <w:r w:rsidR="00FA4FEB" w:rsidRPr="001139AF">
        <w:rPr>
          <w:rFonts w:ascii="Times New Roman" w:hAnsi="Times New Roman" w:cs="Times New Roman"/>
          <w:sz w:val="24"/>
          <w:szCs w:val="24"/>
          <w:vertAlign w:val="superscript"/>
        </w:rPr>
        <w:t xml:space="preserve">4 </w:t>
      </w:r>
      <w:r w:rsidR="00BF3A67" w:rsidRPr="001139AF">
        <w:rPr>
          <w:rFonts w:ascii="Times New Roman" w:hAnsi="Times New Roman" w:cs="Times New Roman"/>
          <w:sz w:val="24"/>
          <w:szCs w:val="24"/>
        </w:rPr>
        <w:t>7.</w:t>
      </w:r>
      <w:r w:rsidR="00FA4FEB" w:rsidRPr="001139AF">
        <w:rPr>
          <w:rFonts w:ascii="Times New Roman" w:hAnsi="Times New Roman" w:cs="Times New Roman"/>
          <w:sz w:val="24"/>
          <w:szCs w:val="24"/>
        </w:rPr>
        <w:t xml:space="preserve">apakšpunkts </w:t>
      </w:r>
      <w:r>
        <w:rPr>
          <w:rFonts w:ascii="Times New Roman" w:hAnsi="Times New Roman" w:cs="Times New Roman"/>
          <w:sz w:val="24"/>
          <w:szCs w:val="24"/>
        </w:rPr>
        <w:t>paredz izņēmuma gadījumu</w:t>
      </w:r>
      <w:r w:rsidR="00FA4FEB" w:rsidRPr="001139AF">
        <w:rPr>
          <w:rFonts w:ascii="Times New Roman" w:hAnsi="Times New Roman" w:cs="Times New Roman"/>
          <w:sz w:val="24"/>
          <w:szCs w:val="24"/>
        </w:rPr>
        <w:t xml:space="preserve">, kur </w:t>
      </w:r>
      <w:r>
        <w:rPr>
          <w:rFonts w:ascii="Times New Roman" w:hAnsi="Times New Roman" w:cs="Times New Roman"/>
          <w:sz w:val="24"/>
          <w:szCs w:val="24"/>
        </w:rPr>
        <w:t xml:space="preserve">šādai projektu termiņu pagarināšanai </w:t>
      </w:r>
      <w:r w:rsidR="00FA4FEB" w:rsidRPr="001139AF">
        <w:rPr>
          <w:rFonts w:ascii="Times New Roman" w:hAnsi="Times New Roman" w:cs="Times New Roman"/>
          <w:sz w:val="24"/>
          <w:szCs w:val="24"/>
        </w:rPr>
        <w:t>nepieciešams MK lēmums</w:t>
      </w:r>
      <w:r w:rsidR="00922A01" w:rsidRPr="001139AF">
        <w:rPr>
          <w:rFonts w:ascii="Times New Roman" w:hAnsi="Times New Roman" w:cs="Times New Roman"/>
          <w:sz w:val="24"/>
          <w:szCs w:val="24"/>
        </w:rPr>
        <w:t xml:space="preserve">. </w:t>
      </w:r>
      <w:r w:rsidR="00832097" w:rsidRPr="001139AF">
        <w:rPr>
          <w:rFonts w:ascii="Times New Roman" w:hAnsi="Times New Roman" w:cs="Times New Roman"/>
          <w:sz w:val="24"/>
          <w:szCs w:val="24"/>
        </w:rPr>
        <w:t>MK jau ir atbalstījis līdzīgu atļauju pagarināt projekta īstenošanas termiņu 8.1.4.SAM projektā.</w:t>
      </w:r>
      <w:r w:rsidR="00832097">
        <w:rPr>
          <w:rStyle w:val="FootnoteReference"/>
          <w:rFonts w:ascii="Times New Roman" w:hAnsi="Times New Roman" w:cs="Times New Roman"/>
          <w:sz w:val="24"/>
          <w:szCs w:val="24"/>
        </w:rPr>
        <w:footnoteReference w:id="41"/>
      </w:r>
      <w:r w:rsidR="00832097">
        <w:rPr>
          <w:rFonts w:ascii="Times New Roman" w:hAnsi="Times New Roman" w:cs="Times New Roman"/>
          <w:sz w:val="24"/>
          <w:szCs w:val="24"/>
        </w:rPr>
        <w:t xml:space="preserve"> </w:t>
      </w:r>
      <w:r w:rsidR="00922A01" w:rsidRPr="001139AF">
        <w:rPr>
          <w:rFonts w:ascii="Times New Roman" w:hAnsi="Times New Roman" w:cs="Times New Roman"/>
          <w:sz w:val="24"/>
          <w:szCs w:val="24"/>
        </w:rPr>
        <w:t>Lai nodrošinātu iespēju projektos</w:t>
      </w:r>
      <w:r>
        <w:rPr>
          <w:rFonts w:ascii="Times New Roman" w:hAnsi="Times New Roman" w:cs="Times New Roman"/>
          <w:sz w:val="24"/>
          <w:szCs w:val="24"/>
        </w:rPr>
        <w:t xml:space="preserve"> </w:t>
      </w:r>
      <w:r w:rsidR="00922A01" w:rsidRPr="001139AF">
        <w:rPr>
          <w:rFonts w:ascii="Times New Roman" w:hAnsi="Times New Roman" w:cs="Times New Roman"/>
          <w:sz w:val="24"/>
          <w:szCs w:val="24"/>
        </w:rPr>
        <w:t xml:space="preserve">īstenot papildu darbības </w:t>
      </w:r>
      <w:r w:rsidR="00832097">
        <w:rPr>
          <w:rFonts w:ascii="Times New Roman" w:hAnsi="Times New Roman" w:cs="Times New Roman"/>
          <w:sz w:val="24"/>
          <w:szCs w:val="24"/>
        </w:rPr>
        <w:t xml:space="preserve">par </w:t>
      </w:r>
      <w:r w:rsidR="003A2CB0" w:rsidRPr="001139AF">
        <w:rPr>
          <w:rFonts w:ascii="Times New Roman" w:hAnsi="Times New Roman" w:cs="Times New Roman"/>
          <w:sz w:val="24"/>
          <w:szCs w:val="24"/>
        </w:rPr>
        <w:t xml:space="preserve">snieguma </w:t>
      </w:r>
      <w:r w:rsidR="00922A01" w:rsidRPr="001139AF">
        <w:rPr>
          <w:rFonts w:ascii="Times New Roman" w:hAnsi="Times New Roman" w:cs="Times New Roman"/>
          <w:sz w:val="24"/>
          <w:szCs w:val="24"/>
        </w:rPr>
        <w:t>rezerves finansējum</w:t>
      </w:r>
      <w:r w:rsidR="00832097">
        <w:rPr>
          <w:rFonts w:ascii="Times New Roman" w:hAnsi="Times New Roman" w:cs="Times New Roman"/>
          <w:sz w:val="24"/>
          <w:szCs w:val="24"/>
        </w:rPr>
        <w:t xml:space="preserve">u, </w:t>
      </w:r>
      <w:r w:rsidR="00080615" w:rsidRPr="001139AF">
        <w:rPr>
          <w:rFonts w:ascii="Times New Roman" w:hAnsi="Times New Roman" w:cs="Times New Roman"/>
          <w:sz w:val="24"/>
          <w:szCs w:val="24"/>
        </w:rPr>
        <w:t>ļaujot pilnībā sasniegt projekta mērķus,</w:t>
      </w:r>
      <w:r w:rsidR="00922A01" w:rsidRPr="001139AF">
        <w:rPr>
          <w:rFonts w:ascii="Times New Roman" w:hAnsi="Times New Roman" w:cs="Times New Roman"/>
          <w:sz w:val="24"/>
          <w:szCs w:val="24"/>
        </w:rPr>
        <w:t xml:space="preserve"> ar MK lēmumu </w:t>
      </w:r>
      <w:r w:rsidR="003A2CB0" w:rsidRPr="001139AF">
        <w:rPr>
          <w:rFonts w:ascii="Times New Roman" w:hAnsi="Times New Roman" w:cs="Times New Roman"/>
          <w:sz w:val="24"/>
          <w:szCs w:val="24"/>
        </w:rPr>
        <w:t>būtu atbalstāms</w:t>
      </w:r>
      <w:r w:rsidR="00922A01" w:rsidRPr="001139AF">
        <w:rPr>
          <w:rFonts w:ascii="Times New Roman" w:hAnsi="Times New Roman" w:cs="Times New Roman"/>
          <w:sz w:val="24"/>
          <w:szCs w:val="24"/>
        </w:rPr>
        <w:t xml:space="preserve"> atļaut pagarināt</w:t>
      </w:r>
      <w:r>
        <w:rPr>
          <w:rFonts w:ascii="Times New Roman" w:hAnsi="Times New Roman" w:cs="Times New Roman"/>
          <w:sz w:val="24"/>
          <w:szCs w:val="24"/>
        </w:rPr>
        <w:t xml:space="preserve"> šādu</w:t>
      </w:r>
      <w:r w:rsidR="00922A01" w:rsidRPr="001139AF">
        <w:rPr>
          <w:rFonts w:ascii="Times New Roman" w:hAnsi="Times New Roman" w:cs="Times New Roman"/>
          <w:sz w:val="24"/>
          <w:szCs w:val="24"/>
        </w:rPr>
        <w:t xml:space="preserve"> projektu īstenošanas termiņu par periodu, kas kopumā pārsniedz sešus mēnešus</w:t>
      </w:r>
      <w:r w:rsidR="00D91CA3">
        <w:rPr>
          <w:rFonts w:ascii="Times New Roman" w:hAnsi="Times New Roman" w:cs="Times New Roman"/>
          <w:sz w:val="24"/>
          <w:szCs w:val="24"/>
        </w:rPr>
        <w:t>.</w:t>
      </w:r>
      <w:r w:rsidR="003A2CB0" w:rsidRPr="001139AF">
        <w:rPr>
          <w:rFonts w:ascii="Times New Roman" w:hAnsi="Times New Roman" w:cs="Times New Roman"/>
          <w:sz w:val="24"/>
          <w:szCs w:val="24"/>
        </w:rPr>
        <w:t xml:space="preserve"> </w:t>
      </w:r>
    </w:p>
    <w:p w14:paraId="3D0EA7E6" w14:textId="6C19224F" w:rsidR="00915BDC" w:rsidRPr="00915BDC" w:rsidRDefault="00382730" w:rsidP="00915BDC">
      <w:pPr>
        <w:pStyle w:val="ListParagraph"/>
        <w:numPr>
          <w:ilvl w:val="1"/>
          <w:numId w:val="1"/>
        </w:numPr>
        <w:spacing w:line="276" w:lineRule="auto"/>
        <w:ind w:left="993"/>
        <w:jc w:val="both"/>
        <w:rPr>
          <w:rFonts w:cs="Times New Roman"/>
          <w:b/>
          <w:bCs/>
          <w:szCs w:val="24"/>
        </w:rPr>
      </w:pPr>
      <w:r w:rsidRPr="00915BDC">
        <w:rPr>
          <w:rFonts w:ascii="Times New Roman" w:hAnsi="Times New Roman" w:cs="Times New Roman"/>
          <w:sz w:val="24"/>
          <w:szCs w:val="24"/>
        </w:rPr>
        <w:t xml:space="preserve">Lai veicinātu efektīvu ES fondu finansējuma turpmāku izmantošanu, nodrošinot tā nonākšanu tautsaimniecībā un mazinot finansējuma neizmantošanas risku, tuvojoties ES fondu 2014.–2020.gada plānošanas perioda noslēgumam, VARAM rosina noteikt ierobežojumu </w:t>
      </w:r>
      <w:r w:rsidR="003E70CE">
        <w:rPr>
          <w:rFonts w:ascii="Times New Roman" w:hAnsi="Times New Roman" w:cs="Times New Roman"/>
          <w:sz w:val="24"/>
          <w:szCs w:val="24"/>
        </w:rPr>
        <w:t>3.3.1.SAM, 4.2.2.SAM un 5.6.2.SAM “</w:t>
      </w:r>
      <w:r w:rsidR="003E70CE" w:rsidRPr="00DF27EF">
        <w:rPr>
          <w:rFonts w:ascii="Times New Roman" w:hAnsi="Times New Roman" w:cs="Times New Roman"/>
          <w:sz w:val="24"/>
          <w:szCs w:val="24"/>
        </w:rPr>
        <w:t xml:space="preserve">Teritoriju </w:t>
      </w:r>
      <w:proofErr w:type="spellStart"/>
      <w:r w:rsidR="003E70CE" w:rsidRPr="00DF27EF">
        <w:rPr>
          <w:rFonts w:ascii="Times New Roman" w:hAnsi="Times New Roman" w:cs="Times New Roman"/>
          <w:sz w:val="24"/>
          <w:szCs w:val="24"/>
        </w:rPr>
        <w:t>revitalizācija</w:t>
      </w:r>
      <w:proofErr w:type="spellEnd"/>
      <w:r w:rsidR="003E70CE" w:rsidRPr="00DF27EF">
        <w:rPr>
          <w:rFonts w:ascii="Times New Roman" w:hAnsi="Times New Roman" w:cs="Times New Roman"/>
          <w:sz w:val="24"/>
          <w:szCs w:val="24"/>
        </w:rPr>
        <w:t>, reģenerējot degradētās teritorijas atbilstoši pašvaldību integrētajām attīstības programmām</w:t>
      </w:r>
      <w:r w:rsidR="003E70CE">
        <w:rPr>
          <w:rFonts w:ascii="Times New Roman" w:hAnsi="Times New Roman" w:cs="Times New Roman"/>
          <w:sz w:val="24"/>
          <w:szCs w:val="24"/>
        </w:rPr>
        <w:t>” (turpmāk – 5.6.2.SAM)</w:t>
      </w:r>
      <w:r w:rsidRPr="00915BDC">
        <w:rPr>
          <w:rFonts w:ascii="Times New Roman" w:hAnsi="Times New Roman" w:cs="Times New Roman"/>
          <w:sz w:val="24"/>
          <w:szCs w:val="24"/>
        </w:rPr>
        <w:t xml:space="preserve"> projektu iesniegumu iesniegšanas termiņu pagarināšanai izsludinātajās projektu iesniegumu atlasēs – proti, nosakot, ka projektu iesniegumi tiek iesniegti un pieņemti vērtēšanai ne ilgāk kā līdz 2020.gada 1.martam un projektu iesniegumu atlašu nolikumos noteiktie projektu iesniegumu iesniegšanas termiņi netiek pagarināti</w:t>
      </w:r>
      <w:r w:rsidR="00922A01" w:rsidRPr="00915BDC">
        <w:rPr>
          <w:rFonts w:ascii="Times New Roman" w:hAnsi="Times New Roman" w:cs="Times New Roman"/>
          <w:sz w:val="24"/>
          <w:szCs w:val="24"/>
        </w:rPr>
        <w:t>.</w:t>
      </w:r>
    </w:p>
    <w:p w14:paraId="021E226B" w14:textId="3A3DAC83" w:rsidR="00861C0D" w:rsidRPr="00DE70A4" w:rsidRDefault="006C0551" w:rsidP="00DE70A4">
      <w:pPr>
        <w:pStyle w:val="ListParagraph"/>
        <w:numPr>
          <w:ilvl w:val="1"/>
          <w:numId w:val="1"/>
        </w:numPr>
        <w:spacing w:line="276" w:lineRule="auto"/>
        <w:ind w:left="993"/>
        <w:jc w:val="both"/>
        <w:rPr>
          <w:rFonts w:cs="Times New Roman"/>
          <w:bCs/>
          <w:szCs w:val="24"/>
        </w:rPr>
      </w:pPr>
      <w:r w:rsidRPr="002F6257">
        <w:rPr>
          <w:rFonts w:ascii="Times New Roman" w:hAnsi="Times New Roman" w:cs="Times New Roman"/>
          <w:color w:val="000000"/>
          <w:sz w:val="24"/>
          <w:szCs w:val="24"/>
        </w:rPr>
        <w:t xml:space="preserve">Veselības ministrija rosina atzīt par </w:t>
      </w:r>
      <w:r w:rsidR="005D790A" w:rsidRPr="002F6257">
        <w:rPr>
          <w:rFonts w:ascii="Times New Roman" w:hAnsi="Times New Roman" w:cs="Times New Roman"/>
          <w:color w:val="000000"/>
          <w:sz w:val="24"/>
          <w:szCs w:val="24"/>
        </w:rPr>
        <w:t xml:space="preserve">aktualitāti </w:t>
      </w:r>
      <w:r w:rsidRPr="002F6257">
        <w:rPr>
          <w:rFonts w:ascii="Times New Roman" w:hAnsi="Times New Roman" w:cs="Times New Roman"/>
          <w:color w:val="000000"/>
          <w:sz w:val="24"/>
          <w:szCs w:val="24"/>
        </w:rPr>
        <w:t>zaudējušu MK lēmumu</w:t>
      </w:r>
      <w:r w:rsidR="00193EE6" w:rsidRPr="0033214E">
        <w:rPr>
          <w:rStyle w:val="FootnoteReference"/>
          <w:rFonts w:ascii="Times New Roman" w:hAnsi="Times New Roman" w:cs="Times New Roman"/>
          <w:color w:val="000000"/>
          <w:sz w:val="24"/>
          <w:szCs w:val="24"/>
        </w:rPr>
        <w:footnoteReference w:id="42"/>
      </w:r>
      <w:r w:rsidR="00624AF4" w:rsidRPr="002F6257">
        <w:rPr>
          <w:rFonts w:ascii="Times New Roman" w:hAnsi="Times New Roman" w:cs="Times New Roman"/>
          <w:color w:val="000000"/>
          <w:sz w:val="24"/>
          <w:szCs w:val="24"/>
        </w:rPr>
        <w:t>, kas nosaka ierobežojumu</w:t>
      </w:r>
      <w:r w:rsidRPr="002F6257">
        <w:rPr>
          <w:rFonts w:ascii="Times New Roman" w:hAnsi="Times New Roman" w:cs="Times New Roman"/>
          <w:color w:val="000000"/>
          <w:sz w:val="24"/>
          <w:szCs w:val="24"/>
        </w:rPr>
        <w:t xml:space="preserve"> </w:t>
      </w:r>
      <w:r w:rsidRPr="002F6257">
        <w:rPr>
          <w:rFonts w:ascii="Times New Roman" w:hAnsi="Times New Roman" w:cs="Times New Roman"/>
          <w:sz w:val="24"/>
          <w:szCs w:val="24"/>
        </w:rPr>
        <w:t>Veselības ministrija</w:t>
      </w:r>
      <w:r w:rsidR="004141B3" w:rsidRPr="002F6257">
        <w:rPr>
          <w:rFonts w:ascii="Times New Roman" w:hAnsi="Times New Roman" w:cs="Times New Roman"/>
          <w:sz w:val="24"/>
          <w:szCs w:val="24"/>
        </w:rPr>
        <w:t>i</w:t>
      </w:r>
      <w:r w:rsidRPr="002F6257">
        <w:rPr>
          <w:rFonts w:ascii="Times New Roman" w:hAnsi="Times New Roman" w:cs="Times New Roman"/>
          <w:sz w:val="24"/>
          <w:szCs w:val="24"/>
        </w:rPr>
        <w:t xml:space="preserve"> līdz darbības programmas snieguma ietvara </w:t>
      </w:r>
      <w:proofErr w:type="spellStart"/>
      <w:r w:rsidRPr="002F6257">
        <w:rPr>
          <w:rFonts w:ascii="Times New Roman" w:hAnsi="Times New Roman" w:cs="Times New Roman"/>
          <w:sz w:val="24"/>
          <w:szCs w:val="24"/>
        </w:rPr>
        <w:t>vidusposma</w:t>
      </w:r>
      <w:proofErr w:type="spellEnd"/>
      <w:r w:rsidRPr="002F6257">
        <w:rPr>
          <w:rFonts w:ascii="Times New Roman" w:hAnsi="Times New Roman" w:cs="Times New Roman"/>
          <w:sz w:val="24"/>
          <w:szCs w:val="24"/>
        </w:rPr>
        <w:t xml:space="preserve"> rādītāju sasniegšanai izmantot </w:t>
      </w:r>
      <w:r w:rsidR="00624AF4" w:rsidRPr="002F6257">
        <w:rPr>
          <w:rFonts w:ascii="Times New Roman" w:hAnsi="Times New Roman" w:cs="Times New Roman"/>
          <w:sz w:val="24"/>
          <w:szCs w:val="24"/>
        </w:rPr>
        <w:t>veselības aprūpes infrastruktūras</w:t>
      </w:r>
      <w:r w:rsidR="00624AF4" w:rsidRPr="0033214E">
        <w:rPr>
          <w:rStyle w:val="FootnoteReference"/>
          <w:rFonts w:ascii="Times New Roman" w:hAnsi="Times New Roman" w:cs="Times New Roman"/>
          <w:sz w:val="24"/>
          <w:szCs w:val="24"/>
        </w:rPr>
        <w:footnoteReference w:id="43"/>
      </w:r>
      <w:r w:rsidR="00624AF4" w:rsidRPr="002F6257">
        <w:rPr>
          <w:rFonts w:ascii="Times New Roman" w:hAnsi="Times New Roman" w:cs="Times New Roman"/>
          <w:sz w:val="24"/>
          <w:szCs w:val="24"/>
        </w:rPr>
        <w:t xml:space="preserve"> </w:t>
      </w:r>
      <w:r w:rsidRPr="002F6257">
        <w:rPr>
          <w:rFonts w:ascii="Times New Roman" w:hAnsi="Times New Roman" w:cs="Times New Roman"/>
          <w:sz w:val="24"/>
          <w:szCs w:val="24"/>
        </w:rPr>
        <w:t xml:space="preserve">finansējumu, kas atzīts par neatbilstošu, citu projektu darbības finansēšanai. </w:t>
      </w:r>
      <w:r w:rsidR="00915BDC" w:rsidRPr="002F6257">
        <w:rPr>
          <w:rFonts w:ascii="Times New Roman" w:hAnsi="Times New Roman" w:cs="Times New Roman"/>
          <w:sz w:val="24"/>
          <w:szCs w:val="24"/>
        </w:rPr>
        <w:t>Ņemot vērā</w:t>
      </w:r>
      <w:r w:rsidR="002F6257" w:rsidRPr="002F6257">
        <w:rPr>
          <w:rFonts w:ascii="Times New Roman" w:hAnsi="Times New Roman" w:cs="Times New Roman"/>
          <w:sz w:val="24"/>
          <w:szCs w:val="24"/>
        </w:rPr>
        <w:t xml:space="preserve"> EK lēmumu</w:t>
      </w:r>
      <w:r w:rsidR="002F6257" w:rsidRPr="0033214E">
        <w:rPr>
          <w:rStyle w:val="FootnoteReference"/>
          <w:rFonts w:ascii="Times New Roman" w:hAnsi="Times New Roman" w:cs="Times New Roman"/>
          <w:sz w:val="24"/>
          <w:szCs w:val="24"/>
        </w:rPr>
        <w:footnoteReference w:id="44"/>
      </w:r>
      <w:r w:rsidR="002F6257" w:rsidRPr="002F6257">
        <w:rPr>
          <w:rFonts w:ascii="Times New Roman" w:hAnsi="Times New Roman" w:cs="Times New Roman"/>
          <w:sz w:val="24"/>
          <w:szCs w:val="24"/>
        </w:rPr>
        <w:t xml:space="preserve"> par darbības programmā noteikto </w:t>
      </w:r>
      <w:proofErr w:type="spellStart"/>
      <w:r w:rsidR="00566A91">
        <w:rPr>
          <w:rFonts w:ascii="Times New Roman" w:hAnsi="Times New Roman" w:cs="Times New Roman"/>
          <w:sz w:val="24"/>
          <w:szCs w:val="24"/>
        </w:rPr>
        <w:t>vidus</w:t>
      </w:r>
      <w:r w:rsidR="002F6257" w:rsidRPr="002F6257">
        <w:rPr>
          <w:rFonts w:ascii="Times New Roman" w:hAnsi="Times New Roman" w:cs="Times New Roman"/>
          <w:sz w:val="24"/>
          <w:szCs w:val="24"/>
        </w:rPr>
        <w:t>posma</w:t>
      </w:r>
      <w:proofErr w:type="spellEnd"/>
      <w:r w:rsidR="002F6257" w:rsidRPr="002F6257">
        <w:rPr>
          <w:rFonts w:ascii="Times New Roman" w:hAnsi="Times New Roman" w:cs="Times New Roman"/>
          <w:sz w:val="24"/>
          <w:szCs w:val="24"/>
        </w:rPr>
        <w:t xml:space="preserve"> mērķu izpildi, </w:t>
      </w:r>
      <w:r w:rsidR="002F6257" w:rsidRPr="00C65658">
        <w:rPr>
          <w:rFonts w:ascii="Times New Roman" w:hAnsi="Times New Roman" w:cs="Times New Roman"/>
          <w:sz w:val="24"/>
          <w:szCs w:val="24"/>
        </w:rPr>
        <w:t xml:space="preserve">informatīvā ziņojuma 1.pielikumā </w:t>
      </w:r>
      <w:r w:rsidR="002F6257" w:rsidRPr="002F6257">
        <w:rPr>
          <w:rFonts w:ascii="Times New Roman" w:hAnsi="Times New Roman" w:cs="Times New Roman"/>
          <w:sz w:val="24"/>
          <w:szCs w:val="24"/>
        </w:rPr>
        <w:t>piedāvātais</w:t>
      </w:r>
      <w:r w:rsidR="002F6257" w:rsidRPr="00C65658">
        <w:rPr>
          <w:rFonts w:ascii="Times New Roman" w:hAnsi="Times New Roman" w:cs="Times New Roman"/>
          <w:sz w:val="24"/>
          <w:szCs w:val="24"/>
        </w:rPr>
        <w:t xml:space="preserve"> risinājum</w:t>
      </w:r>
      <w:r w:rsidR="002F6257" w:rsidRPr="002F6257">
        <w:rPr>
          <w:rFonts w:ascii="Times New Roman" w:hAnsi="Times New Roman" w:cs="Times New Roman"/>
          <w:sz w:val="24"/>
          <w:szCs w:val="24"/>
        </w:rPr>
        <w:t xml:space="preserve">s paredz novirzīt 9.3.2.SAM </w:t>
      </w:r>
      <w:r w:rsidR="00C65658">
        <w:rPr>
          <w:rFonts w:ascii="Times New Roman" w:hAnsi="Times New Roman" w:cs="Times New Roman"/>
          <w:sz w:val="24"/>
          <w:szCs w:val="24"/>
        </w:rPr>
        <w:t>“</w:t>
      </w:r>
      <w:r w:rsidR="00C65658" w:rsidRPr="00C65658">
        <w:rPr>
          <w:rFonts w:ascii="Times New Roman" w:hAnsi="Times New Roman" w:cs="Times New Roman"/>
          <w:bCs/>
          <w:iCs/>
          <w:sz w:val="24"/>
          <w:szCs w:val="24"/>
        </w:rPr>
        <w:t>Uzlabot kvalitatīvu veselības aprūpes pakalpojumu pieejamību, jo īpaši sociālās, teritoriālās atstumtības un nabadzības riskam pakļautajiem iedzīvotājiem, attīstot veselības aprūpes infrastruktūru</w:t>
      </w:r>
      <w:r w:rsidR="00C65658">
        <w:rPr>
          <w:rFonts w:ascii="Times New Roman" w:hAnsi="Times New Roman" w:cs="Times New Roman"/>
          <w:sz w:val="24"/>
          <w:szCs w:val="24"/>
        </w:rPr>
        <w:t xml:space="preserve">” </w:t>
      </w:r>
      <w:r w:rsidR="00DE70A4">
        <w:rPr>
          <w:rFonts w:ascii="Times New Roman" w:hAnsi="Times New Roman" w:cs="Times New Roman"/>
          <w:sz w:val="24"/>
          <w:szCs w:val="24"/>
        </w:rPr>
        <w:t xml:space="preserve">neatbilstības </w:t>
      </w:r>
      <w:r w:rsidR="002F6257" w:rsidRPr="00C65658">
        <w:rPr>
          <w:rFonts w:ascii="Times New Roman" w:hAnsi="Times New Roman" w:cs="Times New Roman"/>
          <w:sz w:val="24"/>
          <w:szCs w:val="24"/>
        </w:rPr>
        <w:t>Paula Stradiņa klīniskās universitātes slimnīcas lielajam projektam</w:t>
      </w:r>
      <w:r w:rsidR="00566A91">
        <w:rPr>
          <w:rFonts w:ascii="Times New Roman" w:hAnsi="Times New Roman" w:cs="Times New Roman"/>
          <w:sz w:val="24"/>
          <w:szCs w:val="24"/>
        </w:rPr>
        <w:t xml:space="preserve"> (</w:t>
      </w:r>
      <w:r w:rsidR="00566A91" w:rsidRPr="00DE70A4">
        <w:rPr>
          <w:rFonts w:ascii="Times New Roman" w:hAnsi="Times New Roman" w:cs="Times New Roman"/>
          <w:sz w:val="24"/>
          <w:szCs w:val="24"/>
        </w:rPr>
        <w:t>attiecīgi samazinot ESF pārdalāmo finansējuma apjomu no 9.2.4.2.pasākuma “</w:t>
      </w:r>
      <w:r w:rsidR="00566A91" w:rsidRPr="00DE70A4">
        <w:rPr>
          <w:rFonts w:ascii="Times New Roman" w:hAnsi="Times New Roman" w:cs="Times New Roman"/>
          <w:bCs/>
          <w:sz w:val="24"/>
          <w:szCs w:val="24"/>
        </w:rPr>
        <w:t>Pasākumi vietējās sabiedrības veselības veicināšanai un slimību profilaksei</w:t>
      </w:r>
      <w:r w:rsidR="00566A91" w:rsidRPr="00DE70A4">
        <w:rPr>
          <w:rFonts w:ascii="Times New Roman" w:hAnsi="Times New Roman" w:cs="Times New Roman"/>
          <w:sz w:val="24"/>
          <w:szCs w:val="24"/>
        </w:rPr>
        <w:t>”</w:t>
      </w:r>
      <w:r w:rsidR="00566A91">
        <w:rPr>
          <w:rFonts w:ascii="Times New Roman" w:hAnsi="Times New Roman" w:cs="Times New Roman"/>
          <w:sz w:val="24"/>
          <w:szCs w:val="24"/>
        </w:rPr>
        <w:t xml:space="preserve">), </w:t>
      </w:r>
      <w:r w:rsidR="00CE7EDF">
        <w:rPr>
          <w:rFonts w:ascii="Times New Roman" w:hAnsi="Times New Roman" w:cs="Times New Roman"/>
          <w:sz w:val="24"/>
          <w:szCs w:val="24"/>
        </w:rPr>
        <w:t>savukārt turpmākie</w:t>
      </w:r>
      <w:r w:rsidR="00AD4AEF">
        <w:rPr>
          <w:rFonts w:ascii="Times New Roman" w:hAnsi="Times New Roman" w:cs="Times New Roman"/>
          <w:sz w:val="24"/>
          <w:szCs w:val="24"/>
        </w:rPr>
        <w:t xml:space="preserve"> </w:t>
      </w:r>
      <w:r w:rsidR="00CE7EDF">
        <w:rPr>
          <w:rFonts w:ascii="Times New Roman" w:hAnsi="Times New Roman" w:cs="Times New Roman"/>
          <w:sz w:val="24"/>
          <w:szCs w:val="24"/>
        </w:rPr>
        <w:t>finansējuma atlikumi</w:t>
      </w:r>
      <w:r w:rsidR="00DD1C01">
        <w:rPr>
          <w:rFonts w:ascii="Times New Roman" w:hAnsi="Times New Roman" w:cs="Times New Roman"/>
          <w:sz w:val="24"/>
          <w:szCs w:val="24"/>
        </w:rPr>
        <w:t xml:space="preserve"> no </w:t>
      </w:r>
      <w:r w:rsidR="00DD1C01">
        <w:rPr>
          <w:rFonts w:ascii="Times New Roman" w:hAnsi="Times New Roman" w:cs="Times New Roman"/>
          <w:sz w:val="24"/>
          <w:szCs w:val="24"/>
        </w:rPr>
        <w:lastRenderedPageBreak/>
        <w:t>neatbilstībām/lauztajiem līgumiem</w:t>
      </w:r>
      <w:r w:rsidR="00CE7EDF">
        <w:rPr>
          <w:rFonts w:ascii="Times New Roman" w:hAnsi="Times New Roman" w:cs="Times New Roman"/>
          <w:sz w:val="24"/>
          <w:szCs w:val="24"/>
        </w:rPr>
        <w:t xml:space="preserve"> </w:t>
      </w:r>
      <w:r w:rsidR="00AD4AEF" w:rsidRPr="00AD4AEF">
        <w:rPr>
          <w:rFonts w:ascii="Times New Roman" w:hAnsi="Times New Roman" w:cs="Times New Roman"/>
          <w:sz w:val="24"/>
          <w:szCs w:val="24"/>
        </w:rPr>
        <w:t>9.priorit</w:t>
      </w:r>
      <w:r w:rsidR="00AD4AEF">
        <w:rPr>
          <w:rFonts w:ascii="Times New Roman" w:hAnsi="Times New Roman" w:cs="Times New Roman"/>
          <w:sz w:val="24"/>
          <w:szCs w:val="24"/>
        </w:rPr>
        <w:t>ārajā</w:t>
      </w:r>
      <w:r w:rsidR="00264B0E">
        <w:rPr>
          <w:rFonts w:ascii="Times New Roman" w:hAnsi="Times New Roman" w:cs="Times New Roman"/>
          <w:sz w:val="24"/>
          <w:szCs w:val="24"/>
        </w:rPr>
        <w:t xml:space="preserve"> virzienā</w:t>
      </w:r>
      <w:r w:rsidR="00AD4AEF" w:rsidRPr="00AD4AEF">
        <w:rPr>
          <w:rFonts w:ascii="Times New Roman" w:hAnsi="Times New Roman" w:cs="Times New Roman"/>
          <w:sz w:val="24"/>
          <w:szCs w:val="24"/>
        </w:rPr>
        <w:t xml:space="preserve"> </w:t>
      </w:r>
      <w:r w:rsidR="00DE70A4">
        <w:rPr>
          <w:rFonts w:ascii="Times New Roman" w:hAnsi="Times New Roman" w:cs="Times New Roman"/>
          <w:sz w:val="24"/>
          <w:szCs w:val="24"/>
        </w:rPr>
        <w:t>atbilstoši informatīvajā ziņojumā paredzē</w:t>
      </w:r>
      <w:r w:rsidR="00CE7EDF">
        <w:rPr>
          <w:rFonts w:ascii="Times New Roman" w:hAnsi="Times New Roman" w:cs="Times New Roman"/>
          <w:sz w:val="24"/>
          <w:szCs w:val="24"/>
        </w:rPr>
        <w:t xml:space="preserve">tajam risinājumam </w:t>
      </w:r>
      <w:r w:rsidR="00DD1C01">
        <w:rPr>
          <w:rFonts w:ascii="Times New Roman" w:hAnsi="Times New Roman" w:cs="Times New Roman"/>
          <w:sz w:val="24"/>
          <w:szCs w:val="24"/>
        </w:rPr>
        <w:t>novirzāmi</w:t>
      </w:r>
      <w:r w:rsidR="00566A91">
        <w:rPr>
          <w:rFonts w:ascii="Times New Roman" w:hAnsi="Times New Roman" w:cs="Times New Roman"/>
          <w:sz w:val="24"/>
          <w:szCs w:val="24"/>
        </w:rPr>
        <w:t xml:space="preserve"> </w:t>
      </w:r>
      <w:proofErr w:type="spellStart"/>
      <w:r w:rsidR="00566A91">
        <w:rPr>
          <w:rFonts w:ascii="Times New Roman" w:hAnsi="Times New Roman" w:cs="Times New Roman"/>
          <w:sz w:val="24"/>
          <w:szCs w:val="24"/>
        </w:rPr>
        <w:t>virssaistību</w:t>
      </w:r>
      <w:proofErr w:type="spellEnd"/>
      <w:r w:rsidR="00566A91">
        <w:rPr>
          <w:rFonts w:ascii="Times New Roman" w:hAnsi="Times New Roman" w:cs="Times New Roman"/>
          <w:sz w:val="24"/>
          <w:szCs w:val="24"/>
        </w:rPr>
        <w:t xml:space="preserve"> kompensēšanai</w:t>
      </w:r>
      <w:r w:rsidR="002F6257" w:rsidRPr="00DE70A4">
        <w:rPr>
          <w:rFonts w:ascii="Times New Roman" w:hAnsi="Times New Roman" w:cs="Times New Roman"/>
          <w:sz w:val="24"/>
          <w:szCs w:val="24"/>
        </w:rPr>
        <w:t xml:space="preserve">. </w:t>
      </w:r>
    </w:p>
    <w:p w14:paraId="54E04912" w14:textId="15E47EF1" w:rsidR="00EA6D89" w:rsidRPr="002F6257" w:rsidRDefault="00861C0D" w:rsidP="00873561">
      <w:pPr>
        <w:pStyle w:val="ListParagraph"/>
        <w:numPr>
          <w:ilvl w:val="1"/>
          <w:numId w:val="1"/>
        </w:numPr>
        <w:spacing w:line="276" w:lineRule="auto"/>
        <w:ind w:left="993"/>
        <w:jc w:val="both"/>
        <w:rPr>
          <w:rFonts w:cs="Times New Roman"/>
          <w:b/>
          <w:bCs/>
          <w:szCs w:val="24"/>
        </w:rPr>
      </w:pPr>
      <w:r w:rsidRPr="00C65658">
        <w:rPr>
          <w:rFonts w:ascii="Times New Roman" w:hAnsi="Times New Roman" w:cs="Times New Roman"/>
          <w:sz w:val="24"/>
          <w:szCs w:val="24"/>
        </w:rPr>
        <w:t>Labklājības ministrija iesniedza priekšlikumu novirzīt 7.2.1.3.</w:t>
      </w:r>
      <w:r>
        <w:rPr>
          <w:rFonts w:ascii="Times New Roman" w:hAnsi="Times New Roman" w:cs="Times New Roman"/>
          <w:sz w:val="24"/>
          <w:szCs w:val="24"/>
        </w:rPr>
        <w:t xml:space="preserve">pasākuma </w:t>
      </w:r>
      <w:r w:rsidR="00A41619">
        <w:rPr>
          <w:rFonts w:ascii="Times New Roman" w:hAnsi="Times New Roman" w:cs="Times New Roman"/>
          <w:sz w:val="24"/>
          <w:szCs w:val="24"/>
        </w:rPr>
        <w:t>“</w:t>
      </w:r>
      <w:r w:rsidR="00A41619" w:rsidRPr="00A41619">
        <w:rPr>
          <w:rFonts w:ascii="Times New Roman" w:hAnsi="Times New Roman" w:cs="Times New Roman"/>
          <w:sz w:val="24"/>
          <w:szCs w:val="24"/>
        </w:rPr>
        <w:t>Jauniešu garantijas pasākumu īstenošana pēc 2018.gada</w:t>
      </w:r>
      <w:r w:rsidR="00A41619">
        <w:rPr>
          <w:rFonts w:ascii="Times New Roman" w:hAnsi="Times New Roman" w:cs="Times New Roman"/>
          <w:sz w:val="24"/>
          <w:szCs w:val="24"/>
        </w:rPr>
        <w:t>”</w:t>
      </w:r>
      <w:r w:rsidR="00A41619" w:rsidRPr="00A41619">
        <w:rPr>
          <w:rFonts w:ascii="Times New Roman" w:hAnsi="Times New Roman" w:cs="Times New Roman"/>
          <w:sz w:val="24"/>
          <w:szCs w:val="24"/>
        </w:rPr>
        <w:t xml:space="preserve"> </w:t>
      </w:r>
      <w:r w:rsidR="00A41619">
        <w:rPr>
          <w:rFonts w:ascii="Times New Roman" w:hAnsi="Times New Roman" w:cs="Times New Roman"/>
          <w:sz w:val="24"/>
          <w:szCs w:val="24"/>
        </w:rPr>
        <w:t xml:space="preserve">(turpmāk – 7.2.1.3.pasākums) </w:t>
      </w:r>
      <w:r>
        <w:rPr>
          <w:rFonts w:ascii="Times New Roman" w:hAnsi="Times New Roman" w:cs="Times New Roman"/>
          <w:sz w:val="24"/>
          <w:szCs w:val="24"/>
        </w:rPr>
        <w:t>rezerves finansējumu uz 9.prioritāro virzienu</w:t>
      </w:r>
      <w:r w:rsidR="00A41619">
        <w:rPr>
          <w:rFonts w:ascii="Times New Roman" w:hAnsi="Times New Roman" w:cs="Times New Roman"/>
          <w:sz w:val="24"/>
          <w:szCs w:val="24"/>
        </w:rPr>
        <w:t xml:space="preserve">, pamatojoties uz nozares aktuālajām vajadzībām, attiecīgi </w:t>
      </w:r>
      <w:r w:rsidR="00F338DC">
        <w:rPr>
          <w:rFonts w:ascii="Times New Roman" w:hAnsi="Times New Roman" w:cs="Times New Roman"/>
          <w:sz w:val="24"/>
          <w:szCs w:val="24"/>
        </w:rPr>
        <w:t xml:space="preserve">par </w:t>
      </w:r>
      <w:r w:rsidR="00A41619" w:rsidRPr="00A41619">
        <w:rPr>
          <w:rFonts w:ascii="Times New Roman" w:hAnsi="Times New Roman" w:cs="Times New Roman"/>
          <w:sz w:val="24"/>
          <w:szCs w:val="24"/>
        </w:rPr>
        <w:t>aktualitāti zaudē</w:t>
      </w:r>
      <w:r w:rsidR="00F338DC">
        <w:rPr>
          <w:rFonts w:ascii="Times New Roman" w:hAnsi="Times New Roman" w:cs="Times New Roman"/>
          <w:sz w:val="24"/>
          <w:szCs w:val="24"/>
        </w:rPr>
        <w:t>jušu atzīstams</w:t>
      </w:r>
      <w:r w:rsidR="00A41619" w:rsidRPr="00A41619">
        <w:rPr>
          <w:rFonts w:ascii="Times New Roman" w:hAnsi="Times New Roman" w:cs="Times New Roman"/>
          <w:sz w:val="24"/>
          <w:szCs w:val="24"/>
        </w:rPr>
        <w:t xml:space="preserve"> </w:t>
      </w:r>
      <w:r w:rsidR="00F338DC">
        <w:rPr>
          <w:rFonts w:ascii="Times New Roman" w:hAnsi="Times New Roman" w:cs="Times New Roman"/>
          <w:sz w:val="24"/>
          <w:szCs w:val="24"/>
        </w:rPr>
        <w:t>MK lēmums</w:t>
      </w:r>
      <w:r w:rsidR="00F338DC">
        <w:rPr>
          <w:rStyle w:val="FootnoteReference"/>
          <w:rFonts w:ascii="Times New Roman" w:hAnsi="Times New Roman" w:cs="Times New Roman"/>
          <w:sz w:val="24"/>
          <w:szCs w:val="24"/>
        </w:rPr>
        <w:footnoteReference w:id="45"/>
      </w:r>
      <w:r w:rsidR="00F338DC">
        <w:rPr>
          <w:rFonts w:ascii="Times New Roman" w:hAnsi="Times New Roman" w:cs="Times New Roman"/>
          <w:sz w:val="24"/>
          <w:szCs w:val="24"/>
        </w:rPr>
        <w:t xml:space="preserve">, kas noteica </w:t>
      </w:r>
      <w:r w:rsidR="00A41619">
        <w:rPr>
          <w:rFonts w:ascii="Times New Roman" w:hAnsi="Times New Roman" w:cs="Times New Roman"/>
          <w:sz w:val="24"/>
          <w:szCs w:val="24"/>
        </w:rPr>
        <w:t xml:space="preserve">Labklājības ministrijai virzīt </w:t>
      </w:r>
      <w:r w:rsidR="00A41619" w:rsidRPr="00A41619">
        <w:rPr>
          <w:rFonts w:ascii="Times New Roman" w:hAnsi="Times New Roman" w:cs="Times New Roman"/>
          <w:sz w:val="24"/>
          <w:szCs w:val="24"/>
        </w:rPr>
        <w:t xml:space="preserve">grozījumus darbības programmā </w:t>
      </w:r>
      <w:r w:rsidR="00A41619">
        <w:rPr>
          <w:rFonts w:ascii="Times New Roman" w:hAnsi="Times New Roman" w:cs="Times New Roman"/>
          <w:sz w:val="24"/>
          <w:szCs w:val="24"/>
        </w:rPr>
        <w:t>“</w:t>
      </w:r>
      <w:r w:rsidR="00A41619" w:rsidRPr="00A41619">
        <w:rPr>
          <w:rFonts w:ascii="Times New Roman" w:hAnsi="Times New Roman" w:cs="Times New Roman"/>
          <w:sz w:val="24"/>
          <w:szCs w:val="24"/>
        </w:rPr>
        <w:t>Izaugsme un nodarb</w:t>
      </w:r>
      <w:r w:rsidR="00A41619">
        <w:rPr>
          <w:rFonts w:ascii="Times New Roman" w:hAnsi="Times New Roman" w:cs="Times New Roman"/>
          <w:sz w:val="24"/>
          <w:szCs w:val="24"/>
        </w:rPr>
        <w:t xml:space="preserve">inātība”, paredzot </w:t>
      </w:r>
      <w:r w:rsidR="00A41619" w:rsidRPr="00A41619">
        <w:rPr>
          <w:rFonts w:ascii="Times New Roman" w:hAnsi="Times New Roman" w:cs="Times New Roman"/>
          <w:sz w:val="24"/>
          <w:szCs w:val="24"/>
        </w:rPr>
        <w:t xml:space="preserve">7.2.1.3.pasākuma </w:t>
      </w:r>
      <w:r w:rsidR="00A41619">
        <w:rPr>
          <w:rFonts w:ascii="Times New Roman" w:hAnsi="Times New Roman" w:cs="Times New Roman"/>
          <w:sz w:val="24"/>
          <w:szCs w:val="24"/>
        </w:rPr>
        <w:t xml:space="preserve">rezerves </w:t>
      </w:r>
      <w:r w:rsidR="00A41619" w:rsidRPr="00A41619">
        <w:rPr>
          <w:rFonts w:ascii="Times New Roman" w:hAnsi="Times New Roman" w:cs="Times New Roman"/>
          <w:sz w:val="24"/>
          <w:szCs w:val="24"/>
        </w:rPr>
        <w:t>finansējum</w:t>
      </w:r>
      <w:r w:rsidR="00A41619">
        <w:rPr>
          <w:rFonts w:ascii="Times New Roman" w:hAnsi="Times New Roman" w:cs="Times New Roman"/>
          <w:sz w:val="24"/>
          <w:szCs w:val="24"/>
        </w:rPr>
        <w:t>a novirzīšanu</w:t>
      </w:r>
      <w:r w:rsidR="00A41619" w:rsidRPr="00A41619">
        <w:rPr>
          <w:rFonts w:ascii="Times New Roman" w:hAnsi="Times New Roman" w:cs="Times New Roman"/>
          <w:sz w:val="24"/>
          <w:szCs w:val="24"/>
        </w:rPr>
        <w:t xml:space="preserve"> 9.1.1</w:t>
      </w:r>
      <w:r w:rsidR="00A41619">
        <w:rPr>
          <w:rFonts w:ascii="Times New Roman" w:hAnsi="Times New Roman" w:cs="Times New Roman"/>
          <w:sz w:val="24"/>
          <w:szCs w:val="24"/>
        </w:rPr>
        <w:t>.</w:t>
      </w:r>
      <w:r w:rsidR="004B459E">
        <w:rPr>
          <w:rFonts w:ascii="Times New Roman" w:hAnsi="Times New Roman" w:cs="Times New Roman"/>
          <w:sz w:val="24"/>
          <w:szCs w:val="24"/>
        </w:rPr>
        <w:t>SAM</w:t>
      </w:r>
      <w:r w:rsidR="00A41619">
        <w:rPr>
          <w:rFonts w:ascii="Times New Roman" w:hAnsi="Times New Roman" w:cs="Times New Roman"/>
          <w:sz w:val="24"/>
          <w:szCs w:val="24"/>
        </w:rPr>
        <w:t xml:space="preserve"> “</w:t>
      </w:r>
      <w:r w:rsidR="00A41619" w:rsidRPr="00A41619">
        <w:rPr>
          <w:rFonts w:ascii="Times New Roman" w:hAnsi="Times New Roman" w:cs="Times New Roman"/>
          <w:sz w:val="24"/>
          <w:szCs w:val="24"/>
        </w:rPr>
        <w:t>Subsidētās darbavietas nelabvēlīgākajā situācijā esošiem bezdarbniekiem</w:t>
      </w:r>
      <w:r w:rsidR="00A41619">
        <w:rPr>
          <w:rFonts w:ascii="Times New Roman" w:hAnsi="Times New Roman" w:cs="Times New Roman"/>
          <w:sz w:val="24"/>
          <w:szCs w:val="24"/>
        </w:rPr>
        <w:t>”.</w:t>
      </w:r>
    </w:p>
    <w:p w14:paraId="10DB82C4" w14:textId="3C397A63" w:rsidR="00915BDC" w:rsidRPr="00D80124" w:rsidRDefault="00915BDC" w:rsidP="00915BDC">
      <w:pPr>
        <w:pStyle w:val="ListParagraph"/>
        <w:numPr>
          <w:ilvl w:val="0"/>
          <w:numId w:val="1"/>
        </w:numPr>
        <w:spacing w:after="0" w:line="276" w:lineRule="auto"/>
        <w:ind w:left="567" w:hanging="567"/>
        <w:jc w:val="both"/>
        <w:rPr>
          <w:rFonts w:ascii="Times New Roman" w:hAnsi="Times New Roman" w:cs="Times New Roman"/>
          <w:color w:val="000000" w:themeColor="text1"/>
          <w:sz w:val="24"/>
          <w:szCs w:val="24"/>
        </w:rPr>
      </w:pPr>
      <w:r w:rsidRPr="00D80124">
        <w:rPr>
          <w:rFonts w:ascii="Times New Roman" w:hAnsi="Times New Roman" w:cs="Times New Roman"/>
          <w:color w:val="000000" w:themeColor="text1"/>
          <w:sz w:val="24"/>
          <w:szCs w:val="24"/>
        </w:rPr>
        <w:t>Papildus, lai nodrošinātu vienmērīgu investīciju plūsmu kontekst</w:t>
      </w:r>
      <w:r>
        <w:rPr>
          <w:rFonts w:ascii="Times New Roman" w:hAnsi="Times New Roman" w:cs="Times New Roman"/>
          <w:color w:val="000000" w:themeColor="text1"/>
          <w:sz w:val="24"/>
          <w:szCs w:val="24"/>
        </w:rPr>
        <w:t xml:space="preserve">ā ar ES fondu </w:t>
      </w:r>
      <w:r w:rsidR="00D21EFF">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2021.</w:t>
      </w:r>
      <w:r w:rsidRPr="00D80124">
        <w:rPr>
          <w:rFonts w:ascii="Times New Roman" w:hAnsi="Times New Roman" w:cs="Times New Roman"/>
          <w:color w:val="000000" w:themeColor="text1"/>
          <w:sz w:val="24"/>
          <w:szCs w:val="24"/>
        </w:rPr>
        <w:t>–2027.gada plāno</w:t>
      </w:r>
      <w:r>
        <w:rPr>
          <w:rFonts w:ascii="Times New Roman" w:hAnsi="Times New Roman" w:cs="Times New Roman"/>
          <w:color w:val="000000" w:themeColor="text1"/>
          <w:sz w:val="24"/>
          <w:szCs w:val="24"/>
        </w:rPr>
        <w:t>š</w:t>
      </w:r>
      <w:r w:rsidRPr="00D80124">
        <w:rPr>
          <w:rFonts w:ascii="Times New Roman" w:hAnsi="Times New Roman" w:cs="Times New Roman"/>
          <w:color w:val="000000" w:themeColor="text1"/>
          <w:sz w:val="24"/>
          <w:szCs w:val="24"/>
        </w:rPr>
        <w:t xml:space="preserve">anas perioda </w:t>
      </w:r>
      <w:r w:rsidR="008B352D">
        <w:rPr>
          <w:rFonts w:ascii="Times New Roman" w:hAnsi="Times New Roman" w:cs="Times New Roman"/>
          <w:color w:val="000000" w:themeColor="text1"/>
          <w:sz w:val="24"/>
          <w:szCs w:val="24"/>
        </w:rPr>
        <w:t>investīciju pieejamību no 2021.gada</w:t>
      </w:r>
      <w:r w:rsidRPr="00D80124">
        <w:rPr>
          <w:rFonts w:ascii="Times New Roman" w:hAnsi="Times New Roman" w:cs="Times New Roman"/>
          <w:color w:val="000000" w:themeColor="text1"/>
          <w:sz w:val="24"/>
          <w:szCs w:val="24"/>
        </w:rPr>
        <w:t>, FM ierosina noteikt, ka projektu iesniegumu atlasēs līgum</w:t>
      </w:r>
      <w:r w:rsidR="009F1708">
        <w:rPr>
          <w:rFonts w:ascii="Times New Roman" w:hAnsi="Times New Roman" w:cs="Times New Roman"/>
          <w:color w:val="000000" w:themeColor="text1"/>
          <w:sz w:val="24"/>
          <w:szCs w:val="24"/>
        </w:rPr>
        <w:t>us</w:t>
      </w:r>
      <w:r w:rsidRPr="00D80124">
        <w:rPr>
          <w:rFonts w:ascii="Times New Roman" w:hAnsi="Times New Roman" w:cs="Times New Roman"/>
          <w:color w:val="000000" w:themeColor="text1"/>
          <w:sz w:val="24"/>
          <w:szCs w:val="24"/>
        </w:rPr>
        <w:t xml:space="preserve"> </w:t>
      </w:r>
      <w:r w:rsidR="009F1708">
        <w:rPr>
          <w:rFonts w:ascii="Times New Roman" w:hAnsi="Times New Roman" w:cs="Times New Roman"/>
          <w:color w:val="000000" w:themeColor="text1"/>
          <w:sz w:val="24"/>
          <w:szCs w:val="24"/>
        </w:rPr>
        <w:t>vai</w:t>
      </w:r>
      <w:r w:rsidR="009F1708" w:rsidRPr="00D80124">
        <w:rPr>
          <w:rFonts w:ascii="Times New Roman" w:hAnsi="Times New Roman" w:cs="Times New Roman"/>
          <w:color w:val="000000" w:themeColor="text1"/>
          <w:sz w:val="24"/>
          <w:szCs w:val="24"/>
        </w:rPr>
        <w:t xml:space="preserve"> </w:t>
      </w:r>
      <w:r w:rsidRPr="00D80124">
        <w:rPr>
          <w:rFonts w:ascii="Times New Roman" w:hAnsi="Times New Roman" w:cs="Times New Roman"/>
          <w:color w:val="000000" w:themeColor="text1"/>
          <w:sz w:val="24"/>
          <w:szCs w:val="24"/>
        </w:rPr>
        <w:t xml:space="preserve">vienošanās par projektu īstenošanu </w:t>
      </w:r>
      <w:r w:rsidR="005D790A">
        <w:rPr>
          <w:rFonts w:ascii="Times New Roman" w:hAnsi="Times New Roman" w:cs="Times New Roman"/>
          <w:color w:val="000000" w:themeColor="text1"/>
          <w:sz w:val="24"/>
          <w:szCs w:val="24"/>
        </w:rPr>
        <w:t>slēdz ne ilgāk</w:t>
      </w:r>
      <w:r w:rsidR="00B022A2">
        <w:rPr>
          <w:rFonts w:ascii="Times New Roman" w:hAnsi="Times New Roman" w:cs="Times New Roman"/>
          <w:color w:val="000000" w:themeColor="text1"/>
          <w:sz w:val="24"/>
          <w:szCs w:val="24"/>
        </w:rPr>
        <w:t xml:space="preserve"> kā</w:t>
      </w:r>
      <w:r w:rsidR="005D790A">
        <w:rPr>
          <w:rFonts w:ascii="Times New Roman" w:hAnsi="Times New Roman" w:cs="Times New Roman"/>
          <w:color w:val="000000" w:themeColor="text1"/>
          <w:sz w:val="24"/>
          <w:szCs w:val="24"/>
        </w:rPr>
        <w:t xml:space="preserve"> </w:t>
      </w:r>
      <w:r w:rsidRPr="00D80124">
        <w:rPr>
          <w:rFonts w:ascii="Times New Roman" w:hAnsi="Times New Roman" w:cs="Times New Roman"/>
          <w:color w:val="000000" w:themeColor="text1"/>
          <w:sz w:val="24"/>
          <w:szCs w:val="24"/>
        </w:rPr>
        <w:t>līdz 2021.gada 1.jūnijam.</w:t>
      </w:r>
    </w:p>
    <w:p w14:paraId="7CCCA359" w14:textId="77777777" w:rsidR="00682796" w:rsidRPr="006245ED" w:rsidRDefault="00682796" w:rsidP="00915BDC">
      <w:pPr>
        <w:pStyle w:val="ListParagraph"/>
        <w:spacing w:after="0" w:line="276" w:lineRule="auto"/>
        <w:ind w:left="567"/>
        <w:rPr>
          <w:rFonts w:ascii="Times New Roman" w:hAnsi="Times New Roman" w:cs="Times New Roman"/>
          <w:sz w:val="24"/>
          <w:szCs w:val="24"/>
        </w:rPr>
      </w:pPr>
    </w:p>
    <w:p w14:paraId="2557108E" w14:textId="7524BF75" w:rsidR="00682796" w:rsidRPr="006245ED" w:rsidRDefault="00682796" w:rsidP="00915BDC">
      <w:pPr>
        <w:pStyle w:val="Heading2"/>
        <w:spacing w:before="0" w:line="276" w:lineRule="auto"/>
        <w:jc w:val="center"/>
        <w:rPr>
          <w:rFonts w:ascii="Times New Roman" w:hAnsi="Times New Roman" w:cs="Times New Roman"/>
          <w:b/>
          <w:color w:val="auto"/>
          <w:sz w:val="24"/>
          <w:szCs w:val="24"/>
        </w:rPr>
      </w:pPr>
      <w:bookmarkStart w:id="7" w:name="_Toc21076984"/>
      <w:r w:rsidRPr="006245ED">
        <w:rPr>
          <w:rFonts w:ascii="Times New Roman" w:hAnsi="Times New Roman" w:cs="Times New Roman"/>
          <w:b/>
          <w:color w:val="auto"/>
          <w:sz w:val="24"/>
          <w:szCs w:val="24"/>
        </w:rPr>
        <w:t>V Turpmākā rīcība</w:t>
      </w:r>
      <w:r w:rsidR="00805604">
        <w:rPr>
          <w:rFonts w:ascii="Times New Roman" w:hAnsi="Times New Roman" w:cs="Times New Roman"/>
          <w:b/>
          <w:color w:val="auto"/>
          <w:sz w:val="24"/>
          <w:szCs w:val="24"/>
        </w:rPr>
        <w:t xml:space="preserve"> un nepieciešamie lēmumi</w:t>
      </w:r>
      <w:bookmarkEnd w:id="7"/>
    </w:p>
    <w:p w14:paraId="298994E4" w14:textId="77777777" w:rsidR="00682796" w:rsidRPr="006245ED" w:rsidRDefault="00682796" w:rsidP="00915BDC">
      <w:pPr>
        <w:pStyle w:val="ListParagraph"/>
        <w:spacing w:after="0" w:line="276" w:lineRule="auto"/>
        <w:ind w:left="567"/>
        <w:rPr>
          <w:rFonts w:ascii="Times New Roman" w:hAnsi="Times New Roman" w:cs="Times New Roman"/>
          <w:sz w:val="24"/>
          <w:szCs w:val="24"/>
        </w:rPr>
      </w:pPr>
    </w:p>
    <w:p w14:paraId="7BB3C388" w14:textId="193FD12E" w:rsidR="0028589A" w:rsidRPr="006245ED" w:rsidRDefault="00813463" w:rsidP="00915BDC">
      <w:pPr>
        <w:pStyle w:val="ListParagraph"/>
        <w:numPr>
          <w:ilvl w:val="0"/>
          <w:numId w:val="1"/>
        </w:numPr>
        <w:spacing w:after="0" w:line="276" w:lineRule="auto"/>
        <w:ind w:left="567" w:hanging="567"/>
        <w:jc w:val="both"/>
        <w:rPr>
          <w:rFonts w:ascii="Times New Roman" w:hAnsi="Times New Roman" w:cs="Times New Roman"/>
          <w:sz w:val="24"/>
          <w:szCs w:val="24"/>
        </w:rPr>
      </w:pPr>
      <w:r w:rsidRPr="006245ED">
        <w:rPr>
          <w:rFonts w:ascii="Times New Roman" w:hAnsi="Times New Roman" w:cs="Times New Roman"/>
          <w:sz w:val="24"/>
          <w:szCs w:val="24"/>
        </w:rPr>
        <w:t>Ņemot vērā ziņojumā sniegto informāciju, F</w:t>
      </w:r>
      <w:r w:rsidR="002E699C" w:rsidRPr="006245ED">
        <w:rPr>
          <w:rFonts w:ascii="Times New Roman" w:hAnsi="Times New Roman" w:cs="Times New Roman"/>
          <w:sz w:val="24"/>
          <w:szCs w:val="24"/>
        </w:rPr>
        <w:t xml:space="preserve">M </w:t>
      </w:r>
      <w:r w:rsidRPr="006245ED">
        <w:rPr>
          <w:rFonts w:ascii="Times New Roman" w:hAnsi="Times New Roman" w:cs="Times New Roman"/>
          <w:sz w:val="24"/>
          <w:szCs w:val="24"/>
        </w:rPr>
        <w:t>piedāvā šādus</w:t>
      </w:r>
      <w:r w:rsidR="00F54157">
        <w:rPr>
          <w:rFonts w:ascii="Times New Roman" w:hAnsi="Times New Roman" w:cs="Times New Roman"/>
          <w:sz w:val="24"/>
          <w:szCs w:val="24"/>
        </w:rPr>
        <w:t xml:space="preserve"> lēmumus</w:t>
      </w:r>
      <w:r w:rsidRPr="006245ED">
        <w:rPr>
          <w:rFonts w:ascii="Times New Roman" w:hAnsi="Times New Roman" w:cs="Times New Roman"/>
          <w:sz w:val="24"/>
          <w:szCs w:val="24"/>
        </w:rPr>
        <w:t xml:space="preserve"> </w:t>
      </w:r>
      <w:r w:rsidR="007A7CB0" w:rsidRPr="006245ED">
        <w:rPr>
          <w:rFonts w:ascii="Times New Roman" w:hAnsi="Times New Roman" w:cs="Times New Roman"/>
          <w:sz w:val="24"/>
          <w:szCs w:val="24"/>
        </w:rPr>
        <w:t>turpmākajai rīcībai</w:t>
      </w:r>
      <w:r w:rsidR="006E52CE" w:rsidRPr="006245ED">
        <w:rPr>
          <w:rFonts w:ascii="Times New Roman" w:hAnsi="Times New Roman" w:cs="Times New Roman"/>
          <w:sz w:val="24"/>
          <w:szCs w:val="24"/>
        </w:rPr>
        <w:t>:</w:t>
      </w:r>
    </w:p>
    <w:p w14:paraId="7EA8C4F1" w14:textId="551E71EB" w:rsidR="002A0CD8" w:rsidRPr="00915BDC" w:rsidRDefault="00534045" w:rsidP="002A0CD8">
      <w:pPr>
        <w:pStyle w:val="ListParagraph"/>
        <w:numPr>
          <w:ilvl w:val="0"/>
          <w:numId w:val="10"/>
        </w:numPr>
        <w:spacing w:line="276" w:lineRule="auto"/>
        <w:jc w:val="both"/>
        <w:rPr>
          <w:rFonts w:ascii="Times New Roman" w:hAnsi="Times New Roman" w:cs="Times New Roman"/>
          <w:sz w:val="24"/>
          <w:szCs w:val="24"/>
        </w:rPr>
      </w:pPr>
      <w:r w:rsidRPr="005355D5">
        <w:rPr>
          <w:rFonts w:ascii="Times New Roman" w:hAnsi="Times New Roman" w:cs="Times New Roman"/>
          <w:sz w:val="24"/>
          <w:szCs w:val="24"/>
        </w:rPr>
        <w:t xml:space="preserve">Lai </w:t>
      </w:r>
      <w:r w:rsidRPr="005355D5">
        <w:rPr>
          <w:rFonts w:ascii="Times New Roman" w:eastAsia="Times New Roman" w:hAnsi="Times New Roman" w:cs="Times New Roman"/>
          <w:sz w:val="24"/>
          <w:szCs w:val="24"/>
          <w:lang w:eastAsia="lv-LV"/>
        </w:rPr>
        <w:t xml:space="preserve">novērstu piešķirtā valsts budžeta </w:t>
      </w:r>
      <w:proofErr w:type="spellStart"/>
      <w:r w:rsidRPr="005355D5">
        <w:rPr>
          <w:rFonts w:ascii="Times New Roman" w:eastAsia="Times New Roman" w:hAnsi="Times New Roman" w:cs="Times New Roman"/>
          <w:sz w:val="24"/>
          <w:szCs w:val="24"/>
          <w:lang w:eastAsia="lv-LV"/>
        </w:rPr>
        <w:t>virssaistību</w:t>
      </w:r>
      <w:proofErr w:type="spellEnd"/>
      <w:r w:rsidRPr="005355D5">
        <w:rPr>
          <w:rFonts w:ascii="Times New Roman" w:eastAsia="Times New Roman" w:hAnsi="Times New Roman" w:cs="Times New Roman"/>
          <w:sz w:val="24"/>
          <w:szCs w:val="24"/>
          <w:lang w:eastAsia="lv-LV"/>
        </w:rPr>
        <w:t xml:space="preserve"> finansējuma 66</w:t>
      </w:r>
      <w:r w:rsidR="00D21EFF">
        <w:rPr>
          <w:rFonts w:ascii="Times New Roman" w:eastAsia="Times New Roman" w:hAnsi="Times New Roman" w:cs="Times New Roman"/>
          <w:sz w:val="24"/>
          <w:szCs w:val="24"/>
          <w:lang w:eastAsia="lv-LV"/>
        </w:rPr>
        <w:t>,3 milj. </w:t>
      </w:r>
      <w:proofErr w:type="spellStart"/>
      <w:r w:rsidR="007B7A0A" w:rsidRPr="007B7A0A">
        <w:rPr>
          <w:rFonts w:ascii="Times New Roman" w:eastAsia="Times New Roman" w:hAnsi="Times New Roman" w:cs="Times New Roman"/>
          <w:i/>
          <w:sz w:val="24"/>
          <w:szCs w:val="24"/>
          <w:lang w:eastAsia="lv-LV"/>
        </w:rPr>
        <w:t>euro</w:t>
      </w:r>
      <w:proofErr w:type="spellEnd"/>
      <w:r w:rsidRPr="005355D5">
        <w:rPr>
          <w:rFonts w:ascii="Times New Roman" w:eastAsia="Times New Roman" w:hAnsi="Times New Roman" w:cs="Times New Roman"/>
          <w:sz w:val="24"/>
          <w:szCs w:val="24"/>
          <w:lang w:eastAsia="lv-LV"/>
        </w:rPr>
        <w:t xml:space="preserve"> negatīvu fiskālo ietekmi, </w:t>
      </w:r>
      <w:r w:rsidR="002A0CD8">
        <w:rPr>
          <w:rFonts w:ascii="Times New Roman" w:hAnsi="Times New Roman" w:cs="Times New Roman"/>
          <w:sz w:val="24"/>
          <w:szCs w:val="24"/>
        </w:rPr>
        <w:t>n</w:t>
      </w:r>
      <w:r w:rsidR="002A0CD8" w:rsidRPr="00915BDC">
        <w:rPr>
          <w:rFonts w:ascii="Times New Roman" w:hAnsi="Times New Roman" w:cs="Times New Roman"/>
          <w:sz w:val="24"/>
          <w:szCs w:val="24"/>
        </w:rPr>
        <w:t xml:space="preserve">oteikt, ka prioritārajos virzienos, kuros deklarējamo maksājumu </w:t>
      </w:r>
      <w:r w:rsidR="002A0CD8">
        <w:rPr>
          <w:rFonts w:ascii="Times New Roman" w:hAnsi="Times New Roman" w:cs="Times New Roman"/>
          <w:sz w:val="24"/>
          <w:szCs w:val="24"/>
        </w:rPr>
        <w:t>rezerve</w:t>
      </w:r>
      <w:r w:rsidR="002A0CD8" w:rsidRPr="00915BDC">
        <w:rPr>
          <w:rFonts w:ascii="Times New Roman" w:hAnsi="Times New Roman" w:cs="Times New Roman"/>
          <w:sz w:val="24"/>
          <w:szCs w:val="24"/>
        </w:rPr>
        <w:t xml:space="preserve"> </w:t>
      </w:r>
      <w:r w:rsidR="002A0CD8">
        <w:rPr>
          <w:rFonts w:ascii="Times New Roman" w:hAnsi="Times New Roman" w:cs="Times New Roman"/>
          <w:sz w:val="24"/>
          <w:szCs w:val="24"/>
        </w:rPr>
        <w:t>prognozēta virs</w:t>
      </w:r>
      <w:r w:rsidR="002A0CD8" w:rsidRPr="00915BDC">
        <w:rPr>
          <w:rFonts w:ascii="Times New Roman" w:hAnsi="Times New Roman" w:cs="Times New Roman"/>
          <w:sz w:val="24"/>
          <w:szCs w:val="24"/>
        </w:rPr>
        <w:t xml:space="preserve"> </w:t>
      </w:r>
      <w:r w:rsidR="002A0CD8">
        <w:rPr>
          <w:rFonts w:ascii="Times New Roman" w:hAnsi="Times New Roman" w:cs="Times New Roman"/>
          <w:sz w:val="24"/>
          <w:szCs w:val="24"/>
        </w:rPr>
        <w:t>5%</w:t>
      </w:r>
      <w:r w:rsidR="002A0CD8" w:rsidRPr="00915BDC">
        <w:rPr>
          <w:rFonts w:ascii="Times New Roman" w:hAnsi="Times New Roman" w:cs="Times New Roman"/>
          <w:sz w:val="24"/>
          <w:szCs w:val="24"/>
        </w:rPr>
        <w:t xml:space="preserve">, sākot ar </w:t>
      </w:r>
      <w:r w:rsidR="002A0CD8">
        <w:rPr>
          <w:rFonts w:ascii="Times New Roman" w:hAnsi="Times New Roman" w:cs="Times New Roman"/>
          <w:sz w:val="24"/>
          <w:szCs w:val="24"/>
        </w:rPr>
        <w:t>attiecīgā MK sēdes</w:t>
      </w:r>
      <w:r w:rsidR="002A0CD8" w:rsidRPr="00915BDC">
        <w:rPr>
          <w:rFonts w:ascii="Times New Roman" w:hAnsi="Times New Roman" w:cs="Times New Roman"/>
          <w:sz w:val="24"/>
          <w:szCs w:val="24"/>
        </w:rPr>
        <w:t xml:space="preserve"> </w:t>
      </w:r>
      <w:proofErr w:type="spellStart"/>
      <w:r w:rsidR="002A0CD8" w:rsidRPr="00915BDC">
        <w:rPr>
          <w:rFonts w:ascii="Times New Roman" w:hAnsi="Times New Roman" w:cs="Times New Roman"/>
          <w:sz w:val="24"/>
          <w:szCs w:val="24"/>
        </w:rPr>
        <w:t>protokollēmuma</w:t>
      </w:r>
      <w:proofErr w:type="spellEnd"/>
      <w:r w:rsidR="002A0CD8" w:rsidRPr="00915BDC">
        <w:rPr>
          <w:rFonts w:ascii="Times New Roman" w:hAnsi="Times New Roman" w:cs="Times New Roman"/>
          <w:sz w:val="24"/>
          <w:szCs w:val="24"/>
        </w:rPr>
        <w:t xml:space="preserve"> spēkā stāšanās brīdi</w:t>
      </w:r>
      <w:r w:rsidR="002A0CD8">
        <w:rPr>
          <w:rFonts w:ascii="Times New Roman" w:hAnsi="Times New Roman" w:cs="Times New Roman"/>
          <w:sz w:val="24"/>
          <w:szCs w:val="24"/>
        </w:rPr>
        <w:t>,</w:t>
      </w:r>
      <w:r w:rsidR="00246822">
        <w:rPr>
          <w:rFonts w:ascii="Times New Roman" w:hAnsi="Times New Roman" w:cs="Times New Roman"/>
          <w:sz w:val="24"/>
          <w:szCs w:val="24"/>
        </w:rPr>
        <w:t xml:space="preserve"> brīvais finansējums, kas, </w:t>
      </w:r>
      <w:r w:rsidR="002A0CD8" w:rsidRPr="00915BDC">
        <w:rPr>
          <w:rFonts w:ascii="Times New Roman" w:hAnsi="Times New Roman" w:cs="Times New Roman"/>
          <w:sz w:val="24"/>
          <w:szCs w:val="24"/>
        </w:rPr>
        <w:t xml:space="preserve">rodoties neatbilstībām un lauztajiem līgumiem vai vienošanās par projektu īstenošanu, nav atkārtoti izmantojams. </w:t>
      </w:r>
      <w:r w:rsidR="00252120">
        <w:rPr>
          <w:rFonts w:ascii="Times New Roman" w:hAnsi="Times New Roman" w:cs="Times New Roman"/>
          <w:sz w:val="24"/>
          <w:szCs w:val="24"/>
        </w:rPr>
        <w:t xml:space="preserve">FM uz MK sēdes </w:t>
      </w:r>
      <w:proofErr w:type="spellStart"/>
      <w:r w:rsidR="00252120">
        <w:rPr>
          <w:rFonts w:ascii="Times New Roman" w:hAnsi="Times New Roman" w:cs="Times New Roman"/>
          <w:sz w:val="24"/>
          <w:szCs w:val="24"/>
        </w:rPr>
        <w:t>protokollēmuma</w:t>
      </w:r>
      <w:proofErr w:type="spellEnd"/>
      <w:r w:rsidR="00252120">
        <w:rPr>
          <w:rFonts w:ascii="Times New Roman" w:hAnsi="Times New Roman" w:cs="Times New Roman"/>
          <w:sz w:val="24"/>
          <w:szCs w:val="24"/>
        </w:rPr>
        <w:t xml:space="preserve"> spēkā stāšanās brīdi </w:t>
      </w:r>
      <w:r w:rsidR="00F338DC">
        <w:rPr>
          <w:rFonts w:ascii="Times New Roman" w:hAnsi="Times New Roman" w:cs="Times New Roman"/>
          <w:sz w:val="24"/>
          <w:szCs w:val="24"/>
        </w:rPr>
        <w:t xml:space="preserve">nofiksēs </w:t>
      </w:r>
      <w:r w:rsidR="00BD64E2">
        <w:rPr>
          <w:rFonts w:ascii="Times New Roman" w:hAnsi="Times New Roman" w:cs="Times New Roman"/>
          <w:sz w:val="24"/>
          <w:szCs w:val="24"/>
        </w:rPr>
        <w:t xml:space="preserve">informāciju par </w:t>
      </w:r>
      <w:r w:rsidR="00BD64E2" w:rsidRPr="00915BDC">
        <w:rPr>
          <w:rFonts w:ascii="Times New Roman" w:hAnsi="Times New Roman" w:cs="Times New Roman"/>
          <w:sz w:val="24"/>
          <w:szCs w:val="24"/>
        </w:rPr>
        <w:t>neatbilstībām un lauztajiem līgumiem</w:t>
      </w:r>
      <w:r w:rsidR="00360E8E">
        <w:rPr>
          <w:rFonts w:ascii="Times New Roman" w:hAnsi="Times New Roman" w:cs="Times New Roman"/>
          <w:sz w:val="24"/>
          <w:szCs w:val="24"/>
        </w:rPr>
        <w:t>/</w:t>
      </w:r>
      <w:r w:rsidR="00BD64E2" w:rsidRPr="00915BDC">
        <w:rPr>
          <w:rFonts w:ascii="Times New Roman" w:hAnsi="Times New Roman" w:cs="Times New Roman"/>
          <w:sz w:val="24"/>
          <w:szCs w:val="24"/>
        </w:rPr>
        <w:t>vienošanās par projektu īstenošanu</w:t>
      </w:r>
      <w:r w:rsidR="00252120">
        <w:rPr>
          <w:rFonts w:ascii="Times New Roman" w:hAnsi="Times New Roman" w:cs="Times New Roman"/>
          <w:sz w:val="24"/>
          <w:szCs w:val="24"/>
        </w:rPr>
        <w:t xml:space="preserve"> un divu nedēļu laikā pēc MK sēdes</w:t>
      </w:r>
      <w:r w:rsidR="00252120" w:rsidRPr="00915BDC">
        <w:rPr>
          <w:rFonts w:ascii="Times New Roman" w:hAnsi="Times New Roman" w:cs="Times New Roman"/>
          <w:sz w:val="24"/>
          <w:szCs w:val="24"/>
        </w:rPr>
        <w:t xml:space="preserve"> </w:t>
      </w:r>
      <w:proofErr w:type="spellStart"/>
      <w:r w:rsidR="00252120" w:rsidRPr="00915BDC">
        <w:rPr>
          <w:rFonts w:ascii="Times New Roman" w:hAnsi="Times New Roman" w:cs="Times New Roman"/>
          <w:sz w:val="24"/>
          <w:szCs w:val="24"/>
        </w:rPr>
        <w:t>pr</w:t>
      </w:r>
      <w:r w:rsidR="00252120">
        <w:rPr>
          <w:rFonts w:ascii="Times New Roman" w:hAnsi="Times New Roman" w:cs="Times New Roman"/>
          <w:sz w:val="24"/>
          <w:szCs w:val="24"/>
        </w:rPr>
        <w:t>otokollēmuma</w:t>
      </w:r>
      <w:proofErr w:type="spellEnd"/>
      <w:r w:rsidR="00252120">
        <w:rPr>
          <w:rFonts w:ascii="Times New Roman" w:hAnsi="Times New Roman" w:cs="Times New Roman"/>
          <w:sz w:val="24"/>
          <w:szCs w:val="24"/>
        </w:rPr>
        <w:t xml:space="preserve"> spēkā stāšanās to nosūtīs</w:t>
      </w:r>
      <w:r w:rsidR="00BD64E2">
        <w:rPr>
          <w:rFonts w:ascii="Times New Roman" w:hAnsi="Times New Roman" w:cs="Times New Roman"/>
          <w:sz w:val="24"/>
          <w:szCs w:val="24"/>
        </w:rPr>
        <w:t xml:space="preserve"> atbildīgajām iestādēm.</w:t>
      </w:r>
    </w:p>
    <w:p w14:paraId="711638C8" w14:textId="7109E22A" w:rsidR="001D5319" w:rsidRPr="001D5319" w:rsidRDefault="001D5319" w:rsidP="001D531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FM uzraudzīt </w:t>
      </w:r>
      <w:r w:rsidRPr="001D5319">
        <w:rPr>
          <w:rFonts w:ascii="Times New Roman" w:hAnsi="Times New Roman" w:cs="Times New Roman"/>
          <w:sz w:val="24"/>
          <w:szCs w:val="24"/>
        </w:rPr>
        <w:t xml:space="preserve">izpildes statusu attiecībā uz </w:t>
      </w:r>
      <w:proofErr w:type="spellStart"/>
      <w:r w:rsidRPr="001D5319">
        <w:rPr>
          <w:rFonts w:ascii="Times New Roman" w:hAnsi="Times New Roman" w:cs="Times New Roman"/>
          <w:sz w:val="24"/>
          <w:szCs w:val="24"/>
        </w:rPr>
        <w:t>virssaistību</w:t>
      </w:r>
      <w:proofErr w:type="spellEnd"/>
      <w:r w:rsidRPr="001D5319">
        <w:rPr>
          <w:rFonts w:ascii="Times New Roman" w:hAnsi="Times New Roman" w:cs="Times New Roman"/>
          <w:sz w:val="24"/>
          <w:szCs w:val="24"/>
        </w:rPr>
        <w:t xml:space="preserve"> kompensēšanu no ES fondu atbrīvotā finansējuma </w:t>
      </w:r>
      <w:r>
        <w:rPr>
          <w:rFonts w:ascii="Times New Roman" w:hAnsi="Times New Roman" w:cs="Times New Roman"/>
          <w:sz w:val="24"/>
          <w:szCs w:val="24"/>
        </w:rPr>
        <w:t>pusgada informatīvo ziņojumu</w:t>
      </w:r>
      <w:r w:rsidRPr="001D5319">
        <w:rPr>
          <w:rFonts w:ascii="Times New Roman" w:hAnsi="Times New Roman" w:cs="Times New Roman"/>
          <w:sz w:val="24"/>
          <w:szCs w:val="24"/>
        </w:rPr>
        <w:t xml:space="preserve"> ES fondu investīciju aktualitātēm</w:t>
      </w:r>
      <w:r>
        <w:rPr>
          <w:rFonts w:ascii="Times New Roman" w:hAnsi="Times New Roman" w:cs="Times New Roman"/>
          <w:sz w:val="24"/>
          <w:szCs w:val="24"/>
        </w:rPr>
        <w:t xml:space="preserve"> ietvaros</w:t>
      </w:r>
      <w:r w:rsidRPr="001D5319">
        <w:rPr>
          <w:rFonts w:ascii="Times New Roman" w:hAnsi="Times New Roman" w:cs="Times New Roman"/>
          <w:sz w:val="24"/>
          <w:szCs w:val="24"/>
        </w:rPr>
        <w:t xml:space="preserve">, un nepieciešamības gadījumā sniegt priekšlikumus izmaiņām atbrīvotā finansējuma izmantošanas kārtībā. </w:t>
      </w:r>
    </w:p>
    <w:p w14:paraId="4502A471" w14:textId="6104FAA8" w:rsidR="00475B3A" w:rsidRDefault="00475B3A" w:rsidP="00915BDC">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Atbalstīt ES fondu finansējuma pārdales, kas paredz papildu finansējumu </w:t>
      </w:r>
      <w:proofErr w:type="spellStart"/>
      <w:r>
        <w:rPr>
          <w:rFonts w:ascii="Times New Roman" w:hAnsi="Times New Roman" w:cs="Times New Roman"/>
          <w:sz w:val="24"/>
          <w:szCs w:val="24"/>
        </w:rPr>
        <w:t>deinstitucionalizācijas</w:t>
      </w:r>
      <w:proofErr w:type="spellEnd"/>
      <w:r>
        <w:rPr>
          <w:rFonts w:ascii="Times New Roman" w:hAnsi="Times New Roman" w:cs="Times New Roman"/>
          <w:sz w:val="24"/>
          <w:szCs w:val="24"/>
        </w:rPr>
        <w:t xml:space="preserve"> infrastruktūras projektiem</w:t>
      </w:r>
      <w:r w:rsidR="00133BC5">
        <w:rPr>
          <w:rFonts w:ascii="Times New Roman" w:hAnsi="Times New Roman" w:cs="Times New Roman"/>
          <w:sz w:val="24"/>
          <w:szCs w:val="24"/>
        </w:rPr>
        <w:t xml:space="preserve"> un</w:t>
      </w:r>
      <w:r w:rsidR="0013064B">
        <w:rPr>
          <w:rFonts w:ascii="Times New Roman" w:hAnsi="Times New Roman" w:cs="Times New Roman"/>
          <w:sz w:val="24"/>
          <w:szCs w:val="24"/>
        </w:rPr>
        <w:t xml:space="preserve"> sabiedriskā sliežu transporta infrastruktūras projektiem</w:t>
      </w:r>
      <w:r>
        <w:rPr>
          <w:rFonts w:ascii="Times New Roman" w:hAnsi="Times New Roman" w:cs="Times New Roman"/>
          <w:sz w:val="24"/>
          <w:szCs w:val="24"/>
        </w:rPr>
        <w:t>.</w:t>
      </w:r>
    </w:p>
    <w:p w14:paraId="60C11FEE" w14:textId="068AD4F8" w:rsidR="00F34565" w:rsidRDefault="00F34565" w:rsidP="00915BDC">
      <w:pPr>
        <w:pStyle w:val="ListParagraph"/>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Lai nodrošinātu nepieciešamo finansējumu</w:t>
      </w:r>
      <w:r w:rsidRPr="00F34565">
        <w:rPr>
          <w:rFonts w:ascii="Times New Roman" w:hAnsi="Times New Roman" w:cs="Times New Roman"/>
          <w:b/>
          <w:sz w:val="24"/>
          <w:szCs w:val="24"/>
        </w:rPr>
        <w:t xml:space="preserve"> </w:t>
      </w:r>
      <w:r w:rsidRPr="000622AB">
        <w:rPr>
          <w:rFonts w:ascii="Times New Roman" w:hAnsi="Times New Roman" w:cs="Times New Roman"/>
          <w:sz w:val="24"/>
          <w:szCs w:val="24"/>
        </w:rPr>
        <w:t>elektrovilcienu vagonu iepirkuma projektam</w:t>
      </w:r>
      <w:r>
        <w:rPr>
          <w:rFonts w:ascii="Times New Roman" w:hAnsi="Times New Roman" w:cs="Times New Roman"/>
          <w:sz w:val="24"/>
          <w:szCs w:val="24"/>
        </w:rPr>
        <w:t>, precizēt MK lēmumu</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un nepieciešamo finansējumu novirzīt no 6.1.4.1.pasākuma</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w:t>
      </w:r>
    </w:p>
    <w:p w14:paraId="029ACA1F" w14:textId="15F87FC3" w:rsidR="00DF27EF" w:rsidRPr="00475B3A" w:rsidRDefault="00E75DC6" w:rsidP="00475B3A">
      <w:pPr>
        <w:pStyle w:val="ListParagraph"/>
        <w:numPr>
          <w:ilvl w:val="0"/>
          <w:numId w:val="10"/>
        </w:numPr>
        <w:spacing w:line="276" w:lineRule="auto"/>
        <w:jc w:val="both"/>
        <w:rPr>
          <w:rFonts w:ascii="Times New Roman" w:hAnsi="Times New Roman" w:cs="Times New Roman"/>
          <w:sz w:val="24"/>
          <w:szCs w:val="24"/>
        </w:rPr>
      </w:pPr>
      <w:r w:rsidRPr="00805604">
        <w:rPr>
          <w:rFonts w:ascii="Times New Roman" w:hAnsi="Times New Roman" w:cs="Times New Roman"/>
          <w:sz w:val="24"/>
          <w:szCs w:val="24"/>
        </w:rPr>
        <w:lastRenderedPageBreak/>
        <w:t>A</w:t>
      </w:r>
      <w:r w:rsidR="005553A6" w:rsidRPr="00805604">
        <w:rPr>
          <w:rFonts w:ascii="Times New Roman" w:hAnsi="Times New Roman" w:cs="Times New Roman"/>
          <w:sz w:val="24"/>
          <w:szCs w:val="24"/>
        </w:rPr>
        <w:t xml:space="preserve">tbalstīt </w:t>
      </w:r>
      <w:r w:rsidR="00534045">
        <w:rPr>
          <w:rFonts w:ascii="Times New Roman" w:hAnsi="Times New Roman" w:cs="Times New Roman"/>
          <w:sz w:val="24"/>
          <w:szCs w:val="24"/>
        </w:rPr>
        <w:t>ziņojuma IV sadaļā “</w:t>
      </w:r>
      <w:r w:rsidR="00534045" w:rsidRPr="00534045">
        <w:rPr>
          <w:rFonts w:ascii="Times New Roman" w:hAnsi="Times New Roman" w:cs="Times New Roman"/>
          <w:sz w:val="24"/>
          <w:szCs w:val="24"/>
        </w:rPr>
        <w:t>Priekšlikumi snieguma rezerves finansējuma un finansējuma atlikumu turpmākai izmantošanai</w:t>
      </w:r>
      <w:r w:rsidR="00534045">
        <w:rPr>
          <w:rFonts w:ascii="Times New Roman" w:hAnsi="Times New Roman" w:cs="Times New Roman"/>
          <w:sz w:val="24"/>
          <w:szCs w:val="24"/>
        </w:rPr>
        <w:t xml:space="preserve">” FM </w:t>
      </w:r>
      <w:r w:rsidR="00915BDC">
        <w:rPr>
          <w:rFonts w:ascii="Times New Roman" w:hAnsi="Times New Roman" w:cs="Times New Roman"/>
          <w:sz w:val="24"/>
          <w:szCs w:val="24"/>
        </w:rPr>
        <w:t>izstrādāto priekšlikumu</w:t>
      </w:r>
      <w:r w:rsidR="00475B3A">
        <w:rPr>
          <w:rFonts w:ascii="Times New Roman" w:hAnsi="Times New Roman" w:cs="Times New Roman"/>
          <w:sz w:val="24"/>
          <w:szCs w:val="24"/>
        </w:rPr>
        <w:t xml:space="preserve"> un</w:t>
      </w:r>
      <w:r w:rsidR="00915BDC">
        <w:rPr>
          <w:rFonts w:ascii="Times New Roman" w:hAnsi="Times New Roman" w:cs="Times New Roman"/>
          <w:sz w:val="24"/>
          <w:szCs w:val="24"/>
        </w:rPr>
        <w:t xml:space="preserve"> </w:t>
      </w:r>
      <w:r w:rsidR="00AD4AEF">
        <w:rPr>
          <w:rFonts w:ascii="Times New Roman" w:hAnsi="Times New Roman" w:cs="Times New Roman"/>
          <w:sz w:val="24"/>
          <w:szCs w:val="24"/>
        </w:rPr>
        <w:t xml:space="preserve">informatīvā </w:t>
      </w:r>
      <w:r w:rsidR="00915BDC">
        <w:rPr>
          <w:rFonts w:ascii="Times New Roman" w:hAnsi="Times New Roman" w:cs="Times New Roman"/>
          <w:sz w:val="24"/>
          <w:szCs w:val="24"/>
        </w:rPr>
        <w:t>ziņojuma</w:t>
      </w:r>
      <w:r w:rsidR="00534045">
        <w:rPr>
          <w:rFonts w:ascii="Times New Roman" w:hAnsi="Times New Roman" w:cs="Times New Roman"/>
          <w:sz w:val="24"/>
          <w:szCs w:val="24"/>
        </w:rPr>
        <w:t xml:space="preserve"> 1.pielikumā </w:t>
      </w:r>
      <w:r w:rsidR="00915BDC">
        <w:rPr>
          <w:rFonts w:ascii="Times New Roman" w:hAnsi="Times New Roman" w:cs="Times New Roman"/>
          <w:sz w:val="24"/>
          <w:szCs w:val="24"/>
        </w:rPr>
        <w:t xml:space="preserve">atspoguļotos </w:t>
      </w:r>
      <w:r w:rsidR="005553A6" w:rsidRPr="005355D5">
        <w:rPr>
          <w:rFonts w:ascii="Times New Roman" w:hAnsi="Times New Roman" w:cs="Times New Roman"/>
          <w:sz w:val="24"/>
          <w:szCs w:val="24"/>
        </w:rPr>
        <w:t xml:space="preserve">snieguma rezerves finansējuma un finansējuma atlikumu </w:t>
      </w:r>
      <w:r w:rsidR="00475B3A">
        <w:rPr>
          <w:rFonts w:ascii="Times New Roman" w:hAnsi="Times New Roman" w:cs="Times New Roman"/>
          <w:sz w:val="24"/>
          <w:szCs w:val="24"/>
        </w:rPr>
        <w:t>izmantošanas risinājumus</w:t>
      </w:r>
      <w:r w:rsidR="005553A6" w:rsidRPr="005355D5">
        <w:rPr>
          <w:rFonts w:ascii="Times New Roman" w:hAnsi="Times New Roman" w:cs="Times New Roman"/>
          <w:sz w:val="24"/>
          <w:szCs w:val="24"/>
        </w:rPr>
        <w:t>, atļaujot atbildīgajām iestādēm</w:t>
      </w:r>
      <w:r w:rsidR="00475B3A">
        <w:rPr>
          <w:rFonts w:ascii="Times New Roman" w:hAnsi="Times New Roman" w:cs="Times New Roman"/>
          <w:sz w:val="24"/>
          <w:szCs w:val="24"/>
        </w:rPr>
        <w:t>,</w:t>
      </w:r>
      <w:r w:rsidR="004148C4">
        <w:rPr>
          <w:rFonts w:ascii="Times New Roman" w:hAnsi="Times New Roman" w:cs="Times New Roman"/>
          <w:sz w:val="24"/>
          <w:szCs w:val="24"/>
        </w:rPr>
        <w:t xml:space="preserve"> ja</w:t>
      </w:r>
      <w:r w:rsidR="00475B3A">
        <w:rPr>
          <w:rFonts w:ascii="Times New Roman" w:hAnsi="Times New Roman" w:cs="Times New Roman"/>
          <w:sz w:val="24"/>
          <w:szCs w:val="24"/>
        </w:rPr>
        <w:t xml:space="preserve"> atbilstoši paredzētajam risinājumam</w:t>
      </w:r>
      <w:r w:rsidR="004148C4">
        <w:rPr>
          <w:rFonts w:ascii="Times New Roman" w:hAnsi="Times New Roman" w:cs="Times New Roman"/>
          <w:sz w:val="24"/>
          <w:szCs w:val="24"/>
        </w:rPr>
        <w:t xml:space="preserve"> nepieciešams</w:t>
      </w:r>
      <w:r w:rsidR="00F34565">
        <w:rPr>
          <w:rFonts w:ascii="Times New Roman" w:hAnsi="Times New Roman" w:cs="Times New Roman"/>
          <w:sz w:val="24"/>
          <w:szCs w:val="24"/>
        </w:rPr>
        <w:t>,</w:t>
      </w:r>
      <w:r w:rsidR="005553A6" w:rsidRPr="005355D5">
        <w:rPr>
          <w:rFonts w:ascii="Times New Roman" w:hAnsi="Times New Roman" w:cs="Times New Roman"/>
          <w:sz w:val="24"/>
          <w:szCs w:val="24"/>
        </w:rPr>
        <w:t xml:space="preserve"> virzīt saskaņošanai nepieciešamos grozījumus</w:t>
      </w:r>
      <w:r w:rsidR="003330F6" w:rsidRPr="005355D5">
        <w:rPr>
          <w:rFonts w:ascii="Times New Roman" w:hAnsi="Times New Roman" w:cs="Times New Roman"/>
          <w:sz w:val="24"/>
          <w:szCs w:val="24"/>
        </w:rPr>
        <w:t xml:space="preserve"> normatīvajā</w:t>
      </w:r>
      <w:r w:rsidR="005553A6" w:rsidRPr="005355D5">
        <w:rPr>
          <w:rFonts w:ascii="Times New Roman" w:hAnsi="Times New Roman" w:cs="Times New Roman"/>
          <w:sz w:val="24"/>
          <w:szCs w:val="24"/>
        </w:rPr>
        <w:t xml:space="preserve"> </w:t>
      </w:r>
      <w:r w:rsidR="005553A6" w:rsidRPr="00915BDC">
        <w:rPr>
          <w:rFonts w:ascii="Times New Roman" w:hAnsi="Times New Roman" w:cs="Times New Roman"/>
          <w:sz w:val="24"/>
          <w:szCs w:val="24"/>
        </w:rPr>
        <w:t>regulējumā</w:t>
      </w:r>
      <w:r w:rsidR="00EC543A">
        <w:rPr>
          <w:rFonts w:ascii="Times New Roman" w:hAnsi="Times New Roman" w:cs="Times New Roman"/>
          <w:sz w:val="24"/>
          <w:szCs w:val="24"/>
        </w:rPr>
        <w:t xml:space="preserve">, </w:t>
      </w:r>
      <w:r w:rsidR="00EC543A" w:rsidRPr="000622AB">
        <w:rPr>
          <w:rFonts w:ascii="Times New Roman" w:hAnsi="Times New Roman" w:cs="Times New Roman"/>
          <w:sz w:val="24"/>
          <w:szCs w:val="24"/>
        </w:rPr>
        <w:t>vienlaikus paredzot, ka ES fondu atbildīgās iestādes var piedāvāt korekcijas ES fondu finansējuma pārdalēm, kuru rezultātā netiek veiktas pārdales starp prioritārajiem virzieniem/fondiem</w:t>
      </w:r>
      <w:r w:rsidRPr="00915BDC">
        <w:rPr>
          <w:rFonts w:ascii="Times New Roman" w:hAnsi="Times New Roman" w:cs="Times New Roman"/>
          <w:sz w:val="24"/>
          <w:szCs w:val="24"/>
        </w:rPr>
        <w:t>.</w:t>
      </w:r>
      <w:r w:rsidR="00475B3A">
        <w:rPr>
          <w:rFonts w:ascii="Times New Roman" w:hAnsi="Times New Roman" w:cs="Times New Roman"/>
          <w:sz w:val="24"/>
          <w:szCs w:val="24"/>
        </w:rPr>
        <w:t xml:space="preserve"> Ja risinājums paredz</w:t>
      </w:r>
      <w:r w:rsidR="00EC543A">
        <w:rPr>
          <w:rFonts w:ascii="Times New Roman" w:hAnsi="Times New Roman" w:cs="Times New Roman"/>
          <w:sz w:val="24"/>
          <w:szCs w:val="24"/>
        </w:rPr>
        <w:t xml:space="preserve"> izmaiņas arī darbības programmā</w:t>
      </w:r>
      <w:r w:rsidR="00475B3A">
        <w:rPr>
          <w:rFonts w:ascii="Times New Roman" w:hAnsi="Times New Roman" w:cs="Times New Roman"/>
          <w:sz w:val="24"/>
          <w:szCs w:val="24"/>
        </w:rPr>
        <w:t xml:space="preserve">, </w:t>
      </w:r>
      <w:r w:rsidR="00EC543A">
        <w:rPr>
          <w:rFonts w:ascii="Times New Roman" w:hAnsi="Times New Roman" w:cs="Times New Roman"/>
          <w:sz w:val="24"/>
          <w:szCs w:val="24"/>
        </w:rPr>
        <w:t xml:space="preserve">atbildīgajām iestādēm </w:t>
      </w:r>
      <w:r w:rsidR="00475B3A">
        <w:rPr>
          <w:rFonts w:ascii="Times New Roman" w:hAnsi="Times New Roman" w:cs="Times New Roman"/>
          <w:sz w:val="24"/>
          <w:szCs w:val="24"/>
        </w:rPr>
        <w:t>d</w:t>
      </w:r>
      <w:r w:rsidR="00D91CA3" w:rsidRPr="00475B3A">
        <w:rPr>
          <w:rFonts w:ascii="Times New Roman" w:hAnsi="Times New Roman" w:cs="Times New Roman"/>
          <w:sz w:val="24"/>
          <w:szCs w:val="24"/>
        </w:rPr>
        <w:t>ivu nedēļu laikā</w:t>
      </w:r>
      <w:r w:rsidR="00DF27EF" w:rsidRPr="00475B3A">
        <w:rPr>
          <w:rFonts w:ascii="Times New Roman" w:hAnsi="Times New Roman" w:cs="Times New Roman"/>
          <w:sz w:val="24"/>
          <w:szCs w:val="24"/>
        </w:rPr>
        <w:t xml:space="preserve"> iesniegt FM darbības programmas grozījumu priekšlikumus, sniedzot pamatojumu ierosinātajiem grozījumiem.</w:t>
      </w:r>
    </w:p>
    <w:p w14:paraId="30B1AE12" w14:textId="237FD909" w:rsidR="00DF27EF" w:rsidRPr="0033214E" w:rsidRDefault="00DF27EF" w:rsidP="00915BDC">
      <w:pPr>
        <w:pStyle w:val="ListParagraph"/>
        <w:numPr>
          <w:ilvl w:val="0"/>
          <w:numId w:val="10"/>
        </w:numPr>
        <w:spacing w:line="276" w:lineRule="auto"/>
        <w:jc w:val="both"/>
        <w:rPr>
          <w:rFonts w:ascii="Times New Roman" w:hAnsi="Times New Roman" w:cs="Times New Roman"/>
          <w:sz w:val="24"/>
          <w:szCs w:val="24"/>
        </w:rPr>
      </w:pPr>
      <w:r w:rsidRPr="006245ED">
        <w:rPr>
          <w:rFonts w:ascii="Times New Roman" w:hAnsi="Times New Roman" w:cs="Times New Roman"/>
          <w:sz w:val="24"/>
          <w:szCs w:val="24"/>
        </w:rPr>
        <w:t xml:space="preserve">FM sagatavot un noteiktā kārtībā iesniegt </w:t>
      </w:r>
      <w:r>
        <w:rPr>
          <w:rFonts w:ascii="Times New Roman" w:hAnsi="Times New Roman" w:cs="Times New Roman"/>
          <w:sz w:val="24"/>
          <w:szCs w:val="24"/>
        </w:rPr>
        <w:t>MK</w:t>
      </w:r>
      <w:r w:rsidRPr="006245ED">
        <w:rPr>
          <w:rFonts w:ascii="Times New Roman" w:hAnsi="Times New Roman" w:cs="Times New Roman"/>
          <w:sz w:val="24"/>
          <w:szCs w:val="24"/>
        </w:rPr>
        <w:t xml:space="preserve"> grozījumus darbības programmā.</w:t>
      </w:r>
    </w:p>
    <w:p w14:paraId="3167341A" w14:textId="77777777" w:rsidR="0036360B" w:rsidRPr="0033214E" w:rsidRDefault="00563599" w:rsidP="00915BDC">
      <w:pPr>
        <w:pStyle w:val="ListParagraph"/>
        <w:numPr>
          <w:ilvl w:val="0"/>
          <w:numId w:val="10"/>
        </w:numPr>
        <w:spacing w:line="276" w:lineRule="auto"/>
        <w:jc w:val="both"/>
        <w:rPr>
          <w:rFonts w:ascii="Times New Roman" w:hAnsi="Times New Roman" w:cs="Times New Roman"/>
          <w:sz w:val="24"/>
          <w:szCs w:val="24"/>
        </w:rPr>
      </w:pPr>
      <w:r w:rsidRPr="0033214E">
        <w:rPr>
          <w:rFonts w:ascii="Times New Roman" w:hAnsi="Times New Roman" w:cs="Times New Roman"/>
          <w:sz w:val="24"/>
          <w:szCs w:val="24"/>
        </w:rPr>
        <w:t>Lai nodrošinātu efektīvu finansējuma atlikumu izmantošanu, noteikt, ka</w:t>
      </w:r>
      <w:r w:rsidR="0036360B" w:rsidRPr="0033214E">
        <w:rPr>
          <w:rFonts w:ascii="Times New Roman" w:hAnsi="Times New Roman" w:cs="Times New Roman"/>
          <w:sz w:val="24"/>
          <w:szCs w:val="24"/>
        </w:rPr>
        <w:t>:</w:t>
      </w:r>
    </w:p>
    <w:p w14:paraId="169E3A2D" w14:textId="4DAD8C34" w:rsidR="00534045" w:rsidRPr="005355D5" w:rsidRDefault="00534045" w:rsidP="00915BDC">
      <w:pPr>
        <w:pStyle w:val="ListParagraph"/>
        <w:numPr>
          <w:ilvl w:val="1"/>
          <w:numId w:val="10"/>
        </w:numPr>
        <w:spacing w:line="276" w:lineRule="auto"/>
        <w:ind w:left="1701" w:hanging="490"/>
        <w:jc w:val="both"/>
        <w:rPr>
          <w:rFonts w:ascii="Times New Roman" w:hAnsi="Times New Roman" w:cs="Times New Roman"/>
          <w:sz w:val="24"/>
          <w:szCs w:val="24"/>
        </w:rPr>
      </w:pPr>
      <w:r w:rsidRPr="006245ED">
        <w:rPr>
          <w:rFonts w:ascii="Times New Roman" w:hAnsi="Times New Roman" w:cs="Times New Roman"/>
          <w:sz w:val="24"/>
          <w:szCs w:val="24"/>
        </w:rPr>
        <w:t xml:space="preserve">izsludinātajās 3.3.1.SAM, 4.2.2.SAM </w:t>
      </w:r>
      <w:r>
        <w:rPr>
          <w:rFonts w:ascii="Times New Roman" w:hAnsi="Times New Roman" w:cs="Times New Roman"/>
          <w:sz w:val="24"/>
          <w:szCs w:val="24"/>
        </w:rPr>
        <w:t xml:space="preserve">un </w:t>
      </w:r>
      <w:r w:rsidRPr="005355D5">
        <w:rPr>
          <w:rFonts w:ascii="Times New Roman" w:hAnsi="Times New Roman" w:cs="Times New Roman"/>
          <w:sz w:val="24"/>
          <w:szCs w:val="24"/>
        </w:rPr>
        <w:t>5.6.2.SAM</w:t>
      </w:r>
      <w:r>
        <w:rPr>
          <w:rFonts w:ascii="Times New Roman" w:hAnsi="Times New Roman" w:cs="Times New Roman"/>
          <w:sz w:val="24"/>
          <w:szCs w:val="24"/>
        </w:rPr>
        <w:t xml:space="preserve"> </w:t>
      </w:r>
      <w:r w:rsidRPr="005355D5">
        <w:rPr>
          <w:rFonts w:ascii="Times New Roman" w:hAnsi="Times New Roman" w:cs="Times New Roman"/>
          <w:sz w:val="24"/>
          <w:szCs w:val="24"/>
        </w:rPr>
        <w:t>projektu i</w:t>
      </w:r>
      <w:r>
        <w:rPr>
          <w:rFonts w:ascii="Times New Roman" w:hAnsi="Times New Roman" w:cs="Times New Roman"/>
          <w:sz w:val="24"/>
          <w:szCs w:val="24"/>
        </w:rPr>
        <w:t>esniegumu atlasēs</w:t>
      </w:r>
      <w:r w:rsidR="0096131B">
        <w:rPr>
          <w:rFonts w:ascii="Times New Roman" w:hAnsi="Times New Roman" w:cs="Times New Roman"/>
          <w:sz w:val="24"/>
          <w:szCs w:val="24"/>
        </w:rPr>
        <w:t xml:space="preserve"> </w:t>
      </w:r>
      <w:r w:rsidRPr="005355D5">
        <w:rPr>
          <w:rFonts w:ascii="Times New Roman" w:hAnsi="Times New Roman" w:cs="Times New Roman"/>
          <w:sz w:val="24"/>
          <w:szCs w:val="24"/>
        </w:rPr>
        <w:t>projektu iesniegumi tiek iesniegti un pieņemti vērtēšanai ne ilgāk kā līdz 2020.gada 1.martam un projektu iesniegumu atlašu nolikumos noteiktie projektu iesniegumu iesniegšanas termiņi netiek pagarināti.</w:t>
      </w:r>
    </w:p>
    <w:p w14:paraId="4AA5E1A7" w14:textId="11B0EDDA" w:rsidR="0036360B" w:rsidRPr="006245ED" w:rsidRDefault="0036360B" w:rsidP="00915BDC">
      <w:pPr>
        <w:pStyle w:val="ListParagraph"/>
        <w:numPr>
          <w:ilvl w:val="1"/>
          <w:numId w:val="10"/>
        </w:numPr>
        <w:spacing w:line="276" w:lineRule="auto"/>
        <w:ind w:left="1701" w:hanging="490"/>
        <w:jc w:val="both"/>
        <w:rPr>
          <w:rFonts w:ascii="Times New Roman" w:hAnsi="Times New Roman" w:cs="Times New Roman"/>
          <w:sz w:val="24"/>
          <w:szCs w:val="24"/>
        </w:rPr>
      </w:pPr>
      <w:r w:rsidRPr="006245ED">
        <w:rPr>
          <w:rFonts w:ascii="Times New Roman" w:hAnsi="Times New Roman" w:cs="Times New Roman"/>
          <w:sz w:val="24"/>
          <w:szCs w:val="24"/>
        </w:rPr>
        <w:t>projektu iesniegumu atlasēs</w:t>
      </w:r>
      <w:r w:rsidR="005D790A">
        <w:rPr>
          <w:rFonts w:ascii="Times New Roman" w:hAnsi="Times New Roman" w:cs="Times New Roman"/>
          <w:sz w:val="24"/>
          <w:szCs w:val="24"/>
        </w:rPr>
        <w:t xml:space="preserve"> jauni</w:t>
      </w:r>
      <w:r w:rsidRPr="006245ED">
        <w:rPr>
          <w:rFonts w:ascii="Times New Roman" w:hAnsi="Times New Roman" w:cs="Times New Roman"/>
          <w:sz w:val="24"/>
          <w:szCs w:val="24"/>
        </w:rPr>
        <w:t xml:space="preserve"> līgumi </w:t>
      </w:r>
      <w:r w:rsidR="008A77CF">
        <w:rPr>
          <w:rFonts w:ascii="Times New Roman" w:hAnsi="Times New Roman" w:cs="Times New Roman"/>
          <w:sz w:val="24"/>
          <w:szCs w:val="24"/>
        </w:rPr>
        <w:t>vai</w:t>
      </w:r>
      <w:r w:rsidR="008A77CF" w:rsidRPr="006245ED">
        <w:rPr>
          <w:rFonts w:ascii="Times New Roman" w:hAnsi="Times New Roman" w:cs="Times New Roman"/>
          <w:sz w:val="24"/>
          <w:szCs w:val="24"/>
        </w:rPr>
        <w:t xml:space="preserve"> </w:t>
      </w:r>
      <w:r w:rsidRPr="006245ED">
        <w:rPr>
          <w:rFonts w:ascii="Times New Roman" w:hAnsi="Times New Roman" w:cs="Times New Roman"/>
          <w:sz w:val="24"/>
          <w:szCs w:val="24"/>
        </w:rPr>
        <w:t xml:space="preserve">vienošanās par projektu īstenošanu tiek </w:t>
      </w:r>
      <w:r w:rsidR="008A77CF">
        <w:rPr>
          <w:rFonts w:ascii="Times New Roman" w:hAnsi="Times New Roman" w:cs="Times New Roman"/>
          <w:sz w:val="24"/>
          <w:szCs w:val="24"/>
        </w:rPr>
        <w:t xml:space="preserve">slēgti </w:t>
      </w:r>
      <w:r w:rsidR="005D790A">
        <w:rPr>
          <w:rFonts w:ascii="Times New Roman" w:hAnsi="Times New Roman" w:cs="Times New Roman"/>
          <w:sz w:val="24"/>
          <w:szCs w:val="24"/>
        </w:rPr>
        <w:t xml:space="preserve">ne ilgāk kā </w:t>
      </w:r>
      <w:r w:rsidRPr="006245ED">
        <w:rPr>
          <w:rFonts w:ascii="Times New Roman" w:hAnsi="Times New Roman" w:cs="Times New Roman"/>
          <w:sz w:val="24"/>
          <w:szCs w:val="24"/>
        </w:rPr>
        <w:t>līdz 2021.gada 1.jūnijam;</w:t>
      </w:r>
    </w:p>
    <w:p w14:paraId="45594AAA" w14:textId="18056499" w:rsidR="009C5142" w:rsidRDefault="0036360B" w:rsidP="00915BDC">
      <w:pPr>
        <w:pStyle w:val="ListParagraph"/>
        <w:numPr>
          <w:ilvl w:val="0"/>
          <w:numId w:val="10"/>
        </w:numPr>
        <w:spacing w:after="0" w:line="276" w:lineRule="auto"/>
        <w:jc w:val="both"/>
        <w:rPr>
          <w:rFonts w:ascii="Times New Roman" w:hAnsi="Times New Roman" w:cs="Times New Roman"/>
          <w:sz w:val="24"/>
          <w:szCs w:val="24"/>
        </w:rPr>
      </w:pPr>
      <w:r w:rsidRPr="005355D5">
        <w:rPr>
          <w:rFonts w:ascii="Times New Roman" w:hAnsi="Times New Roman" w:cs="Times New Roman"/>
          <w:sz w:val="24"/>
          <w:szCs w:val="24"/>
        </w:rPr>
        <w:t xml:space="preserve">Atļaut </w:t>
      </w:r>
      <w:r w:rsidR="00DF27EF" w:rsidRPr="0050144E">
        <w:rPr>
          <w:rFonts w:ascii="Times New Roman" w:hAnsi="Times New Roman" w:cs="Times New Roman"/>
          <w:sz w:val="24"/>
          <w:szCs w:val="24"/>
        </w:rPr>
        <w:t>CFLA</w:t>
      </w:r>
      <w:r w:rsidRPr="0050144E">
        <w:rPr>
          <w:rFonts w:ascii="Times New Roman" w:hAnsi="Times New Roman" w:cs="Times New Roman"/>
          <w:sz w:val="24"/>
          <w:szCs w:val="24"/>
        </w:rPr>
        <w:t xml:space="preserve"> saskaņā ar MK noteikumu Nr.784 51.</w:t>
      </w:r>
      <w:r w:rsidRPr="0050144E">
        <w:rPr>
          <w:rFonts w:ascii="Times New Roman" w:hAnsi="Times New Roman" w:cs="Times New Roman"/>
          <w:sz w:val="24"/>
          <w:szCs w:val="24"/>
          <w:vertAlign w:val="superscript"/>
        </w:rPr>
        <w:t>4 </w:t>
      </w:r>
      <w:r w:rsidRPr="0050144E">
        <w:rPr>
          <w:rFonts w:ascii="Times New Roman" w:hAnsi="Times New Roman" w:cs="Times New Roman"/>
          <w:sz w:val="24"/>
          <w:szCs w:val="24"/>
        </w:rPr>
        <w:t>7.apakšpunktu</w:t>
      </w:r>
      <w:r w:rsidR="001F1F72">
        <w:rPr>
          <w:rFonts w:ascii="Times New Roman" w:hAnsi="Times New Roman" w:cs="Times New Roman"/>
          <w:sz w:val="24"/>
          <w:szCs w:val="24"/>
        </w:rPr>
        <w:t xml:space="preserve"> pagarināt</w:t>
      </w:r>
      <w:r w:rsidRPr="0050144E">
        <w:rPr>
          <w:rFonts w:ascii="Times New Roman" w:hAnsi="Times New Roman" w:cs="Times New Roman"/>
          <w:sz w:val="24"/>
          <w:szCs w:val="24"/>
        </w:rPr>
        <w:t xml:space="preserve"> </w:t>
      </w:r>
      <w:r w:rsidR="00922A01" w:rsidRPr="0050144E">
        <w:rPr>
          <w:rFonts w:ascii="Times New Roman" w:hAnsi="Times New Roman" w:cs="Times New Roman"/>
          <w:sz w:val="24"/>
          <w:szCs w:val="24"/>
        </w:rPr>
        <w:t>projektu</w:t>
      </w:r>
      <w:r w:rsidRPr="0050144E">
        <w:rPr>
          <w:rFonts w:ascii="Times New Roman" w:hAnsi="Times New Roman" w:cs="Times New Roman"/>
          <w:sz w:val="24"/>
          <w:szCs w:val="24"/>
        </w:rPr>
        <w:t xml:space="preserve"> īstenošanas termiņu</w:t>
      </w:r>
      <w:r w:rsidR="00475B3A">
        <w:rPr>
          <w:rFonts w:ascii="Times New Roman" w:hAnsi="Times New Roman" w:cs="Times New Roman"/>
          <w:sz w:val="24"/>
          <w:szCs w:val="24"/>
        </w:rPr>
        <w:t xml:space="preserve"> snieguma rezerves izmantošanai</w:t>
      </w:r>
      <w:r w:rsidRPr="0050144E">
        <w:rPr>
          <w:rFonts w:ascii="Times New Roman" w:hAnsi="Times New Roman" w:cs="Times New Roman"/>
          <w:sz w:val="24"/>
          <w:szCs w:val="24"/>
        </w:rPr>
        <w:t xml:space="preserve"> par laiku, kas pārsniedz sešus mēnešus ja, izvērtējot attiecīgās vienošanās grozījumu lietderību, pamatotību un nepieciešamību projekta sākotnējā mērķa sasniegšanai, termiņa pagarinājums ir uzskatāms par pamatotu</w:t>
      </w:r>
      <w:r w:rsidR="00D91CA3">
        <w:rPr>
          <w:rFonts w:ascii="Times New Roman" w:hAnsi="Times New Roman" w:cs="Times New Roman"/>
          <w:sz w:val="24"/>
          <w:szCs w:val="24"/>
        </w:rPr>
        <w:t>.</w:t>
      </w:r>
    </w:p>
    <w:p w14:paraId="6C3D5317" w14:textId="77777777" w:rsidR="009C5142" w:rsidRPr="009C5142" w:rsidRDefault="009C5142" w:rsidP="008004B0"/>
    <w:p w14:paraId="21F0FE5A" w14:textId="2E20404B" w:rsidR="009C5142" w:rsidRDefault="009C5142" w:rsidP="009C5142"/>
    <w:p w14:paraId="3D8E913A" w14:textId="77777777" w:rsidR="009C5142" w:rsidRPr="000925AA" w:rsidRDefault="009C5142" w:rsidP="009C5142">
      <w:pPr>
        <w:rPr>
          <w:sz w:val="26"/>
          <w:szCs w:val="26"/>
        </w:rPr>
      </w:pPr>
      <w:r w:rsidRPr="000925AA">
        <w:rPr>
          <w:sz w:val="26"/>
          <w:szCs w:val="26"/>
        </w:rPr>
        <w:t>Finanšu ministrs</w:t>
      </w:r>
      <w:r w:rsidRPr="000925AA">
        <w:rPr>
          <w:sz w:val="26"/>
          <w:szCs w:val="26"/>
        </w:rPr>
        <w:tab/>
      </w:r>
      <w:r w:rsidRPr="000925AA">
        <w:rPr>
          <w:sz w:val="26"/>
          <w:szCs w:val="26"/>
        </w:rPr>
        <w:tab/>
      </w:r>
      <w:r w:rsidRPr="000925AA">
        <w:rPr>
          <w:sz w:val="26"/>
          <w:szCs w:val="26"/>
        </w:rPr>
        <w:tab/>
      </w:r>
      <w:r w:rsidRPr="000925AA">
        <w:rPr>
          <w:sz w:val="26"/>
          <w:szCs w:val="26"/>
        </w:rPr>
        <w:tab/>
      </w:r>
      <w:r w:rsidRPr="000925AA">
        <w:rPr>
          <w:sz w:val="26"/>
          <w:szCs w:val="26"/>
        </w:rPr>
        <w:tab/>
      </w:r>
      <w:r w:rsidRPr="000925AA">
        <w:rPr>
          <w:sz w:val="26"/>
          <w:szCs w:val="26"/>
        </w:rPr>
        <w:tab/>
      </w:r>
      <w:r>
        <w:rPr>
          <w:sz w:val="26"/>
          <w:szCs w:val="26"/>
        </w:rPr>
        <w:t xml:space="preserve">                                </w:t>
      </w:r>
      <w:proofErr w:type="spellStart"/>
      <w:r w:rsidRPr="000925AA">
        <w:rPr>
          <w:sz w:val="26"/>
          <w:szCs w:val="26"/>
        </w:rPr>
        <w:t>J.Reirs</w:t>
      </w:r>
      <w:proofErr w:type="spellEnd"/>
    </w:p>
    <w:p w14:paraId="21662721" w14:textId="77777777" w:rsidR="009C5142" w:rsidRDefault="009C5142" w:rsidP="009C5142">
      <w:pPr>
        <w:rPr>
          <w:sz w:val="26"/>
          <w:szCs w:val="26"/>
        </w:rPr>
      </w:pPr>
    </w:p>
    <w:p w14:paraId="66F7D449" w14:textId="77777777" w:rsidR="009C5142" w:rsidRPr="000925AA" w:rsidRDefault="009C5142" w:rsidP="009C5142">
      <w:pPr>
        <w:rPr>
          <w:sz w:val="26"/>
          <w:szCs w:val="26"/>
        </w:rPr>
      </w:pPr>
    </w:p>
    <w:p w14:paraId="4C97D04E" w14:textId="77777777" w:rsidR="009C5142" w:rsidRPr="000925AA" w:rsidRDefault="009C5142" w:rsidP="009C5142">
      <w:pPr>
        <w:pStyle w:val="Header"/>
        <w:rPr>
          <w:sz w:val="20"/>
        </w:rPr>
      </w:pPr>
    </w:p>
    <w:p w14:paraId="771F2DBA" w14:textId="77777777" w:rsidR="009C5142" w:rsidRPr="00E76E98" w:rsidRDefault="009C5142" w:rsidP="009C5142">
      <w:pPr>
        <w:rPr>
          <w:sz w:val="20"/>
        </w:rPr>
      </w:pPr>
      <w:r w:rsidRPr="00E76E98">
        <w:rPr>
          <w:sz w:val="20"/>
        </w:rPr>
        <w:t>Baldunčika, 67095479</w:t>
      </w:r>
      <w:r w:rsidRPr="00E76E98">
        <w:rPr>
          <w:sz w:val="20"/>
        </w:rPr>
        <w:tab/>
      </w:r>
    </w:p>
    <w:p w14:paraId="264F39DD" w14:textId="022A4045" w:rsidR="0031293A" w:rsidRPr="009C5142" w:rsidRDefault="009C5142" w:rsidP="008004B0">
      <w:r w:rsidRPr="00E76E98">
        <w:rPr>
          <w:sz w:val="20"/>
        </w:rPr>
        <w:t>Jolanta.Balduncika@fm.gov.lv</w:t>
      </w:r>
    </w:p>
    <w:sectPr w:rsidR="0031293A" w:rsidRPr="009C5142" w:rsidSect="009C5142">
      <w:footerReference w:type="default" r:id="rId9"/>
      <w:footerReference w:type="first" r:id="rId10"/>
      <w:pgSz w:w="11906" w:h="16838"/>
      <w:pgMar w:top="1418" w:right="1134" w:bottom="1134"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2C8EB" w14:textId="77777777" w:rsidR="005550C5" w:rsidRDefault="005550C5" w:rsidP="00B12544">
      <w:r>
        <w:separator/>
      </w:r>
    </w:p>
  </w:endnote>
  <w:endnote w:type="continuationSeparator" w:id="0">
    <w:p w14:paraId="1EF20788" w14:textId="77777777" w:rsidR="005550C5" w:rsidRDefault="005550C5" w:rsidP="00B12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970469"/>
      <w:docPartObj>
        <w:docPartGallery w:val="Page Numbers (Bottom of Page)"/>
        <w:docPartUnique/>
      </w:docPartObj>
    </w:sdtPr>
    <w:sdtEndPr>
      <w:rPr>
        <w:noProof/>
      </w:rPr>
    </w:sdtEndPr>
    <w:sdtContent>
      <w:p w14:paraId="13D62D58" w14:textId="4F0D92CE" w:rsidR="005550C5" w:rsidRDefault="005550C5">
        <w:pPr>
          <w:pStyle w:val="Footer"/>
          <w:jc w:val="center"/>
        </w:pPr>
        <w:r>
          <w:fldChar w:fldCharType="begin"/>
        </w:r>
        <w:r>
          <w:instrText xml:space="preserve"> PAGE   \* MERGEFORMAT </w:instrText>
        </w:r>
        <w:r>
          <w:fldChar w:fldCharType="separate"/>
        </w:r>
        <w:r w:rsidR="00EF633F">
          <w:rPr>
            <w:noProof/>
          </w:rPr>
          <w:t>13</w:t>
        </w:r>
        <w:r>
          <w:rPr>
            <w:noProof/>
          </w:rPr>
          <w:fldChar w:fldCharType="end"/>
        </w:r>
      </w:p>
    </w:sdtContent>
  </w:sdt>
  <w:p w14:paraId="1A964EBB" w14:textId="5BBF85D6" w:rsidR="005550C5" w:rsidRPr="00135DA7" w:rsidRDefault="005550C5">
    <w:pPr>
      <w:pStyle w:val="Footer"/>
      <w:rPr>
        <w:sz w:val="18"/>
      </w:rPr>
    </w:pPr>
    <w:r w:rsidRPr="00D14ADC">
      <w:rPr>
        <w:sz w:val="18"/>
      </w:rPr>
      <w:t>FMzin_</w:t>
    </w:r>
    <w:r>
      <w:rPr>
        <w:sz w:val="18"/>
      </w:rPr>
      <w:t>0210</w:t>
    </w:r>
    <w:r w:rsidRPr="00D14ADC">
      <w:rPr>
        <w:sz w:val="18"/>
      </w:rPr>
      <w:t>2019_snieguma_rezerve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9FBF" w14:textId="523495B0" w:rsidR="005550C5" w:rsidRPr="00D14ADC" w:rsidRDefault="005550C5">
    <w:pPr>
      <w:pStyle w:val="Footer"/>
      <w:rPr>
        <w:sz w:val="18"/>
      </w:rPr>
    </w:pPr>
    <w:r w:rsidRPr="00D14ADC">
      <w:rPr>
        <w:sz w:val="18"/>
      </w:rPr>
      <w:t>FMzin_</w:t>
    </w:r>
    <w:r>
      <w:rPr>
        <w:sz w:val="18"/>
      </w:rPr>
      <w:t>0210</w:t>
    </w:r>
    <w:r w:rsidRPr="00D14ADC">
      <w:rPr>
        <w:sz w:val="18"/>
      </w:rPr>
      <w:t>2019_snieguma_rezerve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FF377" w14:textId="77777777" w:rsidR="005550C5" w:rsidRDefault="005550C5" w:rsidP="00B12544">
      <w:r>
        <w:separator/>
      </w:r>
    </w:p>
  </w:footnote>
  <w:footnote w:type="continuationSeparator" w:id="0">
    <w:p w14:paraId="581A6D13" w14:textId="77777777" w:rsidR="005550C5" w:rsidRDefault="005550C5" w:rsidP="00B12544">
      <w:r>
        <w:continuationSeparator/>
      </w:r>
    </w:p>
  </w:footnote>
  <w:footnote w:id="1">
    <w:p w14:paraId="47A39460" w14:textId="1F0C729B" w:rsidR="005550C5" w:rsidRPr="0013064B" w:rsidRDefault="005550C5" w:rsidP="0013064B">
      <w:pPr>
        <w:jc w:val="both"/>
        <w:rPr>
          <w:rFonts w:cs="Times New Roman"/>
          <w:sz w:val="18"/>
          <w:szCs w:val="18"/>
        </w:rPr>
      </w:pPr>
      <w:r w:rsidRPr="0013064B">
        <w:rPr>
          <w:rFonts w:cs="Times New Roman"/>
          <w:bCs/>
          <w:sz w:val="18"/>
          <w:szCs w:val="18"/>
          <w:vertAlign w:val="superscript"/>
        </w:rPr>
        <w:footnoteRef/>
      </w:r>
      <w:r w:rsidRPr="0013064B">
        <w:rPr>
          <w:rFonts w:cs="Times New Roman"/>
          <w:bCs/>
          <w:sz w:val="18"/>
          <w:szCs w:val="18"/>
          <w:vertAlign w:val="superscript"/>
        </w:rPr>
        <w:t xml:space="preserve"> </w:t>
      </w:r>
      <w:r w:rsidRPr="0013064B">
        <w:rPr>
          <w:rFonts w:cs="Times New Roman"/>
          <w:bCs/>
          <w:sz w:val="18"/>
          <w:szCs w:val="18"/>
        </w:rPr>
        <w:t xml:space="preserve">MK 2019.gada 23.aprīļa sēdes </w:t>
      </w:r>
      <w:proofErr w:type="spellStart"/>
      <w:r w:rsidRPr="0013064B">
        <w:rPr>
          <w:rFonts w:cs="Times New Roman"/>
          <w:bCs/>
          <w:sz w:val="18"/>
          <w:szCs w:val="18"/>
        </w:rPr>
        <w:t>protokollēmuma</w:t>
      </w:r>
      <w:proofErr w:type="spellEnd"/>
      <w:r w:rsidRPr="0013064B">
        <w:rPr>
          <w:rFonts w:cs="Times New Roman"/>
          <w:bCs/>
          <w:sz w:val="18"/>
          <w:szCs w:val="18"/>
        </w:rPr>
        <w:t xml:space="preserve"> Nr.21 23.§ “Informatīvais ziņojums “Par Kohēzijas politikas Eiropas Savienības fondu investīciju aktualitātēm līdz 2018.gada 31.decembrim un 2019.gada februāra ikmēneša operatīvā informācija”” 8.punkts.</w:t>
      </w:r>
    </w:p>
  </w:footnote>
  <w:footnote w:id="2">
    <w:p w14:paraId="77B4DF47" w14:textId="39B4F5B5" w:rsidR="005550C5" w:rsidRPr="0013064B" w:rsidRDefault="005550C5" w:rsidP="0013064B">
      <w:pPr>
        <w:pStyle w:val="FootnoteText"/>
        <w:jc w:val="both"/>
        <w:rPr>
          <w:rFonts w:ascii="Times New Roman" w:hAnsi="Times New Roman" w:cs="Times New Roman"/>
          <w:i/>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w:t>
      </w:r>
      <w:r w:rsidRPr="0013064B">
        <w:rPr>
          <w:rFonts w:ascii="Times New Roman" w:hAnsi="Times New Roman" w:cs="Times New Roman"/>
          <w:bCs/>
          <w:sz w:val="18"/>
          <w:szCs w:val="18"/>
        </w:rPr>
        <w:t xml:space="preserve">ES fondu 2014.–2020.gada plānošanas perioda vadības likuma (turpmāk – ES fondu likums) 1.panta 15.apakšpunkts: </w:t>
      </w:r>
      <w:r w:rsidRPr="0013064B">
        <w:rPr>
          <w:rFonts w:ascii="Times New Roman" w:hAnsi="Times New Roman" w:cs="Times New Roman"/>
          <w:bCs/>
          <w:i/>
          <w:sz w:val="18"/>
          <w:szCs w:val="18"/>
        </w:rPr>
        <w:t>“</w:t>
      </w:r>
      <w:r w:rsidRPr="0013064B">
        <w:rPr>
          <w:rFonts w:ascii="Times New Roman" w:hAnsi="Times New Roman" w:cs="Times New Roman"/>
          <w:i/>
          <w:sz w:val="18"/>
          <w:szCs w:val="18"/>
        </w:rPr>
        <w:t xml:space="preserve">15) </w:t>
      </w:r>
      <w:proofErr w:type="spellStart"/>
      <w:r w:rsidRPr="0013064B">
        <w:rPr>
          <w:rFonts w:ascii="Times New Roman" w:hAnsi="Times New Roman" w:cs="Times New Roman"/>
          <w:bCs/>
          <w:i/>
          <w:sz w:val="18"/>
          <w:szCs w:val="18"/>
        </w:rPr>
        <w:t>virssaistības</w:t>
      </w:r>
      <w:proofErr w:type="spellEnd"/>
      <w:r w:rsidRPr="0013064B">
        <w:rPr>
          <w:rFonts w:ascii="Times New Roman" w:hAnsi="Times New Roman" w:cs="Times New Roman"/>
          <w:i/>
          <w:sz w:val="18"/>
          <w:szCs w:val="18"/>
        </w:rPr>
        <w:t xml:space="preserve"> </w:t>
      </w:r>
      <w:r w:rsidRPr="0013064B">
        <w:rPr>
          <w:rFonts w:ascii="Times New Roman" w:hAnsi="Times New Roman" w:cs="Times New Roman"/>
          <w:bCs/>
          <w:sz w:val="18"/>
          <w:szCs w:val="18"/>
        </w:rPr>
        <w:t>–</w:t>
      </w:r>
      <w:r w:rsidRPr="0013064B">
        <w:rPr>
          <w:rFonts w:ascii="Times New Roman" w:hAnsi="Times New Roman" w:cs="Times New Roman"/>
          <w:i/>
          <w:sz w:val="18"/>
          <w:szCs w:val="18"/>
        </w:rPr>
        <w:t xml:space="preserve"> papildu saistības veikt maksājumus no valsts budžeta attiecināmo izdevumu segšanai, kas pārsniedz Eiropas Savienības fonda finansējuma un attiecināmā valsts budžeta līdzfinansējuma summu.”. </w:t>
      </w:r>
      <w:r w:rsidRPr="0013064B">
        <w:rPr>
          <w:rFonts w:ascii="Times New Roman" w:hAnsi="Times New Roman" w:cs="Times New Roman"/>
          <w:sz w:val="18"/>
          <w:szCs w:val="18"/>
        </w:rPr>
        <w:t xml:space="preserve">ES fondu likuma anotācijā skaidrots: </w:t>
      </w:r>
      <w:r w:rsidRPr="0013064B">
        <w:rPr>
          <w:rFonts w:ascii="Times New Roman" w:hAnsi="Times New Roman" w:cs="Times New Roman"/>
          <w:i/>
          <w:sz w:val="18"/>
          <w:szCs w:val="18"/>
        </w:rPr>
        <w:t>“</w:t>
      </w:r>
      <w:r w:rsidRPr="0013064B">
        <w:rPr>
          <w:rFonts w:ascii="Times New Roman" w:hAnsi="Times New Roman" w:cs="Times New Roman"/>
          <w:bCs/>
          <w:i/>
          <w:sz w:val="18"/>
          <w:szCs w:val="18"/>
        </w:rPr>
        <w:t xml:space="preserve">Dalībvalstu ziņā ir noteikt  valsts budžeta līdzfinansējuma likmi, kā arī to, vai tiks uzņemtas </w:t>
      </w:r>
      <w:proofErr w:type="spellStart"/>
      <w:r w:rsidRPr="0013064B">
        <w:rPr>
          <w:rFonts w:ascii="Times New Roman" w:hAnsi="Times New Roman" w:cs="Times New Roman"/>
          <w:bCs/>
          <w:i/>
          <w:sz w:val="18"/>
          <w:szCs w:val="18"/>
        </w:rPr>
        <w:t>virssaistības</w:t>
      </w:r>
      <w:proofErr w:type="spellEnd"/>
      <w:r w:rsidRPr="0013064B">
        <w:rPr>
          <w:rFonts w:ascii="Times New Roman" w:hAnsi="Times New Roman" w:cs="Times New Roman"/>
          <w:bCs/>
          <w:i/>
          <w:sz w:val="18"/>
          <w:szCs w:val="18"/>
        </w:rPr>
        <w:t xml:space="preserve"> un cik lielas tās būs. Šie lēmumi ir atkarīgi no apsvērumiem par to, cik lielam ir jābūt publiskā finansējuma apjomam darbības programmas prioritārajos virzienos, vai tiek izvirzīts mērķis pilnībā apgūt no ES fondiem pieejamo finansējumu, kā arī no tā, cik lielu valsts budžeta finansējuma daļu ir iespējams novirzīt darbības programmas īstenošanai. Pēdējais, savukārt, ir atkarīgs no fiskālās disciplīnas nosacījumiem, jeb no tā, cik liels valsts budžeta finansējums (fiskālā telpa) ir pieejams. Būtiski, lai šādi lēmumi tiktu skatīti kontekstā ar citām valsts vajadzībām, </w:t>
      </w:r>
      <w:r w:rsidRPr="0013064B">
        <w:rPr>
          <w:rFonts w:ascii="Times New Roman" w:hAnsi="Times New Roman" w:cs="Times New Roman"/>
          <w:bCs/>
          <w:i/>
          <w:iCs/>
          <w:sz w:val="18"/>
          <w:szCs w:val="18"/>
        </w:rPr>
        <w:t>nosakot turpmākajiem gadiem pieejamo finansējumu valsts attīstībai atbilstoši aktuālākajām makroekonomiskās attīstības prognozēm</w:t>
      </w:r>
      <w:r w:rsidRPr="0013064B">
        <w:rPr>
          <w:rFonts w:ascii="Times New Roman" w:hAnsi="Times New Roman" w:cs="Times New Roman"/>
          <w:bCs/>
          <w:i/>
          <w:sz w:val="18"/>
          <w:szCs w:val="18"/>
        </w:rPr>
        <w:t>.”.</w:t>
      </w:r>
    </w:p>
  </w:footnote>
  <w:footnote w:id="3">
    <w:p w14:paraId="705A3A22" w14:textId="79A317BE" w:rsidR="005550C5" w:rsidRPr="0013064B" w:rsidRDefault="005550C5" w:rsidP="0013064B">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2015.gada 10.novembra rīkojums Nr.709 “Par integrēto teritoriālo investīciju specifisko atbalsta mērķu finansējuma kopējo apjomu katram nacionālas nozīmes attīstības centram un kopējiem rezultatīvajiem rādītājiem nacionālas nozīmes attīstības centru grupai”</w:t>
      </w:r>
    </w:p>
  </w:footnote>
  <w:footnote w:id="4">
    <w:p w14:paraId="32FC1482" w14:textId="78BF1D05" w:rsidR="005550C5" w:rsidRPr="0013064B" w:rsidRDefault="005550C5" w:rsidP="0013064B">
      <w:pPr>
        <w:pStyle w:val="FootnoteText"/>
        <w:jc w:val="both"/>
        <w:rPr>
          <w:rFonts w:ascii="Times New Roman" w:hAnsi="Times New Roman" w:cs="Times New Roman"/>
          <w:i/>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2015.gada 10.novembra rīkojuma Nr.709</w:t>
      </w:r>
      <w:r w:rsidRPr="0013064B">
        <w:rPr>
          <w:rFonts w:ascii="Times New Roman" w:hAnsi="Times New Roman" w:cs="Times New Roman"/>
          <w:sz w:val="18"/>
          <w:szCs w:val="18"/>
          <w:vertAlign w:val="superscript"/>
        </w:rPr>
        <w:t xml:space="preserve">3 </w:t>
      </w:r>
      <w:r w:rsidRPr="0013064B">
        <w:rPr>
          <w:rFonts w:ascii="Times New Roman" w:hAnsi="Times New Roman" w:cs="Times New Roman"/>
          <w:sz w:val="18"/>
          <w:szCs w:val="18"/>
        </w:rPr>
        <w:t xml:space="preserve">5.punkts: </w:t>
      </w:r>
      <w:r w:rsidRPr="0013064B">
        <w:rPr>
          <w:rFonts w:ascii="Times New Roman" w:hAnsi="Times New Roman" w:cs="Times New Roman"/>
          <w:i/>
          <w:sz w:val="18"/>
          <w:szCs w:val="18"/>
        </w:rPr>
        <w:t>“Pēc Eiropas Savienības fondu 2014.</w:t>
      </w:r>
      <w:r w:rsidRPr="0013064B">
        <w:rPr>
          <w:rFonts w:ascii="Times New Roman" w:hAnsi="Times New Roman" w:cs="Times New Roman"/>
          <w:bCs/>
          <w:sz w:val="18"/>
          <w:szCs w:val="18"/>
        </w:rPr>
        <w:t>–</w:t>
      </w:r>
      <w:r w:rsidRPr="0013064B">
        <w:rPr>
          <w:rFonts w:ascii="Times New Roman" w:hAnsi="Times New Roman" w:cs="Times New Roman"/>
          <w:i/>
          <w:sz w:val="18"/>
          <w:szCs w:val="18"/>
        </w:rPr>
        <w:t xml:space="preserve">2020.gada darbības programmas </w:t>
      </w:r>
      <w:r>
        <w:rPr>
          <w:rFonts w:ascii="Times New Roman" w:hAnsi="Times New Roman" w:cs="Times New Roman"/>
          <w:i/>
          <w:sz w:val="18"/>
          <w:szCs w:val="18"/>
        </w:rPr>
        <w:t>“</w:t>
      </w:r>
      <w:r w:rsidRPr="0013064B">
        <w:rPr>
          <w:rFonts w:ascii="Times New Roman" w:hAnsi="Times New Roman" w:cs="Times New Roman"/>
          <w:i/>
          <w:sz w:val="18"/>
          <w:szCs w:val="18"/>
        </w:rPr>
        <w:t>Izaugsme un nodarbinātība</w:t>
      </w:r>
      <w:r>
        <w:rPr>
          <w:rFonts w:ascii="Times New Roman" w:hAnsi="Times New Roman" w:cs="Times New Roman"/>
          <w:i/>
          <w:sz w:val="18"/>
          <w:szCs w:val="18"/>
        </w:rPr>
        <w:t>”</w:t>
      </w:r>
      <w:r w:rsidRPr="0013064B">
        <w:rPr>
          <w:rFonts w:ascii="Times New Roman" w:hAnsi="Times New Roman" w:cs="Times New Roman"/>
          <w:i/>
          <w:sz w:val="18"/>
          <w:szCs w:val="18"/>
        </w:rPr>
        <w:t xml:space="preserve"> </w:t>
      </w:r>
      <w:proofErr w:type="spellStart"/>
      <w:r w:rsidRPr="0013064B">
        <w:rPr>
          <w:rFonts w:ascii="Times New Roman" w:hAnsi="Times New Roman" w:cs="Times New Roman"/>
          <w:i/>
          <w:sz w:val="18"/>
          <w:szCs w:val="18"/>
        </w:rPr>
        <w:t>vidusposma</w:t>
      </w:r>
      <w:proofErr w:type="spellEnd"/>
      <w:r w:rsidRPr="0013064B">
        <w:rPr>
          <w:rFonts w:ascii="Times New Roman" w:hAnsi="Times New Roman" w:cs="Times New Roman"/>
          <w:i/>
          <w:sz w:val="18"/>
          <w:szCs w:val="18"/>
        </w:rPr>
        <w:t xml:space="preserve"> </w:t>
      </w:r>
      <w:proofErr w:type="spellStart"/>
      <w:r w:rsidRPr="0013064B">
        <w:rPr>
          <w:rFonts w:ascii="Times New Roman" w:hAnsi="Times New Roman" w:cs="Times New Roman"/>
          <w:i/>
          <w:sz w:val="18"/>
          <w:szCs w:val="18"/>
        </w:rPr>
        <w:t>izvērtējuma</w:t>
      </w:r>
      <w:proofErr w:type="spellEnd"/>
      <w:r w:rsidRPr="0013064B">
        <w:rPr>
          <w:rFonts w:ascii="Times New Roman" w:hAnsi="Times New Roman" w:cs="Times New Roman"/>
          <w:i/>
          <w:sz w:val="18"/>
          <w:szCs w:val="18"/>
        </w:rPr>
        <w:t xml:space="preserve"> veikšanas ES fondu pārdales prioritāri veicamas </w:t>
      </w:r>
      <w:proofErr w:type="spellStart"/>
      <w:r w:rsidRPr="0013064B">
        <w:rPr>
          <w:rFonts w:ascii="Times New Roman" w:hAnsi="Times New Roman" w:cs="Times New Roman"/>
          <w:i/>
          <w:sz w:val="18"/>
          <w:szCs w:val="18"/>
        </w:rPr>
        <w:t>virssaistību</w:t>
      </w:r>
      <w:proofErr w:type="spellEnd"/>
      <w:r w:rsidRPr="0013064B">
        <w:rPr>
          <w:rFonts w:ascii="Times New Roman" w:hAnsi="Times New Roman" w:cs="Times New Roman"/>
          <w:i/>
          <w:sz w:val="18"/>
          <w:szCs w:val="18"/>
        </w:rPr>
        <w:t xml:space="preserve"> dzēšanai, lai nodrošinātu </w:t>
      </w:r>
      <w:proofErr w:type="spellStart"/>
      <w:r w:rsidRPr="0013064B">
        <w:rPr>
          <w:rFonts w:ascii="Times New Roman" w:hAnsi="Times New Roman" w:cs="Times New Roman"/>
          <w:i/>
          <w:sz w:val="18"/>
          <w:szCs w:val="18"/>
        </w:rPr>
        <w:t>virssaistību</w:t>
      </w:r>
      <w:proofErr w:type="spellEnd"/>
      <w:r w:rsidRPr="0013064B">
        <w:rPr>
          <w:rFonts w:ascii="Times New Roman" w:hAnsi="Times New Roman" w:cs="Times New Roman"/>
          <w:i/>
          <w:sz w:val="18"/>
          <w:szCs w:val="18"/>
        </w:rPr>
        <w:t xml:space="preserve"> neitrālu ietekmi uz valsts budžeta fiskālo telpu.”.</w:t>
      </w:r>
    </w:p>
  </w:footnote>
  <w:footnote w:id="5">
    <w:p w14:paraId="612472F4" w14:textId="56C9396F" w:rsidR="005550C5" w:rsidRPr="0013064B" w:rsidRDefault="005550C5" w:rsidP="0013064B">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Likuma par vidēja termiņa budžeta ietvaru 2018., 2019. un 2020. gadam 19.pants:</w:t>
      </w:r>
      <w:r w:rsidRPr="0013064B">
        <w:rPr>
          <w:rFonts w:ascii="Times New Roman" w:hAnsi="Times New Roman" w:cs="Times New Roman"/>
          <w:i/>
          <w:sz w:val="18"/>
          <w:szCs w:val="18"/>
        </w:rPr>
        <w:t xml:space="preserve">“Ja no uzņemtajām </w:t>
      </w:r>
      <w:proofErr w:type="spellStart"/>
      <w:r w:rsidRPr="0013064B">
        <w:rPr>
          <w:rFonts w:ascii="Times New Roman" w:hAnsi="Times New Roman" w:cs="Times New Roman"/>
          <w:i/>
          <w:sz w:val="18"/>
          <w:szCs w:val="18"/>
        </w:rPr>
        <w:t>virssaistībām</w:t>
      </w:r>
      <w:proofErr w:type="spellEnd"/>
      <w:r w:rsidRPr="0013064B">
        <w:rPr>
          <w:rFonts w:ascii="Times New Roman" w:hAnsi="Times New Roman" w:cs="Times New Roman"/>
          <w:i/>
          <w:sz w:val="18"/>
          <w:szCs w:val="18"/>
        </w:rPr>
        <w:t xml:space="preserve"> </w:t>
      </w:r>
      <w:r w:rsidRPr="0013064B">
        <w:rPr>
          <w:rFonts w:ascii="Times New Roman" w:hAnsi="Times New Roman" w:cs="Times New Roman"/>
          <w:i/>
          <w:sz w:val="18"/>
          <w:szCs w:val="18"/>
        </w:rPr>
        <w:br/>
        <w:t>2014.</w:t>
      </w:r>
      <w:r w:rsidRPr="0013064B">
        <w:rPr>
          <w:rFonts w:ascii="Times New Roman" w:hAnsi="Times New Roman" w:cs="Times New Roman"/>
          <w:bCs/>
          <w:sz w:val="18"/>
          <w:szCs w:val="18"/>
        </w:rPr>
        <w:t>–</w:t>
      </w:r>
      <w:r w:rsidRPr="0013064B">
        <w:rPr>
          <w:rFonts w:ascii="Times New Roman" w:hAnsi="Times New Roman" w:cs="Times New Roman"/>
          <w:i/>
          <w:sz w:val="18"/>
          <w:szCs w:val="18"/>
        </w:rPr>
        <w:t xml:space="preserve">2020.gada plānošanas perioda Eiropas Savienības fondu ietvaros rodas negatīva ietekme uz vispārējās valdības budžeta bilanci, to kompensē pēc 2018. gada </w:t>
      </w:r>
      <w:proofErr w:type="spellStart"/>
      <w:r w:rsidRPr="0013064B">
        <w:rPr>
          <w:rFonts w:ascii="Times New Roman" w:hAnsi="Times New Roman" w:cs="Times New Roman"/>
          <w:i/>
          <w:sz w:val="18"/>
          <w:szCs w:val="18"/>
        </w:rPr>
        <w:t>vidusposma</w:t>
      </w:r>
      <w:proofErr w:type="spellEnd"/>
      <w:r w:rsidRPr="0013064B">
        <w:rPr>
          <w:rFonts w:ascii="Times New Roman" w:hAnsi="Times New Roman" w:cs="Times New Roman"/>
          <w:i/>
          <w:sz w:val="18"/>
          <w:szCs w:val="18"/>
        </w:rPr>
        <w:t xml:space="preserve"> </w:t>
      </w:r>
      <w:proofErr w:type="spellStart"/>
      <w:r w:rsidRPr="0013064B">
        <w:rPr>
          <w:rFonts w:ascii="Times New Roman" w:hAnsi="Times New Roman" w:cs="Times New Roman"/>
          <w:i/>
          <w:sz w:val="18"/>
          <w:szCs w:val="18"/>
        </w:rPr>
        <w:t>izvērtējuma</w:t>
      </w:r>
      <w:proofErr w:type="spellEnd"/>
      <w:r w:rsidRPr="0013064B">
        <w:rPr>
          <w:rFonts w:ascii="Times New Roman" w:hAnsi="Times New Roman" w:cs="Times New Roman"/>
          <w:i/>
          <w:sz w:val="18"/>
          <w:szCs w:val="18"/>
        </w:rPr>
        <w:t>, tajā skaitā veicot Eiropas Savienības fondu finansējuma pārdales starp specifiskiem atbalsta mērķiem.”.</w:t>
      </w:r>
    </w:p>
  </w:footnote>
  <w:footnote w:id="6">
    <w:p w14:paraId="08276562" w14:textId="00AD3178" w:rsidR="005550C5" w:rsidRPr="0013064B" w:rsidRDefault="005550C5" w:rsidP="0013064B">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Eiropas Savienības struktūrfondu un Kohēzijas fonda 2014.</w:t>
      </w:r>
      <w:r>
        <w:rPr>
          <w:rFonts w:ascii="Times New Roman" w:hAnsi="Times New Roman" w:cs="Times New Roman"/>
          <w:sz w:val="18"/>
          <w:szCs w:val="18"/>
        </w:rPr>
        <w:t>–</w:t>
      </w:r>
      <w:r w:rsidRPr="0013064B">
        <w:rPr>
          <w:rFonts w:ascii="Times New Roman" w:hAnsi="Times New Roman" w:cs="Times New Roman"/>
          <w:sz w:val="18"/>
          <w:szCs w:val="18"/>
        </w:rPr>
        <w:t>2020.gada plānošanas perioda vadības likums</w:t>
      </w:r>
      <w:r>
        <w:rPr>
          <w:rFonts w:ascii="Times New Roman" w:hAnsi="Times New Roman" w:cs="Times New Roman"/>
          <w:sz w:val="18"/>
          <w:szCs w:val="18"/>
        </w:rPr>
        <w:t>.</w:t>
      </w:r>
    </w:p>
  </w:footnote>
  <w:footnote w:id="7">
    <w:p w14:paraId="4B6B3D13" w14:textId="12D3CAF1" w:rsidR="005550C5" w:rsidRPr="0013064B" w:rsidRDefault="005550C5" w:rsidP="0013064B">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2015.gada 10.novembra rīkojums Nr.709 “Par integrēto teritoriālo investīciju specifisko atbalsta mērķu finansējuma kopējo apjomu katram nacionālas nozīmes attīstības centram un kopējiem rezultatīvajiem rādītājiem nacionālas nozīmes attīstības centru grupai”.</w:t>
      </w:r>
    </w:p>
  </w:footnote>
  <w:footnote w:id="8">
    <w:p w14:paraId="42E9B587" w14:textId="748BD069" w:rsidR="005550C5" w:rsidRPr="0013064B" w:rsidRDefault="005550C5" w:rsidP="0013064B">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rīkojums Nr.568 (MK protokola Nr.50 38§) “Grozījumi Ministru kabineta 2015.gada 10.novembra rīkojumā Nr.709 </w:t>
      </w:r>
      <w:r>
        <w:rPr>
          <w:rFonts w:ascii="Times New Roman" w:hAnsi="Times New Roman" w:cs="Times New Roman"/>
          <w:sz w:val="18"/>
          <w:szCs w:val="18"/>
        </w:rPr>
        <w:t>“</w:t>
      </w:r>
      <w:r w:rsidRPr="0013064B">
        <w:rPr>
          <w:rFonts w:ascii="Times New Roman" w:hAnsi="Times New Roman" w:cs="Times New Roman"/>
          <w:sz w:val="18"/>
          <w:szCs w:val="18"/>
        </w:rPr>
        <w:t>Par integrēto teritoriālo investīciju specifisko atbalsta mērķu finansējuma kopējo apjomu katram nacionālas nozīmes attīstības centram un kopējiem rezultatīvajiem rādītājiem nacionālas nozīmes attīstības centru grupai</w:t>
      </w:r>
      <w:r>
        <w:rPr>
          <w:rFonts w:ascii="Times New Roman" w:hAnsi="Times New Roman" w:cs="Times New Roman"/>
          <w:sz w:val="18"/>
          <w:szCs w:val="18"/>
        </w:rPr>
        <w:t>”</w:t>
      </w:r>
      <w:r w:rsidRPr="0013064B">
        <w:rPr>
          <w:rFonts w:ascii="Times New Roman" w:hAnsi="Times New Roman" w:cs="Times New Roman"/>
          <w:sz w:val="18"/>
          <w:szCs w:val="18"/>
        </w:rPr>
        <w:t>”</w:t>
      </w:r>
    </w:p>
  </w:footnote>
  <w:footnote w:id="9">
    <w:p w14:paraId="7226BCA3" w14:textId="1A75E03C" w:rsidR="005550C5" w:rsidRPr="0013064B" w:rsidRDefault="005550C5" w:rsidP="0013064B">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w:t>
      </w:r>
      <w:proofErr w:type="spellStart"/>
      <w:r w:rsidRPr="0013064B">
        <w:rPr>
          <w:rFonts w:ascii="Times New Roman" w:hAnsi="Times New Roman" w:cs="Times New Roman"/>
          <w:sz w:val="18"/>
          <w:szCs w:val="18"/>
        </w:rPr>
        <w:t>Virssaistību</w:t>
      </w:r>
      <w:proofErr w:type="spellEnd"/>
      <w:r w:rsidRPr="0013064B">
        <w:rPr>
          <w:rFonts w:ascii="Times New Roman" w:hAnsi="Times New Roman" w:cs="Times New Roman"/>
          <w:sz w:val="18"/>
          <w:szCs w:val="18"/>
        </w:rPr>
        <w:t xml:space="preserve"> sadalījumu projektu un finansējuma saņēmēju līmenī atbilstoši ministriju kā par attiecīgo SAM īstenošanu atbildīgo iestāžu sniegtajai informācijai skatīt informatīvā ziņojuma pielikumā Nr.4 “Eiropas Reģionālās attīstības fonda </w:t>
      </w:r>
      <w:proofErr w:type="spellStart"/>
      <w:r w:rsidRPr="0013064B">
        <w:rPr>
          <w:rFonts w:ascii="Times New Roman" w:hAnsi="Times New Roman" w:cs="Times New Roman"/>
          <w:sz w:val="18"/>
          <w:szCs w:val="18"/>
        </w:rPr>
        <w:t>virssaistību</w:t>
      </w:r>
      <w:proofErr w:type="spellEnd"/>
      <w:r w:rsidRPr="0013064B">
        <w:rPr>
          <w:rFonts w:ascii="Times New Roman" w:hAnsi="Times New Roman" w:cs="Times New Roman"/>
          <w:sz w:val="18"/>
          <w:szCs w:val="18"/>
        </w:rPr>
        <w:t xml:space="preserve"> izlietojums ES fondu 2014.–2020.gada plānošanas periodā, projektu dalījumā, </w:t>
      </w:r>
      <w:proofErr w:type="spellStart"/>
      <w:r w:rsidRPr="0013064B">
        <w:rPr>
          <w:rFonts w:ascii="Times New Roman" w:hAnsi="Times New Roman" w:cs="Times New Roman"/>
          <w:i/>
          <w:sz w:val="18"/>
          <w:szCs w:val="18"/>
        </w:rPr>
        <w:t>euro</w:t>
      </w:r>
      <w:proofErr w:type="spellEnd"/>
      <w:r w:rsidRPr="0013064B">
        <w:rPr>
          <w:rFonts w:ascii="Times New Roman" w:hAnsi="Times New Roman" w:cs="Times New Roman"/>
          <w:sz w:val="18"/>
          <w:szCs w:val="18"/>
        </w:rPr>
        <w:t xml:space="preserve">”. VARAM nesniedza informāciju par </w:t>
      </w:r>
      <w:proofErr w:type="spellStart"/>
      <w:r w:rsidRPr="0013064B">
        <w:rPr>
          <w:rFonts w:ascii="Times New Roman" w:hAnsi="Times New Roman" w:cs="Times New Roman"/>
          <w:sz w:val="18"/>
          <w:szCs w:val="18"/>
        </w:rPr>
        <w:t>virssaistību</w:t>
      </w:r>
      <w:proofErr w:type="spellEnd"/>
      <w:r w:rsidRPr="0013064B">
        <w:rPr>
          <w:rFonts w:ascii="Times New Roman" w:hAnsi="Times New Roman" w:cs="Times New Roman"/>
          <w:sz w:val="18"/>
          <w:szCs w:val="18"/>
        </w:rPr>
        <w:t xml:space="preserve"> piešķīrumu projektu dalījumā, tāpēc pielikumā norādīts kopējais SAM piešķīrums un piešķirtās </w:t>
      </w:r>
      <w:proofErr w:type="spellStart"/>
      <w:r w:rsidRPr="0013064B">
        <w:rPr>
          <w:rFonts w:ascii="Times New Roman" w:hAnsi="Times New Roman" w:cs="Times New Roman"/>
          <w:sz w:val="18"/>
          <w:szCs w:val="18"/>
        </w:rPr>
        <w:t>virssaistības</w:t>
      </w:r>
      <w:proofErr w:type="spellEnd"/>
    </w:p>
  </w:footnote>
  <w:footnote w:id="10">
    <w:p w14:paraId="3711E6CC" w14:textId="77777777" w:rsidR="005550C5" w:rsidRPr="0013064B" w:rsidRDefault="005550C5" w:rsidP="00EF26CA">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2017.gada 28.martā protokols Nr.16 32§, apstiprinot MK noteikumus Nr.174 “Darbības programmas “Izaugsme un nodarbinātība” 5.6.3.specifiskā atbalsta mērķa “Vēsturiski piesārņoto vietu sanācija” īstenošanas noteikumi”. Projektam Nr.5.6.3.0/17/I/001 “Vēsturiski piesārņoto vietu “Inčukalna </w:t>
      </w:r>
      <w:proofErr w:type="spellStart"/>
      <w:r w:rsidRPr="0013064B">
        <w:rPr>
          <w:rFonts w:ascii="Times New Roman" w:hAnsi="Times New Roman" w:cs="Times New Roman"/>
          <w:sz w:val="18"/>
          <w:szCs w:val="18"/>
        </w:rPr>
        <w:t>sērskābā</w:t>
      </w:r>
      <w:proofErr w:type="spellEnd"/>
      <w:r w:rsidRPr="0013064B">
        <w:rPr>
          <w:rFonts w:ascii="Times New Roman" w:hAnsi="Times New Roman" w:cs="Times New Roman"/>
          <w:sz w:val="18"/>
          <w:szCs w:val="18"/>
        </w:rPr>
        <w:t xml:space="preserve"> gudrona dīķi” sanācija, II posms” </w:t>
      </w:r>
      <w:r>
        <w:rPr>
          <w:rFonts w:ascii="Times New Roman" w:hAnsi="Times New Roman" w:cs="Times New Roman"/>
          <w:sz w:val="18"/>
          <w:szCs w:val="18"/>
        </w:rPr>
        <w:t xml:space="preserve">papildus ES fondu </w:t>
      </w:r>
      <w:proofErr w:type="spellStart"/>
      <w:r>
        <w:rPr>
          <w:rFonts w:ascii="Times New Roman" w:hAnsi="Times New Roman" w:cs="Times New Roman"/>
          <w:sz w:val="18"/>
          <w:szCs w:val="18"/>
        </w:rPr>
        <w:t>virssaistībām</w:t>
      </w:r>
      <w:proofErr w:type="spellEnd"/>
      <w:r>
        <w:rPr>
          <w:rFonts w:ascii="Times New Roman" w:hAnsi="Times New Roman" w:cs="Times New Roman"/>
          <w:sz w:val="18"/>
          <w:szCs w:val="18"/>
        </w:rPr>
        <w:t xml:space="preserve"> 13,3 </w:t>
      </w:r>
      <w:proofErr w:type="spellStart"/>
      <w:r>
        <w:rPr>
          <w:rFonts w:ascii="Times New Roman" w:hAnsi="Times New Roman" w:cs="Times New Roman"/>
          <w:sz w:val="18"/>
          <w:szCs w:val="18"/>
        </w:rPr>
        <w:t>milj</w:t>
      </w:r>
      <w:proofErr w:type="spellEnd"/>
      <w:r>
        <w:rPr>
          <w:rFonts w:ascii="Times New Roman" w:hAnsi="Times New Roman" w:cs="Times New Roman"/>
          <w:sz w:val="18"/>
          <w:szCs w:val="18"/>
        </w:rPr>
        <w:t xml:space="preserve">, </w:t>
      </w:r>
      <w:proofErr w:type="spellStart"/>
      <w:r w:rsidRPr="0013064B">
        <w:rPr>
          <w:rFonts w:ascii="Times New Roman" w:hAnsi="Times New Roman" w:cs="Times New Roman"/>
          <w:i/>
          <w:sz w:val="18"/>
          <w:szCs w:val="18"/>
        </w:rPr>
        <w:t>euro</w:t>
      </w:r>
      <w:proofErr w:type="spellEnd"/>
      <w:r>
        <w:rPr>
          <w:rFonts w:ascii="Times New Roman" w:hAnsi="Times New Roman" w:cs="Times New Roman"/>
          <w:sz w:val="18"/>
          <w:szCs w:val="18"/>
        </w:rPr>
        <w:t xml:space="preserve"> </w:t>
      </w:r>
      <w:r w:rsidRPr="0013064B">
        <w:rPr>
          <w:rFonts w:ascii="Times New Roman" w:hAnsi="Times New Roman" w:cs="Times New Roman"/>
          <w:sz w:val="18"/>
          <w:szCs w:val="18"/>
        </w:rPr>
        <w:t xml:space="preserve">piešķirtas arī valsts budžeta </w:t>
      </w:r>
      <w:proofErr w:type="spellStart"/>
      <w:r w:rsidRPr="0013064B">
        <w:rPr>
          <w:rFonts w:ascii="Times New Roman" w:hAnsi="Times New Roman" w:cs="Times New Roman"/>
          <w:sz w:val="18"/>
          <w:szCs w:val="18"/>
        </w:rPr>
        <w:t>virssaistības</w:t>
      </w:r>
      <w:proofErr w:type="spellEnd"/>
      <w:r w:rsidRPr="0013064B">
        <w:rPr>
          <w:rFonts w:ascii="Times New Roman" w:hAnsi="Times New Roman" w:cs="Times New Roman"/>
          <w:sz w:val="18"/>
          <w:szCs w:val="18"/>
        </w:rPr>
        <w:t xml:space="preserve"> </w:t>
      </w:r>
      <w:r>
        <w:rPr>
          <w:rFonts w:ascii="Times New Roman" w:hAnsi="Times New Roman" w:cs="Times New Roman"/>
          <w:sz w:val="18"/>
          <w:szCs w:val="18"/>
        </w:rPr>
        <w:t>0,4 milj.</w:t>
      </w:r>
      <w:r w:rsidRPr="0013064B">
        <w:rPr>
          <w:rFonts w:ascii="Times New Roman" w:hAnsi="Times New Roman" w:cs="Times New Roman"/>
          <w:sz w:val="18"/>
          <w:szCs w:val="18"/>
        </w:rPr>
        <w:t> </w:t>
      </w:r>
      <w:proofErr w:type="spellStart"/>
      <w:r w:rsidRPr="0013064B">
        <w:rPr>
          <w:rFonts w:ascii="Times New Roman" w:hAnsi="Times New Roman" w:cs="Times New Roman"/>
          <w:i/>
          <w:sz w:val="18"/>
          <w:szCs w:val="18"/>
        </w:rPr>
        <w:t>euro</w:t>
      </w:r>
      <w:proofErr w:type="spellEnd"/>
      <w:r w:rsidRPr="0013064B">
        <w:rPr>
          <w:rFonts w:ascii="Times New Roman" w:hAnsi="Times New Roman" w:cs="Times New Roman"/>
          <w:i/>
          <w:sz w:val="18"/>
          <w:szCs w:val="18"/>
        </w:rPr>
        <w:t>.</w:t>
      </w:r>
    </w:p>
  </w:footnote>
  <w:footnote w:id="11">
    <w:p w14:paraId="1AE5C9AC" w14:textId="1C2E3248"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Prognožu sagatavošanai izmantotā ES fondu 2007.–2013.gada plānošanas perioda statistika pieejama informatīvā ziņojuma pielikumā Nr.3 “ES fondu 2007.–2013.gada plānošanas perioda neatbilstību un lauzto līgumu statistika, ES fondu daļa”</w:t>
      </w:r>
    </w:p>
  </w:footnote>
  <w:footnote w:id="12">
    <w:p w14:paraId="00BDD792" w14:textId="22FDF1A7" w:rsidR="005550C5" w:rsidRPr="0013064B" w:rsidRDefault="005550C5">
      <w:pPr>
        <w:jc w:val="both"/>
        <w:rPr>
          <w:rFonts w:cs="Times New Roman"/>
          <w:sz w:val="18"/>
          <w:szCs w:val="18"/>
        </w:rPr>
      </w:pPr>
      <w:r w:rsidRPr="0013064B">
        <w:rPr>
          <w:rStyle w:val="FootnoteReference"/>
          <w:rFonts w:cs="Times New Roman"/>
          <w:sz w:val="18"/>
          <w:szCs w:val="18"/>
        </w:rPr>
        <w:footnoteRef/>
      </w:r>
      <w:r w:rsidRPr="0013064B">
        <w:rPr>
          <w:rFonts w:cs="Times New Roman"/>
          <w:sz w:val="18"/>
          <w:szCs w:val="18"/>
        </w:rPr>
        <w:t xml:space="preserve"> </w:t>
      </w:r>
      <w:r w:rsidRPr="0013064B">
        <w:rPr>
          <w:rStyle w:val="spelle"/>
          <w:rFonts w:cs="Times New Roman"/>
          <w:sz w:val="18"/>
          <w:szCs w:val="18"/>
        </w:rPr>
        <w:t xml:space="preserve">IZM atbildībā skolu reorganizācijas rezultātā pārtraukti profesionālo vidusskolu projekti (51, 2 milj. </w:t>
      </w:r>
      <w:proofErr w:type="spellStart"/>
      <w:r w:rsidRPr="0013064B">
        <w:rPr>
          <w:rStyle w:val="spelle"/>
          <w:rFonts w:cs="Times New Roman"/>
          <w:i/>
          <w:sz w:val="18"/>
          <w:szCs w:val="18"/>
        </w:rPr>
        <w:t>euro</w:t>
      </w:r>
      <w:proofErr w:type="spellEnd"/>
      <w:r w:rsidRPr="0013064B">
        <w:rPr>
          <w:rStyle w:val="spelle"/>
          <w:rFonts w:cs="Times New Roman"/>
          <w:sz w:val="18"/>
          <w:szCs w:val="18"/>
        </w:rPr>
        <w:t xml:space="preserve">); </w:t>
      </w:r>
      <w:r>
        <w:rPr>
          <w:rStyle w:val="spelle"/>
          <w:rFonts w:cs="Times New Roman"/>
          <w:sz w:val="18"/>
          <w:szCs w:val="18"/>
        </w:rPr>
        <w:t>SM</w:t>
      </w:r>
      <w:r w:rsidRPr="0013064B">
        <w:rPr>
          <w:rStyle w:val="spelle"/>
          <w:rFonts w:cs="Times New Roman"/>
          <w:sz w:val="18"/>
          <w:szCs w:val="18"/>
        </w:rPr>
        <w:t xml:space="preserve"> atbildībā pārtraukts A/S “Pasažieru vilciens” projekts (142,4 milj. </w:t>
      </w:r>
      <w:proofErr w:type="spellStart"/>
      <w:r w:rsidRPr="0013064B">
        <w:rPr>
          <w:rStyle w:val="spelle"/>
          <w:rFonts w:cs="Times New Roman"/>
          <w:i/>
          <w:sz w:val="18"/>
          <w:szCs w:val="18"/>
        </w:rPr>
        <w:t>euro</w:t>
      </w:r>
      <w:proofErr w:type="spellEnd"/>
      <w:r w:rsidRPr="0013064B">
        <w:rPr>
          <w:rStyle w:val="spelle"/>
          <w:rFonts w:cs="Times New Roman"/>
          <w:sz w:val="18"/>
          <w:szCs w:val="18"/>
        </w:rPr>
        <w:t>); SM atbildībā pārtraukti projekti un neatbilstības valsts un reģionālo ceļu rekonstrukcijas projektos (205,0 milj. </w:t>
      </w:r>
      <w:proofErr w:type="spellStart"/>
      <w:r w:rsidRPr="0013064B">
        <w:rPr>
          <w:rStyle w:val="spelle"/>
          <w:rFonts w:cs="Times New Roman"/>
          <w:i/>
          <w:sz w:val="18"/>
          <w:szCs w:val="18"/>
        </w:rPr>
        <w:t>euro</w:t>
      </w:r>
      <w:proofErr w:type="spellEnd"/>
      <w:r w:rsidRPr="0013064B">
        <w:rPr>
          <w:rStyle w:val="spelle"/>
          <w:rFonts w:cs="Times New Roman"/>
          <w:sz w:val="18"/>
          <w:szCs w:val="18"/>
        </w:rPr>
        <w:t xml:space="preserve">) (analoģiski SAM jau ir gandrīz noslēgušies t.i. pabeigti projekti 60,2% no piešķīruma, līdz 2020. gada beigām plānots pabeigt 83,9%); Ekonomikas ministrijas (turpmāk – EM) atbildībā pārtraukti projekti augstas pievienotās vērtības investīcijās un ieguldījumiem mikro, maziem un vidējiem komersantiem īpaši atbalstāmajās teritorijās (99,4 milj. </w:t>
      </w:r>
      <w:proofErr w:type="spellStart"/>
      <w:r w:rsidRPr="0013064B">
        <w:rPr>
          <w:rStyle w:val="spelle"/>
          <w:rFonts w:cs="Times New Roman"/>
          <w:i/>
          <w:sz w:val="18"/>
          <w:szCs w:val="18"/>
        </w:rPr>
        <w:t>euro</w:t>
      </w:r>
      <w:proofErr w:type="spellEnd"/>
      <w:r w:rsidRPr="0013064B">
        <w:rPr>
          <w:rStyle w:val="spelle"/>
          <w:rFonts w:cs="Times New Roman"/>
          <w:sz w:val="18"/>
          <w:szCs w:val="18"/>
        </w:rPr>
        <w:t>) (ES fondu 2014.–2020.gada plānošanas periodā netiek sniegts analoģisks atbalsts; EM atbildībā kredītu nepieejamības dēļ pārtraukti daudzdzīvokļu māju energoefektivitātes uzlabošanas projekti (22,4 milj. </w:t>
      </w:r>
      <w:proofErr w:type="spellStart"/>
      <w:r w:rsidRPr="0013064B">
        <w:rPr>
          <w:rStyle w:val="spelle"/>
          <w:rFonts w:cs="Times New Roman"/>
          <w:i/>
          <w:sz w:val="18"/>
          <w:szCs w:val="18"/>
        </w:rPr>
        <w:t>euro</w:t>
      </w:r>
      <w:proofErr w:type="spellEnd"/>
      <w:r w:rsidRPr="0013064B">
        <w:rPr>
          <w:rStyle w:val="spelle"/>
          <w:rFonts w:cs="Times New Roman"/>
          <w:sz w:val="18"/>
          <w:szCs w:val="18"/>
        </w:rPr>
        <w:t xml:space="preserve">); EM atbildībā finanšu instrumenti – EK starpposma revīzijas gala ziņojumā Nr.2011/LV/REGIO/J2/97 konstatēti sistēmiska rakstura neatbilstības (18,1 milj. </w:t>
      </w:r>
      <w:proofErr w:type="spellStart"/>
      <w:r w:rsidRPr="0013064B">
        <w:rPr>
          <w:rStyle w:val="spelle"/>
          <w:rFonts w:cs="Times New Roman"/>
          <w:i/>
          <w:sz w:val="18"/>
          <w:szCs w:val="18"/>
        </w:rPr>
        <w:t>euro</w:t>
      </w:r>
      <w:proofErr w:type="spellEnd"/>
      <w:r w:rsidRPr="0013064B">
        <w:rPr>
          <w:rStyle w:val="spelle"/>
          <w:rFonts w:cs="Times New Roman"/>
          <w:sz w:val="18"/>
          <w:szCs w:val="18"/>
        </w:rPr>
        <w:t>).</w:t>
      </w:r>
    </w:p>
  </w:footnote>
  <w:footnote w:id="13">
    <w:p w14:paraId="7C7685DA" w14:textId="0E12752C"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Skatīt informatīvā ziņojuma pielikumu Nr.2 “Prognoze par ES fondu 2014.–2020.gada plānošanas periodā deklarējamiem izdevumiem, ņemot vērā MK piešķirtās </w:t>
      </w:r>
      <w:proofErr w:type="spellStart"/>
      <w:r w:rsidRPr="0013064B">
        <w:rPr>
          <w:rFonts w:ascii="Times New Roman" w:hAnsi="Times New Roman" w:cs="Times New Roman"/>
          <w:sz w:val="18"/>
          <w:szCs w:val="18"/>
        </w:rPr>
        <w:t>virssaistības</w:t>
      </w:r>
      <w:proofErr w:type="spellEnd"/>
      <w:r w:rsidRPr="0013064B">
        <w:rPr>
          <w:rFonts w:ascii="Times New Roman" w:hAnsi="Times New Roman" w:cs="Times New Roman"/>
          <w:sz w:val="18"/>
          <w:szCs w:val="18"/>
        </w:rPr>
        <w:t xml:space="preserve"> un nacionālās atbalsta likmes (lielāks projektu īstenotāju pašu līdzfinansējums/attiecināmie izdevumi nekā minimāli nepieciešams/plānots darbības programmā)”</w:t>
      </w:r>
    </w:p>
  </w:footnote>
  <w:footnote w:id="14">
    <w:p w14:paraId="0C12A09D" w14:textId="1C4EDAE4"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Skatīt informatīvā ziņojuma pielikumu Nr.2 “Prognoze par ES fondu 2014.–2020.gada plānošanas periodā deklarējamiem izdevumiem, ņemot vērā MK piešķirtās </w:t>
      </w:r>
      <w:proofErr w:type="spellStart"/>
      <w:r w:rsidRPr="0013064B">
        <w:rPr>
          <w:rFonts w:ascii="Times New Roman" w:hAnsi="Times New Roman" w:cs="Times New Roman"/>
          <w:sz w:val="18"/>
          <w:szCs w:val="18"/>
        </w:rPr>
        <w:t>virssaistības</w:t>
      </w:r>
      <w:proofErr w:type="spellEnd"/>
      <w:r w:rsidRPr="0013064B">
        <w:rPr>
          <w:rFonts w:ascii="Times New Roman" w:hAnsi="Times New Roman" w:cs="Times New Roman"/>
          <w:sz w:val="18"/>
          <w:szCs w:val="18"/>
        </w:rPr>
        <w:t xml:space="preserve"> un nacionālās atbalsta likmes (lielāks projektu īstenotāju pašu līdzfinansējums/attiecināmie izdevumi nekā minimāli nepieciešams/plānots darbības programmā)”</w:t>
      </w:r>
    </w:p>
  </w:footnote>
  <w:footnote w:id="15">
    <w:p w14:paraId="383AAA60" w14:textId="55394209"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2019.gada 17.septembra </w:t>
      </w:r>
      <w:proofErr w:type="spellStart"/>
      <w:r w:rsidRPr="0013064B">
        <w:rPr>
          <w:rFonts w:ascii="Times New Roman" w:hAnsi="Times New Roman" w:cs="Times New Roman"/>
          <w:sz w:val="18"/>
          <w:szCs w:val="18"/>
        </w:rPr>
        <w:t>protokollēmuma</w:t>
      </w:r>
      <w:proofErr w:type="spellEnd"/>
      <w:r w:rsidRPr="0013064B">
        <w:rPr>
          <w:rFonts w:ascii="Times New Roman" w:hAnsi="Times New Roman" w:cs="Times New Roman"/>
          <w:sz w:val="18"/>
          <w:szCs w:val="18"/>
        </w:rPr>
        <w:t xml:space="preserve"> Nr.42 34.§ “Informatīvais ziņojums “Par prioritārajiem pasākumiem valsts budžetam 2020.gadam un ietvaram 2020.–2022.gadam”” 14.p. </w:t>
      </w:r>
    </w:p>
  </w:footnote>
  <w:footnote w:id="16">
    <w:p w14:paraId="3FF499E2" w14:textId="636DFADB" w:rsidR="005550C5" w:rsidRPr="0013064B" w:rsidRDefault="005550C5">
      <w:pPr>
        <w:jc w:val="both"/>
        <w:rPr>
          <w:rFonts w:cs="Times New Roman"/>
          <w:sz w:val="18"/>
          <w:szCs w:val="18"/>
        </w:rPr>
      </w:pPr>
      <w:r w:rsidRPr="0013064B">
        <w:rPr>
          <w:rStyle w:val="FootnoteReference"/>
          <w:rFonts w:cs="Times New Roman"/>
          <w:sz w:val="18"/>
          <w:szCs w:val="18"/>
        </w:rPr>
        <w:footnoteRef/>
      </w:r>
      <w:r w:rsidRPr="0013064B">
        <w:rPr>
          <w:rFonts w:cs="Times New Roman"/>
          <w:sz w:val="18"/>
          <w:szCs w:val="18"/>
        </w:rPr>
        <w:t xml:space="preserve"> </w:t>
      </w:r>
      <w:r w:rsidRPr="0013064B">
        <w:rPr>
          <w:rStyle w:val="spelle"/>
          <w:rFonts w:cs="Times New Roman"/>
          <w:sz w:val="18"/>
          <w:szCs w:val="18"/>
        </w:rPr>
        <w:t>EK pieprasāmo maksājumu rezerve, ja tiek ņemtas vērā provizoriskās neatbilstības un lauztie līgumi – ERAF 153 milj. </w:t>
      </w:r>
      <w:proofErr w:type="spellStart"/>
      <w:r w:rsidRPr="0013064B">
        <w:rPr>
          <w:rStyle w:val="spelle"/>
          <w:rFonts w:cs="Times New Roman"/>
          <w:i/>
          <w:sz w:val="18"/>
          <w:szCs w:val="18"/>
        </w:rPr>
        <w:t>euro</w:t>
      </w:r>
      <w:proofErr w:type="spellEnd"/>
      <w:r w:rsidRPr="0013064B">
        <w:rPr>
          <w:rStyle w:val="spelle"/>
          <w:rFonts w:cs="Times New Roman"/>
          <w:i/>
          <w:sz w:val="18"/>
          <w:szCs w:val="18"/>
        </w:rPr>
        <w:t xml:space="preserve"> </w:t>
      </w:r>
      <w:r w:rsidRPr="0013064B">
        <w:rPr>
          <w:rStyle w:val="spelle"/>
          <w:rFonts w:cs="Times New Roman"/>
          <w:sz w:val="18"/>
          <w:szCs w:val="18"/>
        </w:rPr>
        <w:t xml:space="preserve">(ja tiek dzēstas </w:t>
      </w:r>
      <w:proofErr w:type="spellStart"/>
      <w:r w:rsidRPr="0013064B">
        <w:rPr>
          <w:rStyle w:val="spelle"/>
          <w:rFonts w:cs="Times New Roman"/>
          <w:sz w:val="18"/>
          <w:szCs w:val="18"/>
        </w:rPr>
        <w:t>virssaistības</w:t>
      </w:r>
      <w:proofErr w:type="spellEnd"/>
      <w:r w:rsidRPr="0013064B">
        <w:rPr>
          <w:rStyle w:val="spelle"/>
          <w:rFonts w:cs="Times New Roman"/>
          <w:sz w:val="18"/>
          <w:szCs w:val="18"/>
        </w:rPr>
        <w:t>, rezerve 87 milj. </w:t>
      </w:r>
      <w:proofErr w:type="spellStart"/>
      <w:r w:rsidRPr="0013064B">
        <w:rPr>
          <w:rStyle w:val="spelle"/>
          <w:rFonts w:cs="Times New Roman"/>
          <w:i/>
          <w:sz w:val="18"/>
          <w:szCs w:val="18"/>
        </w:rPr>
        <w:t>euro</w:t>
      </w:r>
      <w:proofErr w:type="spellEnd"/>
      <w:r w:rsidRPr="0013064B">
        <w:rPr>
          <w:rStyle w:val="spelle"/>
          <w:rFonts w:cs="Times New Roman"/>
          <w:sz w:val="18"/>
          <w:szCs w:val="18"/>
        </w:rPr>
        <w:t>)</w:t>
      </w:r>
      <w:r w:rsidRPr="0013064B">
        <w:rPr>
          <w:rStyle w:val="spelle"/>
          <w:rFonts w:cs="Times New Roman"/>
          <w:i/>
          <w:sz w:val="18"/>
          <w:szCs w:val="18"/>
        </w:rPr>
        <w:t xml:space="preserve">, </w:t>
      </w:r>
      <w:r w:rsidRPr="0013064B">
        <w:rPr>
          <w:rStyle w:val="spelle"/>
          <w:rFonts w:cs="Times New Roman"/>
          <w:sz w:val="18"/>
          <w:szCs w:val="18"/>
        </w:rPr>
        <w:t>ESF 13 milj. </w:t>
      </w:r>
      <w:proofErr w:type="spellStart"/>
      <w:r w:rsidRPr="0013064B">
        <w:rPr>
          <w:rStyle w:val="spelle"/>
          <w:rFonts w:cs="Times New Roman"/>
          <w:i/>
          <w:sz w:val="18"/>
          <w:szCs w:val="18"/>
        </w:rPr>
        <w:t>euro</w:t>
      </w:r>
      <w:proofErr w:type="spellEnd"/>
      <w:r w:rsidRPr="0013064B">
        <w:rPr>
          <w:rStyle w:val="spelle"/>
          <w:rFonts w:cs="Times New Roman"/>
          <w:i/>
          <w:sz w:val="18"/>
          <w:szCs w:val="18"/>
        </w:rPr>
        <w:t xml:space="preserve">, </w:t>
      </w:r>
      <w:r w:rsidRPr="0013064B">
        <w:rPr>
          <w:rStyle w:val="spelle"/>
          <w:rFonts w:cs="Times New Roman"/>
          <w:sz w:val="18"/>
          <w:szCs w:val="18"/>
        </w:rPr>
        <w:t>KF 59 milj. </w:t>
      </w:r>
      <w:proofErr w:type="spellStart"/>
      <w:r w:rsidRPr="0013064B">
        <w:rPr>
          <w:rStyle w:val="spelle"/>
          <w:rFonts w:cs="Times New Roman"/>
          <w:i/>
          <w:sz w:val="18"/>
          <w:szCs w:val="18"/>
        </w:rPr>
        <w:t>euro</w:t>
      </w:r>
      <w:proofErr w:type="spellEnd"/>
      <w:r w:rsidRPr="0013064B">
        <w:rPr>
          <w:rStyle w:val="spelle"/>
          <w:rFonts w:cs="Times New Roman"/>
          <w:sz w:val="18"/>
          <w:szCs w:val="18"/>
        </w:rPr>
        <w:t xml:space="preserve">. </w:t>
      </w:r>
    </w:p>
  </w:footnote>
  <w:footnote w:id="17">
    <w:p w14:paraId="3D0374FD" w14:textId="0F05956E"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atceļ padomes regulu (EK) Nr.1083/2006, pieejama: </w:t>
      </w:r>
      <w:hyperlink r:id="rId1" w:history="1">
        <w:r w:rsidRPr="0013064B">
          <w:rPr>
            <w:rStyle w:val="Hyperlink"/>
            <w:rFonts w:ascii="Times New Roman" w:hAnsi="Times New Roman" w:cs="Times New Roman"/>
            <w:sz w:val="18"/>
            <w:szCs w:val="18"/>
          </w:rPr>
          <w:t>http://eur-lex.</w:t>
        </w:r>
        <w:r w:rsidRPr="0013064B">
          <w:rPr>
            <w:rStyle w:val="Hyperlink"/>
            <w:rFonts w:ascii="Times New Roman" w:hAnsi="Times New Roman" w:cs="Times New Roman"/>
            <w:i/>
            <w:sz w:val="18"/>
            <w:szCs w:val="18"/>
          </w:rPr>
          <w:t>euro</w:t>
        </w:r>
        <w:r w:rsidRPr="0013064B">
          <w:rPr>
            <w:rStyle w:val="Hyperlink"/>
            <w:rFonts w:ascii="Times New Roman" w:hAnsi="Times New Roman" w:cs="Times New Roman"/>
            <w:sz w:val="18"/>
            <w:szCs w:val="18"/>
          </w:rPr>
          <w:t>pa.eu/legal-content/LV/TXT/?qid=1421583712511&amp;uri=CELEX:32013R1303</w:t>
        </w:r>
      </w:hyperlink>
    </w:p>
  </w:footnote>
  <w:footnote w:id="18">
    <w:p w14:paraId="48ABE4C0" w14:textId="77777777"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EK 2018.gada 19.jūnija vadlīnijas par snieguma ietvara izpildi, pieejamas: </w:t>
      </w:r>
      <w:hyperlink r:id="rId2" w:history="1">
        <w:r w:rsidRPr="0013064B">
          <w:rPr>
            <w:rStyle w:val="Hyperlink"/>
            <w:rFonts w:ascii="Times New Roman" w:hAnsi="Times New Roman" w:cs="Times New Roman"/>
            <w:sz w:val="18"/>
            <w:szCs w:val="18"/>
          </w:rPr>
          <w:t>https://www.esfondi.lv/vadlinijas--skaidrojumi</w:t>
        </w:r>
      </w:hyperlink>
      <w:r w:rsidRPr="0013064B">
        <w:rPr>
          <w:rFonts w:ascii="Times New Roman" w:hAnsi="Times New Roman" w:cs="Times New Roman"/>
          <w:sz w:val="18"/>
          <w:szCs w:val="18"/>
        </w:rPr>
        <w:t xml:space="preserve"> (skat. 9.3.punktu)</w:t>
      </w:r>
    </w:p>
  </w:footnote>
  <w:footnote w:id="19">
    <w:p w14:paraId="05738799" w14:textId="77777777"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Lai uzlabotu snieguma ietvara sasniegšanu un minimizētu snieguma ietvara rezerves zaudēšanu 2018.gadā, EK (1) apstiprināja vadlīnijas, kas atļauj snieguma ietvara izpildes datos iekļaut ne tikai līdz 2018.gada beigām EK deklarētos izdevumus, bet arī finansējuma saņēmēja veiktos atbilstīgos izdevumus līdz 2018.gada 31.decembrim, ja tie tiks deklarēti EK līdz 2019.gada 30.jūnijam un (2) pieņēma grozījumus Īstenošanas regulā (ES) Nr.215/2014, atļaujot dalībvalstīm ziņot tādas iznākumu rādītāju vērtības, kas attiecas uz daļēji pabeigtām darbībām.</w:t>
      </w:r>
    </w:p>
  </w:footnote>
  <w:footnote w:id="20">
    <w:p w14:paraId="6DB91D50" w14:textId="77777777"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2018.gada 23.janvāra sēdes </w:t>
      </w:r>
      <w:proofErr w:type="spellStart"/>
      <w:r w:rsidRPr="0013064B">
        <w:rPr>
          <w:rFonts w:ascii="Times New Roman" w:hAnsi="Times New Roman" w:cs="Times New Roman"/>
          <w:sz w:val="18"/>
          <w:szCs w:val="18"/>
        </w:rPr>
        <w:t>protokollēmums</w:t>
      </w:r>
      <w:proofErr w:type="spellEnd"/>
      <w:r w:rsidRPr="0013064B">
        <w:rPr>
          <w:rFonts w:ascii="Times New Roman" w:hAnsi="Times New Roman" w:cs="Times New Roman"/>
          <w:sz w:val="18"/>
          <w:szCs w:val="18"/>
        </w:rPr>
        <w:t xml:space="preserve"> Nr.5,  40.§ “</w:t>
      </w:r>
      <w:r w:rsidRPr="0013064B">
        <w:rPr>
          <w:rFonts w:ascii="Times New Roman" w:eastAsia="Times New Roman" w:hAnsi="Times New Roman" w:cs="Times New Roman"/>
          <w:sz w:val="18"/>
          <w:szCs w:val="18"/>
          <w:lang w:eastAsia="lv-LV"/>
        </w:rPr>
        <w:t xml:space="preserve">Noteikumu projekts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w:t>
      </w:r>
      <w:r w:rsidRPr="0013064B">
        <w:rPr>
          <w:rFonts w:ascii="Times New Roman" w:hAnsi="Times New Roman" w:cs="Times New Roman"/>
          <w:sz w:val="18"/>
          <w:szCs w:val="18"/>
          <w:lang w:eastAsia="lv-LV"/>
        </w:rPr>
        <w:t xml:space="preserve">MK 2018.gada 8.maija </w:t>
      </w:r>
      <w:proofErr w:type="spellStart"/>
      <w:r w:rsidRPr="0013064B">
        <w:rPr>
          <w:rFonts w:ascii="Times New Roman" w:hAnsi="Times New Roman" w:cs="Times New Roman"/>
          <w:sz w:val="18"/>
          <w:szCs w:val="18"/>
          <w:lang w:eastAsia="lv-LV"/>
        </w:rPr>
        <w:t>protokollēmums</w:t>
      </w:r>
      <w:proofErr w:type="spellEnd"/>
      <w:r w:rsidRPr="0013064B">
        <w:rPr>
          <w:rFonts w:ascii="Times New Roman" w:hAnsi="Times New Roman" w:cs="Times New Roman"/>
          <w:sz w:val="18"/>
          <w:szCs w:val="18"/>
          <w:lang w:eastAsia="lv-LV"/>
        </w:rPr>
        <w:t xml:space="preserve"> Nr.23, 12.§ “</w:t>
      </w:r>
      <w:r w:rsidRPr="0013064B">
        <w:rPr>
          <w:rFonts w:ascii="Times New Roman" w:eastAsia="Times New Roman" w:hAnsi="Times New Roman" w:cs="Times New Roman"/>
          <w:sz w:val="18"/>
          <w:szCs w:val="18"/>
          <w:lang w:eastAsia="lv-LV"/>
        </w:rPr>
        <w:t>Noteikumu projekts “Grozījumi Ministru kabineta 2016.gada 9.februāra noteikumos Nr.101 “Darbības programmas “Izaugsme un nodarbinātība” 6.3.1.specifiskā atbalsta mērķa “Palielināt reģionālo mobilitāti, uzlabojot valsts reģionālo autoceļu kvalitāti” īstenošanas noteikumi””</w:t>
      </w:r>
      <w:r w:rsidRPr="0013064B">
        <w:rPr>
          <w:rFonts w:ascii="Times New Roman" w:hAnsi="Times New Roman" w:cs="Times New Roman"/>
          <w:sz w:val="18"/>
          <w:szCs w:val="18"/>
          <w:lang w:eastAsia="lv-LV"/>
        </w:rPr>
        <w:t xml:space="preserve">”; </w:t>
      </w:r>
      <w:r w:rsidRPr="0013064B">
        <w:rPr>
          <w:rFonts w:ascii="Times New Roman" w:hAnsi="Times New Roman" w:cs="Times New Roman"/>
          <w:sz w:val="18"/>
          <w:szCs w:val="18"/>
        </w:rPr>
        <w:t xml:space="preserve">MK 2018.gada 19.jūnija sēdes </w:t>
      </w:r>
      <w:proofErr w:type="spellStart"/>
      <w:r w:rsidRPr="0013064B">
        <w:rPr>
          <w:rFonts w:ascii="Times New Roman" w:hAnsi="Times New Roman" w:cs="Times New Roman"/>
          <w:sz w:val="18"/>
          <w:szCs w:val="18"/>
        </w:rPr>
        <w:t>protokollēmums</w:t>
      </w:r>
      <w:proofErr w:type="spellEnd"/>
      <w:r w:rsidRPr="0013064B">
        <w:rPr>
          <w:rFonts w:ascii="Times New Roman" w:hAnsi="Times New Roman" w:cs="Times New Roman"/>
          <w:sz w:val="18"/>
          <w:szCs w:val="18"/>
        </w:rPr>
        <w:t xml:space="preserve"> Nr.29, 23.§ “</w:t>
      </w:r>
      <w:r w:rsidRPr="0013064B">
        <w:rPr>
          <w:rFonts w:ascii="Times New Roman" w:eastAsia="Times New Roman" w:hAnsi="Times New Roman" w:cs="Times New Roman"/>
          <w:sz w:val="18"/>
          <w:szCs w:val="18"/>
          <w:lang w:eastAsia="lv-LV"/>
        </w:rPr>
        <w:t>Noteikumu projekts “Grozījumi Ministru kabineta 2015.gada 19.maija noteikumos Nr.243 “Darbības programmas “Izaugsme un nodarbinātība” 6.1.5.specifiskā atbalsta mērķa “Valsts galveno autoceļu segu pārbūve, nestspējas palielināšana" īstenošanas noteikumi””</w:t>
      </w:r>
      <w:r w:rsidRPr="0013064B">
        <w:rPr>
          <w:rFonts w:ascii="Times New Roman" w:hAnsi="Times New Roman" w:cs="Times New Roman"/>
          <w:sz w:val="18"/>
          <w:szCs w:val="18"/>
        </w:rPr>
        <w:t xml:space="preserve">”; </w:t>
      </w:r>
      <w:r w:rsidRPr="0013064B">
        <w:rPr>
          <w:rFonts w:ascii="Times New Roman" w:eastAsia="Times New Roman" w:hAnsi="Times New Roman" w:cs="Times New Roman"/>
          <w:sz w:val="18"/>
          <w:szCs w:val="18"/>
          <w:lang w:eastAsia="lv-LV"/>
        </w:rPr>
        <w:t xml:space="preserve">MK </w:t>
      </w:r>
      <w:r w:rsidRPr="0013064B">
        <w:rPr>
          <w:rFonts w:ascii="Times New Roman" w:hAnsi="Times New Roman" w:cs="Times New Roman"/>
          <w:sz w:val="18"/>
          <w:szCs w:val="18"/>
        </w:rPr>
        <w:t xml:space="preserve">2018.gada 16.oktobra </w:t>
      </w:r>
      <w:proofErr w:type="spellStart"/>
      <w:r w:rsidRPr="0013064B">
        <w:rPr>
          <w:rFonts w:ascii="Times New Roman" w:hAnsi="Times New Roman" w:cs="Times New Roman"/>
          <w:sz w:val="18"/>
          <w:szCs w:val="18"/>
        </w:rPr>
        <w:t>protokollēmums</w:t>
      </w:r>
      <w:proofErr w:type="spellEnd"/>
      <w:r w:rsidRPr="0013064B">
        <w:rPr>
          <w:rFonts w:ascii="Times New Roman" w:hAnsi="Times New Roman" w:cs="Times New Roman"/>
          <w:sz w:val="18"/>
          <w:szCs w:val="18"/>
        </w:rPr>
        <w:t xml:space="preserve"> Nr.48, 31.§ “</w:t>
      </w:r>
      <w:r w:rsidRPr="0013064B">
        <w:rPr>
          <w:rFonts w:ascii="Times New Roman" w:hAnsi="Times New Roman" w:cs="Times New Roman"/>
          <w:bCs/>
          <w:sz w:val="18"/>
          <w:szCs w:val="18"/>
          <w:lang w:eastAsia="lv-LV"/>
        </w:rPr>
        <w:t xml:space="preserve">Informatīvais ziņojums “Par publiskā līdzfinansējuma nodrošināšanu projekta “Baltijas </w:t>
      </w:r>
      <w:proofErr w:type="spellStart"/>
      <w:r w:rsidRPr="0013064B">
        <w:rPr>
          <w:rFonts w:ascii="Times New Roman" w:hAnsi="Times New Roman" w:cs="Times New Roman"/>
          <w:bCs/>
          <w:sz w:val="18"/>
          <w:szCs w:val="18"/>
          <w:lang w:eastAsia="lv-LV"/>
        </w:rPr>
        <w:t>Biomateriālu</w:t>
      </w:r>
      <w:proofErr w:type="spellEnd"/>
      <w:r w:rsidRPr="0013064B">
        <w:rPr>
          <w:rFonts w:ascii="Times New Roman" w:hAnsi="Times New Roman" w:cs="Times New Roman"/>
          <w:bCs/>
          <w:sz w:val="18"/>
          <w:szCs w:val="18"/>
          <w:lang w:eastAsia="lv-LV"/>
        </w:rPr>
        <w:t xml:space="preserve"> ekselences centrs” īstenošanai”</w:t>
      </w:r>
      <w:r w:rsidRPr="0013064B">
        <w:rPr>
          <w:rFonts w:ascii="Times New Roman" w:hAnsi="Times New Roman" w:cs="Times New Roman"/>
          <w:sz w:val="18"/>
          <w:szCs w:val="18"/>
        </w:rPr>
        <w:t>”.</w:t>
      </w:r>
    </w:p>
  </w:footnote>
  <w:footnote w:id="21">
    <w:p w14:paraId="3C25B6FF" w14:textId="77777777"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Detalizēta informācija par rādītāju vērtību sasniegšanas progresu ir ietverta gada ziņojumā par darbības programmas īstenošanu 2018.gadā, kas 2019.gada 30.jūnijā tika iesniegts EK. Pieejams: </w:t>
      </w:r>
      <w:hyperlink r:id="rId3" w:history="1">
        <w:r w:rsidRPr="0013064B">
          <w:rPr>
            <w:rStyle w:val="Hyperlink"/>
            <w:rFonts w:ascii="Times New Roman" w:hAnsi="Times New Roman" w:cs="Times New Roman"/>
            <w:sz w:val="18"/>
            <w:szCs w:val="18"/>
          </w:rPr>
          <w:t>https://www.esfondi.lv/gadskartejie-ieviesanas-zinojumi</w:t>
        </w:r>
      </w:hyperlink>
      <w:r w:rsidRPr="0013064B">
        <w:rPr>
          <w:rFonts w:ascii="Times New Roman" w:hAnsi="Times New Roman" w:cs="Times New Roman"/>
          <w:sz w:val="18"/>
          <w:szCs w:val="18"/>
        </w:rPr>
        <w:t xml:space="preserve"> </w:t>
      </w:r>
    </w:p>
  </w:footnote>
  <w:footnote w:id="22">
    <w:p w14:paraId="46DC2DCF" w14:textId="35101B6D"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T.sk. 4.prioritārajā virzienā (ERAF) EM, 5.prioritārajā virzienā (ERAF) VARAM, 7.un 9.prioritārajā virzienā (ESF un JNI) Labklājības ministrija, 8.prioritārajā virzienā (ESF) IZM un 9.prioritārajā virzienā (ERAF) Veselības ministrija.</w:t>
      </w:r>
    </w:p>
  </w:footnote>
  <w:footnote w:id="23">
    <w:p w14:paraId="3EA888F0" w14:textId="4EC477BF"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EK 2019.gada 16.augusta īstenošanas lēmums </w:t>
      </w:r>
      <w:proofErr w:type="spellStart"/>
      <w:r w:rsidRPr="0013064B">
        <w:rPr>
          <w:rFonts w:ascii="Times New Roman" w:hAnsi="Times New Roman" w:cs="Times New Roman"/>
          <w:sz w:val="18"/>
          <w:szCs w:val="18"/>
        </w:rPr>
        <w:t>Nr.C</w:t>
      </w:r>
      <w:proofErr w:type="spellEnd"/>
      <w:r w:rsidRPr="0013064B">
        <w:rPr>
          <w:rFonts w:ascii="Times New Roman" w:hAnsi="Times New Roman" w:cs="Times New Roman"/>
          <w:sz w:val="18"/>
          <w:szCs w:val="18"/>
        </w:rPr>
        <w:t>(2019)6153 par darbības programmas starpposma mērķu sasniegšanu</w:t>
      </w:r>
      <w:r>
        <w:rPr>
          <w:rFonts w:ascii="Times New Roman" w:hAnsi="Times New Roman" w:cs="Times New Roman"/>
          <w:sz w:val="18"/>
          <w:szCs w:val="18"/>
        </w:rPr>
        <w:t>.</w:t>
      </w:r>
    </w:p>
  </w:footnote>
  <w:footnote w:id="24">
    <w:p w14:paraId="7980C705" w14:textId="662CE325"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w:t>
      </w:r>
      <w:r>
        <w:rPr>
          <w:rFonts w:ascii="Times New Roman" w:hAnsi="Times New Roman" w:cs="Times New Roman"/>
          <w:sz w:val="18"/>
          <w:szCs w:val="18"/>
        </w:rPr>
        <w:t xml:space="preserve">T.i. nenokontraktētais </w:t>
      </w:r>
      <w:r w:rsidRPr="0013064B">
        <w:rPr>
          <w:rFonts w:ascii="Times New Roman" w:hAnsi="Times New Roman" w:cs="Times New Roman"/>
          <w:sz w:val="18"/>
          <w:szCs w:val="18"/>
        </w:rPr>
        <w:t>ES fondu finansējums, kas nav nokontraktēts līgumos/vienošanās par projektu īstenošanu, nav apstiprinātos, iesniegtos projektos (dati uz 2019.gada 11.septembri).</w:t>
      </w:r>
      <w:r>
        <w:rPr>
          <w:rFonts w:ascii="Times New Roman" w:hAnsi="Times New Roman" w:cs="Times New Roman"/>
          <w:sz w:val="18"/>
          <w:szCs w:val="18"/>
        </w:rPr>
        <w:t xml:space="preserve"> Atsevišķos gadījumos kā finansējuma atlikums norādīts arī finansējums, kas potenciāli tiks atbrīvots esošos projektos</w:t>
      </w:r>
      <w:r w:rsidRPr="006A10E2">
        <w:t xml:space="preserve"> </w:t>
      </w:r>
      <w:r>
        <w:t>(</w:t>
      </w:r>
      <w:r w:rsidRPr="006A10E2">
        <w:rPr>
          <w:rFonts w:ascii="Times New Roman" w:hAnsi="Times New Roman" w:cs="Times New Roman"/>
          <w:sz w:val="18"/>
          <w:szCs w:val="18"/>
        </w:rPr>
        <w:t>atbilstoši AI sniegtajai informācijai</w:t>
      </w:r>
      <w:r>
        <w:rPr>
          <w:rFonts w:ascii="Times New Roman" w:hAnsi="Times New Roman" w:cs="Times New Roman"/>
          <w:sz w:val="18"/>
          <w:szCs w:val="18"/>
        </w:rPr>
        <w:t>) un par ko attiecīgi sniegti priekšlikumi pārdalēm.</w:t>
      </w:r>
    </w:p>
  </w:footnote>
  <w:footnote w:id="25">
    <w:p w14:paraId="6F5E6855" w14:textId="148AFE16" w:rsidR="005550C5" w:rsidRPr="0013064B" w:rsidRDefault="005550C5">
      <w:pPr>
        <w:pStyle w:val="FootnoteText"/>
        <w:jc w:val="both"/>
        <w:rPr>
          <w:rFonts w:ascii="Times New Roman" w:hAnsi="Times New Roman" w:cs="Times New Roman"/>
          <w:sz w:val="18"/>
          <w:szCs w:val="18"/>
        </w:rPr>
      </w:pPr>
      <w:r w:rsidRPr="0013064B">
        <w:rPr>
          <w:rFonts w:ascii="Times New Roman" w:hAnsi="Times New Roman" w:cs="Times New Roman"/>
          <w:sz w:val="18"/>
          <w:szCs w:val="18"/>
          <w:vertAlign w:val="superscript"/>
        </w:rPr>
        <w:footnoteRef/>
      </w:r>
      <w:r w:rsidRPr="0013064B">
        <w:rPr>
          <w:rFonts w:ascii="Times New Roman" w:hAnsi="Times New Roman" w:cs="Times New Roman"/>
          <w:sz w:val="18"/>
          <w:szCs w:val="18"/>
        </w:rPr>
        <w:t xml:space="preserve"> Dati uz 2019.gada 11.septembri.</w:t>
      </w:r>
    </w:p>
  </w:footnote>
  <w:footnote w:id="26">
    <w:p w14:paraId="6648F76C" w14:textId="17BFF0E7"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Atbilstoši Eiropas Parlamenta un Padomes Regula (ES) Nr.1301/2013 (2013.gada 17.decembris) par Eiropas Reģionālās attīstības fondu un īpašiem noteikumiem attiecībā uz mērķi “Investīcijas izaugsmei un nodarbinātībai” un ar ko atceļ Regulu (EK) Nr.1080/2006 4. panta c) punktā noteiktajam, 1.–4.tematiskā mērķa ietvaros ir jānodrošina 50,0 % no visa ERAF finansējuma, t.sk. īpaši 4.tematiskajam mērķim “Atbalstīt pāreju uz ekonomiku ar zemu oglekļa emisijas līmeni visās nozarēs” jānovirza 12,0 % no visa ERAF finansējuma. Atbilstoši Eiropas Parlamenta un Padomes Regula (ES) Nr.1304/2013 (2013.gada 17.decembris), par Eiropas Sociālo fondu un ar ko atceļ Padomes Regulu (EK) Nr.1081/2006, 4.panta 2.punktā noteiktajam vismaz 20% no kopējiem ESF resursiem katrā dalībvalstī piešķir 9.tematiskajam mērķim “Sociālās </w:t>
      </w:r>
      <w:proofErr w:type="spellStart"/>
      <w:r w:rsidRPr="0013064B">
        <w:rPr>
          <w:rFonts w:ascii="Times New Roman" w:hAnsi="Times New Roman" w:cs="Times New Roman"/>
          <w:sz w:val="18"/>
          <w:szCs w:val="18"/>
        </w:rPr>
        <w:t>iekļautības</w:t>
      </w:r>
      <w:proofErr w:type="spellEnd"/>
      <w:r w:rsidRPr="0013064B">
        <w:rPr>
          <w:rFonts w:ascii="Times New Roman" w:hAnsi="Times New Roman" w:cs="Times New Roman"/>
          <w:sz w:val="18"/>
          <w:szCs w:val="18"/>
        </w:rPr>
        <w:t xml:space="preserve"> veicināšana un cīņa ar nabadzību un jebkāda veida diskrimināciju”. Atbilstoši Eiropas Parlamenta un Padomes Regula (ES) Nr.1304/2013 (2013.gada 17.decembris), par Eiropas Sociālo fondu un ar ko atceļ Padomes Regulu (EK) Nr.1081/2006, 4.panta 3.punktā c)apakšpunktā noteiktajam mazāk attīstītiem reģioniem dalībvalstis koncentrē vismaz 60% no piešķirtā ESF atbalsta katrai darbības programmai ne vairāk kā piecās no 3.panta 1.punktā noteiktajām investīciju prioritātēm.</w:t>
      </w:r>
    </w:p>
  </w:footnote>
  <w:footnote w:id="27">
    <w:p w14:paraId="7A128D29" w14:textId="3FAC3E91"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T.sk. arī, ņemot vērā MK 13.09.2019.lēmumu (Prot.Nr.41. 1.§), kas paredz 6.1.3.2.pasākuma finansējumu un 6.1.3.2.pasākuma finansējuma atlikumu pārdalīt, attiecīgais finansējums atspoguļots pie faktiski brīvajiem/pārdalāmajiem atlikumiem.</w:t>
      </w:r>
    </w:p>
  </w:footnote>
  <w:footnote w:id="28">
    <w:p w14:paraId="3CAFD422" w14:textId="39898238"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2019.gada 13.septembra sēdes </w:t>
      </w:r>
      <w:proofErr w:type="spellStart"/>
      <w:r w:rsidRPr="0013064B">
        <w:rPr>
          <w:rFonts w:ascii="Times New Roman" w:hAnsi="Times New Roman" w:cs="Times New Roman"/>
          <w:sz w:val="18"/>
          <w:szCs w:val="18"/>
        </w:rPr>
        <w:t>protokollēmums</w:t>
      </w:r>
      <w:proofErr w:type="spellEnd"/>
      <w:r w:rsidRPr="0013064B">
        <w:rPr>
          <w:rFonts w:ascii="Times New Roman" w:hAnsi="Times New Roman" w:cs="Times New Roman"/>
          <w:sz w:val="18"/>
          <w:szCs w:val="18"/>
        </w:rPr>
        <w:t xml:space="preserve"> Nr.41. 1.</w:t>
      </w:r>
      <w:r w:rsidRPr="0013064B">
        <w:rPr>
          <w:rFonts w:ascii="Times New Roman" w:hAnsi="Times New Roman" w:cs="Times New Roman"/>
          <w:bCs/>
          <w:sz w:val="18"/>
          <w:szCs w:val="18"/>
        </w:rPr>
        <w:t>§</w:t>
      </w:r>
      <w:r w:rsidRPr="0013064B">
        <w:rPr>
          <w:rFonts w:ascii="Times New Roman" w:hAnsi="Times New Roman" w:cs="Times New Roman"/>
          <w:sz w:val="18"/>
          <w:szCs w:val="18"/>
        </w:rPr>
        <w:t xml:space="preserve"> “Informatīvais ziņojums “Par fiskālās telpas pasākumiem un izdevumiem prioritārajiem pasākumiem valsts budžetam 2020.gadam un ietvaram 2020.–2022.gadam””.</w:t>
      </w:r>
    </w:p>
  </w:footnote>
  <w:footnote w:id="29">
    <w:p w14:paraId="34176EFE" w14:textId="6232BAD1"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Saskaņā ar </w:t>
      </w:r>
      <w:r>
        <w:rPr>
          <w:rFonts w:ascii="Times New Roman" w:hAnsi="Times New Roman" w:cs="Times New Roman"/>
          <w:sz w:val="18"/>
          <w:szCs w:val="18"/>
        </w:rPr>
        <w:t>SM</w:t>
      </w:r>
      <w:r w:rsidRPr="0013064B">
        <w:rPr>
          <w:rFonts w:ascii="Times New Roman" w:hAnsi="Times New Roman" w:cs="Times New Roman"/>
          <w:sz w:val="18"/>
          <w:szCs w:val="18"/>
        </w:rPr>
        <w:t xml:space="preserve"> sniegto informāciju, projektā pilnībā tiks ievērotas komercdarbības atbalsta kontroles normas, nodrošinot atbilstību Eiropas Parlamenta un Padomes Regulai (EK) Nr.1370/2007 (2007.gada 23.oktobris) par sabiedriskā pasažieru transporta pakalpojumiem, izmantojot dzelzceļu un autoceļus, un ar ko atceļ Padomes Regulu (EEK) Nr.1191/69 un Padomes Regulu (EEK) Nr.1107/70.</w:t>
      </w:r>
    </w:p>
  </w:footnote>
  <w:footnote w:id="30">
    <w:p w14:paraId="08813868" w14:textId="3BB4AA50" w:rsidR="005550C5" w:rsidRPr="008004B0" w:rsidRDefault="005550C5">
      <w:pPr>
        <w:pStyle w:val="FootnoteText"/>
        <w:jc w:val="both"/>
        <w:rPr>
          <w:rFonts w:ascii="Times New Roman" w:hAnsi="Times New Roman" w:cs="Times New Roman"/>
          <w:sz w:val="18"/>
          <w:szCs w:val="18"/>
        </w:rPr>
      </w:pPr>
      <w:r w:rsidRPr="008004B0">
        <w:rPr>
          <w:rStyle w:val="FootnoteReference"/>
          <w:rFonts w:ascii="Times New Roman" w:hAnsi="Times New Roman" w:cs="Times New Roman"/>
          <w:sz w:val="18"/>
          <w:szCs w:val="18"/>
        </w:rPr>
        <w:footnoteRef/>
      </w:r>
      <w:r w:rsidRPr="008004B0">
        <w:rPr>
          <w:rFonts w:ascii="Times New Roman" w:hAnsi="Times New Roman" w:cs="Times New Roman"/>
          <w:sz w:val="18"/>
          <w:szCs w:val="18"/>
        </w:rPr>
        <w:t xml:space="preserve"> </w:t>
      </w:r>
      <w:r w:rsidRPr="0013064B">
        <w:rPr>
          <w:rFonts w:ascii="Times New Roman" w:hAnsi="Times New Roman" w:cs="Times New Roman"/>
          <w:sz w:val="18"/>
          <w:szCs w:val="18"/>
        </w:rPr>
        <w:t>7.2.1.3.pasākums “Jauniešu garantijas pasākumu īstenošana pēc 2018.gada”.</w:t>
      </w:r>
    </w:p>
  </w:footnote>
  <w:footnote w:id="31">
    <w:p w14:paraId="13212433" w14:textId="453B4F31"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7.3.1.SAM “Uzlabot darba drošību, it īpaši, bīstamo nozaru uzņēmumos”.</w:t>
      </w:r>
    </w:p>
  </w:footnote>
  <w:footnote w:id="32">
    <w:p w14:paraId="665DEB04" w14:textId="41658AEB"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9.3.1.2.pasākums “Infrastruktūras attīstība funkcionēšanas novērtēšanas un </w:t>
      </w:r>
      <w:proofErr w:type="spellStart"/>
      <w:r w:rsidRPr="0013064B">
        <w:rPr>
          <w:rFonts w:ascii="Times New Roman" w:hAnsi="Times New Roman" w:cs="Times New Roman"/>
          <w:sz w:val="18"/>
          <w:szCs w:val="18"/>
        </w:rPr>
        <w:t>asistīvo</w:t>
      </w:r>
      <w:proofErr w:type="spellEnd"/>
      <w:r w:rsidRPr="0013064B">
        <w:rPr>
          <w:rFonts w:ascii="Times New Roman" w:hAnsi="Times New Roman" w:cs="Times New Roman"/>
          <w:sz w:val="18"/>
          <w:szCs w:val="18"/>
        </w:rPr>
        <w:t xml:space="preserve"> tehnoloģiju (tehnisko palīglīdzekļu) apmaiņas fonda izveidei”.</w:t>
      </w:r>
    </w:p>
  </w:footnote>
  <w:footnote w:id="33">
    <w:p w14:paraId="19009FB8" w14:textId="095949AD"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2.2.1.SAM “Nodrošināt publisko datu </w:t>
      </w:r>
      <w:proofErr w:type="spellStart"/>
      <w:r w:rsidRPr="0013064B">
        <w:rPr>
          <w:rFonts w:ascii="Times New Roman" w:hAnsi="Times New Roman" w:cs="Times New Roman"/>
          <w:sz w:val="18"/>
          <w:szCs w:val="18"/>
        </w:rPr>
        <w:t>atkalizmantošanas</w:t>
      </w:r>
      <w:proofErr w:type="spellEnd"/>
      <w:r w:rsidRPr="0013064B">
        <w:rPr>
          <w:rFonts w:ascii="Times New Roman" w:hAnsi="Times New Roman" w:cs="Times New Roman"/>
          <w:sz w:val="18"/>
          <w:szCs w:val="18"/>
        </w:rPr>
        <w:t xml:space="preserve"> pieaugumu un efektīvu publiskās pārvaldes un privātā sektora mijiedarbību” (Veselības ministrijas projekts “Vienotās neatliekamās medicīniskās palīdzības un katastrofu medicīnas vadības informācijas sistēmas attīstība (2.kārta)”.</w:t>
      </w:r>
    </w:p>
  </w:footnote>
  <w:footnote w:id="34">
    <w:p w14:paraId="75A58792" w14:textId="7936A821" w:rsidR="005550C5" w:rsidRPr="0013064B" w:rsidRDefault="005550C5" w:rsidP="00243F61">
      <w:pPr>
        <w:jc w:val="both"/>
        <w:rPr>
          <w:rFonts w:eastAsia="Times New Roman" w:cs="Times New Roman"/>
          <w:sz w:val="18"/>
          <w:szCs w:val="18"/>
          <w:lang w:eastAsia="lv-LV"/>
        </w:rPr>
      </w:pPr>
      <w:r w:rsidRPr="0013064B">
        <w:rPr>
          <w:rStyle w:val="FootnoteReference"/>
          <w:rFonts w:cs="Times New Roman"/>
          <w:sz w:val="18"/>
          <w:szCs w:val="18"/>
        </w:rPr>
        <w:footnoteRef/>
      </w:r>
      <w:r w:rsidRPr="0013064B">
        <w:rPr>
          <w:rFonts w:cs="Times New Roman"/>
          <w:sz w:val="18"/>
          <w:szCs w:val="18"/>
        </w:rPr>
        <w:t xml:space="preserve"> 5.1.1.SAM “Novērst plūdu un krasta erozijas risku apdraudējumu pilsētu teritorijās” un 5.4.1.1.pasākums “</w:t>
      </w:r>
      <w:r w:rsidRPr="0013064B">
        <w:rPr>
          <w:rFonts w:eastAsia="Times New Roman" w:cs="Times New Roman"/>
          <w:sz w:val="18"/>
          <w:szCs w:val="18"/>
          <w:lang w:eastAsia="lv-LV"/>
        </w:rPr>
        <w:t>Antropogēno slodzi mazinošas infrastruktūras izbūve un rekonstrukcija</w:t>
      </w:r>
      <w:r w:rsidRPr="0013064B">
        <w:rPr>
          <w:rFonts w:eastAsia="Times New Roman" w:cs="Times New Roman"/>
          <w:i/>
          <w:iCs/>
          <w:sz w:val="18"/>
          <w:szCs w:val="18"/>
          <w:lang w:eastAsia="lv-LV"/>
        </w:rPr>
        <w:t xml:space="preserve"> </w:t>
      </w:r>
      <w:proofErr w:type="spellStart"/>
      <w:r w:rsidRPr="0013064B">
        <w:rPr>
          <w:rFonts w:eastAsia="Times New Roman" w:cs="Times New Roman"/>
          <w:i/>
          <w:iCs/>
          <w:sz w:val="18"/>
          <w:szCs w:val="18"/>
          <w:lang w:eastAsia="lv-LV"/>
        </w:rPr>
        <w:t>Natura</w:t>
      </w:r>
      <w:proofErr w:type="spellEnd"/>
      <w:r w:rsidRPr="0013064B">
        <w:rPr>
          <w:rFonts w:eastAsia="Times New Roman" w:cs="Times New Roman"/>
          <w:sz w:val="18"/>
          <w:szCs w:val="18"/>
          <w:lang w:eastAsia="lv-LV"/>
        </w:rPr>
        <w:t xml:space="preserve"> </w:t>
      </w:r>
      <w:r w:rsidRPr="0013064B">
        <w:rPr>
          <w:rFonts w:eastAsia="Times New Roman" w:cs="Times New Roman"/>
          <w:i/>
          <w:iCs/>
          <w:sz w:val="18"/>
          <w:szCs w:val="18"/>
          <w:lang w:eastAsia="lv-LV"/>
        </w:rPr>
        <w:t xml:space="preserve">2000 </w:t>
      </w:r>
      <w:r w:rsidRPr="0013064B">
        <w:rPr>
          <w:rFonts w:eastAsia="Times New Roman" w:cs="Times New Roman"/>
          <w:sz w:val="18"/>
          <w:szCs w:val="18"/>
          <w:lang w:eastAsia="lv-LV"/>
        </w:rPr>
        <w:t>teritorijās”.</w:t>
      </w:r>
    </w:p>
  </w:footnote>
  <w:footnote w:id="35">
    <w:p w14:paraId="4954A710" w14:textId="5448B688" w:rsidR="005550C5" w:rsidRPr="008004B0" w:rsidRDefault="005550C5" w:rsidP="008004B0">
      <w:pPr>
        <w:pStyle w:val="FootnoteText"/>
        <w:jc w:val="both"/>
        <w:rPr>
          <w:rFonts w:ascii="Times New Roman" w:hAnsi="Times New Roman" w:cs="Times New Roman"/>
          <w:sz w:val="18"/>
          <w:szCs w:val="18"/>
        </w:rPr>
      </w:pPr>
      <w:r w:rsidRPr="008004B0">
        <w:rPr>
          <w:rStyle w:val="FootnoteReference"/>
          <w:rFonts w:ascii="Times New Roman" w:hAnsi="Times New Roman" w:cs="Times New Roman"/>
          <w:sz w:val="18"/>
          <w:szCs w:val="18"/>
        </w:rPr>
        <w:footnoteRef/>
      </w:r>
      <w:r w:rsidRPr="008004B0">
        <w:rPr>
          <w:rFonts w:ascii="Times New Roman" w:hAnsi="Times New Roman" w:cs="Times New Roman"/>
          <w:sz w:val="18"/>
          <w:szCs w:val="18"/>
        </w:rPr>
        <w:t xml:space="preserve"> 4.5.1.1.pasākumam “Attīstīt videi draudzīgu sabiedriskā transporta infrastruktūru (sliežu transporta)”.</w:t>
      </w:r>
    </w:p>
  </w:footnote>
  <w:footnote w:id="36">
    <w:p w14:paraId="6901AB57" w14:textId="5E5DF34A" w:rsidR="005550C5" w:rsidRPr="008004B0" w:rsidRDefault="005550C5" w:rsidP="008004B0">
      <w:pPr>
        <w:pStyle w:val="FootnoteText"/>
        <w:jc w:val="both"/>
        <w:rPr>
          <w:rFonts w:ascii="Times New Roman" w:hAnsi="Times New Roman" w:cs="Times New Roman"/>
          <w:sz w:val="18"/>
          <w:szCs w:val="18"/>
        </w:rPr>
      </w:pPr>
      <w:r w:rsidRPr="008004B0">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SM, sniedzot priekšlikumus finansējuma pārdalēm, informēja par plāniem atsaukt divus </w:t>
      </w:r>
      <w:r w:rsidRPr="00735057">
        <w:rPr>
          <w:rFonts w:ascii="Times New Roman" w:hAnsi="Times New Roman" w:cs="Times New Roman"/>
          <w:sz w:val="18"/>
          <w:szCs w:val="18"/>
        </w:rPr>
        <w:t>6.2.1.2.pasākuma “Dzelzceļa infrastru</w:t>
      </w:r>
      <w:r>
        <w:rPr>
          <w:rFonts w:ascii="Times New Roman" w:hAnsi="Times New Roman" w:cs="Times New Roman"/>
          <w:sz w:val="18"/>
          <w:szCs w:val="18"/>
        </w:rPr>
        <w:t>ktūras modernizācija un izbūve” projektus (</w:t>
      </w:r>
      <w:r w:rsidRPr="00735057">
        <w:rPr>
          <w:rFonts w:ascii="Times New Roman" w:hAnsi="Times New Roman" w:cs="Times New Roman"/>
          <w:sz w:val="18"/>
          <w:szCs w:val="18"/>
        </w:rPr>
        <w:t xml:space="preserve">Nr.6.2.1.2/16/I/002 “Daugavpils Šķirošanas stacijas attīstība” (KF 31,1 milj. </w:t>
      </w:r>
      <w:proofErr w:type="spellStart"/>
      <w:r w:rsidRPr="008004B0">
        <w:rPr>
          <w:rFonts w:ascii="Times New Roman" w:hAnsi="Times New Roman" w:cs="Times New Roman"/>
          <w:i/>
          <w:sz w:val="18"/>
          <w:szCs w:val="18"/>
        </w:rPr>
        <w:t>euro</w:t>
      </w:r>
      <w:proofErr w:type="spellEnd"/>
      <w:r w:rsidRPr="00735057">
        <w:rPr>
          <w:rFonts w:ascii="Times New Roman" w:hAnsi="Times New Roman" w:cs="Times New Roman"/>
          <w:sz w:val="18"/>
          <w:szCs w:val="18"/>
        </w:rPr>
        <w:t xml:space="preserve">); Nr. 6.2.1.2/17/I/001 “Vienotas vilcienu kustības plānošanas un vadības informācijas sistēmas ieviešana” (KF 17,9 milj. </w:t>
      </w:r>
      <w:proofErr w:type="spellStart"/>
      <w:r w:rsidRPr="008004B0">
        <w:rPr>
          <w:rFonts w:ascii="Times New Roman" w:hAnsi="Times New Roman" w:cs="Times New Roman"/>
          <w:i/>
          <w:sz w:val="18"/>
          <w:szCs w:val="18"/>
        </w:rPr>
        <w:t>euro</w:t>
      </w:r>
      <w:proofErr w:type="spellEnd"/>
      <w:r w:rsidRPr="00735057">
        <w:rPr>
          <w:rFonts w:ascii="Times New Roman" w:hAnsi="Times New Roman" w:cs="Times New Roman"/>
          <w:sz w:val="18"/>
          <w:szCs w:val="18"/>
        </w:rPr>
        <w:t>)</w:t>
      </w:r>
      <w:r>
        <w:rPr>
          <w:rFonts w:ascii="Times New Roman" w:hAnsi="Times New Roman" w:cs="Times New Roman"/>
          <w:sz w:val="18"/>
          <w:szCs w:val="18"/>
        </w:rPr>
        <w:t xml:space="preserve">), attiecīgi rosinot finansējumu pārdalīt savas “aploksnes” ietvaros, t.sk. 20,0 milj. </w:t>
      </w:r>
      <w:proofErr w:type="spellStart"/>
      <w:r w:rsidRPr="008004B0">
        <w:rPr>
          <w:rFonts w:ascii="Times New Roman" w:hAnsi="Times New Roman" w:cs="Times New Roman"/>
          <w:i/>
          <w:sz w:val="18"/>
          <w:szCs w:val="18"/>
        </w:rPr>
        <w:t>euro</w:t>
      </w:r>
      <w:proofErr w:type="spellEnd"/>
      <w:r>
        <w:rPr>
          <w:rFonts w:ascii="Times New Roman" w:hAnsi="Times New Roman" w:cs="Times New Roman"/>
          <w:sz w:val="18"/>
          <w:szCs w:val="18"/>
        </w:rPr>
        <w:t xml:space="preserve"> pārdalot uz 4.prioritāro virzienu sliežu sabiedriskā transporta infrastruktūrai. </w:t>
      </w:r>
    </w:p>
  </w:footnote>
  <w:footnote w:id="37">
    <w:p w14:paraId="1FCB5FB5" w14:textId="378F0165" w:rsidR="00F96256" w:rsidRPr="003B775D" w:rsidRDefault="00F96256" w:rsidP="003B775D">
      <w:pPr>
        <w:pStyle w:val="FootnoteText"/>
        <w:jc w:val="both"/>
        <w:rPr>
          <w:rFonts w:ascii="Times New Roman" w:hAnsi="Times New Roman" w:cs="Times New Roman"/>
          <w:sz w:val="18"/>
          <w:szCs w:val="18"/>
        </w:rPr>
      </w:pPr>
      <w:r w:rsidRPr="003B775D">
        <w:rPr>
          <w:rStyle w:val="FootnoteReference"/>
          <w:rFonts w:ascii="Times New Roman" w:hAnsi="Times New Roman" w:cs="Times New Roman"/>
          <w:sz w:val="18"/>
          <w:szCs w:val="18"/>
        </w:rPr>
        <w:footnoteRef/>
      </w:r>
      <w:r w:rsidRPr="003B775D">
        <w:rPr>
          <w:rFonts w:ascii="Times New Roman" w:hAnsi="Times New Roman" w:cs="Times New Roman"/>
          <w:sz w:val="18"/>
          <w:szCs w:val="18"/>
        </w:rPr>
        <w:t xml:space="preserve"> T.sk. SM pārziņā esošo pasākumu projekti Nr.6.2.1.2/16/I/002 “Daugavpils Šķirošanas stacijas attīstība; Nr. 6.2.1.2/17/I/001 “Vienotas vilcienu kustības plānošanas un vadības informācijas sistēmas ieviešana”; </w:t>
      </w:r>
      <w:r w:rsidRPr="003B775D">
        <w:rPr>
          <w:rFonts w:ascii="Times New Roman" w:hAnsi="Times New Roman" w:cs="Times New Roman"/>
          <w:bCs/>
          <w:sz w:val="18"/>
          <w:szCs w:val="18"/>
        </w:rPr>
        <w:t>Nr.6.1.4.1/18/I/001 “Jāņa Čakstes gatves izbūve no Valdeķu ielas līdz Ziepniekkalna ielai”</w:t>
      </w:r>
      <w:r w:rsidR="00D112FE">
        <w:rPr>
          <w:rFonts w:ascii="Times New Roman" w:hAnsi="Times New Roman" w:cs="Times New Roman"/>
          <w:bCs/>
          <w:sz w:val="18"/>
          <w:szCs w:val="18"/>
        </w:rPr>
        <w:t>,</w:t>
      </w:r>
      <w:r w:rsidR="00D112FE" w:rsidRPr="00D112FE">
        <w:rPr>
          <w:rFonts w:ascii="Times New Roman" w:hAnsi="Times New Roman" w:cs="Times New Roman"/>
          <w:bCs/>
          <w:sz w:val="18"/>
          <w:szCs w:val="18"/>
        </w:rPr>
        <w:t xml:space="preserve"> kā arī LM pārziņā esošo pasākumu projekti Nr.7.3.1.0/16/I/001 “Darba drošības normatīvo aktu praktiskās ieviešanas un uzraudzības pilnveidošana”; Nr.9.1.1.2/15/I/001 “Atbalsts ilgstošajiem bezdarbniekiem”; Nr.9.2.1.3/16/I/001 “Atbalsta sistēmas pilnveide bērniem ar saskarsmes grūtībām, uzvedības traucējumiem un vardarbību ģimenē”; Nr.9.3.1.2/16/I/001 “VSIA NRC „Vaivari” infrastruktūras attīstība funkcionēšanas novērtēšanas un </w:t>
      </w:r>
      <w:proofErr w:type="spellStart"/>
      <w:r w:rsidR="00D112FE" w:rsidRPr="00D112FE">
        <w:rPr>
          <w:rFonts w:ascii="Times New Roman" w:hAnsi="Times New Roman" w:cs="Times New Roman"/>
          <w:bCs/>
          <w:sz w:val="18"/>
          <w:szCs w:val="18"/>
        </w:rPr>
        <w:t>asistīvo</w:t>
      </w:r>
      <w:proofErr w:type="spellEnd"/>
      <w:r w:rsidR="00D112FE" w:rsidRPr="00D112FE">
        <w:rPr>
          <w:rFonts w:ascii="Times New Roman" w:hAnsi="Times New Roman" w:cs="Times New Roman"/>
          <w:bCs/>
          <w:sz w:val="18"/>
          <w:szCs w:val="18"/>
        </w:rPr>
        <w:t xml:space="preserve"> tehnoloģiju apmaiņas fonda izveidei”, un IZM pārziņā esošo pasākumu projekti Nr.8.3.4.0/16/I/001 “Atbalsts priekšlaicīgas mācību pārtraukšanas samazināšanai”; Nr.8.5.1.0/16/I/001 “Profesionālo izglītības iestāžu audzēkņu dalība darba vidē balstītās mācībās un mācību praksēs uzņēmumos”. </w:t>
      </w:r>
      <w:r w:rsidR="00EF633F">
        <w:rPr>
          <w:rFonts w:ascii="Times New Roman" w:hAnsi="Times New Roman" w:cs="Times New Roman"/>
          <w:bCs/>
          <w:sz w:val="18"/>
          <w:szCs w:val="18"/>
        </w:rPr>
        <w:t>Attiecināms arī uz</w:t>
      </w:r>
      <w:r w:rsidR="00D112FE" w:rsidRPr="00D112FE">
        <w:rPr>
          <w:rFonts w:ascii="Times New Roman" w:hAnsi="Times New Roman" w:cs="Times New Roman"/>
          <w:bCs/>
          <w:sz w:val="18"/>
          <w:szCs w:val="18"/>
        </w:rPr>
        <w:t xml:space="preserve"> MK 2019.gada 13.septembra sēdes </w:t>
      </w:r>
      <w:proofErr w:type="spellStart"/>
      <w:r w:rsidR="00D112FE" w:rsidRPr="00D112FE">
        <w:rPr>
          <w:rFonts w:ascii="Times New Roman" w:hAnsi="Times New Roman" w:cs="Times New Roman"/>
          <w:bCs/>
          <w:sz w:val="18"/>
          <w:szCs w:val="18"/>
        </w:rPr>
        <w:t>protokollēmuma</w:t>
      </w:r>
      <w:proofErr w:type="spellEnd"/>
      <w:r w:rsidR="00D112FE" w:rsidRPr="00D112FE">
        <w:rPr>
          <w:rFonts w:ascii="Times New Roman" w:hAnsi="Times New Roman" w:cs="Times New Roman"/>
          <w:bCs/>
          <w:sz w:val="18"/>
          <w:szCs w:val="18"/>
        </w:rPr>
        <w:t xml:space="preserve"> Nr.41. 1.§ “Informatīvais ziņojums “Par fiskālās telpas pasākumiem un izdevumiem prioritārajiem pasākumiem valsts budžetam 2020.gadam un ietvaram 2020.–2022.gadam”” 3.1.5.apa</w:t>
      </w:r>
      <w:r w:rsidR="00EF633F">
        <w:rPr>
          <w:rFonts w:ascii="Times New Roman" w:hAnsi="Times New Roman" w:cs="Times New Roman"/>
          <w:bCs/>
          <w:sz w:val="18"/>
          <w:szCs w:val="18"/>
        </w:rPr>
        <w:t>kšpunktā</w:t>
      </w:r>
      <w:r w:rsidR="001E0AF4">
        <w:rPr>
          <w:rFonts w:ascii="Times New Roman" w:hAnsi="Times New Roman" w:cs="Times New Roman"/>
          <w:bCs/>
          <w:sz w:val="18"/>
          <w:szCs w:val="18"/>
        </w:rPr>
        <w:t xml:space="preserve"> noteiktā finansējuma 7 093 </w:t>
      </w:r>
      <w:r w:rsidR="00D112FE" w:rsidRPr="00D112FE">
        <w:rPr>
          <w:rFonts w:ascii="Times New Roman" w:hAnsi="Times New Roman" w:cs="Times New Roman"/>
          <w:bCs/>
          <w:sz w:val="18"/>
          <w:szCs w:val="18"/>
        </w:rPr>
        <w:t xml:space="preserve">340 </w:t>
      </w:r>
      <w:proofErr w:type="spellStart"/>
      <w:r w:rsidR="00D112FE" w:rsidRPr="00EF633F">
        <w:rPr>
          <w:rFonts w:ascii="Times New Roman" w:hAnsi="Times New Roman" w:cs="Times New Roman"/>
          <w:bCs/>
          <w:i/>
          <w:sz w:val="18"/>
          <w:szCs w:val="18"/>
        </w:rPr>
        <w:t>euro</w:t>
      </w:r>
      <w:proofErr w:type="spellEnd"/>
      <w:r w:rsidR="00D112FE" w:rsidRPr="00EF633F">
        <w:rPr>
          <w:rFonts w:ascii="Times New Roman" w:hAnsi="Times New Roman" w:cs="Times New Roman"/>
          <w:bCs/>
          <w:i/>
          <w:sz w:val="18"/>
          <w:szCs w:val="18"/>
        </w:rPr>
        <w:t xml:space="preserve"> </w:t>
      </w:r>
      <w:r w:rsidR="00D112FE" w:rsidRPr="00D112FE">
        <w:rPr>
          <w:rFonts w:ascii="Times New Roman" w:hAnsi="Times New Roman" w:cs="Times New Roman"/>
          <w:bCs/>
          <w:sz w:val="18"/>
          <w:szCs w:val="18"/>
        </w:rPr>
        <w:t>atbrīvošanu, neīstenojot šobrīd vērtēšanā esošu projek</w:t>
      </w:r>
      <w:bookmarkStart w:id="6" w:name="_GoBack"/>
      <w:bookmarkEnd w:id="6"/>
      <w:r w:rsidR="00D112FE" w:rsidRPr="00D112FE">
        <w:rPr>
          <w:rFonts w:ascii="Times New Roman" w:hAnsi="Times New Roman" w:cs="Times New Roman"/>
          <w:bCs/>
          <w:sz w:val="18"/>
          <w:szCs w:val="18"/>
        </w:rPr>
        <w:t>tu “Multimodālā transporta mezgla izbūve Torņakalna apkaimē”.</w:t>
      </w:r>
    </w:p>
  </w:footnote>
  <w:footnote w:id="38">
    <w:p w14:paraId="78B1440B" w14:textId="28B09707" w:rsidR="005550C5" w:rsidRPr="0013064B" w:rsidRDefault="005550C5" w:rsidP="0013064B">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FM vadlīnijas </w:t>
      </w:r>
      <w:r w:rsidRPr="0013064B">
        <w:rPr>
          <w:rFonts w:ascii="Times New Roman" w:hAnsi="Times New Roman" w:cs="Times New Roman"/>
          <w:color w:val="000000" w:themeColor="text1"/>
          <w:sz w:val="18"/>
          <w:szCs w:val="18"/>
        </w:rPr>
        <w:t xml:space="preserve">Nr.2.2. “Vadlīnijas Ministru kabineta noteikumu par specifiskā atbalsta mērķa īstenošanu izstrādei”, pieejamas tīmekļa vietnē: </w:t>
      </w:r>
      <w:hyperlink r:id="rId4" w:history="1">
        <w:r w:rsidRPr="0013064B">
          <w:rPr>
            <w:rStyle w:val="Hyperlink"/>
            <w:rFonts w:ascii="Times New Roman" w:hAnsi="Times New Roman" w:cs="Times New Roman"/>
            <w:sz w:val="18"/>
            <w:szCs w:val="18"/>
          </w:rPr>
          <w:t>https://www.esfondi.lv/vadlinijas--skaidrojumi</w:t>
        </w:r>
      </w:hyperlink>
      <w:r w:rsidRPr="0013064B">
        <w:rPr>
          <w:rFonts w:ascii="Times New Roman" w:hAnsi="Times New Roman" w:cs="Times New Roman"/>
          <w:color w:val="000000" w:themeColor="text1"/>
          <w:sz w:val="18"/>
          <w:szCs w:val="18"/>
        </w:rPr>
        <w:t xml:space="preserve">  </w:t>
      </w:r>
    </w:p>
  </w:footnote>
  <w:footnote w:id="39">
    <w:p w14:paraId="38E1C5BD" w14:textId="1F4C6CD5" w:rsidR="005550C5" w:rsidRPr="0013064B" w:rsidRDefault="005550C5" w:rsidP="0013064B">
      <w:pPr>
        <w:spacing w:line="276" w:lineRule="auto"/>
        <w:contextualSpacing/>
        <w:jc w:val="both"/>
        <w:rPr>
          <w:rFonts w:cs="Times New Roman"/>
          <w:sz w:val="18"/>
          <w:szCs w:val="18"/>
        </w:rPr>
      </w:pPr>
      <w:r w:rsidRPr="0013064B">
        <w:rPr>
          <w:rStyle w:val="FootnoteReference"/>
          <w:rFonts w:cs="Times New Roman"/>
          <w:sz w:val="18"/>
          <w:szCs w:val="18"/>
        </w:rPr>
        <w:footnoteRef/>
      </w:r>
      <w:r w:rsidRPr="0013064B">
        <w:rPr>
          <w:rFonts w:cs="Times New Roman"/>
          <w:sz w:val="18"/>
          <w:szCs w:val="18"/>
        </w:rPr>
        <w:t xml:space="preserve"> Jāzepa Vītola Latvijas Mūzikas akadēmijas projekts Nr.8.1.1.0/17/I/004 “Jāzepa Vītola Latvijas Mūzikas akadēmijas īstenoto radošo industriju studiju programmu modernizācija”; Daugavpils Universitātes projekts Nr.8.1.1.0/17/I/005 “STEM, veselības aprūpes un mākslu studiju programmu modernizēšana Daugavpils Universitātē”; Transporta un sakaru institūta projekts Nr.8.1.1.0/17/I/009 “Transporta un sakaru institūta STEM studiju programmu modernizācija”; Latvijas Universitātes projekts Nr.8.1.1.0/17/I/010 “Latvijas Universitātes STEM studiju virzienu infrastruktūras modernizācija un resursu koncentrācija”; Latvijas Sporta pedagoģijas akadēmijas projekts Nr.8.1.1.0/17/I/013 “Modernizētās LSPA STEM studiju programmas veselības aprūpē”; Rīgas Celtniecības koledžas projekts Nr.8.1.4.0/17/I/006 “Būvmateriālu īpašību pārbaudes laboratorijas modernizācija”; Rīgas Stradiņa universitātes Sarkanā Krusta medicīnas koledžas projekts Nr.8.1.4.0/17/I/002 “STEM izglītības programmu infrastruktūras modernizēšana RSU Sarkanā Krusta medicīnas koledžā”; Rīgas 1.medicīnas koledžas projekts Nr.8.1.4.0/17/I/002 “STEM izglītības programmu infrastruktūras modernizēšana Rīgas 1.medicīnas koledžā”.</w:t>
      </w:r>
    </w:p>
  </w:footnote>
  <w:footnote w:id="40">
    <w:p w14:paraId="3177175E" w14:textId="119F7BB8" w:rsidR="005550C5" w:rsidRPr="0013064B" w:rsidRDefault="005550C5" w:rsidP="0013064B">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2014.gada 16.decembra noteikumi Nr.784 “Kārtība, kādā Eiropas Savienības struktūrfondu un Kohēzijas fonda vadībā iesaistītās institūcijas nodrošina plānošanas dokumentu sagatavošanu un šo fondu ieviešanu 2014.–2020. gada plānošanas periodā”.</w:t>
      </w:r>
    </w:p>
  </w:footnote>
  <w:footnote w:id="41">
    <w:p w14:paraId="4A1A730F" w14:textId="77777777" w:rsidR="005550C5" w:rsidRPr="0013064B" w:rsidRDefault="005550C5" w:rsidP="0013064B">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2019.gada 27.augusta sēdes protokols Nr.36 39.§ “Informatīvais ziņojums “Par Liepājas Jūrniecības koledžas projekta Nr.8.1.4.0/17/I/008 “Liepājas Jūrniecības koledžas pirmā līmeņa profesionālās augstākās izglītības STEM programmu studiju mācību vides uzlabošana” īstenošanas termiņa pagarināšanu”  </w:t>
      </w:r>
    </w:p>
  </w:footnote>
  <w:footnote w:id="42">
    <w:p w14:paraId="01B55B80" w14:textId="079A0F67" w:rsidR="005550C5" w:rsidRPr="0013064B" w:rsidRDefault="005550C5" w:rsidP="0013064B">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w:t>
      </w:r>
      <w:r w:rsidRPr="0013064B">
        <w:rPr>
          <w:rFonts w:ascii="Times New Roman" w:hAnsi="Times New Roman" w:cs="Times New Roman"/>
          <w:color w:val="000000"/>
          <w:sz w:val="18"/>
          <w:szCs w:val="18"/>
        </w:rPr>
        <w:t xml:space="preserve">2018.gada 23.janvāra protokola Nr.5 40.§ </w:t>
      </w:r>
      <w:r w:rsidRPr="0013064B">
        <w:rPr>
          <w:rFonts w:ascii="Times New Roman" w:hAnsi="Times New Roman" w:cs="Times New Roman"/>
          <w:bCs/>
          <w:iCs/>
          <w:sz w:val="18"/>
          <w:szCs w:val="18"/>
        </w:rPr>
        <w:t>“Noteikumu projekts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p>
  </w:footnote>
  <w:footnote w:id="43">
    <w:p w14:paraId="5A35222E" w14:textId="1E73F4EB"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9.3.2.specifiskais atbalsta mērķis “Uzlabot kvalitatīvu veselības aprūpes pakalpojumu pieejamību, jo īpaši sociālās, teritoriālās atstumtības un nabadzības riskam pakļautajiem iedzīvotājiem,  attīstot veselības aprūpes infrastruktūru”.</w:t>
      </w:r>
    </w:p>
  </w:footnote>
  <w:footnote w:id="44">
    <w:p w14:paraId="5D84BB8E" w14:textId="4401A294"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EK 2019.gada 16.augusta īstenošanas lēmums </w:t>
      </w:r>
      <w:proofErr w:type="spellStart"/>
      <w:r w:rsidRPr="0013064B">
        <w:rPr>
          <w:rFonts w:ascii="Times New Roman" w:hAnsi="Times New Roman" w:cs="Times New Roman"/>
          <w:sz w:val="18"/>
          <w:szCs w:val="18"/>
        </w:rPr>
        <w:t>Nr.C</w:t>
      </w:r>
      <w:proofErr w:type="spellEnd"/>
      <w:r w:rsidRPr="0013064B">
        <w:rPr>
          <w:rFonts w:ascii="Times New Roman" w:hAnsi="Times New Roman" w:cs="Times New Roman"/>
          <w:sz w:val="18"/>
          <w:szCs w:val="18"/>
        </w:rPr>
        <w:t>(2019)6153 par darbības programmas starpposma mērķu sasniegšanu</w:t>
      </w:r>
      <w:r>
        <w:rPr>
          <w:rFonts w:ascii="Times New Roman" w:hAnsi="Times New Roman" w:cs="Times New Roman"/>
          <w:sz w:val="18"/>
          <w:szCs w:val="18"/>
        </w:rPr>
        <w:t>.</w:t>
      </w:r>
      <w:r w:rsidRPr="0013064B">
        <w:rPr>
          <w:rFonts w:ascii="Times New Roman" w:hAnsi="Times New Roman" w:cs="Times New Roman"/>
          <w:sz w:val="18"/>
          <w:szCs w:val="18"/>
        </w:rPr>
        <w:t xml:space="preserve"> </w:t>
      </w:r>
    </w:p>
  </w:footnote>
  <w:footnote w:id="45">
    <w:p w14:paraId="7DFE1AFE" w14:textId="3223A17B"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2017.gada 16.augusta sēdes </w:t>
      </w:r>
      <w:proofErr w:type="spellStart"/>
      <w:r w:rsidRPr="0013064B">
        <w:rPr>
          <w:rFonts w:ascii="Times New Roman" w:hAnsi="Times New Roman" w:cs="Times New Roman"/>
          <w:sz w:val="18"/>
          <w:szCs w:val="18"/>
        </w:rPr>
        <w:t>protokollēmuma</w:t>
      </w:r>
      <w:proofErr w:type="spellEnd"/>
      <w:r w:rsidRPr="0013064B">
        <w:rPr>
          <w:rFonts w:ascii="Times New Roman" w:hAnsi="Times New Roman" w:cs="Times New Roman"/>
          <w:sz w:val="18"/>
          <w:szCs w:val="18"/>
        </w:rPr>
        <w:t xml:space="preserve"> Nr.39 48.§ “Par turpmāku atbalstu jauniešiem, kas nemācās, nestrādā un neapgūst arodu, un nodarbinātiem jauniešiem sākotnējās profesionālās izglītības programmu apguvei otrā un trešā profesionālās kvalifikācijas līmeņa ieguvei viena vai pusotra mācību gada laikā” 9.3.apakšpunkts</w:t>
      </w:r>
      <w:r w:rsidR="00726B0E">
        <w:rPr>
          <w:rFonts w:ascii="Times New Roman" w:hAnsi="Times New Roman" w:cs="Times New Roman"/>
          <w:sz w:val="18"/>
          <w:szCs w:val="18"/>
        </w:rPr>
        <w:t>.</w:t>
      </w:r>
    </w:p>
  </w:footnote>
  <w:footnote w:id="46">
    <w:p w14:paraId="7C919B00" w14:textId="4F038DBF"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sidRPr="0013064B">
        <w:rPr>
          <w:rFonts w:ascii="Times New Roman" w:hAnsi="Times New Roman" w:cs="Times New Roman"/>
          <w:sz w:val="18"/>
          <w:szCs w:val="18"/>
        </w:rPr>
        <w:t xml:space="preserve"> MK 2019.gada 13.septembra </w:t>
      </w:r>
      <w:proofErr w:type="spellStart"/>
      <w:r w:rsidRPr="0013064B">
        <w:rPr>
          <w:rFonts w:ascii="Times New Roman" w:hAnsi="Times New Roman" w:cs="Times New Roman"/>
          <w:sz w:val="18"/>
          <w:szCs w:val="18"/>
        </w:rPr>
        <w:t>protokollēmuma</w:t>
      </w:r>
      <w:proofErr w:type="spellEnd"/>
      <w:r w:rsidRPr="0013064B">
        <w:rPr>
          <w:rFonts w:ascii="Times New Roman" w:hAnsi="Times New Roman" w:cs="Times New Roman"/>
          <w:sz w:val="18"/>
          <w:szCs w:val="18"/>
        </w:rPr>
        <w:t xml:space="preserve"> Nr.41 1.§ “</w:t>
      </w:r>
      <w:r w:rsidRPr="0013064B">
        <w:rPr>
          <w:rFonts w:ascii="Times New Roman" w:hAnsi="Times New Roman" w:cs="Times New Roman"/>
          <w:sz w:val="18"/>
          <w:szCs w:val="18"/>
          <w:lang w:eastAsia="lv-LV"/>
        </w:rPr>
        <w:t>Informatīvais ziņojums “Par fiskālās telpas pasākumiem un izdevumiem prioritārajiem pasākumiem valsts budžetam 2020.gadam un ietvaram 2020.–2022.gadam”</w:t>
      </w:r>
      <w:r w:rsidRPr="0013064B">
        <w:rPr>
          <w:rFonts w:ascii="Times New Roman" w:hAnsi="Times New Roman" w:cs="Times New Roman"/>
          <w:sz w:val="18"/>
          <w:szCs w:val="18"/>
        </w:rPr>
        <w:t>” 3.1.4.apakšpunkts.</w:t>
      </w:r>
    </w:p>
  </w:footnote>
  <w:footnote w:id="47">
    <w:p w14:paraId="1718E59E" w14:textId="03561C61" w:rsidR="005550C5" w:rsidRPr="0013064B" w:rsidRDefault="005550C5">
      <w:pPr>
        <w:pStyle w:val="FootnoteText"/>
        <w:jc w:val="both"/>
        <w:rPr>
          <w:rFonts w:ascii="Times New Roman" w:hAnsi="Times New Roman" w:cs="Times New Roman"/>
          <w:sz w:val="18"/>
          <w:szCs w:val="18"/>
        </w:rPr>
      </w:pPr>
      <w:r w:rsidRPr="0013064B">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Pēc </w:t>
      </w:r>
      <w:r w:rsidR="00726B0E">
        <w:rPr>
          <w:rFonts w:ascii="Times New Roman" w:hAnsi="Times New Roman" w:cs="Times New Roman"/>
          <w:sz w:val="18"/>
          <w:szCs w:val="18"/>
        </w:rPr>
        <w:t xml:space="preserve">MK </w:t>
      </w:r>
      <w:r>
        <w:rPr>
          <w:rFonts w:ascii="Times New Roman" w:hAnsi="Times New Roman" w:cs="Times New Roman"/>
          <w:sz w:val="18"/>
          <w:szCs w:val="18"/>
        </w:rPr>
        <w:t>2019.gada 13.septembra lēmuma, kas paredzēja novirzīt finansējumu no 6.1.3.1.</w:t>
      </w:r>
      <w:r w:rsidRPr="0031421B">
        <w:rPr>
          <w:rFonts w:ascii="Times New Roman" w:hAnsi="Times New Roman" w:cs="Times New Roman"/>
          <w:sz w:val="18"/>
          <w:szCs w:val="18"/>
        </w:rPr>
        <w:t xml:space="preserve">pasākuma </w:t>
      </w:r>
      <w:r>
        <w:rPr>
          <w:rFonts w:ascii="Times New Roman" w:hAnsi="Times New Roman" w:cs="Times New Roman"/>
          <w:sz w:val="18"/>
          <w:szCs w:val="18"/>
        </w:rPr>
        <w:t>“</w:t>
      </w:r>
      <w:r w:rsidRPr="0031421B">
        <w:rPr>
          <w:rFonts w:ascii="Times New Roman" w:hAnsi="Times New Roman" w:cs="Times New Roman"/>
          <w:sz w:val="18"/>
          <w:szCs w:val="18"/>
        </w:rPr>
        <w:t>Rīgas pilsētas integrētas transporta sistēmas attīstība</w:t>
      </w:r>
      <w:r>
        <w:rPr>
          <w:rFonts w:ascii="Times New Roman" w:hAnsi="Times New Roman" w:cs="Times New Roman"/>
          <w:sz w:val="18"/>
          <w:szCs w:val="18"/>
        </w:rPr>
        <w:t>”, Rīgas dome kā finansējuma saņēmējs 2019.gada 20.septembrī ar vēstuli vērsās pie SM kā ES fondu atbildīgās iestādes ar priekšlikumu, mainīt finansējuma avotu, lai novirzītu nepieciešamo finansējumu elektrovilcienu iepirkumam.</w:t>
      </w:r>
      <w:r w:rsidRPr="00A65314">
        <w:t xml:space="preserve"> </w:t>
      </w:r>
      <w:r>
        <w:rPr>
          <w:rFonts w:ascii="Times New Roman" w:hAnsi="Times New Roman" w:cs="Times New Roman"/>
          <w:sz w:val="18"/>
          <w:szCs w:val="18"/>
        </w:rPr>
        <w:t>Rīgas dome lūdza saglabā</w:t>
      </w:r>
      <w:r w:rsidRPr="00A65314">
        <w:rPr>
          <w:rFonts w:ascii="Times New Roman" w:hAnsi="Times New Roman" w:cs="Times New Roman"/>
          <w:sz w:val="18"/>
          <w:szCs w:val="18"/>
        </w:rPr>
        <w:t xml:space="preserve">t pašvaldībai svarīgo Austrumu maģistrāles izbūvi </w:t>
      </w:r>
      <w:r>
        <w:rPr>
          <w:rFonts w:ascii="Times New Roman" w:hAnsi="Times New Roman" w:cs="Times New Roman"/>
          <w:sz w:val="18"/>
          <w:szCs w:val="18"/>
        </w:rPr>
        <w:t>(projekts</w:t>
      </w:r>
      <w:r w:rsidRPr="00A65314">
        <w:rPr>
          <w:rFonts w:ascii="Times New Roman" w:hAnsi="Times New Roman" w:cs="Times New Roman"/>
          <w:sz w:val="18"/>
          <w:szCs w:val="18"/>
        </w:rPr>
        <w:t xml:space="preserve"> “Austrumu maģistrāle posmā no Ieriķu ielas līdz Vietalvas ielai”</w:t>
      </w:r>
      <w:r>
        <w:rPr>
          <w:rFonts w:ascii="Times New Roman" w:hAnsi="Times New Roman" w:cs="Times New Roman"/>
          <w:sz w:val="18"/>
          <w:szCs w:val="18"/>
        </w:rPr>
        <w:t xml:space="preserve">), vienlaikus atsakoties no projekta </w:t>
      </w:r>
      <w:r w:rsidRPr="008004B0">
        <w:rPr>
          <w:rFonts w:ascii="Times New Roman" w:hAnsi="Times New Roman" w:cs="Times New Roman"/>
          <w:bCs/>
          <w:sz w:val="18"/>
          <w:szCs w:val="18"/>
        </w:rPr>
        <w:t>Nr.6.1.4.1/18/I/001 “Jāņa Čakstes gatves izbūve no Valdeķu ielas līdz Ziepniekkalna ielai”</w:t>
      </w:r>
      <w:r w:rsidRPr="002F2A47">
        <w:rPr>
          <w:rFonts w:ascii="Times New Roman" w:hAnsi="Times New Roman" w:cs="Times New Roman"/>
          <w:sz w:val="18"/>
          <w:szCs w:val="18"/>
        </w:rPr>
        <w:t xml:space="preserve"> īstenošanas 2014.–2020.gada plānošanas periodā.</w:t>
      </w:r>
      <w:r>
        <w:rPr>
          <w:rFonts w:ascii="Times New Roman" w:hAnsi="Times New Roman" w:cs="Times New Roman"/>
          <w:sz w:val="18"/>
          <w:szCs w:val="18"/>
        </w:rPr>
        <w:t xml:space="preserve"> SM ar vēstuli 2019.gada 24.septembrī informēja FM par konceptuālu atbalstu šādam priekšlikumam, lūdzot FM nostiprināt izmaiņas MK lēmumā.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776"/>
    <w:multiLevelType w:val="hybridMultilevel"/>
    <w:tmpl w:val="75BC432E"/>
    <w:lvl w:ilvl="0" w:tplc="DFCE9480">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12422D"/>
    <w:multiLevelType w:val="hybridMultilevel"/>
    <w:tmpl w:val="E60A90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75777"/>
    <w:multiLevelType w:val="hybridMultilevel"/>
    <w:tmpl w:val="4F3075EA"/>
    <w:lvl w:ilvl="0" w:tplc="0426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8B77519"/>
    <w:multiLevelType w:val="hybridMultilevel"/>
    <w:tmpl w:val="300818EA"/>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15:restartNumberingAfterBreak="0">
    <w:nsid w:val="0CD04058"/>
    <w:multiLevelType w:val="hybridMultilevel"/>
    <w:tmpl w:val="3E3852F8"/>
    <w:lvl w:ilvl="0" w:tplc="11D80CBC">
      <w:start w:val="1"/>
      <w:numFmt w:val="decimal"/>
      <w:lvlText w:val="(%1)"/>
      <w:lvlJc w:val="left"/>
      <w:pPr>
        <w:ind w:left="1004"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15:restartNumberingAfterBreak="0">
    <w:nsid w:val="11854392"/>
    <w:multiLevelType w:val="hybridMultilevel"/>
    <w:tmpl w:val="601A39D8"/>
    <w:lvl w:ilvl="0" w:tplc="DBC256DA">
      <w:start w:val="1"/>
      <w:numFmt w:val="decimal"/>
      <w:lvlText w:val="%1."/>
      <w:lvlJc w:val="left"/>
      <w:pPr>
        <w:ind w:left="1287" w:hanging="360"/>
      </w:pPr>
      <w:rPr>
        <w:b w:val="0"/>
      </w:rPr>
    </w:lvl>
    <w:lvl w:ilvl="1" w:tplc="04260019">
      <w:start w:val="1"/>
      <w:numFmt w:val="lowerLetter"/>
      <w:lvlText w:val="%2."/>
      <w:lvlJc w:val="left"/>
      <w:pPr>
        <w:ind w:left="2007" w:hanging="360"/>
      </w:pPr>
    </w:lvl>
    <w:lvl w:ilvl="2" w:tplc="6EBEDA0C">
      <w:start w:val="16"/>
      <w:numFmt w:val="decimal"/>
      <w:lvlText w:val="%3"/>
      <w:lvlJc w:val="left"/>
      <w:pPr>
        <w:ind w:left="2907" w:hanging="360"/>
      </w:pPr>
      <w:rPr>
        <w:rFonts w:hint="default"/>
      </w:r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12F91480"/>
    <w:multiLevelType w:val="multilevel"/>
    <w:tmpl w:val="7B747DA2"/>
    <w:lvl w:ilvl="0">
      <w:start w:val="1"/>
      <w:numFmt w:val="decimal"/>
      <w:lvlText w:val="%1."/>
      <w:lvlJc w:val="left"/>
      <w:pPr>
        <w:ind w:left="360" w:hanging="360"/>
      </w:pPr>
      <w:rPr>
        <w:rFonts w:ascii="Times New Roman" w:hAnsi="Times New Roman" w:hint="default"/>
        <w:sz w:val="24"/>
      </w:rPr>
    </w:lvl>
    <w:lvl w:ilvl="1">
      <w:start w:val="1"/>
      <w:numFmt w:val="decimal"/>
      <w:pStyle w:val="FDUKam"/>
      <w:isLgl/>
      <w:lvlText w:val="%1.%2."/>
      <w:lvlJc w:val="left"/>
      <w:pPr>
        <w:ind w:left="502" w:hanging="360"/>
      </w:pPr>
      <w:rPr>
        <w:rFonts w:ascii="Times New Roman" w:hAnsi="Times New Roman" w:cs="Times New Roman" w:hint="default"/>
        <w:b w:val="0"/>
        <w:sz w:val="22"/>
        <w:szCs w:val="22"/>
      </w:rPr>
    </w:lvl>
    <w:lvl w:ilvl="2">
      <w:start w:val="1"/>
      <w:numFmt w:val="decimal"/>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3A671D9"/>
    <w:multiLevelType w:val="hybridMultilevel"/>
    <w:tmpl w:val="C1D0EFCC"/>
    <w:lvl w:ilvl="0" w:tplc="DFCE9480">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F9231E"/>
    <w:multiLevelType w:val="multilevel"/>
    <w:tmpl w:val="84261B64"/>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1DA62320"/>
    <w:multiLevelType w:val="hybridMultilevel"/>
    <w:tmpl w:val="4ECAFF6A"/>
    <w:lvl w:ilvl="0" w:tplc="31944A62">
      <w:start w:val="1"/>
      <w:numFmt w:val="lowerLetter"/>
      <w:lvlText w:val="%1."/>
      <w:lvlJc w:val="left"/>
      <w:pPr>
        <w:ind w:left="720" w:hanging="360"/>
      </w:pPr>
      <w:rPr>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355244"/>
    <w:multiLevelType w:val="hybridMultilevel"/>
    <w:tmpl w:val="A134FA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D242A0"/>
    <w:multiLevelType w:val="hybridMultilevel"/>
    <w:tmpl w:val="66821914"/>
    <w:lvl w:ilvl="0" w:tplc="C5780F3A">
      <w:numFmt w:val="bullet"/>
      <w:lvlText w:val="-"/>
      <w:lvlJc w:val="left"/>
      <w:pPr>
        <w:ind w:left="720" w:hanging="360"/>
      </w:pPr>
      <w:rPr>
        <w:rFonts w:ascii="Times New Roman" w:eastAsiaTheme="minorEastAsia" w:hAnsi="Times New Roman" w:cs="Times New Roman"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267626"/>
    <w:multiLevelType w:val="hybridMultilevel"/>
    <w:tmpl w:val="CFCEBF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F967E4"/>
    <w:multiLevelType w:val="hybridMultilevel"/>
    <w:tmpl w:val="A7C00286"/>
    <w:lvl w:ilvl="0" w:tplc="04260001">
      <w:start w:val="1"/>
      <w:numFmt w:val="bullet"/>
      <w:lvlText w:val=""/>
      <w:lvlJc w:val="left"/>
      <w:pPr>
        <w:ind w:left="2007" w:hanging="360"/>
      </w:pPr>
      <w:rPr>
        <w:rFonts w:ascii="Symbol" w:hAnsi="Symbol" w:hint="default"/>
      </w:rPr>
    </w:lvl>
    <w:lvl w:ilvl="1" w:tplc="04260003">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14" w15:restartNumberingAfterBreak="0">
    <w:nsid w:val="295264D5"/>
    <w:multiLevelType w:val="hybridMultilevel"/>
    <w:tmpl w:val="4C302BB0"/>
    <w:lvl w:ilvl="0" w:tplc="895E63C8">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5B1B24"/>
    <w:multiLevelType w:val="hybridMultilevel"/>
    <w:tmpl w:val="EF286BFC"/>
    <w:lvl w:ilvl="0" w:tplc="40E4F4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2C5B84"/>
    <w:multiLevelType w:val="hybridMultilevel"/>
    <w:tmpl w:val="2A22B622"/>
    <w:lvl w:ilvl="0" w:tplc="04260011">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7" w15:restartNumberingAfterBreak="0">
    <w:nsid w:val="37920BA8"/>
    <w:multiLevelType w:val="hybridMultilevel"/>
    <w:tmpl w:val="DB001346"/>
    <w:lvl w:ilvl="0" w:tplc="58D68196">
      <w:start w:val="1"/>
      <w:numFmt w:val="decimal"/>
      <w:lvlText w:val="(%1)"/>
      <w:lvlJc w:val="left"/>
      <w:pPr>
        <w:ind w:left="720"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776D91"/>
    <w:multiLevelType w:val="hybridMultilevel"/>
    <w:tmpl w:val="255CC6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954F8E"/>
    <w:multiLevelType w:val="multilevel"/>
    <w:tmpl w:val="90A696C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0" w15:restartNumberingAfterBreak="0">
    <w:nsid w:val="3FD179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E51052"/>
    <w:multiLevelType w:val="hybridMultilevel"/>
    <w:tmpl w:val="BC98CBD0"/>
    <w:lvl w:ilvl="0" w:tplc="5B1CB6FE">
      <w:start w:val="1"/>
      <w:numFmt w:val="decimal"/>
      <w:lvlText w:val="(%1)"/>
      <w:lvlJc w:val="left"/>
      <w:pPr>
        <w:ind w:left="720"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320B20"/>
    <w:multiLevelType w:val="hybridMultilevel"/>
    <w:tmpl w:val="0C903116"/>
    <w:lvl w:ilvl="0" w:tplc="04260019">
      <w:start w:val="1"/>
      <w:numFmt w:val="lowerLetter"/>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AD05E2"/>
    <w:multiLevelType w:val="hybridMultilevel"/>
    <w:tmpl w:val="1624B748"/>
    <w:lvl w:ilvl="0" w:tplc="0409000F">
      <w:start w:val="1"/>
      <w:numFmt w:val="decimal"/>
      <w:lvlText w:val="%1."/>
      <w:lvlJc w:val="left"/>
      <w:pPr>
        <w:ind w:left="1287" w:hanging="360"/>
      </w:pPr>
      <w:rPr>
        <w:rFont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5B74187"/>
    <w:multiLevelType w:val="hybridMultilevel"/>
    <w:tmpl w:val="541C218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61A1A58"/>
    <w:multiLevelType w:val="hybridMultilevel"/>
    <w:tmpl w:val="B57E23E6"/>
    <w:lvl w:ilvl="0" w:tplc="04260011">
      <w:start w:val="1"/>
      <w:numFmt w:val="decimal"/>
      <w:lvlText w:val="%1)"/>
      <w:lvlJc w:val="left"/>
      <w:pPr>
        <w:ind w:left="1211" w:hanging="360"/>
      </w:p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15:restartNumberingAfterBreak="0">
    <w:nsid w:val="49A92D9B"/>
    <w:multiLevelType w:val="hybridMultilevel"/>
    <w:tmpl w:val="D3305B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4EC05472"/>
    <w:multiLevelType w:val="hybridMultilevel"/>
    <w:tmpl w:val="AFB8B760"/>
    <w:lvl w:ilvl="0" w:tplc="DFCE9480">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2B312A"/>
    <w:multiLevelType w:val="hybridMultilevel"/>
    <w:tmpl w:val="A0AA182A"/>
    <w:lvl w:ilvl="0" w:tplc="8D0EFCAA">
      <w:start w:val="1"/>
      <w:numFmt w:val="decimal"/>
      <w:lvlText w:val="%1."/>
      <w:lvlJc w:val="left"/>
      <w:pPr>
        <w:tabs>
          <w:tab w:val="num" w:pos="720"/>
        </w:tabs>
        <w:ind w:left="720" w:hanging="360"/>
      </w:pPr>
    </w:lvl>
    <w:lvl w:ilvl="1" w:tplc="A7A02410" w:tentative="1">
      <w:start w:val="1"/>
      <w:numFmt w:val="decimal"/>
      <w:lvlText w:val="%2."/>
      <w:lvlJc w:val="left"/>
      <w:pPr>
        <w:tabs>
          <w:tab w:val="num" w:pos="1440"/>
        </w:tabs>
        <w:ind w:left="1440" w:hanging="360"/>
      </w:pPr>
    </w:lvl>
    <w:lvl w:ilvl="2" w:tplc="CA661F80" w:tentative="1">
      <w:start w:val="1"/>
      <w:numFmt w:val="decimal"/>
      <w:lvlText w:val="%3."/>
      <w:lvlJc w:val="left"/>
      <w:pPr>
        <w:tabs>
          <w:tab w:val="num" w:pos="2160"/>
        </w:tabs>
        <w:ind w:left="2160" w:hanging="360"/>
      </w:pPr>
    </w:lvl>
    <w:lvl w:ilvl="3" w:tplc="F1561A4C" w:tentative="1">
      <w:start w:val="1"/>
      <w:numFmt w:val="decimal"/>
      <w:lvlText w:val="%4."/>
      <w:lvlJc w:val="left"/>
      <w:pPr>
        <w:tabs>
          <w:tab w:val="num" w:pos="2880"/>
        </w:tabs>
        <w:ind w:left="2880" w:hanging="360"/>
      </w:pPr>
    </w:lvl>
    <w:lvl w:ilvl="4" w:tplc="404E6FE4" w:tentative="1">
      <w:start w:val="1"/>
      <w:numFmt w:val="decimal"/>
      <w:lvlText w:val="%5."/>
      <w:lvlJc w:val="left"/>
      <w:pPr>
        <w:tabs>
          <w:tab w:val="num" w:pos="3600"/>
        </w:tabs>
        <w:ind w:left="3600" w:hanging="360"/>
      </w:pPr>
    </w:lvl>
    <w:lvl w:ilvl="5" w:tplc="F210E844" w:tentative="1">
      <w:start w:val="1"/>
      <w:numFmt w:val="decimal"/>
      <w:lvlText w:val="%6."/>
      <w:lvlJc w:val="left"/>
      <w:pPr>
        <w:tabs>
          <w:tab w:val="num" w:pos="4320"/>
        </w:tabs>
        <w:ind w:left="4320" w:hanging="360"/>
      </w:pPr>
    </w:lvl>
    <w:lvl w:ilvl="6" w:tplc="2672659E" w:tentative="1">
      <w:start w:val="1"/>
      <w:numFmt w:val="decimal"/>
      <w:lvlText w:val="%7."/>
      <w:lvlJc w:val="left"/>
      <w:pPr>
        <w:tabs>
          <w:tab w:val="num" w:pos="5040"/>
        </w:tabs>
        <w:ind w:left="5040" w:hanging="360"/>
      </w:pPr>
    </w:lvl>
    <w:lvl w:ilvl="7" w:tplc="BB8A11B2" w:tentative="1">
      <w:start w:val="1"/>
      <w:numFmt w:val="decimal"/>
      <w:lvlText w:val="%8."/>
      <w:lvlJc w:val="left"/>
      <w:pPr>
        <w:tabs>
          <w:tab w:val="num" w:pos="5760"/>
        </w:tabs>
        <w:ind w:left="5760" w:hanging="360"/>
      </w:pPr>
    </w:lvl>
    <w:lvl w:ilvl="8" w:tplc="5F18B162" w:tentative="1">
      <w:start w:val="1"/>
      <w:numFmt w:val="decimal"/>
      <w:lvlText w:val="%9."/>
      <w:lvlJc w:val="left"/>
      <w:pPr>
        <w:tabs>
          <w:tab w:val="num" w:pos="6480"/>
        </w:tabs>
        <w:ind w:left="6480" w:hanging="360"/>
      </w:pPr>
    </w:lvl>
  </w:abstractNum>
  <w:abstractNum w:abstractNumId="29"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30" w15:restartNumberingAfterBreak="0">
    <w:nsid w:val="5A362050"/>
    <w:multiLevelType w:val="hybridMultilevel"/>
    <w:tmpl w:val="A1805D46"/>
    <w:lvl w:ilvl="0" w:tplc="DFCE9480">
      <w:start w:val="1"/>
      <w:numFmt w:val="lowerLetter"/>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F773CA"/>
    <w:multiLevelType w:val="hybridMultilevel"/>
    <w:tmpl w:val="9B9AF09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2" w15:restartNumberingAfterBreak="0">
    <w:nsid w:val="5C614756"/>
    <w:multiLevelType w:val="hybridMultilevel"/>
    <w:tmpl w:val="C8666E36"/>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6027143F"/>
    <w:multiLevelType w:val="hybridMultilevel"/>
    <w:tmpl w:val="3A5E9D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13E55A9"/>
    <w:multiLevelType w:val="hybridMultilevel"/>
    <w:tmpl w:val="D2E07B1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68392D83"/>
    <w:multiLevelType w:val="multilevel"/>
    <w:tmpl w:val="BF42B760"/>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36" w15:restartNumberingAfterBreak="0">
    <w:nsid w:val="691F1E1F"/>
    <w:multiLevelType w:val="hybridMultilevel"/>
    <w:tmpl w:val="E6AE596C"/>
    <w:lvl w:ilvl="0" w:tplc="F8963AA6">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98C702D"/>
    <w:multiLevelType w:val="hybridMultilevel"/>
    <w:tmpl w:val="61F6798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4F13F2"/>
    <w:multiLevelType w:val="hybridMultilevel"/>
    <w:tmpl w:val="CD920316"/>
    <w:lvl w:ilvl="0" w:tplc="58D68196">
      <w:start w:val="1"/>
      <w:numFmt w:val="decimal"/>
      <w:lvlText w:val="(%1)"/>
      <w:lvlJc w:val="left"/>
      <w:pPr>
        <w:ind w:left="720"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DB6FE0"/>
    <w:multiLevelType w:val="hybridMultilevel"/>
    <w:tmpl w:val="4CBE94FC"/>
    <w:lvl w:ilvl="0" w:tplc="04260001">
      <w:start w:val="1"/>
      <w:numFmt w:val="bullet"/>
      <w:lvlText w:val=""/>
      <w:lvlJc w:val="left"/>
      <w:pPr>
        <w:ind w:left="1287" w:hanging="360"/>
      </w:pPr>
      <w:rPr>
        <w:rFonts w:ascii="Symbol" w:hAnsi="Symbo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798A072D"/>
    <w:multiLevelType w:val="hybridMultilevel"/>
    <w:tmpl w:val="5EC41AB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70664C"/>
    <w:multiLevelType w:val="multilevel"/>
    <w:tmpl w:val="316A1A0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cstheme="minorBidi" w:hint="default"/>
      </w:rPr>
    </w:lvl>
    <w:lvl w:ilvl="2">
      <w:start w:val="1"/>
      <w:numFmt w:val="decimal"/>
      <w:isLgl/>
      <w:lvlText w:val="%1.%2.%3."/>
      <w:lvlJc w:val="left"/>
      <w:pPr>
        <w:ind w:left="2520" w:hanging="720"/>
      </w:pPr>
      <w:rPr>
        <w:rFonts w:cstheme="minorBidi" w:hint="default"/>
      </w:rPr>
    </w:lvl>
    <w:lvl w:ilvl="3">
      <w:start w:val="1"/>
      <w:numFmt w:val="decimal"/>
      <w:isLgl/>
      <w:lvlText w:val="%1.%2.%3.%4."/>
      <w:lvlJc w:val="left"/>
      <w:pPr>
        <w:ind w:left="3600" w:hanging="1080"/>
      </w:pPr>
      <w:rPr>
        <w:rFonts w:cstheme="minorBidi" w:hint="default"/>
      </w:rPr>
    </w:lvl>
    <w:lvl w:ilvl="4">
      <w:start w:val="1"/>
      <w:numFmt w:val="decimal"/>
      <w:isLgl/>
      <w:lvlText w:val="%1.%2.%3.%4.%5."/>
      <w:lvlJc w:val="left"/>
      <w:pPr>
        <w:ind w:left="4320" w:hanging="1080"/>
      </w:pPr>
      <w:rPr>
        <w:rFonts w:cstheme="minorBidi" w:hint="default"/>
      </w:rPr>
    </w:lvl>
    <w:lvl w:ilvl="5">
      <w:start w:val="1"/>
      <w:numFmt w:val="decimal"/>
      <w:isLgl/>
      <w:lvlText w:val="%1.%2.%3.%4.%5.%6."/>
      <w:lvlJc w:val="left"/>
      <w:pPr>
        <w:ind w:left="5400" w:hanging="1440"/>
      </w:pPr>
      <w:rPr>
        <w:rFonts w:cstheme="minorBidi" w:hint="default"/>
      </w:rPr>
    </w:lvl>
    <w:lvl w:ilvl="6">
      <w:start w:val="1"/>
      <w:numFmt w:val="decimal"/>
      <w:isLgl/>
      <w:lvlText w:val="%1.%2.%3.%4.%5.%6.%7."/>
      <w:lvlJc w:val="left"/>
      <w:pPr>
        <w:ind w:left="6480" w:hanging="1800"/>
      </w:pPr>
      <w:rPr>
        <w:rFonts w:cstheme="minorBidi" w:hint="default"/>
      </w:rPr>
    </w:lvl>
    <w:lvl w:ilvl="7">
      <w:start w:val="1"/>
      <w:numFmt w:val="decimal"/>
      <w:isLgl/>
      <w:lvlText w:val="%1.%2.%3.%4.%5.%6.%7.%8."/>
      <w:lvlJc w:val="left"/>
      <w:pPr>
        <w:ind w:left="7200" w:hanging="1800"/>
      </w:pPr>
      <w:rPr>
        <w:rFonts w:cstheme="minorBidi" w:hint="default"/>
      </w:rPr>
    </w:lvl>
    <w:lvl w:ilvl="8">
      <w:start w:val="1"/>
      <w:numFmt w:val="decimal"/>
      <w:isLgl/>
      <w:lvlText w:val="%1.%2.%3.%4.%5.%6.%7.%8.%9."/>
      <w:lvlJc w:val="left"/>
      <w:pPr>
        <w:ind w:left="8280" w:hanging="2160"/>
      </w:pPr>
      <w:rPr>
        <w:rFonts w:cstheme="minorBidi" w:hint="default"/>
      </w:rPr>
    </w:lvl>
  </w:abstractNum>
  <w:abstractNum w:abstractNumId="42" w15:restartNumberingAfterBreak="0">
    <w:nsid w:val="7C047BEA"/>
    <w:multiLevelType w:val="multilevel"/>
    <w:tmpl w:val="2882696E"/>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3" w15:restartNumberingAfterBreak="0">
    <w:nsid w:val="7CC67EB8"/>
    <w:multiLevelType w:val="hybridMultilevel"/>
    <w:tmpl w:val="3990B3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11"/>
  </w:num>
  <w:num w:numId="3">
    <w:abstractNumId w:val="3"/>
  </w:num>
  <w:num w:numId="4">
    <w:abstractNumId w:val="16"/>
  </w:num>
  <w:num w:numId="5">
    <w:abstractNumId w:val="15"/>
  </w:num>
  <w:num w:numId="6">
    <w:abstractNumId w:val="26"/>
  </w:num>
  <w:num w:numId="7">
    <w:abstractNumId w:val="26"/>
  </w:num>
  <w:num w:numId="8">
    <w:abstractNumId w:val="25"/>
  </w:num>
  <w:num w:numId="9">
    <w:abstractNumId w:val="8"/>
  </w:num>
  <w:num w:numId="10">
    <w:abstractNumId w:val="35"/>
  </w:num>
  <w:num w:numId="11">
    <w:abstractNumId w:val="30"/>
  </w:num>
  <w:num w:numId="12">
    <w:abstractNumId w:val="40"/>
  </w:num>
  <w:num w:numId="13">
    <w:abstractNumId w:val="6"/>
  </w:num>
  <w:num w:numId="14">
    <w:abstractNumId w:val="27"/>
  </w:num>
  <w:num w:numId="15">
    <w:abstractNumId w:val="0"/>
  </w:num>
  <w:num w:numId="16">
    <w:abstractNumId w:val="7"/>
  </w:num>
  <w:num w:numId="17">
    <w:abstractNumId w:val="28"/>
  </w:num>
  <w:num w:numId="18">
    <w:abstractNumId w:val="14"/>
  </w:num>
  <w:num w:numId="19">
    <w:abstractNumId w:val="13"/>
  </w:num>
  <w:num w:numId="20">
    <w:abstractNumId w:val="21"/>
  </w:num>
  <w:num w:numId="21">
    <w:abstractNumId w:val="10"/>
  </w:num>
  <w:num w:numId="22">
    <w:abstractNumId w:val="36"/>
  </w:num>
  <w:num w:numId="23">
    <w:abstractNumId w:val="42"/>
  </w:num>
  <w:num w:numId="24">
    <w:abstractNumId w:val="23"/>
  </w:num>
  <w:num w:numId="25">
    <w:abstractNumId w:val="24"/>
  </w:num>
  <w:num w:numId="26">
    <w:abstractNumId w:val="41"/>
  </w:num>
  <w:num w:numId="27">
    <w:abstractNumId w:val="2"/>
  </w:num>
  <w:num w:numId="28">
    <w:abstractNumId w:val="9"/>
  </w:num>
  <w:num w:numId="29">
    <w:abstractNumId w:val="22"/>
  </w:num>
  <w:num w:numId="30">
    <w:abstractNumId w:val="39"/>
  </w:num>
  <w:num w:numId="31">
    <w:abstractNumId w:val="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1"/>
  </w:num>
  <w:num w:numId="35">
    <w:abstractNumId w:val="34"/>
  </w:num>
  <w:num w:numId="36">
    <w:abstractNumId w:val="1"/>
  </w:num>
  <w:num w:numId="37">
    <w:abstractNumId w:val="18"/>
  </w:num>
  <w:num w:numId="38">
    <w:abstractNumId w:val="43"/>
  </w:num>
  <w:num w:numId="39">
    <w:abstractNumId w:val="33"/>
  </w:num>
  <w:num w:numId="40">
    <w:abstractNumId w:val="5"/>
  </w:num>
  <w:num w:numId="41">
    <w:abstractNumId w:val="17"/>
  </w:num>
  <w:num w:numId="42">
    <w:abstractNumId w:val="19"/>
  </w:num>
  <w:num w:numId="43">
    <w:abstractNumId w:val="20"/>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F0"/>
    <w:rsid w:val="00000228"/>
    <w:rsid w:val="00000F02"/>
    <w:rsid w:val="000012CA"/>
    <w:rsid w:val="00001728"/>
    <w:rsid w:val="00002AE5"/>
    <w:rsid w:val="00013D5B"/>
    <w:rsid w:val="000140A0"/>
    <w:rsid w:val="00016087"/>
    <w:rsid w:val="000174B4"/>
    <w:rsid w:val="00022578"/>
    <w:rsid w:val="000313F3"/>
    <w:rsid w:val="00031730"/>
    <w:rsid w:val="00032787"/>
    <w:rsid w:val="0003560A"/>
    <w:rsid w:val="000379C5"/>
    <w:rsid w:val="00050150"/>
    <w:rsid w:val="00051F87"/>
    <w:rsid w:val="00052359"/>
    <w:rsid w:val="000535B0"/>
    <w:rsid w:val="000622AB"/>
    <w:rsid w:val="00064E38"/>
    <w:rsid w:val="00065831"/>
    <w:rsid w:val="00067936"/>
    <w:rsid w:val="00071965"/>
    <w:rsid w:val="000744A7"/>
    <w:rsid w:val="00080586"/>
    <w:rsid w:val="00080615"/>
    <w:rsid w:val="000821D3"/>
    <w:rsid w:val="00082C45"/>
    <w:rsid w:val="0008520F"/>
    <w:rsid w:val="000868E0"/>
    <w:rsid w:val="0008701C"/>
    <w:rsid w:val="00087C92"/>
    <w:rsid w:val="000932BA"/>
    <w:rsid w:val="00093E6F"/>
    <w:rsid w:val="000957C5"/>
    <w:rsid w:val="00095B26"/>
    <w:rsid w:val="000966F2"/>
    <w:rsid w:val="000A4778"/>
    <w:rsid w:val="000A58BD"/>
    <w:rsid w:val="000A764F"/>
    <w:rsid w:val="000B4592"/>
    <w:rsid w:val="000B5BE6"/>
    <w:rsid w:val="000D0613"/>
    <w:rsid w:val="000E45A0"/>
    <w:rsid w:val="000E468F"/>
    <w:rsid w:val="000F0B47"/>
    <w:rsid w:val="000F139F"/>
    <w:rsid w:val="000F2073"/>
    <w:rsid w:val="000F2BE5"/>
    <w:rsid w:val="0010395C"/>
    <w:rsid w:val="00104B62"/>
    <w:rsid w:val="00104D52"/>
    <w:rsid w:val="00107397"/>
    <w:rsid w:val="001139AF"/>
    <w:rsid w:val="00115D7E"/>
    <w:rsid w:val="00126864"/>
    <w:rsid w:val="0013064B"/>
    <w:rsid w:val="00133BC5"/>
    <w:rsid w:val="00135DA7"/>
    <w:rsid w:val="001363F9"/>
    <w:rsid w:val="0013755A"/>
    <w:rsid w:val="00137FF5"/>
    <w:rsid w:val="00140396"/>
    <w:rsid w:val="001415E9"/>
    <w:rsid w:val="001426F8"/>
    <w:rsid w:val="001434F2"/>
    <w:rsid w:val="00143D72"/>
    <w:rsid w:val="00145FFC"/>
    <w:rsid w:val="00146905"/>
    <w:rsid w:val="001522DF"/>
    <w:rsid w:val="00153476"/>
    <w:rsid w:val="0015568E"/>
    <w:rsid w:val="001658C5"/>
    <w:rsid w:val="00171BD7"/>
    <w:rsid w:val="001723AE"/>
    <w:rsid w:val="00173C54"/>
    <w:rsid w:val="0018093D"/>
    <w:rsid w:val="0018266A"/>
    <w:rsid w:val="00183A3B"/>
    <w:rsid w:val="00193EE6"/>
    <w:rsid w:val="001A0ED8"/>
    <w:rsid w:val="001A219D"/>
    <w:rsid w:val="001A7818"/>
    <w:rsid w:val="001A7B66"/>
    <w:rsid w:val="001C314A"/>
    <w:rsid w:val="001D5319"/>
    <w:rsid w:val="001E0AF4"/>
    <w:rsid w:val="001E2997"/>
    <w:rsid w:val="001F0ADC"/>
    <w:rsid w:val="001F1F72"/>
    <w:rsid w:val="001F5930"/>
    <w:rsid w:val="002052E8"/>
    <w:rsid w:val="00210B51"/>
    <w:rsid w:val="00227E6C"/>
    <w:rsid w:val="0024071F"/>
    <w:rsid w:val="00243232"/>
    <w:rsid w:val="00243F61"/>
    <w:rsid w:val="00246822"/>
    <w:rsid w:val="00252120"/>
    <w:rsid w:val="002521DF"/>
    <w:rsid w:val="00252BAC"/>
    <w:rsid w:val="002562E7"/>
    <w:rsid w:val="002609C5"/>
    <w:rsid w:val="00262F3E"/>
    <w:rsid w:val="00264B0E"/>
    <w:rsid w:val="00271763"/>
    <w:rsid w:val="00274A83"/>
    <w:rsid w:val="002751BD"/>
    <w:rsid w:val="00282198"/>
    <w:rsid w:val="00282A89"/>
    <w:rsid w:val="0028589A"/>
    <w:rsid w:val="0028730C"/>
    <w:rsid w:val="002906A7"/>
    <w:rsid w:val="00296092"/>
    <w:rsid w:val="0029632C"/>
    <w:rsid w:val="002A0404"/>
    <w:rsid w:val="002A0CD8"/>
    <w:rsid w:val="002A22C9"/>
    <w:rsid w:val="002A72D4"/>
    <w:rsid w:val="002B0D6D"/>
    <w:rsid w:val="002B4D9A"/>
    <w:rsid w:val="002B5880"/>
    <w:rsid w:val="002C7D31"/>
    <w:rsid w:val="002D52B9"/>
    <w:rsid w:val="002D6995"/>
    <w:rsid w:val="002E1D8A"/>
    <w:rsid w:val="002E2C7E"/>
    <w:rsid w:val="002E6599"/>
    <w:rsid w:val="002E699C"/>
    <w:rsid w:val="002F2A47"/>
    <w:rsid w:val="002F4643"/>
    <w:rsid w:val="002F6257"/>
    <w:rsid w:val="002F718E"/>
    <w:rsid w:val="0031293A"/>
    <w:rsid w:val="0031421B"/>
    <w:rsid w:val="00314EE9"/>
    <w:rsid w:val="00314F0A"/>
    <w:rsid w:val="00317B13"/>
    <w:rsid w:val="0032443F"/>
    <w:rsid w:val="00330CC9"/>
    <w:rsid w:val="0033214E"/>
    <w:rsid w:val="003330F6"/>
    <w:rsid w:val="0033459E"/>
    <w:rsid w:val="00335A39"/>
    <w:rsid w:val="00343EDC"/>
    <w:rsid w:val="0034697D"/>
    <w:rsid w:val="00346D45"/>
    <w:rsid w:val="00347CAD"/>
    <w:rsid w:val="00350A0E"/>
    <w:rsid w:val="003541D0"/>
    <w:rsid w:val="00360E8E"/>
    <w:rsid w:val="0036360B"/>
    <w:rsid w:val="003636AD"/>
    <w:rsid w:val="003650C7"/>
    <w:rsid w:val="00367884"/>
    <w:rsid w:val="00370D34"/>
    <w:rsid w:val="0037392E"/>
    <w:rsid w:val="00374548"/>
    <w:rsid w:val="00376DF6"/>
    <w:rsid w:val="00382730"/>
    <w:rsid w:val="00385F0A"/>
    <w:rsid w:val="003878FD"/>
    <w:rsid w:val="003925E9"/>
    <w:rsid w:val="00393EE7"/>
    <w:rsid w:val="003942CD"/>
    <w:rsid w:val="003946DB"/>
    <w:rsid w:val="003A2CB0"/>
    <w:rsid w:val="003B2CCE"/>
    <w:rsid w:val="003B472F"/>
    <w:rsid w:val="003B5244"/>
    <w:rsid w:val="003B58BC"/>
    <w:rsid w:val="003B60AB"/>
    <w:rsid w:val="003B6755"/>
    <w:rsid w:val="003B775D"/>
    <w:rsid w:val="003D3888"/>
    <w:rsid w:val="003D4ADE"/>
    <w:rsid w:val="003D4B5B"/>
    <w:rsid w:val="003E19C0"/>
    <w:rsid w:val="003E70CE"/>
    <w:rsid w:val="003F0164"/>
    <w:rsid w:val="003F22BD"/>
    <w:rsid w:val="003F4498"/>
    <w:rsid w:val="003F5575"/>
    <w:rsid w:val="004000E5"/>
    <w:rsid w:val="004031DC"/>
    <w:rsid w:val="00403820"/>
    <w:rsid w:val="004078E9"/>
    <w:rsid w:val="00412815"/>
    <w:rsid w:val="004141B3"/>
    <w:rsid w:val="004148C4"/>
    <w:rsid w:val="00416A66"/>
    <w:rsid w:val="00417CB2"/>
    <w:rsid w:val="0043213F"/>
    <w:rsid w:val="0043753E"/>
    <w:rsid w:val="0044785A"/>
    <w:rsid w:val="0045654E"/>
    <w:rsid w:val="00464145"/>
    <w:rsid w:val="00470EAA"/>
    <w:rsid w:val="0047564F"/>
    <w:rsid w:val="00475B3A"/>
    <w:rsid w:val="004841FE"/>
    <w:rsid w:val="00484BE6"/>
    <w:rsid w:val="004874B6"/>
    <w:rsid w:val="004929C5"/>
    <w:rsid w:val="00493BF7"/>
    <w:rsid w:val="00495A2A"/>
    <w:rsid w:val="004A1DF0"/>
    <w:rsid w:val="004A6804"/>
    <w:rsid w:val="004B43EA"/>
    <w:rsid w:val="004B459E"/>
    <w:rsid w:val="004B479A"/>
    <w:rsid w:val="004B71F9"/>
    <w:rsid w:val="004C4020"/>
    <w:rsid w:val="004C410A"/>
    <w:rsid w:val="004D0FD6"/>
    <w:rsid w:val="004D54D3"/>
    <w:rsid w:val="004D5B18"/>
    <w:rsid w:val="004E0B1E"/>
    <w:rsid w:val="004E12FB"/>
    <w:rsid w:val="004F47BE"/>
    <w:rsid w:val="004F4A7F"/>
    <w:rsid w:val="0050076D"/>
    <w:rsid w:val="005007ED"/>
    <w:rsid w:val="0050144E"/>
    <w:rsid w:val="00502525"/>
    <w:rsid w:val="00507F1D"/>
    <w:rsid w:val="00517FFD"/>
    <w:rsid w:val="0052114D"/>
    <w:rsid w:val="00523838"/>
    <w:rsid w:val="0052552D"/>
    <w:rsid w:val="0053006D"/>
    <w:rsid w:val="00531CEF"/>
    <w:rsid w:val="0053219A"/>
    <w:rsid w:val="005328B0"/>
    <w:rsid w:val="00534045"/>
    <w:rsid w:val="005355D5"/>
    <w:rsid w:val="00536E2F"/>
    <w:rsid w:val="005404DA"/>
    <w:rsid w:val="00541CF9"/>
    <w:rsid w:val="00542FE0"/>
    <w:rsid w:val="005550C5"/>
    <w:rsid w:val="005553A6"/>
    <w:rsid w:val="00563599"/>
    <w:rsid w:val="00566A91"/>
    <w:rsid w:val="00570139"/>
    <w:rsid w:val="0057278F"/>
    <w:rsid w:val="00587F36"/>
    <w:rsid w:val="005971D2"/>
    <w:rsid w:val="005A2AA7"/>
    <w:rsid w:val="005A3100"/>
    <w:rsid w:val="005A539B"/>
    <w:rsid w:val="005A5D48"/>
    <w:rsid w:val="005B253F"/>
    <w:rsid w:val="005D1EE0"/>
    <w:rsid w:val="005D36E9"/>
    <w:rsid w:val="005D527E"/>
    <w:rsid w:val="005D6A42"/>
    <w:rsid w:val="005D790A"/>
    <w:rsid w:val="005E1673"/>
    <w:rsid w:val="005E261D"/>
    <w:rsid w:val="005E583D"/>
    <w:rsid w:val="005F59E8"/>
    <w:rsid w:val="005F660A"/>
    <w:rsid w:val="00605DBA"/>
    <w:rsid w:val="00610837"/>
    <w:rsid w:val="00611E95"/>
    <w:rsid w:val="00617223"/>
    <w:rsid w:val="00617B47"/>
    <w:rsid w:val="00620FB1"/>
    <w:rsid w:val="006223AD"/>
    <w:rsid w:val="00622A36"/>
    <w:rsid w:val="0062456E"/>
    <w:rsid w:val="006245ED"/>
    <w:rsid w:val="00624AF4"/>
    <w:rsid w:val="0062552B"/>
    <w:rsid w:val="006301E9"/>
    <w:rsid w:val="0063047B"/>
    <w:rsid w:val="00633A10"/>
    <w:rsid w:val="00633F20"/>
    <w:rsid w:val="0064030D"/>
    <w:rsid w:val="00656869"/>
    <w:rsid w:val="006661DA"/>
    <w:rsid w:val="00673A85"/>
    <w:rsid w:val="00674D7E"/>
    <w:rsid w:val="00675F01"/>
    <w:rsid w:val="00682796"/>
    <w:rsid w:val="00684C11"/>
    <w:rsid w:val="00693127"/>
    <w:rsid w:val="006A10E2"/>
    <w:rsid w:val="006A21DD"/>
    <w:rsid w:val="006A3086"/>
    <w:rsid w:val="006A6B92"/>
    <w:rsid w:val="006B0A0B"/>
    <w:rsid w:val="006B4758"/>
    <w:rsid w:val="006B4DA5"/>
    <w:rsid w:val="006B6905"/>
    <w:rsid w:val="006C0551"/>
    <w:rsid w:val="006C4FA7"/>
    <w:rsid w:val="006C58F9"/>
    <w:rsid w:val="006D048A"/>
    <w:rsid w:val="006E0315"/>
    <w:rsid w:val="006E2067"/>
    <w:rsid w:val="006E52CE"/>
    <w:rsid w:val="006E5DCA"/>
    <w:rsid w:val="006E7853"/>
    <w:rsid w:val="006F2727"/>
    <w:rsid w:val="006F3AA4"/>
    <w:rsid w:val="006F57DE"/>
    <w:rsid w:val="006F7F11"/>
    <w:rsid w:val="007022E4"/>
    <w:rsid w:val="00704B78"/>
    <w:rsid w:val="00704F98"/>
    <w:rsid w:val="007108D0"/>
    <w:rsid w:val="00711166"/>
    <w:rsid w:val="0071471C"/>
    <w:rsid w:val="00715B12"/>
    <w:rsid w:val="00720871"/>
    <w:rsid w:val="007208BF"/>
    <w:rsid w:val="00725E6C"/>
    <w:rsid w:val="00726B0E"/>
    <w:rsid w:val="007302B5"/>
    <w:rsid w:val="007316B6"/>
    <w:rsid w:val="0073191E"/>
    <w:rsid w:val="00735057"/>
    <w:rsid w:val="00741329"/>
    <w:rsid w:val="00742303"/>
    <w:rsid w:val="00744BEE"/>
    <w:rsid w:val="00745B13"/>
    <w:rsid w:val="007530F9"/>
    <w:rsid w:val="00755A8A"/>
    <w:rsid w:val="007613A3"/>
    <w:rsid w:val="00765DB6"/>
    <w:rsid w:val="007668F9"/>
    <w:rsid w:val="00766D8F"/>
    <w:rsid w:val="00767F01"/>
    <w:rsid w:val="007761BD"/>
    <w:rsid w:val="0077768A"/>
    <w:rsid w:val="00781262"/>
    <w:rsid w:val="0078136D"/>
    <w:rsid w:val="00787CF7"/>
    <w:rsid w:val="00794333"/>
    <w:rsid w:val="007A579A"/>
    <w:rsid w:val="007A6D80"/>
    <w:rsid w:val="007A7CB0"/>
    <w:rsid w:val="007B19E1"/>
    <w:rsid w:val="007B5A93"/>
    <w:rsid w:val="007B7A0A"/>
    <w:rsid w:val="007C0369"/>
    <w:rsid w:val="007C0879"/>
    <w:rsid w:val="007C1F5D"/>
    <w:rsid w:val="007C3684"/>
    <w:rsid w:val="007D2457"/>
    <w:rsid w:val="007D3F3D"/>
    <w:rsid w:val="007E2BAC"/>
    <w:rsid w:val="007E33B3"/>
    <w:rsid w:val="007E42AE"/>
    <w:rsid w:val="007F19B7"/>
    <w:rsid w:val="007F20C9"/>
    <w:rsid w:val="007F4E6B"/>
    <w:rsid w:val="00800270"/>
    <w:rsid w:val="008004B0"/>
    <w:rsid w:val="0080371F"/>
    <w:rsid w:val="0080419F"/>
    <w:rsid w:val="00805604"/>
    <w:rsid w:val="008057FA"/>
    <w:rsid w:val="00807A2B"/>
    <w:rsid w:val="008104EB"/>
    <w:rsid w:val="00813463"/>
    <w:rsid w:val="00824AD4"/>
    <w:rsid w:val="00832097"/>
    <w:rsid w:val="008412D3"/>
    <w:rsid w:val="00841F6E"/>
    <w:rsid w:val="008442FA"/>
    <w:rsid w:val="00851D33"/>
    <w:rsid w:val="00853C4D"/>
    <w:rsid w:val="008555AB"/>
    <w:rsid w:val="00861C0D"/>
    <w:rsid w:val="008624E7"/>
    <w:rsid w:val="00863754"/>
    <w:rsid w:val="0086381F"/>
    <w:rsid w:val="00863CD6"/>
    <w:rsid w:val="00870B24"/>
    <w:rsid w:val="00873561"/>
    <w:rsid w:val="00876B93"/>
    <w:rsid w:val="00881868"/>
    <w:rsid w:val="0088573B"/>
    <w:rsid w:val="00885A25"/>
    <w:rsid w:val="00886CD5"/>
    <w:rsid w:val="0089467C"/>
    <w:rsid w:val="00895C82"/>
    <w:rsid w:val="00897381"/>
    <w:rsid w:val="008A5043"/>
    <w:rsid w:val="008A77CF"/>
    <w:rsid w:val="008B1236"/>
    <w:rsid w:val="008B2638"/>
    <w:rsid w:val="008B352D"/>
    <w:rsid w:val="008B544C"/>
    <w:rsid w:val="008B5B7E"/>
    <w:rsid w:val="008B7DB0"/>
    <w:rsid w:val="008C499F"/>
    <w:rsid w:val="008D1113"/>
    <w:rsid w:val="008D5B12"/>
    <w:rsid w:val="008E07D0"/>
    <w:rsid w:val="008E0BBA"/>
    <w:rsid w:val="008E0ED6"/>
    <w:rsid w:val="008E1FFC"/>
    <w:rsid w:val="008E2B7B"/>
    <w:rsid w:val="008E5E64"/>
    <w:rsid w:val="008E613A"/>
    <w:rsid w:val="008F1CCD"/>
    <w:rsid w:val="008F60DD"/>
    <w:rsid w:val="008F734C"/>
    <w:rsid w:val="008F7CC2"/>
    <w:rsid w:val="00900D87"/>
    <w:rsid w:val="00902D0A"/>
    <w:rsid w:val="0090308C"/>
    <w:rsid w:val="009041C9"/>
    <w:rsid w:val="009119C3"/>
    <w:rsid w:val="00915BDC"/>
    <w:rsid w:val="00917BFD"/>
    <w:rsid w:val="00922A01"/>
    <w:rsid w:val="00924FF1"/>
    <w:rsid w:val="009267AA"/>
    <w:rsid w:val="009275EA"/>
    <w:rsid w:val="00951456"/>
    <w:rsid w:val="009565C8"/>
    <w:rsid w:val="0096131B"/>
    <w:rsid w:val="00962898"/>
    <w:rsid w:val="0096545A"/>
    <w:rsid w:val="00966A07"/>
    <w:rsid w:val="00971CB4"/>
    <w:rsid w:val="00973840"/>
    <w:rsid w:val="009809D8"/>
    <w:rsid w:val="0099183C"/>
    <w:rsid w:val="00994E89"/>
    <w:rsid w:val="0099786D"/>
    <w:rsid w:val="009A0F9D"/>
    <w:rsid w:val="009A5B2B"/>
    <w:rsid w:val="009B4451"/>
    <w:rsid w:val="009B4FA7"/>
    <w:rsid w:val="009C1764"/>
    <w:rsid w:val="009C5142"/>
    <w:rsid w:val="009C5FCC"/>
    <w:rsid w:val="009D1E3D"/>
    <w:rsid w:val="009D292C"/>
    <w:rsid w:val="009E6589"/>
    <w:rsid w:val="009F1708"/>
    <w:rsid w:val="009F41C3"/>
    <w:rsid w:val="009F7B0B"/>
    <w:rsid w:val="00A00516"/>
    <w:rsid w:val="00A015CF"/>
    <w:rsid w:val="00A04402"/>
    <w:rsid w:val="00A05F68"/>
    <w:rsid w:val="00A142BF"/>
    <w:rsid w:val="00A212C4"/>
    <w:rsid w:val="00A21C5D"/>
    <w:rsid w:val="00A21E60"/>
    <w:rsid w:val="00A2278E"/>
    <w:rsid w:val="00A304FA"/>
    <w:rsid w:val="00A31D6F"/>
    <w:rsid w:val="00A41619"/>
    <w:rsid w:val="00A41D31"/>
    <w:rsid w:val="00A420DC"/>
    <w:rsid w:val="00A43133"/>
    <w:rsid w:val="00A43359"/>
    <w:rsid w:val="00A5270A"/>
    <w:rsid w:val="00A53411"/>
    <w:rsid w:val="00A64E1C"/>
    <w:rsid w:val="00A65314"/>
    <w:rsid w:val="00A65FB5"/>
    <w:rsid w:val="00A71AB7"/>
    <w:rsid w:val="00A73023"/>
    <w:rsid w:val="00A73665"/>
    <w:rsid w:val="00A77D0D"/>
    <w:rsid w:val="00A813C4"/>
    <w:rsid w:val="00A8267D"/>
    <w:rsid w:val="00A82CBF"/>
    <w:rsid w:val="00A836FC"/>
    <w:rsid w:val="00A87FBE"/>
    <w:rsid w:val="00A92388"/>
    <w:rsid w:val="00A94156"/>
    <w:rsid w:val="00A97C2F"/>
    <w:rsid w:val="00AA0994"/>
    <w:rsid w:val="00AA1609"/>
    <w:rsid w:val="00AA5CC0"/>
    <w:rsid w:val="00AA7066"/>
    <w:rsid w:val="00AA74BF"/>
    <w:rsid w:val="00AB1A00"/>
    <w:rsid w:val="00AB300D"/>
    <w:rsid w:val="00AD4AEF"/>
    <w:rsid w:val="00AE048E"/>
    <w:rsid w:val="00AE36B4"/>
    <w:rsid w:val="00AF3140"/>
    <w:rsid w:val="00AF3F6A"/>
    <w:rsid w:val="00AF55EF"/>
    <w:rsid w:val="00B022A2"/>
    <w:rsid w:val="00B02E98"/>
    <w:rsid w:val="00B049D7"/>
    <w:rsid w:val="00B07014"/>
    <w:rsid w:val="00B074E0"/>
    <w:rsid w:val="00B124A3"/>
    <w:rsid w:val="00B12544"/>
    <w:rsid w:val="00B147CB"/>
    <w:rsid w:val="00B21954"/>
    <w:rsid w:val="00B21E77"/>
    <w:rsid w:val="00B23808"/>
    <w:rsid w:val="00B25876"/>
    <w:rsid w:val="00B315A7"/>
    <w:rsid w:val="00B32E78"/>
    <w:rsid w:val="00B33700"/>
    <w:rsid w:val="00B37A62"/>
    <w:rsid w:val="00B42031"/>
    <w:rsid w:val="00B464C9"/>
    <w:rsid w:val="00B56937"/>
    <w:rsid w:val="00B6050F"/>
    <w:rsid w:val="00B80C2E"/>
    <w:rsid w:val="00B82B9F"/>
    <w:rsid w:val="00B841E4"/>
    <w:rsid w:val="00B85451"/>
    <w:rsid w:val="00B86071"/>
    <w:rsid w:val="00B90F68"/>
    <w:rsid w:val="00BA02F6"/>
    <w:rsid w:val="00BA7142"/>
    <w:rsid w:val="00BB3335"/>
    <w:rsid w:val="00BB36AB"/>
    <w:rsid w:val="00BB4FB6"/>
    <w:rsid w:val="00BB52D7"/>
    <w:rsid w:val="00BC5513"/>
    <w:rsid w:val="00BC7CC0"/>
    <w:rsid w:val="00BD1269"/>
    <w:rsid w:val="00BD5BAA"/>
    <w:rsid w:val="00BD64E2"/>
    <w:rsid w:val="00BF3A67"/>
    <w:rsid w:val="00BF5134"/>
    <w:rsid w:val="00BF513B"/>
    <w:rsid w:val="00C008A4"/>
    <w:rsid w:val="00C13D69"/>
    <w:rsid w:val="00C15A98"/>
    <w:rsid w:val="00C22194"/>
    <w:rsid w:val="00C26242"/>
    <w:rsid w:val="00C30838"/>
    <w:rsid w:val="00C34FBF"/>
    <w:rsid w:val="00C35A09"/>
    <w:rsid w:val="00C44EED"/>
    <w:rsid w:val="00C46141"/>
    <w:rsid w:val="00C478BA"/>
    <w:rsid w:val="00C52DE7"/>
    <w:rsid w:val="00C5418F"/>
    <w:rsid w:val="00C541AF"/>
    <w:rsid w:val="00C576C8"/>
    <w:rsid w:val="00C65658"/>
    <w:rsid w:val="00C70174"/>
    <w:rsid w:val="00C758D6"/>
    <w:rsid w:val="00C763EE"/>
    <w:rsid w:val="00C767F2"/>
    <w:rsid w:val="00C7741B"/>
    <w:rsid w:val="00C8367E"/>
    <w:rsid w:val="00C8795A"/>
    <w:rsid w:val="00C90B7D"/>
    <w:rsid w:val="00CA071A"/>
    <w:rsid w:val="00CA1F5D"/>
    <w:rsid w:val="00CB20F4"/>
    <w:rsid w:val="00CB66AB"/>
    <w:rsid w:val="00CD2EBA"/>
    <w:rsid w:val="00CD7BF7"/>
    <w:rsid w:val="00CD7C85"/>
    <w:rsid w:val="00CE287A"/>
    <w:rsid w:val="00CE7D34"/>
    <w:rsid w:val="00CE7EDF"/>
    <w:rsid w:val="00CF10F4"/>
    <w:rsid w:val="00CF17FD"/>
    <w:rsid w:val="00CF35E7"/>
    <w:rsid w:val="00D03193"/>
    <w:rsid w:val="00D04D0F"/>
    <w:rsid w:val="00D06971"/>
    <w:rsid w:val="00D112FE"/>
    <w:rsid w:val="00D13A58"/>
    <w:rsid w:val="00D14ADC"/>
    <w:rsid w:val="00D14DA8"/>
    <w:rsid w:val="00D15D87"/>
    <w:rsid w:val="00D15EB2"/>
    <w:rsid w:val="00D21EFF"/>
    <w:rsid w:val="00D2339F"/>
    <w:rsid w:val="00D275D5"/>
    <w:rsid w:val="00D31A8E"/>
    <w:rsid w:val="00D35A48"/>
    <w:rsid w:val="00D35CA6"/>
    <w:rsid w:val="00D401EA"/>
    <w:rsid w:val="00D41578"/>
    <w:rsid w:val="00D44F2C"/>
    <w:rsid w:val="00D57573"/>
    <w:rsid w:val="00D6334C"/>
    <w:rsid w:val="00D64897"/>
    <w:rsid w:val="00D64E76"/>
    <w:rsid w:val="00D64F7A"/>
    <w:rsid w:val="00D668BC"/>
    <w:rsid w:val="00D715B3"/>
    <w:rsid w:val="00D72868"/>
    <w:rsid w:val="00D7565D"/>
    <w:rsid w:val="00D80124"/>
    <w:rsid w:val="00D81CD2"/>
    <w:rsid w:val="00D81DBC"/>
    <w:rsid w:val="00D8276B"/>
    <w:rsid w:val="00D853AF"/>
    <w:rsid w:val="00D91CA3"/>
    <w:rsid w:val="00D978A1"/>
    <w:rsid w:val="00DA0CD6"/>
    <w:rsid w:val="00DA1DE7"/>
    <w:rsid w:val="00DA5E17"/>
    <w:rsid w:val="00DB2596"/>
    <w:rsid w:val="00DB2C52"/>
    <w:rsid w:val="00DC36D9"/>
    <w:rsid w:val="00DC64E4"/>
    <w:rsid w:val="00DD0851"/>
    <w:rsid w:val="00DD1C01"/>
    <w:rsid w:val="00DD7664"/>
    <w:rsid w:val="00DE0957"/>
    <w:rsid w:val="00DE155D"/>
    <w:rsid w:val="00DE59D5"/>
    <w:rsid w:val="00DE70A4"/>
    <w:rsid w:val="00DF27EF"/>
    <w:rsid w:val="00DF6AEE"/>
    <w:rsid w:val="00DF759C"/>
    <w:rsid w:val="00E0233F"/>
    <w:rsid w:val="00E04215"/>
    <w:rsid w:val="00E049CF"/>
    <w:rsid w:val="00E13B6A"/>
    <w:rsid w:val="00E21F5E"/>
    <w:rsid w:val="00E2209D"/>
    <w:rsid w:val="00E264EA"/>
    <w:rsid w:val="00E27C93"/>
    <w:rsid w:val="00E51978"/>
    <w:rsid w:val="00E57FA6"/>
    <w:rsid w:val="00E67670"/>
    <w:rsid w:val="00E725C3"/>
    <w:rsid w:val="00E75DC6"/>
    <w:rsid w:val="00E833A3"/>
    <w:rsid w:val="00E83A42"/>
    <w:rsid w:val="00E83FC3"/>
    <w:rsid w:val="00E871FA"/>
    <w:rsid w:val="00E91899"/>
    <w:rsid w:val="00EA04EC"/>
    <w:rsid w:val="00EA07AB"/>
    <w:rsid w:val="00EA340C"/>
    <w:rsid w:val="00EA6D89"/>
    <w:rsid w:val="00EA6FB9"/>
    <w:rsid w:val="00EB3577"/>
    <w:rsid w:val="00EC3BD2"/>
    <w:rsid w:val="00EC543A"/>
    <w:rsid w:val="00ED4380"/>
    <w:rsid w:val="00EE0470"/>
    <w:rsid w:val="00EE2B32"/>
    <w:rsid w:val="00EE5B64"/>
    <w:rsid w:val="00EF1E5B"/>
    <w:rsid w:val="00EF1F1E"/>
    <w:rsid w:val="00EF26CA"/>
    <w:rsid w:val="00EF2A44"/>
    <w:rsid w:val="00EF383F"/>
    <w:rsid w:val="00EF3E42"/>
    <w:rsid w:val="00EF538D"/>
    <w:rsid w:val="00EF633F"/>
    <w:rsid w:val="00F02210"/>
    <w:rsid w:val="00F02F68"/>
    <w:rsid w:val="00F0566A"/>
    <w:rsid w:val="00F05CB6"/>
    <w:rsid w:val="00F10DA0"/>
    <w:rsid w:val="00F16F82"/>
    <w:rsid w:val="00F17E9B"/>
    <w:rsid w:val="00F2066F"/>
    <w:rsid w:val="00F21CE7"/>
    <w:rsid w:val="00F2569C"/>
    <w:rsid w:val="00F30AD1"/>
    <w:rsid w:val="00F3237F"/>
    <w:rsid w:val="00F338DC"/>
    <w:rsid w:val="00F34565"/>
    <w:rsid w:val="00F406E4"/>
    <w:rsid w:val="00F40E4F"/>
    <w:rsid w:val="00F44800"/>
    <w:rsid w:val="00F45002"/>
    <w:rsid w:val="00F50487"/>
    <w:rsid w:val="00F52F7C"/>
    <w:rsid w:val="00F54157"/>
    <w:rsid w:val="00F54489"/>
    <w:rsid w:val="00F55E37"/>
    <w:rsid w:val="00F572A1"/>
    <w:rsid w:val="00F6460F"/>
    <w:rsid w:val="00F708C6"/>
    <w:rsid w:val="00F709CD"/>
    <w:rsid w:val="00F736CA"/>
    <w:rsid w:val="00F74244"/>
    <w:rsid w:val="00F85A7E"/>
    <w:rsid w:val="00F86C7C"/>
    <w:rsid w:val="00F870FD"/>
    <w:rsid w:val="00F96256"/>
    <w:rsid w:val="00FA17F6"/>
    <w:rsid w:val="00FA4FEB"/>
    <w:rsid w:val="00FA619B"/>
    <w:rsid w:val="00FB4E62"/>
    <w:rsid w:val="00FB6836"/>
    <w:rsid w:val="00FC4D3B"/>
    <w:rsid w:val="00FD0DF6"/>
    <w:rsid w:val="00FE17B7"/>
    <w:rsid w:val="00FF41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6D79"/>
  <w15:chartTrackingRefBased/>
  <w15:docId w15:val="{F4FA9825-AFB8-4991-9A10-DDE444C4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7F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25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3F3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544"/>
    <w:pPr>
      <w:spacing w:after="160" w:line="259" w:lineRule="auto"/>
      <w:ind w:left="720"/>
      <w:contextualSpacing/>
    </w:pPr>
    <w:rPr>
      <w:rFonts w:asciiTheme="minorHAnsi" w:hAnsiTheme="minorHAnsi"/>
      <w:sz w:val="22"/>
    </w:rPr>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B12544"/>
    <w:rPr>
      <w:rFonts w:asciiTheme="minorHAnsi" w:hAnsiTheme="minorHAnsi"/>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B12544"/>
    <w:rPr>
      <w:rFonts w:asciiTheme="minorHAnsi" w:hAnsiTheme="minorHAns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B12544"/>
    <w:rPr>
      <w:vertAlign w:val="superscript"/>
    </w:rPr>
  </w:style>
  <w:style w:type="character" w:styleId="Hyperlink">
    <w:name w:val="Hyperlink"/>
    <w:basedOn w:val="DefaultParagraphFont"/>
    <w:uiPriority w:val="99"/>
    <w:unhideWhenUsed/>
    <w:rsid w:val="00B12544"/>
    <w:rPr>
      <w:color w:val="0563C1" w:themeColor="hyperlink"/>
      <w:u w:val="single"/>
    </w:rPr>
  </w:style>
  <w:style w:type="character" w:customStyle="1" w:styleId="Heading2Char">
    <w:name w:val="Heading 2 Char"/>
    <w:basedOn w:val="DefaultParagraphFont"/>
    <w:link w:val="Heading2"/>
    <w:uiPriority w:val="9"/>
    <w:rsid w:val="00B1254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B12544"/>
    <w:pPr>
      <w:tabs>
        <w:tab w:val="center" w:pos="4153"/>
        <w:tab w:val="right" w:pos="8306"/>
      </w:tabs>
    </w:pPr>
  </w:style>
  <w:style w:type="character" w:customStyle="1" w:styleId="HeaderChar">
    <w:name w:val="Header Char"/>
    <w:basedOn w:val="DefaultParagraphFont"/>
    <w:link w:val="Header"/>
    <w:uiPriority w:val="99"/>
    <w:rsid w:val="00B12544"/>
  </w:style>
  <w:style w:type="paragraph" w:styleId="Footer">
    <w:name w:val="footer"/>
    <w:basedOn w:val="Normal"/>
    <w:link w:val="FooterChar"/>
    <w:uiPriority w:val="99"/>
    <w:unhideWhenUsed/>
    <w:rsid w:val="00B12544"/>
    <w:pPr>
      <w:tabs>
        <w:tab w:val="center" w:pos="4153"/>
        <w:tab w:val="right" w:pos="8306"/>
      </w:tabs>
    </w:pPr>
  </w:style>
  <w:style w:type="character" w:customStyle="1" w:styleId="FooterChar">
    <w:name w:val="Footer Char"/>
    <w:basedOn w:val="DefaultParagraphFont"/>
    <w:link w:val="Footer"/>
    <w:uiPriority w:val="99"/>
    <w:rsid w:val="00B12544"/>
  </w:style>
  <w:style w:type="character" w:styleId="CommentReference">
    <w:name w:val="annotation reference"/>
    <w:basedOn w:val="DefaultParagraphFont"/>
    <w:uiPriority w:val="99"/>
    <w:semiHidden/>
    <w:unhideWhenUsed/>
    <w:rsid w:val="004078E9"/>
    <w:rPr>
      <w:sz w:val="16"/>
      <w:szCs w:val="16"/>
    </w:rPr>
  </w:style>
  <w:style w:type="paragraph" w:styleId="CommentText">
    <w:name w:val="annotation text"/>
    <w:basedOn w:val="Normal"/>
    <w:link w:val="CommentTextChar"/>
    <w:uiPriority w:val="99"/>
    <w:semiHidden/>
    <w:unhideWhenUsed/>
    <w:rsid w:val="004078E9"/>
    <w:rPr>
      <w:sz w:val="20"/>
      <w:szCs w:val="20"/>
    </w:rPr>
  </w:style>
  <w:style w:type="character" w:customStyle="1" w:styleId="CommentTextChar">
    <w:name w:val="Comment Text Char"/>
    <w:basedOn w:val="DefaultParagraphFont"/>
    <w:link w:val="CommentText"/>
    <w:uiPriority w:val="99"/>
    <w:semiHidden/>
    <w:rsid w:val="004078E9"/>
    <w:rPr>
      <w:sz w:val="20"/>
      <w:szCs w:val="20"/>
    </w:rPr>
  </w:style>
  <w:style w:type="paragraph" w:styleId="CommentSubject">
    <w:name w:val="annotation subject"/>
    <w:basedOn w:val="CommentText"/>
    <w:next w:val="CommentText"/>
    <w:link w:val="CommentSubjectChar"/>
    <w:uiPriority w:val="99"/>
    <w:semiHidden/>
    <w:unhideWhenUsed/>
    <w:rsid w:val="004078E9"/>
    <w:rPr>
      <w:b/>
      <w:bCs/>
    </w:rPr>
  </w:style>
  <w:style w:type="character" w:customStyle="1" w:styleId="CommentSubjectChar">
    <w:name w:val="Comment Subject Char"/>
    <w:basedOn w:val="CommentTextChar"/>
    <w:link w:val="CommentSubject"/>
    <w:uiPriority w:val="99"/>
    <w:semiHidden/>
    <w:rsid w:val="004078E9"/>
    <w:rPr>
      <w:b/>
      <w:bCs/>
      <w:sz w:val="20"/>
      <w:szCs w:val="20"/>
    </w:rPr>
  </w:style>
  <w:style w:type="paragraph" w:styleId="BalloonText">
    <w:name w:val="Balloon Text"/>
    <w:basedOn w:val="Normal"/>
    <w:link w:val="BalloonTextChar"/>
    <w:uiPriority w:val="99"/>
    <w:semiHidden/>
    <w:unhideWhenUsed/>
    <w:rsid w:val="004078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E9"/>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8A5043"/>
    <w:pPr>
      <w:spacing w:after="160" w:line="240" w:lineRule="exact"/>
      <w:jc w:val="both"/>
      <w:textAlignment w:val="baseline"/>
    </w:pPr>
    <w:rPr>
      <w:vertAlign w:val="superscript"/>
    </w:rPr>
  </w:style>
  <w:style w:type="character" w:customStyle="1" w:styleId="Heading1Char">
    <w:name w:val="Heading 1 Char"/>
    <w:basedOn w:val="DefaultParagraphFont"/>
    <w:link w:val="Heading1"/>
    <w:uiPriority w:val="9"/>
    <w:rsid w:val="006F7F11"/>
    <w:rPr>
      <w:rFonts w:asciiTheme="majorHAnsi" w:eastAsiaTheme="majorEastAsia" w:hAnsiTheme="majorHAnsi" w:cstheme="majorBidi"/>
      <w:color w:val="2E74B5" w:themeColor="accent1" w:themeShade="BF"/>
      <w:sz w:val="32"/>
      <w:szCs w:val="32"/>
    </w:rPr>
  </w:style>
  <w:style w:type="paragraph" w:customStyle="1" w:styleId="FDUKam">
    <w:name w:val="FDUKam"/>
    <w:basedOn w:val="ListParagraph"/>
    <w:qFormat/>
    <w:rsid w:val="006F7F11"/>
    <w:pPr>
      <w:numPr>
        <w:ilvl w:val="1"/>
        <w:numId w:val="13"/>
      </w:numPr>
      <w:spacing w:after="200" w:line="276" w:lineRule="auto"/>
      <w:jc w:val="both"/>
    </w:pPr>
    <w:rPr>
      <w:rFonts w:ascii="Times New Roman" w:eastAsia="Calibri" w:hAnsi="Times New Roman" w:cs="Times New Roman"/>
    </w:rPr>
  </w:style>
  <w:style w:type="paragraph" w:styleId="TOCHeading">
    <w:name w:val="TOC Heading"/>
    <w:basedOn w:val="Heading1"/>
    <w:next w:val="Normal"/>
    <w:uiPriority w:val="39"/>
    <w:unhideWhenUsed/>
    <w:qFormat/>
    <w:rsid w:val="006245ED"/>
    <w:pPr>
      <w:spacing w:line="259" w:lineRule="auto"/>
      <w:outlineLvl w:val="9"/>
    </w:pPr>
    <w:rPr>
      <w:lang w:val="en-US"/>
    </w:rPr>
  </w:style>
  <w:style w:type="paragraph" w:styleId="TOC2">
    <w:name w:val="toc 2"/>
    <w:basedOn w:val="Normal"/>
    <w:next w:val="Normal"/>
    <w:autoRedefine/>
    <w:uiPriority w:val="39"/>
    <w:unhideWhenUsed/>
    <w:rsid w:val="006245ED"/>
    <w:pPr>
      <w:spacing w:after="100"/>
      <w:ind w:left="240"/>
    </w:pPr>
  </w:style>
  <w:style w:type="character" w:customStyle="1" w:styleId="spelle">
    <w:name w:val="spelle"/>
    <w:basedOn w:val="DefaultParagraphFont"/>
    <w:rsid w:val="00AA0994"/>
  </w:style>
  <w:style w:type="paragraph" w:styleId="TOC1">
    <w:name w:val="toc 1"/>
    <w:basedOn w:val="Normal"/>
    <w:next w:val="Normal"/>
    <w:autoRedefine/>
    <w:uiPriority w:val="39"/>
    <w:unhideWhenUsed/>
    <w:rsid w:val="00AA0994"/>
    <w:pPr>
      <w:tabs>
        <w:tab w:val="right" w:leader="dot" w:pos="9061"/>
      </w:tabs>
      <w:spacing w:after="100"/>
      <w:ind w:left="284"/>
    </w:pPr>
  </w:style>
  <w:style w:type="character" w:customStyle="1" w:styleId="Heading3Char">
    <w:name w:val="Heading 3 Char"/>
    <w:basedOn w:val="DefaultParagraphFont"/>
    <w:link w:val="Heading3"/>
    <w:uiPriority w:val="9"/>
    <w:rsid w:val="007D3F3D"/>
    <w:rPr>
      <w:rFonts w:asciiTheme="majorHAnsi" w:eastAsiaTheme="majorEastAsia" w:hAnsiTheme="majorHAnsi" w:cstheme="majorBidi"/>
      <w:color w:val="1F4D78" w:themeColor="accent1" w:themeShade="7F"/>
      <w:szCs w:val="24"/>
    </w:rPr>
  </w:style>
  <w:style w:type="paragraph" w:styleId="TOC3">
    <w:name w:val="toc 3"/>
    <w:basedOn w:val="Normal"/>
    <w:next w:val="Normal"/>
    <w:autoRedefine/>
    <w:uiPriority w:val="39"/>
    <w:unhideWhenUsed/>
    <w:rsid w:val="006C4FA7"/>
    <w:pPr>
      <w:spacing w:after="100"/>
      <w:ind w:left="480"/>
    </w:pPr>
  </w:style>
  <w:style w:type="table" w:styleId="TableGrid">
    <w:name w:val="Table Grid"/>
    <w:basedOn w:val="TableNormal"/>
    <w:uiPriority w:val="39"/>
    <w:rsid w:val="00915BDC"/>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8241">
      <w:bodyDiv w:val="1"/>
      <w:marLeft w:val="0"/>
      <w:marRight w:val="0"/>
      <w:marTop w:val="0"/>
      <w:marBottom w:val="0"/>
      <w:divBdr>
        <w:top w:val="none" w:sz="0" w:space="0" w:color="auto"/>
        <w:left w:val="none" w:sz="0" w:space="0" w:color="auto"/>
        <w:bottom w:val="none" w:sz="0" w:space="0" w:color="auto"/>
        <w:right w:val="none" w:sz="0" w:space="0" w:color="auto"/>
      </w:divBdr>
    </w:div>
    <w:div w:id="210265811">
      <w:bodyDiv w:val="1"/>
      <w:marLeft w:val="0"/>
      <w:marRight w:val="0"/>
      <w:marTop w:val="0"/>
      <w:marBottom w:val="0"/>
      <w:divBdr>
        <w:top w:val="none" w:sz="0" w:space="0" w:color="auto"/>
        <w:left w:val="none" w:sz="0" w:space="0" w:color="auto"/>
        <w:bottom w:val="none" w:sz="0" w:space="0" w:color="auto"/>
        <w:right w:val="none" w:sz="0" w:space="0" w:color="auto"/>
      </w:divBdr>
    </w:div>
    <w:div w:id="264193942">
      <w:bodyDiv w:val="1"/>
      <w:marLeft w:val="0"/>
      <w:marRight w:val="0"/>
      <w:marTop w:val="0"/>
      <w:marBottom w:val="0"/>
      <w:divBdr>
        <w:top w:val="none" w:sz="0" w:space="0" w:color="auto"/>
        <w:left w:val="none" w:sz="0" w:space="0" w:color="auto"/>
        <w:bottom w:val="none" w:sz="0" w:space="0" w:color="auto"/>
        <w:right w:val="none" w:sz="0" w:space="0" w:color="auto"/>
      </w:divBdr>
    </w:div>
    <w:div w:id="335304889">
      <w:bodyDiv w:val="1"/>
      <w:marLeft w:val="0"/>
      <w:marRight w:val="0"/>
      <w:marTop w:val="0"/>
      <w:marBottom w:val="0"/>
      <w:divBdr>
        <w:top w:val="none" w:sz="0" w:space="0" w:color="auto"/>
        <w:left w:val="none" w:sz="0" w:space="0" w:color="auto"/>
        <w:bottom w:val="none" w:sz="0" w:space="0" w:color="auto"/>
        <w:right w:val="none" w:sz="0" w:space="0" w:color="auto"/>
      </w:divBdr>
    </w:div>
    <w:div w:id="395129272">
      <w:bodyDiv w:val="1"/>
      <w:marLeft w:val="0"/>
      <w:marRight w:val="0"/>
      <w:marTop w:val="0"/>
      <w:marBottom w:val="0"/>
      <w:divBdr>
        <w:top w:val="none" w:sz="0" w:space="0" w:color="auto"/>
        <w:left w:val="none" w:sz="0" w:space="0" w:color="auto"/>
        <w:bottom w:val="none" w:sz="0" w:space="0" w:color="auto"/>
        <w:right w:val="none" w:sz="0" w:space="0" w:color="auto"/>
      </w:divBdr>
    </w:div>
    <w:div w:id="398553450">
      <w:bodyDiv w:val="1"/>
      <w:marLeft w:val="0"/>
      <w:marRight w:val="0"/>
      <w:marTop w:val="0"/>
      <w:marBottom w:val="0"/>
      <w:divBdr>
        <w:top w:val="none" w:sz="0" w:space="0" w:color="auto"/>
        <w:left w:val="none" w:sz="0" w:space="0" w:color="auto"/>
        <w:bottom w:val="none" w:sz="0" w:space="0" w:color="auto"/>
        <w:right w:val="none" w:sz="0" w:space="0" w:color="auto"/>
      </w:divBdr>
    </w:div>
    <w:div w:id="405107904">
      <w:bodyDiv w:val="1"/>
      <w:marLeft w:val="0"/>
      <w:marRight w:val="0"/>
      <w:marTop w:val="0"/>
      <w:marBottom w:val="0"/>
      <w:divBdr>
        <w:top w:val="none" w:sz="0" w:space="0" w:color="auto"/>
        <w:left w:val="none" w:sz="0" w:space="0" w:color="auto"/>
        <w:bottom w:val="none" w:sz="0" w:space="0" w:color="auto"/>
        <w:right w:val="none" w:sz="0" w:space="0" w:color="auto"/>
      </w:divBdr>
    </w:div>
    <w:div w:id="592856353">
      <w:bodyDiv w:val="1"/>
      <w:marLeft w:val="0"/>
      <w:marRight w:val="0"/>
      <w:marTop w:val="0"/>
      <w:marBottom w:val="0"/>
      <w:divBdr>
        <w:top w:val="none" w:sz="0" w:space="0" w:color="auto"/>
        <w:left w:val="none" w:sz="0" w:space="0" w:color="auto"/>
        <w:bottom w:val="none" w:sz="0" w:space="0" w:color="auto"/>
        <w:right w:val="none" w:sz="0" w:space="0" w:color="auto"/>
      </w:divBdr>
    </w:div>
    <w:div w:id="618267765">
      <w:bodyDiv w:val="1"/>
      <w:marLeft w:val="0"/>
      <w:marRight w:val="0"/>
      <w:marTop w:val="0"/>
      <w:marBottom w:val="0"/>
      <w:divBdr>
        <w:top w:val="none" w:sz="0" w:space="0" w:color="auto"/>
        <w:left w:val="none" w:sz="0" w:space="0" w:color="auto"/>
        <w:bottom w:val="none" w:sz="0" w:space="0" w:color="auto"/>
        <w:right w:val="none" w:sz="0" w:space="0" w:color="auto"/>
      </w:divBdr>
    </w:div>
    <w:div w:id="641930062">
      <w:bodyDiv w:val="1"/>
      <w:marLeft w:val="0"/>
      <w:marRight w:val="0"/>
      <w:marTop w:val="0"/>
      <w:marBottom w:val="0"/>
      <w:divBdr>
        <w:top w:val="none" w:sz="0" w:space="0" w:color="auto"/>
        <w:left w:val="none" w:sz="0" w:space="0" w:color="auto"/>
        <w:bottom w:val="none" w:sz="0" w:space="0" w:color="auto"/>
        <w:right w:val="none" w:sz="0" w:space="0" w:color="auto"/>
      </w:divBdr>
    </w:div>
    <w:div w:id="690909808">
      <w:bodyDiv w:val="1"/>
      <w:marLeft w:val="0"/>
      <w:marRight w:val="0"/>
      <w:marTop w:val="0"/>
      <w:marBottom w:val="0"/>
      <w:divBdr>
        <w:top w:val="none" w:sz="0" w:space="0" w:color="auto"/>
        <w:left w:val="none" w:sz="0" w:space="0" w:color="auto"/>
        <w:bottom w:val="none" w:sz="0" w:space="0" w:color="auto"/>
        <w:right w:val="none" w:sz="0" w:space="0" w:color="auto"/>
      </w:divBdr>
    </w:div>
    <w:div w:id="732194034">
      <w:bodyDiv w:val="1"/>
      <w:marLeft w:val="0"/>
      <w:marRight w:val="0"/>
      <w:marTop w:val="0"/>
      <w:marBottom w:val="0"/>
      <w:divBdr>
        <w:top w:val="none" w:sz="0" w:space="0" w:color="auto"/>
        <w:left w:val="none" w:sz="0" w:space="0" w:color="auto"/>
        <w:bottom w:val="none" w:sz="0" w:space="0" w:color="auto"/>
        <w:right w:val="none" w:sz="0" w:space="0" w:color="auto"/>
      </w:divBdr>
    </w:div>
    <w:div w:id="811750991">
      <w:bodyDiv w:val="1"/>
      <w:marLeft w:val="0"/>
      <w:marRight w:val="0"/>
      <w:marTop w:val="0"/>
      <w:marBottom w:val="0"/>
      <w:divBdr>
        <w:top w:val="none" w:sz="0" w:space="0" w:color="auto"/>
        <w:left w:val="none" w:sz="0" w:space="0" w:color="auto"/>
        <w:bottom w:val="none" w:sz="0" w:space="0" w:color="auto"/>
        <w:right w:val="none" w:sz="0" w:space="0" w:color="auto"/>
      </w:divBdr>
    </w:div>
    <w:div w:id="841773109">
      <w:bodyDiv w:val="1"/>
      <w:marLeft w:val="0"/>
      <w:marRight w:val="0"/>
      <w:marTop w:val="0"/>
      <w:marBottom w:val="0"/>
      <w:divBdr>
        <w:top w:val="none" w:sz="0" w:space="0" w:color="auto"/>
        <w:left w:val="none" w:sz="0" w:space="0" w:color="auto"/>
        <w:bottom w:val="none" w:sz="0" w:space="0" w:color="auto"/>
        <w:right w:val="none" w:sz="0" w:space="0" w:color="auto"/>
      </w:divBdr>
    </w:div>
    <w:div w:id="969239785">
      <w:bodyDiv w:val="1"/>
      <w:marLeft w:val="0"/>
      <w:marRight w:val="0"/>
      <w:marTop w:val="0"/>
      <w:marBottom w:val="0"/>
      <w:divBdr>
        <w:top w:val="none" w:sz="0" w:space="0" w:color="auto"/>
        <w:left w:val="none" w:sz="0" w:space="0" w:color="auto"/>
        <w:bottom w:val="none" w:sz="0" w:space="0" w:color="auto"/>
        <w:right w:val="none" w:sz="0" w:space="0" w:color="auto"/>
      </w:divBdr>
    </w:div>
    <w:div w:id="974143867">
      <w:bodyDiv w:val="1"/>
      <w:marLeft w:val="0"/>
      <w:marRight w:val="0"/>
      <w:marTop w:val="0"/>
      <w:marBottom w:val="0"/>
      <w:divBdr>
        <w:top w:val="none" w:sz="0" w:space="0" w:color="auto"/>
        <w:left w:val="none" w:sz="0" w:space="0" w:color="auto"/>
        <w:bottom w:val="none" w:sz="0" w:space="0" w:color="auto"/>
        <w:right w:val="none" w:sz="0" w:space="0" w:color="auto"/>
      </w:divBdr>
    </w:div>
    <w:div w:id="1011763061">
      <w:bodyDiv w:val="1"/>
      <w:marLeft w:val="0"/>
      <w:marRight w:val="0"/>
      <w:marTop w:val="0"/>
      <w:marBottom w:val="0"/>
      <w:divBdr>
        <w:top w:val="none" w:sz="0" w:space="0" w:color="auto"/>
        <w:left w:val="none" w:sz="0" w:space="0" w:color="auto"/>
        <w:bottom w:val="none" w:sz="0" w:space="0" w:color="auto"/>
        <w:right w:val="none" w:sz="0" w:space="0" w:color="auto"/>
      </w:divBdr>
    </w:div>
    <w:div w:id="1087656788">
      <w:bodyDiv w:val="1"/>
      <w:marLeft w:val="0"/>
      <w:marRight w:val="0"/>
      <w:marTop w:val="0"/>
      <w:marBottom w:val="0"/>
      <w:divBdr>
        <w:top w:val="none" w:sz="0" w:space="0" w:color="auto"/>
        <w:left w:val="none" w:sz="0" w:space="0" w:color="auto"/>
        <w:bottom w:val="none" w:sz="0" w:space="0" w:color="auto"/>
        <w:right w:val="none" w:sz="0" w:space="0" w:color="auto"/>
      </w:divBdr>
    </w:div>
    <w:div w:id="1142846946">
      <w:bodyDiv w:val="1"/>
      <w:marLeft w:val="0"/>
      <w:marRight w:val="0"/>
      <w:marTop w:val="0"/>
      <w:marBottom w:val="0"/>
      <w:divBdr>
        <w:top w:val="none" w:sz="0" w:space="0" w:color="auto"/>
        <w:left w:val="none" w:sz="0" w:space="0" w:color="auto"/>
        <w:bottom w:val="none" w:sz="0" w:space="0" w:color="auto"/>
        <w:right w:val="none" w:sz="0" w:space="0" w:color="auto"/>
      </w:divBdr>
    </w:div>
    <w:div w:id="1147011267">
      <w:bodyDiv w:val="1"/>
      <w:marLeft w:val="0"/>
      <w:marRight w:val="0"/>
      <w:marTop w:val="0"/>
      <w:marBottom w:val="0"/>
      <w:divBdr>
        <w:top w:val="none" w:sz="0" w:space="0" w:color="auto"/>
        <w:left w:val="none" w:sz="0" w:space="0" w:color="auto"/>
        <w:bottom w:val="none" w:sz="0" w:space="0" w:color="auto"/>
        <w:right w:val="none" w:sz="0" w:space="0" w:color="auto"/>
      </w:divBdr>
    </w:div>
    <w:div w:id="1435519643">
      <w:bodyDiv w:val="1"/>
      <w:marLeft w:val="0"/>
      <w:marRight w:val="0"/>
      <w:marTop w:val="0"/>
      <w:marBottom w:val="0"/>
      <w:divBdr>
        <w:top w:val="none" w:sz="0" w:space="0" w:color="auto"/>
        <w:left w:val="none" w:sz="0" w:space="0" w:color="auto"/>
        <w:bottom w:val="none" w:sz="0" w:space="0" w:color="auto"/>
        <w:right w:val="none" w:sz="0" w:space="0" w:color="auto"/>
      </w:divBdr>
    </w:div>
    <w:div w:id="1565486430">
      <w:bodyDiv w:val="1"/>
      <w:marLeft w:val="0"/>
      <w:marRight w:val="0"/>
      <w:marTop w:val="0"/>
      <w:marBottom w:val="0"/>
      <w:divBdr>
        <w:top w:val="none" w:sz="0" w:space="0" w:color="auto"/>
        <w:left w:val="none" w:sz="0" w:space="0" w:color="auto"/>
        <w:bottom w:val="none" w:sz="0" w:space="0" w:color="auto"/>
        <w:right w:val="none" w:sz="0" w:space="0" w:color="auto"/>
      </w:divBdr>
    </w:div>
    <w:div w:id="1573537416">
      <w:bodyDiv w:val="1"/>
      <w:marLeft w:val="0"/>
      <w:marRight w:val="0"/>
      <w:marTop w:val="0"/>
      <w:marBottom w:val="0"/>
      <w:divBdr>
        <w:top w:val="none" w:sz="0" w:space="0" w:color="auto"/>
        <w:left w:val="none" w:sz="0" w:space="0" w:color="auto"/>
        <w:bottom w:val="none" w:sz="0" w:space="0" w:color="auto"/>
        <w:right w:val="none" w:sz="0" w:space="0" w:color="auto"/>
      </w:divBdr>
    </w:div>
    <w:div w:id="1767310751">
      <w:bodyDiv w:val="1"/>
      <w:marLeft w:val="0"/>
      <w:marRight w:val="0"/>
      <w:marTop w:val="0"/>
      <w:marBottom w:val="0"/>
      <w:divBdr>
        <w:top w:val="none" w:sz="0" w:space="0" w:color="auto"/>
        <w:left w:val="none" w:sz="0" w:space="0" w:color="auto"/>
        <w:bottom w:val="none" w:sz="0" w:space="0" w:color="auto"/>
        <w:right w:val="none" w:sz="0" w:space="0" w:color="auto"/>
      </w:divBdr>
      <w:divsChild>
        <w:div w:id="1595355075">
          <w:marLeft w:val="720"/>
          <w:marRight w:val="0"/>
          <w:marTop w:val="86"/>
          <w:marBottom w:val="0"/>
          <w:divBdr>
            <w:top w:val="none" w:sz="0" w:space="0" w:color="auto"/>
            <w:left w:val="none" w:sz="0" w:space="0" w:color="auto"/>
            <w:bottom w:val="none" w:sz="0" w:space="0" w:color="auto"/>
            <w:right w:val="none" w:sz="0" w:space="0" w:color="auto"/>
          </w:divBdr>
        </w:div>
      </w:divsChild>
    </w:div>
    <w:div w:id="1780372134">
      <w:bodyDiv w:val="1"/>
      <w:marLeft w:val="0"/>
      <w:marRight w:val="0"/>
      <w:marTop w:val="0"/>
      <w:marBottom w:val="0"/>
      <w:divBdr>
        <w:top w:val="none" w:sz="0" w:space="0" w:color="auto"/>
        <w:left w:val="none" w:sz="0" w:space="0" w:color="auto"/>
        <w:bottom w:val="none" w:sz="0" w:space="0" w:color="auto"/>
        <w:right w:val="none" w:sz="0" w:space="0" w:color="auto"/>
      </w:divBdr>
    </w:div>
    <w:div w:id="1827285998">
      <w:bodyDiv w:val="1"/>
      <w:marLeft w:val="0"/>
      <w:marRight w:val="0"/>
      <w:marTop w:val="0"/>
      <w:marBottom w:val="0"/>
      <w:divBdr>
        <w:top w:val="none" w:sz="0" w:space="0" w:color="auto"/>
        <w:left w:val="none" w:sz="0" w:space="0" w:color="auto"/>
        <w:bottom w:val="none" w:sz="0" w:space="0" w:color="auto"/>
        <w:right w:val="none" w:sz="0" w:space="0" w:color="auto"/>
      </w:divBdr>
    </w:div>
    <w:div w:id="1828783010">
      <w:bodyDiv w:val="1"/>
      <w:marLeft w:val="0"/>
      <w:marRight w:val="0"/>
      <w:marTop w:val="0"/>
      <w:marBottom w:val="0"/>
      <w:divBdr>
        <w:top w:val="none" w:sz="0" w:space="0" w:color="auto"/>
        <w:left w:val="none" w:sz="0" w:space="0" w:color="auto"/>
        <w:bottom w:val="none" w:sz="0" w:space="0" w:color="auto"/>
        <w:right w:val="none" w:sz="0" w:space="0" w:color="auto"/>
      </w:divBdr>
    </w:div>
    <w:div w:id="1949727966">
      <w:bodyDiv w:val="1"/>
      <w:marLeft w:val="0"/>
      <w:marRight w:val="0"/>
      <w:marTop w:val="0"/>
      <w:marBottom w:val="0"/>
      <w:divBdr>
        <w:top w:val="none" w:sz="0" w:space="0" w:color="auto"/>
        <w:left w:val="none" w:sz="0" w:space="0" w:color="auto"/>
        <w:bottom w:val="none" w:sz="0" w:space="0" w:color="auto"/>
        <w:right w:val="none" w:sz="0" w:space="0" w:color="auto"/>
      </w:divBdr>
    </w:div>
    <w:div w:id="1954170819">
      <w:bodyDiv w:val="1"/>
      <w:marLeft w:val="0"/>
      <w:marRight w:val="0"/>
      <w:marTop w:val="0"/>
      <w:marBottom w:val="0"/>
      <w:divBdr>
        <w:top w:val="none" w:sz="0" w:space="0" w:color="auto"/>
        <w:left w:val="none" w:sz="0" w:space="0" w:color="auto"/>
        <w:bottom w:val="none" w:sz="0" w:space="0" w:color="auto"/>
        <w:right w:val="none" w:sz="0" w:space="0" w:color="auto"/>
      </w:divBdr>
    </w:div>
    <w:div w:id="2066447176">
      <w:bodyDiv w:val="1"/>
      <w:marLeft w:val="0"/>
      <w:marRight w:val="0"/>
      <w:marTop w:val="0"/>
      <w:marBottom w:val="0"/>
      <w:divBdr>
        <w:top w:val="none" w:sz="0" w:space="0" w:color="auto"/>
        <w:left w:val="none" w:sz="0" w:space="0" w:color="auto"/>
        <w:bottom w:val="none" w:sz="0" w:space="0" w:color="auto"/>
        <w:right w:val="none" w:sz="0" w:space="0" w:color="auto"/>
      </w:divBdr>
    </w:div>
    <w:div w:id="212615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sfondi.lv/gadskartejie-ieviesanas-zinojumi" TargetMode="External"/><Relationship Id="rId2" Type="http://schemas.openxmlformats.org/officeDocument/2006/relationships/hyperlink" Target="https://www.esfondi.lv/vadlinijas--skaidrojumi" TargetMode="External"/><Relationship Id="rId1" Type="http://schemas.openxmlformats.org/officeDocument/2006/relationships/hyperlink" Target="http://eur-lex.europa.eu/legal-content/LV/TXT/?qid=1421583712511&amp;uri=CELEX:32013R1303" TargetMode="External"/><Relationship Id="rId4" Type="http://schemas.openxmlformats.org/officeDocument/2006/relationships/hyperlink" Target="https://www.esfondi.lv/vadlinijas--skaidrojumi"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3"/>
          <c:order val="0"/>
          <c:tx>
            <c:strRef>
              <c:f>'14-20 finansējuma rezerve'!$F$37</c:f>
              <c:strCache>
                <c:ptCount val="1"/>
                <c:pt idx="0">
                  <c:v>Piešķīrums=no EK saņemamais finansējums</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'14-20 finansējuma rezerve'!$G$33:$I$33</c:f>
              <c:strCache>
                <c:ptCount val="3"/>
                <c:pt idx="0">
                  <c:v>ERAF</c:v>
                </c:pt>
                <c:pt idx="1">
                  <c:v>ESF/JNI</c:v>
                </c:pt>
                <c:pt idx="2">
                  <c:v>KF</c:v>
                </c:pt>
              </c:strCache>
            </c:strRef>
          </c:cat>
          <c:val>
            <c:numRef>
              <c:f>'14-20 finansējuma rezerve'!$G$37:$I$37</c:f>
              <c:numCache>
                <c:formatCode>#,##0</c:formatCode>
                <c:ptCount val="3"/>
                <c:pt idx="0">
                  <c:v>2401252452</c:v>
                </c:pt>
                <c:pt idx="1">
                  <c:v>667566067</c:v>
                </c:pt>
                <c:pt idx="2">
                  <c:v>1349414695</c:v>
                </c:pt>
              </c:numCache>
            </c:numRef>
          </c:val>
          <c:extLst>
            <c:ext xmlns:c16="http://schemas.microsoft.com/office/drawing/2014/chart" uri="{C3380CC4-5D6E-409C-BE32-E72D297353CC}">
              <c16:uniqueId val="{00000000-DE82-4EDC-91E2-9FEAF1DB811A}"/>
            </c:ext>
          </c:extLst>
        </c:ser>
        <c:ser>
          <c:idx val="2"/>
          <c:order val="1"/>
          <c:tx>
            <c:strRef>
              <c:f>'14-20 finansējuma rezerve'!$F$36</c:f>
              <c:strCache>
                <c:ptCount val="1"/>
                <c:pt idx="0">
                  <c:v>Virssaistības</c:v>
                </c:pt>
              </c:strCache>
            </c:strRef>
          </c:tx>
          <c:spPr>
            <a:solidFill>
              <a:srgbClr val="C00000"/>
            </a:solidFill>
            <a:ln>
              <a:noFill/>
            </a:ln>
            <a:effectLst/>
          </c:spPr>
          <c:invertIfNegative val="0"/>
          <c:dLbls>
            <c:dLbl>
              <c:idx val="0"/>
              <c:layout>
                <c:manualLayout>
                  <c:x val="6.547178484398887E-2"/>
                  <c:y val="3.14112631815121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E82-4EDC-91E2-9FEAF1DB811A}"/>
                </c:ext>
              </c:extLst>
            </c:dLbl>
            <c:dLbl>
              <c:idx val="1"/>
              <c:delete val="1"/>
              <c:extLst>
                <c:ext xmlns:c15="http://schemas.microsoft.com/office/drawing/2012/chart" uri="{CE6537A1-D6FC-4f65-9D91-7224C49458BB}"/>
                <c:ext xmlns:c16="http://schemas.microsoft.com/office/drawing/2014/chart" uri="{C3380CC4-5D6E-409C-BE32-E72D297353CC}">
                  <c16:uniqueId val="{00000002-DE82-4EDC-91E2-9FEAF1DB811A}"/>
                </c:ext>
              </c:extLst>
            </c:dLbl>
            <c:dLbl>
              <c:idx val="2"/>
              <c:delete val="1"/>
              <c:extLst>
                <c:ext xmlns:c15="http://schemas.microsoft.com/office/drawing/2012/chart" uri="{CE6537A1-D6FC-4f65-9D91-7224C49458BB}"/>
                <c:ext xmlns:c16="http://schemas.microsoft.com/office/drawing/2014/chart" uri="{C3380CC4-5D6E-409C-BE32-E72D297353CC}">
                  <c16:uniqueId val="{00000003-DE82-4EDC-91E2-9FEAF1DB811A}"/>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'14-20 finansējuma rezerve'!$G$33:$I$33</c:f>
              <c:strCache>
                <c:ptCount val="3"/>
                <c:pt idx="0">
                  <c:v>ERAF</c:v>
                </c:pt>
                <c:pt idx="1">
                  <c:v>ESF/JNI</c:v>
                </c:pt>
                <c:pt idx="2">
                  <c:v>KF</c:v>
                </c:pt>
              </c:strCache>
            </c:strRef>
          </c:cat>
          <c:val>
            <c:numRef>
              <c:f>'14-20 finansējuma rezerve'!$G$36:$I$36</c:f>
              <c:numCache>
                <c:formatCode>#,##0</c:formatCode>
                <c:ptCount val="3"/>
                <c:pt idx="0">
                  <c:v>66269088</c:v>
                </c:pt>
                <c:pt idx="1">
                  <c:v>0</c:v>
                </c:pt>
                <c:pt idx="2">
                  <c:v>0</c:v>
                </c:pt>
              </c:numCache>
            </c:numRef>
          </c:val>
          <c:extLst>
            <c:ext xmlns:c16="http://schemas.microsoft.com/office/drawing/2014/chart" uri="{C3380CC4-5D6E-409C-BE32-E72D297353CC}">
              <c16:uniqueId val="{00000004-DE82-4EDC-91E2-9FEAF1DB811A}"/>
            </c:ext>
          </c:extLst>
        </c:ser>
        <c:ser>
          <c:idx val="1"/>
          <c:order val="2"/>
          <c:tx>
            <c:strRef>
              <c:f>'14-20 finansējuma rezerve'!$F$35</c:f>
              <c:strCache>
                <c:ptCount val="1"/>
                <c:pt idx="0">
                  <c:v>EK pieprasāmo maksājumu rezerve</c:v>
                </c:pt>
              </c:strCache>
            </c:strRef>
          </c:tx>
          <c:spPr>
            <a:solidFill>
              <a:srgbClr val="00B050"/>
            </a:solidFill>
            <a:ln>
              <a:noFill/>
            </a:ln>
            <a:effectLst/>
          </c:spPr>
          <c:invertIfNegative val="0"/>
          <c:dLbls>
            <c:dLbl>
              <c:idx val="0"/>
              <c:layout>
                <c:manualLayout>
                  <c:x val="6.8540404947081204E-2"/>
                  <c:y val="-1.793127328682299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E82-4EDC-91E2-9FEAF1DB811A}"/>
                </c:ext>
              </c:extLst>
            </c:dLbl>
            <c:dLbl>
              <c:idx val="1"/>
              <c:layout>
                <c:manualLayout>
                  <c:x val="7.4674747038891889E-2"/>
                  <c:y val="3.3789191204139646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E82-4EDC-91E2-9FEAF1DB811A}"/>
                </c:ext>
              </c:extLst>
            </c:dLbl>
            <c:dLbl>
              <c:idx val="2"/>
              <c:layout>
                <c:manualLayout>
                  <c:x val="6.9561346238529234E-2"/>
                  <c:y val="-2.355102740270554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E82-4EDC-91E2-9FEAF1DB811A}"/>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'14-20 finansējuma rezerve'!$G$33:$I$33</c:f>
              <c:strCache>
                <c:ptCount val="3"/>
                <c:pt idx="0">
                  <c:v>ERAF</c:v>
                </c:pt>
                <c:pt idx="1">
                  <c:v>ESF/JNI</c:v>
                </c:pt>
                <c:pt idx="2">
                  <c:v>KF</c:v>
                </c:pt>
              </c:strCache>
            </c:strRef>
          </c:cat>
          <c:val>
            <c:numRef>
              <c:f>'14-20 finansējuma rezerve'!$G$35:$I$35</c:f>
              <c:numCache>
                <c:formatCode>#,##0</c:formatCode>
                <c:ptCount val="3"/>
                <c:pt idx="0">
                  <c:v>87388627.673221648</c:v>
                </c:pt>
                <c:pt idx="1">
                  <c:v>12605007.578362979</c:v>
                </c:pt>
                <c:pt idx="2">
                  <c:v>58682178.888263039</c:v>
                </c:pt>
              </c:numCache>
            </c:numRef>
          </c:val>
          <c:extLst>
            <c:ext xmlns:c16="http://schemas.microsoft.com/office/drawing/2014/chart" uri="{C3380CC4-5D6E-409C-BE32-E72D297353CC}">
              <c16:uniqueId val="{00000008-DE82-4EDC-91E2-9FEAF1DB811A}"/>
            </c:ext>
          </c:extLst>
        </c:ser>
        <c:dLbls>
          <c:showLegendKey val="0"/>
          <c:showVal val="0"/>
          <c:showCatName val="0"/>
          <c:showSerName val="0"/>
          <c:showPercent val="0"/>
          <c:showBubbleSize val="0"/>
        </c:dLbls>
        <c:gapWidth val="150"/>
        <c:overlap val="100"/>
        <c:axId val="722010688"/>
        <c:axId val="722005280"/>
        <c:extLst>
          <c:ext xmlns:c15="http://schemas.microsoft.com/office/drawing/2012/chart" uri="{02D57815-91ED-43cb-92C2-25804820EDAC}">
            <c15:filteredBarSeries>
              <c15:ser>
                <c:idx val="0"/>
                <c:order val="3"/>
                <c:tx>
                  <c:strRef>
                    <c:extLst>
                      <c:ext uri="{02D57815-91ED-43cb-92C2-25804820EDAC}">
                        <c15:formulaRef>
                          <c15:sqref>'14-20 finansējuma rezerve'!$F$34</c15:sqref>
                        </c15:formulaRef>
                      </c:ext>
                    </c:extLst>
                    <c:strCache>
                      <c:ptCount val="1"/>
                      <c:pt idx="0">
                        <c:v>Lauztie līgumi un neatbilstības (prognoze)</c:v>
                      </c:pt>
                    </c:strCache>
                  </c:strRef>
                </c:tx>
                <c:spPr>
                  <a:solidFill>
                    <a:srgbClr val="FF0000"/>
                  </a:solidFill>
                  <a:ln>
                    <a:noFill/>
                  </a:ln>
                  <a:effectLst/>
                </c:spPr>
                <c:invertIfNegative val="0"/>
                <c:dLbls>
                  <c:dLbl>
                    <c:idx val="0"/>
                    <c:layout>
                      <c:manualLayout>
                        <c:x val="7.9785193709244293E-2"/>
                        <c:y val="-3.703703703703707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9-DE82-4EDC-91E2-9FEAF1DB811A}"/>
                      </c:ext>
                    </c:extLst>
                  </c:dLbl>
                  <c:dLbl>
                    <c:idx val="1"/>
                    <c:layout>
                      <c:manualLayout>
                        <c:x val="8.2853855005753624E-2"/>
                        <c:y val="-3.0303030303030425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A-DE82-4EDC-91E2-9FEAF1DB811A}"/>
                      </c:ext>
                    </c:extLst>
                  </c:dLbl>
                  <c:dLbl>
                    <c:idx val="2"/>
                    <c:layout>
                      <c:manualLayout>
                        <c:x val="7.9785193709244223E-2"/>
                        <c:y val="-3.7037037037037097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0B-DE82-4EDC-91E2-9FEAF1DB811A}"/>
                      </c:ext>
                    </c:extLst>
                  </c:dLbl>
                  <c:spPr>
                    <a:noFill/>
                    <a:ln>
                      <a:noFill/>
                    </a:ln>
                    <a:effectLst/>
                  </c:spPr>
                  <c:txPr>
                    <a:bodyPr rot="0" spcFirstLastPara="1" vertOverflow="ellipsis" vert="horz" wrap="square" anchor="ctr" anchorCtr="1"/>
                    <a:lstStyle/>
                    <a:p>
                      <a:pPr>
                        <a:defRPr sz="1200" b="0"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'14-20 finansējuma rezerve'!$G$33:$I$33</c15:sqref>
                        </c15:formulaRef>
                      </c:ext>
                    </c:extLst>
                    <c:strCache>
                      <c:ptCount val="3"/>
                      <c:pt idx="0">
                        <c:v>ERAF</c:v>
                      </c:pt>
                      <c:pt idx="1">
                        <c:v>ESF/JNI</c:v>
                      </c:pt>
                      <c:pt idx="2">
                        <c:v>KF</c:v>
                      </c:pt>
                    </c:strCache>
                  </c:strRef>
                </c:cat>
                <c:val>
                  <c:numRef>
                    <c:extLst>
                      <c:ext uri="{02D57815-91ED-43cb-92C2-25804820EDAC}">
                        <c15:formulaRef>
                          <c15:sqref>'14-20 finansējuma rezerve'!$G$34:$I$34</c15:sqref>
                        </c15:formulaRef>
                      </c:ext>
                    </c:extLst>
                    <c:numCache>
                      <c:formatCode>#,##0</c:formatCode>
                      <c:ptCount val="3"/>
                      <c:pt idx="0">
                        <c:v>117479624.94876772</c:v>
                      </c:pt>
                      <c:pt idx="1">
                        <c:v>5271818.2245467864</c:v>
                      </c:pt>
                      <c:pt idx="2">
                        <c:v>59177241.735729665</c:v>
                      </c:pt>
                    </c:numCache>
                  </c:numRef>
                </c:val>
                <c:extLst>
                  <c:ext xmlns:c16="http://schemas.microsoft.com/office/drawing/2014/chart" uri="{C3380CC4-5D6E-409C-BE32-E72D297353CC}">
                    <c16:uniqueId val="{0000000C-DE82-4EDC-91E2-9FEAF1DB811A}"/>
                  </c:ext>
                </c:extLst>
              </c15:ser>
            </c15:filteredBarSeries>
          </c:ext>
        </c:extLst>
      </c:barChart>
      <c:catAx>
        <c:axId val="72201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22005280"/>
        <c:crosses val="autoZero"/>
        <c:auto val="1"/>
        <c:lblAlgn val="ctr"/>
        <c:lblOffset val="100"/>
        <c:noMultiLvlLbl val="0"/>
      </c:catAx>
      <c:valAx>
        <c:axId val="72200528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722010688"/>
        <c:crosses val="autoZero"/>
        <c:crossBetween val="between"/>
        <c:dispUnits>
          <c:builtInUnit val="millions"/>
        </c:dispUnits>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0.27207</cdr:x>
      <cdr:y>0.11631</cdr:y>
    </cdr:from>
    <cdr:to>
      <cdr:x>0.30034</cdr:x>
      <cdr:y>0.29724</cdr:y>
    </cdr:to>
    <cdr:sp macro="" textlink="">
      <cdr:nvSpPr>
        <cdr:cNvPr id="3" name="Right Brace 2"/>
        <cdr:cNvSpPr/>
      </cdr:nvSpPr>
      <cdr:spPr>
        <a:xfrm xmlns:a="http://schemas.openxmlformats.org/drawingml/2006/main">
          <a:off x="1689811" y="329184"/>
          <a:ext cx="175565" cy="512064"/>
        </a:xfrm>
        <a:prstGeom xmlns:a="http://schemas.openxmlformats.org/drawingml/2006/main" prst="rightBrace">
          <a:avLst/>
        </a:prstGeom>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DB1C1-2A18-4D7C-A07B-81F25D07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16</Pages>
  <Words>23687</Words>
  <Characters>13502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2014.–2020.gada plānošanas perioda darbības programmas “Izaugsme un nodarbinātība” snieguma ietvarā noteikto mērķu sasniegšanas progresu un snieguma rezerves finansējuma tālāku</vt:lpstr>
    </vt:vector>
  </TitlesOfParts>
  <Company/>
  <LinksUpToDate>false</LinksUpToDate>
  <CharactersWithSpaces>37115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dc:title>
  <dc:subject/>
  <dc:creator>jolanta.balduncika@fm.gov.lv</dc:creator>
  <cp:keywords/>
  <dc:description>Tālr.: 67095479, E-pasts: jolanta.balduncika@fm.gov.lv</dc:description>
  <cp:lastModifiedBy>KV</cp:lastModifiedBy>
  <cp:revision>68</cp:revision>
  <cp:lastPrinted>2019-10-01T13:26:00Z</cp:lastPrinted>
  <dcterms:created xsi:type="dcterms:W3CDTF">2019-10-01T06:10:00Z</dcterms:created>
  <dcterms:modified xsi:type="dcterms:W3CDTF">2019-10-04T07:50:00Z</dcterms:modified>
</cp:coreProperties>
</file>